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0A21E">
      <w:pPr>
        <w:spacing w:line="248" w:lineRule="auto"/>
        <w:outlineLvl w:val="9"/>
        <w:rPr>
          <w:rFonts w:ascii="Arial"/>
          <w:sz w:val="21"/>
        </w:rPr>
      </w:pPr>
    </w:p>
    <w:p w14:paraId="245F4A6C">
      <w:pPr>
        <w:spacing w:line="248" w:lineRule="auto"/>
        <w:rPr>
          <w:rFonts w:ascii="Arial"/>
          <w:sz w:val="21"/>
        </w:rPr>
      </w:pPr>
    </w:p>
    <w:p w14:paraId="41C160CB">
      <w:pPr>
        <w:spacing w:line="248" w:lineRule="auto"/>
        <w:rPr>
          <w:rFonts w:ascii="Arial"/>
          <w:sz w:val="21"/>
        </w:rPr>
      </w:pPr>
    </w:p>
    <w:p w14:paraId="13F88976">
      <w:pPr>
        <w:bidi w:val="0"/>
        <w:jc w:val="center"/>
        <w:rPr>
          <w:sz w:val="119"/>
          <w:szCs w:val="119"/>
        </w:rPr>
      </w:pPr>
      <w:r>
        <w:rPr>
          <w:b/>
          <w:bCs/>
          <w:spacing w:val="-45"/>
          <w:sz w:val="119"/>
          <w:szCs w:val="119"/>
        </w:rPr>
        <w:t>招</w:t>
      </w:r>
      <w:r>
        <w:rPr>
          <w:spacing w:val="63"/>
          <w:sz w:val="119"/>
          <w:szCs w:val="119"/>
        </w:rPr>
        <w:t xml:space="preserve"> </w:t>
      </w:r>
      <w:r>
        <w:rPr>
          <w:b/>
          <w:bCs/>
          <w:spacing w:val="-45"/>
          <w:sz w:val="119"/>
          <w:szCs w:val="119"/>
        </w:rPr>
        <w:t>标</w:t>
      </w:r>
      <w:r>
        <w:rPr>
          <w:spacing w:val="68"/>
          <w:sz w:val="119"/>
          <w:szCs w:val="119"/>
        </w:rPr>
        <w:t xml:space="preserve"> </w:t>
      </w:r>
      <w:r>
        <w:rPr>
          <w:b/>
          <w:bCs/>
          <w:spacing w:val="-45"/>
          <w:sz w:val="119"/>
          <w:szCs w:val="119"/>
        </w:rPr>
        <w:t>文</w:t>
      </w:r>
      <w:r>
        <w:rPr>
          <w:spacing w:val="55"/>
          <w:sz w:val="119"/>
          <w:szCs w:val="119"/>
        </w:rPr>
        <w:t xml:space="preserve"> </w:t>
      </w:r>
      <w:r>
        <w:rPr>
          <w:b/>
          <w:bCs/>
          <w:spacing w:val="-45"/>
          <w:sz w:val="119"/>
          <w:szCs w:val="119"/>
        </w:rPr>
        <w:t>件</w:t>
      </w:r>
    </w:p>
    <w:p w14:paraId="7E478867">
      <w:pPr>
        <w:spacing w:line="261" w:lineRule="auto"/>
        <w:rPr>
          <w:rFonts w:ascii="Arial"/>
          <w:sz w:val="21"/>
        </w:rPr>
      </w:pPr>
    </w:p>
    <w:p w14:paraId="638DB45E">
      <w:pPr>
        <w:spacing w:line="262" w:lineRule="auto"/>
        <w:rPr>
          <w:rFonts w:ascii="Arial"/>
          <w:sz w:val="21"/>
        </w:rPr>
      </w:pPr>
    </w:p>
    <w:p w14:paraId="5CB27888">
      <w:pPr>
        <w:spacing w:line="262" w:lineRule="auto"/>
        <w:rPr>
          <w:rFonts w:ascii="Arial"/>
          <w:sz w:val="21"/>
        </w:rPr>
      </w:pPr>
    </w:p>
    <w:p w14:paraId="5426CE5B">
      <w:pPr>
        <w:spacing w:line="262" w:lineRule="auto"/>
        <w:rPr>
          <w:rFonts w:ascii="Arial"/>
          <w:sz w:val="21"/>
        </w:rPr>
      </w:pPr>
    </w:p>
    <w:p w14:paraId="71A8A2ED">
      <w:pPr>
        <w:spacing w:line="262" w:lineRule="auto"/>
        <w:rPr>
          <w:rFonts w:ascii="Arial"/>
          <w:sz w:val="21"/>
        </w:rPr>
      </w:pPr>
    </w:p>
    <w:p w14:paraId="02856C52">
      <w:pPr>
        <w:spacing w:line="262" w:lineRule="auto"/>
        <w:rPr>
          <w:rFonts w:ascii="Arial"/>
          <w:sz w:val="21"/>
        </w:rPr>
      </w:pPr>
    </w:p>
    <w:p w14:paraId="4325A2F0">
      <w:pPr>
        <w:spacing w:line="262" w:lineRule="auto"/>
        <w:rPr>
          <w:rFonts w:ascii="Arial"/>
          <w:sz w:val="21"/>
        </w:rPr>
      </w:pPr>
    </w:p>
    <w:p w14:paraId="2BA03687">
      <w:pPr>
        <w:keepNext w:val="0"/>
        <w:keepLines w:val="0"/>
        <w:pageBreakBefore w:val="0"/>
        <w:widowControl/>
        <w:kinsoku w:val="0"/>
        <w:wordWrap/>
        <w:overflowPunct/>
        <w:topLinePunct w:val="0"/>
        <w:autoSpaceDE w:val="0"/>
        <w:autoSpaceDN w:val="0"/>
        <w:bidi w:val="0"/>
        <w:adjustRightInd w:val="0"/>
        <w:snapToGrid w:val="0"/>
        <w:spacing w:line="360" w:lineRule="auto"/>
        <w:ind w:left="1241" w:hanging="1241" w:hangingChars="500"/>
        <w:textAlignment w:val="baseline"/>
        <w:rPr>
          <w:rFonts w:hint="default"/>
          <w:b/>
          <w:bCs/>
          <w:spacing w:val="-16"/>
          <w:sz w:val="28"/>
          <w:szCs w:val="28"/>
          <w:lang w:val="en-US" w:eastAsia="zh-CN"/>
        </w:rPr>
      </w:pPr>
      <w:r>
        <w:rPr>
          <w:b/>
          <w:bCs/>
          <w:spacing w:val="-16"/>
          <w:sz w:val="28"/>
          <w:szCs w:val="28"/>
        </w:rPr>
        <w:t>项目名称：</w:t>
      </w:r>
      <w:r>
        <w:rPr>
          <w:rFonts w:hint="default"/>
          <w:b/>
          <w:bCs/>
          <w:spacing w:val="-16"/>
          <w:sz w:val="28"/>
          <w:szCs w:val="28"/>
          <w:lang w:val="en-US" w:eastAsia="zh-CN"/>
        </w:rPr>
        <w:t>广西壮族自治区桂林公路发展中心南片区2026年—2029年普通国省干线公路养护服务项目</w:t>
      </w:r>
    </w:p>
    <w:p w14:paraId="7EFB2B56">
      <w:pPr>
        <w:bidi w:val="0"/>
        <w:rPr>
          <w:rFonts w:hint="eastAsia"/>
          <w:b/>
          <w:bCs/>
          <w:spacing w:val="-16"/>
          <w:sz w:val="28"/>
          <w:szCs w:val="28"/>
          <w:lang w:eastAsia="zh-CN"/>
        </w:rPr>
      </w:pPr>
    </w:p>
    <w:p w14:paraId="2B0F9B68">
      <w:pPr>
        <w:bidi w:val="0"/>
        <w:rPr>
          <w:rFonts w:hint="eastAsia" w:eastAsia="宋体"/>
          <w:sz w:val="28"/>
          <w:szCs w:val="28"/>
          <w:lang w:val="en-US" w:eastAsia="zh-CN"/>
        </w:rPr>
      </w:pPr>
      <w:r>
        <w:rPr>
          <w:b/>
          <w:bCs/>
          <w:spacing w:val="-11"/>
          <w:sz w:val="28"/>
          <w:szCs w:val="28"/>
        </w:rPr>
        <w:t>项目编号：</w:t>
      </w:r>
      <w:r>
        <w:rPr>
          <w:rFonts w:hint="eastAsia" w:eastAsia="宋体"/>
          <w:b/>
          <w:bCs/>
          <w:spacing w:val="-11"/>
          <w:sz w:val="28"/>
          <w:szCs w:val="28"/>
          <w:lang w:val="en-US" w:eastAsia="zh-CN"/>
        </w:rPr>
        <w:t xml:space="preserve"> GXZC2026-G3-000600-WHZX</w:t>
      </w:r>
    </w:p>
    <w:p w14:paraId="0216A009">
      <w:pPr>
        <w:spacing w:line="267" w:lineRule="auto"/>
        <w:rPr>
          <w:rFonts w:ascii="Arial"/>
          <w:sz w:val="21"/>
        </w:rPr>
      </w:pPr>
    </w:p>
    <w:p w14:paraId="12A313F0">
      <w:pPr>
        <w:spacing w:line="267" w:lineRule="auto"/>
        <w:rPr>
          <w:rFonts w:ascii="Arial"/>
          <w:sz w:val="21"/>
        </w:rPr>
      </w:pPr>
    </w:p>
    <w:p w14:paraId="7E90761A">
      <w:pPr>
        <w:spacing w:line="267" w:lineRule="auto"/>
        <w:rPr>
          <w:rFonts w:ascii="Arial"/>
          <w:sz w:val="21"/>
        </w:rPr>
      </w:pPr>
    </w:p>
    <w:p w14:paraId="7C539F27">
      <w:pPr>
        <w:spacing w:line="267" w:lineRule="auto"/>
        <w:rPr>
          <w:rFonts w:ascii="Arial"/>
          <w:sz w:val="21"/>
        </w:rPr>
      </w:pPr>
    </w:p>
    <w:p w14:paraId="7DA07C77">
      <w:pPr>
        <w:spacing w:line="267" w:lineRule="auto"/>
        <w:rPr>
          <w:rFonts w:ascii="Arial"/>
          <w:sz w:val="21"/>
        </w:rPr>
      </w:pPr>
    </w:p>
    <w:p w14:paraId="307099D3">
      <w:pPr>
        <w:spacing w:line="267" w:lineRule="auto"/>
        <w:rPr>
          <w:rFonts w:ascii="Arial"/>
          <w:sz w:val="21"/>
        </w:rPr>
      </w:pPr>
    </w:p>
    <w:p w14:paraId="0B309D7A">
      <w:pPr>
        <w:spacing w:line="267" w:lineRule="auto"/>
        <w:rPr>
          <w:rFonts w:ascii="Arial"/>
          <w:sz w:val="21"/>
        </w:rPr>
      </w:pPr>
    </w:p>
    <w:p w14:paraId="0965E773">
      <w:pPr>
        <w:spacing w:line="267" w:lineRule="auto"/>
        <w:rPr>
          <w:rFonts w:ascii="Arial"/>
          <w:sz w:val="21"/>
        </w:rPr>
      </w:pPr>
    </w:p>
    <w:p w14:paraId="08720A93">
      <w:pPr>
        <w:spacing w:line="267" w:lineRule="auto"/>
        <w:rPr>
          <w:rFonts w:ascii="Arial"/>
          <w:sz w:val="21"/>
        </w:rPr>
      </w:pPr>
    </w:p>
    <w:p w14:paraId="1441F9FA">
      <w:pPr>
        <w:spacing w:line="267" w:lineRule="auto"/>
        <w:rPr>
          <w:rFonts w:ascii="Arial"/>
          <w:sz w:val="21"/>
        </w:rPr>
      </w:pPr>
    </w:p>
    <w:p w14:paraId="503B6647">
      <w:pPr>
        <w:spacing w:line="267" w:lineRule="auto"/>
        <w:rPr>
          <w:rFonts w:ascii="Arial"/>
          <w:sz w:val="21"/>
        </w:rPr>
      </w:pPr>
    </w:p>
    <w:p w14:paraId="5641C3B1">
      <w:pPr>
        <w:spacing w:line="267" w:lineRule="auto"/>
        <w:rPr>
          <w:rFonts w:ascii="Arial"/>
          <w:sz w:val="21"/>
        </w:rPr>
      </w:pPr>
    </w:p>
    <w:p w14:paraId="497B8CA9">
      <w:pPr>
        <w:spacing w:line="267" w:lineRule="auto"/>
        <w:rPr>
          <w:rFonts w:ascii="Arial"/>
          <w:sz w:val="21"/>
        </w:rPr>
      </w:pPr>
    </w:p>
    <w:tbl>
      <w:tblPr>
        <w:tblStyle w:val="26"/>
        <w:tblW w:w="997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28"/>
        <w:gridCol w:w="1054"/>
        <w:gridCol w:w="7497"/>
      </w:tblGrid>
      <w:tr w14:paraId="0A8CD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1428" w:type="dxa"/>
            <w:vAlign w:val="top"/>
          </w:tcPr>
          <w:p w14:paraId="56442B01">
            <w:pPr>
              <w:pStyle w:val="11"/>
              <w:keepNext w:val="0"/>
              <w:keepLines w:val="0"/>
              <w:pageBreakBefore w:val="0"/>
              <w:widowControl w:val="0"/>
              <w:kinsoku w:val="0"/>
              <w:wordWrap/>
              <w:overflowPunct/>
              <w:topLinePunct w:val="0"/>
              <w:autoSpaceDE w:val="0"/>
              <w:autoSpaceDN w:val="0"/>
              <w:bidi w:val="0"/>
              <w:adjustRightInd w:val="0"/>
              <w:snapToGrid w:val="0"/>
              <w:spacing w:before="97" w:line="219" w:lineRule="auto"/>
              <w:ind w:left="0" w:leftChars="0" w:firstLine="0" w:firstLineChars="0"/>
              <w:textAlignment w:val="baseline"/>
              <w:rPr>
                <w:b/>
                <w:bCs/>
                <w:spacing w:val="-17"/>
                <w:highlight w:val="none"/>
                <w:vertAlign w:val="baseline"/>
              </w:rPr>
            </w:pPr>
            <w:r>
              <w:rPr>
                <w:b/>
                <w:bCs/>
                <w:spacing w:val="-17"/>
                <w:highlight w:val="none"/>
              </w:rPr>
              <w:t>采购人：</w:t>
            </w:r>
          </w:p>
        </w:tc>
        <w:tc>
          <w:tcPr>
            <w:tcW w:w="8551" w:type="dxa"/>
            <w:gridSpan w:val="2"/>
            <w:vAlign w:val="top"/>
          </w:tcPr>
          <w:p w14:paraId="0847F688">
            <w:pPr>
              <w:pStyle w:val="11"/>
              <w:keepNext w:val="0"/>
              <w:keepLines w:val="0"/>
              <w:pageBreakBefore w:val="0"/>
              <w:widowControl w:val="0"/>
              <w:kinsoku w:val="0"/>
              <w:wordWrap/>
              <w:overflowPunct/>
              <w:topLinePunct w:val="0"/>
              <w:autoSpaceDE w:val="0"/>
              <w:autoSpaceDN w:val="0"/>
              <w:bidi w:val="0"/>
              <w:adjustRightInd w:val="0"/>
              <w:snapToGrid w:val="0"/>
              <w:spacing w:before="97" w:line="219" w:lineRule="auto"/>
              <w:ind w:firstLine="0" w:firstLineChars="0"/>
              <w:textAlignment w:val="baseline"/>
              <w:rPr>
                <w:b/>
                <w:bCs/>
                <w:spacing w:val="-17"/>
                <w:highlight w:val="none"/>
                <w:vertAlign w:val="baseline"/>
              </w:rPr>
            </w:pPr>
            <w:r>
              <w:rPr>
                <w:rFonts w:hint="eastAsia"/>
                <w:b/>
                <w:bCs/>
                <w:color w:val="auto"/>
                <w:spacing w:val="-17"/>
                <w:highlight w:val="none"/>
                <w:lang w:eastAsia="zh-CN"/>
              </w:rPr>
              <w:t>广西壮族自治区恭城公路养护中心（牵头单位）、广西壮族自治区平乐公路养护中心、广西壮族自治区阳朔公路养护中心、广西壮族自治区灌阳公路养护中心</w:t>
            </w:r>
          </w:p>
        </w:tc>
      </w:tr>
      <w:tr w14:paraId="75B7B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1428" w:type="dxa"/>
            <w:vAlign w:val="top"/>
          </w:tcPr>
          <w:p w14:paraId="2D716AA0">
            <w:pPr>
              <w:pStyle w:val="11"/>
              <w:keepNext w:val="0"/>
              <w:keepLines w:val="0"/>
              <w:pageBreakBefore w:val="0"/>
              <w:widowControl w:val="0"/>
              <w:kinsoku w:val="0"/>
              <w:wordWrap/>
              <w:overflowPunct/>
              <w:topLinePunct w:val="0"/>
              <w:autoSpaceDE w:val="0"/>
              <w:autoSpaceDN w:val="0"/>
              <w:bidi w:val="0"/>
              <w:adjustRightInd w:val="0"/>
              <w:snapToGrid w:val="0"/>
              <w:spacing w:before="97" w:line="219" w:lineRule="auto"/>
              <w:ind w:firstLine="0" w:firstLineChars="0"/>
              <w:textAlignment w:val="baseline"/>
              <w:rPr>
                <w:b/>
                <w:bCs/>
                <w:spacing w:val="-17"/>
                <w:vertAlign w:val="baseline"/>
              </w:rPr>
            </w:pPr>
          </w:p>
        </w:tc>
        <w:tc>
          <w:tcPr>
            <w:tcW w:w="8551" w:type="dxa"/>
            <w:gridSpan w:val="2"/>
            <w:vAlign w:val="top"/>
          </w:tcPr>
          <w:p w14:paraId="0E79B908">
            <w:pPr>
              <w:pStyle w:val="11"/>
              <w:keepNext w:val="0"/>
              <w:keepLines w:val="0"/>
              <w:pageBreakBefore w:val="0"/>
              <w:widowControl w:val="0"/>
              <w:kinsoku w:val="0"/>
              <w:wordWrap/>
              <w:overflowPunct/>
              <w:topLinePunct w:val="0"/>
              <w:autoSpaceDE w:val="0"/>
              <w:autoSpaceDN w:val="0"/>
              <w:bidi w:val="0"/>
              <w:adjustRightInd w:val="0"/>
              <w:snapToGrid w:val="0"/>
              <w:spacing w:before="97" w:line="219" w:lineRule="auto"/>
              <w:ind w:firstLine="0" w:firstLineChars="0"/>
              <w:textAlignment w:val="baseline"/>
              <w:rPr>
                <w:rFonts w:hint="eastAsia"/>
                <w:b/>
                <w:bCs/>
                <w:color w:val="auto"/>
                <w:spacing w:val="-17"/>
                <w:lang w:eastAsia="zh-CN"/>
              </w:rPr>
            </w:pPr>
          </w:p>
        </w:tc>
      </w:tr>
      <w:tr w14:paraId="62E2C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2482" w:type="dxa"/>
            <w:gridSpan w:val="2"/>
            <w:vAlign w:val="top"/>
          </w:tcPr>
          <w:p w14:paraId="552DBC74">
            <w:pPr>
              <w:pStyle w:val="11"/>
              <w:keepNext w:val="0"/>
              <w:keepLines w:val="0"/>
              <w:pageBreakBefore w:val="0"/>
              <w:widowControl w:val="0"/>
              <w:kinsoku w:val="0"/>
              <w:wordWrap/>
              <w:overflowPunct/>
              <w:topLinePunct w:val="0"/>
              <w:autoSpaceDE w:val="0"/>
              <w:autoSpaceDN w:val="0"/>
              <w:bidi w:val="0"/>
              <w:adjustRightInd w:val="0"/>
              <w:snapToGrid w:val="0"/>
              <w:spacing w:before="97" w:line="219" w:lineRule="auto"/>
              <w:ind w:firstLine="0" w:firstLineChars="0"/>
              <w:textAlignment w:val="baseline"/>
              <w:rPr>
                <w:b/>
                <w:bCs/>
                <w:color w:val="auto"/>
                <w:spacing w:val="-17"/>
                <w:vertAlign w:val="baseline"/>
              </w:rPr>
            </w:pPr>
            <w:r>
              <w:rPr>
                <w:b/>
                <w:bCs/>
                <w:color w:val="auto"/>
                <w:spacing w:val="-17"/>
              </w:rPr>
              <w:t>采购代理机构：</w:t>
            </w:r>
          </w:p>
        </w:tc>
        <w:tc>
          <w:tcPr>
            <w:tcW w:w="7497" w:type="dxa"/>
            <w:vAlign w:val="top"/>
          </w:tcPr>
          <w:p w14:paraId="5DE3F3C3">
            <w:pPr>
              <w:pStyle w:val="11"/>
              <w:keepNext w:val="0"/>
              <w:keepLines w:val="0"/>
              <w:pageBreakBefore w:val="0"/>
              <w:widowControl w:val="0"/>
              <w:kinsoku w:val="0"/>
              <w:wordWrap/>
              <w:overflowPunct/>
              <w:topLinePunct w:val="0"/>
              <w:autoSpaceDE w:val="0"/>
              <w:autoSpaceDN w:val="0"/>
              <w:bidi w:val="0"/>
              <w:adjustRightInd w:val="0"/>
              <w:snapToGrid w:val="0"/>
              <w:spacing w:before="97" w:line="219" w:lineRule="auto"/>
              <w:ind w:firstLine="0" w:firstLineChars="0"/>
              <w:textAlignment w:val="baseline"/>
              <w:rPr>
                <w:rFonts w:hint="default" w:eastAsia="宋体"/>
                <w:b/>
                <w:bCs/>
                <w:color w:val="auto"/>
                <w:spacing w:val="-17"/>
                <w:vertAlign w:val="baseline"/>
                <w:lang w:val="en-US" w:eastAsia="zh-CN"/>
              </w:rPr>
            </w:pPr>
            <w:r>
              <w:rPr>
                <w:rFonts w:hint="default"/>
                <w:b/>
                <w:bCs/>
                <w:color w:val="auto"/>
                <w:spacing w:val="-17"/>
                <w:lang w:val="en-US" w:eastAsia="zh-CN"/>
              </w:rPr>
              <w:t>广西五衡建设咨询有限公司</w:t>
            </w:r>
          </w:p>
        </w:tc>
      </w:tr>
      <w:tr w14:paraId="6E180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9979" w:type="dxa"/>
            <w:gridSpan w:val="3"/>
          </w:tcPr>
          <w:p w14:paraId="424D28FB">
            <w:pPr>
              <w:pStyle w:val="11"/>
              <w:keepNext w:val="0"/>
              <w:keepLines w:val="0"/>
              <w:pageBreakBefore w:val="0"/>
              <w:widowControl w:val="0"/>
              <w:kinsoku w:val="0"/>
              <w:wordWrap/>
              <w:overflowPunct/>
              <w:topLinePunct w:val="0"/>
              <w:autoSpaceDE w:val="0"/>
              <w:autoSpaceDN w:val="0"/>
              <w:bidi w:val="0"/>
              <w:adjustRightInd w:val="0"/>
              <w:snapToGrid w:val="0"/>
              <w:spacing w:before="97" w:line="219" w:lineRule="auto"/>
              <w:ind w:firstLine="0" w:firstLineChars="0"/>
              <w:jc w:val="center"/>
              <w:textAlignment w:val="baseline"/>
              <w:rPr>
                <w:b/>
                <w:bCs/>
                <w:spacing w:val="-17"/>
                <w:vertAlign w:val="baseline"/>
              </w:rPr>
            </w:pPr>
            <w:r>
              <w:rPr>
                <w:b/>
                <w:bCs/>
                <w:spacing w:val="-21"/>
              </w:rPr>
              <w:t>2026</w:t>
            </w:r>
            <w:r>
              <w:rPr>
                <w:spacing w:val="-57"/>
              </w:rPr>
              <w:t xml:space="preserve"> </w:t>
            </w:r>
            <w:r>
              <w:rPr>
                <w:b/>
                <w:bCs/>
                <w:spacing w:val="-21"/>
              </w:rPr>
              <w:t>年</w:t>
            </w:r>
            <w:r>
              <w:rPr>
                <w:spacing w:val="-58"/>
              </w:rPr>
              <w:t xml:space="preserve"> </w:t>
            </w:r>
            <w:r>
              <w:rPr>
                <w:b/>
                <w:bCs/>
                <w:spacing w:val="-21"/>
              </w:rPr>
              <w:t>3</w:t>
            </w:r>
            <w:r>
              <w:rPr>
                <w:spacing w:val="-57"/>
              </w:rPr>
              <w:t xml:space="preserve"> </w:t>
            </w:r>
            <w:r>
              <w:rPr>
                <w:b/>
                <w:bCs/>
                <w:spacing w:val="-21"/>
              </w:rPr>
              <w:t>月</w:t>
            </w:r>
            <w:r>
              <w:rPr>
                <w:spacing w:val="25"/>
              </w:rPr>
              <w:t xml:space="preserve">  </w:t>
            </w:r>
            <w:r>
              <w:rPr>
                <w:b/>
                <w:bCs/>
                <w:spacing w:val="-21"/>
              </w:rPr>
              <w:t>日</w:t>
            </w:r>
          </w:p>
        </w:tc>
      </w:tr>
    </w:tbl>
    <w:p w14:paraId="3A51EC8F">
      <w:pPr>
        <w:pStyle w:val="11"/>
        <w:spacing w:before="97" w:line="219" w:lineRule="auto"/>
        <w:ind w:left="1134"/>
        <w:rPr>
          <w:rFonts w:hint="eastAsia"/>
          <w:b/>
          <w:bCs/>
          <w:spacing w:val="-17"/>
          <w:lang w:eastAsia="zh-CN"/>
        </w:rPr>
      </w:pPr>
    </w:p>
    <w:p w14:paraId="3E854FBC">
      <w:pPr>
        <w:spacing w:line="219" w:lineRule="auto"/>
        <w:sectPr>
          <w:pgSz w:w="11905" w:h="16838"/>
          <w:pgMar w:top="1440" w:right="1134" w:bottom="1440" w:left="1134" w:header="0" w:footer="720" w:gutter="0"/>
          <w:pgNumType w:fmt="decimal"/>
          <w:cols w:space="0" w:num="1"/>
          <w:rtlGutter w:val="0"/>
          <w:docGrid w:linePitch="0" w:charSpace="0"/>
        </w:sectPr>
      </w:pPr>
    </w:p>
    <w:sdt>
      <w:sdtPr>
        <w:rPr>
          <w:rFonts w:ascii="宋体" w:hAnsi="宋体" w:eastAsia="宋体" w:cs="Arial"/>
          <w:snapToGrid w:val="0"/>
          <w:color w:val="000000"/>
          <w:kern w:val="0"/>
          <w:sz w:val="21"/>
          <w:szCs w:val="21"/>
          <w:lang w:val="en-US" w:eastAsia="en-US" w:bidi="ar-SA"/>
        </w:rPr>
        <w:id w:val="147479025"/>
        <w15:color w:val="DBDBDB"/>
        <w:docPartObj>
          <w:docPartGallery w:val="Table of Contents"/>
          <w:docPartUnique/>
        </w:docPartObj>
      </w:sdtPr>
      <w:sdtEndPr>
        <w:rPr>
          <w:rFonts w:hint="eastAsia" w:ascii="宋体" w:hAnsi="宋体" w:eastAsia="宋体" w:cs="宋体"/>
          <w:snapToGrid w:val="0"/>
          <w:color w:val="000000"/>
          <w:kern w:val="0"/>
          <w:sz w:val="28"/>
          <w:szCs w:val="28"/>
          <w:lang w:val="en-US" w:eastAsia="en-US" w:bidi="ar-SA"/>
        </w:rPr>
      </w:sdtEndPr>
      <w:sdtContent>
        <w:p w14:paraId="10724976">
          <w:pPr>
            <w:spacing w:before="0" w:beforeLines="0" w:after="0" w:afterLines="0" w:line="240" w:lineRule="auto"/>
            <w:ind w:left="0" w:leftChars="0" w:right="0" w:rightChars="0" w:firstLine="0" w:firstLineChars="0"/>
            <w:jc w:val="center"/>
            <w:rPr>
              <w:sz w:val="28"/>
              <w:szCs w:val="28"/>
            </w:rPr>
          </w:pPr>
          <w:r>
            <w:rPr>
              <w:rFonts w:ascii="宋体" w:hAnsi="宋体" w:eastAsia="宋体"/>
              <w:sz w:val="28"/>
              <w:szCs w:val="28"/>
            </w:rPr>
            <w:t>目</w:t>
          </w:r>
          <w:r>
            <w:rPr>
              <w:rFonts w:hint="eastAsia" w:ascii="宋体" w:hAnsi="宋体" w:eastAsia="宋体"/>
              <w:sz w:val="28"/>
              <w:szCs w:val="28"/>
              <w:lang w:val="en-US" w:eastAsia="zh-CN"/>
            </w:rPr>
            <w:t xml:space="preserve">   </w:t>
          </w:r>
          <w:r>
            <w:rPr>
              <w:rFonts w:ascii="宋体" w:hAnsi="宋体" w:eastAsia="宋体"/>
              <w:sz w:val="28"/>
              <w:szCs w:val="28"/>
            </w:rPr>
            <w:t>录</w:t>
          </w:r>
        </w:p>
        <w:p w14:paraId="767A6EDE">
          <w:pPr>
            <w:pStyle w:val="20"/>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color w:val="000000"/>
              <w:kern w:val="0"/>
              <w:sz w:val="28"/>
              <w:szCs w:val="28"/>
              <w:lang w:val="en-US" w:eastAsia="en-US" w:bidi="ar-SA"/>
            </w:rPr>
            <w:instrText xml:space="preserve">TOC \o "1-3" \h \u </w:instrText>
          </w:r>
          <w:r>
            <w:rPr>
              <w:rFonts w:hint="eastAsia" w:ascii="宋体" w:hAnsi="宋体" w:eastAsia="宋体" w:cs="宋体"/>
              <w:snapToGrid w:val="0"/>
              <w:color w:val="000000"/>
              <w:kern w:val="0"/>
              <w:sz w:val="28"/>
              <w:szCs w:val="28"/>
              <w:lang w:val="en-US" w:eastAsia="en-US" w:bidi="ar-SA"/>
            </w:rPr>
            <w:fldChar w:fldCharType="separate"/>
          </w: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_Toc27604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4"/>
              <w:sz w:val="28"/>
              <w:szCs w:val="28"/>
            </w:rPr>
            <w:t>第一章</w:t>
          </w:r>
          <w:r>
            <w:rPr>
              <w:rFonts w:hint="eastAsia" w:ascii="宋体" w:hAnsi="宋体" w:eastAsia="宋体" w:cs="宋体"/>
              <w:spacing w:val="4"/>
              <w:sz w:val="28"/>
              <w:szCs w:val="28"/>
            </w:rPr>
            <w:t xml:space="preserve">  </w:t>
          </w:r>
          <w:r>
            <w:rPr>
              <w:rFonts w:hint="eastAsia" w:ascii="宋体" w:hAnsi="宋体" w:eastAsia="宋体" w:cs="宋体"/>
              <w:bCs/>
              <w:spacing w:val="4"/>
              <w:sz w:val="28"/>
              <w:szCs w:val="28"/>
            </w:rPr>
            <w:t>招标公告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_Toc27604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4344DA60">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_Toc16424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4"/>
              <w:sz w:val="28"/>
              <w:szCs w:val="28"/>
            </w:rPr>
            <w:t>一、项目基本情况</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_Toc16424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5D3FC66A">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_Toc28927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z w:val="28"/>
              <w:szCs w:val="28"/>
            </w:rPr>
            <w:t>二、申请人的资格要求：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_Toc28927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72CBA302">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_Toc13537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3"/>
              <w:sz w:val="28"/>
              <w:szCs w:val="28"/>
            </w:rPr>
            <w:t>三、获取招标文件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_Toc13537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6D8C6A68">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_Toc26611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4"/>
              <w:sz w:val="28"/>
              <w:szCs w:val="28"/>
            </w:rPr>
            <w:t>四、提交投标文件截止时间、开标时间和地点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_Toc26611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62DA969F">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_Toc316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4"/>
              <w:sz w:val="28"/>
              <w:szCs w:val="28"/>
            </w:rPr>
            <w:t>五、公告期限</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_Toc316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746D9D19">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_Toc4305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4"/>
              <w:sz w:val="28"/>
              <w:szCs w:val="28"/>
            </w:rPr>
            <w:t>六、其他补充事宜</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_Toc4305 \h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3CFB2BC6">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_Toc21650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3"/>
              <w:sz w:val="28"/>
              <w:szCs w:val="28"/>
            </w:rPr>
            <w:t>七、对本次招标提出询问，请按以下方式联系。</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_Toc21650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573B7C22">
          <w:pPr>
            <w:pStyle w:val="20"/>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_Toc11074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4"/>
              <w:sz w:val="28"/>
              <w:szCs w:val="28"/>
            </w:rPr>
            <w:t>第二章</w:t>
          </w:r>
          <w:r>
            <w:rPr>
              <w:rFonts w:hint="eastAsia" w:ascii="宋体" w:hAnsi="宋体" w:eastAsia="宋体" w:cs="宋体"/>
              <w:spacing w:val="4"/>
              <w:sz w:val="28"/>
              <w:szCs w:val="28"/>
            </w:rPr>
            <w:t xml:space="preserve">  </w:t>
          </w:r>
          <w:r>
            <w:rPr>
              <w:rFonts w:hint="eastAsia" w:ascii="宋体" w:hAnsi="宋体" w:eastAsia="宋体" w:cs="宋体"/>
              <w:bCs/>
              <w:spacing w:val="4"/>
              <w:sz w:val="28"/>
              <w:szCs w:val="28"/>
            </w:rPr>
            <w:t>采购需求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_Toc11074 \h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5ACE86D0">
          <w:pPr>
            <w:pStyle w:val="20"/>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_Toc23981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rPr>
            <w:t>第三章  投标人须知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_Toc23981 \h </w:instrText>
          </w:r>
          <w:r>
            <w:rPr>
              <w:rFonts w:hint="eastAsia" w:ascii="宋体" w:hAnsi="宋体" w:eastAsia="宋体" w:cs="宋体"/>
              <w:sz w:val="28"/>
              <w:szCs w:val="28"/>
            </w:rPr>
            <w:fldChar w:fldCharType="separate"/>
          </w:r>
          <w:r>
            <w:rPr>
              <w:rFonts w:hint="eastAsia" w:ascii="宋体" w:hAnsi="宋体" w:eastAsia="宋体" w:cs="宋体"/>
              <w:sz w:val="28"/>
              <w:szCs w:val="28"/>
            </w:rPr>
            <w:t>55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4F4606D6">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_Toc4748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rPr>
            <w:t>投标人须知前附表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_Toc4748 \h </w:instrText>
          </w:r>
          <w:r>
            <w:rPr>
              <w:rFonts w:hint="eastAsia" w:ascii="宋体" w:hAnsi="宋体" w:eastAsia="宋体" w:cs="宋体"/>
              <w:sz w:val="28"/>
              <w:szCs w:val="28"/>
            </w:rPr>
            <w:fldChar w:fldCharType="separate"/>
          </w:r>
          <w:r>
            <w:rPr>
              <w:rFonts w:hint="eastAsia" w:ascii="宋体" w:hAnsi="宋体" w:eastAsia="宋体" w:cs="宋体"/>
              <w:sz w:val="28"/>
              <w:szCs w:val="28"/>
            </w:rPr>
            <w:t>55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35C27B04">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_Toc20030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rPr>
            <w:t>投标人须知正文</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_Toc20030 \h </w:instrText>
          </w:r>
          <w:r>
            <w:rPr>
              <w:rFonts w:hint="eastAsia" w:ascii="宋体" w:hAnsi="宋体" w:eastAsia="宋体" w:cs="宋体"/>
              <w:sz w:val="28"/>
              <w:szCs w:val="28"/>
            </w:rPr>
            <w:fldChar w:fldCharType="separate"/>
          </w:r>
          <w:r>
            <w:rPr>
              <w:rFonts w:hint="eastAsia" w:ascii="宋体" w:hAnsi="宋体" w:eastAsia="宋体" w:cs="宋体"/>
              <w:sz w:val="28"/>
              <w:szCs w:val="28"/>
            </w:rPr>
            <w:t>64</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61511D5D">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_Toc4136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3"/>
              <w:sz w:val="28"/>
              <w:szCs w:val="28"/>
            </w:rPr>
            <w:t>一、总则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_Toc4136 \h </w:instrText>
          </w:r>
          <w:r>
            <w:rPr>
              <w:rFonts w:hint="eastAsia" w:ascii="宋体" w:hAnsi="宋体" w:eastAsia="宋体" w:cs="宋体"/>
              <w:sz w:val="28"/>
              <w:szCs w:val="28"/>
            </w:rPr>
            <w:fldChar w:fldCharType="separate"/>
          </w:r>
          <w:r>
            <w:rPr>
              <w:rFonts w:hint="eastAsia" w:ascii="宋体" w:hAnsi="宋体" w:eastAsia="宋体" w:cs="宋体"/>
              <w:sz w:val="28"/>
              <w:szCs w:val="28"/>
            </w:rPr>
            <w:t>64</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40A36F9C">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_Toc8092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1.适用范围</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_Toc8092 \h </w:instrText>
          </w:r>
          <w:r>
            <w:rPr>
              <w:rFonts w:hint="eastAsia" w:ascii="宋体" w:hAnsi="宋体" w:eastAsia="宋体" w:cs="宋体"/>
              <w:sz w:val="28"/>
              <w:szCs w:val="28"/>
            </w:rPr>
            <w:fldChar w:fldCharType="separate"/>
          </w:r>
          <w:r>
            <w:rPr>
              <w:rFonts w:hint="eastAsia" w:ascii="宋体" w:hAnsi="宋体" w:eastAsia="宋体" w:cs="宋体"/>
              <w:sz w:val="28"/>
              <w:szCs w:val="28"/>
            </w:rPr>
            <w:t>64</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095991BE">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_Toc5402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2.定义</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_Toc5402 \h </w:instrText>
          </w:r>
          <w:r>
            <w:rPr>
              <w:rFonts w:hint="eastAsia" w:ascii="宋体" w:hAnsi="宋体" w:eastAsia="宋体" w:cs="宋体"/>
              <w:sz w:val="28"/>
              <w:szCs w:val="28"/>
            </w:rPr>
            <w:fldChar w:fldCharType="separate"/>
          </w:r>
          <w:r>
            <w:rPr>
              <w:rFonts w:hint="eastAsia" w:ascii="宋体" w:hAnsi="宋体" w:eastAsia="宋体" w:cs="宋体"/>
              <w:sz w:val="28"/>
              <w:szCs w:val="28"/>
            </w:rPr>
            <w:t>64</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3D3F6BCD">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_Toc7875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3.投标人的资格要求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_Toc7875 \h </w:instrText>
          </w:r>
          <w:r>
            <w:rPr>
              <w:rFonts w:hint="eastAsia" w:ascii="宋体" w:hAnsi="宋体" w:eastAsia="宋体" w:cs="宋体"/>
              <w:sz w:val="28"/>
              <w:szCs w:val="28"/>
            </w:rPr>
            <w:fldChar w:fldCharType="separate"/>
          </w:r>
          <w:r>
            <w:rPr>
              <w:rFonts w:hint="eastAsia" w:ascii="宋体" w:hAnsi="宋体" w:eastAsia="宋体" w:cs="宋体"/>
              <w:sz w:val="28"/>
              <w:szCs w:val="28"/>
            </w:rPr>
            <w:t>65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05091C93">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_Toc590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4.投标委托</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_Toc590 \h </w:instrText>
          </w:r>
          <w:r>
            <w:rPr>
              <w:rFonts w:hint="eastAsia" w:ascii="宋体" w:hAnsi="宋体" w:eastAsia="宋体" w:cs="宋体"/>
              <w:sz w:val="28"/>
              <w:szCs w:val="28"/>
            </w:rPr>
            <w:fldChar w:fldCharType="separate"/>
          </w:r>
          <w:r>
            <w:rPr>
              <w:rFonts w:hint="eastAsia" w:ascii="宋体" w:hAnsi="宋体" w:eastAsia="宋体" w:cs="宋体"/>
              <w:sz w:val="28"/>
              <w:szCs w:val="28"/>
            </w:rPr>
            <w:t>65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1FFCB3D7">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_Toc22857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5.投标费用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_Toc22857 \h </w:instrText>
          </w:r>
          <w:r>
            <w:rPr>
              <w:rFonts w:hint="eastAsia" w:ascii="宋体" w:hAnsi="宋体" w:eastAsia="宋体" w:cs="宋体"/>
              <w:sz w:val="28"/>
              <w:szCs w:val="28"/>
            </w:rPr>
            <w:fldChar w:fldCharType="separate"/>
          </w:r>
          <w:r>
            <w:rPr>
              <w:rFonts w:hint="eastAsia" w:ascii="宋体" w:hAnsi="宋体" w:eastAsia="宋体" w:cs="宋体"/>
              <w:sz w:val="28"/>
              <w:szCs w:val="28"/>
            </w:rPr>
            <w:t>65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7666E288">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_Toc1527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6.联合体投标</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_Toc1527 \h </w:instrText>
          </w:r>
          <w:r>
            <w:rPr>
              <w:rFonts w:hint="eastAsia" w:ascii="宋体" w:hAnsi="宋体" w:eastAsia="宋体" w:cs="宋体"/>
              <w:sz w:val="28"/>
              <w:szCs w:val="28"/>
            </w:rPr>
            <w:fldChar w:fldCharType="separate"/>
          </w:r>
          <w:r>
            <w:rPr>
              <w:rFonts w:hint="eastAsia" w:ascii="宋体" w:hAnsi="宋体" w:eastAsia="宋体" w:cs="宋体"/>
              <w:sz w:val="28"/>
              <w:szCs w:val="28"/>
            </w:rPr>
            <w:t>65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56B9A4A4">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_Toc1983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7.转包与分包</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_Toc1983 \h </w:instrText>
          </w:r>
          <w:r>
            <w:rPr>
              <w:rFonts w:hint="eastAsia" w:ascii="宋体" w:hAnsi="宋体" w:eastAsia="宋体" w:cs="宋体"/>
              <w:sz w:val="28"/>
              <w:szCs w:val="28"/>
            </w:rPr>
            <w:fldChar w:fldCharType="separate"/>
          </w:r>
          <w:r>
            <w:rPr>
              <w:rFonts w:hint="eastAsia" w:ascii="宋体" w:hAnsi="宋体" w:eastAsia="宋体" w:cs="宋体"/>
              <w:sz w:val="28"/>
              <w:szCs w:val="28"/>
            </w:rPr>
            <w:t>65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52E15549">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_Toc21730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8.特别说明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_Toc21730 \h </w:instrText>
          </w:r>
          <w:r>
            <w:rPr>
              <w:rFonts w:hint="eastAsia" w:ascii="宋体" w:hAnsi="宋体" w:eastAsia="宋体" w:cs="宋体"/>
              <w:sz w:val="28"/>
              <w:szCs w:val="28"/>
            </w:rPr>
            <w:fldChar w:fldCharType="separate"/>
          </w:r>
          <w:r>
            <w:rPr>
              <w:rFonts w:hint="eastAsia" w:ascii="宋体" w:hAnsi="宋体" w:eastAsia="宋体" w:cs="宋体"/>
              <w:sz w:val="28"/>
              <w:szCs w:val="28"/>
            </w:rPr>
            <w:t>65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1E4CB28F">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_Toc30776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9.回避与串通投标</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_Toc30776 \h </w:instrText>
          </w:r>
          <w:r>
            <w:rPr>
              <w:rFonts w:hint="eastAsia" w:ascii="宋体" w:hAnsi="宋体" w:eastAsia="宋体" w:cs="宋体"/>
              <w:sz w:val="28"/>
              <w:szCs w:val="28"/>
            </w:rPr>
            <w:fldChar w:fldCharType="separate"/>
          </w:r>
          <w:r>
            <w:rPr>
              <w:rFonts w:hint="eastAsia" w:ascii="宋体" w:hAnsi="宋体" w:eastAsia="宋体" w:cs="宋体"/>
              <w:sz w:val="28"/>
              <w:szCs w:val="28"/>
            </w:rPr>
            <w:t>66</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40537589">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_Toc10086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5"/>
              <w:sz w:val="28"/>
              <w:szCs w:val="28"/>
            </w:rPr>
            <w:t>二、招标文件（采购文件）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_Toc10086 \h </w:instrText>
          </w:r>
          <w:r>
            <w:rPr>
              <w:rFonts w:hint="eastAsia" w:ascii="宋体" w:hAnsi="宋体" w:eastAsia="宋体" w:cs="宋体"/>
              <w:sz w:val="28"/>
              <w:szCs w:val="28"/>
            </w:rPr>
            <w:fldChar w:fldCharType="separate"/>
          </w:r>
          <w:r>
            <w:rPr>
              <w:rFonts w:hint="eastAsia" w:ascii="宋体" w:hAnsi="宋体" w:eastAsia="宋体" w:cs="宋体"/>
              <w:sz w:val="28"/>
              <w:szCs w:val="28"/>
            </w:rPr>
            <w:t>67</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23662DEC">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_Toc25081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10.招标文件的组成</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_Toc25081 \h </w:instrText>
          </w:r>
          <w:r>
            <w:rPr>
              <w:rFonts w:hint="eastAsia" w:ascii="宋体" w:hAnsi="宋体" w:eastAsia="宋体" w:cs="宋体"/>
              <w:sz w:val="28"/>
              <w:szCs w:val="28"/>
            </w:rPr>
            <w:fldChar w:fldCharType="separate"/>
          </w:r>
          <w:r>
            <w:rPr>
              <w:rFonts w:hint="eastAsia" w:ascii="宋体" w:hAnsi="宋体" w:eastAsia="宋体" w:cs="宋体"/>
              <w:sz w:val="28"/>
              <w:szCs w:val="28"/>
            </w:rPr>
            <w:t>67</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105C93F2">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_Toc24284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11.招标文件的澄清、修改</w:t>
          </w:r>
          <w:r>
            <w:rPr>
              <w:rFonts w:hint="eastAsia" w:ascii="宋体" w:hAnsi="宋体" w:eastAsia="宋体" w:cs="宋体"/>
              <w:spacing w:val="0"/>
              <w:sz w:val="28"/>
              <w:szCs w:val="28"/>
            </w:rPr>
            <w:t xml:space="preserve"> </w:t>
          </w:r>
          <w:r>
            <w:rPr>
              <w:rFonts w:hint="eastAsia" w:ascii="宋体" w:hAnsi="宋体" w:eastAsia="宋体" w:cs="宋体"/>
              <w:bCs/>
              <w:spacing w:val="0"/>
              <w:sz w:val="28"/>
              <w:szCs w:val="28"/>
            </w:rPr>
            <w:t>、现场考察和答疑会</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_Toc24284 \h </w:instrText>
          </w:r>
          <w:r>
            <w:rPr>
              <w:rFonts w:hint="eastAsia" w:ascii="宋体" w:hAnsi="宋体" w:eastAsia="宋体" w:cs="宋体"/>
              <w:sz w:val="28"/>
              <w:szCs w:val="28"/>
            </w:rPr>
            <w:fldChar w:fldCharType="separate"/>
          </w:r>
          <w:r>
            <w:rPr>
              <w:rFonts w:hint="eastAsia" w:ascii="宋体" w:hAnsi="宋体" w:eastAsia="宋体" w:cs="宋体"/>
              <w:sz w:val="28"/>
              <w:szCs w:val="28"/>
            </w:rPr>
            <w:t>67</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2A7A72D4">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_Toc5010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6"/>
              <w:sz w:val="28"/>
              <w:szCs w:val="28"/>
            </w:rPr>
            <w:t>三、投标文件的编制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_Toc5010 \h </w:instrText>
          </w:r>
          <w:r>
            <w:rPr>
              <w:rFonts w:hint="eastAsia" w:ascii="宋体" w:hAnsi="宋体" w:eastAsia="宋体" w:cs="宋体"/>
              <w:sz w:val="28"/>
              <w:szCs w:val="28"/>
            </w:rPr>
            <w:fldChar w:fldCharType="separate"/>
          </w:r>
          <w:r>
            <w:rPr>
              <w:rFonts w:hint="eastAsia" w:ascii="宋体" w:hAnsi="宋体" w:eastAsia="宋体" w:cs="宋体"/>
              <w:sz w:val="28"/>
              <w:szCs w:val="28"/>
            </w:rPr>
            <w:t>68</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2B2272BB">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_Toc8126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12.投标文件的编制原则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_Toc8126 \h </w:instrText>
          </w:r>
          <w:r>
            <w:rPr>
              <w:rFonts w:hint="eastAsia" w:ascii="宋体" w:hAnsi="宋体" w:eastAsia="宋体" w:cs="宋体"/>
              <w:sz w:val="28"/>
              <w:szCs w:val="28"/>
            </w:rPr>
            <w:fldChar w:fldCharType="separate"/>
          </w:r>
          <w:r>
            <w:rPr>
              <w:rFonts w:hint="eastAsia" w:ascii="宋体" w:hAnsi="宋体" w:eastAsia="宋体" w:cs="宋体"/>
              <w:sz w:val="28"/>
              <w:szCs w:val="28"/>
            </w:rPr>
            <w:t>68</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67F88D22">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_Toc14079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13.投标文件的组成</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_Toc14079 \h </w:instrText>
          </w:r>
          <w:r>
            <w:rPr>
              <w:rFonts w:hint="eastAsia" w:ascii="宋体" w:hAnsi="宋体" w:eastAsia="宋体" w:cs="宋体"/>
              <w:sz w:val="28"/>
              <w:szCs w:val="28"/>
            </w:rPr>
            <w:fldChar w:fldCharType="separate"/>
          </w:r>
          <w:r>
            <w:rPr>
              <w:rFonts w:hint="eastAsia" w:ascii="宋体" w:hAnsi="宋体" w:eastAsia="宋体" w:cs="宋体"/>
              <w:sz w:val="28"/>
              <w:szCs w:val="28"/>
            </w:rPr>
            <w:t>68</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14E820E2">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_Toc19937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14.投标文件的语言及计量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_Toc19937 \h </w:instrText>
          </w:r>
          <w:r>
            <w:rPr>
              <w:rFonts w:hint="eastAsia" w:ascii="宋体" w:hAnsi="宋体" w:eastAsia="宋体" w:cs="宋体"/>
              <w:sz w:val="28"/>
              <w:szCs w:val="28"/>
            </w:rPr>
            <w:fldChar w:fldCharType="separate"/>
          </w:r>
          <w:r>
            <w:rPr>
              <w:rFonts w:hint="eastAsia" w:ascii="宋体" w:hAnsi="宋体" w:eastAsia="宋体" w:cs="宋体"/>
              <w:sz w:val="28"/>
              <w:szCs w:val="28"/>
            </w:rPr>
            <w:t>68</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2F2C1F5F">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_Toc874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15.投标的风险</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_Toc874 \h </w:instrText>
          </w:r>
          <w:r>
            <w:rPr>
              <w:rFonts w:hint="eastAsia" w:ascii="宋体" w:hAnsi="宋体" w:eastAsia="宋体" w:cs="宋体"/>
              <w:sz w:val="28"/>
              <w:szCs w:val="28"/>
            </w:rPr>
            <w:fldChar w:fldCharType="separate"/>
          </w:r>
          <w:r>
            <w:rPr>
              <w:rFonts w:hint="eastAsia" w:ascii="宋体" w:hAnsi="宋体" w:eastAsia="宋体" w:cs="宋体"/>
              <w:sz w:val="28"/>
              <w:szCs w:val="28"/>
            </w:rPr>
            <w:t>68</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4DABBE51">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_Toc13083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16.投标报价</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_Toc13083 \h </w:instrText>
          </w:r>
          <w:r>
            <w:rPr>
              <w:rFonts w:hint="eastAsia" w:ascii="宋体" w:hAnsi="宋体" w:eastAsia="宋体" w:cs="宋体"/>
              <w:sz w:val="28"/>
              <w:szCs w:val="28"/>
            </w:rPr>
            <w:fldChar w:fldCharType="separate"/>
          </w:r>
          <w:r>
            <w:rPr>
              <w:rFonts w:hint="eastAsia" w:ascii="宋体" w:hAnsi="宋体" w:eastAsia="宋体" w:cs="宋体"/>
              <w:sz w:val="28"/>
              <w:szCs w:val="28"/>
            </w:rPr>
            <w:t>68</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3A036D96">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_Toc8295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17.投标有效期</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_Toc8295 \h </w:instrText>
          </w:r>
          <w:r>
            <w:rPr>
              <w:rFonts w:hint="eastAsia" w:ascii="宋体" w:hAnsi="宋体" w:eastAsia="宋体" w:cs="宋体"/>
              <w:sz w:val="28"/>
              <w:szCs w:val="28"/>
            </w:rPr>
            <w:fldChar w:fldCharType="separate"/>
          </w:r>
          <w:r>
            <w:rPr>
              <w:rFonts w:hint="eastAsia" w:ascii="宋体" w:hAnsi="宋体" w:eastAsia="宋体" w:cs="宋体"/>
              <w:sz w:val="28"/>
              <w:szCs w:val="28"/>
            </w:rPr>
            <w:t>69</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69B25A24">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_Toc664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18.投标保证金</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_Toc664 \h </w:instrText>
          </w:r>
          <w:r>
            <w:rPr>
              <w:rFonts w:hint="eastAsia" w:ascii="宋体" w:hAnsi="宋体" w:eastAsia="宋体" w:cs="宋体"/>
              <w:sz w:val="28"/>
              <w:szCs w:val="28"/>
            </w:rPr>
            <w:fldChar w:fldCharType="separate"/>
          </w:r>
          <w:r>
            <w:rPr>
              <w:rFonts w:hint="eastAsia" w:ascii="宋体" w:hAnsi="宋体" w:eastAsia="宋体" w:cs="宋体"/>
              <w:sz w:val="28"/>
              <w:szCs w:val="28"/>
            </w:rPr>
            <w:t>69</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5ECA08B0">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_Toc16437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19.投标文件的编制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_Toc16437 \h </w:instrText>
          </w:r>
          <w:r>
            <w:rPr>
              <w:rFonts w:hint="eastAsia" w:ascii="宋体" w:hAnsi="宋体" w:eastAsia="宋体" w:cs="宋体"/>
              <w:sz w:val="28"/>
              <w:szCs w:val="28"/>
            </w:rPr>
            <w:fldChar w:fldCharType="separate"/>
          </w:r>
          <w:r>
            <w:rPr>
              <w:rFonts w:hint="eastAsia" w:ascii="宋体" w:hAnsi="宋体" w:eastAsia="宋体" w:cs="宋体"/>
              <w:sz w:val="28"/>
              <w:szCs w:val="28"/>
            </w:rPr>
            <w:t>69</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27FF91D4">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_Toc29571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20.投标文件的加密、解密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_Toc29571 \h </w:instrText>
          </w:r>
          <w:r>
            <w:rPr>
              <w:rFonts w:hint="eastAsia" w:ascii="宋体" w:hAnsi="宋体" w:eastAsia="宋体" w:cs="宋体"/>
              <w:sz w:val="28"/>
              <w:szCs w:val="28"/>
            </w:rPr>
            <w:fldChar w:fldCharType="separate"/>
          </w:r>
          <w:r>
            <w:rPr>
              <w:rFonts w:hint="eastAsia" w:ascii="宋体" w:hAnsi="宋体" w:eastAsia="宋体" w:cs="宋体"/>
              <w:sz w:val="28"/>
              <w:szCs w:val="28"/>
            </w:rPr>
            <w:t>70</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27DA235E">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_Toc2843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21.投标文件的提交</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_Toc2843 \h </w:instrText>
          </w:r>
          <w:r>
            <w:rPr>
              <w:rFonts w:hint="eastAsia" w:ascii="宋体" w:hAnsi="宋体" w:eastAsia="宋体" w:cs="宋体"/>
              <w:sz w:val="28"/>
              <w:szCs w:val="28"/>
            </w:rPr>
            <w:fldChar w:fldCharType="separate"/>
          </w:r>
          <w:r>
            <w:rPr>
              <w:rFonts w:hint="eastAsia" w:ascii="宋体" w:hAnsi="宋体" w:eastAsia="宋体" w:cs="宋体"/>
              <w:sz w:val="28"/>
              <w:szCs w:val="28"/>
            </w:rPr>
            <w:t>70</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765322C9">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_Toc3582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22.投标文件的补充、修改、撤回与退回</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_Toc3582 \h </w:instrText>
          </w:r>
          <w:r>
            <w:rPr>
              <w:rFonts w:hint="eastAsia" w:ascii="宋体" w:hAnsi="宋体" w:eastAsia="宋体" w:cs="宋体"/>
              <w:sz w:val="28"/>
              <w:szCs w:val="28"/>
            </w:rPr>
            <w:fldChar w:fldCharType="separate"/>
          </w:r>
          <w:r>
            <w:rPr>
              <w:rFonts w:hint="eastAsia" w:ascii="宋体" w:hAnsi="宋体" w:eastAsia="宋体" w:cs="宋体"/>
              <w:sz w:val="28"/>
              <w:szCs w:val="28"/>
            </w:rPr>
            <w:t>70</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1358F50A">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_Toc19909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3"/>
              <w:sz w:val="28"/>
              <w:szCs w:val="28"/>
            </w:rPr>
            <w:t>四、开标</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_Toc19909 \h </w:instrText>
          </w:r>
          <w:r>
            <w:rPr>
              <w:rFonts w:hint="eastAsia" w:ascii="宋体" w:hAnsi="宋体" w:eastAsia="宋体" w:cs="宋体"/>
              <w:sz w:val="28"/>
              <w:szCs w:val="28"/>
            </w:rPr>
            <w:fldChar w:fldCharType="separate"/>
          </w:r>
          <w:r>
            <w:rPr>
              <w:rFonts w:hint="eastAsia" w:ascii="宋体" w:hAnsi="宋体" w:eastAsia="宋体" w:cs="宋体"/>
              <w:sz w:val="28"/>
              <w:szCs w:val="28"/>
            </w:rPr>
            <w:t>70</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4847E252">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_Toc1232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23.开标时间和地点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_Toc1232 \h </w:instrText>
          </w:r>
          <w:r>
            <w:rPr>
              <w:rFonts w:hint="eastAsia" w:ascii="宋体" w:hAnsi="宋体" w:eastAsia="宋体" w:cs="宋体"/>
              <w:sz w:val="28"/>
              <w:szCs w:val="28"/>
            </w:rPr>
            <w:fldChar w:fldCharType="separate"/>
          </w:r>
          <w:r>
            <w:rPr>
              <w:rFonts w:hint="eastAsia" w:ascii="宋体" w:hAnsi="宋体" w:eastAsia="宋体" w:cs="宋体"/>
              <w:sz w:val="28"/>
              <w:szCs w:val="28"/>
            </w:rPr>
            <w:t>71</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1F5790D9">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_Toc19839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24.开标程序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_Toc19839 \h </w:instrText>
          </w:r>
          <w:r>
            <w:rPr>
              <w:rFonts w:hint="eastAsia" w:ascii="宋体" w:hAnsi="宋体" w:eastAsia="宋体" w:cs="宋体"/>
              <w:sz w:val="28"/>
              <w:szCs w:val="28"/>
            </w:rPr>
            <w:fldChar w:fldCharType="separate"/>
          </w:r>
          <w:r>
            <w:rPr>
              <w:rFonts w:hint="eastAsia" w:ascii="宋体" w:hAnsi="宋体" w:eastAsia="宋体" w:cs="宋体"/>
              <w:sz w:val="28"/>
              <w:szCs w:val="28"/>
            </w:rPr>
            <w:t>71</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19706FEC">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_Toc30508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4"/>
              <w:sz w:val="28"/>
              <w:szCs w:val="28"/>
            </w:rPr>
            <w:t>五、资格审查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_Toc30508 \h </w:instrText>
          </w:r>
          <w:r>
            <w:rPr>
              <w:rFonts w:hint="eastAsia" w:ascii="宋体" w:hAnsi="宋体" w:eastAsia="宋体" w:cs="宋体"/>
              <w:sz w:val="28"/>
              <w:szCs w:val="28"/>
            </w:rPr>
            <w:fldChar w:fldCharType="separate"/>
          </w:r>
          <w:r>
            <w:rPr>
              <w:rFonts w:hint="eastAsia" w:ascii="宋体" w:hAnsi="宋体" w:eastAsia="宋体" w:cs="宋体"/>
              <w:sz w:val="28"/>
              <w:szCs w:val="28"/>
            </w:rPr>
            <w:t>72</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395E90BA">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_Toc18276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25.资格审查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_Toc18276 \h </w:instrText>
          </w:r>
          <w:r>
            <w:rPr>
              <w:rFonts w:hint="eastAsia" w:ascii="宋体" w:hAnsi="宋体" w:eastAsia="宋体" w:cs="宋体"/>
              <w:sz w:val="28"/>
              <w:szCs w:val="28"/>
            </w:rPr>
            <w:fldChar w:fldCharType="separate"/>
          </w:r>
          <w:r>
            <w:rPr>
              <w:rFonts w:hint="eastAsia" w:ascii="宋体" w:hAnsi="宋体" w:eastAsia="宋体" w:cs="宋体"/>
              <w:sz w:val="28"/>
              <w:szCs w:val="28"/>
            </w:rPr>
            <w:t>72</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4254E19F">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_Toc14808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六、评标</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_Toc14808 \h </w:instrText>
          </w:r>
          <w:r>
            <w:rPr>
              <w:rFonts w:hint="eastAsia" w:ascii="宋体" w:hAnsi="宋体" w:eastAsia="宋体" w:cs="宋体"/>
              <w:sz w:val="28"/>
              <w:szCs w:val="28"/>
            </w:rPr>
            <w:fldChar w:fldCharType="separate"/>
          </w:r>
          <w:r>
            <w:rPr>
              <w:rFonts w:hint="eastAsia" w:ascii="宋体" w:hAnsi="宋体" w:eastAsia="宋体" w:cs="宋体"/>
              <w:sz w:val="28"/>
              <w:szCs w:val="28"/>
            </w:rPr>
            <w:t>72</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10A957CB">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_Toc23660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2</w:t>
          </w:r>
          <w:r>
            <w:rPr>
              <w:rFonts w:hint="eastAsia" w:ascii="宋体" w:hAnsi="宋体" w:eastAsia="宋体" w:cs="宋体"/>
              <w:snapToGrid w:val="0"/>
              <w:color w:val="000000"/>
              <w:kern w:val="0"/>
              <w:sz w:val="28"/>
              <w:szCs w:val="28"/>
              <w:lang w:val="en-US" w:eastAsia="zh-CN" w:bidi="ar-SA"/>
            </w:rPr>
            <w:t>6.</w:t>
          </w:r>
          <w:r>
            <w:rPr>
              <w:rFonts w:hint="eastAsia" w:ascii="宋体" w:hAnsi="宋体" w:eastAsia="宋体" w:cs="宋体"/>
              <w:snapToGrid w:val="0"/>
              <w:color w:val="000000"/>
              <w:kern w:val="0"/>
              <w:sz w:val="28"/>
              <w:szCs w:val="28"/>
              <w:lang w:val="en-US" w:eastAsia="en-US" w:bidi="ar-SA"/>
            </w:rPr>
            <w:t>组建评标委员会</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_Toc23660 \h </w:instrText>
          </w:r>
          <w:r>
            <w:rPr>
              <w:rFonts w:hint="eastAsia" w:ascii="宋体" w:hAnsi="宋体" w:eastAsia="宋体" w:cs="宋体"/>
              <w:sz w:val="28"/>
              <w:szCs w:val="28"/>
            </w:rPr>
            <w:fldChar w:fldCharType="separate"/>
          </w:r>
          <w:r>
            <w:rPr>
              <w:rFonts w:hint="eastAsia" w:ascii="宋体" w:hAnsi="宋体" w:eastAsia="宋体" w:cs="宋体"/>
              <w:sz w:val="28"/>
              <w:szCs w:val="28"/>
            </w:rPr>
            <w:t>72</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72F62F82">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_Toc21255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27.评标的依据</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_Toc21255 \h </w:instrText>
          </w:r>
          <w:r>
            <w:rPr>
              <w:rFonts w:hint="eastAsia" w:ascii="宋体" w:hAnsi="宋体" w:eastAsia="宋体" w:cs="宋体"/>
              <w:sz w:val="28"/>
              <w:szCs w:val="28"/>
            </w:rPr>
            <w:fldChar w:fldCharType="separate"/>
          </w:r>
          <w:r>
            <w:rPr>
              <w:rFonts w:hint="eastAsia" w:ascii="宋体" w:hAnsi="宋体" w:eastAsia="宋体" w:cs="宋体"/>
              <w:sz w:val="28"/>
              <w:szCs w:val="28"/>
            </w:rPr>
            <w:t>73</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2280D1A5">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_Toc8673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28.评标原则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_Toc8673 \h </w:instrText>
          </w:r>
          <w:r>
            <w:rPr>
              <w:rFonts w:hint="eastAsia" w:ascii="宋体" w:hAnsi="宋体" w:eastAsia="宋体" w:cs="宋体"/>
              <w:sz w:val="28"/>
              <w:szCs w:val="28"/>
            </w:rPr>
            <w:fldChar w:fldCharType="separate"/>
          </w:r>
          <w:r>
            <w:rPr>
              <w:rFonts w:hint="eastAsia" w:ascii="宋体" w:hAnsi="宋体" w:eastAsia="宋体" w:cs="宋体"/>
              <w:sz w:val="28"/>
              <w:szCs w:val="28"/>
            </w:rPr>
            <w:t>73</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775BFB5B">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_Toc29767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29.评标方法及中标候选人推荐</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_Toc29767 \h </w:instrText>
          </w:r>
          <w:r>
            <w:rPr>
              <w:rFonts w:hint="eastAsia" w:ascii="宋体" w:hAnsi="宋体" w:eastAsia="宋体" w:cs="宋体"/>
              <w:sz w:val="28"/>
              <w:szCs w:val="28"/>
            </w:rPr>
            <w:fldChar w:fldCharType="separate"/>
          </w:r>
          <w:r>
            <w:rPr>
              <w:rFonts w:hint="eastAsia" w:ascii="宋体" w:hAnsi="宋体" w:eastAsia="宋体" w:cs="宋体"/>
              <w:sz w:val="28"/>
              <w:szCs w:val="28"/>
            </w:rPr>
            <w:t>73</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0014A270">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_Toc31589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6"/>
              <w:sz w:val="28"/>
              <w:szCs w:val="28"/>
            </w:rPr>
            <w:t>七、中标和合同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_Toc31589 \h </w:instrText>
          </w:r>
          <w:r>
            <w:rPr>
              <w:rFonts w:hint="eastAsia" w:ascii="宋体" w:hAnsi="宋体" w:eastAsia="宋体" w:cs="宋体"/>
              <w:sz w:val="28"/>
              <w:szCs w:val="28"/>
            </w:rPr>
            <w:fldChar w:fldCharType="separate"/>
          </w:r>
          <w:r>
            <w:rPr>
              <w:rFonts w:hint="eastAsia" w:ascii="宋体" w:hAnsi="宋体" w:eastAsia="宋体" w:cs="宋体"/>
              <w:sz w:val="28"/>
              <w:szCs w:val="28"/>
            </w:rPr>
            <w:t>74</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33276BA9">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_Toc31112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30.确定中标人</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_Toc31112 \h </w:instrText>
          </w:r>
          <w:r>
            <w:rPr>
              <w:rFonts w:hint="eastAsia" w:ascii="宋体" w:hAnsi="宋体" w:eastAsia="宋体" w:cs="宋体"/>
              <w:sz w:val="28"/>
              <w:szCs w:val="28"/>
            </w:rPr>
            <w:fldChar w:fldCharType="separate"/>
          </w:r>
          <w:r>
            <w:rPr>
              <w:rFonts w:hint="eastAsia" w:ascii="宋体" w:hAnsi="宋体" w:eastAsia="宋体" w:cs="宋体"/>
              <w:sz w:val="28"/>
              <w:szCs w:val="28"/>
            </w:rPr>
            <w:t>74</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2D0CAB73">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_Toc22870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31.结果公告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_Toc22870 \h </w:instrText>
          </w:r>
          <w:r>
            <w:rPr>
              <w:rFonts w:hint="eastAsia" w:ascii="宋体" w:hAnsi="宋体" w:eastAsia="宋体" w:cs="宋体"/>
              <w:sz w:val="28"/>
              <w:szCs w:val="28"/>
            </w:rPr>
            <w:fldChar w:fldCharType="separate"/>
          </w:r>
          <w:r>
            <w:rPr>
              <w:rFonts w:hint="eastAsia" w:ascii="宋体" w:hAnsi="宋体" w:eastAsia="宋体" w:cs="宋体"/>
              <w:sz w:val="28"/>
              <w:szCs w:val="28"/>
            </w:rPr>
            <w:t>74</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34FA1EDF">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_Toc11574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32.发出中标通知书</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_Toc11574 \h </w:instrText>
          </w:r>
          <w:r>
            <w:rPr>
              <w:rFonts w:hint="eastAsia" w:ascii="宋体" w:hAnsi="宋体" w:eastAsia="宋体" w:cs="宋体"/>
              <w:sz w:val="28"/>
              <w:szCs w:val="28"/>
            </w:rPr>
            <w:fldChar w:fldCharType="separate"/>
          </w:r>
          <w:r>
            <w:rPr>
              <w:rFonts w:hint="eastAsia" w:ascii="宋体" w:hAnsi="宋体" w:eastAsia="宋体" w:cs="宋体"/>
              <w:sz w:val="28"/>
              <w:szCs w:val="28"/>
            </w:rPr>
            <w:t>75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273BA72C">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_Toc4589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33.无义务解释未中标原因</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_Toc4589 \h </w:instrText>
          </w:r>
          <w:r>
            <w:rPr>
              <w:rFonts w:hint="eastAsia" w:ascii="宋体" w:hAnsi="宋体" w:eastAsia="宋体" w:cs="宋体"/>
              <w:sz w:val="28"/>
              <w:szCs w:val="28"/>
            </w:rPr>
            <w:fldChar w:fldCharType="separate"/>
          </w:r>
          <w:r>
            <w:rPr>
              <w:rFonts w:hint="eastAsia" w:ascii="宋体" w:hAnsi="宋体" w:eastAsia="宋体" w:cs="宋体"/>
              <w:sz w:val="28"/>
              <w:szCs w:val="28"/>
            </w:rPr>
            <w:t>75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6DC53A49">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_Toc21559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34.合同授予标准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_Toc21559 \h </w:instrText>
          </w:r>
          <w:r>
            <w:rPr>
              <w:rFonts w:hint="eastAsia" w:ascii="宋体" w:hAnsi="宋体" w:eastAsia="宋体" w:cs="宋体"/>
              <w:sz w:val="28"/>
              <w:szCs w:val="28"/>
            </w:rPr>
            <w:fldChar w:fldCharType="separate"/>
          </w:r>
          <w:r>
            <w:rPr>
              <w:rFonts w:hint="eastAsia" w:ascii="宋体" w:hAnsi="宋体" w:eastAsia="宋体" w:cs="宋体"/>
              <w:sz w:val="28"/>
              <w:szCs w:val="28"/>
            </w:rPr>
            <w:t>75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118AD725">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_Toc18364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35.履约保证金</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_Toc18364 \h </w:instrText>
          </w:r>
          <w:r>
            <w:rPr>
              <w:rFonts w:hint="eastAsia" w:ascii="宋体" w:hAnsi="宋体" w:eastAsia="宋体" w:cs="宋体"/>
              <w:sz w:val="28"/>
              <w:szCs w:val="28"/>
            </w:rPr>
            <w:fldChar w:fldCharType="separate"/>
          </w:r>
          <w:r>
            <w:rPr>
              <w:rFonts w:hint="eastAsia" w:ascii="宋体" w:hAnsi="宋体" w:eastAsia="宋体" w:cs="宋体"/>
              <w:sz w:val="28"/>
              <w:szCs w:val="28"/>
            </w:rPr>
            <w:t>75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78C52CE2">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_Toc23285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36.签订合同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_Toc23285 \h </w:instrText>
          </w:r>
          <w:r>
            <w:rPr>
              <w:rFonts w:hint="eastAsia" w:ascii="宋体" w:hAnsi="宋体" w:eastAsia="宋体" w:cs="宋体"/>
              <w:sz w:val="28"/>
              <w:szCs w:val="28"/>
            </w:rPr>
            <w:fldChar w:fldCharType="separate"/>
          </w:r>
          <w:r>
            <w:rPr>
              <w:rFonts w:hint="eastAsia" w:ascii="宋体" w:hAnsi="宋体" w:eastAsia="宋体" w:cs="宋体"/>
              <w:sz w:val="28"/>
              <w:szCs w:val="28"/>
            </w:rPr>
            <w:t>75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4DC7E042">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_Toc16670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37.政府采购合同公告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_Toc16670 \h </w:instrText>
          </w:r>
          <w:r>
            <w:rPr>
              <w:rFonts w:hint="eastAsia" w:ascii="宋体" w:hAnsi="宋体" w:eastAsia="宋体" w:cs="宋体"/>
              <w:sz w:val="28"/>
              <w:szCs w:val="28"/>
            </w:rPr>
            <w:fldChar w:fldCharType="separate"/>
          </w:r>
          <w:r>
            <w:rPr>
              <w:rFonts w:hint="eastAsia" w:ascii="宋体" w:hAnsi="宋体" w:eastAsia="宋体" w:cs="宋体"/>
              <w:sz w:val="28"/>
              <w:szCs w:val="28"/>
            </w:rPr>
            <w:t>75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18AFF3E7">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_Toc13201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38.询问、质疑和投诉</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_Toc13201 \h </w:instrText>
          </w:r>
          <w:r>
            <w:rPr>
              <w:rFonts w:hint="eastAsia" w:ascii="宋体" w:hAnsi="宋体" w:eastAsia="宋体" w:cs="宋体"/>
              <w:sz w:val="28"/>
              <w:szCs w:val="28"/>
            </w:rPr>
            <w:fldChar w:fldCharType="separate"/>
          </w:r>
          <w:r>
            <w:rPr>
              <w:rFonts w:hint="eastAsia" w:ascii="宋体" w:hAnsi="宋体" w:eastAsia="宋体" w:cs="宋体"/>
              <w:sz w:val="28"/>
              <w:szCs w:val="28"/>
            </w:rPr>
            <w:t>76</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2AF91FBA">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_Toc8225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4"/>
              <w:sz w:val="28"/>
              <w:szCs w:val="28"/>
            </w:rPr>
            <w:t>八、其他事项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_Toc8225 \h </w:instrText>
          </w:r>
          <w:r>
            <w:rPr>
              <w:rFonts w:hint="eastAsia" w:ascii="宋体" w:hAnsi="宋体" w:eastAsia="宋体" w:cs="宋体"/>
              <w:sz w:val="28"/>
              <w:szCs w:val="28"/>
            </w:rPr>
            <w:fldChar w:fldCharType="separate"/>
          </w:r>
          <w:r>
            <w:rPr>
              <w:rFonts w:hint="eastAsia" w:ascii="宋体" w:hAnsi="宋体" w:eastAsia="宋体" w:cs="宋体"/>
              <w:sz w:val="28"/>
              <w:szCs w:val="28"/>
            </w:rPr>
            <w:t>77</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281AC3A1">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_Toc13989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39.代理服务费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_Toc13989 \h </w:instrText>
          </w:r>
          <w:r>
            <w:rPr>
              <w:rFonts w:hint="eastAsia" w:ascii="宋体" w:hAnsi="宋体" w:eastAsia="宋体" w:cs="宋体"/>
              <w:sz w:val="28"/>
              <w:szCs w:val="28"/>
            </w:rPr>
            <w:fldChar w:fldCharType="separate"/>
          </w:r>
          <w:r>
            <w:rPr>
              <w:rFonts w:hint="eastAsia" w:ascii="宋体" w:hAnsi="宋体" w:eastAsia="宋体" w:cs="宋体"/>
              <w:sz w:val="28"/>
              <w:szCs w:val="28"/>
            </w:rPr>
            <w:t>77</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53BFCFC5">
          <w:pPr>
            <w:pStyle w:val="14"/>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_Toc9900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0"/>
              <w:sz w:val="28"/>
              <w:szCs w:val="28"/>
            </w:rPr>
            <w:t>40.需要补充的其他内容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_Toc9900 \h </w:instrText>
          </w:r>
          <w:r>
            <w:rPr>
              <w:rFonts w:hint="eastAsia" w:ascii="宋体" w:hAnsi="宋体" w:eastAsia="宋体" w:cs="宋体"/>
              <w:sz w:val="28"/>
              <w:szCs w:val="28"/>
            </w:rPr>
            <w:fldChar w:fldCharType="separate"/>
          </w:r>
          <w:r>
            <w:rPr>
              <w:rFonts w:hint="eastAsia" w:ascii="宋体" w:hAnsi="宋体" w:eastAsia="宋体" w:cs="宋体"/>
              <w:sz w:val="28"/>
              <w:szCs w:val="28"/>
            </w:rPr>
            <w:t>77</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27814845">
          <w:pPr>
            <w:pStyle w:val="20"/>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_Toc9039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pacing w:val="5"/>
              <w:sz w:val="28"/>
              <w:szCs w:val="28"/>
            </w:rPr>
            <w:t>第四章</w:t>
          </w:r>
          <w:r>
            <w:rPr>
              <w:rFonts w:hint="eastAsia" w:ascii="宋体" w:hAnsi="宋体" w:eastAsia="宋体" w:cs="宋体"/>
              <w:spacing w:val="5"/>
              <w:sz w:val="28"/>
              <w:szCs w:val="28"/>
            </w:rPr>
            <w:t xml:space="preserve">  </w:t>
          </w:r>
          <w:r>
            <w:rPr>
              <w:rFonts w:hint="eastAsia" w:ascii="宋体" w:hAnsi="宋体" w:eastAsia="宋体" w:cs="宋体"/>
              <w:bCs/>
              <w:spacing w:val="5"/>
              <w:sz w:val="28"/>
              <w:szCs w:val="28"/>
            </w:rPr>
            <w:t>评标方法及评标标准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_Toc9039 \h </w:instrText>
          </w:r>
          <w:r>
            <w:rPr>
              <w:rFonts w:hint="eastAsia" w:ascii="宋体" w:hAnsi="宋体" w:eastAsia="宋体" w:cs="宋体"/>
              <w:sz w:val="28"/>
              <w:szCs w:val="28"/>
            </w:rPr>
            <w:fldChar w:fldCharType="separate"/>
          </w:r>
          <w:r>
            <w:rPr>
              <w:rFonts w:hint="eastAsia" w:ascii="宋体" w:hAnsi="宋体" w:eastAsia="宋体" w:cs="宋体"/>
              <w:sz w:val="28"/>
              <w:szCs w:val="28"/>
            </w:rPr>
            <w:t>82</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17D73C87">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_Toc20722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lang w:eastAsia="zh-CN"/>
            </w:rPr>
            <w:t>一、评标方法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_Toc20722 \h </w:instrText>
          </w:r>
          <w:r>
            <w:rPr>
              <w:rFonts w:hint="eastAsia" w:ascii="宋体" w:hAnsi="宋体" w:eastAsia="宋体" w:cs="宋体"/>
              <w:sz w:val="28"/>
              <w:szCs w:val="28"/>
            </w:rPr>
            <w:fldChar w:fldCharType="separate"/>
          </w:r>
          <w:r>
            <w:rPr>
              <w:rFonts w:hint="eastAsia" w:ascii="宋体" w:hAnsi="宋体" w:eastAsia="宋体" w:cs="宋体"/>
              <w:sz w:val="28"/>
              <w:szCs w:val="28"/>
            </w:rPr>
            <w:t>82</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0260FBD0">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_Toc86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rPr>
            <w:t>二、评标程序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_Toc86 \h </w:instrText>
          </w:r>
          <w:r>
            <w:rPr>
              <w:rFonts w:hint="eastAsia" w:ascii="宋体" w:hAnsi="宋体" w:eastAsia="宋体" w:cs="宋体"/>
              <w:sz w:val="28"/>
              <w:szCs w:val="28"/>
            </w:rPr>
            <w:fldChar w:fldCharType="separate"/>
          </w:r>
          <w:r>
            <w:rPr>
              <w:rFonts w:hint="eastAsia" w:ascii="宋体" w:hAnsi="宋体" w:eastAsia="宋体" w:cs="宋体"/>
              <w:sz w:val="28"/>
              <w:szCs w:val="28"/>
            </w:rPr>
            <w:t>82</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77AE2EC5">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_Toc4030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sz w:val="28"/>
              <w:szCs w:val="28"/>
            </w:rPr>
            <w:t>三、评标标准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_Toc4030 \h </w:instrText>
          </w:r>
          <w:r>
            <w:rPr>
              <w:rFonts w:hint="eastAsia" w:ascii="宋体" w:hAnsi="宋体" w:eastAsia="宋体" w:cs="宋体"/>
              <w:sz w:val="28"/>
              <w:szCs w:val="28"/>
            </w:rPr>
            <w:fldChar w:fldCharType="separate"/>
          </w:r>
          <w:r>
            <w:rPr>
              <w:rFonts w:hint="eastAsia" w:ascii="宋体" w:hAnsi="宋体" w:eastAsia="宋体" w:cs="宋体"/>
              <w:sz w:val="28"/>
              <w:szCs w:val="28"/>
            </w:rPr>
            <w:t>87</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3F053B44">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_Toc27719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lang w:eastAsia="zh-CN"/>
            </w:rPr>
            <w:t>四、中标候选人推荐原则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_Toc27719 \h </w:instrText>
          </w:r>
          <w:r>
            <w:rPr>
              <w:rFonts w:hint="eastAsia" w:ascii="宋体" w:hAnsi="宋体" w:eastAsia="宋体" w:cs="宋体"/>
              <w:sz w:val="28"/>
              <w:szCs w:val="28"/>
            </w:rPr>
            <w:fldChar w:fldCharType="separate"/>
          </w:r>
          <w:r>
            <w:rPr>
              <w:rFonts w:hint="eastAsia" w:ascii="宋体" w:hAnsi="宋体" w:eastAsia="宋体" w:cs="宋体"/>
              <w:sz w:val="28"/>
              <w:szCs w:val="28"/>
            </w:rPr>
            <w:t>93</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0BAC1416">
          <w:pPr>
            <w:pStyle w:val="20"/>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_Toc9806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lang w:val="en-US" w:eastAsia="en-US"/>
            </w:rPr>
            <w:t>第五章</w:t>
          </w:r>
          <w:r>
            <w:rPr>
              <w:rFonts w:hint="eastAsia" w:ascii="宋体" w:hAnsi="宋体" w:eastAsia="宋体" w:cs="宋体"/>
              <w:sz w:val="28"/>
              <w:szCs w:val="28"/>
            </w:rPr>
            <w:t xml:space="preserve"> </w:t>
          </w:r>
          <w:r>
            <w:rPr>
              <w:rFonts w:hint="eastAsia" w:ascii="宋体" w:hAnsi="宋体" w:eastAsia="宋体" w:cs="宋体"/>
              <w:sz w:val="28"/>
              <w:szCs w:val="28"/>
              <w:lang w:eastAsia="zh-CN"/>
            </w:rPr>
            <w:t>合同格式和合同条款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_Toc9806 \h </w:instrText>
          </w:r>
          <w:r>
            <w:rPr>
              <w:rFonts w:hint="eastAsia" w:ascii="宋体" w:hAnsi="宋体" w:eastAsia="宋体" w:cs="宋体"/>
              <w:sz w:val="28"/>
              <w:szCs w:val="28"/>
            </w:rPr>
            <w:fldChar w:fldCharType="separate"/>
          </w:r>
          <w:r>
            <w:rPr>
              <w:rFonts w:hint="eastAsia" w:ascii="宋体" w:hAnsi="宋体" w:eastAsia="宋体" w:cs="宋体"/>
              <w:sz w:val="28"/>
              <w:szCs w:val="28"/>
            </w:rPr>
            <w:t>94</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13F5E991">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_Toc6549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bCs/>
              <w:kern w:val="0"/>
              <w:sz w:val="28"/>
              <w:szCs w:val="28"/>
              <w:highlight w:val="none"/>
            </w:rPr>
            <w:t>第一节</w:t>
          </w:r>
          <w:r>
            <w:rPr>
              <w:rFonts w:hint="eastAsia" w:ascii="宋体" w:hAnsi="宋体" w:eastAsia="宋体" w:cs="宋体"/>
              <w:bCs/>
              <w:kern w:val="0"/>
              <w:sz w:val="28"/>
              <w:szCs w:val="28"/>
            </w:rPr>
            <w:t xml:space="preserve"> </w:t>
          </w:r>
          <w:r>
            <w:rPr>
              <w:rFonts w:hint="eastAsia" w:ascii="宋体" w:hAnsi="宋体" w:eastAsia="宋体" w:cs="宋体"/>
              <w:spacing w:val="7"/>
              <w:sz w:val="28"/>
              <w:szCs w:val="28"/>
            </w:rPr>
            <w:t>合同协议书</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_Toc6549 \h </w:instrText>
          </w:r>
          <w:r>
            <w:rPr>
              <w:rFonts w:hint="eastAsia" w:ascii="宋体" w:hAnsi="宋体" w:eastAsia="宋体" w:cs="宋体"/>
              <w:sz w:val="28"/>
              <w:szCs w:val="28"/>
            </w:rPr>
            <w:fldChar w:fldCharType="separate"/>
          </w:r>
          <w:r>
            <w:rPr>
              <w:rFonts w:hint="eastAsia" w:ascii="宋体" w:hAnsi="宋体" w:eastAsia="宋体" w:cs="宋体"/>
              <w:sz w:val="28"/>
              <w:szCs w:val="28"/>
            </w:rPr>
            <w:t>94</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044AA345">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_Toc2652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kern w:val="44"/>
              <w:sz w:val="28"/>
              <w:szCs w:val="28"/>
            </w:rPr>
            <w:t>第二节合同通用条款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_Toc2652 \h </w:instrText>
          </w:r>
          <w:r>
            <w:rPr>
              <w:rFonts w:hint="eastAsia" w:ascii="宋体" w:hAnsi="宋体" w:eastAsia="宋体" w:cs="宋体"/>
              <w:sz w:val="28"/>
              <w:szCs w:val="28"/>
            </w:rPr>
            <w:fldChar w:fldCharType="separate"/>
          </w:r>
          <w:r>
            <w:rPr>
              <w:rFonts w:hint="eastAsia" w:ascii="宋体" w:hAnsi="宋体" w:eastAsia="宋体" w:cs="宋体"/>
              <w:sz w:val="28"/>
              <w:szCs w:val="28"/>
            </w:rPr>
            <w:t>99</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75E68BC6">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_Toc3107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lang w:eastAsia="zh-CN"/>
            </w:rPr>
            <w:t>第三节</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项目专用合同条款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_Toc3107 \h </w:instrText>
          </w:r>
          <w:r>
            <w:rPr>
              <w:rFonts w:hint="eastAsia" w:ascii="宋体" w:hAnsi="宋体" w:eastAsia="宋体" w:cs="宋体"/>
              <w:sz w:val="28"/>
              <w:szCs w:val="28"/>
            </w:rPr>
            <w:fldChar w:fldCharType="separate"/>
          </w:r>
          <w:r>
            <w:rPr>
              <w:rFonts w:hint="eastAsia" w:ascii="宋体" w:hAnsi="宋体" w:eastAsia="宋体" w:cs="宋体"/>
              <w:sz w:val="28"/>
              <w:szCs w:val="28"/>
            </w:rPr>
            <w:t>100</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7153F534">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_Toc30569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kern w:val="44"/>
              <w:sz w:val="28"/>
              <w:szCs w:val="28"/>
            </w:rPr>
            <w:t>第</w:t>
          </w:r>
          <w:r>
            <w:rPr>
              <w:rFonts w:hint="eastAsia" w:ascii="宋体" w:hAnsi="宋体" w:eastAsia="宋体" w:cs="宋体"/>
              <w:kern w:val="44"/>
              <w:sz w:val="28"/>
              <w:szCs w:val="28"/>
              <w:lang w:val="en-US" w:eastAsia="zh-CN"/>
            </w:rPr>
            <w:t>四</w:t>
          </w:r>
          <w:r>
            <w:rPr>
              <w:rFonts w:hint="eastAsia" w:ascii="宋体" w:hAnsi="宋体" w:eastAsia="宋体" w:cs="宋体"/>
              <w:kern w:val="44"/>
              <w:sz w:val="28"/>
              <w:szCs w:val="28"/>
            </w:rPr>
            <w:t xml:space="preserve">节 </w:t>
          </w:r>
          <w:r>
            <w:rPr>
              <w:rFonts w:hint="eastAsia" w:ascii="宋体" w:hAnsi="宋体" w:eastAsia="宋体" w:cs="宋体"/>
              <w:kern w:val="44"/>
              <w:sz w:val="28"/>
              <w:szCs w:val="28"/>
              <w:lang w:val="en-US" w:eastAsia="zh-CN"/>
            </w:rPr>
            <w:t>养护</w:t>
          </w:r>
          <w:r>
            <w:rPr>
              <w:rFonts w:hint="eastAsia" w:ascii="宋体" w:hAnsi="宋体" w:eastAsia="宋体" w:cs="宋体"/>
              <w:spacing w:val="-3"/>
              <w:sz w:val="28"/>
              <w:szCs w:val="28"/>
            </w:rPr>
            <w:t>绩效管理规则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_Toc30569 \h </w:instrText>
          </w:r>
          <w:r>
            <w:rPr>
              <w:rFonts w:hint="eastAsia" w:ascii="宋体" w:hAnsi="宋体" w:eastAsia="宋体" w:cs="宋体"/>
              <w:sz w:val="28"/>
              <w:szCs w:val="28"/>
            </w:rPr>
            <w:fldChar w:fldCharType="separate"/>
          </w:r>
          <w:r>
            <w:rPr>
              <w:rFonts w:hint="eastAsia" w:ascii="宋体" w:hAnsi="宋体" w:eastAsia="宋体" w:cs="宋体"/>
              <w:sz w:val="28"/>
              <w:szCs w:val="28"/>
            </w:rPr>
            <w:t>166</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63B041B8">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_Toc17326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pacing w:val="-1"/>
              <w:sz w:val="28"/>
              <w:szCs w:val="28"/>
              <w:lang w:val="en-US" w:eastAsia="zh-CN"/>
            </w:rPr>
            <w:t>第五节 技术规范</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_Toc17326 \h </w:instrText>
          </w:r>
          <w:r>
            <w:rPr>
              <w:rFonts w:hint="eastAsia" w:ascii="宋体" w:hAnsi="宋体" w:eastAsia="宋体" w:cs="宋体"/>
              <w:sz w:val="28"/>
              <w:szCs w:val="28"/>
            </w:rPr>
            <w:fldChar w:fldCharType="separate"/>
          </w:r>
          <w:r>
            <w:rPr>
              <w:rFonts w:hint="eastAsia" w:ascii="宋体" w:hAnsi="宋体" w:eastAsia="宋体" w:cs="宋体"/>
              <w:sz w:val="28"/>
              <w:szCs w:val="28"/>
            </w:rPr>
            <w:t>175</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068CFAAB">
          <w:pPr>
            <w:pStyle w:val="20"/>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_Toc3406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rPr>
            <w:t>第</w:t>
          </w:r>
          <w:r>
            <w:rPr>
              <w:rFonts w:hint="eastAsia" w:ascii="宋体" w:hAnsi="宋体" w:eastAsia="宋体" w:cs="宋体"/>
              <w:sz w:val="28"/>
              <w:szCs w:val="28"/>
              <w:lang w:val="en-US" w:eastAsia="zh-CN"/>
            </w:rPr>
            <w:t>六</w:t>
          </w:r>
          <w:r>
            <w:rPr>
              <w:rFonts w:hint="eastAsia" w:ascii="宋体" w:hAnsi="宋体" w:eastAsia="宋体" w:cs="宋体"/>
              <w:sz w:val="28"/>
              <w:szCs w:val="28"/>
            </w:rPr>
            <w:t>章  投标文件格式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_Toc3406 \h </w:instrText>
          </w:r>
          <w:r>
            <w:rPr>
              <w:rFonts w:hint="eastAsia" w:ascii="宋体" w:hAnsi="宋体" w:eastAsia="宋体" w:cs="宋体"/>
              <w:sz w:val="28"/>
              <w:szCs w:val="28"/>
            </w:rPr>
            <w:fldChar w:fldCharType="separate"/>
          </w:r>
          <w:r>
            <w:rPr>
              <w:rFonts w:hint="eastAsia" w:ascii="宋体" w:hAnsi="宋体" w:eastAsia="宋体" w:cs="宋体"/>
              <w:sz w:val="28"/>
              <w:szCs w:val="28"/>
            </w:rPr>
            <w:t>176</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2B2A00F6">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_Toc17220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rPr>
            <w:t>一、报价文件格式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_Toc17220 \h </w:instrText>
          </w:r>
          <w:r>
            <w:rPr>
              <w:rFonts w:hint="eastAsia" w:ascii="宋体" w:hAnsi="宋体" w:eastAsia="宋体" w:cs="宋体"/>
              <w:sz w:val="28"/>
              <w:szCs w:val="28"/>
            </w:rPr>
            <w:fldChar w:fldCharType="separate"/>
          </w:r>
          <w:r>
            <w:rPr>
              <w:rFonts w:hint="eastAsia" w:ascii="宋体" w:hAnsi="宋体" w:eastAsia="宋体" w:cs="宋体"/>
              <w:sz w:val="28"/>
              <w:szCs w:val="28"/>
            </w:rPr>
            <w:t>176</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7496559E">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_Toc25402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rPr>
            <w:t>二、资格证明文件格式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_Toc25402 \h </w:instrText>
          </w:r>
          <w:r>
            <w:rPr>
              <w:rFonts w:hint="eastAsia" w:ascii="宋体" w:hAnsi="宋体" w:eastAsia="宋体" w:cs="宋体"/>
              <w:sz w:val="28"/>
              <w:szCs w:val="28"/>
            </w:rPr>
            <w:fldChar w:fldCharType="separate"/>
          </w:r>
          <w:r>
            <w:rPr>
              <w:rFonts w:hint="eastAsia" w:ascii="宋体" w:hAnsi="宋体" w:eastAsia="宋体" w:cs="宋体"/>
              <w:sz w:val="28"/>
              <w:szCs w:val="28"/>
            </w:rPr>
            <w:t>182</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6FE064AB">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_Toc30891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rPr>
            <w:t>三、商务文件格式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_Toc30891 \h </w:instrText>
          </w:r>
          <w:r>
            <w:rPr>
              <w:rFonts w:hint="eastAsia" w:ascii="宋体" w:hAnsi="宋体" w:eastAsia="宋体" w:cs="宋体"/>
              <w:sz w:val="28"/>
              <w:szCs w:val="28"/>
            </w:rPr>
            <w:fldChar w:fldCharType="separate"/>
          </w:r>
          <w:r>
            <w:rPr>
              <w:rFonts w:hint="eastAsia" w:ascii="宋体" w:hAnsi="宋体" w:eastAsia="宋体" w:cs="宋体"/>
              <w:sz w:val="28"/>
              <w:szCs w:val="28"/>
            </w:rPr>
            <w:t>194</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3420B7DA">
          <w:pPr>
            <w:pStyle w:val="23"/>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_Toc3194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rPr>
            <w:t>四、技术文件格式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_Toc3194 \h </w:instrText>
          </w:r>
          <w:r>
            <w:rPr>
              <w:rFonts w:hint="eastAsia" w:ascii="宋体" w:hAnsi="宋体" w:eastAsia="宋体" w:cs="宋体"/>
              <w:sz w:val="28"/>
              <w:szCs w:val="28"/>
            </w:rPr>
            <w:fldChar w:fldCharType="separate"/>
          </w:r>
          <w:r>
            <w:rPr>
              <w:rFonts w:hint="eastAsia" w:ascii="宋体" w:hAnsi="宋体" w:eastAsia="宋体" w:cs="宋体"/>
              <w:sz w:val="28"/>
              <w:szCs w:val="28"/>
            </w:rPr>
            <w:t>201</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0C3D7F8F">
          <w:pPr>
            <w:pStyle w:val="20"/>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_Toc11763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lang w:val="en-US" w:eastAsia="zh-CN"/>
            </w:rPr>
            <w:t xml:space="preserve">第七章 </w:t>
          </w:r>
          <w:r>
            <w:rPr>
              <w:rFonts w:hint="eastAsia" w:ascii="宋体" w:hAnsi="宋体" w:eastAsia="宋体" w:cs="宋体"/>
              <w:sz w:val="28"/>
              <w:szCs w:val="28"/>
              <w:highlight w:val="none"/>
              <w:lang w:val="en-US" w:eastAsia="zh-CN"/>
            </w:rPr>
            <w:t>绩效清单和工程量清单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_Toc11763 \h </w:instrText>
          </w:r>
          <w:r>
            <w:rPr>
              <w:rFonts w:hint="eastAsia" w:ascii="宋体" w:hAnsi="宋体" w:eastAsia="宋体" w:cs="宋体"/>
              <w:sz w:val="28"/>
              <w:szCs w:val="28"/>
            </w:rPr>
            <w:fldChar w:fldCharType="separate"/>
          </w:r>
          <w:r>
            <w:rPr>
              <w:rFonts w:hint="eastAsia" w:ascii="宋体" w:hAnsi="宋体" w:eastAsia="宋体" w:cs="宋体"/>
              <w:sz w:val="28"/>
              <w:szCs w:val="28"/>
            </w:rPr>
            <w:t>212</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1A2D6499">
          <w:pPr>
            <w:pStyle w:val="20"/>
            <w:tabs>
              <w:tab w:val="right" w:leader="dot" w:pos="9637"/>
            </w:tabs>
            <w:spacing w:line="360" w:lineRule="auto"/>
            <w:rPr>
              <w:rFonts w:hint="eastAsia" w:ascii="宋体" w:hAnsi="宋体" w:eastAsia="宋体" w:cs="宋体"/>
              <w:sz w:val="28"/>
              <w:szCs w:val="28"/>
            </w:rPr>
          </w:pPr>
          <w:r>
            <w:rPr>
              <w:rFonts w:hint="eastAsia" w:ascii="宋体" w:hAnsi="宋体" w:eastAsia="宋体" w:cs="宋体"/>
              <w:snapToGrid w:val="0"/>
              <w:color w:val="000000"/>
              <w:kern w:val="0"/>
              <w:sz w:val="28"/>
              <w:szCs w:val="28"/>
              <w:lang w:val="en-US" w:eastAsia="en-US" w:bidi="ar-SA"/>
            </w:rPr>
            <w:fldChar w:fldCharType="begin"/>
          </w:r>
          <w:r>
            <w:rPr>
              <w:rFonts w:hint="eastAsia" w:ascii="宋体" w:hAnsi="宋体" w:eastAsia="宋体" w:cs="宋体"/>
              <w:snapToGrid w:val="0"/>
              <w:kern w:val="0"/>
              <w:sz w:val="28"/>
              <w:szCs w:val="28"/>
              <w:lang w:val="en-US" w:eastAsia="en-US" w:bidi="ar-SA"/>
            </w:rPr>
            <w:instrText xml:space="preserve"> HYPERLINK \l _Toc31109 </w:instrText>
          </w:r>
          <w:r>
            <w:rPr>
              <w:rFonts w:hint="eastAsia" w:ascii="宋体" w:hAnsi="宋体" w:eastAsia="宋体" w:cs="宋体"/>
              <w:snapToGrid w:val="0"/>
              <w:kern w:val="0"/>
              <w:sz w:val="28"/>
              <w:szCs w:val="28"/>
              <w:lang w:val="en-US" w:eastAsia="en-US" w:bidi="ar-SA"/>
            </w:rPr>
            <w:fldChar w:fldCharType="separate"/>
          </w:r>
          <w:r>
            <w:rPr>
              <w:rFonts w:hint="eastAsia" w:ascii="宋体" w:hAnsi="宋体" w:eastAsia="宋体" w:cs="宋体"/>
              <w:sz w:val="28"/>
              <w:szCs w:val="28"/>
              <w:highlight w:val="none"/>
              <w:lang w:val="en-US" w:eastAsia="zh-CN"/>
            </w:rPr>
            <w:t>（另册）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_Toc31109 \h </w:instrText>
          </w:r>
          <w:r>
            <w:rPr>
              <w:rFonts w:hint="eastAsia" w:ascii="宋体" w:hAnsi="宋体" w:eastAsia="宋体" w:cs="宋体"/>
              <w:sz w:val="28"/>
              <w:szCs w:val="28"/>
            </w:rPr>
            <w:fldChar w:fldCharType="separate"/>
          </w:r>
          <w:r>
            <w:rPr>
              <w:rFonts w:hint="eastAsia" w:ascii="宋体" w:hAnsi="宋体" w:eastAsia="宋体" w:cs="宋体"/>
              <w:sz w:val="28"/>
              <w:szCs w:val="28"/>
            </w:rPr>
            <w:t>212</w:t>
          </w:r>
          <w:r>
            <w:rPr>
              <w:rFonts w:hint="eastAsia" w:ascii="宋体" w:hAnsi="宋体" w:eastAsia="宋体" w:cs="宋体"/>
              <w:sz w:val="28"/>
              <w:szCs w:val="28"/>
            </w:rPr>
            <w:fldChar w:fldCharType="end"/>
          </w:r>
          <w:r>
            <w:rPr>
              <w:rFonts w:hint="eastAsia" w:ascii="宋体" w:hAnsi="宋体" w:eastAsia="宋体" w:cs="宋体"/>
              <w:snapToGrid w:val="0"/>
              <w:color w:val="000000"/>
              <w:kern w:val="0"/>
              <w:sz w:val="28"/>
              <w:szCs w:val="28"/>
              <w:lang w:val="en-US" w:eastAsia="en-US" w:bidi="ar-SA"/>
            </w:rPr>
            <w:fldChar w:fldCharType="end"/>
          </w:r>
        </w:p>
        <w:p w14:paraId="0F862734">
          <w:pPr>
            <w:spacing w:line="360" w:lineRule="auto"/>
            <w:rPr>
              <w:rFonts w:hint="eastAsia" w:ascii="宋体" w:hAnsi="宋体" w:eastAsia="宋体" w:cs="宋体"/>
              <w:snapToGrid w:val="0"/>
              <w:color w:val="000000"/>
              <w:kern w:val="0"/>
              <w:sz w:val="28"/>
              <w:szCs w:val="28"/>
              <w:lang w:val="en-US" w:eastAsia="en-US" w:bidi="ar-SA"/>
            </w:rPr>
          </w:pPr>
          <w:r>
            <w:rPr>
              <w:rFonts w:hint="eastAsia" w:ascii="宋体" w:hAnsi="宋体" w:eastAsia="宋体" w:cs="宋体"/>
              <w:snapToGrid w:val="0"/>
              <w:color w:val="000000"/>
              <w:kern w:val="0"/>
              <w:sz w:val="28"/>
              <w:szCs w:val="28"/>
              <w:lang w:val="en-US" w:eastAsia="en-US" w:bidi="ar-SA"/>
            </w:rPr>
            <w:fldChar w:fldCharType="end"/>
          </w:r>
        </w:p>
      </w:sdtContent>
    </w:sdt>
    <w:p w14:paraId="0ED61EF3">
      <w:pPr>
        <w:spacing w:line="219" w:lineRule="auto"/>
        <w:rPr>
          <w:rFonts w:ascii="Arial" w:hAnsi="Arial" w:eastAsia="Arial" w:cs="Arial"/>
          <w:snapToGrid w:val="0"/>
          <w:color w:val="000000"/>
          <w:kern w:val="0"/>
          <w:sz w:val="21"/>
          <w:szCs w:val="24"/>
          <w:lang w:val="en-US" w:eastAsia="en-US" w:bidi="ar-SA"/>
        </w:rPr>
        <w:sectPr>
          <w:footerReference r:id="rId5" w:type="default"/>
          <w:pgSz w:w="11905" w:h="16838"/>
          <w:pgMar w:top="1440" w:right="1134" w:bottom="1440" w:left="1134" w:header="0" w:footer="720" w:gutter="0"/>
          <w:pgNumType w:fmt="decimal"/>
          <w:cols w:space="0" w:num="1"/>
          <w:rtlGutter w:val="0"/>
          <w:docGrid w:linePitch="0" w:charSpace="0"/>
        </w:sectPr>
      </w:pPr>
    </w:p>
    <w:p w14:paraId="573373D8">
      <w:pPr>
        <w:pStyle w:val="2"/>
        <w:bidi w:val="0"/>
        <w:rPr>
          <w:sz w:val="43"/>
          <w:szCs w:val="43"/>
        </w:rPr>
      </w:pPr>
      <w:bookmarkStart w:id="0" w:name="bookmark1"/>
      <w:bookmarkEnd w:id="0"/>
      <w:bookmarkStart w:id="1" w:name="_Toc27604"/>
      <w:r>
        <w:rPr>
          <w:b/>
          <w:bCs/>
          <w:spacing w:val="4"/>
          <w:sz w:val="43"/>
          <w:szCs w:val="43"/>
        </w:rPr>
        <w:t>第一章</w:t>
      </w:r>
      <w:r>
        <w:rPr>
          <w:spacing w:val="4"/>
          <w:sz w:val="43"/>
          <w:szCs w:val="43"/>
        </w:rPr>
        <w:t xml:space="preserve">  </w:t>
      </w:r>
      <w:r>
        <w:rPr>
          <w:b/>
          <w:bCs/>
          <w:spacing w:val="4"/>
          <w:sz w:val="43"/>
          <w:szCs w:val="43"/>
        </w:rPr>
        <w:t>招标公告</w:t>
      </w:r>
      <w:bookmarkEnd w:id="1"/>
    </w:p>
    <w:p w14:paraId="25673425">
      <w:pPr>
        <w:spacing w:line="247" w:lineRule="auto"/>
        <w:rPr>
          <w:rFonts w:ascii="Arial"/>
          <w:sz w:val="21"/>
        </w:rPr>
      </w:pPr>
    </w:p>
    <w:p w14:paraId="58BD35A2">
      <w:pPr>
        <w:pStyle w:val="11"/>
        <w:spacing w:before="113" w:line="224" w:lineRule="auto"/>
        <w:ind w:left="238"/>
        <w:jc w:val="center"/>
        <w:rPr>
          <w:sz w:val="35"/>
          <w:szCs w:val="35"/>
        </w:rPr>
      </w:pPr>
      <w:r>
        <w:rPr>
          <w:rFonts w:hint="default"/>
          <w:b/>
          <w:bCs/>
          <w:spacing w:val="6"/>
          <w:sz w:val="35"/>
          <w:szCs w:val="35"/>
          <w:lang w:val="en-US" w:eastAsia="zh-CN"/>
        </w:rPr>
        <w:t>广西壮族自治区桂林公路发展中心南片区2026年—2029年普通国省干线公路养护服务项目</w:t>
      </w:r>
      <w:r>
        <w:rPr>
          <w:b/>
          <w:bCs/>
          <w:spacing w:val="6"/>
          <w:sz w:val="35"/>
          <w:szCs w:val="35"/>
        </w:rPr>
        <w:t>公开招标公告</w:t>
      </w:r>
    </w:p>
    <w:p w14:paraId="3FBC6515">
      <w:pPr>
        <w:spacing w:before="154"/>
      </w:pPr>
    </w:p>
    <w:tbl>
      <w:tblPr>
        <w:tblStyle w:val="30"/>
        <w:tblW w:w="8679" w:type="dxa"/>
        <w:jc w:val="center"/>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autofit"/>
        <w:tblCellMar>
          <w:top w:w="0" w:type="dxa"/>
          <w:left w:w="0" w:type="dxa"/>
          <w:bottom w:w="0" w:type="dxa"/>
          <w:right w:w="0" w:type="dxa"/>
        </w:tblCellMar>
      </w:tblPr>
      <w:tblGrid>
        <w:gridCol w:w="8679"/>
      </w:tblGrid>
      <w:tr w14:paraId="5ED006A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8679" w:type="dxa"/>
            <w:vAlign w:val="top"/>
          </w:tcPr>
          <w:p w14:paraId="75225633">
            <w:pPr>
              <w:bidi w:val="0"/>
              <w:snapToGrid w:val="0"/>
              <w:ind w:firstLine="480" w:firstLineChars="200"/>
              <w:rPr>
                <w:sz w:val="24"/>
                <w:szCs w:val="24"/>
              </w:rPr>
            </w:pPr>
            <w:r>
              <w:rPr>
                <w:sz w:val="24"/>
                <w:szCs w:val="24"/>
              </w:rPr>
              <w:t>项目概况</w:t>
            </w:r>
          </w:p>
          <w:p w14:paraId="5D500439">
            <w:pPr>
              <w:bidi w:val="0"/>
              <w:snapToGrid w:val="0"/>
              <w:ind w:firstLine="512" w:firstLineChars="200"/>
              <w:rPr>
                <w:sz w:val="24"/>
                <w:szCs w:val="24"/>
              </w:rPr>
            </w:pPr>
            <w:r>
              <w:rPr>
                <w:rFonts w:hint="default"/>
                <w:spacing w:val="8"/>
                <w:sz w:val="24"/>
                <w:szCs w:val="24"/>
                <w:u w:val="single" w:color="auto"/>
                <w:lang w:val="en-US" w:eastAsia="zh-CN"/>
              </w:rPr>
              <w:t>广西壮族自治区桂林公路发展中心南片区2026年—2029年普通国省干线公路养护服务项目</w:t>
            </w:r>
            <w:r>
              <w:rPr>
                <w:spacing w:val="8"/>
                <w:sz w:val="24"/>
                <w:szCs w:val="24"/>
              </w:rPr>
              <w:t>招标项目的潜在投</w:t>
            </w:r>
            <w:r>
              <w:rPr>
                <w:spacing w:val="6"/>
                <w:sz w:val="24"/>
                <w:szCs w:val="24"/>
              </w:rPr>
              <w:t>标人应在广西政府采购云平台（</w:t>
            </w:r>
            <w:r>
              <w:rPr>
                <w:sz w:val="24"/>
                <w:szCs w:val="24"/>
              </w:rPr>
              <w:fldChar w:fldCharType="begin"/>
            </w:r>
            <w:r>
              <w:rPr>
                <w:sz w:val="24"/>
                <w:szCs w:val="24"/>
              </w:rPr>
              <w:instrText xml:space="preserve"> HYPERLINK "https://www.gcy.zfcg.gxzf.gov.cn/" </w:instrText>
            </w:r>
            <w:r>
              <w:rPr>
                <w:sz w:val="24"/>
                <w:szCs w:val="24"/>
              </w:rPr>
              <w:fldChar w:fldCharType="separate"/>
            </w:r>
            <w:r>
              <w:rPr>
                <w:sz w:val="24"/>
                <w:szCs w:val="24"/>
              </w:rPr>
              <w:t>https</w:t>
            </w:r>
            <w:r>
              <w:rPr>
                <w:spacing w:val="6"/>
                <w:sz w:val="24"/>
                <w:szCs w:val="24"/>
              </w:rPr>
              <w:t>://</w:t>
            </w:r>
            <w:r>
              <w:rPr>
                <w:sz w:val="24"/>
                <w:szCs w:val="24"/>
              </w:rPr>
              <w:t>www</w:t>
            </w:r>
            <w:r>
              <w:rPr>
                <w:spacing w:val="6"/>
                <w:sz w:val="24"/>
                <w:szCs w:val="24"/>
              </w:rPr>
              <w:t>.</w:t>
            </w:r>
            <w:r>
              <w:rPr>
                <w:sz w:val="24"/>
                <w:szCs w:val="24"/>
              </w:rPr>
              <w:t>gcy</w:t>
            </w:r>
            <w:r>
              <w:rPr>
                <w:spacing w:val="6"/>
                <w:sz w:val="24"/>
                <w:szCs w:val="24"/>
              </w:rPr>
              <w:t>.</w:t>
            </w:r>
            <w:r>
              <w:rPr>
                <w:sz w:val="24"/>
                <w:szCs w:val="24"/>
              </w:rPr>
              <w:t>zfcg</w:t>
            </w:r>
            <w:r>
              <w:rPr>
                <w:spacing w:val="6"/>
                <w:sz w:val="24"/>
                <w:szCs w:val="24"/>
              </w:rPr>
              <w:t>.</w:t>
            </w:r>
            <w:r>
              <w:rPr>
                <w:sz w:val="24"/>
                <w:szCs w:val="24"/>
              </w:rPr>
              <w:t>gxzf</w:t>
            </w:r>
            <w:r>
              <w:rPr>
                <w:spacing w:val="6"/>
                <w:sz w:val="24"/>
                <w:szCs w:val="24"/>
              </w:rPr>
              <w:t>.</w:t>
            </w:r>
            <w:r>
              <w:rPr>
                <w:sz w:val="24"/>
                <w:szCs w:val="24"/>
              </w:rPr>
              <w:t>gov</w:t>
            </w:r>
            <w:r>
              <w:rPr>
                <w:spacing w:val="6"/>
                <w:sz w:val="24"/>
                <w:szCs w:val="24"/>
              </w:rPr>
              <w:t>.</w:t>
            </w:r>
            <w:r>
              <w:rPr>
                <w:sz w:val="24"/>
                <w:szCs w:val="24"/>
              </w:rPr>
              <w:t>cn</w:t>
            </w:r>
            <w:r>
              <w:rPr>
                <w:spacing w:val="6"/>
                <w:sz w:val="24"/>
                <w:szCs w:val="24"/>
              </w:rPr>
              <w:t>/</w:t>
            </w:r>
            <w:r>
              <w:rPr>
                <w:spacing w:val="6"/>
                <w:sz w:val="24"/>
                <w:szCs w:val="24"/>
              </w:rPr>
              <w:fldChar w:fldCharType="end"/>
            </w:r>
            <w:r>
              <w:rPr>
                <w:spacing w:val="6"/>
                <w:sz w:val="24"/>
                <w:szCs w:val="24"/>
              </w:rPr>
              <w:t>）获取（下载）招标文件，并于</w:t>
            </w:r>
            <w:r>
              <w:rPr>
                <w:spacing w:val="-19"/>
                <w:sz w:val="24"/>
                <w:szCs w:val="24"/>
              </w:rPr>
              <w:t xml:space="preserve"> </w:t>
            </w:r>
            <w:r>
              <w:rPr>
                <w:spacing w:val="6"/>
                <w:sz w:val="24"/>
                <w:szCs w:val="24"/>
              </w:rPr>
              <w:t>2026</w:t>
            </w:r>
            <w:r>
              <w:rPr>
                <w:spacing w:val="4"/>
                <w:sz w:val="24"/>
                <w:szCs w:val="24"/>
              </w:rPr>
              <w:t>年</w:t>
            </w:r>
            <w:r>
              <w:rPr>
                <w:rFonts w:hint="eastAsia" w:eastAsia="宋体"/>
                <w:spacing w:val="4"/>
                <w:sz w:val="24"/>
                <w:szCs w:val="24"/>
                <w:highlight w:val="yellow"/>
                <w:lang w:val="en-US" w:eastAsia="zh-CN"/>
              </w:rPr>
              <w:t>4</w:t>
            </w:r>
            <w:r>
              <w:rPr>
                <w:spacing w:val="4"/>
                <w:sz w:val="24"/>
                <w:szCs w:val="24"/>
              </w:rPr>
              <w:t>月</w:t>
            </w:r>
            <w:r>
              <w:rPr>
                <w:rFonts w:hint="eastAsia" w:eastAsia="宋体"/>
                <w:spacing w:val="27"/>
                <w:sz w:val="24"/>
                <w:szCs w:val="24"/>
                <w:highlight w:val="yellow"/>
                <w:lang w:val="en-US" w:eastAsia="zh-CN"/>
              </w:rPr>
              <w:t>**</w:t>
            </w:r>
            <w:r>
              <w:rPr>
                <w:spacing w:val="4"/>
                <w:sz w:val="24"/>
                <w:szCs w:val="24"/>
              </w:rPr>
              <w:t>日</w:t>
            </w:r>
            <w:r>
              <w:rPr>
                <w:spacing w:val="-35"/>
                <w:sz w:val="24"/>
                <w:szCs w:val="24"/>
              </w:rPr>
              <w:t xml:space="preserve"> </w:t>
            </w:r>
            <w:r>
              <w:rPr>
                <w:spacing w:val="4"/>
                <w:sz w:val="24"/>
                <w:szCs w:val="24"/>
              </w:rPr>
              <w:t>09</w:t>
            </w:r>
            <w:r>
              <w:rPr>
                <w:spacing w:val="-30"/>
                <w:sz w:val="24"/>
                <w:szCs w:val="24"/>
              </w:rPr>
              <w:t xml:space="preserve"> </w:t>
            </w:r>
            <w:r>
              <w:rPr>
                <w:spacing w:val="4"/>
                <w:sz w:val="24"/>
                <w:szCs w:val="24"/>
              </w:rPr>
              <w:t>时</w:t>
            </w:r>
            <w:r>
              <w:rPr>
                <w:spacing w:val="-35"/>
                <w:sz w:val="24"/>
                <w:szCs w:val="24"/>
              </w:rPr>
              <w:t xml:space="preserve"> </w:t>
            </w:r>
            <w:r>
              <w:rPr>
                <w:spacing w:val="4"/>
                <w:sz w:val="24"/>
                <w:szCs w:val="24"/>
              </w:rPr>
              <w:t>30</w:t>
            </w:r>
            <w:r>
              <w:rPr>
                <w:spacing w:val="-36"/>
                <w:sz w:val="24"/>
                <w:szCs w:val="24"/>
              </w:rPr>
              <w:t xml:space="preserve"> </w:t>
            </w:r>
            <w:r>
              <w:rPr>
                <w:spacing w:val="4"/>
                <w:sz w:val="24"/>
                <w:szCs w:val="24"/>
              </w:rPr>
              <w:t>分（北京时间）前递交投标文件。</w:t>
            </w:r>
          </w:p>
        </w:tc>
      </w:tr>
    </w:tbl>
    <w:p w14:paraId="7D96AD99">
      <w:pPr>
        <w:pStyle w:val="11"/>
        <w:spacing w:before="97" w:line="360" w:lineRule="auto"/>
        <w:ind w:left="117" w:leftChars="0" w:firstLine="466" w:firstLineChars="200"/>
        <w:outlineLvl w:val="1"/>
        <w:rPr>
          <w:sz w:val="24"/>
          <w:szCs w:val="24"/>
        </w:rPr>
      </w:pPr>
      <w:bookmarkStart w:id="2" w:name="_Toc8825"/>
      <w:bookmarkStart w:id="3" w:name="_Toc16424"/>
      <w:r>
        <w:rPr>
          <w:b/>
          <w:bCs/>
          <w:spacing w:val="-4"/>
          <w:sz w:val="24"/>
          <w:szCs w:val="24"/>
        </w:rPr>
        <w:t>一、项目基本情况</w:t>
      </w:r>
      <w:bookmarkEnd w:id="2"/>
      <w:bookmarkEnd w:id="3"/>
    </w:p>
    <w:p w14:paraId="2FF3C71B">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outlineLvl w:val="2"/>
        <w:rPr>
          <w:rFonts w:hint="eastAsia" w:eastAsia="宋体"/>
          <w:sz w:val="24"/>
          <w:szCs w:val="24"/>
          <w:highlight w:val="none"/>
          <w:lang w:val="en-US" w:eastAsia="zh-CN"/>
        </w:rPr>
      </w:pPr>
      <w:bookmarkStart w:id="4" w:name="_Toc27725"/>
      <w:bookmarkStart w:id="5" w:name="_Toc18709"/>
      <w:bookmarkStart w:id="322" w:name="_GoBack"/>
      <w:r>
        <w:rPr>
          <w:sz w:val="24"/>
          <w:szCs w:val="24"/>
          <w:highlight w:val="none"/>
        </w:rPr>
        <w:t>项目编号：</w:t>
      </w:r>
      <w:bookmarkEnd w:id="4"/>
      <w:bookmarkEnd w:id="5"/>
      <w:r>
        <w:rPr>
          <w:rFonts w:hint="eastAsia"/>
          <w:sz w:val="24"/>
          <w:szCs w:val="24"/>
          <w:highlight w:val="none"/>
        </w:rPr>
        <w:t>GXZC2026-G3-000600-WHZX</w:t>
      </w:r>
      <w:r>
        <w:rPr>
          <w:rFonts w:hint="eastAsia" w:eastAsia="宋体"/>
          <w:sz w:val="24"/>
          <w:szCs w:val="24"/>
          <w:highlight w:val="none"/>
          <w:lang w:val="en-US" w:eastAsia="zh-CN"/>
        </w:rPr>
        <w:t xml:space="preserve"> </w:t>
      </w:r>
    </w:p>
    <w:bookmarkEnd w:id="322"/>
    <w:p w14:paraId="18BD7A05">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default"/>
          <w:sz w:val="24"/>
          <w:szCs w:val="24"/>
          <w:lang w:val="en-US" w:eastAsia="zh-CN"/>
        </w:rPr>
      </w:pPr>
      <w:r>
        <w:rPr>
          <w:sz w:val="24"/>
          <w:szCs w:val="24"/>
        </w:rPr>
        <w:t>项目名称：</w:t>
      </w:r>
      <w:r>
        <w:rPr>
          <w:rFonts w:hint="default"/>
          <w:sz w:val="24"/>
          <w:szCs w:val="24"/>
          <w:lang w:val="en-US" w:eastAsia="zh-CN"/>
        </w:rPr>
        <w:t>广西壮族自治区桂林公路发展中心南片区2026年—2029年普通国省干线公路养护服务项目</w:t>
      </w:r>
    </w:p>
    <w:p w14:paraId="29755B15">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default"/>
          <w:sz w:val="24"/>
          <w:szCs w:val="24"/>
          <w:highlight w:val="none"/>
          <w:lang w:val="en-US" w:eastAsia="zh-CN"/>
        </w:rPr>
      </w:pPr>
      <w:r>
        <w:rPr>
          <w:rFonts w:hint="eastAsia"/>
          <w:sz w:val="24"/>
          <w:szCs w:val="24"/>
          <w:highlight w:val="none"/>
          <w:lang w:val="en-US" w:eastAsia="zh-CN"/>
        </w:rPr>
        <w:t>采购方式：公开招标</w:t>
      </w:r>
    </w:p>
    <w:p w14:paraId="33084534">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预算金额：4568.53万元。各年度部门预算情况如下：2026年预算安排</w:t>
      </w:r>
      <w:r>
        <w:rPr>
          <w:rFonts w:hint="eastAsia" w:ascii="宋体" w:hAnsi="宋体" w:eastAsia="宋体" w:cs="宋体"/>
          <w:color w:val="auto"/>
          <w:sz w:val="24"/>
          <w:szCs w:val="24"/>
          <w:lang w:val="en-US" w:eastAsia="zh-CN"/>
        </w:rPr>
        <w:t>1042.71</w:t>
      </w:r>
      <w:r>
        <w:rPr>
          <w:rFonts w:hint="eastAsia" w:ascii="宋体" w:hAnsi="宋体" w:eastAsia="宋体" w:cs="宋体"/>
          <w:color w:val="auto"/>
          <w:sz w:val="24"/>
          <w:szCs w:val="24"/>
        </w:rPr>
        <w:t>万元，2027年预计</w:t>
      </w:r>
      <w:r>
        <w:rPr>
          <w:rFonts w:hint="eastAsia" w:ascii="宋体" w:hAnsi="宋体" w:eastAsia="宋体" w:cs="宋体"/>
          <w:color w:val="auto"/>
          <w:sz w:val="24"/>
          <w:szCs w:val="24"/>
          <w:lang w:val="en-US" w:eastAsia="zh-CN"/>
        </w:rPr>
        <w:t>1506.91</w:t>
      </w:r>
      <w:r>
        <w:rPr>
          <w:rFonts w:hint="eastAsia" w:ascii="宋体" w:hAnsi="宋体" w:eastAsia="宋体" w:cs="宋体"/>
          <w:color w:val="auto"/>
          <w:sz w:val="24"/>
          <w:szCs w:val="24"/>
        </w:rPr>
        <w:t>万元，2028年预计</w:t>
      </w:r>
      <w:r>
        <w:rPr>
          <w:rFonts w:hint="eastAsia" w:ascii="宋体" w:hAnsi="宋体" w:eastAsia="宋体" w:cs="宋体"/>
          <w:color w:val="auto"/>
          <w:sz w:val="24"/>
          <w:szCs w:val="24"/>
          <w:lang w:val="en-US" w:eastAsia="zh-CN"/>
        </w:rPr>
        <w:t>1506.91</w:t>
      </w:r>
      <w:r>
        <w:rPr>
          <w:rFonts w:hint="eastAsia" w:ascii="宋体" w:hAnsi="宋体" w:eastAsia="宋体" w:cs="宋体"/>
          <w:color w:val="auto"/>
          <w:sz w:val="24"/>
          <w:szCs w:val="24"/>
        </w:rPr>
        <w:t>万元，2029年1月-4月预计</w:t>
      </w:r>
      <w:r>
        <w:rPr>
          <w:rFonts w:hint="eastAsia" w:ascii="宋体" w:hAnsi="宋体" w:eastAsia="宋体" w:cs="宋体"/>
          <w:color w:val="auto"/>
          <w:sz w:val="24"/>
          <w:szCs w:val="24"/>
          <w:lang w:val="en-US" w:eastAsia="zh-CN"/>
        </w:rPr>
        <w:t>512</w:t>
      </w:r>
      <w:r>
        <w:rPr>
          <w:rFonts w:hint="eastAsia" w:ascii="宋体" w:hAnsi="宋体" w:eastAsia="宋体" w:cs="宋体"/>
          <w:color w:val="auto"/>
          <w:sz w:val="24"/>
          <w:szCs w:val="24"/>
        </w:rPr>
        <w:t>万元，总合计预算4568.53万元。其中：</w:t>
      </w:r>
    </w:p>
    <w:p w14:paraId="0110A6F4">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rPr>
        <w:t>A段</w:t>
      </w:r>
      <w:r>
        <w:rPr>
          <w:rFonts w:hint="eastAsia" w:ascii="宋体" w:hAnsi="宋体" w:eastAsia="宋体" w:cs="宋体"/>
          <w:color w:val="auto"/>
          <w:sz w:val="24"/>
          <w:szCs w:val="24"/>
          <w:highlight w:val="none"/>
          <w:lang w:eastAsia="zh-CN"/>
        </w:rPr>
        <w:t>（广西壮族自治区恭城公路养护中心）</w:t>
      </w:r>
      <w:r>
        <w:rPr>
          <w:rFonts w:hint="eastAsia" w:ascii="宋体" w:hAnsi="宋体" w:eastAsia="宋体" w:cs="宋体"/>
          <w:color w:val="auto"/>
          <w:sz w:val="24"/>
          <w:szCs w:val="24"/>
          <w:highlight w:val="none"/>
        </w:rPr>
        <w:t>：2026 年</w:t>
      </w:r>
      <w:r>
        <w:rPr>
          <w:rFonts w:hint="eastAsia" w:ascii="宋体" w:hAnsi="宋体" w:eastAsia="宋体" w:cs="宋体"/>
          <w:color w:val="auto"/>
          <w:sz w:val="24"/>
          <w:szCs w:val="24"/>
          <w:highlight w:val="none"/>
          <w:lang w:eastAsia="zh-CN"/>
        </w:rPr>
        <w:t>预算安排</w:t>
      </w:r>
      <w:r>
        <w:rPr>
          <w:rFonts w:hint="eastAsia" w:ascii="宋体" w:hAnsi="宋体" w:eastAsia="宋体" w:cs="宋体"/>
          <w:color w:val="auto"/>
          <w:sz w:val="24"/>
          <w:szCs w:val="24"/>
          <w:highlight w:val="none"/>
        </w:rPr>
        <w:t xml:space="preserve"> 375.84 万元、2027 年</w:t>
      </w:r>
      <w:r>
        <w:rPr>
          <w:rFonts w:hint="eastAsia" w:ascii="宋体" w:hAnsi="宋体" w:eastAsia="宋体" w:cs="宋体"/>
          <w:color w:val="auto"/>
          <w:sz w:val="24"/>
          <w:szCs w:val="24"/>
          <w:highlight w:val="none"/>
          <w:lang w:eastAsia="zh-CN"/>
        </w:rPr>
        <w:t>计划</w:t>
      </w:r>
      <w:r>
        <w:rPr>
          <w:rFonts w:hint="eastAsia" w:ascii="宋体" w:hAnsi="宋体" w:eastAsia="宋体" w:cs="宋体"/>
          <w:color w:val="auto"/>
          <w:sz w:val="24"/>
          <w:szCs w:val="24"/>
          <w:highlight w:val="none"/>
        </w:rPr>
        <w:t>522.14 万元、2028 年</w:t>
      </w:r>
      <w:r>
        <w:rPr>
          <w:rFonts w:hint="eastAsia" w:ascii="宋体" w:hAnsi="宋体" w:eastAsia="宋体" w:cs="宋体"/>
          <w:color w:val="auto"/>
          <w:sz w:val="24"/>
          <w:szCs w:val="24"/>
          <w:highlight w:val="none"/>
          <w:lang w:eastAsia="zh-CN"/>
        </w:rPr>
        <w:t>计划</w:t>
      </w:r>
      <w:r>
        <w:rPr>
          <w:rFonts w:hint="eastAsia" w:ascii="宋体" w:hAnsi="宋体" w:eastAsia="宋体" w:cs="宋体"/>
          <w:color w:val="auto"/>
          <w:sz w:val="24"/>
          <w:szCs w:val="24"/>
          <w:highlight w:val="none"/>
        </w:rPr>
        <w:t xml:space="preserve"> 522.14 万元、2029 年1-4 月</w:t>
      </w:r>
      <w:r>
        <w:rPr>
          <w:rFonts w:hint="eastAsia" w:ascii="宋体" w:hAnsi="宋体" w:eastAsia="宋体" w:cs="宋体"/>
          <w:color w:val="auto"/>
          <w:sz w:val="24"/>
          <w:szCs w:val="24"/>
          <w:highlight w:val="none"/>
          <w:lang w:eastAsia="zh-CN"/>
        </w:rPr>
        <w:t>计划</w:t>
      </w:r>
      <w:r>
        <w:rPr>
          <w:rFonts w:hint="eastAsia" w:ascii="宋体" w:hAnsi="宋体" w:eastAsia="宋体" w:cs="宋体"/>
          <w:color w:val="auto"/>
          <w:sz w:val="24"/>
          <w:szCs w:val="24"/>
          <w:highlight w:val="none"/>
        </w:rPr>
        <w:t xml:space="preserve"> 174 万元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合计预算</w:t>
      </w:r>
      <w:r>
        <w:rPr>
          <w:rFonts w:hint="eastAsia" w:ascii="宋体" w:hAnsi="宋体" w:eastAsia="宋体" w:cs="宋体"/>
          <w:color w:val="auto"/>
          <w:sz w:val="24"/>
          <w:szCs w:val="24"/>
          <w:highlight w:val="none"/>
          <w:lang w:val="en-US" w:eastAsia="zh-CN"/>
        </w:rPr>
        <w:t>1594.12</w:t>
      </w:r>
      <w:r>
        <w:rPr>
          <w:rFonts w:hint="eastAsia" w:ascii="宋体" w:hAnsi="宋体" w:eastAsia="宋体" w:cs="宋体"/>
          <w:color w:val="auto"/>
          <w:sz w:val="24"/>
          <w:szCs w:val="24"/>
          <w:highlight w:val="none"/>
        </w:rPr>
        <w:t>万元；</w:t>
      </w:r>
    </w:p>
    <w:p w14:paraId="70D28717">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宋体" w:hAnsi="宋体" w:eastAsia="宋体" w:cs="宋体"/>
          <w:color w:val="auto"/>
          <w:sz w:val="24"/>
          <w:szCs w:val="24"/>
          <w:lang w:eastAsia="zh-CN"/>
        </w:rPr>
      </w:pPr>
      <w:r>
        <w:rPr>
          <w:rFonts w:hint="eastAsia" w:ascii="宋体" w:hAnsi="宋体" w:eastAsia="宋体" w:cs="宋体"/>
          <w:color w:val="auto"/>
          <w:sz w:val="24"/>
          <w:szCs w:val="24"/>
          <w:highlight w:val="none"/>
        </w:rPr>
        <w:t>B段</w:t>
      </w:r>
      <w:r>
        <w:rPr>
          <w:rFonts w:hint="eastAsia" w:ascii="宋体" w:hAnsi="宋体" w:eastAsia="宋体" w:cs="宋体"/>
          <w:color w:val="auto"/>
          <w:sz w:val="24"/>
          <w:szCs w:val="24"/>
          <w:highlight w:val="none"/>
          <w:lang w:eastAsia="zh-CN"/>
        </w:rPr>
        <w:t>（广西壮族自治区平乐公路养护中心）：2026 年预算安排 238.64 万元、2027 年计划363.94 万元、2028 年计划363.94 万元、2029 年1-4 月计划125 万元，</w:t>
      </w:r>
      <w:r>
        <w:rPr>
          <w:rFonts w:hint="eastAsia" w:ascii="宋体" w:hAnsi="宋体" w:eastAsia="宋体" w:cs="宋体"/>
          <w:color w:val="auto"/>
          <w:sz w:val="24"/>
          <w:szCs w:val="24"/>
          <w:highlight w:val="none"/>
        </w:rPr>
        <w:t>合计预算</w:t>
      </w:r>
      <w:r>
        <w:rPr>
          <w:rFonts w:hint="eastAsia" w:ascii="宋体" w:hAnsi="宋体" w:eastAsia="宋体" w:cs="宋体"/>
          <w:color w:val="auto"/>
          <w:sz w:val="24"/>
          <w:szCs w:val="24"/>
          <w:highlight w:val="none"/>
          <w:lang w:val="en-US" w:eastAsia="zh-CN"/>
        </w:rPr>
        <w:t>1091.52</w:t>
      </w:r>
      <w:r>
        <w:rPr>
          <w:rFonts w:hint="eastAsia" w:ascii="宋体" w:hAnsi="宋体" w:eastAsia="宋体" w:cs="宋体"/>
          <w:color w:val="auto"/>
          <w:sz w:val="24"/>
          <w:szCs w:val="24"/>
          <w:highlight w:val="none"/>
        </w:rPr>
        <w:t>万元</w:t>
      </w:r>
      <w:r>
        <w:rPr>
          <w:rFonts w:hint="eastAsia" w:ascii="宋体" w:hAnsi="宋体" w:eastAsia="宋体" w:cs="宋体"/>
          <w:color w:val="auto"/>
          <w:sz w:val="24"/>
          <w:szCs w:val="24"/>
          <w:highlight w:val="none"/>
          <w:lang w:eastAsia="zh-CN"/>
        </w:rPr>
        <w:t>；</w:t>
      </w:r>
    </w:p>
    <w:p w14:paraId="7FF21143">
      <w:pPr>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C段</w:t>
      </w:r>
      <w:r>
        <w:rPr>
          <w:rFonts w:hint="eastAsia" w:ascii="宋体" w:hAnsi="宋体" w:eastAsia="宋体" w:cs="宋体"/>
          <w:color w:val="auto"/>
          <w:sz w:val="24"/>
          <w:szCs w:val="24"/>
          <w:highlight w:val="none"/>
          <w:lang w:eastAsia="zh-CN"/>
        </w:rPr>
        <w:t>（广西壮族自治区阳朔公路养护中心）</w:t>
      </w:r>
      <w:r>
        <w:rPr>
          <w:rFonts w:hint="eastAsia" w:ascii="宋体" w:hAnsi="宋体" w:eastAsia="宋体" w:cs="宋体"/>
          <w:color w:val="auto"/>
          <w:sz w:val="24"/>
          <w:szCs w:val="24"/>
          <w:highlight w:val="none"/>
        </w:rPr>
        <w:t>：2026 年</w:t>
      </w:r>
      <w:r>
        <w:rPr>
          <w:rFonts w:hint="eastAsia" w:ascii="宋体" w:hAnsi="宋体" w:eastAsia="宋体" w:cs="宋体"/>
          <w:color w:val="auto"/>
          <w:sz w:val="24"/>
          <w:szCs w:val="24"/>
          <w:highlight w:val="none"/>
          <w:lang w:eastAsia="zh-CN"/>
        </w:rPr>
        <w:t>预算安排</w:t>
      </w:r>
      <w:r>
        <w:rPr>
          <w:rFonts w:hint="eastAsia" w:ascii="宋体" w:hAnsi="宋体" w:eastAsia="宋体" w:cs="宋体"/>
          <w:color w:val="auto"/>
          <w:sz w:val="24"/>
          <w:szCs w:val="24"/>
          <w:highlight w:val="none"/>
        </w:rPr>
        <w:t>228.34 万元、2027 年</w:t>
      </w:r>
      <w:r>
        <w:rPr>
          <w:rFonts w:hint="eastAsia" w:ascii="宋体" w:hAnsi="宋体" w:eastAsia="宋体" w:cs="宋体"/>
          <w:color w:val="auto"/>
          <w:sz w:val="24"/>
          <w:szCs w:val="24"/>
          <w:highlight w:val="none"/>
          <w:lang w:eastAsia="zh-CN"/>
        </w:rPr>
        <w:t>计划</w:t>
      </w:r>
      <w:r>
        <w:rPr>
          <w:rFonts w:hint="eastAsia" w:ascii="宋体" w:hAnsi="宋体" w:eastAsia="宋体" w:cs="宋体"/>
          <w:color w:val="auto"/>
          <w:sz w:val="24"/>
          <w:szCs w:val="24"/>
          <w:highlight w:val="none"/>
        </w:rPr>
        <w:t>334.64 万元、2028 年</w:t>
      </w:r>
      <w:r>
        <w:rPr>
          <w:rFonts w:hint="eastAsia" w:ascii="宋体" w:hAnsi="宋体" w:eastAsia="宋体" w:cs="宋体"/>
          <w:color w:val="auto"/>
          <w:sz w:val="24"/>
          <w:szCs w:val="24"/>
          <w:highlight w:val="none"/>
          <w:lang w:eastAsia="zh-CN"/>
        </w:rPr>
        <w:t>计划</w:t>
      </w:r>
      <w:r>
        <w:rPr>
          <w:rFonts w:hint="eastAsia" w:ascii="宋体" w:hAnsi="宋体" w:eastAsia="宋体" w:cs="宋体"/>
          <w:color w:val="auto"/>
          <w:sz w:val="24"/>
          <w:szCs w:val="24"/>
          <w:highlight w:val="none"/>
        </w:rPr>
        <w:t>334.64 万元、2029 年1-4 月</w:t>
      </w:r>
      <w:r>
        <w:rPr>
          <w:rFonts w:hint="eastAsia" w:ascii="宋体" w:hAnsi="宋体" w:eastAsia="宋体" w:cs="宋体"/>
          <w:color w:val="auto"/>
          <w:sz w:val="24"/>
          <w:szCs w:val="24"/>
          <w:highlight w:val="none"/>
          <w:lang w:eastAsia="zh-CN"/>
        </w:rPr>
        <w:t>计划</w:t>
      </w:r>
      <w:r>
        <w:rPr>
          <w:rFonts w:hint="eastAsia" w:ascii="宋体" w:hAnsi="宋体" w:eastAsia="宋体" w:cs="宋体"/>
          <w:color w:val="auto"/>
          <w:sz w:val="24"/>
          <w:szCs w:val="24"/>
          <w:highlight w:val="none"/>
        </w:rPr>
        <w:t>118.00 万元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合计预算</w:t>
      </w:r>
      <w:r>
        <w:rPr>
          <w:rFonts w:hint="eastAsia" w:ascii="宋体" w:hAnsi="宋体" w:eastAsia="宋体" w:cs="宋体"/>
          <w:color w:val="auto"/>
          <w:sz w:val="24"/>
          <w:szCs w:val="24"/>
          <w:highlight w:val="none"/>
          <w:lang w:val="en-US" w:eastAsia="zh-CN"/>
        </w:rPr>
        <w:t>1015.62</w:t>
      </w:r>
      <w:r>
        <w:rPr>
          <w:rFonts w:hint="eastAsia" w:ascii="宋体" w:hAnsi="宋体" w:eastAsia="宋体" w:cs="宋体"/>
          <w:color w:val="auto"/>
          <w:sz w:val="24"/>
          <w:szCs w:val="24"/>
          <w:highlight w:val="none"/>
        </w:rPr>
        <w:t>万元</w:t>
      </w:r>
      <w:r>
        <w:rPr>
          <w:rFonts w:hint="eastAsia" w:ascii="宋体" w:hAnsi="宋体" w:eastAsia="宋体" w:cs="宋体"/>
          <w:color w:val="auto"/>
          <w:sz w:val="24"/>
          <w:szCs w:val="24"/>
          <w:highlight w:val="none"/>
          <w:lang w:eastAsia="zh-CN"/>
        </w:rPr>
        <w:t>；</w:t>
      </w:r>
    </w:p>
    <w:p w14:paraId="22BD288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lang w:val="en-US" w:eastAsia="zh-CN"/>
        </w:rPr>
        <w:t>D段（广西壮</w:t>
      </w:r>
      <w:r>
        <w:rPr>
          <w:rFonts w:hint="eastAsia" w:ascii="宋体" w:hAnsi="宋体" w:eastAsia="宋体" w:cs="宋体"/>
          <w:color w:val="auto"/>
          <w:sz w:val="24"/>
          <w:szCs w:val="24"/>
          <w:highlight w:val="none"/>
          <w:lang w:val="en-US" w:eastAsia="zh-CN"/>
        </w:rPr>
        <w:t>族自治区灌阳公路养护中心）：</w:t>
      </w:r>
      <w:r>
        <w:rPr>
          <w:rFonts w:hint="eastAsia" w:ascii="宋体" w:hAnsi="宋体" w:eastAsia="宋体" w:cs="宋体"/>
          <w:color w:val="auto"/>
          <w:sz w:val="24"/>
          <w:szCs w:val="24"/>
          <w:highlight w:val="none"/>
        </w:rPr>
        <w:t xml:space="preserve"> 2026 年</w:t>
      </w:r>
      <w:r>
        <w:rPr>
          <w:rFonts w:hint="eastAsia" w:ascii="宋体" w:hAnsi="宋体" w:eastAsia="宋体" w:cs="宋体"/>
          <w:color w:val="auto"/>
          <w:sz w:val="24"/>
          <w:szCs w:val="24"/>
          <w:highlight w:val="none"/>
          <w:lang w:eastAsia="zh-CN"/>
        </w:rPr>
        <w:t>预算安排</w:t>
      </w:r>
      <w:r>
        <w:rPr>
          <w:rFonts w:hint="eastAsia" w:ascii="宋体" w:hAnsi="宋体" w:eastAsia="宋体" w:cs="宋体"/>
          <w:color w:val="auto"/>
          <w:sz w:val="24"/>
          <w:szCs w:val="24"/>
          <w:highlight w:val="none"/>
        </w:rPr>
        <w:t xml:space="preserve"> 199.89 万元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2027 年</w:t>
      </w:r>
      <w:r>
        <w:rPr>
          <w:rFonts w:hint="eastAsia" w:ascii="宋体" w:hAnsi="宋体" w:eastAsia="宋体" w:cs="宋体"/>
          <w:color w:val="auto"/>
          <w:sz w:val="24"/>
          <w:szCs w:val="24"/>
          <w:highlight w:val="none"/>
          <w:lang w:eastAsia="zh-CN"/>
        </w:rPr>
        <w:t>计划</w:t>
      </w:r>
      <w:r>
        <w:rPr>
          <w:rFonts w:hint="eastAsia" w:ascii="宋体" w:hAnsi="宋体" w:eastAsia="宋体" w:cs="宋体"/>
          <w:color w:val="auto"/>
          <w:sz w:val="24"/>
          <w:szCs w:val="24"/>
          <w:highlight w:val="none"/>
        </w:rPr>
        <w:t xml:space="preserve"> 286.19 万元、2028 年</w:t>
      </w:r>
      <w:r>
        <w:rPr>
          <w:rFonts w:hint="eastAsia" w:ascii="宋体" w:hAnsi="宋体" w:eastAsia="宋体" w:cs="宋体"/>
          <w:color w:val="auto"/>
          <w:sz w:val="24"/>
          <w:szCs w:val="24"/>
          <w:highlight w:val="none"/>
          <w:lang w:eastAsia="zh-CN"/>
        </w:rPr>
        <w:t>计划</w:t>
      </w:r>
      <w:r>
        <w:rPr>
          <w:rFonts w:hint="eastAsia" w:ascii="宋体" w:hAnsi="宋体" w:eastAsia="宋体" w:cs="宋体"/>
          <w:color w:val="auto"/>
          <w:sz w:val="24"/>
          <w:szCs w:val="24"/>
          <w:highlight w:val="none"/>
        </w:rPr>
        <w:t xml:space="preserve"> 286.19 万元、2029年 1-4 月</w:t>
      </w:r>
      <w:r>
        <w:rPr>
          <w:rFonts w:hint="eastAsia" w:ascii="宋体" w:hAnsi="宋体" w:eastAsia="宋体" w:cs="宋体"/>
          <w:color w:val="auto"/>
          <w:sz w:val="24"/>
          <w:szCs w:val="24"/>
          <w:highlight w:val="none"/>
          <w:lang w:eastAsia="zh-CN"/>
        </w:rPr>
        <w:t>计划</w:t>
      </w:r>
      <w:r>
        <w:rPr>
          <w:rFonts w:hint="eastAsia" w:ascii="宋体" w:hAnsi="宋体" w:eastAsia="宋体" w:cs="宋体"/>
          <w:color w:val="auto"/>
          <w:sz w:val="24"/>
          <w:szCs w:val="24"/>
          <w:highlight w:val="none"/>
        </w:rPr>
        <w:t xml:space="preserve"> 95 万元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合计预算</w:t>
      </w:r>
      <w:r>
        <w:rPr>
          <w:rFonts w:hint="eastAsia" w:ascii="宋体" w:hAnsi="宋体" w:eastAsia="宋体" w:cs="宋体"/>
          <w:color w:val="auto"/>
          <w:sz w:val="24"/>
          <w:szCs w:val="24"/>
          <w:highlight w:val="none"/>
          <w:lang w:val="en-US" w:eastAsia="zh-CN"/>
        </w:rPr>
        <w:t>867.27</w:t>
      </w:r>
      <w:r>
        <w:rPr>
          <w:rFonts w:hint="eastAsia" w:ascii="宋体" w:hAnsi="宋体" w:eastAsia="宋体" w:cs="宋体"/>
          <w:color w:val="auto"/>
          <w:sz w:val="24"/>
          <w:szCs w:val="24"/>
          <w:highlight w:val="none"/>
        </w:rPr>
        <w:t>万元。</w:t>
      </w:r>
    </w:p>
    <w:p w14:paraId="283D54B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sz w:val="24"/>
          <w:szCs w:val="24"/>
        </w:rPr>
      </w:pPr>
      <w:r>
        <w:rPr>
          <w:rFonts w:hint="eastAsia"/>
          <w:sz w:val="24"/>
          <w:szCs w:val="24"/>
          <w:lang w:val="en-US" w:eastAsia="zh-CN"/>
        </w:rPr>
        <w:t>（注</w:t>
      </w:r>
      <w:r>
        <w:rPr>
          <w:rFonts w:hint="eastAsia"/>
          <w:sz w:val="24"/>
          <w:szCs w:val="24"/>
          <w:highlight w:val="none"/>
          <w:lang w:val="en-US" w:eastAsia="zh-CN"/>
        </w:rPr>
        <w:t>：</w:t>
      </w:r>
      <w:r>
        <w:rPr>
          <w:rFonts w:hint="eastAsia" w:ascii="宋体" w:hAnsi="宋体" w:eastAsia="宋体" w:cs="宋体"/>
          <w:color w:val="auto"/>
          <w:sz w:val="24"/>
          <w:szCs w:val="24"/>
          <w:highlight w:val="none"/>
        </w:rPr>
        <w:t>2027年、2028年、2029年的最终金额根据发包人上级批复的部门预算情况而定。如采购人上级批复的日常养护经费预算整体调整（含减少或增加），若上级批复的</w:t>
      </w:r>
      <w:r>
        <w:rPr>
          <w:rFonts w:hint="eastAsia" w:ascii="宋体" w:hAnsi="宋体" w:eastAsia="宋体" w:cs="宋体"/>
          <w:color w:val="auto"/>
          <w:sz w:val="24"/>
          <w:szCs w:val="24"/>
          <w:highlight w:val="none"/>
          <w:lang w:val="en-US" w:eastAsia="zh-CN"/>
        </w:rPr>
        <w:t>年度</w:t>
      </w:r>
      <w:r>
        <w:rPr>
          <w:rFonts w:hint="eastAsia" w:ascii="宋体" w:hAnsi="宋体" w:eastAsia="宋体" w:cs="宋体"/>
          <w:color w:val="auto"/>
          <w:sz w:val="24"/>
          <w:szCs w:val="24"/>
          <w:highlight w:val="none"/>
        </w:rPr>
        <w:t>部门预算</w:t>
      </w:r>
      <w:r>
        <w:rPr>
          <w:rFonts w:hint="eastAsia" w:cs="宋体"/>
          <w:color w:val="auto"/>
          <w:sz w:val="24"/>
          <w:szCs w:val="24"/>
          <w:highlight w:val="none"/>
          <w:lang w:val="en-US" w:eastAsia="zh-CN"/>
        </w:rPr>
        <w:t>调整</w:t>
      </w:r>
      <w:r>
        <w:rPr>
          <w:rFonts w:hint="eastAsia" w:ascii="宋体" w:hAnsi="宋体" w:eastAsia="宋体" w:cs="宋体"/>
          <w:color w:val="auto"/>
          <w:sz w:val="24"/>
          <w:szCs w:val="24"/>
          <w:highlight w:val="none"/>
        </w:rPr>
        <w:t>幅度</w:t>
      </w:r>
      <w:r>
        <w:rPr>
          <w:rFonts w:hint="eastAsia" w:cs="宋体"/>
          <w:color w:val="auto"/>
          <w:sz w:val="24"/>
          <w:szCs w:val="24"/>
          <w:highlight w:val="none"/>
          <w:lang w:val="en-US" w:eastAsia="zh-CN"/>
        </w:rPr>
        <w:t>未超出三年合同总价10%（含本数）的，</w:t>
      </w:r>
      <w:r>
        <w:rPr>
          <w:rFonts w:hint="eastAsia" w:ascii="宋体" w:hAnsi="宋体" w:eastAsia="宋体" w:cs="宋体"/>
          <w:color w:val="auto"/>
          <w:sz w:val="24"/>
          <w:szCs w:val="24"/>
          <w:highlight w:val="none"/>
        </w:rPr>
        <w:t>按原合同</w:t>
      </w:r>
      <w:r>
        <w:rPr>
          <w:rFonts w:hint="eastAsia" w:cs="宋体"/>
          <w:color w:val="auto"/>
          <w:sz w:val="24"/>
          <w:szCs w:val="24"/>
          <w:highlight w:val="none"/>
          <w:lang w:val="en-US" w:eastAsia="zh-CN"/>
        </w:rPr>
        <w:t>单价相应调整合同总价</w:t>
      </w:r>
      <w:r>
        <w:rPr>
          <w:rFonts w:hint="eastAsia" w:ascii="宋体" w:hAnsi="宋体" w:eastAsia="宋体" w:cs="宋体"/>
          <w:color w:val="auto"/>
          <w:sz w:val="24"/>
          <w:szCs w:val="24"/>
          <w:highlight w:val="none"/>
        </w:rPr>
        <w:t>继续履行</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若上级批复的</w:t>
      </w:r>
      <w:r>
        <w:rPr>
          <w:rFonts w:hint="eastAsia" w:ascii="宋体" w:hAnsi="宋体" w:eastAsia="宋体" w:cs="宋体"/>
          <w:color w:val="auto"/>
          <w:sz w:val="24"/>
          <w:szCs w:val="24"/>
          <w:highlight w:val="none"/>
          <w:lang w:val="en-US" w:eastAsia="zh-CN"/>
        </w:rPr>
        <w:t>年度</w:t>
      </w:r>
      <w:r>
        <w:rPr>
          <w:rFonts w:hint="eastAsia" w:ascii="宋体" w:hAnsi="宋体" w:eastAsia="宋体" w:cs="宋体"/>
          <w:color w:val="auto"/>
          <w:sz w:val="24"/>
          <w:szCs w:val="24"/>
          <w:highlight w:val="none"/>
        </w:rPr>
        <w:t>部门预算</w:t>
      </w:r>
      <w:r>
        <w:rPr>
          <w:rFonts w:hint="eastAsia" w:ascii="宋体" w:hAnsi="宋体" w:eastAsia="宋体" w:cs="宋体"/>
          <w:color w:val="auto"/>
          <w:sz w:val="24"/>
          <w:szCs w:val="24"/>
          <w:highlight w:val="none"/>
          <w:lang w:val="en-US" w:eastAsia="zh-CN"/>
        </w:rPr>
        <w:t>调整减少</w:t>
      </w:r>
      <w:r>
        <w:rPr>
          <w:rFonts w:hint="eastAsia" w:ascii="宋体" w:hAnsi="宋体" w:eastAsia="宋体" w:cs="宋体"/>
          <w:color w:val="auto"/>
          <w:sz w:val="24"/>
          <w:szCs w:val="24"/>
          <w:highlight w:val="none"/>
        </w:rPr>
        <w:t>幅度超出</w:t>
      </w:r>
      <w:r>
        <w:rPr>
          <w:rFonts w:hint="eastAsia" w:cs="宋体"/>
          <w:color w:val="auto"/>
          <w:sz w:val="24"/>
          <w:szCs w:val="24"/>
          <w:highlight w:val="none"/>
          <w:lang w:val="en-US" w:eastAsia="zh-CN"/>
        </w:rPr>
        <w:t>三年合同总价10%（含本数）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由</w:t>
      </w:r>
      <w:r>
        <w:rPr>
          <w:rFonts w:hint="eastAsia" w:ascii="宋体" w:hAnsi="宋体" w:eastAsia="宋体" w:cs="宋体"/>
          <w:color w:val="auto"/>
          <w:sz w:val="24"/>
          <w:szCs w:val="24"/>
          <w:highlight w:val="none"/>
        </w:rPr>
        <w:t>双方协商解决</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rPr>
        <w:t>如达成一致的，</w:t>
      </w:r>
      <w:r>
        <w:rPr>
          <w:rFonts w:hint="eastAsia" w:ascii="宋体" w:hAnsi="宋体" w:eastAsia="宋体" w:cs="宋体"/>
          <w:color w:val="auto"/>
          <w:sz w:val="24"/>
          <w:szCs w:val="24"/>
          <w:highlight w:val="none"/>
          <w:lang w:val="en-US" w:eastAsia="zh-CN"/>
        </w:rPr>
        <w:t>调整</w:t>
      </w:r>
      <w:r>
        <w:rPr>
          <w:rFonts w:hint="eastAsia" w:ascii="宋体" w:hAnsi="宋体" w:eastAsia="宋体" w:cs="宋体"/>
          <w:color w:val="auto"/>
          <w:sz w:val="24"/>
          <w:szCs w:val="24"/>
          <w:highlight w:val="none"/>
        </w:rPr>
        <w:t>原合同单价签订补充协议；如达不成一致的，双方有权单方面终止</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，采购人及时退还承包人履约保证金，承包人须予接受，且发包人不予赔偿承包人的任何损失。</w:t>
      </w:r>
      <w:r>
        <w:rPr>
          <w:rFonts w:hint="eastAsia"/>
          <w:sz w:val="24"/>
          <w:szCs w:val="24"/>
          <w:highlight w:val="none"/>
          <w:lang w:eastAsia="zh-CN"/>
        </w:rPr>
        <w:t>）</w:t>
      </w:r>
    </w:p>
    <w:p w14:paraId="613579CF">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最高限价：4568.53万元。其中: 2026年1042.71万元，2027年1506.91万元，2028年1506.91万元，2029年1月-4月512万元。包含：</w:t>
      </w:r>
    </w:p>
    <w:p w14:paraId="50AEC211">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A段投标限价1594.12万元，其中2026年375.84 万元，2027年522.14万元，2028年522.14万元，2029年1月-4月174 万元；</w:t>
      </w:r>
    </w:p>
    <w:p w14:paraId="08B390E1">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B段投标限价1091.52万元，其中2026年238.64万元，2027年363.94万元，2028年363.94万元，2029年1月-4月125 万元；</w:t>
      </w:r>
    </w:p>
    <w:p w14:paraId="1E7A4F8D">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C段投标限价1015.62万元，其中2026年228.34万元，2027年334.64万元，2028年334.64万元，2029年1月-4月118.00万元；</w:t>
      </w:r>
    </w:p>
    <w:p w14:paraId="174FAD0E">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D段投标限价867.27万元，其中2026年199.89 万元，2027年286.19万元，2028年286.19万元，2029年1月-4月95 万元。</w:t>
      </w:r>
    </w:p>
    <w:p w14:paraId="709CE740">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sz w:val="24"/>
          <w:szCs w:val="24"/>
        </w:rPr>
      </w:pPr>
    </w:p>
    <w:p w14:paraId="0C4706B0">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rPr>
          <w:sz w:val="24"/>
          <w:szCs w:val="24"/>
        </w:rPr>
      </w:pPr>
    </w:p>
    <w:p w14:paraId="6C991402">
      <w:pPr>
        <w:keepNext w:val="0"/>
        <w:keepLines w:val="0"/>
        <w:pageBreakBefore w:val="0"/>
        <w:widowControl/>
        <w:kinsoku w:val="0"/>
        <w:wordWrap/>
        <w:overflowPunct/>
        <w:topLinePunct w:val="0"/>
        <w:autoSpaceDE w:val="0"/>
        <w:autoSpaceDN w:val="0"/>
        <w:bidi w:val="0"/>
        <w:adjustRightInd w:val="0"/>
        <w:snapToGrid w:val="0"/>
        <w:ind w:firstLine="480" w:firstLineChars="200"/>
        <w:textAlignment w:val="baseline"/>
      </w:pPr>
      <w:r>
        <w:rPr>
          <w:sz w:val="24"/>
          <w:szCs w:val="24"/>
        </w:rPr>
        <w:t>采购需求：</w:t>
      </w:r>
    </w:p>
    <w:p w14:paraId="1CA9FC20">
      <w:pPr>
        <w:spacing w:line="115" w:lineRule="auto"/>
        <w:rPr>
          <w:rFonts w:ascii="Arial"/>
          <w:sz w:val="2"/>
        </w:rPr>
      </w:pPr>
    </w:p>
    <w:tbl>
      <w:tblPr>
        <w:tblStyle w:val="30"/>
        <w:tblW w:w="888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58"/>
        <w:gridCol w:w="3156"/>
        <w:gridCol w:w="780"/>
        <w:gridCol w:w="4290"/>
      </w:tblGrid>
      <w:tr w14:paraId="049FCD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658" w:type="dxa"/>
            <w:vAlign w:val="center"/>
          </w:tcPr>
          <w:p w14:paraId="59EDE4E3">
            <w:pPr>
              <w:keepNext w:val="0"/>
              <w:keepLines w:val="0"/>
              <w:pageBreakBefore w:val="0"/>
              <w:widowControl/>
              <w:kinsoku w:val="0"/>
              <w:wordWrap/>
              <w:overflowPunct/>
              <w:topLinePunct w:val="0"/>
              <w:autoSpaceDE w:val="0"/>
              <w:autoSpaceDN w:val="0"/>
              <w:bidi w:val="0"/>
              <w:adjustRightInd w:val="0"/>
              <w:snapToGrid w:val="0"/>
              <w:ind w:left="0" w:leftChars="0" w:right="0" w:rightChars="0" w:firstLine="0" w:firstLineChars="0"/>
              <w:jc w:val="center"/>
              <w:textAlignment w:val="baseline"/>
              <w:rPr>
                <w:b/>
                <w:sz w:val="24"/>
                <w:szCs w:val="24"/>
              </w:rPr>
            </w:pPr>
            <w:r>
              <w:rPr>
                <w:b/>
                <w:sz w:val="24"/>
                <w:szCs w:val="24"/>
              </w:rPr>
              <w:t>序号</w:t>
            </w:r>
          </w:p>
        </w:tc>
        <w:tc>
          <w:tcPr>
            <w:tcW w:w="3156" w:type="dxa"/>
            <w:vAlign w:val="center"/>
          </w:tcPr>
          <w:p w14:paraId="14ADD0E6">
            <w:pPr>
              <w:keepNext w:val="0"/>
              <w:keepLines w:val="0"/>
              <w:pageBreakBefore w:val="0"/>
              <w:widowControl/>
              <w:kinsoku w:val="0"/>
              <w:wordWrap/>
              <w:overflowPunct/>
              <w:topLinePunct w:val="0"/>
              <w:autoSpaceDE w:val="0"/>
              <w:autoSpaceDN w:val="0"/>
              <w:bidi w:val="0"/>
              <w:adjustRightInd w:val="0"/>
              <w:snapToGrid w:val="0"/>
              <w:ind w:left="0" w:leftChars="0" w:right="0" w:rightChars="0" w:firstLine="0" w:firstLineChars="0"/>
              <w:jc w:val="center"/>
              <w:textAlignment w:val="baseline"/>
              <w:rPr>
                <w:b/>
                <w:sz w:val="24"/>
                <w:szCs w:val="24"/>
              </w:rPr>
            </w:pPr>
            <w:r>
              <w:rPr>
                <w:b/>
                <w:sz w:val="24"/>
                <w:szCs w:val="24"/>
              </w:rPr>
              <w:t>标的的名称</w:t>
            </w:r>
          </w:p>
        </w:tc>
        <w:tc>
          <w:tcPr>
            <w:tcW w:w="0" w:type="auto"/>
            <w:vAlign w:val="center"/>
          </w:tcPr>
          <w:p w14:paraId="7E007CF5">
            <w:pPr>
              <w:keepNext w:val="0"/>
              <w:keepLines w:val="0"/>
              <w:pageBreakBefore w:val="0"/>
              <w:widowControl/>
              <w:kinsoku w:val="0"/>
              <w:wordWrap/>
              <w:overflowPunct/>
              <w:topLinePunct w:val="0"/>
              <w:autoSpaceDE w:val="0"/>
              <w:autoSpaceDN w:val="0"/>
              <w:bidi w:val="0"/>
              <w:adjustRightInd w:val="0"/>
              <w:snapToGrid w:val="0"/>
              <w:ind w:left="0" w:leftChars="0" w:right="0" w:rightChars="0" w:firstLine="0" w:firstLineChars="0"/>
              <w:jc w:val="center"/>
              <w:textAlignment w:val="baseline"/>
              <w:rPr>
                <w:b/>
                <w:sz w:val="24"/>
                <w:szCs w:val="24"/>
              </w:rPr>
            </w:pPr>
            <w:r>
              <w:rPr>
                <w:b/>
                <w:sz w:val="24"/>
                <w:szCs w:val="24"/>
              </w:rPr>
              <w:t>数量及单位</w:t>
            </w:r>
          </w:p>
        </w:tc>
        <w:tc>
          <w:tcPr>
            <w:tcW w:w="4290" w:type="dxa"/>
            <w:vAlign w:val="center"/>
          </w:tcPr>
          <w:p w14:paraId="58A38354">
            <w:pPr>
              <w:keepNext w:val="0"/>
              <w:keepLines w:val="0"/>
              <w:pageBreakBefore w:val="0"/>
              <w:widowControl/>
              <w:kinsoku w:val="0"/>
              <w:wordWrap/>
              <w:overflowPunct/>
              <w:topLinePunct w:val="0"/>
              <w:autoSpaceDE w:val="0"/>
              <w:autoSpaceDN w:val="0"/>
              <w:bidi w:val="0"/>
              <w:adjustRightInd w:val="0"/>
              <w:snapToGrid w:val="0"/>
              <w:ind w:left="0" w:leftChars="0" w:right="0" w:rightChars="0" w:firstLine="0" w:firstLineChars="0"/>
              <w:jc w:val="center"/>
              <w:textAlignment w:val="baseline"/>
              <w:rPr>
                <w:b/>
                <w:sz w:val="24"/>
                <w:szCs w:val="24"/>
              </w:rPr>
            </w:pPr>
            <w:r>
              <w:rPr>
                <w:b/>
                <w:sz w:val="24"/>
                <w:szCs w:val="24"/>
              </w:rPr>
              <w:t>简要技术需求或者服务要求</w:t>
            </w:r>
          </w:p>
        </w:tc>
      </w:tr>
      <w:tr w14:paraId="6CF1FD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658" w:type="dxa"/>
            <w:vAlign w:val="center"/>
          </w:tcPr>
          <w:p w14:paraId="33D09386">
            <w:pPr>
              <w:keepNext w:val="0"/>
              <w:keepLines w:val="0"/>
              <w:pageBreakBefore w:val="0"/>
              <w:widowControl/>
              <w:kinsoku w:val="0"/>
              <w:wordWrap/>
              <w:overflowPunct/>
              <w:topLinePunct w:val="0"/>
              <w:autoSpaceDE w:val="0"/>
              <w:autoSpaceDN w:val="0"/>
              <w:bidi w:val="0"/>
              <w:adjustRightInd w:val="0"/>
              <w:snapToGrid w:val="0"/>
              <w:ind w:left="0" w:leftChars="0" w:right="0" w:rightChars="0" w:firstLine="0" w:firstLineChars="0"/>
              <w:jc w:val="center"/>
              <w:textAlignment w:val="baseline"/>
              <w:rPr>
                <w:rFonts w:ascii="Arial" w:eastAsia="Arial"/>
                <w:sz w:val="24"/>
                <w:szCs w:val="24"/>
              </w:rPr>
            </w:pPr>
            <w:r>
              <w:rPr>
                <w:rFonts w:ascii="Arial" w:eastAsia="Arial"/>
                <w:sz w:val="24"/>
                <w:szCs w:val="24"/>
              </w:rPr>
              <w:t>1</w:t>
            </w:r>
          </w:p>
        </w:tc>
        <w:tc>
          <w:tcPr>
            <w:tcW w:w="3156" w:type="dxa"/>
            <w:vAlign w:val="center"/>
          </w:tcPr>
          <w:p w14:paraId="2F965338">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Arial" w:eastAsia="宋体"/>
                <w:sz w:val="24"/>
                <w:szCs w:val="24"/>
                <w:lang w:val="en-US" w:eastAsia="zh-CN"/>
              </w:rPr>
            </w:pPr>
            <w:r>
              <w:rPr>
                <w:rFonts w:hint="default" w:eastAsia="宋体"/>
                <w:sz w:val="24"/>
                <w:szCs w:val="24"/>
                <w:lang w:val="en-US" w:eastAsia="zh-CN"/>
              </w:rPr>
              <w:t>广西壮族自治区桂林公路发展中心南片区2026年—2029年普通国省干线公路养护服务项目</w:t>
            </w:r>
          </w:p>
        </w:tc>
        <w:tc>
          <w:tcPr>
            <w:tcW w:w="780" w:type="dxa"/>
            <w:vAlign w:val="center"/>
          </w:tcPr>
          <w:p w14:paraId="20FE2905">
            <w:pPr>
              <w:keepNext w:val="0"/>
              <w:keepLines w:val="0"/>
              <w:pageBreakBefore w:val="0"/>
              <w:widowControl/>
              <w:kinsoku w:val="0"/>
              <w:wordWrap/>
              <w:overflowPunct/>
              <w:topLinePunct w:val="0"/>
              <w:autoSpaceDE w:val="0"/>
              <w:autoSpaceDN w:val="0"/>
              <w:bidi w:val="0"/>
              <w:adjustRightInd w:val="0"/>
              <w:snapToGrid w:val="0"/>
              <w:ind w:left="0" w:leftChars="0" w:right="0" w:rightChars="0" w:firstLine="0" w:firstLineChars="0"/>
              <w:jc w:val="left"/>
              <w:textAlignment w:val="baseline"/>
              <w:rPr>
                <w:rFonts w:ascii="Arial" w:eastAsia="Arial"/>
                <w:sz w:val="24"/>
                <w:szCs w:val="24"/>
              </w:rPr>
            </w:pPr>
            <w:r>
              <w:rPr>
                <w:rFonts w:ascii="Arial" w:eastAsia="Arial"/>
                <w:sz w:val="24"/>
                <w:szCs w:val="24"/>
              </w:rPr>
              <w:t>1 项</w:t>
            </w:r>
          </w:p>
        </w:tc>
        <w:tc>
          <w:tcPr>
            <w:tcW w:w="4290" w:type="dxa"/>
            <w:vAlign w:val="center"/>
          </w:tcPr>
          <w:p w14:paraId="4BE2254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ascii="Arial" w:eastAsia="Arial"/>
                <w:sz w:val="24"/>
                <w:szCs w:val="24"/>
              </w:rPr>
            </w:pPr>
            <w:r>
              <w:rPr>
                <w:rFonts w:hint="default"/>
                <w:sz w:val="24"/>
                <w:szCs w:val="24"/>
                <w:lang w:val="en-US" w:eastAsia="zh-CN"/>
              </w:rPr>
              <w:t>广西壮族自治区桂林公路发展中心南片区2026年—2029年普通国省干线公路养护服务项目</w:t>
            </w:r>
            <w:r>
              <w:rPr>
                <w:rFonts w:hint="eastAsia" w:ascii="Arial" w:eastAsia="Arial"/>
                <w:b w:val="0"/>
                <w:bCs w:val="0"/>
                <w:sz w:val="24"/>
                <w:szCs w:val="24"/>
                <w:highlight w:val="none"/>
                <w:lang w:eastAsia="zh-CN"/>
              </w:rPr>
              <w:t>。</w:t>
            </w:r>
            <w:r>
              <w:rPr>
                <w:rFonts w:hint="eastAsia" w:ascii="宋体" w:hAnsi="宋体" w:eastAsia="宋体" w:cs="宋体"/>
                <w:b w:val="0"/>
                <w:bCs w:val="0"/>
                <w:spacing w:val="0"/>
                <w:w w:val="100"/>
                <w:position w:val="0"/>
                <w:sz w:val="24"/>
                <w:szCs w:val="24"/>
                <w:highlight w:val="none"/>
              </w:rPr>
              <w:t>按《公路养护技术标准》（JTG 5110－2023）和国家现行公路养护技术规范要求</w:t>
            </w:r>
            <w:r>
              <w:rPr>
                <w:rFonts w:hint="eastAsia" w:ascii="宋体" w:hAnsi="宋体" w:eastAsia="宋体" w:cs="宋体"/>
                <w:b w:val="0"/>
                <w:bCs w:val="0"/>
                <w:spacing w:val="0"/>
                <w:w w:val="100"/>
                <w:position w:val="0"/>
                <w:sz w:val="24"/>
                <w:szCs w:val="24"/>
                <w:highlight w:val="none"/>
                <w:lang w:val="en-US" w:eastAsia="zh-CN"/>
              </w:rPr>
              <w:t>开展</w:t>
            </w:r>
            <w:r>
              <w:rPr>
                <w:rFonts w:hint="eastAsia" w:ascii="宋体" w:hAnsi="宋体" w:eastAsia="宋体" w:cs="宋体"/>
                <w:b w:val="0"/>
                <w:bCs w:val="0"/>
                <w:spacing w:val="0"/>
                <w:w w:val="100"/>
                <w:position w:val="0"/>
                <w:sz w:val="24"/>
                <w:szCs w:val="24"/>
                <w:highlight w:val="none"/>
                <w:lang w:eastAsia="zh-CN"/>
              </w:rPr>
              <w:t>巡查检查、日常保养（含绿化）、日常维修、应急处置、冬季除冰雪、数据填报与管理、</w:t>
            </w:r>
            <w:r>
              <w:rPr>
                <w:rFonts w:hint="eastAsia" w:ascii="宋体" w:hAnsi="宋体" w:eastAsia="宋体" w:cs="宋体"/>
                <w:b w:val="0"/>
                <w:bCs w:val="0"/>
                <w:spacing w:val="0"/>
                <w:w w:val="100"/>
                <w:position w:val="0"/>
                <w:sz w:val="24"/>
                <w:szCs w:val="24"/>
                <w:highlight w:val="none"/>
                <w:lang w:val="en-US" w:eastAsia="zh-CN"/>
              </w:rPr>
              <w:t>安全生产管理、不可预见的专项养护工程等工作。</w:t>
            </w:r>
            <w:r>
              <w:rPr>
                <w:rFonts w:ascii="Arial" w:eastAsia="Arial"/>
                <w:sz w:val="24"/>
                <w:szCs w:val="24"/>
                <w:highlight w:val="none"/>
              </w:rPr>
              <w:t>（具体内容详见公开招标文件)</w:t>
            </w:r>
          </w:p>
        </w:tc>
      </w:tr>
    </w:tbl>
    <w:p w14:paraId="116108A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合同履行期限：项目为一采多年，服务期 36 个月，2026年5月1日至2029年4月30日</w:t>
      </w:r>
      <w:r>
        <w:rPr>
          <w:rFonts w:hint="eastAsia" w:asciiTheme="majorEastAsia" w:hAnsiTheme="majorEastAsia" w:eastAsiaTheme="majorEastAsia" w:cstheme="majorEastAsia"/>
          <w:sz w:val="24"/>
          <w:szCs w:val="24"/>
          <w:lang w:eastAsia="zh-CN"/>
        </w:rPr>
        <w:t>。</w:t>
      </w:r>
    </w:p>
    <w:p w14:paraId="7991572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本项目</w:t>
      </w:r>
      <w:r>
        <w:rPr>
          <w:rFonts w:hint="eastAsia" w:asciiTheme="majorEastAsia" w:hAnsiTheme="majorEastAsia" w:eastAsiaTheme="majorEastAsia" w:cstheme="majorEastAsia"/>
          <w:b/>
          <w:bCs/>
          <w:sz w:val="24"/>
          <w:szCs w:val="24"/>
          <w:lang w:val="en-US" w:eastAsia="zh-CN"/>
        </w:rPr>
        <w:t>不</w:t>
      </w:r>
      <w:r>
        <w:rPr>
          <w:rFonts w:hint="eastAsia" w:asciiTheme="majorEastAsia" w:hAnsiTheme="majorEastAsia" w:eastAsiaTheme="majorEastAsia" w:cstheme="majorEastAsia"/>
          <w:b/>
          <w:bCs/>
          <w:sz w:val="24"/>
          <w:szCs w:val="24"/>
        </w:rPr>
        <w:t>接受联合体投标。</w:t>
      </w:r>
    </w:p>
    <w:p w14:paraId="70B8E76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2" w:firstLineChars="200"/>
        <w:textAlignment w:val="baseline"/>
        <w:outlineLvl w:val="1"/>
        <w:rPr>
          <w:rFonts w:hint="eastAsia" w:asciiTheme="majorEastAsia" w:hAnsiTheme="majorEastAsia" w:eastAsiaTheme="majorEastAsia" w:cstheme="majorEastAsia"/>
          <w:b/>
          <w:bCs/>
          <w:sz w:val="24"/>
          <w:szCs w:val="24"/>
        </w:rPr>
      </w:pPr>
      <w:bookmarkStart w:id="6" w:name="_Toc10693"/>
      <w:bookmarkStart w:id="7" w:name="_Toc28927"/>
      <w:r>
        <w:rPr>
          <w:rFonts w:hint="eastAsia" w:asciiTheme="majorEastAsia" w:hAnsiTheme="majorEastAsia" w:eastAsiaTheme="majorEastAsia" w:cstheme="majorEastAsia"/>
          <w:b/>
          <w:bCs/>
          <w:sz w:val="24"/>
          <w:szCs w:val="24"/>
        </w:rPr>
        <w:t>二、申请人的资格要求：</w:t>
      </w:r>
      <w:bookmarkEnd w:id="6"/>
      <w:bookmarkEnd w:id="7"/>
    </w:p>
    <w:p w14:paraId="6DA3DEF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0" w:firstLineChars="200"/>
        <w:textAlignment w:val="baseline"/>
        <w:outlineLvl w:val="2"/>
        <w:rPr>
          <w:rFonts w:hint="eastAsia" w:asciiTheme="majorEastAsia" w:hAnsiTheme="majorEastAsia" w:eastAsiaTheme="majorEastAsia" w:cstheme="majorEastAsia"/>
          <w:sz w:val="24"/>
          <w:szCs w:val="24"/>
        </w:rPr>
      </w:pPr>
      <w:bookmarkStart w:id="8" w:name="_Toc29664"/>
      <w:bookmarkStart w:id="9" w:name="_Toc8053"/>
      <w:r>
        <w:rPr>
          <w:rFonts w:hint="eastAsia" w:asciiTheme="majorEastAsia" w:hAnsiTheme="majorEastAsia" w:eastAsiaTheme="majorEastAsia" w:cstheme="majorEastAsia"/>
          <w:sz w:val="24"/>
          <w:szCs w:val="24"/>
        </w:rPr>
        <w:t>1.满足《中华人民共和国政府采购法》第二十二条规定。</w:t>
      </w:r>
      <w:bookmarkEnd w:id="8"/>
      <w:bookmarkEnd w:id="9"/>
    </w:p>
    <w:p w14:paraId="14C9E55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2.面向</w:t>
      </w:r>
      <w:r>
        <w:rPr>
          <w:rFonts w:hint="eastAsia" w:asciiTheme="majorEastAsia" w:hAnsiTheme="majorEastAsia" w:eastAsiaTheme="majorEastAsia" w:cstheme="majorEastAsia"/>
          <w:sz w:val="24"/>
          <w:szCs w:val="24"/>
          <w:lang w:val="en-US" w:eastAsia="zh-CN"/>
        </w:rPr>
        <w:t>所有</w:t>
      </w:r>
      <w:r>
        <w:rPr>
          <w:rFonts w:hint="eastAsia" w:asciiTheme="majorEastAsia" w:hAnsiTheme="majorEastAsia" w:eastAsiaTheme="majorEastAsia" w:cstheme="majorEastAsia"/>
          <w:sz w:val="24"/>
          <w:szCs w:val="24"/>
        </w:rPr>
        <w:t>企业采购</w:t>
      </w:r>
      <w:r>
        <w:rPr>
          <w:rFonts w:hint="eastAsia" w:asciiTheme="majorEastAsia" w:hAnsiTheme="majorEastAsia" w:eastAsiaTheme="majorEastAsia" w:cstheme="majorEastAsia"/>
          <w:sz w:val="24"/>
          <w:szCs w:val="24"/>
          <w:lang w:eastAsia="zh-CN"/>
        </w:rPr>
        <w:t>。</w:t>
      </w:r>
    </w:p>
    <w:p w14:paraId="7C7DA016">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0" w:firstLineChars="200"/>
        <w:textAlignment w:val="baseline"/>
        <w:outlineLvl w:val="2"/>
        <w:rPr>
          <w:rFonts w:hint="eastAsia" w:asciiTheme="majorEastAsia" w:hAnsiTheme="majorEastAsia" w:eastAsiaTheme="majorEastAsia" w:cstheme="majorEastAsia"/>
          <w:sz w:val="24"/>
          <w:szCs w:val="24"/>
        </w:rPr>
      </w:pPr>
      <w:bookmarkStart w:id="10" w:name="_Toc29523"/>
      <w:bookmarkStart w:id="11" w:name="_Toc30543"/>
      <w:r>
        <w:rPr>
          <w:rFonts w:hint="eastAsia" w:asciiTheme="majorEastAsia" w:hAnsiTheme="majorEastAsia" w:eastAsiaTheme="majorEastAsia" w:cstheme="majorEastAsia"/>
          <w:sz w:val="24"/>
          <w:szCs w:val="24"/>
        </w:rPr>
        <w:t>3.本项目的特定资格要求：</w:t>
      </w:r>
      <w:bookmarkEnd w:id="10"/>
      <w:bookmarkEnd w:id="11"/>
    </w:p>
    <w:p w14:paraId="3398BF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rPr>
        <w:t>（1）投标人须在中华人民共和</w:t>
      </w:r>
      <w:r>
        <w:rPr>
          <w:rFonts w:hint="eastAsia" w:asciiTheme="majorEastAsia" w:hAnsiTheme="majorEastAsia" w:eastAsiaTheme="majorEastAsia" w:cstheme="majorEastAsia"/>
          <w:sz w:val="24"/>
          <w:szCs w:val="24"/>
          <w:highlight w:val="none"/>
        </w:rPr>
        <w:t>国市场监督管理部门注册，具有有效的营业执照，须同时具备有效的公路养护作业单位路基路面养护</w:t>
      </w:r>
      <w:r>
        <w:rPr>
          <w:rFonts w:hint="eastAsia" w:asciiTheme="majorEastAsia" w:hAnsiTheme="majorEastAsia" w:eastAsiaTheme="majorEastAsia" w:cstheme="majorEastAsia"/>
          <w:color w:val="auto"/>
          <w:sz w:val="24"/>
          <w:szCs w:val="24"/>
          <w:highlight w:val="none"/>
          <w:lang w:val="en-US" w:eastAsia="zh-CN"/>
        </w:rPr>
        <w:t>乙</w:t>
      </w:r>
      <w:r>
        <w:rPr>
          <w:rFonts w:hint="eastAsia" w:asciiTheme="majorEastAsia" w:hAnsiTheme="majorEastAsia" w:eastAsiaTheme="majorEastAsia" w:cstheme="majorEastAsia"/>
          <w:color w:val="auto"/>
          <w:sz w:val="24"/>
          <w:szCs w:val="24"/>
          <w:highlight w:val="none"/>
        </w:rPr>
        <w:t>级</w:t>
      </w:r>
      <w:r>
        <w:rPr>
          <w:rFonts w:hint="eastAsia" w:asciiTheme="majorEastAsia" w:hAnsiTheme="majorEastAsia" w:eastAsiaTheme="majorEastAsia" w:cstheme="majorEastAsia"/>
          <w:color w:val="auto"/>
          <w:sz w:val="24"/>
          <w:szCs w:val="24"/>
          <w:highlight w:val="none"/>
          <w:lang w:val="en-US" w:eastAsia="zh-CN"/>
        </w:rPr>
        <w:t>或以上</w:t>
      </w:r>
      <w:r>
        <w:rPr>
          <w:rFonts w:hint="eastAsia" w:asciiTheme="majorEastAsia" w:hAnsiTheme="majorEastAsia" w:eastAsiaTheme="majorEastAsia" w:cstheme="majorEastAsia"/>
          <w:sz w:val="24"/>
          <w:szCs w:val="24"/>
          <w:highlight w:val="none"/>
        </w:rPr>
        <w:t>资质、公路养护作业单位桥梁养护</w:t>
      </w:r>
      <w:r>
        <w:rPr>
          <w:rFonts w:hint="eastAsia" w:asciiTheme="majorEastAsia" w:hAnsiTheme="majorEastAsia" w:eastAsiaTheme="majorEastAsia" w:cstheme="majorEastAsia"/>
          <w:color w:val="auto"/>
          <w:sz w:val="24"/>
          <w:szCs w:val="24"/>
          <w:highlight w:val="none"/>
          <w:lang w:val="en-US" w:eastAsia="zh-CN"/>
        </w:rPr>
        <w:t>乙</w:t>
      </w:r>
      <w:r>
        <w:rPr>
          <w:rFonts w:hint="eastAsia" w:asciiTheme="majorEastAsia" w:hAnsiTheme="majorEastAsia" w:eastAsiaTheme="majorEastAsia" w:cstheme="majorEastAsia"/>
          <w:color w:val="auto"/>
          <w:sz w:val="24"/>
          <w:szCs w:val="24"/>
          <w:highlight w:val="none"/>
        </w:rPr>
        <w:t>级</w:t>
      </w:r>
      <w:r>
        <w:rPr>
          <w:rFonts w:hint="eastAsia" w:asciiTheme="majorEastAsia" w:hAnsiTheme="majorEastAsia" w:eastAsiaTheme="majorEastAsia" w:cstheme="majorEastAsia"/>
          <w:color w:val="auto"/>
          <w:sz w:val="24"/>
          <w:szCs w:val="24"/>
          <w:highlight w:val="none"/>
          <w:lang w:val="en-US" w:eastAsia="zh-CN"/>
        </w:rPr>
        <w:t>或以上</w:t>
      </w:r>
      <w:r>
        <w:rPr>
          <w:rFonts w:hint="eastAsia" w:asciiTheme="majorEastAsia" w:hAnsiTheme="majorEastAsia" w:eastAsiaTheme="majorEastAsia" w:cstheme="majorEastAsia"/>
          <w:sz w:val="24"/>
          <w:szCs w:val="24"/>
          <w:highlight w:val="none"/>
        </w:rPr>
        <w:t>资质、公路养护作业单位隧道养护</w:t>
      </w:r>
      <w:r>
        <w:rPr>
          <w:rFonts w:hint="eastAsia" w:asciiTheme="majorEastAsia" w:hAnsiTheme="majorEastAsia" w:eastAsiaTheme="majorEastAsia" w:cstheme="majorEastAsia"/>
          <w:color w:val="auto"/>
          <w:sz w:val="24"/>
          <w:szCs w:val="24"/>
          <w:highlight w:val="none"/>
          <w:lang w:val="en-US" w:eastAsia="zh-CN"/>
        </w:rPr>
        <w:t>乙</w:t>
      </w:r>
      <w:r>
        <w:rPr>
          <w:rFonts w:hint="eastAsia" w:asciiTheme="majorEastAsia" w:hAnsiTheme="majorEastAsia" w:eastAsiaTheme="majorEastAsia" w:cstheme="majorEastAsia"/>
          <w:color w:val="auto"/>
          <w:sz w:val="24"/>
          <w:szCs w:val="24"/>
          <w:highlight w:val="none"/>
        </w:rPr>
        <w:t>级</w:t>
      </w:r>
      <w:r>
        <w:rPr>
          <w:rFonts w:hint="eastAsia" w:asciiTheme="majorEastAsia" w:hAnsiTheme="majorEastAsia" w:eastAsiaTheme="majorEastAsia" w:cstheme="majorEastAsia"/>
          <w:color w:val="auto"/>
          <w:sz w:val="24"/>
          <w:szCs w:val="24"/>
          <w:highlight w:val="none"/>
          <w:lang w:val="en-US" w:eastAsia="zh-CN"/>
        </w:rPr>
        <w:t>或以上</w:t>
      </w:r>
      <w:r>
        <w:rPr>
          <w:rFonts w:hint="eastAsia" w:asciiTheme="majorEastAsia" w:hAnsiTheme="majorEastAsia" w:eastAsiaTheme="majorEastAsia" w:cstheme="majorEastAsia"/>
          <w:sz w:val="24"/>
          <w:szCs w:val="24"/>
          <w:highlight w:val="none"/>
        </w:rPr>
        <w:t>资质、公路养护作业单位交通安全设施养护资质和省级或以上建设行政主管部门颁发的建筑施工企业安全生产许可证。并在人员、设</w:t>
      </w:r>
      <w:r>
        <w:rPr>
          <w:rFonts w:hint="eastAsia" w:asciiTheme="majorEastAsia" w:hAnsiTheme="majorEastAsia" w:eastAsiaTheme="majorEastAsia" w:cstheme="majorEastAsia"/>
          <w:sz w:val="24"/>
          <w:szCs w:val="24"/>
        </w:rPr>
        <w:t>备、资金等方面具有相应的公路</w:t>
      </w:r>
      <w:r>
        <w:rPr>
          <w:rFonts w:hint="eastAsia" w:asciiTheme="majorEastAsia" w:hAnsiTheme="majorEastAsia" w:eastAsiaTheme="majorEastAsia" w:cstheme="majorEastAsia"/>
          <w:bCs/>
          <w:sz w:val="24"/>
          <w:szCs w:val="24"/>
        </w:rPr>
        <w:t>养护服务能力</w:t>
      </w:r>
      <w:r>
        <w:rPr>
          <w:rFonts w:hint="eastAsia" w:asciiTheme="majorEastAsia" w:hAnsiTheme="majorEastAsia" w:eastAsiaTheme="majorEastAsia" w:cstheme="majorEastAsia"/>
          <w:sz w:val="24"/>
          <w:szCs w:val="24"/>
        </w:rPr>
        <w:t>。其中，投标人拟派项目经理须具备</w:t>
      </w:r>
      <w:r>
        <w:rPr>
          <w:rFonts w:hint="eastAsia" w:asciiTheme="majorEastAsia" w:hAnsiTheme="majorEastAsia" w:eastAsiaTheme="majorEastAsia" w:cstheme="majorEastAsia"/>
          <w:sz w:val="24"/>
          <w:szCs w:val="24"/>
          <w:lang w:eastAsia="zh-CN"/>
        </w:rPr>
        <w:t>公路工程专业二级注册建造师</w:t>
      </w:r>
      <w:r>
        <w:rPr>
          <w:rFonts w:hint="eastAsia" w:asciiTheme="majorEastAsia" w:hAnsiTheme="majorEastAsia" w:eastAsiaTheme="majorEastAsia" w:cstheme="majorEastAsia"/>
          <w:sz w:val="24"/>
          <w:szCs w:val="24"/>
        </w:rPr>
        <w:t>执业资格</w:t>
      </w:r>
      <w:r>
        <w:rPr>
          <w:rFonts w:hint="eastAsia" w:asciiTheme="majorEastAsia" w:hAnsiTheme="majorEastAsia" w:eastAsiaTheme="majorEastAsia" w:cstheme="majorEastAsia"/>
          <w:sz w:val="24"/>
          <w:szCs w:val="24"/>
          <w:lang w:val="en-US" w:eastAsia="zh-CN"/>
        </w:rPr>
        <w:t>和路桥类中级职称（或以上）及具备有效的安全生产考核合格证(B类)</w:t>
      </w:r>
      <w:r>
        <w:rPr>
          <w:rFonts w:hint="eastAsia" w:asciiTheme="majorEastAsia" w:hAnsiTheme="majorEastAsia" w:eastAsiaTheme="majorEastAsia" w:cstheme="majorEastAsia"/>
          <w:sz w:val="24"/>
          <w:szCs w:val="24"/>
          <w:highlight w:val="none"/>
          <w:lang w:val="en-US" w:eastAsia="zh-CN"/>
        </w:rPr>
        <w:t>【注：在岗要求：</w:t>
      </w:r>
      <w:r>
        <w:rPr>
          <w:rFonts w:hint="eastAsia" w:ascii="宋体" w:hAnsi="宋体" w:eastAsia="宋体" w:cs="宋体"/>
          <w:spacing w:val="0"/>
          <w:w w:val="100"/>
          <w:position w:val="0"/>
          <w:sz w:val="24"/>
          <w:szCs w:val="24"/>
          <w:highlight w:val="none"/>
        </w:rPr>
        <w:t>无在岗项目</w:t>
      </w:r>
      <w:r>
        <w:rPr>
          <w:rFonts w:hint="eastAsia" w:ascii="宋体" w:hAnsi="宋体" w:eastAsia="宋体" w:cs="宋体"/>
          <w:spacing w:val="0"/>
          <w:w w:val="100"/>
          <w:position w:val="0"/>
          <w:sz w:val="24"/>
          <w:szCs w:val="24"/>
          <w:highlight w:val="none"/>
          <w:lang w:eastAsia="zh-CN"/>
        </w:rPr>
        <w:t>（指目前未在其他项目上任职，或有在建项目任职的投标人应提供随时撤离承诺书）。</w:t>
      </w:r>
      <w:r>
        <w:rPr>
          <w:rFonts w:hint="eastAsia" w:asciiTheme="majorEastAsia" w:hAnsiTheme="majorEastAsia" w:eastAsiaTheme="majorEastAsia" w:cstheme="majorEastAsia"/>
          <w:sz w:val="24"/>
          <w:szCs w:val="24"/>
          <w:highlight w:val="none"/>
          <w:lang w:val="en-US" w:eastAsia="zh-CN"/>
        </w:rPr>
        <w:t>】</w:t>
      </w:r>
    </w:p>
    <w:p w14:paraId="4A444BC3">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left="0" w:leftChars="0" w:right="0" w:rightChars="0" w:firstLine="480" w:firstLineChars="200"/>
        <w:textAlignment w:val="baseline"/>
        <w:outlineLvl w:val="3"/>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（2）信誉要求</w:t>
      </w:r>
    </w:p>
    <w:p w14:paraId="5E7814F4">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kern w:val="0"/>
          <w:sz w:val="24"/>
          <w:szCs w:val="24"/>
        </w:rPr>
      </w:pPr>
      <w:r>
        <w:rPr>
          <w:rFonts w:hint="eastAsia" w:asciiTheme="majorEastAsia" w:hAnsiTheme="majorEastAsia" w:eastAsiaTheme="majorEastAsia" w:cstheme="majorEastAsia"/>
          <w:sz w:val="24"/>
          <w:szCs w:val="24"/>
        </w:rPr>
        <w:t>①</w:t>
      </w:r>
      <w:r>
        <w:rPr>
          <w:rFonts w:hint="eastAsia" w:asciiTheme="majorEastAsia" w:hAnsiTheme="majorEastAsia" w:eastAsiaTheme="majorEastAsia" w:cstheme="majorEastAsia"/>
          <w:kern w:val="0"/>
          <w:sz w:val="24"/>
          <w:szCs w:val="24"/>
        </w:rPr>
        <w:t>根据财政部《关于在政府采购活动中查询及使用信用记录有关问题的通知》（财库〔2016〕125号）的规定，对在“信用中国”网站(www.creditchina.gov.cn) 、中国政府采购网(www.ccgp.gov.cn)被列入失信被执行人、重大税收违法失信主体名单、政府采购严重违法失信行为记录名单及其他不符合《中华人民共和国政府采购法》第二十二条规定条件的供应商，不得参与政府采购活动。</w:t>
      </w:r>
    </w:p>
    <w:p w14:paraId="4DF0C3B8">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②投标人不存在国家企业信用信息公示系统（www.gsxt.gov.cn）被列入严重违法失信企业名单。</w:t>
      </w:r>
    </w:p>
    <w:p w14:paraId="5661087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③被省级及以上交通行政主管部门在全国范围内取消投标资格或禁止进入广西公路建设市场且处于有效期内的行政处罚。</w:t>
      </w:r>
    </w:p>
    <w:p w14:paraId="0E19AA0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④投标人不存在《广西壮族自治区交通运输厅关于印发广西公路养护工程施工信用评价办法的通知》（桂交规〔2022〕2号）中有关其它市场禁入性规定的情况。至递交投标文件截至日止，在广西公路养护工程施工信用等级评定为C级以上（含C级）。投标单位的信用评价等级按照《广西壮族自治区交通运输厅关于印发广西公路养护工程施工信用评价办法的通知》（桂交规〔2022〕2号）或广西壮族自治区交通运输厅最新公布的企业相关信用评价结果执行。</w:t>
      </w:r>
    </w:p>
    <w:p w14:paraId="5D94C93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⑤投标人或其法定代表人、拟委任的项目经理在近三年内(自2023年3月1日至今)不存在行贿犯罪行为(以“中国裁判文书网”查询结果为准)。</w:t>
      </w:r>
    </w:p>
    <w:p w14:paraId="116D7F8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70" w:firstLineChars="200"/>
        <w:textAlignment w:val="baseline"/>
        <w:outlineLvl w:val="1"/>
        <w:rPr>
          <w:rFonts w:hint="eastAsia" w:asciiTheme="majorEastAsia" w:hAnsiTheme="majorEastAsia" w:eastAsiaTheme="majorEastAsia" w:cstheme="majorEastAsia"/>
          <w:sz w:val="24"/>
          <w:szCs w:val="24"/>
        </w:rPr>
      </w:pPr>
      <w:bookmarkStart w:id="12" w:name="_Toc13537"/>
      <w:bookmarkStart w:id="13" w:name="_Toc15215"/>
      <w:r>
        <w:rPr>
          <w:rFonts w:hint="eastAsia" w:asciiTheme="majorEastAsia" w:hAnsiTheme="majorEastAsia" w:eastAsiaTheme="majorEastAsia" w:cstheme="majorEastAsia"/>
          <w:b/>
          <w:bCs/>
          <w:spacing w:val="-3"/>
          <w:sz w:val="24"/>
          <w:szCs w:val="24"/>
        </w:rPr>
        <w:t>三、获取招标文件</w:t>
      </w:r>
      <w:bookmarkEnd w:id="12"/>
      <w:bookmarkEnd w:id="13"/>
    </w:p>
    <w:p w14:paraId="6CE35DA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highlight w:val="yellow"/>
        </w:rPr>
      </w:pPr>
      <w:r>
        <w:rPr>
          <w:rFonts w:hint="eastAsia" w:asciiTheme="majorEastAsia" w:hAnsiTheme="majorEastAsia" w:eastAsiaTheme="majorEastAsia" w:cstheme="majorEastAsia"/>
          <w:sz w:val="24"/>
          <w:szCs w:val="24"/>
        </w:rPr>
        <w:t>时间：2026 年  月  日至 2026 年  月  日，每天上午 00:00-12:00；下午 12:00-23:59（北京时间，法定节假日除外）。</w:t>
      </w:r>
    </w:p>
    <w:p w14:paraId="4E1590F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drawing>
          <wp:anchor distT="0" distB="0" distL="0" distR="0" simplePos="0" relativeHeight="251660288" behindDoc="1" locked="0" layoutInCell="1" allowOverlap="1">
            <wp:simplePos x="0" y="0"/>
            <wp:positionH relativeFrom="column">
              <wp:posOffset>4636770</wp:posOffset>
            </wp:positionH>
            <wp:positionV relativeFrom="paragraph">
              <wp:posOffset>161290</wp:posOffset>
            </wp:positionV>
            <wp:extent cx="6350" cy="2413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30"/>
                    <a:stretch>
                      <a:fillRect/>
                    </a:stretch>
                  </pic:blipFill>
                  <pic:spPr>
                    <a:xfrm>
                      <a:off x="0" y="0"/>
                      <a:ext cx="6350" cy="241300"/>
                    </a:xfrm>
                    <a:prstGeom prst="rect">
                      <a:avLst/>
                    </a:prstGeom>
                  </pic:spPr>
                </pic:pic>
              </a:graphicData>
            </a:graphic>
          </wp:anchor>
        </w:drawing>
      </w:r>
      <w:r>
        <w:rPr>
          <w:rFonts w:hint="eastAsia" w:asciiTheme="majorEastAsia" w:hAnsiTheme="majorEastAsia" w:eastAsiaTheme="majorEastAsia" w:cstheme="majorEastAsia"/>
          <w:sz w:val="24"/>
          <w:szCs w:val="24"/>
          <w:highlight w:val="none"/>
        </w:rPr>
        <w:t>地点：广西政府采购云平台（</w:t>
      </w:r>
      <w:r>
        <w:rPr>
          <w:rFonts w:hint="eastAsia" w:asciiTheme="majorEastAsia" w:hAnsiTheme="majorEastAsia" w:eastAsiaTheme="majorEastAsia" w:cstheme="majorEastAsia"/>
          <w:sz w:val="24"/>
          <w:szCs w:val="24"/>
          <w:highlight w:val="none"/>
        </w:rPr>
        <w:fldChar w:fldCharType="begin"/>
      </w:r>
      <w:r>
        <w:rPr>
          <w:rFonts w:hint="eastAsia" w:asciiTheme="majorEastAsia" w:hAnsiTheme="majorEastAsia" w:eastAsiaTheme="majorEastAsia" w:cstheme="majorEastAsia"/>
          <w:sz w:val="24"/>
          <w:szCs w:val="24"/>
          <w:highlight w:val="none"/>
        </w:rPr>
        <w:instrText xml:space="preserve"> HYPERLINK "https://www.gcy.zfcg.gxzf.gov.cn/" </w:instrText>
      </w:r>
      <w:r>
        <w:rPr>
          <w:rFonts w:hint="eastAsia" w:asciiTheme="majorEastAsia" w:hAnsiTheme="majorEastAsia" w:eastAsiaTheme="majorEastAsia" w:cstheme="majorEastAsia"/>
          <w:sz w:val="24"/>
          <w:szCs w:val="24"/>
          <w:highlight w:val="none"/>
        </w:rPr>
        <w:fldChar w:fldCharType="separate"/>
      </w:r>
      <w:r>
        <w:rPr>
          <w:rFonts w:hint="eastAsia" w:asciiTheme="majorEastAsia" w:hAnsiTheme="majorEastAsia" w:eastAsiaTheme="majorEastAsia" w:cstheme="majorEastAsia"/>
          <w:sz w:val="24"/>
          <w:szCs w:val="24"/>
          <w:highlight w:val="none"/>
        </w:rPr>
        <w:t>https://www.gcy.zfcg.gxzf.gov.cn/</w:t>
      </w:r>
      <w:r>
        <w:rPr>
          <w:rFonts w:hint="eastAsia" w:asciiTheme="majorEastAsia" w:hAnsiTheme="majorEastAsia" w:eastAsiaTheme="majorEastAsia" w:cstheme="majorEastAsia"/>
          <w:sz w:val="24"/>
          <w:szCs w:val="24"/>
          <w:highlight w:val="none"/>
        </w:rPr>
        <w:fldChar w:fldCharType="end"/>
      </w:r>
      <w:r>
        <w:rPr>
          <w:rFonts w:hint="eastAsia" w:asciiTheme="majorEastAsia" w:hAnsiTheme="majorEastAsia" w:eastAsiaTheme="majorEastAsia" w:cstheme="majorEastAsia"/>
          <w:sz w:val="24"/>
          <w:szCs w:val="24"/>
          <w:highlight w:val="none"/>
        </w:rPr>
        <w:t>）</w:t>
      </w:r>
    </w:p>
    <w:p w14:paraId="3DF278A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方 式 ： 网 上 下 载 。 本 项 目 不 发 放 纸 质 文 件 ， 供 应 商 应 自 行 在 广 西 政 府 采 购 云 平 台（</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"https://www.gcy.zfcg.gxzf.gov.cn/"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https://www.gcy.zfcg.gxzf.gov.cn/</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）下载招标文件（操作路径：登录广西政府采购云平台-项目采购-获取采购文件-找到本项目-点击“ 申请获取采购文件 ”）， 电子投标文件制作需要基于广西政府采购云平台获取的招标文件编制。</w:t>
      </w:r>
    </w:p>
    <w:p w14:paraId="496DDFA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售价：0 元。</w:t>
      </w:r>
    </w:p>
    <w:p w14:paraId="442FB88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66" w:firstLineChars="200"/>
        <w:textAlignment w:val="baseline"/>
        <w:outlineLvl w:val="1"/>
        <w:rPr>
          <w:rFonts w:hint="eastAsia" w:asciiTheme="majorEastAsia" w:hAnsiTheme="majorEastAsia" w:eastAsiaTheme="majorEastAsia" w:cstheme="majorEastAsia"/>
          <w:sz w:val="24"/>
          <w:szCs w:val="24"/>
        </w:rPr>
      </w:pPr>
      <w:bookmarkStart w:id="14" w:name="_Toc26611"/>
      <w:bookmarkStart w:id="15" w:name="_Toc26801"/>
      <w:r>
        <w:rPr>
          <w:rFonts w:hint="eastAsia" w:asciiTheme="majorEastAsia" w:hAnsiTheme="majorEastAsia" w:eastAsiaTheme="majorEastAsia" w:cstheme="majorEastAsia"/>
          <w:b/>
          <w:bCs/>
          <w:spacing w:val="-4"/>
          <w:sz w:val="24"/>
          <w:szCs w:val="24"/>
        </w:rPr>
        <w:t>四、提交投标文件截止时间、开标时间和地点</w:t>
      </w:r>
      <w:bookmarkEnd w:id="14"/>
      <w:bookmarkEnd w:id="15"/>
    </w:p>
    <w:p w14:paraId="3BE9D8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1、截止时间：2026 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月  日 09 时 30 分（北京时间）</w:t>
      </w:r>
    </w:p>
    <w:p w14:paraId="7230BDA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2、地点：本项目将在广西政府采购云平台（</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"https://www.gcy.zfcg.gxzf.gov.cn/"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https://www.gcy.zfcg.gxzf.gov.cn/</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）电子开标大厅解密、开标。</w:t>
      </w:r>
    </w:p>
    <w:p w14:paraId="23F2668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66" w:firstLineChars="200"/>
        <w:textAlignment w:val="baseline"/>
        <w:outlineLvl w:val="1"/>
        <w:rPr>
          <w:rFonts w:hint="eastAsia" w:asciiTheme="majorEastAsia" w:hAnsiTheme="majorEastAsia" w:eastAsiaTheme="majorEastAsia" w:cstheme="majorEastAsia"/>
          <w:sz w:val="24"/>
          <w:szCs w:val="24"/>
        </w:rPr>
      </w:pPr>
      <w:bookmarkStart w:id="16" w:name="_Toc316"/>
      <w:bookmarkStart w:id="17" w:name="_Toc7672"/>
      <w:r>
        <w:rPr>
          <w:rFonts w:hint="eastAsia" w:asciiTheme="majorEastAsia" w:hAnsiTheme="majorEastAsia" w:eastAsiaTheme="majorEastAsia" w:cstheme="majorEastAsia"/>
          <w:b/>
          <w:bCs/>
          <w:spacing w:val="-4"/>
          <w:sz w:val="24"/>
          <w:szCs w:val="24"/>
        </w:rPr>
        <w:t>五、公告期限</w:t>
      </w:r>
      <w:bookmarkEnd w:id="16"/>
      <w:bookmarkEnd w:id="17"/>
    </w:p>
    <w:p w14:paraId="70C9D6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自本公告发布之日起 5 个工作日。</w:t>
      </w:r>
    </w:p>
    <w:p w14:paraId="6C6CF94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66" w:firstLineChars="200"/>
        <w:textAlignment w:val="baseline"/>
        <w:outlineLvl w:val="1"/>
        <w:rPr>
          <w:rFonts w:hint="eastAsia" w:asciiTheme="majorEastAsia" w:hAnsiTheme="majorEastAsia" w:eastAsiaTheme="majorEastAsia" w:cstheme="majorEastAsia"/>
          <w:sz w:val="24"/>
          <w:szCs w:val="24"/>
        </w:rPr>
      </w:pPr>
      <w:bookmarkStart w:id="18" w:name="_Toc2355"/>
      <w:bookmarkStart w:id="19" w:name="_Toc4305"/>
      <w:r>
        <w:rPr>
          <w:rFonts w:hint="eastAsia" w:asciiTheme="majorEastAsia" w:hAnsiTheme="majorEastAsia" w:eastAsiaTheme="majorEastAsia" w:cstheme="majorEastAsia"/>
          <w:b/>
          <w:bCs/>
          <w:spacing w:val="-4"/>
          <w:sz w:val="24"/>
          <w:szCs w:val="24"/>
        </w:rPr>
        <w:t>六、其他补充事宜</w:t>
      </w:r>
      <w:bookmarkEnd w:id="18"/>
      <w:bookmarkEnd w:id="19"/>
    </w:p>
    <w:p w14:paraId="6949EBB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0" w:firstLineChars="200"/>
        <w:textAlignment w:val="baseline"/>
        <w:outlineLvl w:val="2"/>
        <w:rPr>
          <w:rFonts w:hint="eastAsia" w:asciiTheme="majorEastAsia" w:hAnsiTheme="majorEastAsia" w:eastAsiaTheme="majorEastAsia" w:cstheme="majorEastAsia"/>
          <w:color w:val="auto"/>
          <w:sz w:val="24"/>
          <w:szCs w:val="24"/>
          <w:highlight w:val="none"/>
          <w:lang w:eastAsia="zh-CN"/>
        </w:rPr>
      </w:pPr>
      <w:bookmarkStart w:id="20" w:name="_Toc8131"/>
      <w:bookmarkStart w:id="21" w:name="_Toc14067"/>
      <w:r>
        <w:rPr>
          <w:rFonts w:hint="eastAsia" w:asciiTheme="majorEastAsia" w:hAnsiTheme="majorEastAsia" w:eastAsiaTheme="majorEastAsia" w:cstheme="majorEastAsia"/>
          <w:sz w:val="24"/>
          <w:szCs w:val="24"/>
        </w:rPr>
        <w:t>1、投标保证金（人民</w:t>
      </w:r>
      <w:r>
        <w:rPr>
          <w:rFonts w:hint="eastAsia" w:asciiTheme="majorEastAsia" w:hAnsiTheme="majorEastAsia" w:eastAsiaTheme="majorEastAsia" w:cstheme="majorEastAsia"/>
          <w:sz w:val="24"/>
          <w:szCs w:val="24"/>
          <w:highlight w:val="none"/>
        </w:rPr>
        <w:t>币）</w:t>
      </w:r>
      <w:r>
        <w:rPr>
          <w:rFonts w:hint="eastAsia" w:asciiTheme="majorEastAsia" w:hAnsiTheme="majorEastAsia" w:eastAsiaTheme="majorEastAsia" w:cstheme="majorEastAsia"/>
          <w:color w:val="auto"/>
          <w:sz w:val="24"/>
          <w:szCs w:val="24"/>
          <w:highlight w:val="none"/>
        </w:rPr>
        <w:t>：</w:t>
      </w:r>
      <w:r>
        <w:rPr>
          <w:rFonts w:hint="default" w:asciiTheme="majorEastAsia" w:hAnsiTheme="majorEastAsia" w:eastAsiaTheme="majorEastAsia" w:cstheme="majorEastAsia"/>
          <w:color w:val="auto"/>
          <w:sz w:val="24"/>
          <w:szCs w:val="24"/>
          <w:highlight w:val="none"/>
          <w:lang w:val="en-US"/>
        </w:rPr>
        <w:t>40</w:t>
      </w:r>
      <w:r>
        <w:rPr>
          <w:rFonts w:hint="eastAsia" w:asciiTheme="majorEastAsia" w:hAnsiTheme="majorEastAsia" w:eastAsiaTheme="majorEastAsia" w:cstheme="majorEastAsia"/>
          <w:color w:val="auto"/>
          <w:sz w:val="24"/>
          <w:szCs w:val="24"/>
          <w:highlight w:val="none"/>
        </w:rPr>
        <w:t>万</w:t>
      </w:r>
      <w:r>
        <w:rPr>
          <w:rFonts w:hint="eastAsia" w:asciiTheme="majorEastAsia" w:hAnsiTheme="majorEastAsia" w:eastAsiaTheme="majorEastAsia" w:cstheme="majorEastAsia"/>
          <w:color w:val="auto"/>
          <w:kern w:val="0"/>
          <w:sz w:val="24"/>
          <w:szCs w:val="24"/>
          <w:highlight w:val="none"/>
        </w:rPr>
        <w:t>元。</w:t>
      </w:r>
      <w:bookmarkEnd w:id="20"/>
      <w:bookmarkEnd w:id="21"/>
    </w:p>
    <w:p w14:paraId="181E5DE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A534A8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3、根据财政部《关于在政府采购活动中查询及使用信用记录有关问题的通知》（财库〔2016〕125 号）的规定，对在“信用中国”网站(</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"https://www.creditchina.gov.cn"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www.creditchina.gov.cn</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、中国政府采购网(</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"https://www.ccgp.gov.cn"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www.ccgp.gov.cn</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)被列入失信被执行人、重大税收违法失信主体名单、政府采购严重违法失信行为记录名单及其他不符合《中华人民共和国政府采购法》第二十二条规定条件的供应商，不得参与政府采购活动。</w:t>
      </w:r>
    </w:p>
    <w:p w14:paraId="1946B2A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rPr>
        <w:t>4、网上查询地址：</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"http://www.ccgp.gov.cn"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http://www.ccgp.gov.cn</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（中国政府采购网）、</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"http://zfcg.gxzf.gov.cn"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http://zfcg.gxzf.gov.cn</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（广西壮族自治区政府采购网）、</w:t>
      </w:r>
      <w:r>
        <w:rPr>
          <w:rFonts w:hint="eastAsia" w:asciiTheme="majorEastAsia" w:hAnsiTheme="majorEastAsia" w:eastAsiaTheme="majorEastAsia" w:cstheme="majorEastAsia"/>
          <w:sz w:val="24"/>
          <w:szCs w:val="24"/>
          <w:highlight w:val="none"/>
        </w:rPr>
        <w:fldChar w:fldCharType="begin"/>
      </w:r>
      <w:r>
        <w:rPr>
          <w:rFonts w:hint="eastAsia" w:asciiTheme="majorEastAsia" w:hAnsiTheme="majorEastAsia" w:eastAsiaTheme="majorEastAsia" w:cstheme="majorEastAsia"/>
          <w:sz w:val="24"/>
          <w:szCs w:val="24"/>
          <w:highlight w:val="none"/>
        </w:rPr>
        <w:instrText xml:space="preserve"> HYPERLINK "http://ggzy.jgswj.gxzf.gov.cn/hzggzy/" </w:instrText>
      </w:r>
      <w:r>
        <w:rPr>
          <w:rFonts w:hint="eastAsia" w:asciiTheme="majorEastAsia" w:hAnsiTheme="majorEastAsia" w:eastAsiaTheme="majorEastAsia" w:cstheme="majorEastAsia"/>
          <w:sz w:val="24"/>
          <w:szCs w:val="24"/>
          <w:highlight w:val="none"/>
        </w:rPr>
        <w:fldChar w:fldCharType="separate"/>
      </w:r>
      <w:r>
        <w:rPr>
          <w:rFonts w:hint="eastAsia" w:asciiTheme="majorEastAsia" w:hAnsiTheme="majorEastAsia" w:eastAsiaTheme="majorEastAsia" w:cstheme="majorEastAsia"/>
          <w:sz w:val="24"/>
          <w:szCs w:val="24"/>
          <w:highlight w:val="none"/>
          <w:lang w:eastAsia="zh-CN"/>
        </w:rPr>
        <w:t>http://ggzy.jgswj.gxzf.gov.cn/gxggzy/</w:t>
      </w:r>
      <w:r>
        <w:rPr>
          <w:rFonts w:hint="eastAsia" w:asciiTheme="majorEastAsia" w:hAnsiTheme="majorEastAsia" w:eastAsiaTheme="majorEastAsia" w:cstheme="majorEastAsia"/>
          <w:sz w:val="24"/>
          <w:szCs w:val="24"/>
          <w:highlight w:val="none"/>
        </w:rPr>
        <w:fldChar w:fldCharType="end"/>
      </w:r>
      <w:r>
        <w:rPr>
          <w:rFonts w:hint="eastAsia" w:asciiTheme="majorEastAsia" w:hAnsiTheme="majorEastAsia" w:eastAsiaTheme="majorEastAsia" w:cstheme="majorEastAsia"/>
          <w:sz w:val="24"/>
          <w:szCs w:val="24"/>
          <w:highlight w:val="none"/>
        </w:rPr>
        <w:t>（全国公共资源交易平台</w:t>
      </w:r>
      <w:r>
        <w:rPr>
          <w:rFonts w:hint="eastAsia" w:asciiTheme="majorEastAsia" w:hAnsiTheme="majorEastAsia" w:eastAsiaTheme="majorEastAsia" w:cstheme="majorEastAsia"/>
          <w:sz w:val="24"/>
          <w:szCs w:val="24"/>
          <w:highlight w:val="none"/>
          <w:lang w:val="en-US" w:eastAsia="zh-CN"/>
        </w:rPr>
        <w:t>广西壮族自治区</w:t>
      </w:r>
      <w:r>
        <w:rPr>
          <w:rFonts w:hint="eastAsia" w:asciiTheme="majorEastAsia" w:hAnsiTheme="majorEastAsia" w:eastAsiaTheme="majorEastAsia" w:cstheme="majorEastAsia"/>
          <w:sz w:val="24"/>
          <w:szCs w:val="24"/>
          <w:highlight w:val="none"/>
        </w:rPr>
        <w:t>）。</w:t>
      </w:r>
    </w:p>
    <w:p w14:paraId="1DA55735">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0" w:firstLineChars="200"/>
        <w:textAlignment w:val="baseline"/>
        <w:outlineLvl w:val="2"/>
        <w:rPr>
          <w:rFonts w:hint="eastAsia" w:asciiTheme="majorEastAsia" w:hAnsiTheme="majorEastAsia" w:eastAsiaTheme="majorEastAsia" w:cstheme="majorEastAsia"/>
          <w:sz w:val="24"/>
          <w:szCs w:val="24"/>
        </w:rPr>
      </w:pPr>
      <w:bookmarkStart w:id="22" w:name="_Toc9982"/>
      <w:bookmarkStart w:id="23" w:name="_Toc20573"/>
      <w:r>
        <w:rPr>
          <w:rFonts w:hint="eastAsia" w:asciiTheme="majorEastAsia" w:hAnsiTheme="majorEastAsia" w:eastAsiaTheme="majorEastAsia" w:cstheme="majorEastAsia"/>
          <w:sz w:val="24"/>
          <w:szCs w:val="24"/>
        </w:rPr>
        <w:t>5、本项目需要落实的政府采购政策：</w:t>
      </w:r>
      <w:bookmarkEnd w:id="22"/>
      <w:bookmarkEnd w:id="23"/>
    </w:p>
    <w:p w14:paraId="32E88FB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（1）政府采购促进中小企业发展。</w:t>
      </w:r>
    </w:p>
    <w:p w14:paraId="6065053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（2）政府采购支持采用本国产品的政策。</w:t>
      </w:r>
    </w:p>
    <w:p w14:paraId="1A95690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（3）强制采购节能产品；优先采购节能产品、环境标志产品。</w:t>
      </w:r>
    </w:p>
    <w:p w14:paraId="2646147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（4）政府采购促进残疾人就业政策。</w:t>
      </w:r>
    </w:p>
    <w:p w14:paraId="79128FF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（5）政府采购支持监狱企业发展。</w:t>
      </w:r>
    </w:p>
    <w:p w14:paraId="2292699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（6）扶持不发达地区和少数民族地区政策。</w:t>
      </w:r>
    </w:p>
    <w:p w14:paraId="03D3BD0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0" w:firstLineChars="200"/>
        <w:textAlignment w:val="baseline"/>
        <w:outlineLvl w:val="2"/>
        <w:rPr>
          <w:rFonts w:hint="eastAsia" w:asciiTheme="majorEastAsia" w:hAnsiTheme="majorEastAsia" w:eastAsiaTheme="majorEastAsia" w:cstheme="majorEastAsia"/>
          <w:sz w:val="24"/>
          <w:szCs w:val="24"/>
        </w:rPr>
      </w:pPr>
      <w:bookmarkStart w:id="24" w:name="_Toc30071"/>
      <w:bookmarkStart w:id="25" w:name="_Toc349"/>
      <w:r>
        <w:rPr>
          <w:rFonts w:hint="eastAsia" w:asciiTheme="majorEastAsia" w:hAnsiTheme="majorEastAsia" w:eastAsiaTheme="majorEastAsia" w:cstheme="majorEastAsia"/>
          <w:sz w:val="24"/>
          <w:szCs w:val="24"/>
        </w:rPr>
        <w:t>6、投标注意事项：</w:t>
      </w:r>
      <w:bookmarkEnd w:id="24"/>
      <w:bookmarkEnd w:id="25"/>
    </w:p>
    <w:p w14:paraId="251CFE5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 ）投标文件提交方式： 本项目为全流程电子化政府采购项目 ， 通过广西政府采购云平台（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"https://www.gcy.zfcg.gxzf.gov.cn/"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https://www.gcy.zfcg.gxzf.gov.cn/</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）实行在线电子投标，供应商应先安装“广西政府采购云平台电子交易客户端 ”（请自行前往广西政府采购云平台进行下载），并按照本项目招标文件和广西政府采购云平台的要求编制、加密后在投标截止时间前通过网络上传至广西政府采购云平台，</w:t>
      </w:r>
      <w:r>
        <w:rPr>
          <w:rFonts w:hint="eastAsia" w:asciiTheme="majorEastAsia" w:hAnsiTheme="majorEastAsia" w:eastAsiaTheme="majorEastAsia" w:cstheme="majorEastAsia"/>
          <w:b/>
          <w:bCs/>
          <w:sz w:val="24"/>
          <w:szCs w:val="24"/>
        </w:rPr>
        <w:t>供应商在广西政府采购云平台提交电子版投标文件时，请填写参加远程开标活动经办人联系方式</w:t>
      </w:r>
      <w:r>
        <w:rPr>
          <w:rFonts w:hint="eastAsia" w:asciiTheme="majorEastAsia" w:hAnsiTheme="majorEastAsia" w:eastAsiaTheme="majorEastAsia" w:cstheme="majorEastAsia"/>
          <w:sz w:val="24"/>
          <w:szCs w:val="24"/>
        </w:rPr>
        <w:t>。</w:t>
      </w:r>
    </w:p>
    <w:p w14:paraId="7224CFE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（2）供应商应及时熟悉掌握电子标系统操作指南（见广西政府采购云平台电子卖场首页右上角—服务中心—帮助文档—项目采购）：</w:t>
      </w:r>
    </w:p>
    <w:p w14:paraId="2A755DE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"https://service.zcygov.cn/#/knowledges/tree?tag=AG1DtGwBFdiHxlNdhY0r"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https://service.zcygov.cn/#/knowledges/tree?tag=AG1DtGwBFdiHxlNdhY0r</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；及时完成 CA 申领和绑定（见广西壮族自治区政府采购网—办事服务—下载专区-广西政府采购云平台CA 证书办理操作指南）。</w:t>
      </w:r>
    </w:p>
    <w:p w14:paraId="057EC44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（3）未进行网上注册并办理数字证书（CA 认证）的供应商将无法参与本项目政府采购活动，潜在供应商应当在投标截止时间前，完成电子交易平台上的CA 数字证书办理及投标文件的提交。完成 CA 数字证书办理预计 7 日左右，投标人只需办理其中一家 CA 数字证书及签章，建议各投标人抓紧时间办理。</w:t>
      </w:r>
    </w:p>
    <w:p w14:paraId="5BCE1BA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（4）为确保网上操作合法、有效和安全，请投标人确保在电子投标过程中能够对相关数据电文进行加密和使用电子签章，妥善保管 CA 数字证书并使用有效的 CA 数字证书参与整个采购活动。</w:t>
      </w:r>
    </w:p>
    <w:p w14:paraId="0A30777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7AA0D8E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7、CA 证书在线解密：供应商投标时，需携带制作投标文件时用来加密的有效数字证书（CA 认证）登录广西政府采购云平台电子开标大厅现场按规定时间对加密的投标文件进行解密，否则后果自负。</w:t>
      </w:r>
    </w:p>
    <w:p w14:paraId="34625BC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8 、 若 对 项 目 采 购 电 子 交 易 系 统 操 作 有 疑 问 ， 可 登 录 广 西 政 府 采 购 云 平 台（ </w:t>
      </w: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"https://www.gcy.zfcg.gxzf.gov.cn/"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https://www.gcy.zfcg.gxzf.gov.cn/</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rPr>
        <w:t>） ，点击右侧咨询小采，获取采小蜜智能服务管家帮助，或拨打广西政府采购云平台服务热线 95763 获取热线服务帮助。</w:t>
      </w:r>
    </w:p>
    <w:p w14:paraId="59A55F4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9.评标说明注意事项：本项目采用远程异地评标，评标主会场地址：南宁市青秀区星湖路 22 号（</w:t>
      </w:r>
      <w:r>
        <w:rPr>
          <w:rFonts w:ascii="宋体" w:hAnsi="宋体" w:eastAsia="宋体" w:cs="宋体"/>
          <w:sz w:val="24"/>
          <w:szCs w:val="24"/>
        </w:rPr>
        <w:t>广西壮族自治区公共资源交易中心</w:t>
      </w:r>
      <w:r>
        <w:rPr>
          <w:rFonts w:hint="eastAsia" w:asciiTheme="majorEastAsia" w:hAnsiTheme="majorEastAsia" w:eastAsiaTheme="majorEastAsia" w:cstheme="majorEastAsia"/>
          <w:sz w:val="24"/>
          <w:szCs w:val="24"/>
        </w:rPr>
        <w:t>）详见现场电子评标室安排），评标副会场地址：</w:t>
      </w:r>
      <w:r>
        <w:rPr>
          <w:rFonts w:hint="eastAsia" w:asciiTheme="majorEastAsia" w:hAnsiTheme="majorEastAsia" w:eastAsiaTheme="majorEastAsia" w:cstheme="majorEastAsia"/>
          <w:sz w:val="24"/>
          <w:szCs w:val="24"/>
          <w:highlight w:val="yellow"/>
        </w:rPr>
        <w:t>**********。</w:t>
      </w:r>
    </w:p>
    <w:p w14:paraId="53D78D5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70" w:firstLineChars="200"/>
        <w:textAlignment w:val="baseline"/>
        <w:outlineLvl w:val="1"/>
        <w:rPr>
          <w:rFonts w:hint="eastAsia" w:asciiTheme="majorEastAsia" w:hAnsiTheme="majorEastAsia" w:eastAsiaTheme="majorEastAsia" w:cstheme="majorEastAsia"/>
          <w:sz w:val="24"/>
          <w:szCs w:val="24"/>
        </w:rPr>
      </w:pPr>
      <w:bookmarkStart w:id="26" w:name="_Toc21650"/>
      <w:bookmarkStart w:id="27" w:name="_Toc20156"/>
      <w:bookmarkStart w:id="28" w:name="_Toc11690"/>
      <w:r>
        <w:rPr>
          <w:rFonts w:hint="eastAsia" w:asciiTheme="majorEastAsia" w:hAnsiTheme="majorEastAsia" w:eastAsiaTheme="majorEastAsia" w:cstheme="majorEastAsia"/>
          <w:b/>
          <w:bCs/>
          <w:spacing w:val="-3"/>
          <w:sz w:val="24"/>
          <w:szCs w:val="24"/>
        </w:rPr>
        <w:t>七、对本次招标提出询问，请按以下方式联系。</w:t>
      </w:r>
      <w:bookmarkEnd w:id="26"/>
      <w:bookmarkEnd w:id="27"/>
      <w:bookmarkEnd w:id="28"/>
    </w:p>
    <w:p w14:paraId="3D7802BA">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0" w:firstLineChars="200"/>
        <w:textAlignment w:val="baseline"/>
        <w:outlineLvl w:val="2"/>
        <w:rPr>
          <w:rFonts w:hint="eastAsia" w:asciiTheme="majorEastAsia" w:hAnsiTheme="majorEastAsia" w:eastAsiaTheme="majorEastAsia" w:cstheme="majorEastAsia"/>
          <w:sz w:val="24"/>
          <w:szCs w:val="24"/>
        </w:rPr>
      </w:pPr>
      <w:bookmarkStart w:id="29" w:name="_Toc24910"/>
      <w:bookmarkStart w:id="30" w:name="_Toc20103"/>
      <w:r>
        <w:rPr>
          <w:rFonts w:hint="eastAsia" w:asciiTheme="majorEastAsia" w:hAnsiTheme="majorEastAsia" w:eastAsiaTheme="majorEastAsia" w:cstheme="majorEastAsia"/>
          <w:sz w:val="24"/>
          <w:szCs w:val="24"/>
        </w:rPr>
        <w:t>1.采购人信息</w:t>
      </w:r>
      <w:bookmarkEnd w:id="29"/>
      <w:bookmarkEnd w:id="30"/>
    </w:p>
    <w:p w14:paraId="5375D26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名 称：</w:t>
      </w:r>
      <w:r>
        <w:rPr>
          <w:rFonts w:hint="eastAsia" w:asciiTheme="majorEastAsia" w:hAnsiTheme="majorEastAsia" w:eastAsiaTheme="majorEastAsia" w:cstheme="majorEastAsia"/>
          <w:color w:val="auto"/>
          <w:sz w:val="24"/>
          <w:szCs w:val="24"/>
          <w:highlight w:val="none"/>
        </w:rPr>
        <w:t>广西壮族自治区恭城公路养护中心</w:t>
      </w:r>
      <w:r>
        <w:rPr>
          <w:rFonts w:hint="eastAsia" w:asciiTheme="majorEastAsia" w:hAnsiTheme="majorEastAsia" w:eastAsiaTheme="majorEastAsia" w:cstheme="majorEastAsia"/>
          <w:color w:val="auto"/>
          <w:sz w:val="24"/>
          <w:szCs w:val="24"/>
          <w:highlight w:val="none"/>
          <w:lang w:eastAsia="zh-CN"/>
        </w:rPr>
        <w:t>（牵头单位）、</w:t>
      </w:r>
      <w:r>
        <w:rPr>
          <w:rFonts w:hint="eastAsia" w:asciiTheme="majorEastAsia" w:hAnsiTheme="majorEastAsia" w:eastAsiaTheme="majorEastAsia" w:cstheme="majorEastAsia"/>
          <w:color w:val="auto"/>
          <w:sz w:val="24"/>
          <w:szCs w:val="24"/>
          <w:highlight w:val="none"/>
          <w:lang w:val="en-US" w:eastAsia="zh-CN"/>
        </w:rPr>
        <w:t xml:space="preserve"> </w:t>
      </w:r>
      <w:r>
        <w:rPr>
          <w:rFonts w:hint="eastAsia" w:asciiTheme="majorEastAsia" w:hAnsiTheme="majorEastAsia" w:eastAsiaTheme="majorEastAsia" w:cstheme="majorEastAsia"/>
          <w:color w:val="auto"/>
          <w:sz w:val="24"/>
          <w:szCs w:val="24"/>
          <w:highlight w:val="none"/>
          <w:lang w:eastAsia="zh-CN"/>
        </w:rPr>
        <w:t>广西壮族自治区平乐公路养护中心、广西壮族自治区阳朔公路养护中心、广西壮族自治区灌阳公路养护中心</w:t>
      </w:r>
    </w:p>
    <w:p w14:paraId="2F14E289">
      <w:pPr>
        <w:spacing w:before="112"/>
        <w:ind w:firstLine="480" w:firstLineChars="200"/>
        <w:jc w:val="left"/>
        <w:rPr>
          <w:rFonts w:hint="eastAsia" w:ascii="宋体" w:hAnsi="宋体" w:cs="宋体"/>
          <w:color w:val="auto"/>
          <w:sz w:val="24"/>
          <w:szCs w:val="24"/>
          <w:highlight w:val="none"/>
          <w:u w:val="single"/>
          <w:lang w:val="en-US" w:eastAsia="zh-CN"/>
        </w:rPr>
      </w:pPr>
      <w:r>
        <w:rPr>
          <w:rFonts w:hint="eastAsia" w:asciiTheme="majorEastAsia" w:hAnsiTheme="majorEastAsia" w:eastAsiaTheme="majorEastAsia" w:cstheme="majorEastAsia"/>
          <w:sz w:val="24"/>
          <w:szCs w:val="24"/>
          <w:highlight w:val="none"/>
        </w:rPr>
        <w:t>地址：</w:t>
      </w:r>
      <w:r>
        <w:rPr>
          <w:rFonts w:hint="eastAsia" w:asciiTheme="majorEastAsia" w:hAnsiTheme="majorEastAsia" w:eastAsiaTheme="majorEastAsia" w:cstheme="majorEastAsia"/>
          <w:color w:val="auto"/>
          <w:sz w:val="24"/>
          <w:szCs w:val="24"/>
        </w:rPr>
        <w:t>广西壮族自治区恭城公路养护中心</w:t>
      </w:r>
      <w:r>
        <w:rPr>
          <w:rFonts w:hint="eastAsia" w:ascii="宋体" w:eastAsia="宋体" w:cs="宋体"/>
          <w:color w:val="auto"/>
          <w:kern w:val="0"/>
          <w:sz w:val="24"/>
          <w:szCs w:val="24"/>
          <w:highlight w:val="none"/>
          <w:lang w:eastAsia="zh-CN"/>
        </w:rPr>
        <w:t>：</w:t>
      </w:r>
      <w:r>
        <w:rPr>
          <w:rFonts w:hint="eastAsia" w:ascii="宋体" w:eastAsia="宋体" w:cs="宋体"/>
          <w:color w:val="auto"/>
          <w:kern w:val="0"/>
          <w:sz w:val="24"/>
          <w:szCs w:val="24"/>
          <w:highlight w:val="none"/>
          <w:u w:val="single"/>
          <w:lang w:eastAsia="zh-CN"/>
        </w:rPr>
        <w:t>桂林市恭城镇城中西路八巷</w:t>
      </w:r>
      <w:r>
        <w:rPr>
          <w:rFonts w:hint="eastAsia" w:ascii="宋体" w:eastAsia="宋体" w:cs="宋体"/>
          <w:color w:val="auto"/>
          <w:kern w:val="0"/>
          <w:sz w:val="24"/>
          <w:szCs w:val="24"/>
          <w:highlight w:val="none"/>
          <w:u w:val="single"/>
          <w:lang w:val="en-US" w:eastAsia="zh-CN"/>
        </w:rPr>
        <w:t>3号</w:t>
      </w:r>
    </w:p>
    <w:p w14:paraId="39BC71D3">
      <w:pPr>
        <w:spacing w:before="112"/>
        <w:ind w:firstLine="1200" w:firstLineChars="500"/>
        <w:jc w:val="left"/>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lang w:eastAsia="zh-CN"/>
        </w:rPr>
        <w:t>广西壮族自治区平乐公路养护中心：</w:t>
      </w:r>
      <w:r>
        <w:rPr>
          <w:rFonts w:hint="eastAsia" w:ascii="宋体" w:hAnsi="宋体" w:cs="宋体"/>
          <w:color w:val="auto"/>
          <w:sz w:val="24"/>
          <w:szCs w:val="24"/>
          <w:highlight w:val="none"/>
          <w:u w:val="single"/>
          <w:lang w:val="en-US" w:eastAsia="zh-CN"/>
        </w:rPr>
        <w:t>广西平乐县平乐镇安良街002号</w:t>
      </w:r>
      <w:r>
        <w:rPr>
          <w:rFonts w:hint="eastAsia" w:asciiTheme="majorEastAsia" w:hAnsiTheme="majorEastAsia" w:eastAsiaTheme="majorEastAsia" w:cstheme="majorEastAsia"/>
          <w:color w:val="auto"/>
          <w:sz w:val="24"/>
          <w:szCs w:val="24"/>
          <w:u w:val="single"/>
          <w:lang w:eastAsia="zh-CN"/>
        </w:rPr>
        <w:t xml:space="preserve"> </w:t>
      </w:r>
      <w:r>
        <w:rPr>
          <w:rFonts w:hint="eastAsia" w:asciiTheme="majorEastAsia" w:hAnsiTheme="majorEastAsia" w:eastAsiaTheme="majorEastAsia" w:cstheme="majorEastAsia"/>
          <w:color w:val="auto"/>
          <w:sz w:val="24"/>
          <w:szCs w:val="24"/>
          <w:lang w:eastAsia="zh-CN"/>
        </w:rPr>
        <w:t xml:space="preserve"> </w:t>
      </w:r>
    </w:p>
    <w:p w14:paraId="284F2FF3">
      <w:pPr>
        <w:spacing w:before="112"/>
        <w:ind w:firstLine="1200" w:firstLineChars="500"/>
        <w:jc w:val="left"/>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lang w:eastAsia="zh-CN"/>
        </w:rPr>
        <w:t>广西壮族自治区阳朔公路养护中心：</w:t>
      </w:r>
      <w:r>
        <w:rPr>
          <w:rFonts w:hint="eastAsia" w:ascii="宋体" w:hAnsi="宋体" w:cs="宋体"/>
          <w:color w:val="auto"/>
          <w:sz w:val="24"/>
          <w:szCs w:val="24"/>
          <w:highlight w:val="none"/>
          <w:u w:val="single"/>
        </w:rPr>
        <w:t>‌桂林市阳朔县阳朔镇城西路150号</w:t>
      </w:r>
      <w:r>
        <w:rPr>
          <w:rFonts w:hint="eastAsia" w:asciiTheme="majorEastAsia" w:hAnsiTheme="majorEastAsia" w:eastAsiaTheme="majorEastAsia" w:cstheme="majorEastAsia"/>
          <w:color w:val="auto"/>
          <w:sz w:val="24"/>
          <w:szCs w:val="24"/>
          <w:lang w:eastAsia="zh-CN"/>
        </w:rPr>
        <w:t xml:space="preserve">  </w:t>
      </w:r>
    </w:p>
    <w:p w14:paraId="50F78762">
      <w:pPr>
        <w:spacing w:before="112"/>
        <w:ind w:firstLine="1200" w:firstLineChars="500"/>
        <w:jc w:val="left"/>
        <w:rPr>
          <w:rFonts w:hint="default" w:asciiTheme="majorEastAsia" w:hAnsiTheme="majorEastAsia" w:eastAsiaTheme="majorEastAsia" w:cstheme="majorEastAsia"/>
          <w:color w:val="auto"/>
          <w:sz w:val="24"/>
          <w:szCs w:val="24"/>
          <w:lang w:val="en-US" w:eastAsia="zh-CN"/>
        </w:rPr>
      </w:pPr>
      <w:r>
        <w:rPr>
          <w:rFonts w:hint="eastAsia" w:asciiTheme="majorEastAsia" w:hAnsiTheme="majorEastAsia" w:eastAsiaTheme="majorEastAsia" w:cstheme="majorEastAsia"/>
          <w:color w:val="auto"/>
          <w:sz w:val="24"/>
          <w:szCs w:val="24"/>
          <w:lang w:eastAsia="zh-CN"/>
        </w:rPr>
        <w:t>广西壮族自治区灌阳公路养护中心</w:t>
      </w:r>
      <w:r>
        <w:rPr>
          <w:rFonts w:hint="default" w:asciiTheme="majorEastAsia" w:hAnsiTheme="majorEastAsia" w:eastAsiaTheme="majorEastAsia" w:cstheme="majorEastAsia"/>
          <w:color w:val="auto"/>
          <w:sz w:val="24"/>
          <w:szCs w:val="24"/>
          <w:lang w:val="en-US" w:eastAsia="zh-CN"/>
        </w:rPr>
        <w:t>:</w:t>
      </w:r>
      <w:r>
        <w:rPr>
          <w:rFonts w:hint="eastAsia" w:asciiTheme="majorEastAsia" w:hAnsiTheme="majorEastAsia" w:eastAsiaTheme="majorEastAsia" w:cstheme="majorEastAsia"/>
          <w:color w:val="auto"/>
          <w:sz w:val="24"/>
          <w:szCs w:val="24"/>
          <w:lang w:val="en-US" w:eastAsia="zh-CN"/>
        </w:rPr>
        <w:t xml:space="preserve"> </w:t>
      </w:r>
      <w:r>
        <w:rPr>
          <w:rFonts w:hint="eastAsia" w:ascii="宋体" w:hAnsi="宋体" w:cs="宋体"/>
          <w:color w:val="auto"/>
          <w:sz w:val="24"/>
          <w:szCs w:val="24"/>
          <w:highlight w:val="none"/>
          <w:u w:val="single"/>
          <w:lang w:val="en-US" w:eastAsia="zh-CN"/>
        </w:rPr>
        <w:t>桂林市灌阳县灌江北路169号</w:t>
      </w:r>
    </w:p>
    <w:p w14:paraId="495DC24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highlight w:val="none"/>
          <w:lang w:eastAsia="zh-CN"/>
        </w:rPr>
        <w:t>联系人：</w:t>
      </w:r>
      <w:r>
        <w:rPr>
          <w:rFonts w:hint="eastAsia" w:asciiTheme="majorEastAsia" w:hAnsiTheme="majorEastAsia" w:eastAsiaTheme="majorEastAsia" w:cstheme="majorEastAsia"/>
          <w:sz w:val="24"/>
          <w:szCs w:val="24"/>
          <w:lang w:val="en-US" w:eastAsia="zh-CN"/>
        </w:rPr>
        <w:t xml:space="preserve">赖鑫焱  </w:t>
      </w:r>
    </w:p>
    <w:p w14:paraId="32D6690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联系方式：</w:t>
      </w:r>
      <w:r>
        <w:rPr>
          <w:rFonts w:hint="eastAsia" w:asciiTheme="majorEastAsia" w:hAnsiTheme="majorEastAsia" w:eastAsiaTheme="majorEastAsia" w:cstheme="majorEastAsia"/>
          <w:sz w:val="24"/>
          <w:szCs w:val="24"/>
          <w:lang w:val="en-US" w:eastAsia="zh-CN"/>
        </w:rPr>
        <w:t>0773-8210910</w:t>
      </w:r>
    </w:p>
    <w:p w14:paraId="021A39D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2"/>
        <w:rPr>
          <w:rFonts w:hint="eastAsia" w:asciiTheme="majorEastAsia" w:hAnsiTheme="majorEastAsia" w:eastAsiaTheme="majorEastAsia" w:cstheme="majorEastAsia"/>
          <w:sz w:val="24"/>
          <w:szCs w:val="24"/>
        </w:rPr>
      </w:pPr>
      <w:bookmarkStart w:id="31" w:name="_Toc18731"/>
      <w:bookmarkStart w:id="32" w:name="_Toc21339"/>
      <w:r>
        <w:rPr>
          <w:rFonts w:hint="eastAsia" w:asciiTheme="majorEastAsia" w:hAnsiTheme="majorEastAsia" w:eastAsiaTheme="majorEastAsia" w:cstheme="majorEastAsia"/>
          <w:sz w:val="24"/>
          <w:szCs w:val="24"/>
        </w:rPr>
        <w:t>2.采购代理机构信息</w:t>
      </w:r>
      <w:bookmarkEnd w:id="31"/>
      <w:bookmarkEnd w:id="32"/>
    </w:p>
    <w:p w14:paraId="02D2CEA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名 称：</w:t>
      </w:r>
      <w:bookmarkStart w:id="33" w:name="bookmark14"/>
      <w:bookmarkEnd w:id="33"/>
      <w:r>
        <w:rPr>
          <w:rFonts w:hint="default" w:asciiTheme="majorEastAsia" w:hAnsiTheme="majorEastAsia" w:eastAsiaTheme="majorEastAsia" w:cstheme="majorEastAsia"/>
          <w:sz w:val="24"/>
          <w:szCs w:val="24"/>
          <w:lang w:val="en-US" w:eastAsia="zh-CN"/>
        </w:rPr>
        <w:t>广西五衡建设咨询有限公司</w:t>
      </w:r>
    </w:p>
    <w:p w14:paraId="2E8745F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地  址：</w:t>
      </w:r>
      <w:r>
        <w:rPr>
          <w:rFonts w:hint="eastAsia" w:asciiTheme="majorEastAsia" w:hAnsiTheme="majorEastAsia" w:eastAsiaTheme="majorEastAsia" w:cstheme="majorEastAsia"/>
          <w:color w:val="auto"/>
          <w:sz w:val="24"/>
          <w:szCs w:val="24"/>
        </w:rPr>
        <w:t>南宁市青秀区望园路7号卓恒.紫光阁1号楼7层702号房</w:t>
      </w:r>
    </w:p>
    <w:p w14:paraId="5ED1E29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eastAsia="zh-CN"/>
        </w:rPr>
        <w:t>联系人：</w:t>
      </w:r>
      <w:r>
        <w:rPr>
          <w:rFonts w:hint="eastAsia" w:asciiTheme="majorEastAsia" w:hAnsiTheme="majorEastAsia" w:eastAsiaTheme="majorEastAsia" w:cstheme="majorEastAsia"/>
          <w:color w:val="auto"/>
          <w:sz w:val="24"/>
          <w:szCs w:val="24"/>
          <w:lang w:eastAsia="zh-CN"/>
        </w:rPr>
        <w:t>赵一蔓</w:t>
      </w:r>
    </w:p>
    <w:p w14:paraId="6195236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联系方式：</w:t>
      </w:r>
      <w:r>
        <w:rPr>
          <w:rFonts w:hint="eastAsia" w:asciiTheme="majorEastAsia" w:hAnsiTheme="majorEastAsia" w:eastAsiaTheme="majorEastAsia" w:cstheme="majorEastAsia"/>
          <w:color w:val="auto"/>
          <w:sz w:val="24"/>
          <w:szCs w:val="24"/>
          <w:lang w:val="en-US" w:eastAsia="zh-CN"/>
        </w:rPr>
        <w:t>0773-8101393</w:t>
      </w:r>
    </w:p>
    <w:p w14:paraId="1110ED7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outlineLvl w:val="2"/>
        <w:rPr>
          <w:rFonts w:hint="eastAsia" w:asciiTheme="majorEastAsia" w:hAnsiTheme="majorEastAsia" w:eastAsiaTheme="majorEastAsia" w:cstheme="majorEastAsia"/>
          <w:sz w:val="24"/>
          <w:szCs w:val="24"/>
        </w:rPr>
      </w:pPr>
      <w:bookmarkStart w:id="34" w:name="_Toc713"/>
      <w:bookmarkStart w:id="35" w:name="_Toc17529"/>
      <w:r>
        <w:rPr>
          <w:rFonts w:hint="eastAsia" w:asciiTheme="majorEastAsia" w:hAnsiTheme="majorEastAsia" w:eastAsiaTheme="majorEastAsia" w:cstheme="majorEastAsia"/>
          <w:sz w:val="24"/>
          <w:szCs w:val="24"/>
        </w:rPr>
        <w:t>3.项目联系方式</w:t>
      </w:r>
      <w:bookmarkEnd w:id="34"/>
      <w:bookmarkEnd w:id="35"/>
    </w:p>
    <w:p w14:paraId="39701C5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项目联系人：</w:t>
      </w:r>
      <w:r>
        <w:rPr>
          <w:rFonts w:hint="eastAsia" w:asciiTheme="majorEastAsia" w:hAnsiTheme="majorEastAsia" w:eastAsiaTheme="majorEastAsia" w:cstheme="majorEastAsia"/>
          <w:color w:val="auto"/>
          <w:sz w:val="24"/>
          <w:szCs w:val="24"/>
          <w:lang w:eastAsia="zh-CN"/>
        </w:rPr>
        <w:t>赵一蔓</w:t>
      </w:r>
    </w:p>
    <w:p w14:paraId="37B676B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电  话：</w:t>
      </w:r>
      <w:r>
        <w:rPr>
          <w:rFonts w:hint="eastAsia" w:asciiTheme="majorEastAsia" w:hAnsiTheme="majorEastAsia" w:eastAsiaTheme="majorEastAsia" w:cstheme="majorEastAsia"/>
          <w:color w:val="auto"/>
          <w:sz w:val="24"/>
          <w:szCs w:val="24"/>
          <w:lang w:val="en-US" w:eastAsia="zh-CN"/>
        </w:rPr>
        <w:t>0773-8101393</w:t>
      </w:r>
    </w:p>
    <w:p w14:paraId="7E72FAF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heme="majorEastAsia" w:hAnsiTheme="majorEastAsia" w:eastAsiaTheme="majorEastAsia" w:cstheme="majorEastAsia"/>
          <w:color w:val="0000FF"/>
          <w:sz w:val="24"/>
          <w:szCs w:val="24"/>
          <w:lang w:val="en-US" w:eastAsia="zh-CN"/>
        </w:rPr>
      </w:pP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color w:val="0000FF"/>
          <w:sz w:val="24"/>
          <w:szCs w:val="24"/>
          <w:lang w:val="en-US" w:eastAsia="zh-CN"/>
        </w:rPr>
        <w:t xml:space="preserve"> </w:t>
      </w:r>
      <w:r>
        <w:rPr>
          <w:rFonts w:hint="eastAsia" w:asciiTheme="majorEastAsia" w:hAnsiTheme="majorEastAsia" w:eastAsiaTheme="majorEastAsia" w:cstheme="majorEastAsia"/>
          <w:color w:val="auto"/>
          <w:sz w:val="24"/>
          <w:szCs w:val="24"/>
          <w:lang w:val="en-US" w:eastAsia="zh-CN"/>
        </w:rPr>
        <w:t>4.监督部门：广西壮族自治区财政厅政府采购监督管理处，联系电话：0771-5331544。 广西壮族自治区桂林公路发展中心，联系电话：0773-3843344，地 址：广西壮族自治区桂林市象山区环城南二路7号。</w:t>
      </w:r>
    </w:p>
    <w:p w14:paraId="489215CE">
      <w:pPr>
        <w:bidi w:val="0"/>
        <w:ind w:firstLine="2640" w:firstLineChars="1100"/>
        <w:rPr>
          <w:rFonts w:hint="eastAsia" w:asciiTheme="majorEastAsia" w:hAnsiTheme="majorEastAsia" w:eastAsiaTheme="majorEastAsia" w:cstheme="majorEastAsia"/>
          <w:sz w:val="24"/>
          <w:szCs w:val="24"/>
        </w:rPr>
      </w:pPr>
    </w:p>
    <w:p w14:paraId="05E262A3">
      <w:pPr>
        <w:jc w:val="right"/>
      </w:pPr>
      <w:r>
        <w:rPr>
          <w:rFonts w:hint="eastAsia" w:asciiTheme="majorEastAsia" w:hAnsiTheme="majorEastAsia" w:eastAsiaTheme="majorEastAsia" w:cstheme="majorEastAsia"/>
          <w:sz w:val="24"/>
          <w:szCs w:val="24"/>
        </w:rPr>
        <w:t>2026 年</w:t>
      </w:r>
      <w:r>
        <w:rPr>
          <w:rFonts w:hint="eastAsia" w:asciiTheme="majorEastAsia" w:hAnsiTheme="majorEastAsia" w:eastAsiaTheme="majorEastAsia" w:cstheme="majorEastAsia"/>
          <w:sz w:val="24"/>
          <w:szCs w:val="24"/>
          <w:lang w:val="en-US" w:eastAsia="zh-CN"/>
        </w:rPr>
        <w:t>3</w:t>
      </w:r>
      <w:r>
        <w:rPr>
          <w:rFonts w:hint="eastAsia" w:asciiTheme="majorEastAsia" w:hAnsiTheme="majorEastAsia" w:eastAsiaTheme="majorEastAsia" w:cstheme="majorEastAsia"/>
          <w:sz w:val="24"/>
          <w:szCs w:val="24"/>
        </w:rPr>
        <w:t>月  日</w:t>
      </w:r>
    </w:p>
    <w:p w14:paraId="53E3BA14">
      <w:pPr>
        <w:rPr>
          <w:b/>
          <w:bCs/>
          <w:spacing w:val="4"/>
          <w:sz w:val="43"/>
          <w:szCs w:val="43"/>
        </w:rPr>
      </w:pPr>
      <w:r>
        <w:rPr>
          <w:b/>
          <w:bCs/>
          <w:spacing w:val="4"/>
          <w:sz w:val="43"/>
          <w:szCs w:val="43"/>
        </w:rPr>
        <w:br w:type="page"/>
      </w:r>
    </w:p>
    <w:p w14:paraId="7EF86F5B">
      <w:pPr>
        <w:pStyle w:val="2"/>
        <w:bidi w:val="0"/>
        <w:rPr>
          <w:sz w:val="43"/>
          <w:szCs w:val="43"/>
        </w:rPr>
      </w:pPr>
      <w:bookmarkStart w:id="36" w:name="_Toc11074"/>
      <w:r>
        <w:rPr>
          <w:b/>
          <w:bCs/>
          <w:spacing w:val="4"/>
          <w:sz w:val="43"/>
          <w:szCs w:val="43"/>
        </w:rPr>
        <w:t>第二章</w:t>
      </w:r>
      <w:r>
        <w:rPr>
          <w:spacing w:val="4"/>
          <w:sz w:val="43"/>
          <w:szCs w:val="43"/>
        </w:rPr>
        <w:t xml:space="preserve">  </w:t>
      </w:r>
      <w:r>
        <w:rPr>
          <w:b/>
          <w:bCs/>
          <w:spacing w:val="4"/>
          <w:sz w:val="43"/>
          <w:szCs w:val="43"/>
        </w:rPr>
        <w:t>采购需求</w:t>
      </w:r>
      <w:bookmarkEnd w:id="36"/>
    </w:p>
    <w:p w14:paraId="407F1823">
      <w:pPr>
        <w:spacing w:line="279" w:lineRule="auto"/>
        <w:rPr>
          <w:rFonts w:ascii="Arial"/>
          <w:sz w:val="21"/>
        </w:rPr>
      </w:pPr>
    </w:p>
    <w:p w14:paraId="03EBAD8C">
      <w:pPr>
        <w:spacing w:line="280" w:lineRule="auto"/>
        <w:rPr>
          <w:rFonts w:ascii="Arial"/>
          <w:sz w:val="21"/>
        </w:rPr>
      </w:pPr>
    </w:p>
    <w:p w14:paraId="0B1F8BE3">
      <w:pPr>
        <w:spacing w:line="280" w:lineRule="auto"/>
        <w:rPr>
          <w:rFonts w:ascii="Arial"/>
          <w:sz w:val="21"/>
        </w:rPr>
      </w:pPr>
    </w:p>
    <w:p w14:paraId="114FDDB6">
      <w:pPr>
        <w:pStyle w:val="11"/>
        <w:spacing w:before="78" w:line="219" w:lineRule="auto"/>
        <w:ind w:left="157"/>
        <w:rPr>
          <w:sz w:val="24"/>
          <w:szCs w:val="24"/>
        </w:rPr>
      </w:pPr>
      <w:r>
        <w:rPr>
          <w:b/>
          <w:bCs/>
          <w:spacing w:val="-7"/>
          <w:sz w:val="24"/>
          <w:szCs w:val="24"/>
        </w:rPr>
        <w:t>说明：</w:t>
      </w:r>
    </w:p>
    <w:p w14:paraId="0C8C72BE">
      <w:pPr>
        <w:pStyle w:val="33"/>
        <w:bidi w:val="0"/>
      </w:pPr>
      <w:r>
        <w:t>（1）本招标文件所称中小企业必须符合《政府采购促进中小企业发展管理办法》 （财库〔2020〕46号）的规定。</w:t>
      </w:r>
    </w:p>
    <w:p w14:paraId="26808B32">
      <w:pPr>
        <w:pStyle w:val="33"/>
        <w:bidi w:val="0"/>
      </w:pPr>
      <w:r>
        <w:t>（2）服务项目中伴随货物的，根据《财政部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号）的规定，采购需求中的产品属于节能产品政府采购品目清单内标注“★ ”的，供应商必须在投标文件中提供所竞标产品的节能产品认证证书复印件（加盖供应商公章），否则投标文件按无效处理。如本项目包含的配套货物属于品目清单内非标注“★ ”的产品时，应优先采购，具体详见“第四章 评审程序和评定成交的标准 ”。</w:t>
      </w:r>
    </w:p>
    <w:p w14:paraId="3479665D">
      <w:pPr>
        <w:pStyle w:val="33"/>
        <w:bidi w:val="0"/>
        <w:rPr>
          <w:sz w:val="20"/>
          <w:szCs w:val="20"/>
        </w:rPr>
      </w:pPr>
      <w:r>
        <w:rPr>
          <w:b/>
          <w:bCs/>
        </w:rPr>
        <w:t>2.“</w:t>
      </w:r>
      <w:r>
        <w:rPr>
          <w:rFonts w:hint="eastAsia"/>
          <w:b/>
          <w:bCs/>
        </w:rPr>
        <w:t>服务采购需求”中所有要求均为实质性要求，如不满足，否则视为无效响应</w:t>
      </w:r>
      <w:r>
        <w:rPr>
          <w:b/>
          <w:bCs/>
        </w:rPr>
        <w:t>。</w:t>
      </w:r>
    </w:p>
    <w:p w14:paraId="683F308E">
      <w:pPr>
        <w:pStyle w:val="33"/>
        <w:bidi w:val="0"/>
      </w:pPr>
      <w:r>
        <w:t>3.投标人必须对投标文件中提供的证明材料和资质文件真实性负责，如出现虚假应标情况，投标人除了应接受有关部门的处罚外，还应依据《中华人民共和国民法典》的相关条款来进行赔偿。</w:t>
      </w:r>
    </w:p>
    <w:p w14:paraId="7A0F04B2">
      <w:pPr>
        <w:pStyle w:val="33"/>
        <w:bidi w:val="0"/>
      </w:pPr>
      <w:r>
        <w:t>4.投标人应对投标内容所涉及的专利承担法律责任，并负责保护采购人的利益不受任何损害。一切由于文字、商标、技术和软件专利授权引起的法律裁决、诉讼和赔偿费用均由中标人负责。</w:t>
      </w:r>
    </w:p>
    <w:p w14:paraId="4A4D1D03">
      <w:pPr>
        <w:pStyle w:val="33"/>
        <w:bidi w:val="0"/>
      </w:pPr>
      <w:r>
        <w:t>5.享受中小企业扶持政策的供应商应当满足下列条件：在货物采购项目中，货物应当由中小企业制造，不对其中涉及的服务的承接商作出要求；在工程采购项目中，工程应当由中小企业承建，不对其中涉及的货物的制造商和服务的承接商作出要求；在服务采购项目中，服务的承接商应当为中小企业，不对其中涉及的货物的制造商作出要求。</w:t>
      </w:r>
    </w:p>
    <w:p w14:paraId="1B930434">
      <w:pPr>
        <w:pStyle w:val="33"/>
        <w:bidi w:val="0"/>
        <w:rPr>
          <w:sz w:val="24"/>
          <w:szCs w:val="24"/>
        </w:rPr>
      </w:pPr>
      <w:r>
        <w:rPr>
          <w:spacing w:val="8"/>
          <w:sz w:val="24"/>
          <w:szCs w:val="24"/>
        </w:rPr>
        <w:t>6.本项目对应的中小企业划分标准所属行业为：</w:t>
      </w:r>
      <w:r>
        <w:rPr>
          <w:rFonts w:hint="eastAsia"/>
          <w:b/>
          <w:bCs/>
          <w:spacing w:val="8"/>
          <w:sz w:val="24"/>
          <w:szCs w:val="24"/>
          <w:highlight w:val="none"/>
          <w:lang w:val="en-US" w:eastAsia="zh-CN"/>
        </w:rPr>
        <w:t>建筑</w:t>
      </w:r>
      <w:r>
        <w:rPr>
          <w:b/>
          <w:bCs/>
          <w:spacing w:val="8"/>
          <w:sz w:val="24"/>
          <w:szCs w:val="24"/>
          <w:highlight w:val="none"/>
        </w:rPr>
        <w:t>业</w:t>
      </w:r>
      <w:r>
        <w:rPr>
          <w:spacing w:val="8"/>
          <w:sz w:val="24"/>
          <w:szCs w:val="24"/>
          <w:highlight w:val="none"/>
        </w:rPr>
        <w:t>。</w:t>
      </w:r>
    </w:p>
    <w:p w14:paraId="507AE08D">
      <w:pPr>
        <w:spacing w:line="131" w:lineRule="exact"/>
      </w:pPr>
    </w:p>
    <w:tbl>
      <w:tblPr>
        <w:tblStyle w:val="30"/>
        <w:tblW w:w="98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4"/>
        <w:gridCol w:w="1099"/>
        <w:gridCol w:w="1442"/>
        <w:gridCol w:w="6520"/>
      </w:tblGrid>
      <w:tr w14:paraId="0F8F0A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04" w:type="dxa"/>
            <w:vAlign w:val="center"/>
          </w:tcPr>
          <w:p w14:paraId="143515DC">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b/>
                <w:bCs/>
                <w:spacing w:val="0"/>
                <w:w w:val="100"/>
                <w:position w:val="0"/>
                <w:sz w:val="24"/>
                <w:szCs w:val="24"/>
              </w:rPr>
              <w:t>序号</w:t>
            </w:r>
          </w:p>
        </w:tc>
        <w:tc>
          <w:tcPr>
            <w:tcW w:w="1099" w:type="dxa"/>
            <w:vAlign w:val="center"/>
          </w:tcPr>
          <w:p w14:paraId="0131C683">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b/>
                <w:bCs/>
                <w:spacing w:val="0"/>
                <w:w w:val="100"/>
                <w:position w:val="0"/>
                <w:sz w:val="24"/>
                <w:szCs w:val="24"/>
              </w:rPr>
              <w:t>标的名称</w:t>
            </w:r>
          </w:p>
        </w:tc>
        <w:tc>
          <w:tcPr>
            <w:tcW w:w="1442" w:type="dxa"/>
            <w:vAlign w:val="center"/>
          </w:tcPr>
          <w:p w14:paraId="611351B1">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b/>
                <w:bCs/>
                <w:spacing w:val="0"/>
                <w:w w:val="100"/>
                <w:position w:val="0"/>
                <w:sz w:val="24"/>
                <w:szCs w:val="24"/>
              </w:rPr>
              <w:t>数量及单位</w:t>
            </w:r>
          </w:p>
        </w:tc>
        <w:tc>
          <w:tcPr>
            <w:tcW w:w="6520" w:type="dxa"/>
            <w:vAlign w:val="center"/>
          </w:tcPr>
          <w:p w14:paraId="098FF4F4">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b/>
                <w:bCs/>
                <w:spacing w:val="0"/>
                <w:w w:val="100"/>
                <w:position w:val="0"/>
                <w:sz w:val="24"/>
                <w:szCs w:val="24"/>
              </w:rPr>
              <w:t>主要技术需求</w:t>
            </w:r>
            <w:r>
              <w:rPr>
                <w:rFonts w:hint="eastAsia" w:cs="宋体"/>
                <w:b/>
                <w:bCs/>
                <w:spacing w:val="0"/>
                <w:w w:val="100"/>
                <w:position w:val="0"/>
                <w:sz w:val="24"/>
                <w:szCs w:val="24"/>
                <w:lang w:val="en-US" w:eastAsia="zh-CN"/>
              </w:rPr>
              <w:t>和</w:t>
            </w:r>
            <w:r>
              <w:rPr>
                <w:rFonts w:hint="eastAsia" w:ascii="宋体" w:hAnsi="宋体" w:eastAsia="宋体" w:cs="宋体"/>
                <w:b/>
                <w:bCs/>
                <w:spacing w:val="0"/>
                <w:w w:val="100"/>
                <w:position w:val="0"/>
                <w:sz w:val="24"/>
                <w:szCs w:val="24"/>
              </w:rPr>
              <w:t>服务要求</w:t>
            </w:r>
          </w:p>
        </w:tc>
      </w:tr>
      <w:tr w14:paraId="663CA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04" w:type="dxa"/>
            <w:vAlign w:val="top"/>
          </w:tcPr>
          <w:p w14:paraId="50532950">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p>
          <w:p w14:paraId="6F1B5A8D">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p>
          <w:p w14:paraId="1D40CBDB">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p>
          <w:p w14:paraId="39595DB5">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p>
          <w:p w14:paraId="76F12C6C">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1099" w:type="dxa"/>
            <w:vAlign w:val="top"/>
          </w:tcPr>
          <w:p w14:paraId="31CE2526">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default" w:ascii="宋体" w:hAnsi="宋体" w:eastAsia="宋体" w:cs="宋体"/>
                <w:spacing w:val="0"/>
                <w:w w:val="100"/>
                <w:position w:val="0"/>
                <w:sz w:val="24"/>
                <w:szCs w:val="24"/>
                <w:lang w:val="en-US" w:eastAsia="zh-CN"/>
              </w:rPr>
            </w:pPr>
            <w:r>
              <w:rPr>
                <w:rFonts w:hint="default" w:cs="宋体"/>
                <w:spacing w:val="0"/>
                <w:w w:val="100"/>
                <w:position w:val="0"/>
                <w:sz w:val="24"/>
                <w:szCs w:val="24"/>
                <w:lang w:val="en-US" w:eastAsia="zh-CN"/>
              </w:rPr>
              <w:t>广西壮族自治区桂林公路发展中心南片区2026年—2029年普通国省干线公路养护服务项目</w:t>
            </w:r>
          </w:p>
        </w:tc>
        <w:tc>
          <w:tcPr>
            <w:tcW w:w="1442" w:type="dxa"/>
            <w:vAlign w:val="top"/>
          </w:tcPr>
          <w:p w14:paraId="6DE4A39E">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p>
          <w:p w14:paraId="665C1A8C">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p>
          <w:p w14:paraId="02E411BF">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p>
          <w:p w14:paraId="056B2E1A">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p>
          <w:p w14:paraId="2D5E48B1">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p>
          <w:p w14:paraId="13E1F300">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 项</w:t>
            </w:r>
          </w:p>
        </w:tc>
        <w:tc>
          <w:tcPr>
            <w:tcW w:w="6520" w:type="dxa"/>
            <w:vAlign w:val="top"/>
          </w:tcPr>
          <w:p w14:paraId="0D5C9B6A">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w w:val="100"/>
                <w:position w:val="0"/>
                <w:sz w:val="24"/>
                <w:szCs w:val="24"/>
              </w:rPr>
            </w:pPr>
            <w:r>
              <w:rPr>
                <w:rFonts w:hint="eastAsia" w:ascii="宋体" w:hAnsi="宋体" w:eastAsia="宋体" w:cs="宋体"/>
                <w:b/>
                <w:bCs/>
                <w:spacing w:val="0"/>
                <w:w w:val="100"/>
                <w:position w:val="0"/>
                <w:sz w:val="24"/>
                <w:szCs w:val="24"/>
              </w:rPr>
              <w:t>一、服务概况</w:t>
            </w:r>
          </w:p>
          <w:p w14:paraId="3E387AE1">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广西壮族自治区桂林公路发展中心南片区2026年-2029年普通国省干线公路养护服务项目由</w:t>
            </w:r>
            <w:r>
              <w:rPr>
                <w:rFonts w:hint="eastAsia" w:asciiTheme="majorEastAsia" w:hAnsiTheme="majorEastAsia" w:eastAsiaTheme="majorEastAsia" w:cstheme="majorEastAsia"/>
                <w:color w:val="auto"/>
                <w:sz w:val="24"/>
                <w:szCs w:val="24"/>
              </w:rPr>
              <w:t>广西壮族自治区恭城公路养护中心</w:t>
            </w:r>
            <w:r>
              <w:rPr>
                <w:rFonts w:hint="eastAsia" w:ascii="宋体" w:hAnsi="宋体" w:eastAsia="宋体" w:cs="宋体"/>
                <w:color w:val="auto"/>
                <w:spacing w:val="0"/>
                <w:w w:val="100"/>
                <w:position w:val="0"/>
                <w:sz w:val="24"/>
                <w:szCs w:val="24"/>
              </w:rPr>
              <w:t>、</w:t>
            </w:r>
            <w:r>
              <w:rPr>
                <w:rFonts w:hint="eastAsia" w:asciiTheme="majorEastAsia" w:hAnsiTheme="majorEastAsia" w:eastAsiaTheme="majorEastAsia" w:cstheme="majorEastAsia"/>
                <w:color w:val="auto"/>
                <w:sz w:val="24"/>
                <w:szCs w:val="24"/>
                <w:lang w:eastAsia="zh-CN"/>
              </w:rPr>
              <w:t>广西壮族自治区平乐公路养护中心</w:t>
            </w:r>
            <w:r>
              <w:rPr>
                <w:rFonts w:hint="eastAsia" w:ascii="宋体" w:hAnsi="宋体" w:eastAsia="宋体" w:cs="宋体"/>
                <w:color w:val="auto"/>
                <w:spacing w:val="0"/>
                <w:w w:val="100"/>
                <w:position w:val="0"/>
                <w:sz w:val="24"/>
                <w:szCs w:val="24"/>
              </w:rPr>
              <w:t>、</w:t>
            </w:r>
            <w:r>
              <w:rPr>
                <w:rFonts w:hint="eastAsia" w:asciiTheme="majorEastAsia" w:hAnsiTheme="majorEastAsia" w:eastAsiaTheme="majorEastAsia" w:cstheme="majorEastAsia"/>
                <w:color w:val="auto"/>
                <w:sz w:val="24"/>
                <w:szCs w:val="24"/>
                <w:lang w:eastAsia="zh-CN"/>
              </w:rPr>
              <w:t>广西壮族自治区阳朔公路养护中心、广西壮族自治区灌阳公路养护中心</w:t>
            </w:r>
            <w:r>
              <w:rPr>
                <w:rFonts w:hint="eastAsia" w:cs="宋体"/>
                <w:color w:val="auto"/>
                <w:spacing w:val="0"/>
                <w:w w:val="100"/>
                <w:position w:val="0"/>
                <w:sz w:val="24"/>
                <w:szCs w:val="24"/>
                <w:lang w:eastAsia="zh-CN"/>
              </w:rPr>
              <w:t>四个</w:t>
            </w:r>
            <w:r>
              <w:rPr>
                <w:rFonts w:hint="eastAsia" w:ascii="宋体" w:hAnsi="宋体" w:eastAsia="宋体" w:cs="宋体"/>
                <w:spacing w:val="0"/>
                <w:w w:val="100"/>
                <w:position w:val="0"/>
                <w:sz w:val="24"/>
                <w:szCs w:val="24"/>
              </w:rPr>
              <w:t>县级公路养护中心（以下统一简称采购人）</w:t>
            </w:r>
            <w:r>
              <w:rPr>
                <w:rFonts w:hint="eastAsia" w:ascii="宋体" w:hAnsi="宋体" w:eastAsia="宋体" w:cs="宋体"/>
                <w:spacing w:val="0"/>
                <w:w w:val="100"/>
                <w:position w:val="0"/>
                <w:sz w:val="24"/>
                <w:szCs w:val="24"/>
                <w:lang w:val="en-US" w:eastAsia="zh-CN"/>
              </w:rPr>
              <w:t>管养</w:t>
            </w:r>
            <w:r>
              <w:rPr>
                <w:rFonts w:hint="eastAsia" w:ascii="宋体" w:hAnsi="宋体" w:eastAsia="宋体" w:cs="宋体"/>
                <w:spacing w:val="0"/>
                <w:w w:val="100"/>
                <w:position w:val="0"/>
                <w:sz w:val="24"/>
                <w:szCs w:val="24"/>
              </w:rPr>
              <w:t>路段范围内的养护服务组成。本招标项目已经由广西壮族自治区桂林公路发展中心以《广西壮族自治区桂林公路发展中心关于恭城公路养护中心2026年部门预算的批复》（桂林路财函〔2026〕24 号）</w:t>
            </w:r>
            <w:r>
              <w:rPr>
                <w:rFonts w:hint="eastAsia" w:cs="宋体"/>
                <w:spacing w:val="0"/>
                <w:w w:val="100"/>
                <w:position w:val="0"/>
                <w:sz w:val="24"/>
                <w:szCs w:val="24"/>
                <w:lang w:eastAsia="zh-CN"/>
              </w:rPr>
              <w:t>、</w:t>
            </w:r>
            <w:r>
              <w:rPr>
                <w:rFonts w:hint="eastAsia" w:ascii="宋体" w:hAnsi="宋体" w:eastAsia="宋体" w:cs="宋体"/>
                <w:spacing w:val="0"/>
                <w:w w:val="100"/>
                <w:position w:val="0"/>
                <w:sz w:val="24"/>
                <w:szCs w:val="24"/>
              </w:rPr>
              <w:t>《广西壮族自治区桂林公路发展中心关于阳朔公路养护中心2026年部门预算的批复》（桂林路财函〔2026〕21号）</w:t>
            </w:r>
            <w:r>
              <w:rPr>
                <w:rFonts w:hint="eastAsia" w:cs="宋体"/>
                <w:spacing w:val="0"/>
                <w:w w:val="100"/>
                <w:position w:val="0"/>
                <w:sz w:val="24"/>
                <w:szCs w:val="24"/>
                <w:lang w:eastAsia="zh-CN"/>
              </w:rPr>
              <w:t>、</w:t>
            </w:r>
            <w:r>
              <w:rPr>
                <w:rFonts w:hint="eastAsia" w:ascii="宋体" w:hAnsi="宋体" w:eastAsia="宋体" w:cs="宋体"/>
                <w:spacing w:val="0"/>
                <w:w w:val="100"/>
                <w:position w:val="0"/>
                <w:sz w:val="24"/>
                <w:szCs w:val="24"/>
              </w:rPr>
              <w:t>《广西壮族自治区桂林公路发展中心关于平乐公路养护中心2026年部门预算的批复》（桂林路财函〔2026〕23号）</w:t>
            </w:r>
            <w:r>
              <w:rPr>
                <w:rFonts w:hint="eastAsia" w:cs="宋体"/>
                <w:spacing w:val="0"/>
                <w:w w:val="100"/>
                <w:position w:val="0"/>
                <w:sz w:val="24"/>
                <w:szCs w:val="24"/>
                <w:lang w:eastAsia="zh-CN"/>
              </w:rPr>
              <w:t>、</w:t>
            </w:r>
            <w:r>
              <w:rPr>
                <w:rFonts w:hint="eastAsia" w:ascii="宋体" w:hAnsi="宋体" w:eastAsia="宋体" w:cs="宋体"/>
                <w:spacing w:val="0"/>
                <w:w w:val="100"/>
                <w:position w:val="0"/>
                <w:sz w:val="24"/>
                <w:szCs w:val="24"/>
              </w:rPr>
              <w:t>《广西壮族自治区桂林公路发展中心关于灌阳公路养护中心2026年部门预算的批复》（桂林路财函〔2026〕25 号）批准，资金来自财政拨款，出资比例为100%。</w:t>
            </w:r>
            <w:r>
              <w:rPr>
                <w:rFonts w:hint="eastAsia" w:ascii="宋体" w:hAnsi="宋体" w:eastAsia="宋体" w:cs="宋体"/>
                <w:spacing w:val="0"/>
                <w:w w:val="100"/>
                <w:position w:val="0"/>
                <w:sz w:val="24"/>
                <w:szCs w:val="24"/>
                <w:highlight w:val="none"/>
              </w:rPr>
              <w:t>本项目采取联合招标的方式进行，采购人统一委托</w:t>
            </w:r>
            <w:r>
              <w:rPr>
                <w:rFonts w:hint="default" w:cs="宋体"/>
                <w:spacing w:val="0"/>
                <w:w w:val="100"/>
                <w:position w:val="0"/>
                <w:sz w:val="24"/>
                <w:szCs w:val="24"/>
                <w:highlight w:val="none"/>
                <w:lang w:val="en-US" w:eastAsia="zh-CN"/>
              </w:rPr>
              <w:t>广西五衡建设咨询有限公司</w:t>
            </w:r>
            <w:r>
              <w:rPr>
                <w:rFonts w:hint="eastAsia" w:ascii="宋体" w:hAnsi="宋体" w:eastAsia="宋体" w:cs="宋体"/>
                <w:spacing w:val="0"/>
                <w:w w:val="100"/>
                <w:position w:val="0"/>
                <w:sz w:val="24"/>
                <w:szCs w:val="24"/>
                <w:highlight w:val="none"/>
              </w:rPr>
              <w:t>为本项目招标代理实施招标，其中</w:t>
            </w:r>
            <w:r>
              <w:rPr>
                <w:rFonts w:hint="eastAsia" w:asciiTheme="majorEastAsia" w:hAnsiTheme="majorEastAsia" w:eastAsiaTheme="majorEastAsia" w:cstheme="majorEastAsia"/>
                <w:color w:val="auto"/>
                <w:sz w:val="24"/>
                <w:szCs w:val="24"/>
                <w:highlight w:val="none"/>
              </w:rPr>
              <w:t>广西壮族自治区恭城公路养护中心</w:t>
            </w:r>
            <w:r>
              <w:rPr>
                <w:rFonts w:hint="eastAsia" w:ascii="宋体" w:hAnsi="宋体" w:eastAsia="宋体" w:cs="宋体"/>
                <w:spacing w:val="0"/>
                <w:w w:val="100"/>
                <w:position w:val="0"/>
                <w:sz w:val="24"/>
                <w:szCs w:val="24"/>
                <w:highlight w:val="none"/>
              </w:rPr>
              <w:t>作为牵头单位负责和协调招标流程中相关事项。项</w:t>
            </w:r>
            <w:r>
              <w:rPr>
                <w:rFonts w:hint="eastAsia" w:ascii="宋体" w:hAnsi="宋体" w:eastAsia="宋体" w:cs="宋体"/>
                <w:spacing w:val="0"/>
                <w:w w:val="100"/>
                <w:position w:val="0"/>
                <w:sz w:val="24"/>
                <w:szCs w:val="24"/>
              </w:rPr>
              <w:t>目已具备招标条件，现进行公开招标。</w:t>
            </w:r>
          </w:p>
          <w:p w14:paraId="16E7CCCA">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具体</w:t>
            </w:r>
            <w:r>
              <w:rPr>
                <w:rFonts w:hint="eastAsia" w:cs="宋体"/>
                <w:spacing w:val="0"/>
                <w:w w:val="100"/>
                <w:position w:val="0"/>
                <w:sz w:val="24"/>
                <w:szCs w:val="24"/>
                <w:lang w:val="en-US" w:eastAsia="zh-CN"/>
              </w:rPr>
              <w:t>服务</w:t>
            </w:r>
            <w:r>
              <w:rPr>
                <w:rFonts w:hint="eastAsia" w:ascii="宋体" w:hAnsi="宋体" w:eastAsia="宋体" w:cs="宋体"/>
                <w:spacing w:val="0"/>
                <w:w w:val="100"/>
                <w:position w:val="0"/>
                <w:sz w:val="24"/>
                <w:szCs w:val="24"/>
              </w:rPr>
              <w:t>路段</w:t>
            </w:r>
            <w:r>
              <w:rPr>
                <w:rFonts w:hint="eastAsia" w:cs="宋体"/>
                <w:spacing w:val="0"/>
                <w:w w:val="100"/>
                <w:position w:val="0"/>
                <w:sz w:val="24"/>
                <w:szCs w:val="24"/>
                <w:lang w:val="en-US" w:eastAsia="zh-CN"/>
              </w:rPr>
              <w:t>范围</w:t>
            </w:r>
            <w:r>
              <w:rPr>
                <w:rFonts w:hint="eastAsia" w:ascii="宋体" w:hAnsi="宋体" w:eastAsia="宋体" w:cs="宋体"/>
                <w:spacing w:val="0"/>
                <w:w w:val="100"/>
                <w:position w:val="0"/>
                <w:sz w:val="24"/>
                <w:szCs w:val="24"/>
              </w:rPr>
              <w:t xml:space="preserve">和主要公路设施情况如下： </w:t>
            </w:r>
          </w:p>
          <w:p w14:paraId="657C0060">
            <w:pPr>
              <w:tabs>
                <w:tab w:val="left" w:pos="0"/>
              </w:tabs>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（1）A段：</w:t>
            </w:r>
            <w:r>
              <w:rPr>
                <w:rFonts w:hint="eastAsia" w:ascii="宋体" w:hAnsi="宋体" w:eastAsia="宋体" w:cs="宋体"/>
                <w:snapToGrid w:val="0"/>
                <w:color w:val="000000"/>
                <w:spacing w:val="0"/>
                <w:w w:val="100"/>
                <w:kern w:val="0"/>
                <w:position w:val="0"/>
                <w:sz w:val="24"/>
                <w:szCs w:val="24"/>
                <w:highlight w:val="none"/>
                <w:lang w:val="en-US" w:eastAsia="zh-CN" w:bidi="ar-SA"/>
              </w:rPr>
              <w:t>恭城公路养护中心2026年-2029年普通国省干线公路养护服务，纳入服务总里程167.483公里。</w:t>
            </w:r>
            <w:r>
              <w:rPr>
                <w:rFonts w:hint="eastAsia" w:ascii="宋体" w:hAnsi="宋体" w:eastAsia="宋体" w:cs="宋体"/>
                <w:b/>
                <w:bCs/>
                <w:snapToGrid w:val="0"/>
                <w:color w:val="000000"/>
                <w:spacing w:val="0"/>
                <w:w w:val="100"/>
                <w:kern w:val="0"/>
                <w:position w:val="0"/>
                <w:sz w:val="24"/>
                <w:szCs w:val="24"/>
                <w:highlight w:val="none"/>
                <w:lang w:val="en-US" w:eastAsia="zh-CN" w:bidi="ar-SA"/>
              </w:rPr>
              <w:t>国道2条</w:t>
            </w:r>
            <w:r>
              <w:rPr>
                <w:rFonts w:hint="eastAsia" w:ascii="宋体" w:hAnsi="宋体" w:eastAsia="宋体" w:cs="宋体"/>
                <w:snapToGrid w:val="0"/>
                <w:color w:val="000000"/>
                <w:spacing w:val="0"/>
                <w:w w:val="100"/>
                <w:kern w:val="0"/>
                <w:position w:val="0"/>
                <w:sz w:val="24"/>
                <w:szCs w:val="24"/>
                <w:highlight w:val="none"/>
                <w:lang w:val="en-US" w:eastAsia="zh-CN" w:bidi="ar-SA"/>
              </w:rPr>
              <w:t>：1、G241线K2842+421-K2920+274段77.853公里，2、G357线K1265+000-K1272+354段7.354公里，国道总里程85.207公里；</w:t>
            </w:r>
            <w:r>
              <w:rPr>
                <w:rFonts w:hint="eastAsia" w:ascii="宋体" w:hAnsi="宋体" w:eastAsia="宋体" w:cs="宋体"/>
                <w:b/>
                <w:bCs/>
                <w:snapToGrid w:val="0"/>
                <w:color w:val="000000"/>
                <w:spacing w:val="0"/>
                <w:w w:val="100"/>
                <w:kern w:val="0"/>
                <w:position w:val="0"/>
                <w:sz w:val="24"/>
                <w:szCs w:val="24"/>
                <w:highlight w:val="none"/>
                <w:lang w:val="en-US" w:eastAsia="zh-CN" w:bidi="ar-SA"/>
              </w:rPr>
              <w:t>省道2条</w:t>
            </w:r>
            <w:r>
              <w:rPr>
                <w:rFonts w:hint="eastAsia" w:ascii="宋体" w:hAnsi="宋体" w:eastAsia="宋体" w:cs="宋体"/>
                <w:snapToGrid w:val="0"/>
                <w:color w:val="000000"/>
                <w:spacing w:val="0"/>
                <w:w w:val="100"/>
                <w:kern w:val="0"/>
                <w:position w:val="0"/>
                <w:sz w:val="24"/>
                <w:szCs w:val="24"/>
                <w:highlight w:val="none"/>
                <w:lang w:val="en-US" w:eastAsia="zh-CN" w:bidi="ar-SA"/>
              </w:rPr>
              <w:t>:1、S302线K66+463-K105+666段39.203公里，2、S502线K0+000-K46+383段43.073公里（与国道G241重复3.31公里，已计入国道里程），省道总里程82.276公里。其中一级公路4.382㎞，二级公路163.101㎞；其中水泥混凝土路面22.014㎞，沥青路面145.469㎞。包含（但不限于）桥梁41座（大桥8座/1437.57米，中桥14座/641.23米，小桥19座/325.19米，共计2403.99米，一类桥19座，二类桥22座），隧道0座/0米，涵洞646道，候车亭29处。交通安全设施167.483公里等。路段内有多处自然灾害风险路段。其中S502路线K0+000-K20+000桩号共20.000公里路段由采购人自行安排自有职工开展日常保养，该路段除日常保养不在招标范围内，其它养护服务、应急处置均纳入该项目招标范围内。</w:t>
            </w:r>
          </w:p>
          <w:p w14:paraId="1DC86212">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（2）B段：平乐公路养护中心2026年-2029年普通国省干线公路养护服务，纳入服务总里程132.016公里（含长短链）。</w:t>
            </w:r>
            <w:r>
              <w:rPr>
                <w:rFonts w:hint="eastAsia" w:ascii="宋体" w:hAnsi="宋体" w:eastAsia="宋体" w:cs="宋体"/>
                <w:b/>
                <w:bCs/>
                <w:sz w:val="24"/>
                <w:szCs w:val="24"/>
                <w:highlight w:val="none"/>
              </w:rPr>
              <w:t>国道2条</w:t>
            </w:r>
            <w:r>
              <w:rPr>
                <w:rFonts w:hint="eastAsia" w:ascii="宋体" w:hAnsi="宋体" w:eastAsia="宋体" w:cs="宋体"/>
                <w:sz w:val="24"/>
                <w:szCs w:val="24"/>
                <w:highlight w:val="none"/>
              </w:rPr>
              <w:t>：1、G241线K2920+274-K2947+703段27.429公里，2、G323线K776+975-K819+779段42.804公里，国道总里程70.233公里;</w:t>
            </w:r>
            <w:r>
              <w:rPr>
                <w:rFonts w:hint="eastAsia" w:ascii="宋体" w:hAnsi="宋体" w:eastAsia="宋体" w:cs="宋体"/>
                <w:b/>
                <w:bCs/>
                <w:sz w:val="24"/>
                <w:szCs w:val="24"/>
                <w:highlight w:val="none"/>
              </w:rPr>
              <w:t>省道3条</w:t>
            </w:r>
            <w:r>
              <w:rPr>
                <w:rFonts w:hint="eastAsia" w:ascii="宋体" w:hAnsi="宋体" w:eastAsia="宋体" w:cs="宋体"/>
                <w:sz w:val="24"/>
                <w:szCs w:val="24"/>
                <w:highlight w:val="none"/>
              </w:rPr>
              <w:t>:1、S202线K196+332-K203+139段6.352公里,2、S302线K105+666-K113+565，K115+869-138+560段30.59公里，3.S502线K46+383-K56+168，K58+166-K73+222段24.841公里，省道总里程61.783公里。其中一级公路3.443公里、二级公路113.517公里、三级15.056公里，四级公路0公里。其中水泥混凝土路面5.846公里、沥青路面126.17公里。包含(但不限于)桥梁22座（大桥4座1499.16米，中桥</w:t>
            </w:r>
            <w:r>
              <w:rPr>
                <w:rFonts w:hint="default" w:ascii="宋体" w:hAnsi="宋体" w:eastAsia="宋体" w:cs="宋体"/>
                <w:sz w:val="24"/>
                <w:szCs w:val="24"/>
                <w:highlight w:val="none"/>
                <w:lang w:val="en-US"/>
              </w:rPr>
              <w:t>5</w:t>
            </w:r>
            <w:r>
              <w:rPr>
                <w:rFonts w:hint="eastAsia" w:ascii="宋体" w:hAnsi="宋体" w:eastAsia="宋体" w:cs="宋体"/>
                <w:sz w:val="24"/>
                <w:szCs w:val="24"/>
                <w:highlight w:val="none"/>
              </w:rPr>
              <w:t>座348.59米，小桥13座240.11米，共计2087.86米，一类桥10座，二类桥12座，三类桥0座，四类桥0座，五类桥0座），隧道0座/0米（长隧道0座，三类隧道0座），涵洞352道，养护站3个，服务区0个，小型临时停车区1处，候车亭24处，交通安全设施132.016公里等。路段内有多处自然灾害风险路段。平乐公路养护中心辖区所有路段均纳入2026年-2029年普通国省干线公路养护服务采购</w:t>
            </w:r>
          </w:p>
          <w:p w14:paraId="100CF00D">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（3）C段：阳朔公路养护中心2026年-2029年普通国省干线公路养护服务，纳入服务总里程</w:t>
            </w:r>
            <w:r>
              <w:rPr>
                <w:rFonts w:hint="eastAsia" w:ascii="宋体" w:hAnsi="宋体" w:eastAsia="宋体" w:cs="宋体"/>
                <w:color w:val="0000FF"/>
                <w:sz w:val="24"/>
                <w:szCs w:val="24"/>
                <w:highlight w:val="none"/>
                <w:lang w:val="en-US" w:eastAsia="zh-CN"/>
              </w:rPr>
              <w:t>116.834</w:t>
            </w:r>
            <w:r>
              <w:rPr>
                <w:rFonts w:hint="eastAsia" w:ascii="宋体" w:hAnsi="宋体" w:eastAsia="宋体" w:cs="宋体"/>
                <w:sz w:val="24"/>
                <w:szCs w:val="24"/>
                <w:highlight w:val="none"/>
              </w:rPr>
              <w:t>公里。</w:t>
            </w:r>
            <w:r>
              <w:rPr>
                <w:rFonts w:hint="eastAsia" w:ascii="宋体" w:hAnsi="宋体" w:eastAsia="宋体" w:cs="宋体"/>
                <w:b/>
                <w:bCs/>
                <w:sz w:val="24"/>
                <w:szCs w:val="24"/>
                <w:highlight w:val="none"/>
              </w:rPr>
              <w:t>国道1条</w:t>
            </w:r>
            <w:r>
              <w:rPr>
                <w:rFonts w:hint="eastAsia" w:ascii="宋体" w:hAnsi="宋体" w:eastAsia="宋体" w:cs="宋体"/>
                <w:sz w:val="24"/>
                <w:szCs w:val="24"/>
                <w:highlight w:val="none"/>
              </w:rPr>
              <w:t>：G321线K504+076-K512+656段8.58公里，国道总里程8.58公里；</w:t>
            </w:r>
            <w:r>
              <w:rPr>
                <w:rFonts w:hint="eastAsia" w:ascii="宋体" w:hAnsi="宋体" w:eastAsia="宋体" w:cs="宋体"/>
                <w:b/>
                <w:bCs/>
                <w:sz w:val="24"/>
                <w:szCs w:val="24"/>
                <w:highlight w:val="none"/>
              </w:rPr>
              <w:t>省道2条</w:t>
            </w:r>
            <w:r>
              <w:rPr>
                <w:rFonts w:hint="eastAsia" w:ascii="宋体" w:hAnsi="宋体" w:eastAsia="宋体" w:cs="宋体"/>
                <w:sz w:val="24"/>
                <w:szCs w:val="24"/>
                <w:highlight w:val="none"/>
              </w:rPr>
              <w:t>:1、S202线K129+316-K153+600、K156+800-K178+668、</w:t>
            </w:r>
            <w:r>
              <w:rPr>
                <w:rFonts w:hint="eastAsia" w:ascii="宋体" w:hAnsi="宋体" w:eastAsia="宋体" w:cs="宋体"/>
                <w:sz w:val="24"/>
                <w:szCs w:val="24"/>
                <w:highlight w:val="none"/>
                <w:lang w:val="en-US" w:eastAsia="zh-CN"/>
              </w:rPr>
              <w:t>K183+394-</w:t>
            </w:r>
            <w:r>
              <w:rPr>
                <w:rFonts w:hint="eastAsia" w:ascii="宋体" w:hAnsi="宋体" w:eastAsia="宋体" w:cs="宋体"/>
                <w:sz w:val="24"/>
                <w:szCs w:val="24"/>
                <w:highlight w:val="none"/>
              </w:rPr>
              <w:t>K196+</w:t>
            </w:r>
            <w:r>
              <w:rPr>
                <w:rFonts w:hint="eastAsia" w:ascii="宋体" w:hAnsi="宋体" w:eastAsia="宋体" w:cs="宋体"/>
                <w:sz w:val="24"/>
                <w:szCs w:val="24"/>
                <w:highlight w:val="none"/>
                <w:lang w:val="en-US" w:eastAsia="zh-CN"/>
              </w:rPr>
              <w:t>33</w:t>
            </w:r>
            <w:r>
              <w:rPr>
                <w:rFonts w:hint="eastAsia" w:ascii="宋体" w:hAnsi="宋体" w:eastAsia="宋体" w:cs="宋体"/>
                <w:sz w:val="24"/>
                <w:szCs w:val="24"/>
                <w:highlight w:val="none"/>
              </w:rPr>
              <w:t>2普益大桥段</w:t>
            </w:r>
            <w:r>
              <w:rPr>
                <w:rFonts w:hint="eastAsia" w:ascii="宋体" w:hAnsi="宋体" w:eastAsia="宋体" w:cs="宋体"/>
                <w:sz w:val="24"/>
                <w:szCs w:val="24"/>
                <w:highlight w:val="none"/>
                <w:lang w:val="en-US" w:eastAsia="zh-CN"/>
              </w:rPr>
              <w:t>59.09</w:t>
            </w:r>
            <w:r>
              <w:rPr>
                <w:rFonts w:hint="eastAsia" w:ascii="宋体" w:hAnsi="宋体" w:eastAsia="宋体" w:cs="宋体"/>
                <w:sz w:val="24"/>
                <w:szCs w:val="24"/>
                <w:highlight w:val="none"/>
              </w:rPr>
              <w:t>公里，2、S302线K138+560-K150+045、K169+799-K207+478段49.164公里，省道总里程</w:t>
            </w:r>
            <w:r>
              <w:rPr>
                <w:rFonts w:hint="eastAsia" w:ascii="宋体" w:hAnsi="宋体" w:eastAsia="宋体" w:cs="宋体"/>
                <w:sz w:val="24"/>
                <w:szCs w:val="24"/>
                <w:highlight w:val="none"/>
                <w:lang w:val="en-US" w:eastAsia="zh-CN"/>
              </w:rPr>
              <w:t>108.254</w:t>
            </w:r>
            <w:r>
              <w:rPr>
                <w:rFonts w:hint="eastAsia" w:ascii="宋体" w:hAnsi="宋体" w:eastAsia="宋体" w:cs="宋体"/>
                <w:sz w:val="24"/>
                <w:szCs w:val="24"/>
                <w:highlight w:val="none"/>
              </w:rPr>
              <w:t>公里。其中一级公路0公里、二级公路66.217公里、三级</w:t>
            </w:r>
            <w:r>
              <w:rPr>
                <w:rFonts w:hint="eastAsia" w:ascii="宋体" w:hAnsi="宋体" w:eastAsia="宋体" w:cs="宋体"/>
                <w:sz w:val="24"/>
                <w:szCs w:val="24"/>
                <w:highlight w:val="none"/>
                <w:lang w:val="en-US" w:eastAsia="zh-CN"/>
              </w:rPr>
              <w:t>公路50.617</w:t>
            </w:r>
            <w:r>
              <w:rPr>
                <w:rFonts w:hint="eastAsia" w:ascii="宋体" w:hAnsi="宋体" w:eastAsia="宋体" w:cs="宋体"/>
                <w:sz w:val="24"/>
                <w:szCs w:val="24"/>
                <w:highlight w:val="none"/>
              </w:rPr>
              <w:t>公里，四级公路0公里。其中水泥混凝土路面</w:t>
            </w:r>
            <w:r>
              <w:rPr>
                <w:rFonts w:hint="eastAsia" w:ascii="宋体" w:hAnsi="宋体" w:eastAsia="宋体" w:cs="宋体"/>
                <w:sz w:val="24"/>
                <w:szCs w:val="24"/>
                <w:highlight w:val="none"/>
                <w:lang w:val="en-US" w:eastAsia="zh-CN"/>
              </w:rPr>
              <w:t>18.611</w:t>
            </w:r>
            <w:r>
              <w:rPr>
                <w:rFonts w:hint="eastAsia" w:ascii="宋体" w:hAnsi="宋体" w:eastAsia="宋体" w:cs="宋体"/>
                <w:sz w:val="24"/>
                <w:szCs w:val="24"/>
                <w:highlight w:val="none"/>
              </w:rPr>
              <w:t>公里、沥青路面98.223公里。包含(但不限于)桥梁18座（大桥2座609.86米，中桥3座152.12米，小桥13座255.09米，共计1017.07米，一类桥4座，二类桥13座，三类桥1座，四类桥0座，五类桥0座），隧道1座/200米（短隧道1座，二级二类），涵洞</w:t>
            </w:r>
            <w:r>
              <w:rPr>
                <w:rFonts w:hint="eastAsia" w:ascii="宋体" w:hAnsi="宋体" w:eastAsia="宋体" w:cs="宋体"/>
                <w:sz w:val="24"/>
                <w:szCs w:val="24"/>
                <w:highlight w:val="none"/>
                <w:lang w:val="en-US" w:eastAsia="zh-CN"/>
              </w:rPr>
              <w:t>313</w:t>
            </w:r>
            <w:r>
              <w:rPr>
                <w:rFonts w:hint="eastAsia" w:ascii="宋体" w:hAnsi="宋体" w:eastAsia="宋体" w:cs="宋体"/>
                <w:sz w:val="24"/>
                <w:szCs w:val="24"/>
                <w:highlight w:val="none"/>
              </w:rPr>
              <w:t>道，养护站1个，服务区0个，小型临时停车区0处，候车亭10处，交通安全设施104.299公里等。路段内有1处自然灾害风险路段（S202线K144+800-K145+050段）。其中共0公里路段由采购人自行安排自有职工开展日常保养，该路段除日常保养不在招标范围内，其它养护服务、应急处置均纳入该项目招标范围</w:t>
            </w:r>
          </w:p>
          <w:p w14:paraId="72FEE054">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内。</w:t>
            </w:r>
          </w:p>
          <w:p w14:paraId="6DBA4E3F">
            <w:pPr>
              <w:keepNext w:val="0"/>
              <w:keepLines w:val="0"/>
              <w:pageBreakBefore w:val="0"/>
              <w:widowControl w:val="0"/>
              <w:numPr>
                <w:ilvl w:val="0"/>
                <w:numId w:val="2"/>
              </w:numPr>
              <w:kinsoku/>
              <w:wordWrap w:val="0"/>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D</w:t>
            </w:r>
            <w:r>
              <w:rPr>
                <w:rFonts w:hint="eastAsia" w:ascii="宋体" w:hAnsi="宋体" w:eastAsia="宋体" w:cs="宋体"/>
                <w:sz w:val="24"/>
                <w:szCs w:val="24"/>
                <w:highlight w:val="none"/>
              </w:rPr>
              <w:t>段：灌阳公路养护中心2026年-2029年普通国省干线公路养护服务，纳入服务总里程102.077公里。</w:t>
            </w:r>
            <w:r>
              <w:rPr>
                <w:rFonts w:hint="eastAsia" w:ascii="宋体" w:hAnsi="宋体" w:eastAsia="宋体" w:cs="宋体"/>
                <w:b/>
                <w:bCs/>
                <w:sz w:val="24"/>
                <w:szCs w:val="24"/>
                <w:highlight w:val="none"/>
              </w:rPr>
              <w:t>国道2条</w:t>
            </w:r>
            <w:r>
              <w:rPr>
                <w:rFonts w:hint="eastAsia" w:ascii="宋体" w:hAnsi="宋体" w:eastAsia="宋体" w:cs="宋体"/>
                <w:sz w:val="24"/>
                <w:szCs w:val="24"/>
                <w:highlight w:val="none"/>
              </w:rPr>
              <w:t>:1、G241线K2776+180-K2842+421段</w:t>
            </w:r>
            <w:r>
              <w:rPr>
                <w:rFonts w:hint="eastAsia" w:ascii="宋体" w:hAnsi="宋体" w:eastAsia="宋体" w:cs="宋体"/>
                <w:sz w:val="24"/>
                <w:szCs w:val="24"/>
                <w:highlight w:val="none"/>
                <w:lang w:val="en-US" w:eastAsia="zh-CN"/>
              </w:rPr>
              <w:t>66</w:t>
            </w:r>
            <w:r>
              <w:rPr>
                <w:rFonts w:hint="eastAsia" w:ascii="宋体" w:hAnsi="宋体" w:eastAsia="宋体" w:cs="宋体"/>
                <w:sz w:val="24"/>
                <w:szCs w:val="24"/>
                <w:highlight w:val="none"/>
              </w:rPr>
              <w:t>.241公里，2、G357线K1153+002-K1173+000段19.998公里、K1249+162-K1265+000段15.838公里，国道总里程</w:t>
            </w:r>
            <w:r>
              <w:rPr>
                <w:rFonts w:hint="eastAsia" w:ascii="宋体" w:hAnsi="宋体" w:eastAsia="宋体" w:cs="宋体"/>
                <w:sz w:val="24"/>
                <w:szCs w:val="24"/>
                <w:highlight w:val="none"/>
                <w:lang w:val="en-US" w:eastAsia="zh-CN"/>
              </w:rPr>
              <w:t>102.077</w:t>
            </w:r>
            <w:r>
              <w:rPr>
                <w:rFonts w:hint="eastAsia" w:ascii="宋体" w:hAnsi="宋体" w:eastAsia="宋体" w:cs="宋体"/>
                <w:sz w:val="24"/>
                <w:szCs w:val="24"/>
                <w:highlight w:val="none"/>
              </w:rPr>
              <w:t>公里。其中一级公路7.82公里（G241线K2</w:t>
            </w:r>
            <w:r>
              <w:rPr>
                <w:rFonts w:hint="eastAsia" w:ascii="宋体" w:hAnsi="宋体" w:eastAsia="宋体" w:cs="宋体"/>
                <w:sz w:val="24"/>
                <w:szCs w:val="24"/>
                <w:highlight w:val="none"/>
                <w:lang w:val="en-US" w:eastAsia="zh-CN"/>
              </w:rPr>
              <w:t>799</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92</w:t>
            </w:r>
            <w:r>
              <w:rPr>
                <w:rFonts w:hint="eastAsia" w:ascii="宋体" w:hAnsi="宋体" w:eastAsia="宋体" w:cs="宋体"/>
                <w:sz w:val="24"/>
                <w:szCs w:val="24"/>
                <w:highlight w:val="none"/>
              </w:rPr>
              <w:t>0-K2803+300段</w:t>
            </w:r>
            <w:r>
              <w:rPr>
                <w:rFonts w:hint="eastAsia" w:ascii="宋体" w:hAnsi="宋体" w:eastAsia="宋体" w:cs="宋体"/>
                <w:sz w:val="24"/>
                <w:szCs w:val="24"/>
                <w:highlight w:val="none"/>
                <w:lang w:val="en-US" w:eastAsia="zh-CN"/>
              </w:rPr>
              <w:t>3.38</w:t>
            </w:r>
            <w:r>
              <w:rPr>
                <w:rFonts w:hint="eastAsia" w:ascii="宋体" w:hAnsi="宋体" w:eastAsia="宋体" w:cs="宋体"/>
                <w:sz w:val="24"/>
                <w:szCs w:val="24"/>
                <w:highlight w:val="none"/>
              </w:rPr>
              <w:t>公里、G357线K1165+002-K1172+702段7.7公里）、二级公路</w:t>
            </w:r>
            <w:r>
              <w:rPr>
                <w:rFonts w:hint="eastAsia" w:ascii="宋体" w:hAnsi="宋体" w:eastAsia="宋体" w:cs="宋体"/>
                <w:sz w:val="24"/>
                <w:szCs w:val="24"/>
                <w:highlight w:val="none"/>
                <w:lang w:val="en-US" w:eastAsia="zh-CN"/>
              </w:rPr>
              <w:t>90.877</w:t>
            </w:r>
            <w:r>
              <w:rPr>
                <w:rFonts w:hint="eastAsia" w:ascii="宋体" w:hAnsi="宋体" w:eastAsia="宋体" w:cs="宋体"/>
                <w:sz w:val="24"/>
                <w:szCs w:val="24"/>
                <w:highlight w:val="none"/>
              </w:rPr>
              <w:t>公里。其中水泥混凝土路面14.76公里、沥青路面</w:t>
            </w:r>
            <w:r>
              <w:rPr>
                <w:rFonts w:hint="eastAsia" w:ascii="宋体" w:hAnsi="宋体" w:eastAsia="宋体" w:cs="宋体"/>
                <w:sz w:val="24"/>
                <w:szCs w:val="24"/>
                <w:highlight w:val="none"/>
                <w:lang w:val="en-US" w:eastAsia="zh-CN"/>
              </w:rPr>
              <w:t>87</w:t>
            </w:r>
            <w:r>
              <w:rPr>
                <w:rFonts w:hint="eastAsia" w:ascii="宋体" w:hAnsi="宋体" w:eastAsia="宋体" w:cs="宋体"/>
                <w:sz w:val="24"/>
                <w:szCs w:val="24"/>
                <w:highlight w:val="none"/>
              </w:rPr>
              <w:t>.317公里。包含(但不限于)桥梁24座（大桥5座626.44米，中桥2座194.86米，小桥17座326.07米，共计1147.37米，一类桥6座，二类桥18座，三类桥0座，四类桥0座，五类桥0座），涵洞273道，养护站1个，服务区0个，小型临时停车区0处，候车亭17座，交通安全设施75.077公里等。路段内有多处自然灾害风险路段。其中G241线K2776+180-K2803+180段（27公里）由采购人自行安排自有职工开展日常保养，该路段除日常保养不在招标范围内，其它养护服务、应急处置均纳入该项目招标范围内。</w:t>
            </w:r>
          </w:p>
          <w:p w14:paraId="5F151FA7">
            <w:pPr>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Chars="200" w:right="0" w:rightChars="0"/>
              <w:jc w:val="left"/>
              <w:textAlignment w:val="baseline"/>
              <w:rPr>
                <w:rFonts w:hint="eastAsia" w:ascii="宋体" w:hAnsi="宋体" w:eastAsia="宋体" w:cs="宋体"/>
                <w:sz w:val="24"/>
                <w:szCs w:val="24"/>
                <w:highlight w:val="none"/>
              </w:rPr>
            </w:pPr>
          </w:p>
          <w:p w14:paraId="71C2CADF">
            <w:pPr>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Chars="200" w:right="0" w:rightChars="0"/>
              <w:jc w:val="left"/>
              <w:textAlignment w:val="baseline"/>
              <w:rPr>
                <w:rFonts w:hint="eastAsia" w:ascii="宋体" w:hAnsi="宋体" w:eastAsia="宋体" w:cs="宋体"/>
                <w:sz w:val="24"/>
                <w:szCs w:val="24"/>
                <w:highlight w:val="none"/>
              </w:rPr>
            </w:pPr>
          </w:p>
          <w:p w14:paraId="431E27F1">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pacing w:val="0"/>
                <w:w w:val="100"/>
                <w:position w:val="0"/>
                <w:sz w:val="24"/>
                <w:szCs w:val="24"/>
                <w:highlight w:val="none"/>
                <w:lang w:eastAsia="zh-CN"/>
              </w:rPr>
            </w:pPr>
            <w:r>
              <w:rPr>
                <w:rFonts w:hint="eastAsia" w:ascii="宋体" w:hAnsi="宋体" w:eastAsia="宋体" w:cs="宋体"/>
                <w:b/>
                <w:bCs/>
                <w:spacing w:val="0"/>
                <w:w w:val="100"/>
                <w:position w:val="0"/>
                <w:sz w:val="24"/>
                <w:szCs w:val="24"/>
                <w:highlight w:val="none"/>
              </w:rPr>
              <w:t>公路主要设施清单</w:t>
            </w:r>
            <w:r>
              <w:rPr>
                <w:rFonts w:hint="eastAsia" w:ascii="宋体" w:hAnsi="宋体" w:eastAsia="宋体" w:cs="宋体"/>
                <w:b/>
                <w:bCs/>
                <w:spacing w:val="0"/>
                <w:w w:val="100"/>
                <w:position w:val="0"/>
                <w:sz w:val="24"/>
                <w:szCs w:val="24"/>
                <w:highlight w:val="none"/>
                <w:lang w:eastAsia="zh-CN"/>
              </w:rPr>
              <w:t>（</w:t>
            </w:r>
            <w:r>
              <w:rPr>
                <w:rFonts w:hint="eastAsia" w:ascii="宋体" w:hAnsi="宋体" w:eastAsia="宋体" w:cs="宋体"/>
                <w:b/>
                <w:bCs/>
                <w:spacing w:val="0"/>
                <w:w w:val="100"/>
                <w:position w:val="0"/>
                <w:sz w:val="24"/>
                <w:szCs w:val="24"/>
                <w:highlight w:val="none"/>
                <w:lang w:val="en-US" w:eastAsia="zh-CN"/>
              </w:rPr>
              <w:t>A段</w:t>
            </w:r>
            <w:r>
              <w:rPr>
                <w:rFonts w:hint="eastAsia" w:ascii="宋体" w:hAnsi="宋体" w:eastAsia="宋体" w:cs="宋体"/>
                <w:b/>
                <w:bCs/>
                <w:spacing w:val="0"/>
                <w:w w:val="100"/>
                <w:position w:val="0"/>
                <w:sz w:val="24"/>
                <w:szCs w:val="24"/>
                <w:highlight w:val="none"/>
                <w:lang w:eastAsia="zh-CN"/>
              </w:rPr>
              <w:t>）</w:t>
            </w:r>
          </w:p>
          <w:tbl>
            <w:tblPr>
              <w:tblStyle w:val="25"/>
              <w:tblpPr w:leftFromText="180" w:rightFromText="180" w:vertAnchor="page" w:horzAnchor="page" w:tblpX="239" w:tblpY="681"/>
              <w:tblOverlap w:val="never"/>
              <w:tblW w:w="6115"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47"/>
              <w:gridCol w:w="1260"/>
              <w:gridCol w:w="870"/>
              <w:gridCol w:w="960"/>
              <w:gridCol w:w="945"/>
              <w:gridCol w:w="915"/>
              <w:gridCol w:w="718"/>
            </w:tblGrid>
            <w:tr w14:paraId="7A2440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18" w:hRule="atLeast"/>
                <w:tblHeader/>
              </w:trPr>
              <w:tc>
                <w:tcPr>
                  <w:tcW w:w="447" w:type="dxa"/>
                  <w:noWrap w:val="0"/>
                  <w:vAlign w:val="center"/>
                </w:tcPr>
                <w:p w14:paraId="107FABC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000000"/>
                      <w:spacing w:val="0"/>
                      <w:w w:val="100"/>
                      <w:kern w:val="0"/>
                      <w:position w:val="0"/>
                      <w:sz w:val="24"/>
                      <w:szCs w:val="24"/>
                      <w:lang w:val="en-US" w:eastAsia="en-US" w:bidi="ar-SA"/>
                    </w:rPr>
                  </w:pPr>
                  <w:r>
                    <w:rPr>
                      <w:rFonts w:hint="eastAsia" w:ascii="宋体" w:hAnsi="宋体" w:eastAsia="宋体" w:cs="宋体"/>
                      <w:b/>
                      <w:bCs/>
                      <w:spacing w:val="0"/>
                      <w:w w:val="100"/>
                      <w:position w:val="0"/>
                      <w:sz w:val="24"/>
                      <w:szCs w:val="24"/>
                    </w:rPr>
                    <w:t>编号</w:t>
                  </w:r>
                </w:p>
              </w:tc>
              <w:tc>
                <w:tcPr>
                  <w:tcW w:w="1260" w:type="dxa"/>
                  <w:noWrap w:val="0"/>
                  <w:vAlign w:val="center"/>
                </w:tcPr>
                <w:p w14:paraId="499BA4E6">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rPr>
                      <w:rFonts w:hint="eastAsia" w:ascii="宋体" w:hAnsi="宋体" w:eastAsia="宋体" w:cs="宋体"/>
                      <w:b/>
                      <w:snapToGrid w:val="0"/>
                      <w:color w:val="000000"/>
                      <w:spacing w:val="0"/>
                      <w:w w:val="100"/>
                      <w:kern w:val="0"/>
                      <w:position w:val="0"/>
                      <w:sz w:val="24"/>
                      <w:szCs w:val="24"/>
                      <w:lang w:val="en-US" w:eastAsia="zh-CN" w:bidi="ar-SA"/>
                    </w:rPr>
                  </w:pPr>
                  <w:r>
                    <w:rPr>
                      <w:rFonts w:hint="eastAsia" w:ascii="宋体" w:hAnsi="宋体" w:eastAsia="宋体" w:cs="宋体"/>
                      <w:b/>
                      <w:snapToGrid w:val="0"/>
                      <w:color w:val="000000"/>
                      <w:spacing w:val="0"/>
                      <w:w w:val="100"/>
                      <w:kern w:val="0"/>
                      <w:position w:val="0"/>
                      <w:sz w:val="24"/>
                      <w:szCs w:val="24"/>
                      <w:lang w:val="en-US" w:eastAsia="zh-CN" w:bidi="ar-SA"/>
                    </w:rPr>
                    <w:t>数量 线路</w:t>
                  </w:r>
                </w:p>
                <w:p w14:paraId="45C0FAE4">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eastAsia" w:ascii="宋体" w:hAnsi="宋体" w:eastAsia="宋体" w:cs="宋体"/>
                      <w:b/>
                      <w:snapToGrid w:val="0"/>
                      <w:color w:val="000000"/>
                      <w:spacing w:val="0"/>
                      <w:w w:val="100"/>
                      <w:kern w:val="0"/>
                      <w:position w:val="0"/>
                      <w:sz w:val="24"/>
                      <w:szCs w:val="24"/>
                      <w:lang w:val="en-US" w:eastAsia="zh-CN" w:bidi="ar-SA"/>
                    </w:rPr>
                  </w:pPr>
                  <w:r>
                    <w:rPr>
                      <w:rFonts w:hint="eastAsia" w:ascii="宋体" w:hAnsi="宋体" w:eastAsia="宋体" w:cs="宋体"/>
                      <w:b/>
                      <w:snapToGrid w:val="0"/>
                      <w:color w:val="000000"/>
                      <w:spacing w:val="0"/>
                      <w:w w:val="100"/>
                      <w:kern w:val="0"/>
                      <w:position w:val="0"/>
                      <w:sz w:val="24"/>
                      <w:szCs w:val="24"/>
                      <w:lang w:val="en-US" w:eastAsia="zh-CN" w:bidi="ar-SA"/>
                    </w:rPr>
                    <w:t>类型</w:t>
                  </w:r>
                </w:p>
              </w:tc>
              <w:tc>
                <w:tcPr>
                  <w:tcW w:w="870" w:type="dxa"/>
                  <w:noWrap w:val="0"/>
                  <w:vAlign w:val="center"/>
                </w:tcPr>
                <w:p w14:paraId="663B3B6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pacing w:val="0"/>
                      <w:w w:val="100"/>
                      <w:position w:val="0"/>
                      <w:sz w:val="24"/>
                      <w:szCs w:val="24"/>
                      <w:lang w:val="en-US" w:eastAsia="en-US"/>
                    </w:rPr>
                  </w:pPr>
                  <w:r>
                    <w:rPr>
                      <w:rFonts w:hint="eastAsia" w:ascii="宋体" w:hAnsi="宋体" w:eastAsia="宋体" w:cs="宋体"/>
                      <w:b/>
                      <w:bCs/>
                      <w:spacing w:val="0"/>
                      <w:w w:val="100"/>
                      <w:position w:val="0"/>
                      <w:sz w:val="24"/>
                      <w:szCs w:val="24"/>
                      <w:lang w:val="en-US" w:eastAsia="zh-CN"/>
                    </w:rPr>
                    <w:t xml:space="preserve">G241线 </w:t>
                  </w:r>
                </w:p>
              </w:tc>
              <w:tc>
                <w:tcPr>
                  <w:tcW w:w="960" w:type="dxa"/>
                  <w:noWrap w:val="0"/>
                  <w:vAlign w:val="center"/>
                </w:tcPr>
                <w:p w14:paraId="3067BAF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pacing w:val="0"/>
                      <w:w w:val="100"/>
                      <w:position w:val="0"/>
                      <w:sz w:val="24"/>
                      <w:szCs w:val="24"/>
                      <w:lang w:val="en-US" w:eastAsia="en-US"/>
                    </w:rPr>
                  </w:pPr>
                  <w:r>
                    <w:rPr>
                      <w:rFonts w:hint="default" w:ascii="宋体" w:hAnsi="宋体" w:eastAsia="宋体" w:cs="宋体"/>
                      <w:b/>
                      <w:bCs/>
                      <w:spacing w:val="0"/>
                      <w:w w:val="100"/>
                      <w:position w:val="0"/>
                      <w:sz w:val="24"/>
                      <w:szCs w:val="24"/>
                      <w:lang w:val="en-US" w:eastAsia="en-US"/>
                    </w:rPr>
                    <w:t>G357线</w:t>
                  </w:r>
                </w:p>
              </w:tc>
              <w:tc>
                <w:tcPr>
                  <w:tcW w:w="945" w:type="dxa"/>
                  <w:noWrap w:val="0"/>
                  <w:vAlign w:val="center"/>
                </w:tcPr>
                <w:p w14:paraId="2DADF6F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pacing w:val="0"/>
                      <w:w w:val="100"/>
                      <w:position w:val="0"/>
                      <w:sz w:val="24"/>
                      <w:szCs w:val="24"/>
                      <w:lang w:val="en-US" w:eastAsia="zh-CN"/>
                    </w:rPr>
                  </w:pPr>
                  <w:r>
                    <w:rPr>
                      <w:rFonts w:hint="default" w:ascii="宋体" w:hAnsi="宋体" w:eastAsia="宋体" w:cs="宋体"/>
                      <w:b/>
                      <w:bCs/>
                      <w:spacing w:val="0"/>
                      <w:w w:val="100"/>
                      <w:position w:val="0"/>
                      <w:sz w:val="24"/>
                      <w:szCs w:val="24"/>
                      <w:lang w:val="en-US" w:eastAsia="zh-CN"/>
                    </w:rPr>
                    <w:t>S302线</w:t>
                  </w:r>
                </w:p>
              </w:tc>
              <w:tc>
                <w:tcPr>
                  <w:tcW w:w="915" w:type="dxa"/>
                  <w:noWrap w:val="0"/>
                  <w:vAlign w:val="center"/>
                </w:tcPr>
                <w:p w14:paraId="090239E6">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pacing w:val="0"/>
                      <w:w w:val="100"/>
                      <w:position w:val="0"/>
                      <w:sz w:val="24"/>
                      <w:szCs w:val="24"/>
                      <w:lang w:val="en-US" w:eastAsia="zh-CN"/>
                    </w:rPr>
                  </w:pPr>
                  <w:r>
                    <w:rPr>
                      <w:rFonts w:hint="default" w:ascii="宋体" w:hAnsi="宋体" w:eastAsia="宋体" w:cs="宋体"/>
                      <w:b/>
                      <w:bCs/>
                      <w:spacing w:val="0"/>
                      <w:w w:val="100"/>
                      <w:position w:val="0"/>
                      <w:sz w:val="24"/>
                      <w:szCs w:val="24"/>
                      <w:lang w:val="en-US" w:eastAsia="zh-CN"/>
                    </w:rPr>
                    <w:t>S502线</w:t>
                  </w:r>
                </w:p>
              </w:tc>
              <w:tc>
                <w:tcPr>
                  <w:tcW w:w="718" w:type="dxa"/>
                  <w:noWrap w:val="0"/>
                  <w:vAlign w:val="center"/>
                </w:tcPr>
                <w:p w14:paraId="5F3D3FD1">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000000"/>
                      <w:spacing w:val="0"/>
                      <w:w w:val="100"/>
                      <w:kern w:val="0"/>
                      <w:position w:val="0"/>
                      <w:sz w:val="24"/>
                      <w:szCs w:val="24"/>
                      <w:lang w:val="en-US" w:eastAsia="en-US" w:bidi="ar-SA"/>
                    </w:rPr>
                  </w:pPr>
                  <w:r>
                    <w:rPr>
                      <w:rFonts w:hint="eastAsia" w:ascii="宋体" w:hAnsi="宋体" w:eastAsia="宋体" w:cs="宋体"/>
                      <w:b/>
                      <w:bCs/>
                      <w:spacing w:val="0"/>
                      <w:w w:val="100"/>
                      <w:position w:val="0"/>
                      <w:sz w:val="24"/>
                      <w:szCs w:val="24"/>
                    </w:rPr>
                    <w:t>备注</w:t>
                  </w:r>
                </w:p>
              </w:tc>
            </w:tr>
            <w:tr w14:paraId="71800A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12" w:hRule="atLeast"/>
                <w:tblHeader/>
              </w:trPr>
              <w:tc>
                <w:tcPr>
                  <w:tcW w:w="447" w:type="dxa"/>
                  <w:noWrap w:val="0"/>
                  <w:vAlign w:val="center"/>
                </w:tcPr>
                <w:p w14:paraId="330BB268">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9"/>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1</w:t>
                  </w:r>
                </w:p>
              </w:tc>
              <w:tc>
                <w:tcPr>
                  <w:tcW w:w="1260" w:type="dxa"/>
                  <w:noWrap w:val="0"/>
                  <w:vAlign w:val="center"/>
                </w:tcPr>
                <w:p w14:paraId="50A09B2F">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CN" w:bidi="ar-SA"/>
                    </w:rPr>
                  </w:pPr>
                  <w:r>
                    <w:rPr>
                      <w:rFonts w:hint="eastAsia" w:ascii="宋体" w:hAnsi="宋体" w:eastAsia="宋体" w:cs="宋体"/>
                      <w:b/>
                      <w:bCs/>
                      <w:color w:val="auto"/>
                      <w:spacing w:val="0"/>
                      <w:w w:val="100"/>
                      <w:position w:val="0"/>
                      <w:sz w:val="24"/>
                      <w:szCs w:val="24"/>
                    </w:rPr>
                    <w:t>桥梁、涵洞</w:t>
                  </w:r>
                </w:p>
              </w:tc>
              <w:tc>
                <w:tcPr>
                  <w:tcW w:w="870" w:type="dxa"/>
                  <w:noWrap w:val="0"/>
                  <w:vAlign w:val="center"/>
                </w:tcPr>
                <w:p w14:paraId="37C4DB18">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lang w:val="en-US" w:eastAsia="zh-CN"/>
                    </w:rPr>
                  </w:pPr>
                </w:p>
              </w:tc>
              <w:tc>
                <w:tcPr>
                  <w:tcW w:w="960" w:type="dxa"/>
                  <w:noWrap w:val="0"/>
                  <w:vAlign w:val="center"/>
                </w:tcPr>
                <w:p w14:paraId="6520FEE9">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lang w:val="en-US" w:eastAsia="zh-CN"/>
                    </w:rPr>
                  </w:pPr>
                </w:p>
              </w:tc>
              <w:tc>
                <w:tcPr>
                  <w:tcW w:w="945" w:type="dxa"/>
                  <w:noWrap w:val="0"/>
                  <w:vAlign w:val="center"/>
                </w:tcPr>
                <w:p w14:paraId="33D40F3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lang w:val="en-US" w:eastAsia="zh-CN"/>
                    </w:rPr>
                  </w:pPr>
                </w:p>
              </w:tc>
              <w:tc>
                <w:tcPr>
                  <w:tcW w:w="915" w:type="dxa"/>
                  <w:noWrap w:val="0"/>
                  <w:vAlign w:val="center"/>
                </w:tcPr>
                <w:p w14:paraId="624649F1">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lang w:val="en-US" w:eastAsia="zh-CN"/>
                    </w:rPr>
                  </w:pPr>
                </w:p>
              </w:tc>
              <w:tc>
                <w:tcPr>
                  <w:tcW w:w="718" w:type="dxa"/>
                  <w:noWrap w:val="0"/>
                  <w:vAlign w:val="center"/>
                </w:tcPr>
                <w:p w14:paraId="00FC50DF">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rPr>
                  </w:pPr>
                </w:p>
              </w:tc>
            </w:tr>
            <w:tr w14:paraId="3DFAE4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7" w:hRule="atLeast"/>
              </w:trPr>
              <w:tc>
                <w:tcPr>
                  <w:tcW w:w="447" w:type="dxa"/>
                  <w:noWrap w:val="0"/>
                  <w:vAlign w:val="center"/>
                </w:tcPr>
                <w:p w14:paraId="5C466CD8">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1.1</w:t>
                  </w:r>
                </w:p>
              </w:tc>
              <w:tc>
                <w:tcPr>
                  <w:tcW w:w="1260" w:type="dxa"/>
                  <w:noWrap w:val="0"/>
                  <w:vAlign w:val="center"/>
                </w:tcPr>
                <w:p w14:paraId="0D1F4B4D">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桥梁</w:t>
                  </w:r>
                </w:p>
              </w:tc>
              <w:tc>
                <w:tcPr>
                  <w:tcW w:w="870" w:type="dxa"/>
                  <w:noWrap w:val="0"/>
                  <w:vAlign w:val="center"/>
                </w:tcPr>
                <w:p w14:paraId="12FD215C">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25 </w:t>
                  </w:r>
                </w:p>
              </w:tc>
              <w:tc>
                <w:tcPr>
                  <w:tcW w:w="960" w:type="dxa"/>
                  <w:noWrap w:val="0"/>
                  <w:vAlign w:val="center"/>
                </w:tcPr>
                <w:p w14:paraId="0E490920">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w:t>
                  </w:r>
                </w:p>
              </w:tc>
              <w:tc>
                <w:tcPr>
                  <w:tcW w:w="945" w:type="dxa"/>
                  <w:noWrap w:val="0"/>
                  <w:vAlign w:val="center"/>
                </w:tcPr>
                <w:p w14:paraId="46493C1C">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8</w:t>
                  </w:r>
                </w:p>
              </w:tc>
              <w:tc>
                <w:tcPr>
                  <w:tcW w:w="915" w:type="dxa"/>
                  <w:noWrap w:val="0"/>
                  <w:vAlign w:val="center"/>
                </w:tcPr>
                <w:p w14:paraId="41C25A1A">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8</w:t>
                  </w:r>
                </w:p>
              </w:tc>
              <w:tc>
                <w:tcPr>
                  <w:tcW w:w="718" w:type="dxa"/>
                  <w:noWrap w:val="0"/>
                  <w:vAlign w:val="center"/>
                </w:tcPr>
                <w:p w14:paraId="4C4FF53E">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lang w:eastAsia="zh"/>
                    </w:rPr>
                  </w:pPr>
                </w:p>
              </w:tc>
            </w:tr>
            <w:tr w14:paraId="0C4A88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7" w:hRule="atLeast"/>
              </w:trPr>
              <w:tc>
                <w:tcPr>
                  <w:tcW w:w="447" w:type="dxa"/>
                  <w:noWrap w:val="0"/>
                  <w:vAlign w:val="center"/>
                </w:tcPr>
                <w:p w14:paraId="58A20111">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1.2</w:t>
                  </w:r>
                </w:p>
              </w:tc>
              <w:tc>
                <w:tcPr>
                  <w:tcW w:w="1260" w:type="dxa"/>
                  <w:noWrap w:val="0"/>
                  <w:vAlign w:val="center"/>
                </w:tcPr>
                <w:p w14:paraId="171FA805">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涵洞</w:t>
                  </w:r>
                </w:p>
              </w:tc>
              <w:tc>
                <w:tcPr>
                  <w:tcW w:w="870" w:type="dxa"/>
                  <w:noWrap w:val="0"/>
                  <w:vAlign w:val="center"/>
                </w:tcPr>
                <w:p w14:paraId="7D8702D3">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328 </w:t>
                  </w:r>
                </w:p>
              </w:tc>
              <w:tc>
                <w:tcPr>
                  <w:tcW w:w="960" w:type="dxa"/>
                  <w:noWrap w:val="0"/>
                  <w:vAlign w:val="center"/>
                </w:tcPr>
                <w:p w14:paraId="02F3CAC0">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22</w:t>
                  </w:r>
                </w:p>
              </w:tc>
              <w:tc>
                <w:tcPr>
                  <w:tcW w:w="945" w:type="dxa"/>
                  <w:noWrap w:val="0"/>
                  <w:vAlign w:val="center"/>
                </w:tcPr>
                <w:p w14:paraId="1F93D799">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126</w:t>
                  </w:r>
                </w:p>
              </w:tc>
              <w:tc>
                <w:tcPr>
                  <w:tcW w:w="915" w:type="dxa"/>
                  <w:noWrap w:val="0"/>
                  <w:vAlign w:val="center"/>
                </w:tcPr>
                <w:p w14:paraId="7F6962C5">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170</w:t>
                  </w:r>
                </w:p>
              </w:tc>
              <w:tc>
                <w:tcPr>
                  <w:tcW w:w="718" w:type="dxa"/>
                  <w:noWrap w:val="0"/>
                  <w:vAlign w:val="center"/>
                </w:tcPr>
                <w:p w14:paraId="4C990D4B">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lang w:eastAsia="zh"/>
                    </w:rPr>
                  </w:pPr>
                </w:p>
              </w:tc>
            </w:tr>
            <w:tr w14:paraId="73457B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7" w:hRule="atLeast"/>
              </w:trPr>
              <w:tc>
                <w:tcPr>
                  <w:tcW w:w="447" w:type="dxa"/>
                  <w:noWrap w:val="0"/>
                  <w:vAlign w:val="center"/>
                </w:tcPr>
                <w:p w14:paraId="1B7919A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2</w:t>
                  </w:r>
                </w:p>
              </w:tc>
              <w:tc>
                <w:tcPr>
                  <w:tcW w:w="1260" w:type="dxa"/>
                  <w:noWrap w:val="0"/>
                  <w:vAlign w:val="center"/>
                </w:tcPr>
                <w:p w14:paraId="7A788830">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隧道</w:t>
                  </w:r>
                </w:p>
              </w:tc>
              <w:tc>
                <w:tcPr>
                  <w:tcW w:w="870" w:type="dxa"/>
                  <w:noWrap w:val="0"/>
                  <w:vAlign w:val="center"/>
                </w:tcPr>
                <w:p w14:paraId="55466E0C">
                  <w:pPr>
                    <w:keepNext w:val="0"/>
                    <w:keepLines w:val="0"/>
                    <w:widowControl/>
                    <w:suppressLineNumbers w:val="0"/>
                    <w:jc w:val="center"/>
                    <w:textAlignment w:val="top"/>
                    <w:rPr>
                      <w:rFonts w:hint="eastAsia" w:ascii="宋体" w:hAnsi="宋体" w:eastAsia="宋体" w:cs="宋体"/>
                      <w:i w:val="0"/>
                      <w:iCs w:val="0"/>
                      <w:snapToGrid w:val="0"/>
                      <w:color w:val="auto"/>
                      <w:kern w:val="0"/>
                      <w:sz w:val="18"/>
                      <w:szCs w:val="18"/>
                      <w:u w:val="none"/>
                      <w:lang w:val="en-US" w:eastAsia="zh" w:bidi="ar"/>
                    </w:rPr>
                  </w:pPr>
                </w:p>
              </w:tc>
              <w:tc>
                <w:tcPr>
                  <w:tcW w:w="960" w:type="dxa"/>
                  <w:noWrap w:val="0"/>
                  <w:vAlign w:val="center"/>
                </w:tcPr>
                <w:p w14:paraId="12AD784F">
                  <w:pPr>
                    <w:keepNext w:val="0"/>
                    <w:keepLines w:val="0"/>
                    <w:widowControl/>
                    <w:suppressLineNumbers w:val="0"/>
                    <w:jc w:val="center"/>
                    <w:textAlignment w:val="top"/>
                    <w:rPr>
                      <w:rFonts w:hint="eastAsia" w:ascii="宋体" w:hAnsi="宋体" w:eastAsia="宋体" w:cs="宋体"/>
                      <w:i w:val="0"/>
                      <w:iCs w:val="0"/>
                      <w:snapToGrid w:val="0"/>
                      <w:color w:val="auto"/>
                      <w:kern w:val="0"/>
                      <w:sz w:val="18"/>
                      <w:szCs w:val="18"/>
                      <w:u w:val="none"/>
                      <w:lang w:val="en-US" w:eastAsia="zh" w:bidi="ar"/>
                    </w:rPr>
                  </w:pPr>
                </w:p>
              </w:tc>
              <w:tc>
                <w:tcPr>
                  <w:tcW w:w="945" w:type="dxa"/>
                  <w:noWrap w:val="0"/>
                  <w:vAlign w:val="center"/>
                </w:tcPr>
                <w:p w14:paraId="04A6675E">
                  <w:pPr>
                    <w:keepNext w:val="0"/>
                    <w:keepLines w:val="0"/>
                    <w:widowControl/>
                    <w:suppressLineNumbers w:val="0"/>
                    <w:jc w:val="center"/>
                    <w:textAlignment w:val="top"/>
                    <w:rPr>
                      <w:rFonts w:hint="eastAsia" w:ascii="宋体" w:hAnsi="宋体" w:eastAsia="宋体" w:cs="宋体"/>
                      <w:i w:val="0"/>
                      <w:iCs w:val="0"/>
                      <w:snapToGrid w:val="0"/>
                      <w:color w:val="auto"/>
                      <w:kern w:val="0"/>
                      <w:sz w:val="18"/>
                      <w:szCs w:val="18"/>
                      <w:u w:val="none"/>
                      <w:lang w:val="en-US" w:eastAsia="zh" w:bidi="ar"/>
                    </w:rPr>
                  </w:pPr>
                </w:p>
              </w:tc>
              <w:tc>
                <w:tcPr>
                  <w:tcW w:w="915" w:type="dxa"/>
                  <w:noWrap w:val="0"/>
                  <w:vAlign w:val="center"/>
                </w:tcPr>
                <w:p w14:paraId="5927E9C0">
                  <w:pPr>
                    <w:keepNext w:val="0"/>
                    <w:keepLines w:val="0"/>
                    <w:widowControl/>
                    <w:suppressLineNumbers w:val="0"/>
                    <w:jc w:val="center"/>
                    <w:textAlignment w:val="top"/>
                    <w:rPr>
                      <w:rFonts w:hint="eastAsia" w:ascii="宋体" w:hAnsi="宋体" w:eastAsia="宋体" w:cs="宋体"/>
                      <w:i w:val="0"/>
                      <w:iCs w:val="0"/>
                      <w:snapToGrid w:val="0"/>
                      <w:color w:val="auto"/>
                      <w:kern w:val="0"/>
                      <w:sz w:val="18"/>
                      <w:szCs w:val="18"/>
                      <w:u w:val="none"/>
                      <w:lang w:val="en-US" w:eastAsia="zh" w:bidi="ar"/>
                    </w:rPr>
                  </w:pPr>
                </w:p>
              </w:tc>
              <w:tc>
                <w:tcPr>
                  <w:tcW w:w="718" w:type="dxa"/>
                  <w:noWrap w:val="0"/>
                  <w:vAlign w:val="center"/>
                </w:tcPr>
                <w:p w14:paraId="4CB33C43">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lang w:eastAsia="zh"/>
                    </w:rPr>
                  </w:pPr>
                </w:p>
              </w:tc>
            </w:tr>
            <w:tr w14:paraId="4D9776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7" w:hRule="atLeast"/>
              </w:trPr>
              <w:tc>
                <w:tcPr>
                  <w:tcW w:w="447" w:type="dxa"/>
                  <w:noWrap w:val="0"/>
                  <w:vAlign w:val="center"/>
                </w:tcPr>
                <w:p w14:paraId="0BFC5F39">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2</w:t>
                  </w:r>
                  <w:r>
                    <w:rPr>
                      <w:rFonts w:hint="eastAsia" w:ascii="宋体" w:hAnsi="宋体" w:eastAsia="宋体" w:cs="宋体"/>
                      <w:color w:val="auto"/>
                      <w:spacing w:val="0"/>
                      <w:w w:val="100"/>
                      <w:position w:val="0"/>
                      <w:sz w:val="24"/>
                      <w:szCs w:val="24"/>
                      <w:lang w:eastAsia="zh-CN"/>
                    </w:rPr>
                    <w:t>.</w:t>
                  </w:r>
                  <w:r>
                    <w:rPr>
                      <w:rFonts w:hint="eastAsia" w:ascii="宋体" w:hAnsi="宋体" w:eastAsia="宋体" w:cs="宋体"/>
                      <w:color w:val="auto"/>
                      <w:spacing w:val="0"/>
                      <w:w w:val="100"/>
                      <w:position w:val="0"/>
                      <w:sz w:val="24"/>
                      <w:szCs w:val="24"/>
                    </w:rPr>
                    <w:t>1</w:t>
                  </w:r>
                </w:p>
              </w:tc>
              <w:tc>
                <w:tcPr>
                  <w:tcW w:w="1260" w:type="dxa"/>
                  <w:noWrap w:val="0"/>
                  <w:vAlign w:val="center"/>
                </w:tcPr>
                <w:p w14:paraId="560B01E0">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隧道</w:t>
                  </w:r>
                </w:p>
              </w:tc>
              <w:tc>
                <w:tcPr>
                  <w:tcW w:w="870" w:type="dxa"/>
                  <w:noWrap w:val="0"/>
                  <w:vAlign w:val="center"/>
                </w:tcPr>
                <w:p w14:paraId="7ABFDD83">
                  <w:pPr>
                    <w:keepNext w:val="0"/>
                    <w:keepLines w:val="0"/>
                    <w:widowControl/>
                    <w:suppressLineNumbers w:val="0"/>
                    <w:jc w:val="center"/>
                    <w:textAlignment w:val="top"/>
                    <w:rPr>
                      <w:rFonts w:hint="eastAsia"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color w:val="auto"/>
                      <w:spacing w:val="0"/>
                      <w:w w:val="100"/>
                      <w:position w:val="0"/>
                      <w:sz w:val="24"/>
                      <w:szCs w:val="24"/>
                      <w:lang w:val="en-US" w:eastAsia="zh-CN"/>
                    </w:rPr>
                    <w:t>/</w:t>
                  </w:r>
                </w:p>
              </w:tc>
              <w:tc>
                <w:tcPr>
                  <w:tcW w:w="960" w:type="dxa"/>
                  <w:noWrap w:val="0"/>
                  <w:vAlign w:val="center"/>
                </w:tcPr>
                <w:p w14:paraId="7648858D">
                  <w:pPr>
                    <w:keepNext w:val="0"/>
                    <w:keepLines w:val="0"/>
                    <w:widowControl/>
                    <w:suppressLineNumbers w:val="0"/>
                    <w:jc w:val="center"/>
                    <w:textAlignment w:val="top"/>
                    <w:rPr>
                      <w:rFonts w:hint="default" w:ascii="宋体" w:hAnsi="宋体" w:eastAsia="宋体" w:cs="宋体"/>
                      <w:i w:val="0"/>
                      <w:iCs w:val="0"/>
                      <w:snapToGrid w:val="0"/>
                      <w:color w:val="auto"/>
                      <w:kern w:val="0"/>
                      <w:sz w:val="18"/>
                      <w:szCs w:val="18"/>
                      <w:u w:val="none"/>
                      <w:lang w:val="en-US" w:eastAsia="zh" w:bidi="ar"/>
                    </w:rPr>
                  </w:pPr>
                  <w:r>
                    <w:rPr>
                      <w:rFonts w:hint="eastAsia" w:ascii="宋体" w:hAnsi="宋体" w:eastAsia="宋体" w:cs="宋体"/>
                      <w:color w:val="auto"/>
                      <w:spacing w:val="0"/>
                      <w:w w:val="100"/>
                      <w:position w:val="0"/>
                      <w:sz w:val="24"/>
                      <w:szCs w:val="24"/>
                      <w:lang w:val="en-US" w:eastAsia="zh-CN"/>
                    </w:rPr>
                    <w:t>/</w:t>
                  </w:r>
                </w:p>
              </w:tc>
              <w:tc>
                <w:tcPr>
                  <w:tcW w:w="945" w:type="dxa"/>
                  <w:noWrap w:val="0"/>
                  <w:vAlign w:val="center"/>
                </w:tcPr>
                <w:p w14:paraId="35C28CAA">
                  <w:pPr>
                    <w:keepNext w:val="0"/>
                    <w:keepLines w:val="0"/>
                    <w:widowControl/>
                    <w:suppressLineNumbers w:val="0"/>
                    <w:jc w:val="center"/>
                    <w:textAlignment w:val="top"/>
                    <w:rPr>
                      <w:rFonts w:hint="default" w:ascii="宋体" w:hAnsi="宋体" w:eastAsia="宋体" w:cs="宋体"/>
                      <w:i w:val="0"/>
                      <w:iCs w:val="0"/>
                      <w:snapToGrid w:val="0"/>
                      <w:color w:val="auto"/>
                      <w:kern w:val="0"/>
                      <w:sz w:val="18"/>
                      <w:szCs w:val="18"/>
                      <w:u w:val="none"/>
                      <w:lang w:val="en-US" w:eastAsia="zh" w:bidi="ar"/>
                    </w:rPr>
                  </w:pPr>
                  <w:r>
                    <w:rPr>
                      <w:rFonts w:hint="eastAsia" w:ascii="宋体" w:hAnsi="宋体" w:eastAsia="宋体" w:cs="宋体"/>
                      <w:color w:val="auto"/>
                      <w:spacing w:val="0"/>
                      <w:w w:val="100"/>
                      <w:position w:val="0"/>
                      <w:sz w:val="24"/>
                      <w:szCs w:val="24"/>
                      <w:lang w:val="en-US" w:eastAsia="zh-CN"/>
                    </w:rPr>
                    <w:t>/</w:t>
                  </w:r>
                </w:p>
              </w:tc>
              <w:tc>
                <w:tcPr>
                  <w:tcW w:w="915" w:type="dxa"/>
                  <w:noWrap w:val="0"/>
                  <w:vAlign w:val="center"/>
                </w:tcPr>
                <w:p w14:paraId="7A1958BB">
                  <w:pPr>
                    <w:keepNext w:val="0"/>
                    <w:keepLines w:val="0"/>
                    <w:widowControl/>
                    <w:suppressLineNumbers w:val="0"/>
                    <w:jc w:val="center"/>
                    <w:textAlignment w:val="top"/>
                    <w:rPr>
                      <w:rFonts w:hint="default" w:ascii="宋体" w:hAnsi="宋体" w:eastAsia="宋体" w:cs="宋体"/>
                      <w:i w:val="0"/>
                      <w:iCs w:val="0"/>
                      <w:snapToGrid w:val="0"/>
                      <w:color w:val="auto"/>
                      <w:kern w:val="0"/>
                      <w:sz w:val="18"/>
                      <w:szCs w:val="18"/>
                      <w:u w:val="none"/>
                      <w:lang w:val="en-US" w:eastAsia="zh" w:bidi="ar"/>
                    </w:rPr>
                  </w:pPr>
                  <w:r>
                    <w:rPr>
                      <w:rFonts w:hint="eastAsia" w:ascii="宋体" w:hAnsi="宋体" w:eastAsia="宋体" w:cs="宋体"/>
                      <w:color w:val="auto"/>
                      <w:spacing w:val="0"/>
                      <w:w w:val="100"/>
                      <w:position w:val="0"/>
                      <w:sz w:val="24"/>
                      <w:szCs w:val="24"/>
                      <w:lang w:val="en-US" w:eastAsia="zh-CN"/>
                    </w:rPr>
                    <w:t>/</w:t>
                  </w:r>
                </w:p>
              </w:tc>
              <w:tc>
                <w:tcPr>
                  <w:tcW w:w="718" w:type="dxa"/>
                  <w:noWrap w:val="0"/>
                  <w:vAlign w:val="center"/>
                </w:tcPr>
                <w:p w14:paraId="02806B2C">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 w:bidi="ar-SA"/>
                    </w:rPr>
                  </w:pPr>
                </w:p>
              </w:tc>
            </w:tr>
            <w:tr w14:paraId="58A503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7" w:hRule="atLeast"/>
              </w:trPr>
              <w:tc>
                <w:tcPr>
                  <w:tcW w:w="447" w:type="dxa"/>
                  <w:shd w:val="clear" w:color="auto" w:fill="auto"/>
                  <w:noWrap w:val="0"/>
                  <w:vAlign w:val="center"/>
                </w:tcPr>
                <w:p w14:paraId="51FE2DB2">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b/>
                      <w:bCs/>
                      <w:color w:val="auto"/>
                      <w:spacing w:val="0"/>
                      <w:w w:val="100"/>
                      <w:position w:val="0"/>
                      <w:sz w:val="24"/>
                      <w:szCs w:val="24"/>
                    </w:rPr>
                    <w:t>3</w:t>
                  </w:r>
                </w:p>
              </w:tc>
              <w:tc>
                <w:tcPr>
                  <w:tcW w:w="1260" w:type="dxa"/>
                  <w:shd w:val="clear" w:color="auto" w:fill="auto"/>
                  <w:noWrap w:val="0"/>
                  <w:vAlign w:val="center"/>
                </w:tcPr>
                <w:p w14:paraId="284C0F45">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b/>
                      <w:bCs/>
                      <w:color w:val="auto"/>
                      <w:spacing w:val="0"/>
                      <w:w w:val="100"/>
                      <w:position w:val="0"/>
                      <w:sz w:val="24"/>
                      <w:szCs w:val="24"/>
                    </w:rPr>
                    <w:t>服务设施</w:t>
                  </w:r>
                </w:p>
              </w:tc>
              <w:tc>
                <w:tcPr>
                  <w:tcW w:w="870" w:type="dxa"/>
                  <w:shd w:val="clear" w:color="auto" w:fill="auto"/>
                  <w:noWrap w:val="0"/>
                  <w:vAlign w:val="center"/>
                </w:tcPr>
                <w:p w14:paraId="551FB514">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c>
                <w:tcPr>
                  <w:tcW w:w="960" w:type="dxa"/>
                  <w:shd w:val="clear" w:color="auto" w:fill="FFFFFF"/>
                  <w:noWrap w:val="0"/>
                  <w:vAlign w:val="center"/>
                </w:tcPr>
                <w:p w14:paraId="01C5CF8C">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c>
                <w:tcPr>
                  <w:tcW w:w="945" w:type="dxa"/>
                  <w:noWrap w:val="0"/>
                  <w:vAlign w:val="center"/>
                </w:tcPr>
                <w:p w14:paraId="5D5C5E25">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c>
                <w:tcPr>
                  <w:tcW w:w="915" w:type="dxa"/>
                  <w:noWrap w:val="0"/>
                  <w:vAlign w:val="center"/>
                </w:tcPr>
                <w:p w14:paraId="65F2F0B8">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c>
                <w:tcPr>
                  <w:tcW w:w="718" w:type="dxa"/>
                  <w:noWrap w:val="0"/>
                  <w:vAlign w:val="center"/>
                </w:tcPr>
                <w:p w14:paraId="0F74D0AB">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123430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8" w:hRule="atLeast"/>
              </w:trPr>
              <w:tc>
                <w:tcPr>
                  <w:tcW w:w="447" w:type="dxa"/>
                  <w:shd w:val="clear" w:color="auto" w:fill="auto"/>
                  <w:noWrap w:val="0"/>
                  <w:vAlign w:val="center"/>
                </w:tcPr>
                <w:p w14:paraId="5673969E">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3.1</w:t>
                  </w:r>
                </w:p>
              </w:tc>
              <w:tc>
                <w:tcPr>
                  <w:tcW w:w="1260" w:type="dxa"/>
                  <w:shd w:val="clear" w:color="auto" w:fill="auto"/>
                  <w:noWrap w:val="0"/>
                  <w:vAlign w:val="center"/>
                </w:tcPr>
                <w:p w14:paraId="487439D3">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cs="宋体"/>
                      <w:color w:val="auto"/>
                      <w:spacing w:val="0"/>
                      <w:w w:val="100"/>
                      <w:position w:val="0"/>
                      <w:sz w:val="24"/>
                      <w:szCs w:val="24"/>
                      <w:lang w:val="en-US" w:eastAsia="zh-CN"/>
                    </w:rPr>
                  </w:pPr>
                  <w:r>
                    <w:rPr>
                      <w:rFonts w:hint="eastAsia" w:cs="宋体"/>
                      <w:color w:val="auto"/>
                      <w:spacing w:val="0"/>
                      <w:w w:val="100"/>
                      <w:position w:val="0"/>
                      <w:sz w:val="24"/>
                      <w:szCs w:val="24"/>
                      <w:lang w:val="en-US" w:eastAsia="zh-CN"/>
                    </w:rPr>
                    <w:t>候车亭</w:t>
                  </w:r>
                </w:p>
              </w:tc>
              <w:tc>
                <w:tcPr>
                  <w:tcW w:w="870" w:type="dxa"/>
                  <w:shd w:val="clear" w:color="auto" w:fill="FFFFFF"/>
                  <w:noWrap w:val="0"/>
                  <w:vAlign w:val="center"/>
                </w:tcPr>
                <w:p w14:paraId="5A9B82EB">
                  <w:pPr>
                    <w:jc w:val="center"/>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13</w:t>
                  </w:r>
                </w:p>
              </w:tc>
              <w:tc>
                <w:tcPr>
                  <w:tcW w:w="960" w:type="dxa"/>
                  <w:noWrap w:val="0"/>
                  <w:vAlign w:val="center"/>
                </w:tcPr>
                <w:p w14:paraId="49EA338B">
                  <w:pPr>
                    <w:jc w:val="center"/>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w:t>
                  </w:r>
                </w:p>
              </w:tc>
              <w:tc>
                <w:tcPr>
                  <w:tcW w:w="945" w:type="dxa"/>
                  <w:noWrap w:val="0"/>
                  <w:vAlign w:val="center"/>
                </w:tcPr>
                <w:p w14:paraId="728B7509">
                  <w:pPr>
                    <w:jc w:val="center"/>
                    <w:rPr>
                      <w:rFonts w:hint="default" w:ascii="宋体" w:hAnsi="宋体" w:eastAsia="宋体" w:cs="宋体"/>
                      <w:i w:val="0"/>
                      <w:iCs w:val="0"/>
                      <w:snapToGrid w:val="0"/>
                      <w:color w:val="auto"/>
                      <w:kern w:val="0"/>
                      <w:sz w:val="18"/>
                      <w:szCs w:val="18"/>
                      <w:u w:val="none"/>
                      <w:lang w:val="en-US" w:eastAsia="zh-CN" w:bidi="ar"/>
                    </w:rPr>
                  </w:pPr>
                  <w:r>
                    <w:rPr>
                      <w:rFonts w:hint="eastAsia" w:ascii="宋体" w:hAnsi="宋体" w:eastAsia="宋体" w:cs="宋体"/>
                      <w:color w:val="auto"/>
                      <w:spacing w:val="0"/>
                      <w:w w:val="100"/>
                      <w:position w:val="0"/>
                      <w:sz w:val="24"/>
                      <w:szCs w:val="24"/>
                      <w:lang w:val="en-US" w:eastAsia="zh-CN"/>
                    </w:rPr>
                    <w:t>7</w:t>
                  </w:r>
                </w:p>
              </w:tc>
              <w:tc>
                <w:tcPr>
                  <w:tcW w:w="915" w:type="dxa"/>
                  <w:noWrap w:val="0"/>
                  <w:vAlign w:val="center"/>
                </w:tcPr>
                <w:p w14:paraId="6C30A42F">
                  <w:pPr>
                    <w:jc w:val="center"/>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9</w:t>
                  </w:r>
                </w:p>
              </w:tc>
              <w:tc>
                <w:tcPr>
                  <w:tcW w:w="718" w:type="dxa"/>
                  <w:noWrap w:val="0"/>
                  <w:vAlign w:val="center"/>
                </w:tcPr>
                <w:p w14:paraId="53B8BAB0">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lang w:eastAsia="zh"/>
                    </w:rPr>
                  </w:pPr>
                </w:p>
              </w:tc>
            </w:tr>
          </w:tbl>
          <w:p w14:paraId="15602F10">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b/>
                <w:bCs/>
                <w:spacing w:val="0"/>
                <w:w w:val="100"/>
                <w:position w:val="0"/>
                <w:sz w:val="24"/>
                <w:szCs w:val="24"/>
                <w:highlight w:val="none"/>
              </w:rPr>
            </w:pPr>
          </w:p>
          <w:p w14:paraId="02EE390B">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pacing w:val="0"/>
                <w:w w:val="100"/>
                <w:position w:val="0"/>
                <w:sz w:val="24"/>
                <w:szCs w:val="24"/>
                <w:highlight w:val="none"/>
                <w:lang w:eastAsia="zh-CN"/>
              </w:rPr>
            </w:pPr>
            <w:r>
              <w:rPr>
                <w:rFonts w:hint="eastAsia" w:ascii="宋体" w:hAnsi="宋体" w:eastAsia="宋体" w:cs="宋体"/>
                <w:b/>
                <w:bCs/>
                <w:spacing w:val="0"/>
                <w:w w:val="100"/>
                <w:position w:val="0"/>
                <w:sz w:val="24"/>
                <w:szCs w:val="24"/>
                <w:highlight w:val="none"/>
              </w:rPr>
              <w:t>公路主要设施清单</w:t>
            </w:r>
            <w:r>
              <w:rPr>
                <w:rFonts w:hint="eastAsia" w:ascii="宋体" w:hAnsi="宋体" w:eastAsia="宋体" w:cs="宋体"/>
                <w:b/>
                <w:bCs/>
                <w:spacing w:val="0"/>
                <w:w w:val="100"/>
                <w:position w:val="0"/>
                <w:sz w:val="24"/>
                <w:szCs w:val="24"/>
                <w:highlight w:val="none"/>
                <w:lang w:eastAsia="zh-CN"/>
              </w:rPr>
              <w:t>（</w:t>
            </w:r>
            <w:r>
              <w:rPr>
                <w:rFonts w:hint="eastAsia" w:ascii="宋体" w:hAnsi="宋体" w:eastAsia="宋体" w:cs="宋体"/>
                <w:b/>
                <w:bCs/>
                <w:spacing w:val="0"/>
                <w:w w:val="100"/>
                <w:position w:val="0"/>
                <w:sz w:val="24"/>
                <w:szCs w:val="24"/>
                <w:highlight w:val="none"/>
                <w:lang w:val="en-US" w:eastAsia="zh-CN"/>
              </w:rPr>
              <w:t>B段</w:t>
            </w:r>
            <w:r>
              <w:rPr>
                <w:rFonts w:hint="eastAsia" w:ascii="宋体" w:hAnsi="宋体" w:eastAsia="宋体" w:cs="宋体"/>
                <w:b/>
                <w:bCs/>
                <w:spacing w:val="0"/>
                <w:w w:val="100"/>
                <w:position w:val="0"/>
                <w:sz w:val="24"/>
                <w:szCs w:val="24"/>
                <w:highlight w:val="none"/>
                <w:lang w:eastAsia="zh-CN"/>
              </w:rPr>
              <w:t>）</w:t>
            </w:r>
          </w:p>
          <w:tbl>
            <w:tblPr>
              <w:tblStyle w:val="25"/>
              <w:tblW w:w="631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88"/>
              <w:gridCol w:w="733"/>
              <w:gridCol w:w="783"/>
              <w:gridCol w:w="850"/>
              <w:gridCol w:w="834"/>
              <w:gridCol w:w="783"/>
              <w:gridCol w:w="783"/>
              <w:gridCol w:w="961"/>
            </w:tblGrid>
            <w:tr w14:paraId="5CE629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84" w:hRule="atLeast"/>
                <w:tblHeader/>
                <w:jc w:val="center"/>
              </w:trPr>
              <w:tc>
                <w:tcPr>
                  <w:tcW w:w="588" w:type="dxa"/>
                  <w:shd w:val="clear" w:color="auto" w:fill="auto"/>
                  <w:vAlign w:val="center"/>
                </w:tcPr>
                <w:p w14:paraId="09DA6D95">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rPr>
                  </w:pPr>
                  <w:r>
                    <w:rPr>
                      <w:rFonts w:hint="eastAsia" w:ascii="宋体" w:hAnsi="宋体" w:eastAsia="宋体" w:cs="宋体"/>
                      <w:b/>
                      <w:bCs/>
                      <w:color w:val="auto"/>
                      <w:spacing w:val="0"/>
                      <w:w w:val="100"/>
                      <w:position w:val="0"/>
                      <w:sz w:val="24"/>
                      <w:szCs w:val="24"/>
                    </w:rPr>
                    <w:t>编</w:t>
                  </w:r>
                </w:p>
                <w:p w14:paraId="4F1683D4">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号</w:t>
                  </w:r>
                </w:p>
              </w:tc>
              <w:tc>
                <w:tcPr>
                  <w:tcW w:w="733" w:type="dxa"/>
                  <w:shd w:val="clear" w:color="auto" w:fill="auto"/>
                  <w:vAlign w:val="center"/>
                </w:tcPr>
                <w:p w14:paraId="300DF493">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eastAsia" w:ascii="宋体" w:hAnsi="宋体" w:eastAsia="宋体" w:cs="宋体"/>
                      <w:b/>
                      <w:snapToGrid w:val="0"/>
                      <w:color w:val="auto"/>
                      <w:spacing w:val="0"/>
                      <w:w w:val="100"/>
                      <w:kern w:val="0"/>
                      <w:position w:val="0"/>
                      <w:sz w:val="24"/>
                      <w:szCs w:val="24"/>
                      <w:lang w:val="en-US" w:eastAsia="zh-CN" w:bidi="ar-SA"/>
                    </w:rPr>
                  </w:pPr>
                  <w:r>
                    <w:rPr>
                      <w:rFonts w:hint="eastAsia" w:ascii="宋体" w:hAnsi="宋体" w:eastAsia="宋体" w:cs="宋体"/>
                      <w:b/>
                      <w:snapToGrid w:val="0"/>
                      <w:color w:val="auto"/>
                      <w:spacing w:val="0"/>
                      <w:w w:val="100"/>
                      <w:kern w:val="0"/>
                      <w:position w:val="0"/>
                      <w:sz w:val="24"/>
                      <w:szCs w:val="24"/>
                      <w:lang w:val="en-US" w:eastAsia="zh-CN" w:bidi="ar-SA"/>
                    </w:rPr>
                    <w:t>数量  线路</w:t>
                  </w:r>
                </w:p>
                <w:p w14:paraId="24E61011">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default" w:ascii="宋体" w:hAnsi="宋体" w:eastAsia="宋体" w:cs="宋体"/>
                      <w:b/>
                      <w:snapToGrid w:val="0"/>
                      <w:color w:val="auto"/>
                      <w:spacing w:val="0"/>
                      <w:w w:val="100"/>
                      <w:kern w:val="0"/>
                      <w:position w:val="0"/>
                      <w:sz w:val="24"/>
                      <w:szCs w:val="24"/>
                      <w:lang w:val="en-US" w:eastAsia="zh-CN" w:bidi="ar-SA"/>
                    </w:rPr>
                  </w:pPr>
                  <w:r>
                    <w:rPr>
                      <w:rFonts w:hint="eastAsia" w:ascii="宋体" w:hAnsi="宋体" w:eastAsia="宋体" w:cs="宋体"/>
                      <w:b/>
                      <w:snapToGrid w:val="0"/>
                      <w:color w:val="auto"/>
                      <w:spacing w:val="0"/>
                      <w:w w:val="100"/>
                      <w:kern w:val="0"/>
                      <w:position w:val="0"/>
                      <w:sz w:val="24"/>
                      <w:szCs w:val="24"/>
                      <w:lang w:val="en-US" w:eastAsia="zh-CN" w:bidi="ar-SA"/>
                    </w:rPr>
                    <w:t>类型</w:t>
                  </w:r>
                </w:p>
              </w:tc>
              <w:tc>
                <w:tcPr>
                  <w:tcW w:w="783" w:type="dxa"/>
                  <w:shd w:val="clear" w:color="auto" w:fill="auto"/>
                  <w:vAlign w:val="center"/>
                </w:tcPr>
                <w:p w14:paraId="0471709F">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lang w:val="en-US" w:eastAsia="zh-CN"/>
                    </w:rPr>
                  </w:pPr>
                </w:p>
                <w:p w14:paraId="2E134658">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lang w:val="en-US" w:eastAsia="zh-CN"/>
                    </w:rPr>
                    <w:t xml:space="preserve">G241线 </w:t>
                  </w:r>
                </w:p>
              </w:tc>
              <w:tc>
                <w:tcPr>
                  <w:tcW w:w="850" w:type="dxa"/>
                  <w:shd w:val="clear" w:color="auto" w:fill="auto"/>
                  <w:vAlign w:val="center"/>
                </w:tcPr>
                <w:p w14:paraId="11D492E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napToGrid w:val="0"/>
                      <w:color w:val="auto"/>
                      <w:spacing w:val="0"/>
                      <w:w w:val="100"/>
                      <w:kern w:val="0"/>
                      <w:position w:val="0"/>
                      <w:sz w:val="24"/>
                      <w:szCs w:val="24"/>
                      <w:lang w:val="en-US" w:eastAsia="en-US" w:bidi="ar-SA"/>
                    </w:rPr>
                  </w:pPr>
                  <w:r>
                    <w:rPr>
                      <w:rFonts w:hint="default" w:ascii="宋体" w:hAnsi="宋体" w:eastAsia="宋体" w:cs="宋体"/>
                      <w:b/>
                      <w:bCs/>
                      <w:snapToGrid w:val="0"/>
                      <w:color w:val="auto"/>
                      <w:spacing w:val="0"/>
                      <w:w w:val="100"/>
                      <w:kern w:val="0"/>
                      <w:position w:val="0"/>
                      <w:sz w:val="24"/>
                      <w:szCs w:val="24"/>
                      <w:lang w:val="en-US" w:eastAsia="en-US" w:bidi="ar-SA"/>
                    </w:rPr>
                    <w:t>G323线</w:t>
                  </w:r>
                </w:p>
              </w:tc>
              <w:tc>
                <w:tcPr>
                  <w:tcW w:w="834" w:type="dxa"/>
                  <w:shd w:val="clear" w:color="auto" w:fill="auto"/>
                  <w:vAlign w:val="center"/>
                </w:tcPr>
                <w:p w14:paraId="42D29858">
                  <w:pPr>
                    <w:keepNext w:val="0"/>
                    <w:keepLines w:val="0"/>
                    <w:pageBreakBefore w:val="0"/>
                    <w:widowControl w:val="0"/>
                    <w:tabs>
                      <w:tab w:val="left" w:pos="598"/>
                    </w:tabs>
                    <w:kinsoku/>
                    <w:wordWrap w:val="0"/>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eastAsia" w:ascii="宋体" w:hAnsi="宋体" w:eastAsia="宋体" w:cs="宋体"/>
                      <w:b/>
                      <w:bCs/>
                      <w:snapToGrid w:val="0"/>
                      <w:color w:val="auto"/>
                      <w:spacing w:val="0"/>
                      <w:w w:val="100"/>
                      <w:kern w:val="0"/>
                      <w:position w:val="0"/>
                      <w:sz w:val="24"/>
                      <w:szCs w:val="24"/>
                      <w:lang w:val="en-US" w:eastAsia="zh-CN" w:bidi="ar-SA"/>
                    </w:rPr>
                  </w:pPr>
                  <w:r>
                    <w:rPr>
                      <w:rFonts w:hint="eastAsia" w:ascii="宋体" w:hAnsi="宋体" w:eastAsia="宋体" w:cs="宋体"/>
                      <w:b/>
                      <w:bCs/>
                      <w:snapToGrid w:val="0"/>
                      <w:color w:val="auto"/>
                      <w:spacing w:val="0"/>
                      <w:w w:val="100"/>
                      <w:kern w:val="0"/>
                      <w:position w:val="0"/>
                      <w:sz w:val="24"/>
                      <w:szCs w:val="24"/>
                      <w:lang w:val="en-US" w:eastAsia="zh-CN" w:bidi="ar-SA"/>
                    </w:rPr>
                    <w:t>S202线</w:t>
                  </w:r>
                </w:p>
              </w:tc>
              <w:tc>
                <w:tcPr>
                  <w:tcW w:w="783" w:type="dxa"/>
                  <w:shd w:val="clear" w:color="auto" w:fill="auto"/>
                  <w:vAlign w:val="center"/>
                </w:tcPr>
                <w:p w14:paraId="68963DAB">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napToGrid w:val="0"/>
                      <w:color w:val="auto"/>
                      <w:spacing w:val="0"/>
                      <w:w w:val="100"/>
                      <w:kern w:val="0"/>
                      <w:position w:val="0"/>
                      <w:sz w:val="24"/>
                      <w:szCs w:val="24"/>
                      <w:lang w:val="en-US" w:eastAsia="en-US" w:bidi="ar-SA"/>
                    </w:rPr>
                  </w:pPr>
                  <w:r>
                    <w:rPr>
                      <w:rFonts w:hint="default" w:ascii="宋体" w:hAnsi="宋体" w:eastAsia="宋体" w:cs="宋体"/>
                      <w:b/>
                      <w:bCs/>
                      <w:snapToGrid w:val="0"/>
                      <w:color w:val="auto"/>
                      <w:spacing w:val="0"/>
                      <w:w w:val="100"/>
                      <w:kern w:val="0"/>
                      <w:position w:val="0"/>
                      <w:sz w:val="24"/>
                      <w:szCs w:val="24"/>
                      <w:lang w:val="en-US" w:eastAsia="en-US" w:bidi="ar-SA"/>
                    </w:rPr>
                    <w:t>S302线</w:t>
                  </w:r>
                </w:p>
              </w:tc>
              <w:tc>
                <w:tcPr>
                  <w:tcW w:w="783" w:type="dxa"/>
                  <w:shd w:val="clear" w:color="auto" w:fill="auto"/>
                  <w:vAlign w:val="center"/>
                </w:tcPr>
                <w:p w14:paraId="7B6E00F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napToGrid w:val="0"/>
                      <w:color w:val="auto"/>
                      <w:spacing w:val="0"/>
                      <w:w w:val="100"/>
                      <w:kern w:val="0"/>
                      <w:position w:val="0"/>
                      <w:sz w:val="24"/>
                      <w:szCs w:val="24"/>
                      <w:lang w:val="en-US" w:eastAsia="zh-CN" w:bidi="ar-SA"/>
                    </w:rPr>
                  </w:pPr>
                  <w:r>
                    <w:rPr>
                      <w:rFonts w:hint="default" w:ascii="宋体" w:hAnsi="宋体" w:eastAsia="宋体" w:cs="宋体"/>
                      <w:b/>
                      <w:bCs/>
                      <w:snapToGrid w:val="0"/>
                      <w:color w:val="auto"/>
                      <w:spacing w:val="0"/>
                      <w:w w:val="100"/>
                      <w:kern w:val="0"/>
                      <w:position w:val="0"/>
                      <w:sz w:val="24"/>
                      <w:szCs w:val="24"/>
                      <w:lang w:val="en-US" w:eastAsia="zh-CN" w:bidi="ar-SA"/>
                    </w:rPr>
                    <w:t>S502线</w:t>
                  </w:r>
                </w:p>
              </w:tc>
              <w:tc>
                <w:tcPr>
                  <w:tcW w:w="961" w:type="dxa"/>
                  <w:shd w:val="clear" w:color="auto" w:fill="auto"/>
                  <w:vAlign w:val="center"/>
                </w:tcPr>
                <w:p w14:paraId="06A58DA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auto"/>
                      <w:spacing w:val="0"/>
                      <w:w w:val="100"/>
                      <w:kern w:val="0"/>
                      <w:position w:val="0"/>
                      <w:sz w:val="24"/>
                      <w:szCs w:val="24"/>
                      <w:lang w:val="en-US" w:eastAsia="zh-CN" w:bidi="ar-SA"/>
                    </w:rPr>
                  </w:pPr>
                  <w:r>
                    <w:rPr>
                      <w:rFonts w:hint="eastAsia" w:ascii="宋体" w:hAnsi="宋体" w:eastAsia="宋体" w:cs="宋体"/>
                      <w:b/>
                      <w:bCs/>
                      <w:color w:val="auto"/>
                      <w:spacing w:val="0"/>
                      <w:w w:val="100"/>
                      <w:position w:val="0"/>
                      <w:sz w:val="24"/>
                      <w:szCs w:val="24"/>
                    </w:rPr>
                    <w:t>备注</w:t>
                  </w:r>
                </w:p>
              </w:tc>
            </w:tr>
            <w:tr w14:paraId="2840DF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3" w:hRule="atLeast"/>
                <w:tblHeader/>
                <w:jc w:val="center"/>
              </w:trPr>
              <w:tc>
                <w:tcPr>
                  <w:tcW w:w="588" w:type="dxa"/>
                  <w:shd w:val="clear" w:color="auto" w:fill="auto"/>
                  <w:vAlign w:val="center"/>
                </w:tcPr>
                <w:p w14:paraId="26B1D070">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9"/>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1</w:t>
                  </w:r>
                </w:p>
              </w:tc>
              <w:tc>
                <w:tcPr>
                  <w:tcW w:w="733" w:type="dxa"/>
                  <w:shd w:val="clear" w:color="auto" w:fill="auto"/>
                  <w:vAlign w:val="center"/>
                </w:tcPr>
                <w:p w14:paraId="58F61D1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CN" w:bidi="ar-SA"/>
                    </w:rPr>
                  </w:pPr>
                  <w:r>
                    <w:rPr>
                      <w:rFonts w:hint="eastAsia" w:ascii="宋体" w:hAnsi="宋体" w:eastAsia="宋体" w:cs="宋体"/>
                      <w:b/>
                      <w:bCs/>
                      <w:color w:val="auto"/>
                      <w:spacing w:val="0"/>
                      <w:w w:val="100"/>
                      <w:position w:val="0"/>
                      <w:sz w:val="24"/>
                      <w:szCs w:val="24"/>
                    </w:rPr>
                    <w:t>桥梁、涵洞</w:t>
                  </w:r>
                </w:p>
              </w:tc>
              <w:tc>
                <w:tcPr>
                  <w:tcW w:w="783" w:type="dxa"/>
                  <w:shd w:val="clear" w:color="auto" w:fill="auto"/>
                  <w:vAlign w:val="center"/>
                </w:tcPr>
                <w:p w14:paraId="10918C68">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auto"/>
                      <w:kern w:val="0"/>
                      <w:sz w:val="22"/>
                      <w:szCs w:val="22"/>
                      <w:u w:val="none"/>
                      <w:lang w:val="en-US" w:eastAsia="zh-CN" w:bidi="ar"/>
                    </w:rPr>
                  </w:pPr>
                </w:p>
              </w:tc>
              <w:tc>
                <w:tcPr>
                  <w:tcW w:w="850" w:type="dxa"/>
                  <w:shd w:val="clear" w:color="auto" w:fill="auto"/>
                  <w:vAlign w:val="center"/>
                </w:tcPr>
                <w:p w14:paraId="7E359680">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auto"/>
                      <w:kern w:val="0"/>
                      <w:sz w:val="22"/>
                      <w:szCs w:val="22"/>
                      <w:u w:val="none"/>
                      <w:lang w:val="en-US" w:eastAsia="zh-CN" w:bidi="ar"/>
                    </w:rPr>
                  </w:pPr>
                </w:p>
              </w:tc>
              <w:tc>
                <w:tcPr>
                  <w:tcW w:w="834" w:type="dxa"/>
                  <w:shd w:val="clear" w:color="auto" w:fill="auto"/>
                  <w:vAlign w:val="center"/>
                </w:tcPr>
                <w:p w14:paraId="7116FF4F">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auto"/>
                      <w:kern w:val="0"/>
                      <w:sz w:val="22"/>
                      <w:szCs w:val="22"/>
                      <w:u w:val="none"/>
                      <w:lang w:val="en-US" w:eastAsia="zh-CN" w:bidi="ar"/>
                    </w:rPr>
                  </w:pPr>
                </w:p>
              </w:tc>
              <w:tc>
                <w:tcPr>
                  <w:tcW w:w="783" w:type="dxa"/>
                  <w:shd w:val="clear" w:color="auto" w:fill="auto"/>
                  <w:vAlign w:val="center"/>
                </w:tcPr>
                <w:p w14:paraId="442A2D53">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auto"/>
                      <w:kern w:val="0"/>
                      <w:sz w:val="22"/>
                      <w:szCs w:val="22"/>
                      <w:u w:val="none"/>
                      <w:lang w:val="en-US" w:eastAsia="zh-CN" w:bidi="ar"/>
                    </w:rPr>
                  </w:pPr>
                </w:p>
              </w:tc>
              <w:tc>
                <w:tcPr>
                  <w:tcW w:w="783" w:type="dxa"/>
                  <w:shd w:val="clear" w:color="auto" w:fill="auto"/>
                  <w:vAlign w:val="center"/>
                </w:tcPr>
                <w:p w14:paraId="7707A2A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auto"/>
                      <w:kern w:val="0"/>
                      <w:sz w:val="22"/>
                      <w:szCs w:val="22"/>
                      <w:u w:val="none"/>
                      <w:lang w:val="en-US" w:eastAsia="zh-CN" w:bidi="ar"/>
                    </w:rPr>
                  </w:pPr>
                </w:p>
              </w:tc>
              <w:tc>
                <w:tcPr>
                  <w:tcW w:w="961" w:type="dxa"/>
                  <w:shd w:val="clear" w:color="auto" w:fill="auto"/>
                  <w:vAlign w:val="center"/>
                </w:tcPr>
                <w:p w14:paraId="1E88698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rPr>
                  </w:pPr>
                </w:p>
              </w:tc>
            </w:tr>
            <w:tr w14:paraId="2BD575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3" w:hRule="atLeast"/>
                <w:jc w:val="center"/>
              </w:trPr>
              <w:tc>
                <w:tcPr>
                  <w:tcW w:w="588" w:type="dxa"/>
                  <w:vAlign w:val="center"/>
                </w:tcPr>
                <w:p w14:paraId="24EEC305">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1.1</w:t>
                  </w:r>
                </w:p>
              </w:tc>
              <w:tc>
                <w:tcPr>
                  <w:tcW w:w="733" w:type="dxa"/>
                  <w:vAlign w:val="center"/>
                </w:tcPr>
                <w:p w14:paraId="01E9958C">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桥梁</w:t>
                  </w:r>
                </w:p>
              </w:tc>
              <w:tc>
                <w:tcPr>
                  <w:tcW w:w="783" w:type="dxa"/>
                  <w:vAlign w:val="center"/>
                </w:tcPr>
                <w:p w14:paraId="25F5552C">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6 </w:t>
                  </w:r>
                </w:p>
              </w:tc>
              <w:tc>
                <w:tcPr>
                  <w:tcW w:w="850" w:type="dxa"/>
                  <w:vAlign w:val="center"/>
                </w:tcPr>
                <w:p w14:paraId="6F927FAA">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4</w:t>
                  </w:r>
                </w:p>
              </w:tc>
              <w:tc>
                <w:tcPr>
                  <w:tcW w:w="834" w:type="dxa"/>
                  <w:vAlign w:val="center"/>
                </w:tcPr>
                <w:p w14:paraId="3F071BE7">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w:t>
                  </w:r>
                </w:p>
              </w:tc>
              <w:tc>
                <w:tcPr>
                  <w:tcW w:w="783" w:type="dxa"/>
                  <w:vAlign w:val="center"/>
                </w:tcPr>
                <w:p w14:paraId="107C2884">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7</w:t>
                  </w:r>
                </w:p>
              </w:tc>
              <w:tc>
                <w:tcPr>
                  <w:tcW w:w="783" w:type="dxa"/>
                  <w:vAlign w:val="center"/>
                </w:tcPr>
                <w:p w14:paraId="462AF163">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4</w:t>
                  </w:r>
                </w:p>
              </w:tc>
              <w:tc>
                <w:tcPr>
                  <w:tcW w:w="961" w:type="dxa"/>
                  <w:vAlign w:val="center"/>
                </w:tcPr>
                <w:p w14:paraId="12CA0BD7">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1218F9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3" w:hRule="atLeast"/>
                <w:jc w:val="center"/>
              </w:trPr>
              <w:tc>
                <w:tcPr>
                  <w:tcW w:w="588" w:type="dxa"/>
                  <w:vAlign w:val="center"/>
                </w:tcPr>
                <w:p w14:paraId="57BDAAE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1.2</w:t>
                  </w:r>
                </w:p>
              </w:tc>
              <w:tc>
                <w:tcPr>
                  <w:tcW w:w="733" w:type="dxa"/>
                  <w:vAlign w:val="center"/>
                </w:tcPr>
                <w:p w14:paraId="203DB878">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涵洞</w:t>
                  </w:r>
                </w:p>
              </w:tc>
              <w:tc>
                <w:tcPr>
                  <w:tcW w:w="783" w:type="dxa"/>
                  <w:vAlign w:val="center"/>
                </w:tcPr>
                <w:p w14:paraId="1253CF98">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77 </w:t>
                  </w:r>
                </w:p>
              </w:tc>
              <w:tc>
                <w:tcPr>
                  <w:tcW w:w="850" w:type="dxa"/>
                  <w:vAlign w:val="center"/>
                </w:tcPr>
                <w:p w14:paraId="77A7A54F">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113</w:t>
                  </w:r>
                </w:p>
              </w:tc>
              <w:tc>
                <w:tcPr>
                  <w:tcW w:w="834" w:type="dxa"/>
                  <w:vAlign w:val="center"/>
                </w:tcPr>
                <w:p w14:paraId="67C83730">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5</w:t>
                  </w:r>
                </w:p>
              </w:tc>
              <w:tc>
                <w:tcPr>
                  <w:tcW w:w="783" w:type="dxa"/>
                  <w:vAlign w:val="center"/>
                </w:tcPr>
                <w:p w14:paraId="6CA8F4DA">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73</w:t>
                  </w:r>
                </w:p>
              </w:tc>
              <w:tc>
                <w:tcPr>
                  <w:tcW w:w="783" w:type="dxa"/>
                  <w:vAlign w:val="center"/>
                </w:tcPr>
                <w:p w14:paraId="1B0A4931">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84</w:t>
                  </w:r>
                </w:p>
              </w:tc>
              <w:tc>
                <w:tcPr>
                  <w:tcW w:w="961" w:type="dxa"/>
                  <w:vAlign w:val="center"/>
                </w:tcPr>
                <w:p w14:paraId="4DB1DD83">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0D85C9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3" w:hRule="atLeast"/>
                <w:jc w:val="center"/>
              </w:trPr>
              <w:tc>
                <w:tcPr>
                  <w:tcW w:w="588" w:type="dxa"/>
                  <w:shd w:val="clear" w:color="auto" w:fill="auto"/>
                  <w:vAlign w:val="center"/>
                </w:tcPr>
                <w:p w14:paraId="62952DD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2</w:t>
                  </w:r>
                </w:p>
              </w:tc>
              <w:tc>
                <w:tcPr>
                  <w:tcW w:w="733" w:type="dxa"/>
                  <w:shd w:val="clear" w:color="auto" w:fill="auto"/>
                  <w:vAlign w:val="center"/>
                </w:tcPr>
                <w:p w14:paraId="2864B81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隧道</w:t>
                  </w:r>
                </w:p>
              </w:tc>
              <w:tc>
                <w:tcPr>
                  <w:tcW w:w="783" w:type="dxa"/>
                  <w:vAlign w:val="center"/>
                </w:tcPr>
                <w:p w14:paraId="0E561495">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p>
              </w:tc>
              <w:tc>
                <w:tcPr>
                  <w:tcW w:w="850" w:type="dxa"/>
                  <w:vAlign w:val="center"/>
                </w:tcPr>
                <w:p w14:paraId="339A9349">
                  <w:pPr>
                    <w:keepNext w:val="0"/>
                    <w:keepLines w:val="0"/>
                    <w:widowControl/>
                    <w:suppressLineNumbers w:val="0"/>
                    <w:jc w:val="center"/>
                    <w:textAlignment w:val="top"/>
                    <w:rPr>
                      <w:rFonts w:hint="eastAsia" w:cs="宋体"/>
                      <w:color w:val="auto"/>
                      <w:spacing w:val="0"/>
                      <w:w w:val="100"/>
                      <w:position w:val="0"/>
                      <w:sz w:val="24"/>
                      <w:szCs w:val="24"/>
                      <w:lang w:val="en-US" w:eastAsia="zh-CN"/>
                    </w:rPr>
                  </w:pPr>
                </w:p>
              </w:tc>
              <w:tc>
                <w:tcPr>
                  <w:tcW w:w="834" w:type="dxa"/>
                  <w:vAlign w:val="center"/>
                </w:tcPr>
                <w:p w14:paraId="26229F7F">
                  <w:pPr>
                    <w:keepNext w:val="0"/>
                    <w:keepLines w:val="0"/>
                    <w:widowControl/>
                    <w:suppressLineNumbers w:val="0"/>
                    <w:jc w:val="center"/>
                    <w:textAlignment w:val="top"/>
                    <w:rPr>
                      <w:rFonts w:hint="eastAsia" w:cs="宋体"/>
                      <w:color w:val="auto"/>
                      <w:spacing w:val="0"/>
                      <w:w w:val="100"/>
                      <w:position w:val="0"/>
                      <w:sz w:val="24"/>
                      <w:szCs w:val="24"/>
                      <w:lang w:val="en-US" w:eastAsia="zh-CN"/>
                    </w:rPr>
                  </w:pPr>
                </w:p>
              </w:tc>
              <w:tc>
                <w:tcPr>
                  <w:tcW w:w="783" w:type="dxa"/>
                  <w:vAlign w:val="center"/>
                </w:tcPr>
                <w:p w14:paraId="333F86FF">
                  <w:pPr>
                    <w:keepNext w:val="0"/>
                    <w:keepLines w:val="0"/>
                    <w:widowControl/>
                    <w:suppressLineNumbers w:val="0"/>
                    <w:jc w:val="center"/>
                    <w:textAlignment w:val="top"/>
                    <w:rPr>
                      <w:rFonts w:hint="eastAsia" w:cs="宋体"/>
                      <w:color w:val="auto"/>
                      <w:spacing w:val="0"/>
                      <w:w w:val="100"/>
                      <w:position w:val="0"/>
                      <w:sz w:val="24"/>
                      <w:szCs w:val="24"/>
                      <w:lang w:val="en-US" w:eastAsia="zh-CN"/>
                    </w:rPr>
                  </w:pPr>
                </w:p>
              </w:tc>
              <w:tc>
                <w:tcPr>
                  <w:tcW w:w="783" w:type="dxa"/>
                  <w:vAlign w:val="center"/>
                </w:tcPr>
                <w:p w14:paraId="2E5916AE">
                  <w:pPr>
                    <w:keepNext w:val="0"/>
                    <w:keepLines w:val="0"/>
                    <w:widowControl/>
                    <w:suppressLineNumbers w:val="0"/>
                    <w:jc w:val="center"/>
                    <w:textAlignment w:val="top"/>
                    <w:rPr>
                      <w:rFonts w:hint="eastAsia" w:cs="宋体"/>
                      <w:color w:val="auto"/>
                      <w:spacing w:val="0"/>
                      <w:w w:val="100"/>
                      <w:position w:val="0"/>
                      <w:sz w:val="24"/>
                      <w:szCs w:val="24"/>
                      <w:lang w:val="en-US" w:eastAsia="zh-CN"/>
                    </w:rPr>
                  </w:pPr>
                </w:p>
              </w:tc>
              <w:tc>
                <w:tcPr>
                  <w:tcW w:w="961" w:type="dxa"/>
                  <w:vAlign w:val="center"/>
                </w:tcPr>
                <w:p w14:paraId="17C67571">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2A49CD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17" w:hRule="atLeast"/>
                <w:jc w:val="center"/>
              </w:trPr>
              <w:tc>
                <w:tcPr>
                  <w:tcW w:w="588" w:type="dxa"/>
                  <w:vAlign w:val="center"/>
                </w:tcPr>
                <w:p w14:paraId="38AF560D">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2.1</w:t>
                  </w:r>
                </w:p>
              </w:tc>
              <w:tc>
                <w:tcPr>
                  <w:tcW w:w="733" w:type="dxa"/>
                  <w:vAlign w:val="center"/>
                </w:tcPr>
                <w:p w14:paraId="386DBCB3">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隧道</w:t>
                  </w:r>
                </w:p>
              </w:tc>
              <w:tc>
                <w:tcPr>
                  <w:tcW w:w="783" w:type="dxa"/>
                  <w:vAlign w:val="center"/>
                </w:tcPr>
                <w:p w14:paraId="425533BC">
                  <w:pPr>
                    <w:jc w:val="center"/>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w:t>
                  </w:r>
                </w:p>
              </w:tc>
              <w:tc>
                <w:tcPr>
                  <w:tcW w:w="850" w:type="dxa"/>
                  <w:shd w:val="clear" w:color="auto" w:fill="FFFFFF"/>
                  <w:vAlign w:val="center"/>
                </w:tcPr>
                <w:p w14:paraId="31B9C6A9">
                  <w:pPr>
                    <w:jc w:val="center"/>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w:t>
                  </w:r>
                </w:p>
              </w:tc>
              <w:tc>
                <w:tcPr>
                  <w:tcW w:w="834" w:type="dxa"/>
                  <w:shd w:val="clear" w:color="auto" w:fill="FFFFFF"/>
                  <w:vAlign w:val="center"/>
                </w:tcPr>
                <w:p w14:paraId="466C7E3D">
                  <w:pPr>
                    <w:jc w:val="center"/>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w:t>
                  </w:r>
                </w:p>
              </w:tc>
              <w:tc>
                <w:tcPr>
                  <w:tcW w:w="783" w:type="dxa"/>
                  <w:shd w:val="clear" w:color="auto" w:fill="FFFFFF"/>
                  <w:vAlign w:val="center"/>
                </w:tcPr>
                <w:p w14:paraId="45058121">
                  <w:pPr>
                    <w:jc w:val="center"/>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w:t>
                  </w:r>
                </w:p>
              </w:tc>
              <w:tc>
                <w:tcPr>
                  <w:tcW w:w="783" w:type="dxa"/>
                  <w:shd w:val="clear" w:color="auto" w:fill="FFFFFF"/>
                  <w:vAlign w:val="center"/>
                </w:tcPr>
                <w:p w14:paraId="26EDA038">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w:t>
                  </w:r>
                </w:p>
              </w:tc>
              <w:tc>
                <w:tcPr>
                  <w:tcW w:w="961" w:type="dxa"/>
                  <w:vAlign w:val="center"/>
                </w:tcPr>
                <w:p w14:paraId="56E9BF1B">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5A1C68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17" w:hRule="atLeast"/>
                <w:jc w:val="center"/>
              </w:trPr>
              <w:tc>
                <w:tcPr>
                  <w:tcW w:w="588" w:type="dxa"/>
                  <w:shd w:val="clear" w:color="auto" w:fill="auto"/>
                  <w:vAlign w:val="center"/>
                </w:tcPr>
                <w:p w14:paraId="140CFE7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3</w:t>
                  </w:r>
                </w:p>
              </w:tc>
              <w:tc>
                <w:tcPr>
                  <w:tcW w:w="733" w:type="dxa"/>
                  <w:shd w:val="clear" w:color="auto" w:fill="auto"/>
                  <w:vAlign w:val="center"/>
                </w:tcPr>
                <w:p w14:paraId="5233B760">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服务设施</w:t>
                  </w:r>
                </w:p>
              </w:tc>
              <w:tc>
                <w:tcPr>
                  <w:tcW w:w="783" w:type="dxa"/>
                  <w:vAlign w:val="center"/>
                </w:tcPr>
                <w:p w14:paraId="489CBF92">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val="en-US" w:eastAsia="zh-CN"/>
                    </w:rPr>
                  </w:pPr>
                </w:p>
              </w:tc>
              <w:tc>
                <w:tcPr>
                  <w:tcW w:w="850" w:type="dxa"/>
                  <w:shd w:val="clear" w:color="auto" w:fill="FFFFFF"/>
                  <w:vAlign w:val="center"/>
                </w:tcPr>
                <w:p w14:paraId="2CFB7AD3">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cs="宋体"/>
                      <w:color w:val="auto"/>
                      <w:spacing w:val="0"/>
                      <w:w w:val="100"/>
                      <w:position w:val="0"/>
                      <w:sz w:val="24"/>
                      <w:szCs w:val="24"/>
                      <w:lang w:val="en-US" w:eastAsia="zh-CN"/>
                    </w:rPr>
                  </w:pPr>
                </w:p>
              </w:tc>
              <w:tc>
                <w:tcPr>
                  <w:tcW w:w="834" w:type="dxa"/>
                  <w:shd w:val="clear" w:color="auto" w:fill="FFFFFF"/>
                  <w:vAlign w:val="center"/>
                </w:tcPr>
                <w:p w14:paraId="1FECA208">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cs="宋体"/>
                      <w:color w:val="auto"/>
                      <w:spacing w:val="0"/>
                      <w:w w:val="100"/>
                      <w:position w:val="0"/>
                      <w:sz w:val="24"/>
                      <w:szCs w:val="24"/>
                      <w:lang w:val="en-US" w:eastAsia="zh-CN"/>
                    </w:rPr>
                  </w:pPr>
                </w:p>
              </w:tc>
              <w:tc>
                <w:tcPr>
                  <w:tcW w:w="783" w:type="dxa"/>
                  <w:shd w:val="clear" w:color="auto" w:fill="FFFFFF"/>
                  <w:vAlign w:val="center"/>
                </w:tcPr>
                <w:p w14:paraId="7964BBC8">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cs="宋体"/>
                      <w:color w:val="auto"/>
                      <w:spacing w:val="0"/>
                      <w:w w:val="100"/>
                      <w:position w:val="0"/>
                      <w:sz w:val="24"/>
                      <w:szCs w:val="24"/>
                      <w:lang w:val="en-US" w:eastAsia="zh-CN"/>
                    </w:rPr>
                  </w:pPr>
                </w:p>
              </w:tc>
              <w:tc>
                <w:tcPr>
                  <w:tcW w:w="783" w:type="dxa"/>
                  <w:shd w:val="clear" w:color="auto" w:fill="FFFFFF"/>
                  <w:vAlign w:val="center"/>
                </w:tcPr>
                <w:p w14:paraId="61C62D9F">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cs="宋体"/>
                      <w:color w:val="auto"/>
                      <w:spacing w:val="0"/>
                      <w:w w:val="100"/>
                      <w:position w:val="0"/>
                      <w:sz w:val="24"/>
                      <w:szCs w:val="24"/>
                      <w:lang w:val="en-US" w:eastAsia="zh-CN"/>
                    </w:rPr>
                  </w:pPr>
                </w:p>
              </w:tc>
              <w:tc>
                <w:tcPr>
                  <w:tcW w:w="961" w:type="dxa"/>
                  <w:vAlign w:val="center"/>
                </w:tcPr>
                <w:p w14:paraId="56CB2CA6">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178B36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2" w:hRule="atLeast"/>
                <w:jc w:val="center"/>
              </w:trPr>
              <w:tc>
                <w:tcPr>
                  <w:tcW w:w="588" w:type="dxa"/>
                  <w:shd w:val="clear" w:color="auto" w:fill="auto"/>
                  <w:vAlign w:val="center"/>
                </w:tcPr>
                <w:p w14:paraId="1D682FFD">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lang w:val="en-US" w:eastAsia="zh-CN"/>
                    </w:rPr>
                    <w:t>3.1</w:t>
                  </w:r>
                </w:p>
              </w:tc>
              <w:tc>
                <w:tcPr>
                  <w:tcW w:w="733" w:type="dxa"/>
                  <w:shd w:val="clear" w:color="auto" w:fill="auto"/>
                  <w:vAlign w:val="center"/>
                </w:tcPr>
                <w:p w14:paraId="3A743FEF">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cs="宋体"/>
                      <w:color w:val="auto"/>
                      <w:spacing w:val="0"/>
                      <w:w w:val="100"/>
                      <w:position w:val="0"/>
                      <w:sz w:val="24"/>
                      <w:szCs w:val="24"/>
                      <w:lang w:val="en-US" w:eastAsia="zh-CN"/>
                    </w:rPr>
                    <w:t>停车区</w:t>
                  </w:r>
                </w:p>
              </w:tc>
              <w:tc>
                <w:tcPr>
                  <w:tcW w:w="783" w:type="dxa"/>
                  <w:vAlign w:val="center"/>
                </w:tcPr>
                <w:p w14:paraId="3BBFC8B5">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 </w:t>
                  </w:r>
                </w:p>
              </w:tc>
              <w:tc>
                <w:tcPr>
                  <w:tcW w:w="850" w:type="dxa"/>
                  <w:shd w:val="clear" w:color="auto" w:fill="FFFFFF"/>
                  <w:vAlign w:val="center"/>
                </w:tcPr>
                <w:p w14:paraId="39665C3A">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w:t>
                  </w:r>
                </w:p>
              </w:tc>
              <w:tc>
                <w:tcPr>
                  <w:tcW w:w="834" w:type="dxa"/>
                  <w:shd w:val="clear" w:color="auto" w:fill="FFFFFF"/>
                  <w:vAlign w:val="center"/>
                </w:tcPr>
                <w:p w14:paraId="71992452">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w:t>
                  </w:r>
                </w:p>
              </w:tc>
              <w:tc>
                <w:tcPr>
                  <w:tcW w:w="783" w:type="dxa"/>
                  <w:shd w:val="clear" w:color="auto" w:fill="FFFFFF"/>
                  <w:vAlign w:val="center"/>
                </w:tcPr>
                <w:p w14:paraId="48784DCE">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w:t>
                  </w:r>
                </w:p>
              </w:tc>
              <w:tc>
                <w:tcPr>
                  <w:tcW w:w="783" w:type="dxa"/>
                  <w:shd w:val="clear" w:color="auto" w:fill="FFFFFF"/>
                  <w:vAlign w:val="center"/>
                </w:tcPr>
                <w:p w14:paraId="30A9745A">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w:t>
                  </w:r>
                </w:p>
              </w:tc>
              <w:tc>
                <w:tcPr>
                  <w:tcW w:w="961" w:type="dxa"/>
                  <w:vAlign w:val="center"/>
                </w:tcPr>
                <w:p w14:paraId="4DCC0E68">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both"/>
                    <w:textAlignment w:val="baseline"/>
                    <w:rPr>
                      <w:rFonts w:hint="eastAsia" w:ascii="宋体" w:hAnsi="宋体" w:eastAsia="宋体" w:cs="宋体"/>
                      <w:color w:val="auto"/>
                      <w:spacing w:val="0"/>
                      <w:w w:val="100"/>
                      <w:position w:val="0"/>
                      <w:sz w:val="24"/>
                      <w:szCs w:val="24"/>
                    </w:rPr>
                  </w:pPr>
                </w:p>
              </w:tc>
            </w:tr>
            <w:tr w14:paraId="00055B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2" w:hRule="atLeast"/>
                <w:jc w:val="center"/>
              </w:trPr>
              <w:tc>
                <w:tcPr>
                  <w:tcW w:w="588" w:type="dxa"/>
                  <w:shd w:val="clear" w:color="auto" w:fill="auto"/>
                  <w:vAlign w:val="center"/>
                </w:tcPr>
                <w:p w14:paraId="45D6239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CN" w:bidi="ar-SA"/>
                    </w:rPr>
                  </w:pPr>
                  <w:r>
                    <w:rPr>
                      <w:rFonts w:hint="eastAsia" w:ascii="宋体" w:hAnsi="宋体" w:eastAsia="宋体" w:cs="宋体"/>
                      <w:color w:val="auto"/>
                      <w:spacing w:val="0"/>
                      <w:w w:val="100"/>
                      <w:position w:val="0"/>
                      <w:sz w:val="24"/>
                      <w:szCs w:val="24"/>
                      <w:lang w:val="en-US" w:eastAsia="zh-CN"/>
                    </w:rPr>
                    <w:t>3.2</w:t>
                  </w:r>
                </w:p>
              </w:tc>
              <w:tc>
                <w:tcPr>
                  <w:tcW w:w="733" w:type="dxa"/>
                  <w:shd w:val="clear" w:color="auto" w:fill="auto"/>
                  <w:vAlign w:val="center"/>
                </w:tcPr>
                <w:p w14:paraId="470EC73B">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CN" w:bidi="ar-SA"/>
                    </w:rPr>
                  </w:pPr>
                  <w:r>
                    <w:rPr>
                      <w:rFonts w:hint="eastAsia" w:cs="宋体"/>
                      <w:color w:val="auto"/>
                      <w:spacing w:val="0"/>
                      <w:w w:val="100"/>
                      <w:position w:val="0"/>
                      <w:sz w:val="24"/>
                      <w:szCs w:val="24"/>
                      <w:lang w:val="en-US" w:eastAsia="zh-CN"/>
                    </w:rPr>
                    <w:t>候车亭</w:t>
                  </w:r>
                </w:p>
              </w:tc>
              <w:tc>
                <w:tcPr>
                  <w:tcW w:w="783" w:type="dxa"/>
                  <w:vAlign w:val="center"/>
                </w:tcPr>
                <w:p w14:paraId="60D0367A">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4</w:t>
                  </w:r>
                </w:p>
              </w:tc>
              <w:tc>
                <w:tcPr>
                  <w:tcW w:w="850" w:type="dxa"/>
                  <w:shd w:val="clear" w:color="auto" w:fill="FFFFFF"/>
                  <w:vAlign w:val="center"/>
                </w:tcPr>
                <w:p w14:paraId="75489B8B">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8</w:t>
                  </w:r>
                </w:p>
              </w:tc>
              <w:tc>
                <w:tcPr>
                  <w:tcW w:w="834" w:type="dxa"/>
                  <w:shd w:val="clear" w:color="auto" w:fill="FFFFFF"/>
                  <w:vAlign w:val="center"/>
                </w:tcPr>
                <w:p w14:paraId="640D9DE9">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4</w:t>
                  </w:r>
                </w:p>
              </w:tc>
              <w:tc>
                <w:tcPr>
                  <w:tcW w:w="783" w:type="dxa"/>
                  <w:shd w:val="clear" w:color="auto" w:fill="FFFFFF"/>
                  <w:vAlign w:val="center"/>
                </w:tcPr>
                <w:p w14:paraId="5DAA8DF7">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3</w:t>
                  </w:r>
                </w:p>
              </w:tc>
              <w:tc>
                <w:tcPr>
                  <w:tcW w:w="783" w:type="dxa"/>
                  <w:shd w:val="clear" w:color="auto" w:fill="FFFFFF"/>
                  <w:vAlign w:val="center"/>
                </w:tcPr>
                <w:p w14:paraId="24B89D27">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5</w:t>
                  </w:r>
                </w:p>
              </w:tc>
              <w:tc>
                <w:tcPr>
                  <w:tcW w:w="961" w:type="dxa"/>
                  <w:vAlign w:val="center"/>
                </w:tcPr>
                <w:p w14:paraId="6CC60528">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both"/>
                    <w:textAlignment w:val="baseline"/>
                    <w:rPr>
                      <w:rFonts w:hint="eastAsia" w:ascii="宋体" w:hAnsi="宋体" w:eastAsia="宋体" w:cs="宋体"/>
                      <w:color w:val="auto"/>
                      <w:spacing w:val="0"/>
                      <w:w w:val="100"/>
                      <w:position w:val="0"/>
                      <w:sz w:val="24"/>
                      <w:szCs w:val="24"/>
                    </w:rPr>
                  </w:pPr>
                </w:p>
              </w:tc>
            </w:tr>
          </w:tbl>
          <w:p w14:paraId="68A8BB8D">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b/>
                <w:bCs/>
                <w:spacing w:val="0"/>
                <w:w w:val="100"/>
                <w:position w:val="0"/>
                <w:sz w:val="24"/>
                <w:szCs w:val="24"/>
                <w:highlight w:val="green"/>
              </w:rPr>
            </w:pPr>
          </w:p>
          <w:p w14:paraId="20788DCF">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b/>
                <w:bCs/>
                <w:spacing w:val="0"/>
                <w:w w:val="100"/>
                <w:position w:val="0"/>
                <w:sz w:val="24"/>
                <w:szCs w:val="24"/>
                <w:highlight w:val="green"/>
              </w:rPr>
            </w:pPr>
          </w:p>
          <w:p w14:paraId="061E497C">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pacing w:val="0"/>
                <w:w w:val="100"/>
                <w:position w:val="0"/>
                <w:sz w:val="24"/>
                <w:szCs w:val="24"/>
                <w:highlight w:val="none"/>
                <w:lang w:eastAsia="zh-CN"/>
              </w:rPr>
            </w:pPr>
            <w:r>
              <w:rPr>
                <w:rFonts w:hint="eastAsia" w:ascii="宋体" w:hAnsi="宋体" w:eastAsia="宋体" w:cs="宋体"/>
                <w:b/>
                <w:bCs/>
                <w:spacing w:val="0"/>
                <w:w w:val="100"/>
                <w:position w:val="0"/>
                <w:sz w:val="24"/>
                <w:szCs w:val="24"/>
                <w:highlight w:val="none"/>
              </w:rPr>
              <w:t>公路主要设施清单</w:t>
            </w:r>
            <w:r>
              <w:rPr>
                <w:rFonts w:hint="eastAsia" w:ascii="宋体" w:hAnsi="宋体" w:eastAsia="宋体" w:cs="宋体"/>
                <w:b/>
                <w:bCs/>
                <w:spacing w:val="0"/>
                <w:w w:val="100"/>
                <w:position w:val="0"/>
                <w:sz w:val="24"/>
                <w:szCs w:val="24"/>
                <w:highlight w:val="none"/>
                <w:lang w:eastAsia="zh-CN"/>
              </w:rPr>
              <w:t>（</w:t>
            </w:r>
            <w:r>
              <w:rPr>
                <w:rFonts w:hint="eastAsia" w:ascii="宋体" w:hAnsi="宋体" w:eastAsia="宋体" w:cs="宋体"/>
                <w:b/>
                <w:bCs/>
                <w:spacing w:val="0"/>
                <w:w w:val="100"/>
                <w:position w:val="0"/>
                <w:sz w:val="24"/>
                <w:szCs w:val="24"/>
                <w:highlight w:val="none"/>
                <w:lang w:val="en-US" w:eastAsia="zh-CN"/>
              </w:rPr>
              <w:t>C段</w:t>
            </w:r>
            <w:r>
              <w:rPr>
                <w:rFonts w:hint="eastAsia" w:ascii="宋体" w:hAnsi="宋体" w:eastAsia="宋体" w:cs="宋体"/>
                <w:b/>
                <w:bCs/>
                <w:spacing w:val="0"/>
                <w:w w:val="100"/>
                <w:position w:val="0"/>
                <w:sz w:val="24"/>
                <w:szCs w:val="24"/>
                <w:highlight w:val="none"/>
                <w:lang w:eastAsia="zh-CN"/>
              </w:rPr>
              <w:t>）</w:t>
            </w:r>
          </w:p>
          <w:tbl>
            <w:tblPr>
              <w:tblStyle w:val="25"/>
              <w:tblW w:w="643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47"/>
              <w:gridCol w:w="1326"/>
              <w:gridCol w:w="1261"/>
              <w:gridCol w:w="1261"/>
              <w:gridCol w:w="1262"/>
              <w:gridCol w:w="881"/>
            </w:tblGrid>
            <w:tr w14:paraId="5C9264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70" w:hRule="atLeast"/>
                <w:tblHeader/>
                <w:jc w:val="center"/>
              </w:trPr>
              <w:tc>
                <w:tcPr>
                  <w:tcW w:w="447" w:type="dxa"/>
                  <w:shd w:val="clear" w:color="auto" w:fill="auto"/>
                  <w:vAlign w:val="center"/>
                </w:tcPr>
                <w:p w14:paraId="4244DA55">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rPr>
                  </w:pPr>
                  <w:r>
                    <w:rPr>
                      <w:rFonts w:hint="eastAsia" w:ascii="宋体" w:hAnsi="宋体" w:eastAsia="宋体" w:cs="宋体"/>
                      <w:b/>
                      <w:bCs/>
                      <w:color w:val="auto"/>
                      <w:spacing w:val="0"/>
                      <w:w w:val="100"/>
                      <w:position w:val="0"/>
                      <w:sz w:val="24"/>
                      <w:szCs w:val="24"/>
                    </w:rPr>
                    <w:t>编</w:t>
                  </w:r>
                </w:p>
                <w:p w14:paraId="62D28964">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号</w:t>
                  </w:r>
                </w:p>
              </w:tc>
              <w:tc>
                <w:tcPr>
                  <w:tcW w:w="1326" w:type="dxa"/>
                  <w:shd w:val="clear" w:color="auto" w:fill="auto"/>
                  <w:vAlign w:val="center"/>
                </w:tcPr>
                <w:p w14:paraId="20D5394F">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eastAsia" w:ascii="宋体" w:hAnsi="宋体" w:eastAsia="宋体" w:cs="宋体"/>
                      <w:b/>
                      <w:snapToGrid w:val="0"/>
                      <w:color w:val="auto"/>
                      <w:spacing w:val="0"/>
                      <w:w w:val="100"/>
                      <w:kern w:val="0"/>
                      <w:position w:val="0"/>
                      <w:sz w:val="24"/>
                      <w:szCs w:val="24"/>
                      <w:lang w:val="en-US" w:eastAsia="zh-CN" w:bidi="ar-SA"/>
                    </w:rPr>
                  </w:pPr>
                  <w:r>
                    <w:rPr>
                      <w:rFonts w:hint="eastAsia" w:ascii="宋体" w:hAnsi="宋体" w:eastAsia="宋体" w:cs="宋体"/>
                      <w:b/>
                      <w:snapToGrid w:val="0"/>
                      <w:color w:val="auto"/>
                      <w:spacing w:val="0"/>
                      <w:w w:val="100"/>
                      <w:kern w:val="0"/>
                      <w:position w:val="0"/>
                      <w:sz w:val="24"/>
                      <w:szCs w:val="24"/>
                      <w:lang w:val="en-US" w:eastAsia="zh-CN" w:bidi="ar-SA"/>
                    </w:rPr>
                    <w:t>数量  线路</w:t>
                  </w:r>
                </w:p>
                <w:p w14:paraId="2175D398">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default" w:ascii="宋体" w:hAnsi="宋体" w:eastAsia="宋体" w:cs="宋体"/>
                      <w:b/>
                      <w:snapToGrid w:val="0"/>
                      <w:color w:val="auto"/>
                      <w:spacing w:val="0"/>
                      <w:w w:val="100"/>
                      <w:kern w:val="0"/>
                      <w:position w:val="0"/>
                      <w:sz w:val="24"/>
                      <w:szCs w:val="24"/>
                      <w:lang w:val="en-US" w:eastAsia="zh-CN" w:bidi="ar-SA"/>
                    </w:rPr>
                  </w:pPr>
                  <w:r>
                    <w:rPr>
                      <w:rFonts w:hint="eastAsia" w:ascii="宋体" w:hAnsi="宋体" w:eastAsia="宋体" w:cs="宋体"/>
                      <w:b/>
                      <w:snapToGrid w:val="0"/>
                      <w:color w:val="auto"/>
                      <w:spacing w:val="0"/>
                      <w:w w:val="100"/>
                      <w:kern w:val="0"/>
                      <w:position w:val="0"/>
                      <w:sz w:val="24"/>
                      <w:szCs w:val="24"/>
                      <w:lang w:val="en-US" w:eastAsia="zh-CN" w:bidi="ar-SA"/>
                    </w:rPr>
                    <w:t>类型</w:t>
                  </w:r>
                </w:p>
              </w:tc>
              <w:tc>
                <w:tcPr>
                  <w:tcW w:w="1261" w:type="dxa"/>
                  <w:shd w:val="clear" w:color="auto" w:fill="auto"/>
                  <w:vAlign w:val="center"/>
                </w:tcPr>
                <w:p w14:paraId="020C4E99">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lang w:val="en-US" w:eastAsia="zh-CN"/>
                    </w:rPr>
                    <w:t xml:space="preserve">G321线 </w:t>
                  </w:r>
                </w:p>
              </w:tc>
              <w:tc>
                <w:tcPr>
                  <w:tcW w:w="1261" w:type="dxa"/>
                  <w:shd w:val="clear" w:color="auto" w:fill="auto"/>
                  <w:vAlign w:val="center"/>
                </w:tcPr>
                <w:p w14:paraId="60D070E9">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napToGrid w:val="0"/>
                      <w:color w:val="auto"/>
                      <w:spacing w:val="0"/>
                      <w:w w:val="100"/>
                      <w:kern w:val="0"/>
                      <w:position w:val="0"/>
                      <w:sz w:val="24"/>
                      <w:szCs w:val="24"/>
                      <w:lang w:val="en-US" w:eastAsia="en-US" w:bidi="ar-SA"/>
                    </w:rPr>
                  </w:pPr>
                  <w:r>
                    <w:rPr>
                      <w:rFonts w:hint="default" w:ascii="宋体" w:hAnsi="宋体" w:eastAsia="宋体" w:cs="宋体"/>
                      <w:b/>
                      <w:bCs/>
                      <w:snapToGrid w:val="0"/>
                      <w:color w:val="auto"/>
                      <w:spacing w:val="0"/>
                      <w:w w:val="100"/>
                      <w:kern w:val="0"/>
                      <w:position w:val="0"/>
                      <w:sz w:val="24"/>
                      <w:szCs w:val="24"/>
                      <w:lang w:val="en-US" w:eastAsia="en-US" w:bidi="ar-SA"/>
                    </w:rPr>
                    <w:t>S202线</w:t>
                  </w:r>
                </w:p>
              </w:tc>
              <w:tc>
                <w:tcPr>
                  <w:tcW w:w="1262" w:type="dxa"/>
                  <w:shd w:val="clear" w:color="auto" w:fill="auto"/>
                  <w:vAlign w:val="center"/>
                </w:tcPr>
                <w:p w14:paraId="1CB152B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napToGrid w:val="0"/>
                      <w:color w:val="auto"/>
                      <w:spacing w:val="0"/>
                      <w:w w:val="100"/>
                      <w:kern w:val="0"/>
                      <w:position w:val="0"/>
                      <w:sz w:val="24"/>
                      <w:szCs w:val="24"/>
                      <w:lang w:val="en-US" w:eastAsia="zh-CN" w:bidi="ar-SA"/>
                    </w:rPr>
                  </w:pPr>
                  <w:r>
                    <w:rPr>
                      <w:rFonts w:hint="default" w:ascii="宋体" w:hAnsi="宋体" w:eastAsia="宋体" w:cs="宋体"/>
                      <w:b/>
                      <w:bCs/>
                      <w:snapToGrid w:val="0"/>
                      <w:color w:val="auto"/>
                      <w:spacing w:val="0"/>
                      <w:w w:val="100"/>
                      <w:kern w:val="0"/>
                      <w:position w:val="0"/>
                      <w:sz w:val="24"/>
                      <w:szCs w:val="24"/>
                      <w:lang w:val="en-US" w:eastAsia="zh-CN" w:bidi="ar-SA"/>
                    </w:rPr>
                    <w:t>S302线</w:t>
                  </w:r>
                </w:p>
              </w:tc>
              <w:tc>
                <w:tcPr>
                  <w:tcW w:w="881" w:type="dxa"/>
                  <w:shd w:val="clear" w:color="auto" w:fill="auto"/>
                  <w:vAlign w:val="center"/>
                </w:tcPr>
                <w:p w14:paraId="0B59659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auto"/>
                      <w:spacing w:val="0"/>
                      <w:w w:val="100"/>
                      <w:kern w:val="0"/>
                      <w:position w:val="0"/>
                      <w:sz w:val="24"/>
                      <w:szCs w:val="24"/>
                      <w:lang w:val="en-US" w:eastAsia="zh-CN" w:bidi="ar-SA"/>
                    </w:rPr>
                  </w:pPr>
                  <w:r>
                    <w:rPr>
                      <w:rFonts w:hint="eastAsia" w:ascii="宋体" w:hAnsi="宋体" w:eastAsia="宋体" w:cs="宋体"/>
                      <w:b/>
                      <w:bCs/>
                      <w:color w:val="auto"/>
                      <w:spacing w:val="0"/>
                      <w:w w:val="100"/>
                      <w:position w:val="0"/>
                      <w:sz w:val="24"/>
                      <w:szCs w:val="24"/>
                    </w:rPr>
                    <w:t>备注</w:t>
                  </w:r>
                </w:p>
              </w:tc>
            </w:tr>
            <w:tr w14:paraId="69060C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5" w:hRule="atLeast"/>
                <w:tblHeader/>
                <w:jc w:val="center"/>
              </w:trPr>
              <w:tc>
                <w:tcPr>
                  <w:tcW w:w="447" w:type="dxa"/>
                  <w:shd w:val="clear" w:color="auto" w:fill="auto"/>
                  <w:vAlign w:val="center"/>
                </w:tcPr>
                <w:p w14:paraId="13D14441">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9"/>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1</w:t>
                  </w:r>
                </w:p>
              </w:tc>
              <w:tc>
                <w:tcPr>
                  <w:tcW w:w="1326" w:type="dxa"/>
                  <w:shd w:val="clear" w:color="auto" w:fill="auto"/>
                  <w:vAlign w:val="center"/>
                </w:tcPr>
                <w:p w14:paraId="63F26535">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CN" w:bidi="ar-SA"/>
                    </w:rPr>
                  </w:pPr>
                  <w:r>
                    <w:rPr>
                      <w:rFonts w:hint="eastAsia" w:ascii="宋体" w:hAnsi="宋体" w:eastAsia="宋体" w:cs="宋体"/>
                      <w:b/>
                      <w:bCs/>
                      <w:color w:val="auto"/>
                      <w:spacing w:val="0"/>
                      <w:w w:val="100"/>
                      <w:position w:val="0"/>
                      <w:sz w:val="24"/>
                      <w:szCs w:val="24"/>
                    </w:rPr>
                    <w:t>桥梁、涵洞</w:t>
                  </w:r>
                </w:p>
              </w:tc>
              <w:tc>
                <w:tcPr>
                  <w:tcW w:w="1261" w:type="dxa"/>
                  <w:shd w:val="clear" w:color="auto" w:fill="auto"/>
                  <w:vAlign w:val="center"/>
                </w:tcPr>
                <w:p w14:paraId="63BADAA1">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auto"/>
                      <w:kern w:val="0"/>
                      <w:sz w:val="22"/>
                      <w:szCs w:val="22"/>
                      <w:u w:val="none"/>
                      <w:lang w:val="en-US" w:eastAsia="zh-CN" w:bidi="ar"/>
                    </w:rPr>
                  </w:pPr>
                </w:p>
              </w:tc>
              <w:tc>
                <w:tcPr>
                  <w:tcW w:w="1261" w:type="dxa"/>
                  <w:shd w:val="clear" w:color="auto" w:fill="auto"/>
                  <w:vAlign w:val="center"/>
                </w:tcPr>
                <w:p w14:paraId="60ADA3C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auto"/>
                      <w:kern w:val="0"/>
                      <w:sz w:val="22"/>
                      <w:szCs w:val="22"/>
                      <w:u w:val="none"/>
                      <w:lang w:val="en-US" w:eastAsia="zh-CN" w:bidi="ar"/>
                    </w:rPr>
                  </w:pPr>
                </w:p>
              </w:tc>
              <w:tc>
                <w:tcPr>
                  <w:tcW w:w="1262" w:type="dxa"/>
                  <w:shd w:val="clear" w:color="auto" w:fill="auto"/>
                  <w:vAlign w:val="center"/>
                </w:tcPr>
                <w:p w14:paraId="599DD53F">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auto"/>
                      <w:kern w:val="0"/>
                      <w:sz w:val="22"/>
                      <w:szCs w:val="22"/>
                      <w:u w:val="none"/>
                      <w:lang w:val="en-US" w:eastAsia="zh-CN" w:bidi="ar"/>
                    </w:rPr>
                  </w:pPr>
                </w:p>
              </w:tc>
              <w:tc>
                <w:tcPr>
                  <w:tcW w:w="881" w:type="dxa"/>
                  <w:shd w:val="clear" w:color="auto" w:fill="auto"/>
                  <w:vAlign w:val="center"/>
                </w:tcPr>
                <w:p w14:paraId="023B9DC8">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rPr>
                  </w:pPr>
                </w:p>
              </w:tc>
            </w:tr>
            <w:tr w14:paraId="1D249C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5" w:hRule="atLeast"/>
                <w:jc w:val="center"/>
              </w:trPr>
              <w:tc>
                <w:tcPr>
                  <w:tcW w:w="447" w:type="dxa"/>
                  <w:vAlign w:val="center"/>
                </w:tcPr>
                <w:p w14:paraId="53E52004">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1.1</w:t>
                  </w:r>
                </w:p>
              </w:tc>
              <w:tc>
                <w:tcPr>
                  <w:tcW w:w="1326" w:type="dxa"/>
                  <w:vAlign w:val="center"/>
                </w:tcPr>
                <w:p w14:paraId="16A8DF5A">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桥梁</w:t>
                  </w:r>
                </w:p>
              </w:tc>
              <w:tc>
                <w:tcPr>
                  <w:tcW w:w="1261" w:type="dxa"/>
                  <w:vAlign w:val="center"/>
                </w:tcPr>
                <w:p w14:paraId="1294A883">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w:t>
                  </w:r>
                </w:p>
              </w:tc>
              <w:tc>
                <w:tcPr>
                  <w:tcW w:w="1261" w:type="dxa"/>
                  <w:vAlign w:val="center"/>
                </w:tcPr>
                <w:p w14:paraId="77C80FD6">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5</w:t>
                  </w:r>
                </w:p>
              </w:tc>
              <w:tc>
                <w:tcPr>
                  <w:tcW w:w="1262" w:type="dxa"/>
                  <w:vAlign w:val="center"/>
                </w:tcPr>
                <w:p w14:paraId="500E63A3">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13</w:t>
                  </w:r>
                </w:p>
              </w:tc>
              <w:tc>
                <w:tcPr>
                  <w:tcW w:w="881" w:type="dxa"/>
                  <w:vAlign w:val="center"/>
                </w:tcPr>
                <w:p w14:paraId="51DEEC41">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65FDAC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5" w:hRule="atLeast"/>
                <w:jc w:val="center"/>
              </w:trPr>
              <w:tc>
                <w:tcPr>
                  <w:tcW w:w="447" w:type="dxa"/>
                  <w:vAlign w:val="center"/>
                </w:tcPr>
                <w:p w14:paraId="64969C4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1.2</w:t>
                  </w:r>
                </w:p>
              </w:tc>
              <w:tc>
                <w:tcPr>
                  <w:tcW w:w="1326" w:type="dxa"/>
                  <w:vAlign w:val="center"/>
                </w:tcPr>
                <w:p w14:paraId="015C1DEF">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涵洞</w:t>
                  </w:r>
                </w:p>
              </w:tc>
              <w:tc>
                <w:tcPr>
                  <w:tcW w:w="1261" w:type="dxa"/>
                  <w:vAlign w:val="center"/>
                </w:tcPr>
                <w:p w14:paraId="7CA0EAB4">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22</w:t>
                  </w:r>
                </w:p>
              </w:tc>
              <w:tc>
                <w:tcPr>
                  <w:tcW w:w="1261" w:type="dxa"/>
                  <w:vAlign w:val="center"/>
                </w:tcPr>
                <w:p w14:paraId="1E5DF35C">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141</w:t>
                  </w:r>
                </w:p>
              </w:tc>
              <w:tc>
                <w:tcPr>
                  <w:tcW w:w="1262" w:type="dxa"/>
                  <w:vAlign w:val="center"/>
                </w:tcPr>
                <w:p w14:paraId="074F8401">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150</w:t>
                  </w:r>
                </w:p>
              </w:tc>
              <w:tc>
                <w:tcPr>
                  <w:tcW w:w="881" w:type="dxa"/>
                  <w:vAlign w:val="center"/>
                </w:tcPr>
                <w:p w14:paraId="63021ECD">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3AC1A4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5" w:hRule="atLeast"/>
                <w:jc w:val="center"/>
              </w:trPr>
              <w:tc>
                <w:tcPr>
                  <w:tcW w:w="447" w:type="dxa"/>
                  <w:shd w:val="clear" w:color="auto" w:fill="auto"/>
                  <w:vAlign w:val="center"/>
                </w:tcPr>
                <w:p w14:paraId="57FD4CDF">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2</w:t>
                  </w:r>
                </w:p>
              </w:tc>
              <w:tc>
                <w:tcPr>
                  <w:tcW w:w="1326" w:type="dxa"/>
                  <w:shd w:val="clear" w:color="auto" w:fill="auto"/>
                  <w:vAlign w:val="center"/>
                </w:tcPr>
                <w:p w14:paraId="259D303D">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隧道</w:t>
                  </w:r>
                </w:p>
              </w:tc>
              <w:tc>
                <w:tcPr>
                  <w:tcW w:w="1261" w:type="dxa"/>
                  <w:vAlign w:val="center"/>
                </w:tcPr>
                <w:p w14:paraId="22CCFE04">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p>
              </w:tc>
              <w:tc>
                <w:tcPr>
                  <w:tcW w:w="1261" w:type="dxa"/>
                  <w:vAlign w:val="center"/>
                </w:tcPr>
                <w:p w14:paraId="01FEA797">
                  <w:pPr>
                    <w:keepNext w:val="0"/>
                    <w:keepLines w:val="0"/>
                    <w:widowControl/>
                    <w:suppressLineNumbers w:val="0"/>
                    <w:jc w:val="center"/>
                    <w:textAlignment w:val="top"/>
                    <w:rPr>
                      <w:rFonts w:hint="eastAsia" w:cs="宋体"/>
                      <w:color w:val="auto"/>
                      <w:spacing w:val="0"/>
                      <w:w w:val="100"/>
                      <w:position w:val="0"/>
                      <w:sz w:val="24"/>
                      <w:szCs w:val="24"/>
                      <w:lang w:val="en-US" w:eastAsia="zh-CN"/>
                    </w:rPr>
                  </w:pPr>
                </w:p>
              </w:tc>
              <w:tc>
                <w:tcPr>
                  <w:tcW w:w="1262" w:type="dxa"/>
                  <w:vAlign w:val="center"/>
                </w:tcPr>
                <w:p w14:paraId="273DB064">
                  <w:pPr>
                    <w:keepNext w:val="0"/>
                    <w:keepLines w:val="0"/>
                    <w:widowControl/>
                    <w:suppressLineNumbers w:val="0"/>
                    <w:jc w:val="center"/>
                    <w:textAlignment w:val="top"/>
                    <w:rPr>
                      <w:rFonts w:hint="eastAsia" w:cs="宋体"/>
                      <w:color w:val="auto"/>
                      <w:spacing w:val="0"/>
                      <w:w w:val="100"/>
                      <w:position w:val="0"/>
                      <w:sz w:val="24"/>
                      <w:szCs w:val="24"/>
                      <w:lang w:val="en-US" w:eastAsia="zh-CN"/>
                    </w:rPr>
                  </w:pPr>
                </w:p>
              </w:tc>
              <w:tc>
                <w:tcPr>
                  <w:tcW w:w="881" w:type="dxa"/>
                  <w:vAlign w:val="center"/>
                </w:tcPr>
                <w:p w14:paraId="31198677">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3F88E5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jc w:val="center"/>
              </w:trPr>
              <w:tc>
                <w:tcPr>
                  <w:tcW w:w="447" w:type="dxa"/>
                  <w:vAlign w:val="center"/>
                </w:tcPr>
                <w:p w14:paraId="4D1F06DB">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2.1</w:t>
                  </w:r>
                </w:p>
              </w:tc>
              <w:tc>
                <w:tcPr>
                  <w:tcW w:w="1326" w:type="dxa"/>
                  <w:vAlign w:val="center"/>
                </w:tcPr>
                <w:p w14:paraId="485B761A">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隧道</w:t>
                  </w:r>
                </w:p>
              </w:tc>
              <w:tc>
                <w:tcPr>
                  <w:tcW w:w="1261" w:type="dxa"/>
                  <w:vAlign w:val="center"/>
                </w:tcPr>
                <w:p w14:paraId="330ED3E8">
                  <w:pPr>
                    <w:jc w:val="center"/>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w:t>
                  </w:r>
                </w:p>
              </w:tc>
              <w:tc>
                <w:tcPr>
                  <w:tcW w:w="1261" w:type="dxa"/>
                  <w:shd w:val="clear" w:color="auto" w:fill="FFFFFF"/>
                  <w:vAlign w:val="center"/>
                </w:tcPr>
                <w:p w14:paraId="2A4C3FEC">
                  <w:pPr>
                    <w:jc w:val="center"/>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w:t>
                  </w:r>
                </w:p>
              </w:tc>
              <w:tc>
                <w:tcPr>
                  <w:tcW w:w="1262" w:type="dxa"/>
                  <w:shd w:val="clear" w:color="auto" w:fill="FFFFFF"/>
                  <w:vAlign w:val="center"/>
                </w:tcPr>
                <w:p w14:paraId="1A82784A">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w:t>
                  </w:r>
                </w:p>
              </w:tc>
              <w:tc>
                <w:tcPr>
                  <w:tcW w:w="881" w:type="dxa"/>
                  <w:vAlign w:val="center"/>
                </w:tcPr>
                <w:p w14:paraId="18449C66">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67847C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jc w:val="center"/>
              </w:trPr>
              <w:tc>
                <w:tcPr>
                  <w:tcW w:w="447" w:type="dxa"/>
                  <w:shd w:val="clear" w:color="auto" w:fill="auto"/>
                  <w:vAlign w:val="center"/>
                </w:tcPr>
                <w:p w14:paraId="2481C400">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3</w:t>
                  </w:r>
                </w:p>
              </w:tc>
              <w:tc>
                <w:tcPr>
                  <w:tcW w:w="1326" w:type="dxa"/>
                  <w:shd w:val="clear" w:color="auto" w:fill="auto"/>
                  <w:vAlign w:val="center"/>
                </w:tcPr>
                <w:p w14:paraId="0F79D48F">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服务设施</w:t>
                  </w:r>
                </w:p>
              </w:tc>
              <w:tc>
                <w:tcPr>
                  <w:tcW w:w="1261" w:type="dxa"/>
                  <w:vAlign w:val="center"/>
                </w:tcPr>
                <w:p w14:paraId="2768CD31">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val="en-US" w:eastAsia="zh-CN"/>
                    </w:rPr>
                  </w:pPr>
                </w:p>
              </w:tc>
              <w:tc>
                <w:tcPr>
                  <w:tcW w:w="1261" w:type="dxa"/>
                  <w:shd w:val="clear" w:color="auto" w:fill="FFFFFF"/>
                  <w:vAlign w:val="center"/>
                </w:tcPr>
                <w:p w14:paraId="38EEB17B">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cs="宋体"/>
                      <w:color w:val="auto"/>
                      <w:spacing w:val="0"/>
                      <w:w w:val="100"/>
                      <w:position w:val="0"/>
                      <w:sz w:val="24"/>
                      <w:szCs w:val="24"/>
                      <w:lang w:val="en-US" w:eastAsia="zh-CN"/>
                    </w:rPr>
                  </w:pPr>
                </w:p>
              </w:tc>
              <w:tc>
                <w:tcPr>
                  <w:tcW w:w="1262" w:type="dxa"/>
                  <w:shd w:val="clear" w:color="auto" w:fill="FFFFFF"/>
                  <w:vAlign w:val="center"/>
                </w:tcPr>
                <w:p w14:paraId="0CBB86C6">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cs="宋体"/>
                      <w:color w:val="auto"/>
                      <w:spacing w:val="0"/>
                      <w:w w:val="100"/>
                      <w:position w:val="0"/>
                      <w:sz w:val="24"/>
                      <w:szCs w:val="24"/>
                      <w:lang w:val="en-US" w:eastAsia="zh-CN"/>
                    </w:rPr>
                  </w:pPr>
                </w:p>
              </w:tc>
              <w:tc>
                <w:tcPr>
                  <w:tcW w:w="881" w:type="dxa"/>
                  <w:vAlign w:val="center"/>
                </w:tcPr>
                <w:p w14:paraId="5A10DC1F">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129285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jc w:val="center"/>
              </w:trPr>
              <w:tc>
                <w:tcPr>
                  <w:tcW w:w="447" w:type="dxa"/>
                  <w:shd w:val="clear" w:color="auto" w:fill="auto"/>
                  <w:vAlign w:val="center"/>
                </w:tcPr>
                <w:p w14:paraId="324FDA2D">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CN" w:bidi="ar-SA"/>
                    </w:rPr>
                  </w:pPr>
                  <w:r>
                    <w:rPr>
                      <w:rFonts w:hint="eastAsia" w:ascii="宋体" w:hAnsi="宋体" w:eastAsia="宋体" w:cs="宋体"/>
                      <w:color w:val="auto"/>
                      <w:spacing w:val="0"/>
                      <w:w w:val="100"/>
                      <w:position w:val="0"/>
                      <w:sz w:val="24"/>
                      <w:szCs w:val="24"/>
                      <w:lang w:val="en-US" w:eastAsia="zh-CN"/>
                    </w:rPr>
                    <w:t>3.1</w:t>
                  </w:r>
                </w:p>
              </w:tc>
              <w:tc>
                <w:tcPr>
                  <w:tcW w:w="1326" w:type="dxa"/>
                  <w:shd w:val="clear" w:color="auto" w:fill="auto"/>
                  <w:vAlign w:val="center"/>
                </w:tcPr>
                <w:p w14:paraId="5CB053B0">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CN" w:bidi="ar-SA"/>
                    </w:rPr>
                  </w:pPr>
                  <w:r>
                    <w:rPr>
                      <w:rFonts w:hint="eastAsia" w:cs="宋体"/>
                      <w:color w:val="auto"/>
                      <w:spacing w:val="0"/>
                      <w:w w:val="100"/>
                      <w:position w:val="0"/>
                      <w:sz w:val="24"/>
                      <w:szCs w:val="24"/>
                      <w:lang w:val="en-US" w:eastAsia="zh-CN"/>
                    </w:rPr>
                    <w:t>候车亭</w:t>
                  </w:r>
                </w:p>
              </w:tc>
              <w:tc>
                <w:tcPr>
                  <w:tcW w:w="1261" w:type="dxa"/>
                  <w:vAlign w:val="center"/>
                </w:tcPr>
                <w:p w14:paraId="167445D9">
                  <w:pPr>
                    <w:jc w:val="center"/>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w:t>
                  </w:r>
                </w:p>
              </w:tc>
              <w:tc>
                <w:tcPr>
                  <w:tcW w:w="1261" w:type="dxa"/>
                  <w:shd w:val="clear" w:color="auto" w:fill="FFFFFF"/>
                  <w:vAlign w:val="center"/>
                </w:tcPr>
                <w:p w14:paraId="5273FC61">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6</w:t>
                  </w:r>
                </w:p>
              </w:tc>
              <w:tc>
                <w:tcPr>
                  <w:tcW w:w="1262" w:type="dxa"/>
                  <w:shd w:val="clear" w:color="auto" w:fill="FFFFFF"/>
                  <w:vAlign w:val="center"/>
                </w:tcPr>
                <w:p w14:paraId="3551576E">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4</w:t>
                  </w:r>
                </w:p>
              </w:tc>
              <w:tc>
                <w:tcPr>
                  <w:tcW w:w="881" w:type="dxa"/>
                  <w:vAlign w:val="center"/>
                </w:tcPr>
                <w:p w14:paraId="76A80601">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both"/>
                    <w:textAlignment w:val="baseline"/>
                    <w:rPr>
                      <w:rFonts w:hint="eastAsia" w:ascii="宋体" w:hAnsi="宋体" w:eastAsia="宋体" w:cs="宋体"/>
                      <w:color w:val="auto"/>
                      <w:spacing w:val="0"/>
                      <w:w w:val="100"/>
                      <w:position w:val="0"/>
                      <w:sz w:val="24"/>
                      <w:szCs w:val="24"/>
                    </w:rPr>
                  </w:pPr>
                </w:p>
              </w:tc>
            </w:tr>
          </w:tbl>
          <w:p w14:paraId="64805E6F">
            <w:pPr>
              <w:keepNext w:val="0"/>
              <w:keepLines w:val="0"/>
              <w:pageBreakBefore w:val="0"/>
              <w:widowControl w:val="0"/>
              <w:tabs>
                <w:tab w:val="left" w:pos="1918"/>
              </w:tabs>
              <w:kinsoku/>
              <w:wordWrap w:val="0"/>
              <w:overflowPunct/>
              <w:topLinePunct w:val="0"/>
              <w:autoSpaceDE w:val="0"/>
              <w:autoSpaceDN w:val="0"/>
              <w:bidi w:val="0"/>
              <w:adjustRightInd w:val="0"/>
              <w:snapToGrid w:val="0"/>
              <w:spacing w:line="360" w:lineRule="auto"/>
              <w:ind w:left="0" w:right="0" w:firstLine="0" w:firstLineChars="0"/>
              <w:textAlignment w:val="baseline"/>
              <w:rPr>
                <w:rFonts w:hint="default" w:ascii="宋体" w:hAnsi="宋体" w:eastAsia="宋体" w:cs="宋体"/>
                <w:b/>
                <w:spacing w:val="0"/>
                <w:w w:val="100"/>
                <w:position w:val="0"/>
                <w:sz w:val="24"/>
                <w:szCs w:val="24"/>
                <w:highlight w:val="magenta"/>
                <w:lang w:val="en-US" w:eastAsia="zh-CN"/>
              </w:rPr>
            </w:pPr>
          </w:p>
          <w:p w14:paraId="1C1C0829">
            <w:pPr>
              <w:keepNext w:val="0"/>
              <w:keepLines w:val="0"/>
              <w:pageBreakBefore w:val="0"/>
              <w:widowControl w:val="0"/>
              <w:tabs>
                <w:tab w:val="left" w:pos="1918"/>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b/>
                <w:bCs/>
                <w:spacing w:val="0"/>
                <w:w w:val="100"/>
                <w:position w:val="0"/>
                <w:sz w:val="24"/>
                <w:szCs w:val="24"/>
                <w:highlight w:val="none"/>
                <w:lang w:eastAsia="zh-CN"/>
              </w:rPr>
            </w:pPr>
            <w:r>
              <w:rPr>
                <w:rFonts w:hint="eastAsia" w:ascii="宋体" w:hAnsi="宋体" w:eastAsia="宋体" w:cs="宋体"/>
                <w:b/>
                <w:bCs/>
                <w:spacing w:val="0"/>
                <w:w w:val="100"/>
                <w:position w:val="0"/>
                <w:sz w:val="24"/>
                <w:szCs w:val="24"/>
                <w:highlight w:val="none"/>
              </w:rPr>
              <w:t>公路主要设施清单</w:t>
            </w:r>
            <w:r>
              <w:rPr>
                <w:rFonts w:hint="eastAsia" w:ascii="宋体" w:hAnsi="宋体" w:eastAsia="宋体" w:cs="宋体"/>
                <w:b/>
                <w:bCs/>
                <w:spacing w:val="0"/>
                <w:w w:val="100"/>
                <w:position w:val="0"/>
                <w:sz w:val="24"/>
                <w:szCs w:val="24"/>
                <w:highlight w:val="none"/>
                <w:lang w:eastAsia="zh-CN"/>
              </w:rPr>
              <w:t>（</w:t>
            </w:r>
            <w:r>
              <w:rPr>
                <w:rFonts w:hint="eastAsia" w:ascii="宋体" w:hAnsi="宋体" w:eastAsia="宋体" w:cs="宋体"/>
                <w:b/>
                <w:bCs/>
                <w:spacing w:val="0"/>
                <w:w w:val="100"/>
                <w:position w:val="0"/>
                <w:sz w:val="24"/>
                <w:szCs w:val="24"/>
                <w:highlight w:val="none"/>
                <w:lang w:val="en-US" w:eastAsia="zh-CN"/>
              </w:rPr>
              <w:t xml:space="preserve">D段 </w:t>
            </w:r>
            <w:r>
              <w:rPr>
                <w:rFonts w:hint="eastAsia" w:ascii="宋体" w:hAnsi="宋体" w:eastAsia="宋体" w:cs="宋体"/>
                <w:b/>
                <w:bCs/>
                <w:spacing w:val="0"/>
                <w:w w:val="100"/>
                <w:position w:val="0"/>
                <w:sz w:val="24"/>
                <w:szCs w:val="24"/>
                <w:highlight w:val="none"/>
                <w:lang w:eastAsia="zh-CN"/>
              </w:rPr>
              <w:t>）</w:t>
            </w:r>
          </w:p>
          <w:tbl>
            <w:tblPr>
              <w:tblStyle w:val="25"/>
              <w:tblW w:w="607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828"/>
              <w:gridCol w:w="1472"/>
              <w:gridCol w:w="1642"/>
              <w:gridCol w:w="1158"/>
              <w:gridCol w:w="977"/>
            </w:tblGrid>
            <w:tr w14:paraId="065840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92" w:hRule="atLeast"/>
                <w:tblHeader/>
                <w:jc w:val="center"/>
              </w:trPr>
              <w:tc>
                <w:tcPr>
                  <w:tcW w:w="828" w:type="dxa"/>
                  <w:shd w:val="clear" w:color="auto" w:fill="auto"/>
                  <w:vAlign w:val="center"/>
                </w:tcPr>
                <w:p w14:paraId="77B0F6AD">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rPr>
                  </w:pPr>
                  <w:r>
                    <w:rPr>
                      <w:rFonts w:hint="eastAsia" w:ascii="宋体" w:hAnsi="宋体" w:eastAsia="宋体" w:cs="宋体"/>
                      <w:b/>
                      <w:bCs/>
                      <w:color w:val="auto"/>
                      <w:spacing w:val="0"/>
                      <w:w w:val="100"/>
                      <w:position w:val="0"/>
                      <w:sz w:val="24"/>
                      <w:szCs w:val="24"/>
                    </w:rPr>
                    <w:t>编</w:t>
                  </w:r>
                </w:p>
                <w:p w14:paraId="54ED8E0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号</w:t>
                  </w:r>
                </w:p>
              </w:tc>
              <w:tc>
                <w:tcPr>
                  <w:tcW w:w="1472" w:type="dxa"/>
                  <w:shd w:val="clear" w:color="auto" w:fill="auto"/>
                  <w:vAlign w:val="center"/>
                </w:tcPr>
                <w:p w14:paraId="3EB41016">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eastAsia" w:ascii="宋体" w:hAnsi="宋体" w:eastAsia="宋体" w:cs="宋体"/>
                      <w:b/>
                      <w:snapToGrid w:val="0"/>
                      <w:color w:val="auto"/>
                      <w:spacing w:val="0"/>
                      <w:w w:val="100"/>
                      <w:kern w:val="0"/>
                      <w:position w:val="0"/>
                      <w:sz w:val="24"/>
                      <w:szCs w:val="24"/>
                      <w:lang w:val="en-US" w:eastAsia="zh-CN" w:bidi="ar-SA"/>
                    </w:rPr>
                  </w:pPr>
                  <w:r>
                    <w:rPr>
                      <w:rFonts w:hint="eastAsia" w:ascii="宋体" w:hAnsi="宋体" w:eastAsia="宋体" w:cs="宋体"/>
                      <w:b/>
                      <w:snapToGrid w:val="0"/>
                      <w:color w:val="auto"/>
                      <w:spacing w:val="0"/>
                      <w:w w:val="100"/>
                      <w:kern w:val="0"/>
                      <w:position w:val="0"/>
                      <w:sz w:val="24"/>
                      <w:szCs w:val="24"/>
                      <w:lang w:val="en-US" w:eastAsia="zh-CN" w:bidi="ar-SA"/>
                    </w:rPr>
                    <w:t>数量  线路</w:t>
                  </w:r>
                </w:p>
                <w:p w14:paraId="24D577AF">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default" w:ascii="宋体" w:hAnsi="宋体" w:eastAsia="宋体" w:cs="宋体"/>
                      <w:b/>
                      <w:snapToGrid w:val="0"/>
                      <w:color w:val="auto"/>
                      <w:spacing w:val="0"/>
                      <w:w w:val="100"/>
                      <w:kern w:val="0"/>
                      <w:position w:val="0"/>
                      <w:sz w:val="24"/>
                      <w:szCs w:val="24"/>
                      <w:lang w:val="en-US" w:eastAsia="zh-CN" w:bidi="ar-SA"/>
                    </w:rPr>
                  </w:pPr>
                  <w:r>
                    <w:rPr>
                      <w:rFonts w:hint="eastAsia" w:ascii="宋体" w:hAnsi="宋体" w:eastAsia="宋体" w:cs="宋体"/>
                      <w:b/>
                      <w:snapToGrid w:val="0"/>
                      <w:color w:val="auto"/>
                      <w:spacing w:val="0"/>
                      <w:w w:val="100"/>
                      <w:kern w:val="0"/>
                      <w:position w:val="0"/>
                      <w:sz w:val="24"/>
                      <w:szCs w:val="24"/>
                      <w:lang w:val="en-US" w:eastAsia="zh-CN" w:bidi="ar-SA"/>
                    </w:rPr>
                    <w:t>类型</w:t>
                  </w:r>
                </w:p>
              </w:tc>
              <w:tc>
                <w:tcPr>
                  <w:tcW w:w="1642" w:type="dxa"/>
                  <w:shd w:val="clear" w:color="auto" w:fill="auto"/>
                  <w:vAlign w:val="center"/>
                </w:tcPr>
                <w:p w14:paraId="686DF70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lang w:val="en-US" w:eastAsia="zh-CN"/>
                    </w:rPr>
                    <w:t xml:space="preserve"> G241线</w:t>
                  </w:r>
                </w:p>
              </w:tc>
              <w:tc>
                <w:tcPr>
                  <w:tcW w:w="1158" w:type="dxa"/>
                  <w:shd w:val="clear" w:color="auto" w:fill="auto"/>
                  <w:vAlign w:val="center"/>
                </w:tcPr>
                <w:p w14:paraId="4EE896F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napToGrid w:val="0"/>
                      <w:color w:val="auto"/>
                      <w:spacing w:val="0"/>
                      <w:w w:val="100"/>
                      <w:kern w:val="0"/>
                      <w:position w:val="0"/>
                      <w:sz w:val="24"/>
                      <w:szCs w:val="24"/>
                      <w:lang w:val="en-US" w:eastAsia="en-US" w:bidi="ar-SA"/>
                    </w:rPr>
                  </w:pPr>
                  <w:r>
                    <w:rPr>
                      <w:rFonts w:hint="default" w:ascii="宋体" w:hAnsi="宋体" w:eastAsia="宋体" w:cs="宋体"/>
                      <w:b/>
                      <w:bCs/>
                      <w:snapToGrid w:val="0"/>
                      <w:color w:val="auto"/>
                      <w:spacing w:val="0"/>
                      <w:w w:val="100"/>
                      <w:kern w:val="0"/>
                      <w:position w:val="0"/>
                      <w:sz w:val="24"/>
                      <w:szCs w:val="24"/>
                      <w:lang w:val="en-US" w:eastAsia="en-US" w:bidi="ar-SA"/>
                    </w:rPr>
                    <w:t>G357线</w:t>
                  </w:r>
                </w:p>
              </w:tc>
              <w:tc>
                <w:tcPr>
                  <w:tcW w:w="977" w:type="dxa"/>
                  <w:shd w:val="clear" w:color="auto" w:fill="auto"/>
                  <w:vAlign w:val="center"/>
                </w:tcPr>
                <w:p w14:paraId="4678DE33">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auto"/>
                      <w:spacing w:val="0"/>
                      <w:w w:val="100"/>
                      <w:kern w:val="0"/>
                      <w:position w:val="0"/>
                      <w:sz w:val="24"/>
                      <w:szCs w:val="24"/>
                      <w:lang w:val="en-US" w:eastAsia="zh-CN" w:bidi="ar-SA"/>
                    </w:rPr>
                  </w:pPr>
                  <w:r>
                    <w:rPr>
                      <w:rFonts w:hint="eastAsia" w:ascii="宋体" w:hAnsi="宋体" w:eastAsia="宋体" w:cs="宋体"/>
                      <w:b/>
                      <w:bCs/>
                      <w:color w:val="auto"/>
                      <w:spacing w:val="0"/>
                      <w:w w:val="100"/>
                      <w:position w:val="0"/>
                      <w:sz w:val="24"/>
                      <w:szCs w:val="24"/>
                    </w:rPr>
                    <w:t>备注</w:t>
                  </w:r>
                </w:p>
              </w:tc>
            </w:tr>
            <w:tr w14:paraId="1AA3D9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19" w:hRule="atLeast"/>
                <w:tblHeader/>
                <w:jc w:val="center"/>
              </w:trPr>
              <w:tc>
                <w:tcPr>
                  <w:tcW w:w="828" w:type="dxa"/>
                  <w:shd w:val="clear" w:color="auto" w:fill="auto"/>
                  <w:vAlign w:val="center"/>
                </w:tcPr>
                <w:p w14:paraId="4C59893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9"/>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1</w:t>
                  </w:r>
                </w:p>
              </w:tc>
              <w:tc>
                <w:tcPr>
                  <w:tcW w:w="1472" w:type="dxa"/>
                  <w:shd w:val="clear" w:color="auto" w:fill="auto"/>
                  <w:vAlign w:val="center"/>
                </w:tcPr>
                <w:p w14:paraId="67122FE5">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CN" w:bidi="ar-SA"/>
                    </w:rPr>
                  </w:pPr>
                  <w:r>
                    <w:rPr>
                      <w:rFonts w:hint="eastAsia" w:ascii="宋体" w:hAnsi="宋体" w:eastAsia="宋体" w:cs="宋体"/>
                      <w:b/>
                      <w:bCs/>
                      <w:color w:val="auto"/>
                      <w:spacing w:val="0"/>
                      <w:w w:val="100"/>
                      <w:position w:val="0"/>
                      <w:sz w:val="24"/>
                      <w:szCs w:val="24"/>
                    </w:rPr>
                    <w:t>桥梁、涵洞</w:t>
                  </w:r>
                </w:p>
              </w:tc>
              <w:tc>
                <w:tcPr>
                  <w:tcW w:w="1642" w:type="dxa"/>
                  <w:shd w:val="clear" w:color="auto" w:fill="auto"/>
                  <w:vAlign w:val="center"/>
                </w:tcPr>
                <w:p w14:paraId="425B4AE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auto"/>
                      <w:kern w:val="0"/>
                      <w:sz w:val="22"/>
                      <w:szCs w:val="22"/>
                      <w:u w:val="none"/>
                      <w:lang w:val="en-US" w:eastAsia="zh-CN" w:bidi="ar"/>
                    </w:rPr>
                  </w:pPr>
                </w:p>
              </w:tc>
              <w:tc>
                <w:tcPr>
                  <w:tcW w:w="1158" w:type="dxa"/>
                  <w:shd w:val="clear" w:color="auto" w:fill="auto"/>
                  <w:vAlign w:val="center"/>
                </w:tcPr>
                <w:p w14:paraId="7E6D1CC9">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auto"/>
                      <w:kern w:val="0"/>
                      <w:sz w:val="22"/>
                      <w:szCs w:val="22"/>
                      <w:u w:val="none"/>
                      <w:lang w:val="en-US" w:eastAsia="zh-CN" w:bidi="ar"/>
                    </w:rPr>
                  </w:pPr>
                </w:p>
              </w:tc>
              <w:tc>
                <w:tcPr>
                  <w:tcW w:w="977" w:type="dxa"/>
                  <w:shd w:val="clear" w:color="auto" w:fill="auto"/>
                  <w:vAlign w:val="center"/>
                </w:tcPr>
                <w:p w14:paraId="69A01DEB">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rPr>
                  </w:pPr>
                </w:p>
              </w:tc>
            </w:tr>
            <w:tr w14:paraId="2D1968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19" w:hRule="atLeast"/>
                <w:jc w:val="center"/>
              </w:trPr>
              <w:tc>
                <w:tcPr>
                  <w:tcW w:w="828" w:type="dxa"/>
                  <w:vAlign w:val="center"/>
                </w:tcPr>
                <w:p w14:paraId="0C27CAB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1.1</w:t>
                  </w:r>
                </w:p>
              </w:tc>
              <w:tc>
                <w:tcPr>
                  <w:tcW w:w="1472" w:type="dxa"/>
                  <w:vAlign w:val="center"/>
                </w:tcPr>
                <w:p w14:paraId="60E9FC0C">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桥梁</w:t>
                  </w:r>
                </w:p>
              </w:tc>
              <w:tc>
                <w:tcPr>
                  <w:tcW w:w="1642" w:type="dxa"/>
                  <w:vAlign w:val="center"/>
                </w:tcPr>
                <w:p w14:paraId="4723E92F">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17 </w:t>
                  </w:r>
                </w:p>
              </w:tc>
              <w:tc>
                <w:tcPr>
                  <w:tcW w:w="1158" w:type="dxa"/>
                  <w:vAlign w:val="center"/>
                </w:tcPr>
                <w:p w14:paraId="49D14BB4">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7</w:t>
                  </w:r>
                </w:p>
              </w:tc>
              <w:tc>
                <w:tcPr>
                  <w:tcW w:w="977" w:type="dxa"/>
                  <w:vAlign w:val="center"/>
                </w:tcPr>
                <w:p w14:paraId="511861A6">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55228B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19" w:hRule="atLeast"/>
                <w:jc w:val="center"/>
              </w:trPr>
              <w:tc>
                <w:tcPr>
                  <w:tcW w:w="828" w:type="dxa"/>
                  <w:vAlign w:val="center"/>
                </w:tcPr>
                <w:p w14:paraId="478BA0F5">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1.2</w:t>
                  </w:r>
                </w:p>
              </w:tc>
              <w:tc>
                <w:tcPr>
                  <w:tcW w:w="1472" w:type="dxa"/>
                  <w:vAlign w:val="center"/>
                </w:tcPr>
                <w:p w14:paraId="3F1378EC">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涵洞</w:t>
                  </w:r>
                </w:p>
              </w:tc>
              <w:tc>
                <w:tcPr>
                  <w:tcW w:w="1642" w:type="dxa"/>
                  <w:vAlign w:val="center"/>
                </w:tcPr>
                <w:p w14:paraId="43772E0A">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144 </w:t>
                  </w:r>
                </w:p>
              </w:tc>
              <w:tc>
                <w:tcPr>
                  <w:tcW w:w="1158" w:type="dxa"/>
                  <w:vAlign w:val="center"/>
                </w:tcPr>
                <w:p w14:paraId="0F2AFB26">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129</w:t>
                  </w:r>
                </w:p>
              </w:tc>
              <w:tc>
                <w:tcPr>
                  <w:tcW w:w="977" w:type="dxa"/>
                  <w:vAlign w:val="center"/>
                </w:tcPr>
                <w:p w14:paraId="1CDD87CF">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60561D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19" w:hRule="atLeast"/>
                <w:jc w:val="center"/>
              </w:trPr>
              <w:tc>
                <w:tcPr>
                  <w:tcW w:w="828" w:type="dxa"/>
                  <w:shd w:val="clear" w:color="auto" w:fill="auto"/>
                  <w:vAlign w:val="center"/>
                </w:tcPr>
                <w:p w14:paraId="03C10A25">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2</w:t>
                  </w:r>
                </w:p>
              </w:tc>
              <w:tc>
                <w:tcPr>
                  <w:tcW w:w="1472" w:type="dxa"/>
                  <w:shd w:val="clear" w:color="auto" w:fill="auto"/>
                  <w:vAlign w:val="center"/>
                </w:tcPr>
                <w:p w14:paraId="2736EBF9">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隧道</w:t>
                  </w:r>
                </w:p>
              </w:tc>
              <w:tc>
                <w:tcPr>
                  <w:tcW w:w="1642" w:type="dxa"/>
                  <w:vAlign w:val="center"/>
                </w:tcPr>
                <w:p w14:paraId="549209E5">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p>
              </w:tc>
              <w:tc>
                <w:tcPr>
                  <w:tcW w:w="1158" w:type="dxa"/>
                  <w:vAlign w:val="center"/>
                </w:tcPr>
                <w:p w14:paraId="4B8F2812">
                  <w:pPr>
                    <w:keepNext w:val="0"/>
                    <w:keepLines w:val="0"/>
                    <w:widowControl/>
                    <w:suppressLineNumbers w:val="0"/>
                    <w:jc w:val="center"/>
                    <w:textAlignment w:val="top"/>
                    <w:rPr>
                      <w:rFonts w:hint="eastAsia" w:cs="宋体"/>
                      <w:color w:val="auto"/>
                      <w:spacing w:val="0"/>
                      <w:w w:val="100"/>
                      <w:position w:val="0"/>
                      <w:sz w:val="24"/>
                      <w:szCs w:val="24"/>
                      <w:lang w:val="en-US" w:eastAsia="zh-CN"/>
                    </w:rPr>
                  </w:pPr>
                </w:p>
              </w:tc>
              <w:tc>
                <w:tcPr>
                  <w:tcW w:w="977" w:type="dxa"/>
                  <w:vAlign w:val="center"/>
                </w:tcPr>
                <w:p w14:paraId="49532BEA">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584DFD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4" w:hRule="atLeast"/>
                <w:jc w:val="center"/>
              </w:trPr>
              <w:tc>
                <w:tcPr>
                  <w:tcW w:w="828" w:type="dxa"/>
                  <w:vAlign w:val="center"/>
                </w:tcPr>
                <w:p w14:paraId="1AD3876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2.1</w:t>
                  </w:r>
                </w:p>
              </w:tc>
              <w:tc>
                <w:tcPr>
                  <w:tcW w:w="1472" w:type="dxa"/>
                  <w:vAlign w:val="center"/>
                </w:tcPr>
                <w:p w14:paraId="4696740D">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隧道</w:t>
                  </w:r>
                </w:p>
              </w:tc>
              <w:tc>
                <w:tcPr>
                  <w:tcW w:w="1642" w:type="dxa"/>
                  <w:vAlign w:val="center"/>
                </w:tcPr>
                <w:p w14:paraId="3CEA91EE">
                  <w:pPr>
                    <w:jc w:val="center"/>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w:t>
                  </w:r>
                </w:p>
              </w:tc>
              <w:tc>
                <w:tcPr>
                  <w:tcW w:w="1158" w:type="dxa"/>
                  <w:shd w:val="clear" w:color="auto" w:fill="FFFFFF"/>
                  <w:vAlign w:val="center"/>
                </w:tcPr>
                <w:p w14:paraId="6529EBE7">
                  <w:pPr>
                    <w:jc w:val="center"/>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w:t>
                  </w:r>
                </w:p>
              </w:tc>
              <w:tc>
                <w:tcPr>
                  <w:tcW w:w="977" w:type="dxa"/>
                  <w:vAlign w:val="center"/>
                </w:tcPr>
                <w:p w14:paraId="198122CC">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02A98B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4" w:hRule="atLeast"/>
                <w:jc w:val="center"/>
              </w:trPr>
              <w:tc>
                <w:tcPr>
                  <w:tcW w:w="828" w:type="dxa"/>
                  <w:shd w:val="clear" w:color="auto" w:fill="auto"/>
                  <w:vAlign w:val="center"/>
                </w:tcPr>
                <w:p w14:paraId="3EB339A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3</w:t>
                  </w:r>
                </w:p>
              </w:tc>
              <w:tc>
                <w:tcPr>
                  <w:tcW w:w="1472" w:type="dxa"/>
                  <w:shd w:val="clear" w:color="auto" w:fill="auto"/>
                  <w:vAlign w:val="center"/>
                </w:tcPr>
                <w:p w14:paraId="6B1FA9B3">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服务设施</w:t>
                  </w:r>
                </w:p>
              </w:tc>
              <w:tc>
                <w:tcPr>
                  <w:tcW w:w="1642" w:type="dxa"/>
                  <w:vAlign w:val="center"/>
                </w:tcPr>
                <w:p w14:paraId="251742EC">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val="en-US" w:eastAsia="zh-CN"/>
                    </w:rPr>
                  </w:pPr>
                </w:p>
              </w:tc>
              <w:tc>
                <w:tcPr>
                  <w:tcW w:w="1158" w:type="dxa"/>
                  <w:shd w:val="clear" w:color="auto" w:fill="FFFFFF"/>
                  <w:vAlign w:val="center"/>
                </w:tcPr>
                <w:p w14:paraId="516969D0">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cs="宋体"/>
                      <w:color w:val="auto"/>
                      <w:spacing w:val="0"/>
                      <w:w w:val="100"/>
                      <w:position w:val="0"/>
                      <w:sz w:val="24"/>
                      <w:szCs w:val="24"/>
                      <w:lang w:val="en-US" w:eastAsia="zh-CN"/>
                    </w:rPr>
                  </w:pPr>
                </w:p>
              </w:tc>
              <w:tc>
                <w:tcPr>
                  <w:tcW w:w="977" w:type="dxa"/>
                  <w:vAlign w:val="center"/>
                </w:tcPr>
                <w:p w14:paraId="7CA3FB17">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color w:val="auto"/>
                      <w:spacing w:val="0"/>
                      <w:w w:val="100"/>
                      <w:position w:val="0"/>
                      <w:sz w:val="24"/>
                      <w:szCs w:val="24"/>
                    </w:rPr>
                  </w:pPr>
                </w:p>
              </w:tc>
            </w:tr>
            <w:tr w14:paraId="703BA8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9" w:hRule="atLeast"/>
                <w:jc w:val="center"/>
              </w:trPr>
              <w:tc>
                <w:tcPr>
                  <w:tcW w:w="828" w:type="dxa"/>
                  <w:shd w:val="clear" w:color="auto" w:fill="auto"/>
                  <w:vAlign w:val="center"/>
                </w:tcPr>
                <w:p w14:paraId="35792E11">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CN" w:bidi="ar-SA"/>
                    </w:rPr>
                  </w:pPr>
                  <w:r>
                    <w:rPr>
                      <w:rFonts w:hint="eastAsia" w:ascii="宋体" w:hAnsi="宋体" w:eastAsia="宋体" w:cs="宋体"/>
                      <w:color w:val="auto"/>
                      <w:spacing w:val="0"/>
                      <w:w w:val="100"/>
                      <w:position w:val="0"/>
                      <w:sz w:val="24"/>
                      <w:szCs w:val="24"/>
                      <w:lang w:val="en-US" w:eastAsia="zh-CN"/>
                    </w:rPr>
                    <w:t>3.1</w:t>
                  </w:r>
                </w:p>
              </w:tc>
              <w:tc>
                <w:tcPr>
                  <w:tcW w:w="1472" w:type="dxa"/>
                  <w:shd w:val="clear" w:color="auto" w:fill="auto"/>
                  <w:vAlign w:val="center"/>
                </w:tcPr>
                <w:p w14:paraId="497B8E75">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CN" w:bidi="ar-SA"/>
                    </w:rPr>
                  </w:pPr>
                  <w:r>
                    <w:rPr>
                      <w:rFonts w:hint="eastAsia" w:cs="宋体"/>
                      <w:color w:val="auto"/>
                      <w:spacing w:val="0"/>
                      <w:w w:val="100"/>
                      <w:position w:val="0"/>
                      <w:sz w:val="24"/>
                      <w:szCs w:val="24"/>
                      <w:lang w:val="en-US" w:eastAsia="zh-CN"/>
                    </w:rPr>
                    <w:t>候车亭</w:t>
                  </w:r>
                </w:p>
              </w:tc>
              <w:tc>
                <w:tcPr>
                  <w:tcW w:w="1642" w:type="dxa"/>
                  <w:vAlign w:val="center"/>
                </w:tcPr>
                <w:p w14:paraId="766D370A">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13</w:t>
                  </w:r>
                </w:p>
              </w:tc>
              <w:tc>
                <w:tcPr>
                  <w:tcW w:w="1158" w:type="dxa"/>
                  <w:shd w:val="clear" w:color="auto" w:fill="FFFFFF"/>
                  <w:vAlign w:val="center"/>
                </w:tcPr>
                <w:p w14:paraId="27850CDC">
                  <w:pPr>
                    <w:keepNext w:val="0"/>
                    <w:keepLines w:val="0"/>
                    <w:widowControl/>
                    <w:suppressLineNumbers w:val="0"/>
                    <w:jc w:val="center"/>
                    <w:textAlignment w:val="top"/>
                    <w:rPr>
                      <w:rFonts w:hint="default"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4</w:t>
                  </w:r>
                </w:p>
              </w:tc>
              <w:tc>
                <w:tcPr>
                  <w:tcW w:w="977" w:type="dxa"/>
                  <w:vAlign w:val="center"/>
                </w:tcPr>
                <w:p w14:paraId="0C54C60E">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both"/>
                    <w:textAlignment w:val="baseline"/>
                    <w:rPr>
                      <w:rFonts w:hint="eastAsia" w:ascii="宋体" w:hAnsi="宋体" w:eastAsia="宋体" w:cs="宋体"/>
                      <w:color w:val="auto"/>
                      <w:spacing w:val="0"/>
                      <w:w w:val="100"/>
                      <w:position w:val="0"/>
                      <w:sz w:val="24"/>
                      <w:szCs w:val="24"/>
                    </w:rPr>
                  </w:pPr>
                </w:p>
              </w:tc>
            </w:tr>
          </w:tbl>
          <w:p w14:paraId="56484EFE">
            <w:pPr>
              <w:keepNext w:val="0"/>
              <w:keepLines w:val="0"/>
              <w:pageBreakBefore w:val="0"/>
              <w:widowControl w:val="0"/>
              <w:tabs>
                <w:tab w:val="left" w:pos="1918"/>
              </w:tabs>
              <w:kinsoku/>
              <w:wordWrap w:val="0"/>
              <w:overflowPunct/>
              <w:topLinePunct w:val="0"/>
              <w:autoSpaceDE w:val="0"/>
              <w:autoSpaceDN w:val="0"/>
              <w:bidi w:val="0"/>
              <w:adjustRightInd w:val="0"/>
              <w:snapToGrid w:val="0"/>
              <w:spacing w:line="360" w:lineRule="auto"/>
              <w:ind w:left="0" w:right="0" w:firstLine="0" w:firstLineChars="0"/>
              <w:jc w:val="both"/>
              <w:textAlignment w:val="baseline"/>
              <w:rPr>
                <w:rFonts w:hint="default" w:ascii="宋体" w:hAnsi="宋体" w:eastAsia="宋体" w:cs="宋体"/>
                <w:b/>
                <w:bCs/>
                <w:spacing w:val="0"/>
                <w:w w:val="100"/>
                <w:position w:val="0"/>
                <w:sz w:val="24"/>
                <w:szCs w:val="24"/>
                <w:highlight w:val="none"/>
                <w:lang w:val="en-US" w:eastAsia="zh-CN"/>
              </w:rPr>
            </w:pPr>
          </w:p>
          <w:p w14:paraId="5D5B46D7">
            <w:pPr>
              <w:widowControl/>
              <w:tabs>
                <w:tab w:val="left" w:pos="0"/>
              </w:tabs>
              <w:rPr>
                <w:rFonts w:ascii="宋体" w:hAnsi="宋体" w:cs="宋体"/>
                <w:b/>
                <w:bCs/>
                <w:sz w:val="30"/>
                <w:szCs w:val="32"/>
              </w:rPr>
            </w:pPr>
            <w:r>
              <w:rPr>
                <w:rFonts w:ascii="宋体" w:hAnsi="宋体" w:cs="宋体"/>
                <w:b/>
                <w:bCs/>
                <w:spacing w:val="-4"/>
                <w:sz w:val="24"/>
              </w:rPr>
              <w:t>养护站点设施、设备清单</w:t>
            </w:r>
          </w:p>
          <w:tbl>
            <w:tblPr>
              <w:tblStyle w:val="25"/>
              <w:tblW w:w="6380" w:type="dxa"/>
              <w:tblInd w:w="108" w:type="dxa"/>
              <w:tblLayout w:type="fixed"/>
              <w:tblCellMar>
                <w:top w:w="0" w:type="dxa"/>
                <w:left w:w="108" w:type="dxa"/>
                <w:bottom w:w="0" w:type="dxa"/>
                <w:right w:w="108" w:type="dxa"/>
              </w:tblCellMar>
            </w:tblPr>
            <w:tblGrid>
              <w:gridCol w:w="467"/>
              <w:gridCol w:w="1437"/>
              <w:gridCol w:w="2975"/>
              <w:gridCol w:w="1501"/>
            </w:tblGrid>
            <w:tr w14:paraId="25DB131D">
              <w:tblPrEx>
                <w:tblCellMar>
                  <w:top w:w="0" w:type="dxa"/>
                  <w:left w:w="108" w:type="dxa"/>
                  <w:bottom w:w="0" w:type="dxa"/>
                  <w:right w:w="108" w:type="dxa"/>
                </w:tblCellMar>
              </w:tblPrEx>
              <w:trPr>
                <w:trHeight w:val="418" w:hRule="atLeast"/>
              </w:trPr>
              <w:tc>
                <w:tcPr>
                  <w:tcW w:w="6380" w:type="dxa"/>
                  <w:gridSpan w:val="4"/>
                  <w:tcBorders>
                    <w:top w:val="nil"/>
                    <w:left w:val="nil"/>
                    <w:bottom w:val="nil"/>
                    <w:right w:val="nil"/>
                  </w:tcBorders>
                  <w:noWrap/>
                  <w:vAlign w:val="center"/>
                </w:tcPr>
                <w:p w14:paraId="321C450C">
                  <w:pPr>
                    <w:widowControl/>
                    <w:jc w:val="center"/>
                    <w:rPr>
                      <w:rFonts w:hint="eastAsia" w:ascii="宋体" w:hAnsi="宋体" w:eastAsia="宋体" w:cs="宋体"/>
                      <w:color w:val="auto"/>
                      <w:kern w:val="0"/>
                      <w:sz w:val="32"/>
                      <w:szCs w:val="32"/>
                      <w:highlight w:val="none"/>
                      <w:lang w:eastAsia="zh-CN"/>
                    </w:rPr>
                  </w:pPr>
                  <w:r>
                    <w:rPr>
                      <w:rFonts w:ascii="宋体" w:hAnsi="宋体" w:cs="宋体"/>
                      <w:b/>
                      <w:bCs/>
                      <w:color w:val="auto"/>
                      <w:spacing w:val="-4"/>
                      <w:sz w:val="24"/>
                      <w:highlight w:val="none"/>
                    </w:rPr>
                    <w:t>养护站点清单</w:t>
                  </w:r>
                  <w:r>
                    <w:rPr>
                      <w:rFonts w:hint="eastAsia" w:ascii="宋体" w:hAnsi="宋体" w:eastAsia="宋体" w:cs="宋体"/>
                      <w:b/>
                      <w:bCs/>
                      <w:color w:val="auto"/>
                      <w:spacing w:val="-4"/>
                      <w:sz w:val="24"/>
                      <w:highlight w:val="none"/>
                      <w:lang w:eastAsia="zh-CN"/>
                    </w:rPr>
                    <w:t>（</w:t>
                  </w:r>
                  <w:r>
                    <w:rPr>
                      <w:rFonts w:hint="eastAsia" w:ascii="宋体" w:hAnsi="宋体" w:eastAsia="宋体" w:cs="宋体"/>
                      <w:b/>
                      <w:bCs/>
                      <w:color w:val="auto"/>
                      <w:spacing w:val="-4"/>
                      <w:sz w:val="24"/>
                      <w:highlight w:val="none"/>
                      <w:lang w:val="en-US" w:eastAsia="zh-CN"/>
                    </w:rPr>
                    <w:t>A、B、C、D段</w:t>
                  </w:r>
                  <w:r>
                    <w:rPr>
                      <w:rFonts w:hint="eastAsia" w:ascii="宋体" w:hAnsi="宋体" w:eastAsia="宋体" w:cs="宋体"/>
                      <w:b/>
                      <w:bCs/>
                      <w:color w:val="auto"/>
                      <w:spacing w:val="-4"/>
                      <w:sz w:val="24"/>
                      <w:highlight w:val="none"/>
                      <w:lang w:eastAsia="zh-CN"/>
                    </w:rPr>
                    <w:t>）</w:t>
                  </w:r>
                </w:p>
              </w:tc>
            </w:tr>
            <w:tr w14:paraId="3F509F5B">
              <w:tblPrEx>
                <w:tblCellMar>
                  <w:top w:w="0" w:type="dxa"/>
                  <w:left w:w="108" w:type="dxa"/>
                  <w:bottom w:w="0" w:type="dxa"/>
                  <w:right w:w="108" w:type="dxa"/>
                </w:tblCellMar>
              </w:tblPrEx>
              <w:trPr>
                <w:trHeight w:val="737" w:hRule="atLeast"/>
              </w:trPr>
              <w:tc>
                <w:tcPr>
                  <w:tcW w:w="467" w:type="dxa"/>
                  <w:tcBorders>
                    <w:top w:val="single" w:color="000000" w:sz="4" w:space="0"/>
                    <w:left w:val="single" w:color="000000" w:sz="4" w:space="0"/>
                    <w:bottom w:val="single" w:color="000000" w:sz="4" w:space="0"/>
                    <w:right w:val="single" w:color="000000" w:sz="4" w:space="0"/>
                  </w:tcBorders>
                  <w:vAlign w:val="center"/>
                </w:tcPr>
                <w:p w14:paraId="0A569E3B">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序号</w:t>
                  </w:r>
                </w:p>
              </w:tc>
              <w:tc>
                <w:tcPr>
                  <w:tcW w:w="1437" w:type="dxa"/>
                  <w:tcBorders>
                    <w:top w:val="single" w:color="000000" w:sz="4" w:space="0"/>
                    <w:left w:val="nil"/>
                    <w:bottom w:val="single" w:color="000000" w:sz="4" w:space="0"/>
                    <w:right w:val="single" w:color="000000" w:sz="4" w:space="0"/>
                  </w:tcBorders>
                  <w:vAlign w:val="center"/>
                </w:tcPr>
                <w:p w14:paraId="63752661">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养护站点名称</w:t>
                  </w:r>
                </w:p>
              </w:tc>
              <w:tc>
                <w:tcPr>
                  <w:tcW w:w="2975" w:type="dxa"/>
                  <w:tcBorders>
                    <w:top w:val="single" w:color="000000" w:sz="4" w:space="0"/>
                    <w:left w:val="nil"/>
                    <w:bottom w:val="single" w:color="000000" w:sz="4" w:space="0"/>
                    <w:right w:val="single" w:color="000000" w:sz="4" w:space="0"/>
                  </w:tcBorders>
                  <w:vAlign w:val="center"/>
                </w:tcPr>
                <w:p w14:paraId="64AA2D77">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所属项目业主</w:t>
                  </w:r>
                </w:p>
              </w:tc>
              <w:tc>
                <w:tcPr>
                  <w:tcW w:w="1501" w:type="dxa"/>
                  <w:tcBorders>
                    <w:top w:val="single" w:color="000000" w:sz="4" w:space="0"/>
                    <w:left w:val="nil"/>
                    <w:bottom w:val="single" w:color="000000" w:sz="4" w:space="0"/>
                    <w:right w:val="single" w:color="000000" w:sz="4" w:space="0"/>
                  </w:tcBorders>
                  <w:vAlign w:val="center"/>
                </w:tcPr>
                <w:p w14:paraId="6F5426F4">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地点、位置</w:t>
                  </w:r>
                </w:p>
              </w:tc>
            </w:tr>
            <w:tr w14:paraId="7BD9F8CC">
              <w:tblPrEx>
                <w:tblCellMar>
                  <w:top w:w="0" w:type="dxa"/>
                  <w:left w:w="108" w:type="dxa"/>
                  <w:bottom w:w="0" w:type="dxa"/>
                  <w:right w:w="108" w:type="dxa"/>
                </w:tblCellMar>
              </w:tblPrEx>
              <w:trPr>
                <w:trHeight w:val="737" w:hRule="atLeast"/>
              </w:trPr>
              <w:tc>
                <w:tcPr>
                  <w:tcW w:w="467" w:type="dxa"/>
                  <w:tcBorders>
                    <w:top w:val="nil"/>
                    <w:left w:val="single" w:color="000000" w:sz="4" w:space="0"/>
                    <w:bottom w:val="single" w:color="000000" w:sz="4" w:space="0"/>
                    <w:right w:val="single" w:color="000000" w:sz="4" w:space="0"/>
                  </w:tcBorders>
                  <w:vAlign w:val="center"/>
                </w:tcPr>
                <w:p w14:paraId="569D64D3">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1437" w:type="dxa"/>
                  <w:tcBorders>
                    <w:top w:val="nil"/>
                    <w:left w:val="nil"/>
                    <w:bottom w:val="single" w:color="000000" w:sz="4" w:space="0"/>
                    <w:right w:val="single" w:color="000000" w:sz="4" w:space="0"/>
                  </w:tcBorders>
                  <w:shd w:val="clear" w:color="auto" w:fill="auto"/>
                  <w:vAlign w:val="center"/>
                </w:tcPr>
                <w:p w14:paraId="43570C2F">
                  <w:pPr>
                    <w:widowControl/>
                    <w:jc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lang w:val="en-US" w:eastAsia="zh-CN"/>
                    </w:rPr>
                    <w:t>栗木养护站</w:t>
                  </w:r>
                </w:p>
              </w:tc>
              <w:tc>
                <w:tcPr>
                  <w:tcW w:w="2975" w:type="dxa"/>
                  <w:tcBorders>
                    <w:top w:val="nil"/>
                    <w:left w:val="nil"/>
                    <w:bottom w:val="single" w:color="000000" w:sz="4" w:space="0"/>
                    <w:right w:val="single" w:color="000000" w:sz="4" w:space="0"/>
                  </w:tcBorders>
                  <w:shd w:val="clear" w:color="auto" w:fill="auto"/>
                  <w:vAlign w:val="center"/>
                </w:tcPr>
                <w:p w14:paraId="7950ACEB">
                  <w:pPr>
                    <w:widowControl/>
                    <w:jc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rPr>
                    <w:t>广西壮族自治区恭城公路养护中心</w:t>
                  </w:r>
                </w:p>
              </w:tc>
              <w:tc>
                <w:tcPr>
                  <w:tcW w:w="1501" w:type="dxa"/>
                  <w:tcBorders>
                    <w:top w:val="nil"/>
                    <w:left w:val="nil"/>
                    <w:bottom w:val="single" w:color="000000" w:sz="4" w:space="0"/>
                    <w:right w:val="single" w:color="000000" w:sz="4" w:space="0"/>
                  </w:tcBorders>
                  <w:shd w:val="clear" w:color="auto" w:fill="auto"/>
                  <w:vAlign w:val="center"/>
                </w:tcPr>
                <w:p w14:paraId="2241566A">
                  <w:pPr>
                    <w:keepNext w:val="0"/>
                    <w:keepLines w:val="0"/>
                    <w:numPr>
                      <w:ilvl w:val="0"/>
                      <w:numId w:val="0"/>
                    </w:numPr>
                    <w:suppressLineNumbers w:val="0"/>
                    <w:tabs>
                      <w:tab w:val="left" w:pos="0"/>
                    </w:tabs>
                    <w:spacing w:before="0" w:beforeAutospacing="0" w:after="0" w:afterAutospacing="0" w:line="240" w:lineRule="auto"/>
                    <w:ind w:left="0" w:leftChars="0" w:right="0" w:rightChars="0" w:firstLine="0" w:firstLineChars="0"/>
                    <w:jc w:val="both"/>
                    <w:rPr>
                      <w:rFonts w:ascii="宋体" w:hAnsi="宋体" w:eastAsia="Arial" w:cs="宋体"/>
                      <w:snapToGrid w:val="0"/>
                      <w:color w:val="auto"/>
                      <w:kern w:val="0"/>
                      <w:sz w:val="24"/>
                      <w:szCs w:val="21"/>
                      <w:highlight w:val="none"/>
                      <w:lang w:val="en-US" w:eastAsia="en-US" w:bidi="ar-SA"/>
                    </w:rPr>
                  </w:pPr>
                  <w:r>
                    <w:rPr>
                      <w:rFonts w:hint="eastAsia"/>
                      <w:lang w:val="en-US" w:eastAsia="zh-CN"/>
                    </w:rPr>
                    <w:t xml:space="preserve"> </w:t>
                  </w:r>
                  <w:r>
                    <w:rPr>
                      <w:rFonts w:hint="eastAsia" w:ascii="宋体" w:hAnsi="宋体" w:cs="宋体"/>
                      <w:color w:val="auto"/>
                      <w:kern w:val="0"/>
                      <w:sz w:val="24"/>
                      <w:lang w:val="en-US" w:eastAsia="zh-CN"/>
                    </w:rPr>
                    <w:t>栗木镇G241线K2855+000</w:t>
                  </w:r>
                </w:p>
              </w:tc>
            </w:tr>
            <w:tr w14:paraId="20A9CAE4">
              <w:tblPrEx>
                <w:tblCellMar>
                  <w:top w:w="0" w:type="dxa"/>
                  <w:left w:w="108" w:type="dxa"/>
                  <w:bottom w:w="0" w:type="dxa"/>
                  <w:right w:w="108" w:type="dxa"/>
                </w:tblCellMar>
              </w:tblPrEx>
              <w:trPr>
                <w:trHeight w:val="737" w:hRule="atLeast"/>
              </w:trPr>
              <w:tc>
                <w:tcPr>
                  <w:tcW w:w="467" w:type="dxa"/>
                  <w:tcBorders>
                    <w:top w:val="nil"/>
                    <w:left w:val="single" w:color="000000" w:sz="4" w:space="0"/>
                    <w:bottom w:val="single" w:color="000000" w:sz="4" w:space="0"/>
                    <w:right w:val="single" w:color="000000" w:sz="4" w:space="0"/>
                  </w:tcBorders>
                  <w:vAlign w:val="center"/>
                </w:tcPr>
                <w:p w14:paraId="57057A9F">
                  <w:pPr>
                    <w:widowControl/>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2</w:t>
                  </w:r>
                </w:p>
              </w:tc>
              <w:tc>
                <w:tcPr>
                  <w:tcW w:w="1437" w:type="dxa"/>
                  <w:tcBorders>
                    <w:top w:val="nil"/>
                    <w:left w:val="nil"/>
                    <w:bottom w:val="single" w:color="000000" w:sz="4" w:space="0"/>
                    <w:right w:val="single" w:color="000000" w:sz="4" w:space="0"/>
                  </w:tcBorders>
                  <w:shd w:val="clear" w:color="auto" w:fill="auto"/>
                  <w:vAlign w:val="center"/>
                </w:tcPr>
                <w:p w14:paraId="2A901F25">
                  <w:pPr>
                    <w:widowControl/>
                    <w:jc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rPr>
                    <w:t>秧家养护站</w:t>
                  </w:r>
                </w:p>
              </w:tc>
              <w:tc>
                <w:tcPr>
                  <w:tcW w:w="2975" w:type="dxa"/>
                  <w:tcBorders>
                    <w:top w:val="nil"/>
                    <w:left w:val="nil"/>
                    <w:bottom w:val="single" w:color="000000" w:sz="4" w:space="0"/>
                    <w:right w:val="single" w:color="000000" w:sz="4" w:space="0"/>
                  </w:tcBorders>
                  <w:shd w:val="clear" w:color="auto" w:fill="auto"/>
                  <w:vAlign w:val="center"/>
                </w:tcPr>
                <w:p w14:paraId="60F7F9F4">
                  <w:pPr>
                    <w:widowControl/>
                    <w:jc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rPr>
                    <w:t>广西壮族自治区恭城公路养护中心</w:t>
                  </w:r>
                </w:p>
              </w:tc>
              <w:tc>
                <w:tcPr>
                  <w:tcW w:w="1501" w:type="dxa"/>
                  <w:tcBorders>
                    <w:top w:val="nil"/>
                    <w:left w:val="nil"/>
                    <w:bottom w:val="single" w:color="000000" w:sz="4" w:space="0"/>
                    <w:right w:val="single" w:color="000000" w:sz="4" w:space="0"/>
                  </w:tcBorders>
                  <w:shd w:val="clear" w:color="auto" w:fill="auto"/>
                  <w:vAlign w:val="center"/>
                </w:tcPr>
                <w:p w14:paraId="3ADE3BB7">
                  <w:pPr>
                    <w:keepNext w:val="0"/>
                    <w:keepLines w:val="0"/>
                    <w:numPr>
                      <w:ilvl w:val="0"/>
                      <w:numId w:val="0"/>
                    </w:numPr>
                    <w:suppressLineNumbers w:val="0"/>
                    <w:tabs>
                      <w:tab w:val="left" w:pos="0"/>
                    </w:tabs>
                    <w:spacing w:before="0" w:beforeAutospacing="0" w:after="0" w:afterAutospacing="0" w:line="240" w:lineRule="auto"/>
                    <w:ind w:left="0" w:leftChars="0" w:right="0" w:rightChars="0" w:firstLine="0" w:firstLineChars="0"/>
                    <w:jc w:val="both"/>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lang w:val="en-US" w:eastAsia="zh-CN"/>
                    </w:rPr>
                    <w:t xml:space="preserve"> 嘉会镇G241线K2872+200</w:t>
                  </w:r>
                </w:p>
              </w:tc>
            </w:tr>
            <w:tr w14:paraId="62F9B2B9">
              <w:tblPrEx>
                <w:tblCellMar>
                  <w:top w:w="0" w:type="dxa"/>
                  <w:left w:w="108" w:type="dxa"/>
                  <w:bottom w:w="0" w:type="dxa"/>
                  <w:right w:w="108" w:type="dxa"/>
                </w:tblCellMar>
              </w:tblPrEx>
              <w:trPr>
                <w:trHeight w:val="737" w:hRule="atLeast"/>
              </w:trPr>
              <w:tc>
                <w:tcPr>
                  <w:tcW w:w="467" w:type="dxa"/>
                  <w:tcBorders>
                    <w:top w:val="nil"/>
                    <w:left w:val="single" w:color="000000" w:sz="4" w:space="0"/>
                    <w:bottom w:val="single" w:color="000000" w:sz="4" w:space="0"/>
                    <w:right w:val="single" w:color="000000" w:sz="4" w:space="0"/>
                  </w:tcBorders>
                  <w:vAlign w:val="center"/>
                </w:tcPr>
                <w:p w14:paraId="1BFBA0D1">
                  <w:pPr>
                    <w:widowControl/>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3</w:t>
                  </w:r>
                </w:p>
              </w:tc>
              <w:tc>
                <w:tcPr>
                  <w:tcW w:w="1437" w:type="dxa"/>
                  <w:tcBorders>
                    <w:top w:val="nil"/>
                    <w:left w:val="nil"/>
                    <w:bottom w:val="single" w:color="000000" w:sz="4" w:space="0"/>
                    <w:right w:val="single" w:color="000000" w:sz="4" w:space="0"/>
                  </w:tcBorders>
                  <w:shd w:val="clear" w:color="auto" w:fill="auto"/>
                  <w:vAlign w:val="center"/>
                </w:tcPr>
                <w:p w14:paraId="09FE1A38">
                  <w:pPr>
                    <w:widowControl/>
                    <w:jc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lang w:val="en-US" w:eastAsia="zh-CN"/>
                    </w:rPr>
                    <w:t>二塘养护站</w:t>
                  </w:r>
                </w:p>
              </w:tc>
              <w:tc>
                <w:tcPr>
                  <w:tcW w:w="2975" w:type="dxa"/>
                  <w:tcBorders>
                    <w:top w:val="nil"/>
                    <w:left w:val="nil"/>
                    <w:bottom w:val="single" w:color="000000" w:sz="4" w:space="0"/>
                    <w:right w:val="single" w:color="000000" w:sz="4" w:space="0"/>
                  </w:tcBorders>
                  <w:shd w:val="clear" w:color="auto" w:fill="auto"/>
                  <w:vAlign w:val="center"/>
                </w:tcPr>
                <w:p w14:paraId="61ABD28D">
                  <w:pPr>
                    <w:widowControl/>
                    <w:jc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lang w:eastAsia="zh-CN"/>
                    </w:rPr>
                    <w:t>广西壮族自治区平乐公路养护中心</w:t>
                  </w:r>
                </w:p>
              </w:tc>
              <w:tc>
                <w:tcPr>
                  <w:tcW w:w="1501" w:type="dxa"/>
                  <w:tcBorders>
                    <w:top w:val="nil"/>
                    <w:left w:val="nil"/>
                    <w:bottom w:val="single" w:color="000000" w:sz="4" w:space="0"/>
                    <w:right w:val="single" w:color="000000" w:sz="4" w:space="0"/>
                  </w:tcBorders>
                  <w:shd w:val="clear" w:color="auto" w:fill="auto"/>
                  <w:vAlign w:val="center"/>
                </w:tcPr>
                <w:p w14:paraId="18442601">
                  <w:pPr>
                    <w:keepNext w:val="0"/>
                    <w:keepLines w:val="0"/>
                    <w:widowControl/>
                    <w:suppressLineNumbers w:val="0"/>
                    <w:jc w:val="center"/>
                    <w:textAlignment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lang w:val="en-US" w:eastAsia="zh-CN"/>
                    </w:rPr>
                    <w:t>二塘镇（S302线K119+630）</w:t>
                  </w:r>
                  <w:r>
                    <w:rPr>
                      <w:rFonts w:hint="eastAsia" w:ascii="Calibri" w:hAnsi="Calibri" w:eastAsia="宋体" w:cs="Calibri"/>
                      <w:i w:val="0"/>
                      <w:iCs w:val="0"/>
                      <w:snapToGrid w:val="0"/>
                      <w:color w:val="000000"/>
                      <w:kern w:val="0"/>
                      <w:sz w:val="22"/>
                      <w:szCs w:val="22"/>
                      <w:u w:val="none"/>
                      <w:lang w:val="en-US" w:eastAsia="zh-CN" w:bidi="ar"/>
                    </w:rPr>
                    <w:t xml:space="preserve"> </w:t>
                  </w:r>
                </w:p>
              </w:tc>
            </w:tr>
            <w:tr w14:paraId="214B5EA5">
              <w:tblPrEx>
                <w:tblCellMar>
                  <w:top w:w="0" w:type="dxa"/>
                  <w:left w:w="108" w:type="dxa"/>
                  <w:bottom w:w="0" w:type="dxa"/>
                  <w:right w:w="108" w:type="dxa"/>
                </w:tblCellMar>
              </w:tblPrEx>
              <w:trPr>
                <w:trHeight w:val="737" w:hRule="atLeast"/>
              </w:trPr>
              <w:tc>
                <w:tcPr>
                  <w:tcW w:w="467" w:type="dxa"/>
                  <w:tcBorders>
                    <w:top w:val="single" w:color="000000" w:sz="4" w:space="0"/>
                    <w:left w:val="single" w:color="000000" w:sz="4" w:space="0"/>
                    <w:bottom w:val="single" w:color="000000" w:sz="4" w:space="0"/>
                    <w:right w:val="single" w:color="000000" w:sz="4" w:space="0"/>
                  </w:tcBorders>
                  <w:vAlign w:val="center"/>
                </w:tcPr>
                <w:p w14:paraId="12ABDDA9">
                  <w:pPr>
                    <w:widowControl/>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4</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7CCB">
                  <w:pPr>
                    <w:widowControl/>
                    <w:jc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lang w:val="en-US" w:eastAsia="zh-CN"/>
                    </w:rPr>
                    <w:t>同安养护站</w:t>
                  </w:r>
                </w:p>
              </w:tc>
              <w:tc>
                <w:tcPr>
                  <w:tcW w:w="2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45FC">
                  <w:pPr>
                    <w:widowControl/>
                    <w:jc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lang w:eastAsia="zh-CN"/>
                    </w:rPr>
                    <w:t>广西壮族自治区平乐公路养护中心</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C7E5">
                  <w:pPr>
                    <w:keepNext w:val="0"/>
                    <w:keepLines w:val="0"/>
                    <w:widowControl/>
                    <w:suppressLineNumbers w:val="0"/>
                    <w:jc w:val="center"/>
                    <w:textAlignment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lang w:val="en-US" w:eastAsia="zh-CN"/>
                    </w:rPr>
                    <w:t xml:space="preserve">同安镇（G241线k2929+600） </w:t>
                  </w:r>
                </w:p>
              </w:tc>
            </w:tr>
            <w:tr w14:paraId="414B2EBF">
              <w:tblPrEx>
                <w:tblCellMar>
                  <w:top w:w="0" w:type="dxa"/>
                  <w:left w:w="108" w:type="dxa"/>
                  <w:bottom w:w="0" w:type="dxa"/>
                  <w:right w:w="108" w:type="dxa"/>
                </w:tblCellMar>
              </w:tblPrEx>
              <w:trPr>
                <w:trHeight w:val="737" w:hRule="atLeast"/>
              </w:trPr>
              <w:tc>
                <w:tcPr>
                  <w:tcW w:w="467" w:type="dxa"/>
                  <w:tcBorders>
                    <w:top w:val="single" w:color="000000" w:sz="4" w:space="0"/>
                    <w:left w:val="single" w:color="000000" w:sz="4" w:space="0"/>
                    <w:bottom w:val="single" w:color="000000" w:sz="4" w:space="0"/>
                    <w:right w:val="single" w:color="000000" w:sz="4" w:space="0"/>
                  </w:tcBorders>
                  <w:vAlign w:val="center"/>
                </w:tcPr>
                <w:p w14:paraId="76F135E6">
                  <w:pPr>
                    <w:widowControl/>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5</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7F96">
                  <w:pPr>
                    <w:widowControl/>
                    <w:jc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lang w:val="en-US" w:eastAsia="zh-CN"/>
                    </w:rPr>
                    <w:t>沙子养护站</w:t>
                  </w:r>
                </w:p>
              </w:tc>
              <w:tc>
                <w:tcPr>
                  <w:tcW w:w="2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7AEB">
                  <w:pPr>
                    <w:widowControl/>
                    <w:jc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lang w:eastAsia="zh-CN"/>
                    </w:rPr>
                    <w:t>广西壮族自治区平乐公路养护中心</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37EBC">
                  <w:pPr>
                    <w:keepNext w:val="0"/>
                    <w:keepLines w:val="0"/>
                    <w:widowControl/>
                    <w:suppressLineNumbers w:val="0"/>
                    <w:jc w:val="center"/>
                    <w:textAlignment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lang w:val="en-US" w:eastAsia="zh-CN"/>
                    </w:rPr>
                    <w:t>沙子镇（S302线K134+350）</w:t>
                  </w:r>
                  <w:r>
                    <w:rPr>
                      <w:rFonts w:hint="eastAsia" w:ascii="Calibri" w:hAnsi="Calibri" w:eastAsia="宋体" w:cs="Calibri"/>
                      <w:i w:val="0"/>
                      <w:iCs w:val="0"/>
                      <w:snapToGrid w:val="0"/>
                      <w:color w:val="000000"/>
                      <w:kern w:val="0"/>
                      <w:sz w:val="22"/>
                      <w:szCs w:val="22"/>
                      <w:u w:val="none"/>
                      <w:lang w:val="en-US" w:eastAsia="zh-CN" w:bidi="ar"/>
                    </w:rPr>
                    <w:t xml:space="preserve"> </w:t>
                  </w:r>
                </w:p>
              </w:tc>
            </w:tr>
            <w:tr w14:paraId="705B47B2">
              <w:tblPrEx>
                <w:tblCellMar>
                  <w:top w:w="0" w:type="dxa"/>
                  <w:left w:w="108" w:type="dxa"/>
                  <w:bottom w:w="0" w:type="dxa"/>
                  <w:right w:w="108" w:type="dxa"/>
                </w:tblCellMar>
              </w:tblPrEx>
              <w:trPr>
                <w:trHeight w:val="737" w:hRule="atLeast"/>
              </w:trPr>
              <w:tc>
                <w:tcPr>
                  <w:tcW w:w="467" w:type="dxa"/>
                  <w:tcBorders>
                    <w:top w:val="single" w:color="000000" w:sz="4" w:space="0"/>
                    <w:left w:val="single" w:color="000000" w:sz="4" w:space="0"/>
                    <w:bottom w:val="single" w:color="000000" w:sz="4" w:space="0"/>
                    <w:right w:val="single" w:color="000000" w:sz="4" w:space="0"/>
                  </w:tcBorders>
                  <w:vAlign w:val="center"/>
                </w:tcPr>
                <w:p w14:paraId="4C57304C">
                  <w:pPr>
                    <w:widowControl/>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6</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67EE">
                  <w:pPr>
                    <w:widowControl/>
                    <w:jc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lang w:val="en-US" w:eastAsia="zh-CN"/>
                    </w:rPr>
                    <w:t>月落湾养护站</w:t>
                  </w:r>
                </w:p>
              </w:tc>
              <w:tc>
                <w:tcPr>
                  <w:tcW w:w="2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A25F">
                  <w:pPr>
                    <w:widowControl/>
                    <w:jc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lang w:eastAsia="zh-CN"/>
                    </w:rPr>
                    <w:t>广西壮族自治区阳朔公路养护中心</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B30D">
                  <w:pPr>
                    <w:keepNext w:val="0"/>
                    <w:keepLines w:val="0"/>
                    <w:widowControl/>
                    <w:suppressLineNumbers w:val="0"/>
                    <w:jc w:val="center"/>
                    <w:textAlignment w:val="center"/>
                    <w:rPr>
                      <w:rFonts w:ascii="宋体" w:hAnsi="宋体" w:eastAsia="Arial" w:cs="宋体"/>
                      <w:snapToGrid w:val="0"/>
                      <w:color w:val="auto"/>
                      <w:kern w:val="0"/>
                      <w:sz w:val="24"/>
                      <w:szCs w:val="21"/>
                      <w:highlight w:val="none"/>
                      <w:lang w:val="en-US" w:eastAsia="en-US" w:bidi="ar-SA"/>
                    </w:rPr>
                  </w:pPr>
                  <w:r>
                    <w:rPr>
                      <w:rFonts w:hint="eastAsia" w:ascii="宋体" w:hAnsi="宋体" w:cs="宋体"/>
                      <w:color w:val="auto"/>
                      <w:kern w:val="0"/>
                      <w:sz w:val="24"/>
                      <w:lang w:val="en-US" w:eastAsia="zh-CN"/>
                    </w:rPr>
                    <w:t>S302线</w:t>
                  </w:r>
                </w:p>
              </w:tc>
            </w:tr>
            <w:tr w14:paraId="3DAF2ACA">
              <w:tblPrEx>
                <w:tblCellMar>
                  <w:top w:w="0" w:type="dxa"/>
                  <w:left w:w="108" w:type="dxa"/>
                  <w:bottom w:w="0" w:type="dxa"/>
                  <w:right w:w="108" w:type="dxa"/>
                </w:tblCellMar>
              </w:tblPrEx>
              <w:trPr>
                <w:trHeight w:val="748" w:hRule="atLeast"/>
              </w:trPr>
              <w:tc>
                <w:tcPr>
                  <w:tcW w:w="467" w:type="dxa"/>
                  <w:tcBorders>
                    <w:top w:val="single" w:color="000000" w:sz="4" w:space="0"/>
                    <w:left w:val="single" w:color="000000" w:sz="4" w:space="0"/>
                    <w:bottom w:val="single" w:color="000000" w:sz="4" w:space="0"/>
                    <w:right w:val="single" w:color="000000" w:sz="4" w:space="0"/>
                  </w:tcBorders>
                  <w:vAlign w:val="center"/>
                </w:tcPr>
                <w:p w14:paraId="05D1EB35">
                  <w:pPr>
                    <w:widowControl/>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7</w:t>
                  </w:r>
                </w:p>
              </w:tc>
              <w:tc>
                <w:tcPr>
                  <w:tcW w:w="1437" w:type="dxa"/>
                  <w:tcBorders>
                    <w:top w:val="single" w:color="000000" w:sz="4" w:space="0"/>
                    <w:left w:val="single" w:color="000000" w:sz="4" w:space="0"/>
                    <w:bottom w:val="single" w:color="000000" w:sz="4" w:space="0"/>
                    <w:right w:val="single" w:color="000000" w:sz="4" w:space="0"/>
                  </w:tcBorders>
                  <w:shd w:val="clear" w:color="auto" w:fill="auto"/>
                  <w:vAlign w:val="top"/>
                </w:tcPr>
                <w:p w14:paraId="6A8BFB6F">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right="0" w:rightChars="0"/>
                    <w:textAlignment w:val="baseline"/>
                    <w:rPr>
                      <w:rFonts w:ascii="宋体" w:hAnsi="宋体" w:eastAsia="Arial" w:cs="宋体"/>
                      <w:snapToGrid w:val="0"/>
                      <w:color w:val="auto"/>
                      <w:kern w:val="0"/>
                      <w:sz w:val="24"/>
                      <w:szCs w:val="21"/>
                      <w:highlight w:val="none"/>
                      <w:lang w:val="en-US" w:eastAsia="en-US" w:bidi="ar-SA"/>
                    </w:rPr>
                  </w:pPr>
                  <w:r>
                    <w:rPr>
                      <w:rFonts w:hint="eastAsia" w:ascii="宋体" w:hAnsi="宋体" w:eastAsia="Arial" w:cs="宋体"/>
                      <w:snapToGrid w:val="0"/>
                      <w:color w:val="auto"/>
                      <w:kern w:val="0"/>
                      <w:sz w:val="24"/>
                      <w:szCs w:val="21"/>
                      <w:lang w:val="en-US" w:eastAsia="zh-CN" w:bidi="ar-SA"/>
                    </w:rPr>
                    <w:t>黄关养护站</w:t>
                  </w:r>
                </w:p>
              </w:tc>
              <w:tc>
                <w:tcPr>
                  <w:tcW w:w="2975" w:type="dxa"/>
                  <w:tcBorders>
                    <w:top w:val="single" w:color="000000" w:sz="4" w:space="0"/>
                    <w:left w:val="single" w:color="000000" w:sz="4" w:space="0"/>
                    <w:bottom w:val="single" w:color="000000" w:sz="4" w:space="0"/>
                    <w:right w:val="single" w:color="000000" w:sz="4" w:space="0"/>
                  </w:tcBorders>
                  <w:shd w:val="clear" w:color="auto" w:fill="auto"/>
                  <w:vAlign w:val="top"/>
                </w:tcPr>
                <w:p w14:paraId="016D9552">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right="0" w:rightChars="0"/>
                    <w:textAlignment w:val="baseline"/>
                    <w:rPr>
                      <w:rFonts w:ascii="宋体" w:hAnsi="宋体" w:eastAsia="Arial" w:cs="宋体"/>
                      <w:snapToGrid w:val="0"/>
                      <w:color w:val="auto"/>
                      <w:kern w:val="0"/>
                      <w:sz w:val="24"/>
                      <w:szCs w:val="21"/>
                      <w:highlight w:val="none"/>
                      <w:lang w:val="en-US" w:eastAsia="en-US" w:bidi="ar-SA"/>
                    </w:rPr>
                  </w:pPr>
                  <w:r>
                    <w:rPr>
                      <w:rFonts w:hint="eastAsia" w:ascii="宋体" w:hAnsi="宋体" w:eastAsia="Arial" w:cs="宋体"/>
                      <w:snapToGrid w:val="0"/>
                      <w:color w:val="auto"/>
                      <w:kern w:val="0"/>
                      <w:sz w:val="24"/>
                      <w:szCs w:val="21"/>
                      <w:lang w:val="en-US" w:eastAsia="zh-CN" w:bidi="ar-SA"/>
                    </w:rPr>
                    <w:t>广西壮族自治区灌阳公路养护中心</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top"/>
                </w:tcPr>
                <w:p w14:paraId="1906D881">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right="0" w:rightChars="0"/>
                    <w:textAlignment w:val="baseline"/>
                    <w:rPr>
                      <w:rFonts w:ascii="宋体" w:hAnsi="宋体" w:eastAsia="Arial" w:cs="宋体"/>
                      <w:snapToGrid w:val="0"/>
                      <w:color w:val="auto"/>
                      <w:kern w:val="0"/>
                      <w:sz w:val="24"/>
                      <w:szCs w:val="21"/>
                      <w:highlight w:val="none"/>
                      <w:lang w:val="en-US" w:eastAsia="en-US" w:bidi="ar-SA"/>
                    </w:rPr>
                  </w:pPr>
                  <w:r>
                    <w:rPr>
                      <w:rFonts w:hint="eastAsia" w:ascii="宋体" w:hAnsi="宋体" w:eastAsia="Arial" w:cs="宋体"/>
                      <w:snapToGrid w:val="0"/>
                      <w:color w:val="auto"/>
                      <w:kern w:val="0"/>
                      <w:sz w:val="24"/>
                      <w:szCs w:val="21"/>
                      <w:lang w:val="en-US" w:eastAsia="zh-CN" w:bidi="ar-SA"/>
                    </w:rPr>
                    <w:t>G241线K2816+700右侧</w:t>
                  </w:r>
                </w:p>
              </w:tc>
            </w:tr>
          </w:tbl>
          <w:p w14:paraId="32146902">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spacing w:val="0"/>
                <w:w w:val="100"/>
                <w:position w:val="0"/>
                <w:sz w:val="24"/>
                <w:szCs w:val="24"/>
              </w:rPr>
            </w:pPr>
          </w:p>
          <w:p w14:paraId="73C514FF">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w w:val="100"/>
                <w:position w:val="0"/>
                <w:sz w:val="24"/>
                <w:szCs w:val="24"/>
                <w:lang w:eastAsia="zh-CN"/>
              </w:rPr>
            </w:pPr>
            <w:r>
              <w:rPr>
                <w:rFonts w:hint="eastAsia" w:ascii="宋体" w:hAnsi="宋体" w:eastAsia="宋体" w:cs="宋体"/>
                <w:b/>
                <w:bCs/>
                <w:spacing w:val="0"/>
                <w:w w:val="100"/>
                <w:position w:val="0"/>
                <w:sz w:val="24"/>
                <w:szCs w:val="24"/>
              </w:rPr>
              <w:t>二、采购</w:t>
            </w:r>
            <w:r>
              <w:rPr>
                <w:rFonts w:hint="eastAsia" w:ascii="宋体" w:hAnsi="宋体" w:eastAsia="宋体" w:cs="宋体"/>
                <w:b/>
                <w:bCs/>
                <w:spacing w:val="0"/>
                <w:w w:val="100"/>
                <w:position w:val="0"/>
                <w:sz w:val="24"/>
                <w:szCs w:val="24"/>
                <w:lang w:val="en-US" w:eastAsia="zh-CN"/>
              </w:rPr>
              <w:t>内容</w:t>
            </w:r>
          </w:p>
          <w:p w14:paraId="7A299F36">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 w:val="0"/>
                <w:bCs w:val="0"/>
                <w:spacing w:val="0"/>
                <w:w w:val="100"/>
                <w:position w:val="0"/>
                <w:sz w:val="24"/>
                <w:szCs w:val="24"/>
                <w:lang w:eastAsia="zh-CN"/>
              </w:rPr>
            </w:pPr>
            <w:r>
              <w:rPr>
                <w:rFonts w:hint="default" w:cs="宋体"/>
                <w:b w:val="0"/>
                <w:bCs w:val="0"/>
                <w:spacing w:val="0"/>
                <w:w w:val="100"/>
                <w:position w:val="0"/>
                <w:sz w:val="24"/>
                <w:szCs w:val="24"/>
                <w:lang w:val="en-US"/>
              </w:rPr>
              <w:t>广西壮族自治区桂林公路发展中心南片区2026年—2029年普通国省干线公路养护服务项目</w:t>
            </w:r>
            <w:r>
              <w:rPr>
                <w:rFonts w:hint="eastAsia" w:ascii="宋体" w:hAnsi="宋体" w:eastAsia="宋体" w:cs="宋体"/>
                <w:b w:val="0"/>
                <w:bCs w:val="0"/>
                <w:spacing w:val="0"/>
                <w:w w:val="100"/>
                <w:position w:val="0"/>
                <w:sz w:val="24"/>
                <w:szCs w:val="24"/>
              </w:rPr>
              <w:t>1项（包含</w:t>
            </w:r>
            <w:r>
              <w:rPr>
                <w:rFonts w:hint="eastAsia" w:ascii="宋体" w:hAnsi="宋体" w:eastAsia="宋体" w:cs="宋体"/>
                <w:b w:val="0"/>
                <w:bCs w:val="0"/>
                <w:spacing w:val="0"/>
                <w:w w:val="100"/>
                <w:position w:val="0"/>
                <w:sz w:val="24"/>
                <w:szCs w:val="24"/>
                <w:lang w:val="en-US" w:eastAsia="zh-CN"/>
              </w:rPr>
              <w:t>A段广西壮族自治区恭城公路养护中心</w:t>
            </w:r>
            <w:r>
              <w:rPr>
                <w:rFonts w:hint="eastAsia" w:ascii="宋体" w:hAnsi="宋体" w:eastAsia="宋体" w:cs="宋体"/>
                <w:b w:val="0"/>
                <w:bCs w:val="0"/>
                <w:spacing w:val="0"/>
                <w:w w:val="100"/>
                <w:position w:val="0"/>
                <w:sz w:val="24"/>
                <w:szCs w:val="24"/>
              </w:rPr>
              <w:t>2026年至2029年普通国省干线公路养护服务项目；</w:t>
            </w:r>
            <w:r>
              <w:rPr>
                <w:rFonts w:hint="eastAsia" w:ascii="宋体" w:hAnsi="宋体" w:eastAsia="宋体" w:cs="宋体"/>
                <w:b w:val="0"/>
                <w:bCs w:val="0"/>
                <w:spacing w:val="0"/>
                <w:w w:val="100"/>
                <w:position w:val="0"/>
                <w:sz w:val="24"/>
                <w:szCs w:val="24"/>
                <w:lang w:val="en-US" w:eastAsia="zh-CN"/>
              </w:rPr>
              <w:t>B段广西壮族自治区平乐公路养护中心</w:t>
            </w:r>
            <w:r>
              <w:rPr>
                <w:rFonts w:hint="eastAsia" w:ascii="宋体" w:hAnsi="宋体" w:eastAsia="宋体" w:cs="宋体"/>
                <w:b w:val="0"/>
                <w:bCs w:val="0"/>
                <w:spacing w:val="0"/>
                <w:w w:val="100"/>
                <w:position w:val="0"/>
                <w:sz w:val="24"/>
                <w:szCs w:val="24"/>
              </w:rPr>
              <w:t>2026年至2029年普通国省干线公路养护服务项目；</w:t>
            </w:r>
            <w:r>
              <w:rPr>
                <w:rFonts w:hint="eastAsia" w:ascii="宋体" w:hAnsi="宋体" w:eastAsia="宋体" w:cs="宋体"/>
                <w:b w:val="0"/>
                <w:bCs w:val="0"/>
                <w:spacing w:val="0"/>
                <w:w w:val="100"/>
                <w:position w:val="0"/>
                <w:sz w:val="24"/>
                <w:szCs w:val="24"/>
                <w:lang w:val="en-US" w:eastAsia="zh-CN"/>
              </w:rPr>
              <w:t>C段广西壮族自治区阳朔公路养护中心</w:t>
            </w:r>
            <w:r>
              <w:rPr>
                <w:rFonts w:hint="eastAsia" w:ascii="宋体" w:hAnsi="宋体" w:eastAsia="宋体" w:cs="宋体"/>
                <w:b w:val="0"/>
                <w:bCs w:val="0"/>
                <w:spacing w:val="0"/>
                <w:w w:val="100"/>
                <w:position w:val="0"/>
                <w:sz w:val="24"/>
                <w:szCs w:val="24"/>
              </w:rPr>
              <w:t>2026年至2029年普通国省干线公路养护服务项目</w:t>
            </w:r>
            <w:r>
              <w:rPr>
                <w:rFonts w:hint="eastAsia" w:cs="宋体"/>
                <w:b w:val="0"/>
                <w:bCs w:val="0"/>
                <w:spacing w:val="0"/>
                <w:w w:val="100"/>
                <w:position w:val="0"/>
                <w:sz w:val="24"/>
                <w:szCs w:val="24"/>
                <w:lang w:eastAsia="zh-CN"/>
              </w:rPr>
              <w:t>；</w:t>
            </w:r>
            <w:r>
              <w:rPr>
                <w:rFonts w:hint="eastAsia" w:cs="宋体"/>
                <w:b w:val="0"/>
                <w:bCs w:val="0"/>
                <w:spacing w:val="0"/>
                <w:w w:val="100"/>
                <w:position w:val="0"/>
                <w:sz w:val="24"/>
                <w:szCs w:val="24"/>
                <w:lang w:val="en-US" w:eastAsia="zh-CN"/>
              </w:rPr>
              <w:t>D段广西壮族自治区灌阳公路养护中心</w:t>
            </w:r>
            <w:r>
              <w:rPr>
                <w:rFonts w:hint="eastAsia" w:ascii="宋体" w:hAnsi="宋体" w:eastAsia="宋体" w:cs="宋体"/>
                <w:b w:val="0"/>
                <w:bCs w:val="0"/>
                <w:spacing w:val="0"/>
                <w:w w:val="100"/>
                <w:position w:val="0"/>
                <w:sz w:val="24"/>
                <w:szCs w:val="24"/>
              </w:rPr>
              <w:t>2026年至2029年普通国省干线公路养护服务项目</w:t>
            </w:r>
            <w:r>
              <w:rPr>
                <w:rFonts w:hint="eastAsia" w:ascii="宋体" w:hAnsi="宋体" w:eastAsia="宋体" w:cs="宋体"/>
                <w:b w:val="0"/>
                <w:bCs w:val="0"/>
                <w:spacing w:val="0"/>
                <w:w w:val="100"/>
                <w:position w:val="0"/>
                <w:sz w:val="24"/>
                <w:szCs w:val="24"/>
                <w:lang w:eastAsia="zh-CN"/>
              </w:rPr>
              <w:t>）</w:t>
            </w:r>
            <w:r>
              <w:rPr>
                <w:rFonts w:hint="eastAsia" w:ascii="宋体" w:hAnsi="宋体" w:eastAsia="宋体" w:cs="宋体"/>
                <w:b w:val="0"/>
                <w:bCs w:val="0"/>
                <w:spacing w:val="0"/>
                <w:w w:val="100"/>
                <w:position w:val="0"/>
                <w:sz w:val="24"/>
                <w:szCs w:val="24"/>
              </w:rPr>
              <w:t>。</w:t>
            </w:r>
            <w:r>
              <w:rPr>
                <w:rFonts w:hint="eastAsia"/>
                <w:sz w:val="24"/>
                <w:szCs w:val="24"/>
                <w:highlight w:val="none"/>
              </w:rPr>
              <w:t>承包人按《公路养护技术标准》</w:t>
            </w:r>
            <w:r>
              <w:rPr>
                <w:sz w:val="24"/>
                <w:szCs w:val="24"/>
                <w:highlight w:val="none"/>
              </w:rPr>
              <w:t>(JTG5110-2023)</w:t>
            </w:r>
            <w:r>
              <w:rPr>
                <w:rFonts w:hint="eastAsia"/>
                <w:sz w:val="24"/>
                <w:szCs w:val="24"/>
                <w:highlight w:val="none"/>
              </w:rPr>
              <w:t>和国家现行公路养护技术规范</w:t>
            </w:r>
            <w:r>
              <w:rPr>
                <w:rFonts w:hint="eastAsia"/>
                <w:sz w:val="24"/>
                <w:szCs w:val="24"/>
              </w:rPr>
              <w:t>要求对本项目服务范围内</w:t>
            </w:r>
            <w:r>
              <w:rPr>
                <w:sz w:val="24"/>
                <w:szCs w:val="24"/>
              </w:rPr>
              <w:t>的</w:t>
            </w:r>
            <w:r>
              <w:rPr>
                <w:rFonts w:hint="eastAsia"/>
                <w:sz w:val="24"/>
                <w:szCs w:val="24"/>
              </w:rPr>
              <w:t>公路设施开展</w:t>
            </w:r>
            <w:r>
              <w:rPr>
                <w:rFonts w:hint="eastAsia" w:ascii="Times New Roman" w:hAnsi="Times New Roman" w:eastAsia="宋体" w:cs="Times New Roman"/>
                <w:spacing w:val="0"/>
                <w:sz w:val="24"/>
                <w:szCs w:val="24"/>
                <w:lang w:eastAsia="zh-CN"/>
              </w:rPr>
              <w:t>巡查检查、日常保养（含绿化）、</w:t>
            </w:r>
            <w:r>
              <w:rPr>
                <w:rFonts w:hint="eastAsia" w:ascii="Times New Roman" w:hAnsi="Times New Roman" w:eastAsia="宋体" w:cs="Times New Roman"/>
                <w:sz w:val="24"/>
                <w:szCs w:val="24"/>
                <w:lang w:eastAsia="zh-CN"/>
              </w:rPr>
              <w:t>日常维修、应急处置、冬季除冰雪、数据填报与管理</w:t>
            </w:r>
            <w:r>
              <w:rPr>
                <w:rFonts w:hint="eastAsia" w:cs="Times New Roman"/>
                <w:sz w:val="24"/>
                <w:szCs w:val="24"/>
                <w:lang w:eastAsia="zh-CN"/>
              </w:rPr>
              <w:t>、</w:t>
            </w:r>
            <w:r>
              <w:rPr>
                <w:rFonts w:hint="eastAsia" w:cs="Times New Roman"/>
                <w:sz w:val="24"/>
                <w:szCs w:val="24"/>
                <w:lang w:val="en-US" w:eastAsia="zh-CN"/>
              </w:rPr>
              <w:t>安全管理、</w:t>
            </w:r>
            <w:r>
              <w:rPr>
                <w:rFonts w:hint="eastAsia" w:ascii="宋体" w:hAnsi="宋体" w:cs="宋体"/>
                <w:sz w:val="24"/>
                <w:szCs w:val="24"/>
                <w:lang w:val="en-US" w:eastAsia="zh-CN"/>
              </w:rPr>
              <w:t>不可预见的专项养</w:t>
            </w:r>
            <w:r>
              <w:rPr>
                <w:rFonts w:hint="eastAsia" w:ascii="宋体" w:hAnsi="宋体" w:cs="宋体"/>
                <w:sz w:val="24"/>
                <w:szCs w:val="24"/>
                <w:highlight w:val="none"/>
                <w:lang w:val="en-US" w:eastAsia="zh-CN"/>
              </w:rPr>
              <w:t>护</w:t>
            </w:r>
            <w:r>
              <w:rPr>
                <w:rFonts w:hint="eastAsia" w:cs="宋体"/>
                <w:sz w:val="24"/>
                <w:szCs w:val="24"/>
                <w:highlight w:val="none"/>
                <w:lang w:val="en-US" w:eastAsia="zh-CN"/>
              </w:rPr>
              <w:t>工程</w:t>
            </w:r>
            <w:r>
              <w:rPr>
                <w:rFonts w:hint="eastAsia"/>
                <w:sz w:val="24"/>
                <w:szCs w:val="24"/>
              </w:rPr>
              <w:t>等工作。</w:t>
            </w:r>
            <w:r>
              <w:rPr>
                <w:rFonts w:hint="eastAsia"/>
                <w:sz w:val="24"/>
                <w:szCs w:val="24"/>
                <w:lang w:val="en-US" w:eastAsia="zh-CN"/>
              </w:rPr>
              <w:t>公路设施</w:t>
            </w:r>
            <w:r>
              <w:rPr>
                <w:rFonts w:hint="eastAsia"/>
                <w:sz w:val="24"/>
                <w:szCs w:val="24"/>
              </w:rPr>
              <w:t>包括（但不限于）路基、路面、桥涵、隧道、交通工程及沿线设施、养护站房、停车区、服务区及候车亭等公路基础设施。</w:t>
            </w:r>
            <w:r>
              <w:rPr>
                <w:rFonts w:hint="eastAsia" w:cs="仿宋"/>
                <w:sz w:val="24"/>
                <w:szCs w:val="24"/>
              </w:rPr>
              <w:t>采购人安排职工开展日常保养的路段</w:t>
            </w:r>
            <w:r>
              <w:rPr>
                <w:rFonts w:hint="eastAsia" w:cs="仿宋"/>
                <w:sz w:val="24"/>
                <w:szCs w:val="24"/>
                <w:lang w:eastAsia="zh-CN"/>
              </w:rPr>
              <w:t>，</w:t>
            </w:r>
            <w:r>
              <w:rPr>
                <w:rFonts w:hint="eastAsia" w:cs="仿宋"/>
                <w:sz w:val="24"/>
                <w:szCs w:val="24"/>
              </w:rPr>
              <w:t>除日常保养</w:t>
            </w:r>
            <w:r>
              <w:rPr>
                <w:rFonts w:hint="eastAsia" w:ascii="Times New Roman" w:hAnsi="Times New Roman" w:eastAsia="宋体" w:cs="Times New Roman"/>
                <w:spacing w:val="0"/>
                <w:sz w:val="24"/>
                <w:szCs w:val="24"/>
                <w:lang w:eastAsia="zh-CN"/>
              </w:rPr>
              <w:t>（含绿化）</w:t>
            </w:r>
            <w:r>
              <w:rPr>
                <w:rFonts w:hint="eastAsia" w:cs="仿宋"/>
                <w:sz w:val="24"/>
                <w:szCs w:val="24"/>
              </w:rPr>
              <w:t>工作不在</w:t>
            </w:r>
            <w:r>
              <w:rPr>
                <w:rFonts w:hint="eastAsia" w:cs="仿宋"/>
                <w:sz w:val="24"/>
                <w:szCs w:val="24"/>
                <w:lang w:val="en-US" w:eastAsia="zh-CN"/>
              </w:rPr>
              <w:t>本项目</w:t>
            </w:r>
            <w:r>
              <w:rPr>
                <w:rFonts w:hint="eastAsia" w:cs="仿宋"/>
                <w:sz w:val="24"/>
                <w:szCs w:val="24"/>
              </w:rPr>
              <w:t>采购</w:t>
            </w:r>
            <w:r>
              <w:rPr>
                <w:rFonts w:hint="eastAsia" w:cs="仿宋"/>
                <w:sz w:val="24"/>
                <w:szCs w:val="24"/>
                <w:lang w:val="en-US" w:eastAsia="zh-CN"/>
              </w:rPr>
              <w:t>内容范围</w:t>
            </w:r>
            <w:r>
              <w:rPr>
                <w:rFonts w:hint="eastAsia" w:cs="仿宋"/>
                <w:sz w:val="24"/>
                <w:szCs w:val="24"/>
              </w:rPr>
              <w:t>，</w:t>
            </w:r>
            <w:r>
              <w:rPr>
                <w:rFonts w:hint="eastAsia" w:cs="仿宋"/>
                <w:sz w:val="24"/>
                <w:szCs w:val="24"/>
                <w:lang w:val="en-US" w:eastAsia="zh-CN"/>
              </w:rPr>
              <w:t>其余</w:t>
            </w:r>
            <w:r>
              <w:rPr>
                <w:rFonts w:hint="eastAsia" w:ascii="Times New Roman" w:hAnsi="Times New Roman" w:eastAsia="宋体" w:cs="Times New Roman"/>
                <w:spacing w:val="0"/>
                <w:sz w:val="24"/>
                <w:szCs w:val="24"/>
                <w:lang w:eastAsia="zh-CN"/>
              </w:rPr>
              <w:t>巡查检查、</w:t>
            </w:r>
            <w:r>
              <w:rPr>
                <w:rFonts w:hint="eastAsia" w:ascii="Times New Roman" w:hAnsi="Times New Roman" w:eastAsia="宋体" w:cs="Times New Roman"/>
                <w:sz w:val="24"/>
                <w:szCs w:val="24"/>
                <w:lang w:eastAsia="zh-CN"/>
              </w:rPr>
              <w:t>日常维修、应急处置、冬季除冰雪、数据填报与管理</w:t>
            </w:r>
            <w:r>
              <w:rPr>
                <w:rFonts w:hint="eastAsia" w:cs="Times New Roman"/>
                <w:sz w:val="24"/>
                <w:szCs w:val="24"/>
                <w:lang w:eastAsia="zh-CN"/>
              </w:rPr>
              <w:t>、</w:t>
            </w:r>
            <w:r>
              <w:rPr>
                <w:rFonts w:hint="eastAsia" w:cs="Times New Roman"/>
                <w:sz w:val="24"/>
                <w:szCs w:val="24"/>
                <w:lang w:val="en-US" w:eastAsia="zh-CN"/>
              </w:rPr>
              <w:t>安全管理、</w:t>
            </w:r>
            <w:r>
              <w:rPr>
                <w:rFonts w:hint="eastAsia" w:ascii="宋体" w:hAnsi="宋体" w:cs="宋体"/>
                <w:sz w:val="24"/>
                <w:szCs w:val="24"/>
                <w:lang w:val="en-US" w:eastAsia="zh-CN"/>
              </w:rPr>
              <w:t>不可预见的专项养护</w:t>
            </w:r>
            <w:r>
              <w:rPr>
                <w:rFonts w:hint="eastAsia"/>
                <w:sz w:val="24"/>
                <w:szCs w:val="24"/>
              </w:rPr>
              <w:t>等工作均已纳入</w:t>
            </w:r>
            <w:r>
              <w:rPr>
                <w:rFonts w:hint="eastAsia"/>
                <w:sz w:val="24"/>
                <w:szCs w:val="24"/>
                <w:lang w:val="en-US" w:eastAsia="zh-CN"/>
              </w:rPr>
              <w:t>本</w:t>
            </w:r>
            <w:r>
              <w:rPr>
                <w:rFonts w:hint="eastAsia"/>
                <w:sz w:val="24"/>
                <w:szCs w:val="24"/>
              </w:rPr>
              <w:t>项目采购</w:t>
            </w:r>
            <w:r>
              <w:rPr>
                <w:rFonts w:hint="eastAsia"/>
                <w:sz w:val="24"/>
                <w:szCs w:val="24"/>
                <w:lang w:val="en-US" w:eastAsia="zh-CN"/>
              </w:rPr>
              <w:t>内容</w:t>
            </w:r>
            <w:r>
              <w:rPr>
                <w:rFonts w:hint="eastAsia"/>
                <w:sz w:val="24"/>
                <w:szCs w:val="24"/>
              </w:rPr>
              <w:t>范围</w:t>
            </w:r>
            <w:r>
              <w:rPr>
                <w:rFonts w:hint="eastAsia"/>
                <w:sz w:val="24"/>
                <w:szCs w:val="24"/>
                <w:lang w:eastAsia="zh-CN"/>
              </w:rPr>
              <w:t>。</w:t>
            </w:r>
          </w:p>
          <w:p w14:paraId="1C895C30">
            <w:pPr>
              <w:spacing w:before="116" w:line="360" w:lineRule="auto"/>
              <w:ind w:firstLine="480" w:firstLineChars="200"/>
              <w:rPr>
                <w:rFonts w:hint="eastAsia" w:ascii="宋体" w:hAnsi="宋体" w:eastAsia="宋体" w:cs="宋体"/>
                <w:b/>
                <w:bCs/>
                <w:color w:val="auto"/>
                <w:spacing w:val="0"/>
                <w:w w:val="100"/>
                <w:position w:val="0"/>
                <w:sz w:val="24"/>
                <w:szCs w:val="24"/>
              </w:rPr>
            </w:pPr>
            <w:r>
              <w:rPr>
                <w:rFonts w:hint="eastAsia" w:ascii="宋体" w:hAnsi="宋体" w:eastAsia="宋体" w:cs="宋体"/>
                <w:color w:val="auto"/>
                <w:spacing w:val="0"/>
                <w:w w:val="100"/>
                <w:position w:val="0"/>
                <w:sz w:val="24"/>
                <w:szCs w:val="24"/>
                <w:lang w:eastAsia="zh-CN"/>
              </w:rPr>
              <w:t>（</w:t>
            </w:r>
            <w:r>
              <w:rPr>
                <w:rFonts w:hint="eastAsia" w:ascii="宋体" w:hAnsi="宋体" w:eastAsia="宋体" w:cs="宋体"/>
                <w:color w:val="auto"/>
                <w:spacing w:val="0"/>
                <w:w w:val="100"/>
                <w:position w:val="0"/>
                <w:sz w:val="24"/>
                <w:szCs w:val="24"/>
                <w:lang w:val="en-US" w:eastAsia="zh-CN"/>
              </w:rPr>
              <w:t>注：</w:t>
            </w:r>
            <w:r>
              <w:rPr>
                <w:rFonts w:hint="eastAsia"/>
                <w:color w:val="auto"/>
                <w:sz w:val="24"/>
                <w:szCs w:val="24"/>
                <w:lang w:val="en-US" w:eastAsia="zh-CN"/>
              </w:rPr>
              <w:t>合</w:t>
            </w:r>
            <w:r>
              <w:rPr>
                <w:rFonts w:hint="eastAsia" w:ascii="Times New Roman" w:hAnsi="Times New Roman" w:cs="Times New Roman"/>
                <w:color w:val="auto"/>
                <w:spacing w:val="0"/>
                <w:sz w:val="24"/>
                <w:szCs w:val="24"/>
                <w:lang w:val="en-US" w:eastAsia="zh-CN"/>
              </w:rPr>
              <w:t>同实施期间，</w:t>
            </w:r>
            <w:r>
              <w:rPr>
                <w:rFonts w:hint="eastAsia" w:ascii="Times New Roman" w:hAnsi="Times New Roman" w:cs="Times New Roman"/>
                <w:color w:val="auto"/>
                <w:spacing w:val="0"/>
                <w:sz w:val="24"/>
                <w:szCs w:val="24"/>
                <w:lang w:eastAsia="zh-CN"/>
              </w:rPr>
              <w:t>因</w:t>
            </w:r>
            <w:r>
              <w:rPr>
                <w:rFonts w:hint="eastAsia" w:ascii="Times New Roman" w:hAnsi="Times New Roman" w:cs="Times New Roman"/>
                <w:color w:val="auto"/>
                <w:spacing w:val="0"/>
                <w:sz w:val="24"/>
                <w:szCs w:val="24"/>
                <w:lang w:val="en-US" w:eastAsia="zh-CN"/>
              </w:rPr>
              <w:t>发包</w:t>
            </w:r>
            <w:r>
              <w:rPr>
                <w:rFonts w:hint="eastAsia" w:ascii="Times New Roman" w:hAnsi="Times New Roman" w:cs="Times New Roman"/>
                <w:color w:val="auto"/>
                <w:spacing w:val="0"/>
                <w:sz w:val="24"/>
                <w:szCs w:val="24"/>
                <w:lang w:eastAsia="zh-CN"/>
              </w:rPr>
              <w:t>人的职工退休、</w:t>
            </w:r>
            <w:r>
              <w:rPr>
                <w:rFonts w:hint="eastAsia" w:ascii="Times New Roman" w:hAnsi="Times New Roman" w:cs="Times New Roman"/>
                <w:color w:val="auto"/>
                <w:spacing w:val="0"/>
                <w:sz w:val="24"/>
                <w:szCs w:val="24"/>
                <w:lang w:val="en-US" w:eastAsia="zh-CN"/>
              </w:rPr>
              <w:t>人员调整</w:t>
            </w:r>
            <w:r>
              <w:rPr>
                <w:rFonts w:hint="eastAsia" w:ascii="Times New Roman" w:hAnsi="Times New Roman" w:cs="Times New Roman"/>
                <w:color w:val="auto"/>
                <w:spacing w:val="0"/>
                <w:sz w:val="24"/>
                <w:szCs w:val="24"/>
                <w:lang w:eastAsia="zh-CN"/>
              </w:rPr>
              <w:t>等原因</w:t>
            </w:r>
            <w:r>
              <w:rPr>
                <w:rFonts w:hint="eastAsia" w:ascii="Times New Roman" w:hAnsi="Times New Roman" w:cs="Times New Roman"/>
                <w:color w:val="auto"/>
                <w:spacing w:val="0"/>
                <w:sz w:val="24"/>
                <w:szCs w:val="24"/>
                <w:lang w:val="en-US" w:eastAsia="zh-CN"/>
              </w:rPr>
              <w:t>；</w:t>
            </w:r>
            <w:r>
              <w:rPr>
                <w:rFonts w:hint="eastAsia" w:ascii="Times New Roman" w:hAnsi="Times New Roman" w:cs="Times New Roman"/>
                <w:color w:val="auto"/>
                <w:spacing w:val="0"/>
                <w:sz w:val="24"/>
                <w:szCs w:val="24"/>
                <w:lang w:eastAsia="zh-CN"/>
              </w:rPr>
              <w:t>因政策性</w:t>
            </w:r>
            <w:r>
              <w:rPr>
                <w:rFonts w:hint="eastAsia" w:ascii="Times New Roman" w:hAnsi="Times New Roman" w:cs="Times New Roman"/>
                <w:color w:val="auto"/>
                <w:spacing w:val="0"/>
                <w:sz w:val="24"/>
                <w:szCs w:val="24"/>
                <w:lang w:val="en-US" w:eastAsia="zh-CN"/>
              </w:rPr>
              <w:t>的调整等客观原因；</w:t>
            </w:r>
            <w:r>
              <w:rPr>
                <w:rFonts w:hint="eastAsia" w:ascii="Times New Roman" w:hAnsi="Times New Roman" w:cs="Times New Roman"/>
                <w:color w:val="auto"/>
                <w:spacing w:val="0"/>
                <w:sz w:val="24"/>
                <w:szCs w:val="24"/>
                <w:lang w:eastAsia="zh-CN"/>
              </w:rPr>
              <w:t>因</w:t>
            </w:r>
            <w:r>
              <w:rPr>
                <w:rFonts w:hint="eastAsia" w:ascii="Times New Roman" w:hAnsi="Times New Roman" w:cs="Times New Roman"/>
                <w:color w:val="auto"/>
                <w:spacing w:val="0"/>
                <w:sz w:val="24"/>
                <w:szCs w:val="24"/>
                <w:lang w:val="en-US" w:eastAsia="zh-CN"/>
              </w:rPr>
              <w:t>养护工程施工路段由施工单位承担了施工期间的日常保养原因等，需对合同约定的日常保养路段或设施进行调整，</w:t>
            </w:r>
            <w:r>
              <w:rPr>
                <w:rFonts w:hint="eastAsia" w:ascii="Times New Roman" w:hAnsi="Times New Roman" w:cs="Times New Roman"/>
                <w:color w:val="auto"/>
                <w:spacing w:val="0"/>
                <w:sz w:val="24"/>
                <w:szCs w:val="24"/>
                <w:lang w:eastAsia="zh-CN"/>
              </w:rPr>
              <w:t>按合同相应</w:t>
            </w:r>
            <w:r>
              <w:rPr>
                <w:rFonts w:hint="eastAsia" w:cs="Times New Roman"/>
                <w:color w:val="auto"/>
                <w:spacing w:val="0"/>
                <w:sz w:val="24"/>
                <w:szCs w:val="24"/>
                <w:lang w:val="en-US" w:eastAsia="zh-CN"/>
              </w:rPr>
              <w:t>调整</w:t>
            </w:r>
            <w:r>
              <w:rPr>
                <w:rFonts w:hint="eastAsia" w:ascii="Times New Roman" w:hAnsi="Times New Roman" w:cs="Times New Roman"/>
                <w:color w:val="auto"/>
                <w:spacing w:val="0"/>
                <w:sz w:val="24"/>
                <w:szCs w:val="24"/>
                <w:lang w:eastAsia="zh-CN"/>
              </w:rPr>
              <w:t>费用并签订补充协议。</w:t>
            </w:r>
            <w:r>
              <w:rPr>
                <w:rFonts w:hint="eastAsia" w:ascii="宋体" w:hAnsi="宋体" w:eastAsia="宋体" w:cs="宋体"/>
                <w:color w:val="auto"/>
                <w:spacing w:val="0"/>
                <w:w w:val="100"/>
                <w:position w:val="0"/>
                <w:sz w:val="24"/>
                <w:szCs w:val="24"/>
                <w:lang w:eastAsia="zh-CN"/>
              </w:rPr>
              <w:t>）</w:t>
            </w:r>
          </w:p>
          <w:p w14:paraId="2F65CF3A">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w w:val="100"/>
                <w:position w:val="0"/>
                <w:sz w:val="24"/>
                <w:szCs w:val="24"/>
              </w:rPr>
            </w:pPr>
            <w:r>
              <w:rPr>
                <w:rFonts w:hint="eastAsia" w:ascii="宋体" w:hAnsi="宋体" w:eastAsia="宋体" w:cs="宋体"/>
                <w:b/>
                <w:bCs/>
                <w:spacing w:val="0"/>
                <w:w w:val="100"/>
                <w:position w:val="0"/>
                <w:sz w:val="24"/>
                <w:szCs w:val="24"/>
              </w:rPr>
              <w:t>三、服务</w:t>
            </w:r>
            <w:r>
              <w:rPr>
                <w:rFonts w:hint="eastAsia" w:ascii="宋体" w:hAnsi="宋体" w:eastAsia="宋体" w:cs="宋体"/>
                <w:b/>
                <w:bCs/>
                <w:spacing w:val="0"/>
                <w:w w:val="100"/>
                <w:position w:val="0"/>
                <w:sz w:val="24"/>
                <w:szCs w:val="24"/>
                <w:lang w:val="en-US" w:eastAsia="zh-CN"/>
              </w:rPr>
              <w:t>内容</w:t>
            </w:r>
            <w:r>
              <w:rPr>
                <w:rFonts w:hint="eastAsia" w:ascii="宋体" w:hAnsi="宋体" w:eastAsia="宋体" w:cs="宋体"/>
                <w:b/>
                <w:bCs/>
                <w:spacing w:val="0"/>
                <w:w w:val="100"/>
                <w:position w:val="0"/>
                <w:sz w:val="24"/>
                <w:szCs w:val="24"/>
              </w:rPr>
              <w:t>要求和技术需求</w:t>
            </w:r>
          </w:p>
          <w:p w14:paraId="741F508B">
            <w:pPr>
              <w:keepNext w:val="0"/>
              <w:keepLines w:val="0"/>
              <w:pageBreakBefore w:val="0"/>
              <w:widowControl w:val="0"/>
              <w:kinsoku/>
              <w:wordWrap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1</w:t>
            </w:r>
            <w:r>
              <w:rPr>
                <w:rFonts w:hint="eastAsia" w:ascii="宋体" w:hAnsi="宋体" w:eastAsia="宋体" w:cs="宋体"/>
                <w:color w:val="auto"/>
                <w:spacing w:val="0"/>
                <w:w w:val="100"/>
                <w:position w:val="0"/>
                <w:sz w:val="24"/>
                <w:szCs w:val="24"/>
                <w:highlight w:val="none"/>
              </w:rPr>
              <w:t xml:space="preserve">.主要服务内容及要求： </w:t>
            </w:r>
          </w:p>
          <w:p w14:paraId="2195A9A6">
            <w:pPr>
              <w:keepNext w:val="0"/>
              <w:keepLines w:val="0"/>
              <w:pageBreakBefore w:val="0"/>
              <w:widowControl w:val="0"/>
              <w:kinsoku/>
              <w:wordWrap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本项目实行“计量+绩效”模式进行合同管理。</w:t>
            </w:r>
          </w:p>
          <w:p w14:paraId="2D1FB778">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（1）巡查检查主要内容包含：按照《公路养护技术标准》(JTG 5110-2023)的内容和要求开展公路日常巡查、经常检查，相关费用包含在绩效清单报价中，按绩效考核模式管理。</w:t>
            </w:r>
          </w:p>
          <w:p w14:paraId="4FC53B32">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2）日常保养（含绿化）主要内容包含：路容保洁、路基清理、挡土墙等支挡结构物清理、路面清理、平交道口清理、桥梁清理、涵洞清理、隧道设施清理和维护、公路预警监测及信息情报板等设施维护、水沟等排水系统清理、路肩清理、标志标牌清洗、标线清洗、机械清洗护栏、停车服务区及候车亭清理、养护站房及庭院清理、路树修剪及管护、绿化花圃修剪及管护、刷白刷漆等，相关费用包含在绩效清单报价中，按绩效考核模式管理。</w:t>
            </w:r>
          </w:p>
          <w:p w14:paraId="2AB78BD4">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3）日常维修主要内容包含：路基和支挡结构及水沟等排水系统维修、路面维修、桥梁维修、涵洞维修、隧道设施维修、交通安全设施维修、公路绿化美化、公路停车区和服务区设施维修、候车亭维修、养护站房维修及预警监测设施安装等，按合同工程量清单子目计量支付，以清单模式管理。</w:t>
            </w:r>
          </w:p>
          <w:p w14:paraId="203D2266">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4）应急处置主要内容包含：清理塌方（单处≥5m³）、清理落石（单处≥0.5m³）、清理倒伏路树及危树（地径≥10cm）、路基路面损毁修复、路基边坡防护、路侧护栏损坏修复、桥梁涵洞隧道损毁修护、冬季除冰雪等，按合同工程量清单子目计量支付，以清单模式管理。清理塌方（单处＜5m³）、清理落石（单处＜0.5m³）、清理倒伏路树及危树（地径＜10cm）、防汛排水、清理路面洒落物、交通事故清障、路基路面塌陷临时处置、涉路管线倒伏隐患清理、路侧护栏损坏临时防护、桥梁涵洞隧道垮塌临时处置，以及所有公路突发事件或灾害事件的现场警示、管控、维护、值守等，相关费用包含在绩效清单报价中，按绩效考核模式管理。</w:t>
            </w:r>
          </w:p>
          <w:p w14:paraId="087ACD1F">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（5）冬季除冰雪主要内容包含：撒布融雪剂、破冰融冰等费用按合同工程量清单子目计量支付，以清单模式管理。</w:t>
            </w:r>
            <w:r>
              <w:rPr>
                <w:rFonts w:hint="eastAsia" w:ascii="宋体" w:hAnsi="宋体" w:eastAsia="宋体" w:cs="宋体"/>
                <w:spacing w:val="-3"/>
                <w:sz w:val="24"/>
                <w:szCs w:val="24"/>
                <w:lang w:val="en-US" w:eastAsia="zh-CN"/>
              </w:rPr>
              <w:t>除冰雪前后以及作业期间的通行引导</w:t>
            </w:r>
            <w:r>
              <w:rPr>
                <w:rFonts w:hint="eastAsia" w:ascii="宋体" w:hAnsi="宋体" w:eastAsia="宋体" w:cs="宋体"/>
                <w:bCs/>
                <w:color w:val="auto"/>
                <w:spacing w:val="0"/>
                <w:w w:val="100"/>
                <w:position w:val="0"/>
                <w:sz w:val="24"/>
                <w:szCs w:val="24"/>
                <w:highlight w:val="none"/>
                <w:lang w:val="en-US" w:eastAsia="zh-CN"/>
              </w:rPr>
              <w:t>、现场警示、管控维护、现场值守等，相关费用包含在绩效清单报价中，按绩效考核模式管理。</w:t>
            </w:r>
          </w:p>
          <w:p w14:paraId="062C286F">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6）数据填报与管理主要内容包含：养护计划、作业日志记录、日常巡查及经常检查和处置等记录、日常保养和日常维修施工作业记录、质量合格证明、应急处置及养护作业安全管理资料等，相关费用包含在绩效清单报价中，按绩效考核模式管理。</w:t>
            </w:r>
          </w:p>
          <w:p w14:paraId="4B9B6EB0">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（7）安全管理主要内容包含：成立安全组织机构、做好公路应急处置准备并建立应急机制；购买安全生产责任保险、意外险、第三者责任险等；按《公路养护安全作业规程》（JTG H30-2015）规范要求和国家现行《安全生产法》、《道路交通安全法》要求开展养护现场作业，规范公路标志服帽着装、规范设置公路养护安全作业区，涉险作业设置防护设施，开展安全技术交底和学习教育，进行养护作业安全管理；公路突发事件或灾害事件的现场警示、管控、维护、值守等，相关费用包含在绩效清单报价中，按绩效考核模式管理。</w:t>
            </w:r>
          </w:p>
          <w:p w14:paraId="2A32326D">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8）不可预见的专项养护工程主要内容包含：候车亭整治、重要节点路段提升（县城出入口、产业园区出入口、旅游景区出入口、省际交界路段）、公路路面防洒落治理、过境公路排水系统治堵、路域环境整治、公路护栏提升等，按合同工程量清单子目计量支付，以清单模式管理。其中保洁、清理类相关费用包含在绩效清单报价中，按绩效考核模式管理，不予计量。</w:t>
            </w:r>
          </w:p>
          <w:p w14:paraId="5F39EAB5">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（9）为适应公路养护高质量发展要求，公路日常养护作业应逐步实现机械化。</w:t>
            </w:r>
          </w:p>
          <w:p w14:paraId="4E221557">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①路面日常保洁应采用道路清扫车、洒水车进行清扫或冲洗，2026年起实现机械化路段覆盖率50%，2027年起实现机械化路段覆盖率100%。</w:t>
            </w:r>
          </w:p>
          <w:p w14:paraId="1E4710FE">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②路树应采用高枝修剪车（或综合绿化车）进行修剪，2026年起实现机械化路段覆盖率50%，2027年起实现机械化路段覆盖率100%。</w:t>
            </w:r>
          </w:p>
          <w:p w14:paraId="16C767E9">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③公路边沟应采用轮胎式挖掘机进行清理，2026年起实现机械化路段覆盖率50%，2027年起实现机械化路段覆盖率100%。</w:t>
            </w:r>
          </w:p>
          <w:p w14:paraId="37FBC687">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④道路中央及两侧护栏、隧道内壁应采用清洗车刷洗，2026年起实现机械化覆盖率100%。</w:t>
            </w:r>
          </w:p>
          <w:p w14:paraId="0AADCEAB">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⑤路基维修、路面维修、桥涵维修、隧道维修、交通安全设施维修等宜采用机械化作业。</w:t>
            </w:r>
          </w:p>
          <w:p w14:paraId="608B0652">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⑥应急处置宜采用机械化作业。</w:t>
            </w:r>
          </w:p>
          <w:p w14:paraId="00226B4D">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⑦公路巡查检查应采用车载智能识别系统，2026年起实现智能巡查检查覆盖率50%以上。</w:t>
            </w:r>
          </w:p>
          <w:p w14:paraId="5CF2C9E1">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rPr>
            </w:pPr>
            <w:r>
              <w:rPr>
                <w:rFonts w:hint="eastAsia" w:ascii="宋体" w:hAnsi="宋体" w:eastAsia="宋体" w:cs="宋体"/>
                <w:bCs/>
                <w:color w:val="auto"/>
                <w:spacing w:val="0"/>
                <w:w w:val="100"/>
                <w:position w:val="0"/>
                <w:sz w:val="24"/>
                <w:szCs w:val="24"/>
                <w:highlight w:val="none"/>
                <w:lang w:val="en-US" w:eastAsia="zh-CN"/>
              </w:rPr>
              <w:t>2</w:t>
            </w:r>
            <w:r>
              <w:rPr>
                <w:rFonts w:hint="eastAsia" w:ascii="宋体" w:hAnsi="宋体" w:eastAsia="宋体" w:cs="宋体"/>
                <w:bCs/>
                <w:color w:val="auto"/>
                <w:spacing w:val="0"/>
                <w:w w:val="100"/>
                <w:position w:val="0"/>
                <w:sz w:val="24"/>
                <w:szCs w:val="24"/>
                <w:highlight w:val="none"/>
              </w:rPr>
              <w:t>.应急</w:t>
            </w:r>
            <w:r>
              <w:rPr>
                <w:rFonts w:hint="eastAsia" w:ascii="宋体" w:hAnsi="宋体" w:eastAsia="宋体" w:cs="宋体"/>
                <w:bCs/>
                <w:color w:val="auto"/>
                <w:spacing w:val="0"/>
                <w:w w:val="100"/>
                <w:position w:val="0"/>
                <w:sz w:val="24"/>
                <w:szCs w:val="24"/>
                <w:highlight w:val="none"/>
                <w:lang w:val="en-US" w:eastAsia="zh-CN"/>
              </w:rPr>
              <w:t>处置</w:t>
            </w:r>
            <w:r>
              <w:rPr>
                <w:rFonts w:hint="eastAsia" w:ascii="宋体" w:hAnsi="宋体" w:eastAsia="宋体" w:cs="宋体"/>
                <w:bCs/>
                <w:color w:val="auto"/>
                <w:spacing w:val="0"/>
                <w:w w:val="100"/>
                <w:position w:val="0"/>
                <w:sz w:val="24"/>
                <w:szCs w:val="24"/>
                <w:highlight w:val="none"/>
              </w:rPr>
              <w:t>要求：</w:t>
            </w:r>
            <w:r>
              <w:rPr>
                <w:rFonts w:hint="eastAsia" w:ascii="宋体" w:hAnsi="宋体" w:eastAsia="宋体" w:cs="宋体"/>
                <w:bCs/>
                <w:color w:val="auto"/>
                <w:spacing w:val="0"/>
                <w:w w:val="100"/>
                <w:position w:val="0"/>
                <w:sz w:val="24"/>
                <w:szCs w:val="24"/>
                <w:highlight w:val="none"/>
                <w:lang w:val="en-US" w:eastAsia="zh-CN"/>
              </w:rPr>
              <w:t>A段、B段、C段、D段各</w:t>
            </w:r>
            <w:r>
              <w:rPr>
                <w:rFonts w:hint="eastAsia" w:ascii="宋体" w:hAnsi="宋体" w:eastAsia="宋体" w:cs="宋体"/>
                <w:color w:val="auto"/>
                <w:spacing w:val="0"/>
                <w:w w:val="100"/>
                <w:position w:val="0"/>
                <w:sz w:val="24"/>
                <w:szCs w:val="24"/>
                <w:highlight w:val="none"/>
              </w:rPr>
              <w:t>建立</w:t>
            </w:r>
            <w:r>
              <w:rPr>
                <w:rFonts w:hint="eastAsia" w:ascii="宋体" w:hAnsi="宋体" w:eastAsia="宋体" w:cs="宋体"/>
                <w:color w:val="auto"/>
                <w:spacing w:val="0"/>
                <w:w w:val="100"/>
                <w:position w:val="0"/>
                <w:sz w:val="24"/>
                <w:szCs w:val="24"/>
                <w:highlight w:val="none"/>
                <w:lang w:val="en-US" w:eastAsia="zh-CN"/>
              </w:rPr>
              <w:t>一支</w:t>
            </w:r>
            <w:r>
              <w:rPr>
                <w:rFonts w:hint="eastAsia" w:ascii="宋体" w:hAnsi="宋体" w:eastAsia="宋体" w:cs="宋体"/>
                <w:color w:val="auto"/>
                <w:spacing w:val="0"/>
                <w:w w:val="100"/>
                <w:position w:val="0"/>
                <w:sz w:val="24"/>
                <w:szCs w:val="24"/>
                <w:highlight w:val="none"/>
              </w:rPr>
              <w:t>不少于8人的</w:t>
            </w:r>
            <w:r>
              <w:rPr>
                <w:rFonts w:hint="eastAsia" w:ascii="宋体" w:hAnsi="宋体" w:eastAsia="宋体" w:cs="宋体"/>
                <w:color w:val="auto"/>
                <w:spacing w:val="0"/>
                <w:w w:val="100"/>
                <w:position w:val="0"/>
                <w:sz w:val="24"/>
                <w:szCs w:val="24"/>
                <w:highlight w:val="none"/>
                <w:lang w:val="en-US" w:eastAsia="zh-CN"/>
              </w:rPr>
              <w:t>公路</w:t>
            </w:r>
            <w:r>
              <w:rPr>
                <w:rFonts w:hint="eastAsia" w:ascii="宋体" w:hAnsi="宋体" w:eastAsia="宋体" w:cs="宋体"/>
                <w:color w:val="auto"/>
                <w:spacing w:val="0"/>
                <w:w w:val="100"/>
                <w:position w:val="0"/>
                <w:sz w:val="24"/>
                <w:szCs w:val="24"/>
                <w:highlight w:val="none"/>
              </w:rPr>
              <w:t>应急</w:t>
            </w:r>
            <w:r>
              <w:rPr>
                <w:rFonts w:hint="eastAsia" w:ascii="宋体" w:hAnsi="宋体" w:eastAsia="宋体" w:cs="宋体"/>
                <w:color w:val="auto"/>
                <w:spacing w:val="0"/>
                <w:w w:val="100"/>
                <w:position w:val="0"/>
                <w:sz w:val="24"/>
                <w:szCs w:val="24"/>
                <w:highlight w:val="none"/>
                <w:lang w:val="en-US" w:eastAsia="zh-CN"/>
              </w:rPr>
              <w:t>专业</w:t>
            </w:r>
            <w:r>
              <w:rPr>
                <w:rFonts w:hint="eastAsia" w:ascii="宋体" w:hAnsi="宋体" w:eastAsia="宋体" w:cs="宋体"/>
                <w:color w:val="auto"/>
                <w:spacing w:val="0"/>
                <w:w w:val="100"/>
                <w:position w:val="0"/>
                <w:sz w:val="24"/>
                <w:szCs w:val="24"/>
                <w:highlight w:val="none"/>
              </w:rPr>
              <w:t>队伍，配备</w:t>
            </w:r>
            <w:r>
              <w:rPr>
                <w:rFonts w:hint="eastAsia" w:ascii="宋体" w:hAnsi="宋体" w:eastAsia="宋体" w:cs="宋体"/>
                <w:color w:val="auto"/>
                <w:spacing w:val="0"/>
                <w:w w:val="100"/>
                <w:position w:val="0"/>
                <w:sz w:val="24"/>
                <w:szCs w:val="24"/>
                <w:highlight w:val="none"/>
                <w:lang w:val="en-US" w:eastAsia="zh-CN"/>
              </w:rPr>
              <w:t>相应</w:t>
            </w:r>
            <w:r>
              <w:rPr>
                <w:rFonts w:hint="eastAsia" w:ascii="宋体" w:hAnsi="宋体" w:eastAsia="宋体" w:cs="宋体"/>
                <w:color w:val="auto"/>
                <w:spacing w:val="0"/>
                <w:w w:val="100"/>
                <w:position w:val="0"/>
                <w:sz w:val="24"/>
                <w:szCs w:val="24"/>
                <w:highlight w:val="none"/>
              </w:rPr>
              <w:t>应急</w:t>
            </w:r>
            <w:r>
              <w:rPr>
                <w:rFonts w:hint="eastAsia" w:ascii="宋体" w:hAnsi="宋体" w:eastAsia="宋体" w:cs="宋体"/>
                <w:color w:val="auto"/>
                <w:spacing w:val="0"/>
                <w:w w:val="100"/>
                <w:position w:val="0"/>
                <w:sz w:val="24"/>
                <w:szCs w:val="24"/>
                <w:highlight w:val="none"/>
                <w:lang w:val="en-US" w:eastAsia="zh-CN"/>
              </w:rPr>
              <w:t>机械、</w:t>
            </w:r>
            <w:r>
              <w:rPr>
                <w:rFonts w:hint="eastAsia" w:ascii="宋体" w:hAnsi="宋体" w:eastAsia="宋体" w:cs="宋体"/>
                <w:color w:val="auto"/>
                <w:spacing w:val="0"/>
                <w:w w:val="100"/>
                <w:position w:val="0"/>
                <w:sz w:val="24"/>
                <w:szCs w:val="24"/>
                <w:highlight w:val="none"/>
              </w:rPr>
              <w:t>设备</w:t>
            </w:r>
            <w:r>
              <w:rPr>
                <w:rFonts w:hint="eastAsia" w:ascii="宋体" w:hAnsi="宋体" w:eastAsia="宋体" w:cs="宋体"/>
                <w:color w:val="auto"/>
                <w:spacing w:val="0"/>
                <w:w w:val="100"/>
                <w:position w:val="0"/>
                <w:sz w:val="24"/>
                <w:szCs w:val="24"/>
                <w:highlight w:val="none"/>
                <w:lang w:val="en-US" w:eastAsia="zh-CN"/>
              </w:rPr>
              <w:t>和材料</w:t>
            </w:r>
            <w:r>
              <w:rPr>
                <w:rFonts w:hint="eastAsia" w:ascii="宋体" w:hAnsi="宋体" w:eastAsia="宋体" w:cs="宋体"/>
                <w:color w:val="auto"/>
                <w:spacing w:val="0"/>
                <w:w w:val="100"/>
                <w:position w:val="0"/>
                <w:sz w:val="24"/>
                <w:szCs w:val="24"/>
                <w:highlight w:val="none"/>
                <w:lang w:eastAsia="zh-CN"/>
              </w:rPr>
              <w:t>。</w:t>
            </w:r>
            <w:r>
              <w:rPr>
                <w:rFonts w:hint="eastAsia" w:ascii="宋体" w:hAnsi="宋体" w:eastAsia="宋体" w:cs="宋体"/>
                <w:color w:val="auto"/>
                <w:spacing w:val="0"/>
                <w:w w:val="100"/>
                <w:position w:val="0"/>
                <w:sz w:val="24"/>
                <w:szCs w:val="24"/>
                <w:highlight w:val="none"/>
                <w:lang w:val="en-US" w:eastAsia="zh-CN"/>
              </w:rPr>
              <w:t>发现应急处置情况或</w:t>
            </w:r>
            <w:r>
              <w:rPr>
                <w:rFonts w:hint="eastAsia" w:ascii="宋体" w:hAnsi="宋体" w:eastAsia="宋体" w:cs="宋体"/>
                <w:color w:val="auto"/>
                <w:spacing w:val="0"/>
                <w:w w:val="100"/>
                <w:position w:val="0"/>
                <w:sz w:val="24"/>
                <w:szCs w:val="24"/>
                <w:highlight w:val="none"/>
              </w:rPr>
              <w:t>接到采购人通知后</w:t>
            </w:r>
            <w:r>
              <w:rPr>
                <w:rFonts w:hint="eastAsia" w:ascii="宋体" w:hAnsi="宋体" w:eastAsia="宋体" w:cs="宋体"/>
                <w:color w:val="auto"/>
                <w:spacing w:val="0"/>
                <w:w w:val="100"/>
                <w:position w:val="0"/>
                <w:sz w:val="24"/>
                <w:szCs w:val="24"/>
                <w:highlight w:val="none"/>
                <w:lang w:eastAsia="zh-CN"/>
              </w:rPr>
              <w:t>，</w:t>
            </w:r>
            <w:r>
              <w:rPr>
                <w:rFonts w:hint="eastAsia" w:ascii="宋体" w:hAnsi="宋体" w:eastAsia="宋体" w:cs="宋体"/>
                <w:color w:val="auto"/>
                <w:spacing w:val="0"/>
                <w:w w:val="100"/>
                <w:position w:val="0"/>
                <w:sz w:val="24"/>
                <w:szCs w:val="24"/>
                <w:highlight w:val="none"/>
                <w:lang w:val="en-US" w:eastAsia="zh-CN"/>
              </w:rPr>
              <w:t>应急队伍、机械、设备和材料能在</w:t>
            </w:r>
            <w:r>
              <w:rPr>
                <w:rFonts w:hint="eastAsia" w:ascii="宋体" w:hAnsi="宋体" w:eastAsia="宋体" w:cs="宋体"/>
                <w:color w:val="auto"/>
                <w:spacing w:val="0"/>
                <w:w w:val="100"/>
                <w:position w:val="0"/>
                <w:sz w:val="24"/>
                <w:szCs w:val="24"/>
                <w:highlight w:val="none"/>
              </w:rPr>
              <w:t>1小时内到达</w:t>
            </w:r>
            <w:r>
              <w:rPr>
                <w:rFonts w:hint="eastAsia" w:ascii="宋体" w:hAnsi="宋体" w:eastAsia="宋体" w:cs="宋体"/>
                <w:color w:val="auto"/>
                <w:spacing w:val="0"/>
                <w:w w:val="100"/>
                <w:position w:val="0"/>
                <w:sz w:val="24"/>
                <w:szCs w:val="24"/>
                <w:highlight w:val="none"/>
                <w:lang w:val="en-US" w:eastAsia="zh-CN"/>
              </w:rPr>
              <w:t>应急处置</w:t>
            </w:r>
            <w:r>
              <w:rPr>
                <w:rFonts w:hint="eastAsia" w:ascii="宋体" w:hAnsi="宋体" w:eastAsia="宋体" w:cs="宋体"/>
                <w:color w:val="auto"/>
                <w:spacing w:val="0"/>
                <w:w w:val="100"/>
                <w:position w:val="0"/>
                <w:sz w:val="24"/>
                <w:szCs w:val="24"/>
                <w:highlight w:val="none"/>
              </w:rPr>
              <w:t>现场。</w:t>
            </w:r>
            <w:r>
              <w:rPr>
                <w:rFonts w:hint="eastAsia" w:ascii="宋体" w:hAnsi="宋体" w:eastAsia="宋体" w:cs="宋体"/>
                <w:color w:val="auto"/>
                <w:spacing w:val="0"/>
                <w:w w:val="100"/>
                <w:position w:val="0"/>
                <w:sz w:val="24"/>
                <w:szCs w:val="24"/>
                <w:highlight w:val="none"/>
                <w:lang w:val="en-US" w:eastAsia="zh-CN"/>
              </w:rPr>
              <w:t>针</w:t>
            </w:r>
            <w:r>
              <w:rPr>
                <w:rFonts w:hint="eastAsia" w:ascii="宋体" w:hAnsi="宋体" w:eastAsia="宋体" w:cs="宋体"/>
                <w:color w:val="auto"/>
                <w:spacing w:val="0"/>
                <w:w w:val="100"/>
                <w:position w:val="0"/>
                <w:sz w:val="24"/>
                <w:szCs w:val="24"/>
                <w:highlight w:val="none"/>
              </w:rPr>
              <w:t>对公路发生交通事故、自然灾害、</w:t>
            </w:r>
            <w:r>
              <w:rPr>
                <w:rFonts w:hint="eastAsia" w:ascii="宋体" w:hAnsi="宋体" w:eastAsia="宋体" w:cs="宋体"/>
                <w:bCs/>
                <w:color w:val="auto"/>
                <w:spacing w:val="0"/>
                <w:w w:val="100"/>
                <w:position w:val="0"/>
                <w:sz w:val="24"/>
                <w:szCs w:val="24"/>
                <w:highlight w:val="none"/>
              </w:rPr>
              <w:t>突发事件等造成交通阻塞</w:t>
            </w:r>
            <w:r>
              <w:rPr>
                <w:rFonts w:hint="eastAsia" w:ascii="宋体" w:hAnsi="宋体" w:eastAsia="宋体" w:cs="宋体"/>
                <w:bCs/>
                <w:color w:val="auto"/>
                <w:spacing w:val="0"/>
                <w:w w:val="100"/>
                <w:position w:val="0"/>
                <w:sz w:val="24"/>
                <w:szCs w:val="24"/>
                <w:highlight w:val="none"/>
                <w:lang w:eastAsia="zh-CN"/>
              </w:rPr>
              <w:t>、</w:t>
            </w:r>
            <w:r>
              <w:rPr>
                <w:rFonts w:hint="eastAsia" w:ascii="宋体" w:hAnsi="宋体" w:eastAsia="宋体" w:cs="宋体"/>
                <w:bCs/>
                <w:color w:val="auto"/>
                <w:spacing w:val="0"/>
                <w:w w:val="100"/>
                <w:position w:val="0"/>
                <w:sz w:val="24"/>
                <w:szCs w:val="24"/>
                <w:highlight w:val="none"/>
              </w:rPr>
              <w:t>中断的情况</w:t>
            </w:r>
            <w:r>
              <w:rPr>
                <w:rFonts w:hint="eastAsia" w:ascii="宋体" w:hAnsi="宋体" w:eastAsia="宋体" w:cs="宋体"/>
                <w:bCs/>
                <w:color w:val="auto"/>
                <w:spacing w:val="0"/>
                <w:w w:val="100"/>
                <w:position w:val="0"/>
                <w:sz w:val="24"/>
                <w:szCs w:val="24"/>
                <w:highlight w:val="none"/>
                <w:lang w:val="en-US" w:eastAsia="zh-CN"/>
              </w:rPr>
              <w:t>开展</w:t>
            </w:r>
            <w:r>
              <w:rPr>
                <w:rFonts w:hint="eastAsia" w:ascii="宋体" w:hAnsi="宋体" w:eastAsia="宋体" w:cs="宋体"/>
                <w:color w:val="auto"/>
                <w:spacing w:val="0"/>
                <w:w w:val="100"/>
                <w:position w:val="0"/>
                <w:sz w:val="24"/>
                <w:szCs w:val="24"/>
                <w:highlight w:val="none"/>
              </w:rPr>
              <w:t>现场警示、管控、抢通、保通、抢修等工作。</w:t>
            </w:r>
          </w:p>
          <w:p w14:paraId="420139D5">
            <w:pPr>
              <w:pStyle w:val="11"/>
              <w:spacing w:before="192" w:line="360" w:lineRule="auto"/>
              <w:ind w:left="23" w:firstLine="480" w:firstLineChars="200"/>
              <w:jc w:val="left"/>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lang w:val="en-US" w:eastAsia="zh-CN"/>
              </w:rPr>
              <w:t>3</w:t>
            </w:r>
            <w:r>
              <w:rPr>
                <w:rFonts w:hint="eastAsia" w:ascii="宋体" w:hAnsi="宋体" w:eastAsia="宋体" w:cs="宋体"/>
                <w:spacing w:val="0"/>
                <w:w w:val="100"/>
                <w:position w:val="0"/>
                <w:sz w:val="24"/>
                <w:szCs w:val="24"/>
              </w:rPr>
              <w:t>.基本考核要求：合同</w:t>
            </w:r>
            <w:r>
              <w:rPr>
                <w:rFonts w:hint="eastAsia" w:cs="宋体"/>
                <w:spacing w:val="0"/>
                <w:w w:val="100"/>
                <w:position w:val="0"/>
                <w:sz w:val="24"/>
                <w:szCs w:val="24"/>
                <w:lang w:val="en-US" w:eastAsia="zh-CN"/>
              </w:rPr>
              <w:t>实施</w:t>
            </w:r>
            <w:r>
              <w:rPr>
                <w:rFonts w:hint="eastAsia" w:ascii="宋体" w:hAnsi="宋体" w:eastAsia="宋体" w:cs="宋体"/>
                <w:spacing w:val="0"/>
                <w:w w:val="100"/>
                <w:position w:val="0"/>
                <w:sz w:val="24"/>
                <w:szCs w:val="24"/>
              </w:rPr>
              <w:t>期</w:t>
            </w:r>
            <w:r>
              <w:rPr>
                <w:rFonts w:hint="eastAsia" w:cs="宋体"/>
                <w:spacing w:val="0"/>
                <w:w w:val="100"/>
                <w:position w:val="0"/>
                <w:sz w:val="24"/>
                <w:szCs w:val="24"/>
                <w:lang w:val="en-US" w:eastAsia="zh-CN"/>
              </w:rPr>
              <w:t>间</w:t>
            </w:r>
            <w:r>
              <w:rPr>
                <w:rFonts w:hint="eastAsia" w:ascii="宋体" w:hAnsi="宋体" w:eastAsia="宋体" w:cs="宋体"/>
                <w:spacing w:val="0"/>
                <w:w w:val="100"/>
                <w:position w:val="0"/>
                <w:sz w:val="24"/>
                <w:szCs w:val="24"/>
              </w:rPr>
              <w:t>，</w:t>
            </w:r>
            <w:r>
              <w:rPr>
                <w:rFonts w:hint="eastAsia" w:cs="宋体"/>
                <w:spacing w:val="0"/>
                <w:w w:val="100"/>
                <w:position w:val="0"/>
                <w:sz w:val="24"/>
                <w:szCs w:val="24"/>
                <w:lang w:val="en-US" w:eastAsia="zh-CN"/>
              </w:rPr>
              <w:t>采购人按照合同约定和</w:t>
            </w:r>
            <w:r>
              <w:rPr>
                <w:rFonts w:hint="eastAsia" w:ascii="宋体" w:hAnsi="宋体" w:eastAsia="宋体" w:cs="宋体"/>
                <w:sz w:val="24"/>
                <w:szCs w:val="24"/>
                <w:highlight w:val="none"/>
                <w:lang w:eastAsia="zh-CN"/>
              </w:rPr>
              <w:t>《</w:t>
            </w:r>
            <w:r>
              <w:rPr>
                <w:rFonts w:hint="eastAsia"/>
                <w:sz w:val="24"/>
                <w:szCs w:val="24"/>
                <w:highlight w:val="none"/>
                <w:lang w:eastAsia="zh-CN"/>
              </w:rPr>
              <w:t>广西壮族自治区桂林公路发展中心公路养护</w:t>
            </w:r>
            <w:r>
              <w:rPr>
                <w:rFonts w:hint="eastAsia"/>
                <w:sz w:val="24"/>
                <w:szCs w:val="24"/>
                <w:highlight w:val="none"/>
                <w:lang w:val="en-US" w:eastAsia="zh-CN"/>
              </w:rPr>
              <w:t>服务工作要求</w:t>
            </w:r>
            <w:r>
              <w:rPr>
                <w:rFonts w:hint="eastAsia"/>
                <w:sz w:val="24"/>
                <w:szCs w:val="24"/>
                <w:highlight w:val="none"/>
                <w:lang w:eastAsia="zh-CN"/>
              </w:rPr>
              <w:t>及考核办法</w:t>
            </w:r>
            <w:r>
              <w:rPr>
                <w:rFonts w:hint="eastAsia" w:ascii="宋体" w:hAnsi="宋体" w:eastAsia="宋体" w:cs="宋体"/>
                <w:sz w:val="24"/>
                <w:szCs w:val="24"/>
                <w:highlight w:val="none"/>
                <w:lang w:eastAsia="zh-CN"/>
              </w:rPr>
              <w:t>》</w:t>
            </w:r>
            <w:r>
              <w:rPr>
                <w:rFonts w:hint="eastAsia" w:cs="宋体"/>
                <w:sz w:val="24"/>
                <w:szCs w:val="24"/>
                <w:highlight w:val="none"/>
                <w:lang w:val="en-US" w:eastAsia="zh-CN"/>
              </w:rPr>
              <w:t>进行管理，开展</w:t>
            </w:r>
            <w:r>
              <w:rPr>
                <w:rFonts w:hint="eastAsia" w:ascii="宋体" w:hAnsi="宋体" w:eastAsia="宋体" w:cs="宋体"/>
                <w:spacing w:val="0"/>
                <w:w w:val="100"/>
                <w:position w:val="0"/>
                <w:sz w:val="24"/>
                <w:szCs w:val="24"/>
                <w:lang w:val="en-US" w:eastAsia="zh-CN"/>
              </w:rPr>
              <w:t>日常检查、月度考核、年度考核</w:t>
            </w:r>
            <w:r>
              <w:rPr>
                <w:rFonts w:hint="eastAsia" w:cs="宋体"/>
                <w:spacing w:val="0"/>
                <w:w w:val="100"/>
                <w:position w:val="0"/>
                <w:sz w:val="24"/>
                <w:szCs w:val="24"/>
                <w:lang w:val="en-US" w:eastAsia="zh-CN"/>
              </w:rPr>
              <w:t>，并相应进行评分、违约处罚等</w:t>
            </w:r>
            <w:r>
              <w:rPr>
                <w:rFonts w:hint="eastAsia" w:ascii="宋体" w:hAnsi="宋体" w:eastAsia="宋体" w:cs="宋体"/>
                <w:spacing w:val="0"/>
                <w:w w:val="100"/>
                <w:position w:val="0"/>
                <w:sz w:val="24"/>
                <w:szCs w:val="24"/>
              </w:rPr>
              <w:t>。</w:t>
            </w:r>
          </w:p>
          <w:p w14:paraId="6BC1983D">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lang w:val="en-US" w:eastAsia="zh-CN"/>
              </w:rPr>
              <w:t>4</w:t>
            </w:r>
            <w:r>
              <w:rPr>
                <w:rFonts w:hint="eastAsia" w:ascii="宋体" w:hAnsi="宋体" w:eastAsia="宋体" w:cs="宋体"/>
                <w:spacing w:val="0"/>
                <w:w w:val="100"/>
                <w:position w:val="0"/>
                <w:sz w:val="24"/>
                <w:szCs w:val="24"/>
              </w:rPr>
              <w:t>.基本履约要求：合同</w:t>
            </w:r>
            <w:r>
              <w:rPr>
                <w:rFonts w:hint="eastAsia" w:ascii="宋体" w:hAnsi="宋体" w:eastAsia="宋体" w:cs="宋体"/>
                <w:spacing w:val="0"/>
                <w:w w:val="100"/>
                <w:position w:val="0"/>
                <w:sz w:val="24"/>
                <w:szCs w:val="24"/>
                <w:lang w:val="en-US" w:eastAsia="zh-CN"/>
              </w:rPr>
              <w:t>实施</w:t>
            </w:r>
            <w:r>
              <w:rPr>
                <w:rFonts w:hint="eastAsia" w:ascii="宋体" w:hAnsi="宋体" w:eastAsia="宋体" w:cs="宋体"/>
                <w:spacing w:val="0"/>
                <w:w w:val="100"/>
                <w:position w:val="0"/>
                <w:sz w:val="24"/>
                <w:szCs w:val="24"/>
              </w:rPr>
              <w:t>期</w:t>
            </w:r>
            <w:r>
              <w:rPr>
                <w:rFonts w:hint="eastAsia" w:ascii="宋体" w:hAnsi="宋体" w:eastAsia="宋体" w:cs="宋体"/>
                <w:spacing w:val="0"/>
                <w:w w:val="100"/>
                <w:position w:val="0"/>
                <w:sz w:val="24"/>
                <w:szCs w:val="24"/>
                <w:lang w:val="en-US" w:eastAsia="zh-CN"/>
              </w:rPr>
              <w:t>间</w:t>
            </w:r>
            <w:r>
              <w:rPr>
                <w:rFonts w:hint="eastAsia" w:ascii="宋体" w:hAnsi="宋体" w:eastAsia="宋体" w:cs="宋体"/>
                <w:spacing w:val="0"/>
                <w:w w:val="100"/>
                <w:position w:val="0"/>
                <w:sz w:val="24"/>
                <w:szCs w:val="24"/>
              </w:rPr>
              <w:t>，承包人无法继续履行或明确表示不履行或实质上已停止履行合同</w:t>
            </w:r>
            <w:r>
              <w:rPr>
                <w:rFonts w:hint="eastAsia" w:ascii="宋体" w:hAnsi="宋体" w:eastAsia="宋体" w:cs="宋体"/>
                <w:spacing w:val="0"/>
                <w:w w:val="100"/>
                <w:position w:val="0"/>
                <w:sz w:val="24"/>
                <w:szCs w:val="24"/>
                <w:lang w:val="en-US" w:eastAsia="zh-CN"/>
              </w:rPr>
              <w:t>的，</w:t>
            </w:r>
            <w:r>
              <w:rPr>
                <w:rFonts w:hint="eastAsia" w:ascii="宋体" w:hAnsi="宋体" w:eastAsia="宋体" w:cs="宋体"/>
                <w:spacing w:val="0"/>
                <w:w w:val="100"/>
                <w:position w:val="0"/>
                <w:sz w:val="24"/>
                <w:szCs w:val="24"/>
              </w:rPr>
              <w:t>采购人有权终止合同；</w:t>
            </w:r>
            <w:r>
              <w:rPr>
                <w:rFonts w:hint="eastAsia" w:ascii="宋体" w:hAnsi="宋体" w:eastAsia="宋体" w:cs="宋体"/>
                <w:spacing w:val="0"/>
                <w:w w:val="100"/>
                <w:position w:val="0"/>
                <w:sz w:val="24"/>
                <w:szCs w:val="24"/>
                <w:lang w:val="en-US" w:eastAsia="zh-CN"/>
              </w:rPr>
              <w:t>承包人出现</w:t>
            </w:r>
            <w:r>
              <w:rPr>
                <w:rFonts w:hint="eastAsia" w:ascii="宋体" w:hAnsi="宋体" w:eastAsia="宋体" w:cs="宋体"/>
                <w:spacing w:val="0"/>
                <w:w w:val="100"/>
                <w:position w:val="0"/>
                <w:sz w:val="24"/>
                <w:szCs w:val="24"/>
              </w:rPr>
              <w:t>合同条款中违约情形，</w:t>
            </w:r>
            <w:r>
              <w:rPr>
                <w:rFonts w:hint="eastAsia" w:ascii="宋体" w:hAnsi="宋体" w:eastAsia="宋体" w:cs="宋体"/>
                <w:spacing w:val="0"/>
                <w:w w:val="100"/>
                <w:position w:val="0"/>
                <w:sz w:val="24"/>
                <w:szCs w:val="24"/>
                <w:lang w:val="en-US" w:eastAsia="zh-CN"/>
              </w:rPr>
              <w:t>未</w:t>
            </w:r>
            <w:r>
              <w:rPr>
                <w:rFonts w:hint="eastAsia" w:ascii="宋体" w:hAnsi="宋体" w:eastAsia="宋体" w:cs="宋体"/>
                <w:spacing w:val="0"/>
                <w:w w:val="100"/>
                <w:position w:val="0"/>
                <w:sz w:val="24"/>
                <w:szCs w:val="24"/>
              </w:rPr>
              <w:t>按合同约定和采购人发出整改通知</w:t>
            </w:r>
            <w:r>
              <w:rPr>
                <w:rFonts w:hint="eastAsia" w:ascii="宋体" w:hAnsi="宋体" w:eastAsia="宋体" w:cs="宋体"/>
                <w:spacing w:val="0"/>
                <w:w w:val="100"/>
                <w:position w:val="0"/>
                <w:sz w:val="24"/>
                <w:szCs w:val="24"/>
                <w:lang w:val="en-US" w:eastAsia="zh-CN"/>
              </w:rPr>
              <w:t>限期整改的，</w:t>
            </w:r>
            <w:r>
              <w:rPr>
                <w:rFonts w:hint="eastAsia" w:ascii="宋体" w:hAnsi="宋体" w:eastAsia="宋体" w:cs="宋体"/>
                <w:spacing w:val="0"/>
                <w:w w:val="100"/>
                <w:position w:val="0"/>
                <w:sz w:val="24"/>
                <w:szCs w:val="24"/>
              </w:rPr>
              <w:t>采购人有权终止合同；</w:t>
            </w:r>
            <w:r>
              <w:rPr>
                <w:rFonts w:hint="eastAsia" w:ascii="宋体" w:hAnsi="宋体" w:eastAsia="宋体" w:cs="宋体"/>
                <w:spacing w:val="0"/>
                <w:w w:val="100"/>
                <w:position w:val="0"/>
                <w:sz w:val="24"/>
                <w:szCs w:val="24"/>
                <w:lang w:val="en-US" w:eastAsia="zh-CN"/>
              </w:rPr>
              <w:t>一个</w:t>
            </w:r>
            <w:r>
              <w:rPr>
                <w:rFonts w:hint="eastAsia" w:ascii="宋体" w:hAnsi="宋体" w:eastAsia="宋体" w:cs="宋体"/>
                <w:spacing w:val="0"/>
                <w:w w:val="100"/>
                <w:position w:val="0"/>
                <w:sz w:val="24"/>
                <w:szCs w:val="24"/>
              </w:rPr>
              <w:t>年度内连续2个月或累计3个月月度考核不合格（评分小于</w:t>
            </w:r>
            <w:r>
              <w:rPr>
                <w:rFonts w:hint="eastAsia" w:ascii="宋体" w:hAnsi="宋体" w:eastAsia="宋体" w:cs="宋体"/>
                <w:spacing w:val="0"/>
                <w:w w:val="100"/>
                <w:position w:val="0"/>
                <w:sz w:val="24"/>
                <w:szCs w:val="24"/>
                <w:lang w:val="en-US" w:eastAsia="zh-CN"/>
              </w:rPr>
              <w:t>7</w:t>
            </w:r>
            <w:r>
              <w:rPr>
                <w:rFonts w:hint="eastAsia" w:ascii="宋体" w:hAnsi="宋体" w:eastAsia="宋体" w:cs="宋体"/>
                <w:spacing w:val="0"/>
                <w:w w:val="100"/>
                <w:position w:val="0"/>
                <w:sz w:val="24"/>
                <w:szCs w:val="24"/>
              </w:rPr>
              <w:t>0分）</w:t>
            </w:r>
            <w:r>
              <w:rPr>
                <w:rFonts w:hint="eastAsia" w:ascii="宋体" w:hAnsi="宋体" w:eastAsia="宋体" w:cs="宋体"/>
                <w:spacing w:val="0"/>
                <w:w w:val="100"/>
                <w:position w:val="0"/>
                <w:sz w:val="24"/>
                <w:szCs w:val="24"/>
                <w:lang w:val="en-US" w:eastAsia="zh-CN"/>
              </w:rPr>
              <w:t>的</w:t>
            </w:r>
            <w:r>
              <w:rPr>
                <w:rFonts w:hint="eastAsia" w:ascii="宋体" w:hAnsi="宋体" w:eastAsia="宋体" w:cs="宋体"/>
                <w:spacing w:val="0"/>
                <w:w w:val="100"/>
                <w:position w:val="0"/>
                <w:sz w:val="24"/>
                <w:szCs w:val="24"/>
              </w:rPr>
              <w:t>，采购人有权终止合同。因承包人违约造成合同终止的，采购人</w:t>
            </w:r>
            <w:r>
              <w:rPr>
                <w:rFonts w:hint="eastAsia" w:ascii="宋体" w:hAnsi="宋体" w:eastAsia="宋体" w:cs="宋体"/>
                <w:spacing w:val="0"/>
                <w:w w:val="100"/>
                <w:position w:val="0"/>
                <w:sz w:val="24"/>
                <w:szCs w:val="24"/>
                <w:lang w:val="en-US" w:eastAsia="zh-CN"/>
              </w:rPr>
              <w:t>有权</w:t>
            </w:r>
            <w:r>
              <w:rPr>
                <w:rFonts w:hint="eastAsia" w:ascii="宋体" w:hAnsi="宋体" w:eastAsia="宋体" w:cs="宋体"/>
                <w:spacing w:val="0"/>
                <w:w w:val="100"/>
                <w:position w:val="0"/>
                <w:sz w:val="24"/>
                <w:szCs w:val="24"/>
              </w:rPr>
              <w:t>没收承包人全部合同履约保证金，承包人须在采购人发出终止合同通知书之日起15天内退场，因此造成的一切损失由承包人承担。</w:t>
            </w:r>
          </w:p>
          <w:p w14:paraId="3C280A37">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lang w:val="en-US" w:eastAsia="zh-CN"/>
              </w:rPr>
              <w:t>5</w:t>
            </w:r>
            <w:r>
              <w:rPr>
                <w:rFonts w:hint="eastAsia" w:ascii="宋体" w:hAnsi="宋体" w:eastAsia="宋体" w:cs="宋体"/>
                <w:spacing w:val="0"/>
                <w:w w:val="100"/>
                <w:position w:val="0"/>
                <w:sz w:val="24"/>
                <w:szCs w:val="24"/>
              </w:rPr>
              <w:t>.质量要求及验收标准</w:t>
            </w:r>
            <w:r>
              <w:rPr>
                <w:rFonts w:hint="eastAsia" w:ascii="宋体" w:hAnsi="宋体" w:eastAsia="宋体" w:cs="宋体"/>
                <w:spacing w:val="0"/>
                <w:w w:val="100"/>
                <w:position w:val="0"/>
                <w:sz w:val="24"/>
                <w:szCs w:val="24"/>
                <w:highlight w:val="none"/>
              </w:rPr>
              <w:t>：服务质量符合《公路养护技术标准》（JTG5110—2023）、《公路路基养护技术规范》（JTG5150-2020)</w:t>
            </w:r>
            <w:r>
              <w:rPr>
                <w:rFonts w:hint="eastAsia" w:ascii="宋体" w:hAnsi="宋体" w:eastAsia="宋体" w:cs="宋体"/>
                <w:spacing w:val="0"/>
                <w:w w:val="100"/>
                <w:position w:val="0"/>
                <w:sz w:val="24"/>
                <w:szCs w:val="24"/>
                <w:highlight w:val="none"/>
                <w:lang w:eastAsia="zh-CN"/>
              </w:rPr>
              <w:t>、</w:t>
            </w:r>
            <w:r>
              <w:rPr>
                <w:rFonts w:hint="eastAsia" w:ascii="宋体" w:hAnsi="宋体" w:eastAsia="宋体" w:cs="宋体"/>
                <w:spacing w:val="0"/>
                <w:w w:val="100"/>
                <w:position w:val="0"/>
                <w:sz w:val="24"/>
                <w:szCs w:val="24"/>
                <w:highlight w:val="none"/>
              </w:rPr>
              <w:t>《公路水泥混凝土路面养护技术规范》（JTJ073.1-2001）</w:t>
            </w:r>
            <w:r>
              <w:rPr>
                <w:rFonts w:hint="eastAsia" w:ascii="宋体" w:hAnsi="宋体" w:eastAsia="宋体" w:cs="宋体"/>
                <w:spacing w:val="0"/>
                <w:w w:val="100"/>
                <w:position w:val="0"/>
                <w:sz w:val="24"/>
                <w:szCs w:val="24"/>
                <w:highlight w:val="none"/>
                <w:lang w:eastAsia="zh-CN"/>
              </w:rPr>
              <w:t>、</w:t>
            </w:r>
            <w:r>
              <w:rPr>
                <w:rFonts w:hint="eastAsia" w:ascii="宋体" w:hAnsi="宋体" w:eastAsia="宋体" w:cs="宋体"/>
                <w:spacing w:val="0"/>
                <w:w w:val="100"/>
                <w:position w:val="0"/>
                <w:sz w:val="24"/>
                <w:szCs w:val="24"/>
                <w:highlight w:val="none"/>
              </w:rPr>
              <w:t>《公路沥青路面养护技术规范》（JTG5142-2019）、《公路桥涵养护规范》（JTG5120-2021)、《公路隧道养护技术规范》(JTG H12-2015)</w:t>
            </w:r>
            <w:r>
              <w:rPr>
                <w:rFonts w:hint="eastAsia" w:ascii="宋体" w:hAnsi="宋体" w:eastAsia="宋体" w:cs="宋体"/>
                <w:spacing w:val="0"/>
                <w:w w:val="100"/>
                <w:position w:val="0"/>
                <w:sz w:val="24"/>
                <w:szCs w:val="24"/>
                <w:highlight w:val="none"/>
                <w:lang w:eastAsia="zh-CN"/>
              </w:rPr>
              <w:t>、</w:t>
            </w:r>
            <w:r>
              <w:rPr>
                <w:rFonts w:hint="eastAsia" w:ascii="宋体" w:hAnsi="宋体" w:eastAsia="宋体" w:cs="宋体"/>
                <w:spacing w:val="0"/>
                <w:w w:val="100"/>
                <w:position w:val="0"/>
                <w:sz w:val="24"/>
                <w:szCs w:val="24"/>
                <w:highlight w:val="none"/>
              </w:rPr>
              <w:t>《公路交通安全设施施工技术规范》（JTG/T3671-2021)</w:t>
            </w:r>
            <w:r>
              <w:rPr>
                <w:rFonts w:hint="eastAsia" w:ascii="宋体" w:hAnsi="宋体" w:eastAsia="宋体" w:cs="宋体"/>
                <w:spacing w:val="0"/>
                <w:w w:val="100"/>
                <w:position w:val="0"/>
                <w:sz w:val="24"/>
                <w:szCs w:val="24"/>
                <w:highlight w:val="none"/>
                <w:lang w:eastAsia="zh-CN"/>
              </w:rPr>
              <w:t>、</w:t>
            </w:r>
            <w:r>
              <w:rPr>
                <w:rFonts w:hint="eastAsia" w:ascii="宋体" w:hAnsi="宋体" w:eastAsia="宋体" w:cs="宋体"/>
                <w:spacing w:val="0"/>
                <w:w w:val="100"/>
                <w:position w:val="0"/>
                <w:sz w:val="24"/>
                <w:szCs w:val="24"/>
                <w:highlight w:val="none"/>
              </w:rPr>
              <w:t>《公路养护工程质量检验评定标准》（JTG5220-2020）等国家及行业现行的公路养护标准、规范</w:t>
            </w:r>
            <w:r>
              <w:rPr>
                <w:rFonts w:hint="eastAsia" w:ascii="宋体" w:hAnsi="宋体" w:eastAsia="宋体" w:cs="宋体"/>
                <w:spacing w:val="0"/>
                <w:w w:val="100"/>
                <w:position w:val="0"/>
                <w:sz w:val="24"/>
                <w:szCs w:val="24"/>
                <w:highlight w:val="none"/>
                <w:lang w:val="en-US" w:eastAsia="zh-CN"/>
              </w:rPr>
              <w:t>要求</w:t>
            </w:r>
            <w:r>
              <w:rPr>
                <w:rFonts w:hint="eastAsia" w:ascii="宋体" w:hAnsi="宋体" w:eastAsia="宋体" w:cs="宋体"/>
                <w:spacing w:val="0"/>
                <w:w w:val="100"/>
                <w:position w:val="0"/>
                <w:sz w:val="24"/>
                <w:szCs w:val="24"/>
                <w:highlight w:val="none"/>
                <w:lang w:eastAsia="zh-CN"/>
              </w:rPr>
              <w:t>，</w:t>
            </w:r>
            <w:r>
              <w:rPr>
                <w:rFonts w:hint="eastAsia" w:ascii="宋体" w:hAnsi="宋体" w:eastAsia="宋体" w:cs="宋体"/>
                <w:spacing w:val="0"/>
                <w:w w:val="100"/>
                <w:position w:val="0"/>
                <w:sz w:val="24"/>
                <w:szCs w:val="24"/>
              </w:rPr>
              <w:t>以及本项目招标文件</w:t>
            </w:r>
            <w:r>
              <w:rPr>
                <w:rFonts w:hint="eastAsia" w:ascii="宋体" w:hAnsi="宋体" w:eastAsia="宋体" w:cs="宋体"/>
                <w:spacing w:val="0"/>
                <w:w w:val="100"/>
                <w:position w:val="0"/>
                <w:sz w:val="24"/>
                <w:szCs w:val="24"/>
                <w:highlight w:val="none"/>
              </w:rPr>
              <w:t>中</w:t>
            </w:r>
            <w:r>
              <w:rPr>
                <w:rFonts w:hint="eastAsia" w:ascii="宋体" w:hAnsi="宋体" w:eastAsia="宋体" w:cs="宋体"/>
                <w:sz w:val="24"/>
                <w:szCs w:val="24"/>
                <w:highlight w:val="none"/>
                <w:lang w:eastAsia="zh-CN"/>
              </w:rPr>
              <w:t>《</w:t>
            </w:r>
            <w:r>
              <w:rPr>
                <w:rFonts w:hint="eastAsia"/>
                <w:sz w:val="24"/>
                <w:szCs w:val="24"/>
                <w:highlight w:val="none"/>
                <w:lang w:eastAsia="zh-CN"/>
              </w:rPr>
              <w:t>广西壮族自治区桂林公路发展中心公路养护</w:t>
            </w:r>
            <w:r>
              <w:rPr>
                <w:rFonts w:hint="eastAsia"/>
                <w:sz w:val="24"/>
                <w:szCs w:val="24"/>
                <w:highlight w:val="none"/>
                <w:lang w:val="en-US" w:eastAsia="zh-CN"/>
              </w:rPr>
              <w:t>服务工作要求</w:t>
            </w:r>
            <w:r>
              <w:rPr>
                <w:rFonts w:hint="eastAsia"/>
                <w:sz w:val="24"/>
                <w:szCs w:val="24"/>
                <w:highlight w:val="none"/>
                <w:lang w:eastAsia="zh-CN"/>
              </w:rPr>
              <w:t>及考核办法</w:t>
            </w:r>
            <w:r>
              <w:rPr>
                <w:rFonts w:hint="eastAsia" w:ascii="宋体" w:hAnsi="宋体" w:eastAsia="宋体" w:cs="宋体"/>
                <w:sz w:val="24"/>
                <w:szCs w:val="24"/>
                <w:highlight w:val="none"/>
                <w:lang w:eastAsia="zh-CN"/>
              </w:rPr>
              <w:t>》</w:t>
            </w:r>
            <w:r>
              <w:rPr>
                <w:rFonts w:hint="eastAsia" w:ascii="宋体" w:hAnsi="宋体" w:eastAsia="宋体" w:cs="宋体"/>
                <w:spacing w:val="0"/>
                <w:w w:val="100"/>
                <w:position w:val="0"/>
                <w:sz w:val="24"/>
                <w:szCs w:val="24"/>
                <w:highlight w:val="none"/>
              </w:rPr>
              <w:t>和采购人</w:t>
            </w:r>
            <w:r>
              <w:rPr>
                <w:rFonts w:hint="eastAsia" w:ascii="宋体" w:hAnsi="宋体" w:eastAsia="宋体" w:cs="宋体"/>
                <w:spacing w:val="0"/>
                <w:w w:val="100"/>
                <w:position w:val="0"/>
                <w:sz w:val="24"/>
                <w:szCs w:val="24"/>
                <w:lang w:val="en-US" w:eastAsia="zh-CN"/>
              </w:rPr>
              <w:t>行业</w:t>
            </w:r>
            <w:r>
              <w:rPr>
                <w:rFonts w:hint="eastAsia" w:ascii="宋体" w:hAnsi="宋体" w:eastAsia="宋体" w:cs="宋体"/>
                <w:spacing w:val="0"/>
                <w:w w:val="100"/>
                <w:position w:val="0"/>
                <w:sz w:val="24"/>
                <w:szCs w:val="24"/>
              </w:rPr>
              <w:t>主管</w:t>
            </w:r>
            <w:r>
              <w:rPr>
                <w:rFonts w:hint="eastAsia" w:ascii="宋体" w:hAnsi="宋体" w:eastAsia="宋体" w:cs="宋体"/>
                <w:spacing w:val="0"/>
                <w:w w:val="100"/>
                <w:position w:val="0"/>
                <w:sz w:val="24"/>
                <w:szCs w:val="24"/>
                <w:lang w:val="en-US" w:eastAsia="zh-CN"/>
              </w:rPr>
              <w:t>部门</w:t>
            </w:r>
            <w:r>
              <w:rPr>
                <w:rFonts w:hint="eastAsia" w:ascii="宋体" w:hAnsi="宋体" w:eastAsia="宋体" w:cs="宋体"/>
                <w:spacing w:val="0"/>
                <w:w w:val="100"/>
                <w:position w:val="0"/>
                <w:sz w:val="24"/>
                <w:szCs w:val="24"/>
              </w:rPr>
              <w:t>相关文件要求</w:t>
            </w:r>
            <w:r>
              <w:rPr>
                <w:rFonts w:hint="eastAsia" w:ascii="宋体" w:hAnsi="宋体" w:eastAsia="宋体" w:cs="宋体"/>
                <w:spacing w:val="0"/>
                <w:w w:val="100"/>
                <w:position w:val="0"/>
                <w:sz w:val="24"/>
                <w:szCs w:val="24"/>
                <w:lang w:eastAsia="zh-CN"/>
              </w:rPr>
              <w:t>。</w:t>
            </w:r>
          </w:p>
          <w:p w14:paraId="3604743A">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lang w:val="en-US" w:eastAsia="zh-CN"/>
              </w:rPr>
              <w:t>6</w:t>
            </w:r>
            <w:r>
              <w:rPr>
                <w:rFonts w:hint="eastAsia" w:ascii="宋体" w:hAnsi="宋体" w:eastAsia="宋体" w:cs="宋体"/>
                <w:spacing w:val="0"/>
                <w:w w:val="100"/>
                <w:position w:val="0"/>
                <w:sz w:val="24"/>
                <w:szCs w:val="24"/>
              </w:rPr>
              <w:t>.环保</w:t>
            </w:r>
            <w:r>
              <w:rPr>
                <w:rFonts w:hint="eastAsia" w:ascii="宋体" w:hAnsi="宋体" w:eastAsia="宋体" w:cs="宋体"/>
                <w:spacing w:val="0"/>
                <w:w w:val="100"/>
                <w:position w:val="0"/>
                <w:sz w:val="24"/>
                <w:szCs w:val="24"/>
                <w:lang w:val="en-US" w:eastAsia="zh-CN"/>
              </w:rPr>
              <w:t>及节能减排</w:t>
            </w:r>
            <w:r>
              <w:rPr>
                <w:rFonts w:hint="eastAsia" w:ascii="宋体" w:hAnsi="宋体" w:eastAsia="宋体" w:cs="宋体"/>
                <w:spacing w:val="0"/>
                <w:w w:val="100"/>
                <w:position w:val="0"/>
                <w:sz w:val="24"/>
                <w:szCs w:val="24"/>
              </w:rPr>
              <w:t>要求：合同</w:t>
            </w:r>
            <w:r>
              <w:rPr>
                <w:rFonts w:hint="eastAsia" w:ascii="宋体" w:hAnsi="宋体" w:eastAsia="宋体" w:cs="宋体"/>
                <w:spacing w:val="0"/>
                <w:w w:val="100"/>
                <w:position w:val="0"/>
                <w:sz w:val="24"/>
                <w:szCs w:val="24"/>
                <w:lang w:val="en-US" w:eastAsia="zh-CN"/>
              </w:rPr>
              <w:t>实施</w:t>
            </w:r>
            <w:r>
              <w:rPr>
                <w:rFonts w:hint="eastAsia" w:ascii="宋体" w:hAnsi="宋体" w:eastAsia="宋体" w:cs="宋体"/>
                <w:spacing w:val="0"/>
                <w:w w:val="100"/>
                <w:position w:val="0"/>
                <w:sz w:val="24"/>
                <w:szCs w:val="24"/>
              </w:rPr>
              <w:t>期</w:t>
            </w:r>
            <w:r>
              <w:rPr>
                <w:rFonts w:hint="eastAsia" w:ascii="宋体" w:hAnsi="宋体" w:eastAsia="宋体" w:cs="宋体"/>
                <w:spacing w:val="0"/>
                <w:w w:val="100"/>
                <w:position w:val="0"/>
                <w:sz w:val="24"/>
                <w:szCs w:val="24"/>
                <w:lang w:val="en-US" w:eastAsia="zh-CN"/>
              </w:rPr>
              <w:t>间</w:t>
            </w:r>
            <w:r>
              <w:rPr>
                <w:rFonts w:hint="eastAsia" w:ascii="宋体" w:hAnsi="宋体" w:eastAsia="宋体" w:cs="宋体"/>
                <w:spacing w:val="0"/>
                <w:w w:val="100"/>
                <w:position w:val="0"/>
                <w:sz w:val="24"/>
                <w:szCs w:val="24"/>
              </w:rPr>
              <w:t>，投标人需落实环保及节能减排主体责任和相关要求，确保不发生县级</w:t>
            </w:r>
            <w:r>
              <w:rPr>
                <w:rFonts w:hint="eastAsia" w:ascii="宋体" w:hAnsi="宋体" w:eastAsia="宋体" w:cs="宋体"/>
                <w:spacing w:val="0"/>
                <w:w w:val="100"/>
                <w:position w:val="0"/>
                <w:sz w:val="24"/>
                <w:szCs w:val="24"/>
                <w:lang w:val="en-US" w:eastAsia="zh-CN"/>
              </w:rPr>
              <w:t>及</w:t>
            </w:r>
            <w:r>
              <w:rPr>
                <w:rFonts w:hint="eastAsia" w:ascii="宋体" w:hAnsi="宋体" w:eastAsia="宋体" w:cs="宋体"/>
                <w:spacing w:val="0"/>
                <w:w w:val="100"/>
                <w:position w:val="0"/>
                <w:sz w:val="24"/>
                <w:szCs w:val="24"/>
              </w:rPr>
              <w:t>以上相关部门关于环保问题的负面通报。</w:t>
            </w:r>
          </w:p>
          <w:p w14:paraId="07AF1669">
            <w:pPr>
              <w:pStyle w:val="16"/>
              <w:spacing w:line="360" w:lineRule="auto"/>
              <w:ind w:left="0" w:leftChars="0" w:firstLine="480" w:firstLineChars="200"/>
              <w:rPr>
                <w:rFonts w:hint="eastAsia" w:ascii="宋体" w:hAnsi="宋体" w:eastAsia="宋体" w:cs="宋体"/>
                <w:color w:val="FF0000"/>
                <w:spacing w:val="0"/>
                <w:w w:val="100"/>
                <w:position w:val="0"/>
                <w:sz w:val="24"/>
                <w:szCs w:val="24"/>
              </w:rPr>
            </w:pPr>
            <w:r>
              <w:rPr>
                <w:rFonts w:hint="eastAsia" w:ascii="宋体" w:hAnsi="宋体" w:eastAsia="宋体" w:cs="宋体"/>
                <w:spacing w:val="0"/>
                <w:w w:val="100"/>
                <w:position w:val="0"/>
                <w:sz w:val="24"/>
                <w:szCs w:val="24"/>
                <w:lang w:val="en-US" w:eastAsia="zh-CN"/>
              </w:rPr>
              <w:t>7</w:t>
            </w:r>
            <w:r>
              <w:rPr>
                <w:rFonts w:hint="eastAsia" w:ascii="宋体" w:hAnsi="宋体" w:eastAsia="宋体" w:cs="宋体"/>
                <w:spacing w:val="0"/>
                <w:w w:val="100"/>
                <w:position w:val="0"/>
                <w:sz w:val="24"/>
                <w:szCs w:val="24"/>
              </w:rPr>
              <w:t>.</w:t>
            </w:r>
            <w:r>
              <w:rPr>
                <w:rFonts w:hint="eastAsia" w:ascii="宋体" w:hAnsi="宋体" w:eastAsia="宋体" w:cs="宋体"/>
                <w:sz w:val="24"/>
                <w:szCs w:val="24"/>
              </w:rPr>
              <w:t>服务目标：</w:t>
            </w:r>
            <w:r>
              <w:rPr>
                <w:rFonts w:hint="eastAsia" w:ascii="宋体" w:hAnsi="宋体" w:eastAsia="宋体" w:cs="宋体"/>
                <w:spacing w:val="0"/>
                <w:sz w:val="24"/>
                <w:szCs w:val="24"/>
                <w:lang w:eastAsia="zh-CN"/>
              </w:rPr>
              <w:t>巡查检查</w:t>
            </w:r>
            <w:r>
              <w:rPr>
                <w:rFonts w:hint="eastAsia" w:ascii="宋体" w:hAnsi="宋体" w:eastAsia="宋体" w:cs="宋体"/>
                <w:bCs/>
                <w:sz w:val="24"/>
                <w:szCs w:val="24"/>
              </w:rPr>
              <w:t>满足频率要求且覆盖率100%</w:t>
            </w:r>
            <w:r>
              <w:rPr>
                <w:rFonts w:hint="eastAsia" w:ascii="宋体" w:hAnsi="宋体" w:eastAsia="宋体" w:cs="宋体"/>
                <w:spacing w:val="0"/>
                <w:sz w:val="24"/>
                <w:szCs w:val="24"/>
                <w:lang w:eastAsia="zh-CN"/>
              </w:rPr>
              <w:t>；日常保养（含绿化）</w:t>
            </w:r>
            <w:r>
              <w:rPr>
                <w:rFonts w:hint="eastAsia" w:ascii="宋体" w:hAnsi="宋体" w:eastAsia="宋体" w:cs="宋体"/>
                <w:bCs/>
                <w:sz w:val="24"/>
                <w:szCs w:val="24"/>
              </w:rPr>
              <w:t>月度考核合格率100%</w:t>
            </w:r>
            <w:r>
              <w:rPr>
                <w:rFonts w:hint="eastAsia" w:ascii="宋体" w:hAnsi="宋体" w:eastAsia="宋体" w:cs="宋体"/>
                <w:bCs/>
                <w:sz w:val="24"/>
                <w:szCs w:val="24"/>
                <w:lang w:eastAsia="zh-CN"/>
              </w:rPr>
              <w:t>；</w:t>
            </w:r>
            <w:r>
              <w:rPr>
                <w:rFonts w:hint="eastAsia" w:ascii="宋体" w:hAnsi="宋体" w:eastAsia="宋体" w:cs="宋体"/>
                <w:sz w:val="24"/>
                <w:szCs w:val="24"/>
                <w:lang w:eastAsia="zh-CN"/>
              </w:rPr>
              <w:t>日常维修</w:t>
            </w:r>
            <w:r>
              <w:rPr>
                <w:rFonts w:hint="eastAsia" w:ascii="宋体" w:hAnsi="宋体" w:eastAsia="宋体" w:cs="宋体"/>
                <w:sz w:val="24"/>
                <w:szCs w:val="24"/>
              </w:rPr>
              <w:t>清单完成率100%</w:t>
            </w:r>
            <w:r>
              <w:rPr>
                <w:rFonts w:hint="eastAsia" w:ascii="宋体" w:hAnsi="宋体" w:eastAsia="宋体" w:cs="宋体"/>
                <w:sz w:val="24"/>
                <w:szCs w:val="24"/>
                <w:lang w:eastAsia="zh-CN"/>
              </w:rPr>
              <w:t>，</w:t>
            </w:r>
            <w:r>
              <w:rPr>
                <w:rFonts w:hint="eastAsia" w:ascii="宋体" w:hAnsi="宋体" w:eastAsia="宋体" w:cs="宋体"/>
                <w:bCs/>
                <w:sz w:val="24"/>
                <w:szCs w:val="24"/>
              </w:rPr>
              <w:t>质量合格率100%</w:t>
            </w:r>
            <w:r>
              <w:rPr>
                <w:rFonts w:hint="eastAsia" w:ascii="宋体" w:hAnsi="宋体" w:eastAsia="宋体" w:cs="宋体"/>
                <w:bCs/>
                <w:sz w:val="24"/>
                <w:szCs w:val="24"/>
                <w:lang w:eastAsia="zh-CN"/>
              </w:rPr>
              <w:t>；</w:t>
            </w:r>
            <w:r>
              <w:rPr>
                <w:rFonts w:hint="eastAsia" w:ascii="宋体" w:hAnsi="宋体" w:eastAsia="宋体" w:cs="宋体"/>
                <w:spacing w:val="-1"/>
                <w:sz w:val="24"/>
                <w:szCs w:val="24"/>
              </w:rPr>
              <w:t>公路设施至少保持现有技术状况</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结构稳定</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功能完整有效，符合安全使用要求；公路设施要求常态化保持无污染、无垃圾杂物、无长草、无堵塞、保持整洁美观</w:t>
            </w:r>
            <w:r>
              <w:rPr>
                <w:rFonts w:hint="eastAsia" w:ascii="宋体" w:hAnsi="宋体" w:eastAsia="宋体" w:cs="宋体"/>
                <w:sz w:val="24"/>
                <w:szCs w:val="24"/>
              </w:rPr>
              <w:t>；</w:t>
            </w:r>
            <w:r>
              <w:rPr>
                <w:rFonts w:hint="eastAsia" w:ascii="宋体" w:hAnsi="宋体" w:eastAsia="宋体" w:cs="宋体"/>
                <w:sz w:val="24"/>
                <w:szCs w:val="24"/>
                <w:lang w:val="en-US" w:eastAsia="zh-CN"/>
              </w:rPr>
              <w:t>公路突发事件、灾害事件及</w:t>
            </w:r>
            <w:r>
              <w:rPr>
                <w:rFonts w:hint="eastAsia" w:ascii="宋体" w:hAnsi="宋体" w:eastAsia="宋体" w:cs="宋体"/>
                <w:sz w:val="24"/>
                <w:szCs w:val="24"/>
                <w:lang w:eastAsia="zh-CN"/>
              </w:rPr>
              <w:t>冬季除冰雪</w:t>
            </w:r>
            <w:r>
              <w:rPr>
                <w:rFonts w:hint="eastAsia" w:ascii="宋体" w:hAnsi="宋体" w:eastAsia="宋体" w:cs="宋体"/>
                <w:sz w:val="24"/>
                <w:szCs w:val="24"/>
                <w:lang w:val="en-US" w:eastAsia="zh-CN"/>
              </w:rPr>
              <w:t>等应急响应</w:t>
            </w:r>
            <w:r>
              <w:rPr>
                <w:rFonts w:hint="eastAsia" w:ascii="宋体" w:hAnsi="宋体" w:eastAsia="宋体" w:cs="宋体"/>
                <w:spacing w:val="-1"/>
                <w:sz w:val="24"/>
                <w:szCs w:val="24"/>
              </w:rPr>
              <w:t>时效和处置成效达到合同约定要求</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安全</w:t>
            </w:r>
            <w:r>
              <w:rPr>
                <w:rFonts w:hint="eastAsia" w:ascii="宋体" w:hAnsi="宋体" w:eastAsia="宋体" w:cs="宋体"/>
                <w:sz w:val="24"/>
                <w:szCs w:val="24"/>
                <w:lang w:val="en-US" w:eastAsia="zh-CN"/>
              </w:rPr>
              <w:t>管理全面有效</w:t>
            </w:r>
            <w:r>
              <w:rPr>
                <w:rFonts w:hint="eastAsia" w:ascii="宋体" w:hAnsi="宋体" w:eastAsia="宋体" w:cs="宋体"/>
                <w:sz w:val="24"/>
                <w:szCs w:val="24"/>
              </w:rPr>
              <w:t>；</w:t>
            </w:r>
            <w:r>
              <w:rPr>
                <w:rFonts w:hint="eastAsia" w:ascii="宋体" w:hAnsi="宋体" w:eastAsia="宋体" w:cs="宋体"/>
                <w:sz w:val="24"/>
                <w:szCs w:val="24"/>
                <w:lang w:eastAsia="zh-CN"/>
              </w:rPr>
              <w:t>数据填报与管理</w:t>
            </w:r>
            <w:r>
              <w:rPr>
                <w:rFonts w:hint="eastAsia" w:ascii="宋体" w:hAnsi="宋体" w:eastAsia="宋体" w:cs="宋体"/>
                <w:sz w:val="24"/>
                <w:szCs w:val="24"/>
                <w:lang w:val="en-US" w:eastAsia="zh-CN"/>
              </w:rPr>
              <w:t>及时和完整；公路信息</w:t>
            </w:r>
            <w:r>
              <w:rPr>
                <w:rFonts w:hint="eastAsia" w:ascii="宋体" w:hAnsi="宋体" w:eastAsia="宋体" w:cs="宋体"/>
                <w:spacing w:val="-1"/>
                <w:sz w:val="24"/>
                <w:szCs w:val="24"/>
              </w:rPr>
              <w:t>资料</w:t>
            </w:r>
            <w:r>
              <w:rPr>
                <w:rFonts w:hint="eastAsia" w:ascii="宋体" w:hAnsi="宋体" w:eastAsia="宋体" w:cs="宋体"/>
                <w:spacing w:val="-1"/>
                <w:sz w:val="24"/>
                <w:szCs w:val="24"/>
                <w:lang w:val="en-US" w:eastAsia="zh-CN"/>
              </w:rPr>
              <w:t>文件</w:t>
            </w:r>
            <w:r>
              <w:rPr>
                <w:rFonts w:hint="eastAsia" w:ascii="宋体" w:hAnsi="宋体" w:eastAsia="宋体" w:cs="宋体"/>
                <w:spacing w:val="-1"/>
                <w:sz w:val="24"/>
                <w:szCs w:val="24"/>
              </w:rPr>
              <w:t>归档齐全。</w:t>
            </w:r>
          </w:p>
          <w:p w14:paraId="19C862CC">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80" w:firstLineChars="200"/>
              <w:textAlignment w:val="baseline"/>
              <w:rPr>
                <w:rFonts w:hint="eastAsia" w:ascii="宋体" w:hAnsi="宋体" w:eastAsia="宋体" w:cs="宋体"/>
                <w:spacing w:val="0"/>
                <w:w w:val="100"/>
                <w:position w:val="0"/>
                <w:sz w:val="24"/>
                <w:szCs w:val="24"/>
                <w:lang w:eastAsia="zh-CN"/>
              </w:rPr>
            </w:pPr>
            <w:r>
              <w:rPr>
                <w:rFonts w:hint="eastAsia" w:ascii="宋体" w:hAnsi="宋体" w:eastAsia="宋体" w:cs="宋体"/>
                <w:spacing w:val="0"/>
                <w:w w:val="100"/>
                <w:position w:val="0"/>
                <w:sz w:val="24"/>
                <w:szCs w:val="24"/>
                <w:lang w:val="en-US" w:eastAsia="zh-CN"/>
              </w:rPr>
              <w:t>8</w:t>
            </w:r>
            <w:r>
              <w:rPr>
                <w:rFonts w:hint="eastAsia" w:ascii="宋体" w:hAnsi="宋体" w:eastAsia="宋体" w:cs="宋体"/>
                <w:spacing w:val="0"/>
                <w:w w:val="100"/>
                <w:position w:val="0"/>
                <w:sz w:val="24"/>
                <w:szCs w:val="24"/>
              </w:rPr>
              <w:t>.安全目标：无安全生产责任事故</w:t>
            </w:r>
            <w:r>
              <w:rPr>
                <w:rFonts w:hint="eastAsia" w:ascii="宋体" w:hAnsi="宋体" w:eastAsia="宋体" w:cs="宋体"/>
                <w:spacing w:val="0"/>
                <w:w w:val="100"/>
                <w:position w:val="0"/>
                <w:sz w:val="24"/>
                <w:szCs w:val="24"/>
                <w:lang w:eastAsia="zh-CN"/>
              </w:rPr>
              <w:t>。</w:t>
            </w:r>
          </w:p>
          <w:p w14:paraId="14CDAA0C">
            <w:pPr>
              <w:pStyle w:val="29"/>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b/>
                <w:bCs/>
                <w:spacing w:val="0"/>
                <w:w w:val="100"/>
                <w:position w:val="0"/>
                <w:sz w:val="24"/>
                <w:szCs w:val="24"/>
              </w:rPr>
            </w:pPr>
            <w:r>
              <w:rPr>
                <w:rFonts w:hint="eastAsia" w:ascii="宋体" w:hAnsi="宋体" w:eastAsia="宋体" w:cs="宋体"/>
                <w:b/>
                <w:bCs/>
                <w:spacing w:val="0"/>
                <w:w w:val="100"/>
                <w:position w:val="0"/>
                <w:sz w:val="24"/>
                <w:szCs w:val="24"/>
              </w:rPr>
              <w:t>人员及设备要求</w:t>
            </w:r>
          </w:p>
          <w:p w14:paraId="00273753">
            <w:pPr>
              <w:pStyle w:val="31"/>
              <w:keepNext w:val="0"/>
              <w:keepLines w:val="0"/>
              <w:pageBreakBefore w:val="0"/>
              <w:widowControl w:val="0"/>
              <w:kinsoku/>
              <w:wordWrap w:val="0"/>
              <w:overflowPunct/>
              <w:topLinePunct w:val="0"/>
              <w:autoSpaceDE w:val="0"/>
              <w:autoSpaceDN w:val="0"/>
              <w:bidi w:val="0"/>
              <w:adjustRightInd w:val="0"/>
              <w:snapToGrid w:val="0"/>
              <w:spacing w:before="0" w:after="0" w:line="360" w:lineRule="auto"/>
              <w:ind w:left="0" w:leftChars="0" w:right="0" w:rightChars="0" w:firstLine="0" w:firstLineChars="0"/>
              <w:textAlignment w:val="baseline"/>
              <w:outlineLvl w:val="9"/>
              <w:rPr>
                <w:rFonts w:hint="eastAsia" w:ascii="宋体" w:hAnsi="宋体" w:eastAsia="宋体" w:cs="宋体"/>
                <w:spacing w:val="0"/>
                <w:w w:val="100"/>
                <w:position w:val="0"/>
                <w:sz w:val="24"/>
                <w:szCs w:val="24"/>
                <w:highlight w:val="none"/>
                <w:lang w:eastAsia="zh-CN"/>
              </w:rPr>
            </w:pPr>
            <w:r>
              <w:rPr>
                <w:rFonts w:hint="eastAsia" w:ascii="宋体" w:hAnsi="宋体" w:eastAsia="宋体" w:cs="宋体"/>
                <w:spacing w:val="0"/>
                <w:w w:val="100"/>
                <w:position w:val="0"/>
                <w:sz w:val="24"/>
                <w:szCs w:val="24"/>
                <w:highlight w:val="none"/>
                <w:lang w:eastAsia="zh-CN"/>
              </w:rPr>
              <w:t>（项目经理最低要求）</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2"/>
              <w:gridCol w:w="431"/>
              <w:gridCol w:w="2615"/>
              <w:gridCol w:w="2610"/>
            </w:tblGrid>
            <w:tr w14:paraId="2763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tblHeader/>
                <w:jc w:val="center"/>
              </w:trPr>
              <w:tc>
                <w:tcPr>
                  <w:tcW w:w="722" w:type="dxa"/>
                  <w:tcMar>
                    <w:top w:w="0" w:type="dxa"/>
                    <w:left w:w="113" w:type="dxa"/>
                    <w:bottom w:w="0" w:type="dxa"/>
                    <w:right w:w="113" w:type="dxa"/>
                  </w:tcMar>
                  <w:vAlign w:val="center"/>
                </w:tcPr>
                <w:p w14:paraId="1937C2DC">
                  <w:pPr>
                    <w:keepNext w:val="0"/>
                    <w:keepLines w:val="0"/>
                    <w:pageBreakBefore w:val="0"/>
                    <w:widowControl w:val="0"/>
                    <w:tabs>
                      <w:tab w:val="left" w:pos="432"/>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pacing w:val="0"/>
                      <w:w w:val="100"/>
                      <w:position w:val="0"/>
                      <w:sz w:val="24"/>
                      <w:szCs w:val="24"/>
                      <w:highlight w:val="none"/>
                    </w:rPr>
                  </w:pPr>
                  <w:r>
                    <w:rPr>
                      <w:rFonts w:hint="eastAsia" w:ascii="宋体" w:hAnsi="宋体" w:eastAsia="宋体" w:cs="宋体"/>
                      <w:b/>
                      <w:bCs/>
                      <w:spacing w:val="0"/>
                      <w:w w:val="100"/>
                      <w:position w:val="0"/>
                      <w:sz w:val="24"/>
                      <w:szCs w:val="24"/>
                      <w:highlight w:val="none"/>
                    </w:rPr>
                    <w:t>人员</w:t>
                  </w:r>
                </w:p>
              </w:tc>
              <w:tc>
                <w:tcPr>
                  <w:tcW w:w="431" w:type="dxa"/>
                  <w:tcMar>
                    <w:top w:w="0" w:type="dxa"/>
                    <w:left w:w="113" w:type="dxa"/>
                    <w:bottom w:w="0" w:type="dxa"/>
                    <w:right w:w="113" w:type="dxa"/>
                  </w:tcMar>
                  <w:vAlign w:val="center"/>
                </w:tcPr>
                <w:p w14:paraId="444D0F36">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pacing w:val="0"/>
                      <w:w w:val="100"/>
                      <w:position w:val="0"/>
                      <w:sz w:val="24"/>
                      <w:szCs w:val="24"/>
                      <w:highlight w:val="none"/>
                    </w:rPr>
                  </w:pPr>
                  <w:r>
                    <w:rPr>
                      <w:rFonts w:hint="eastAsia" w:ascii="宋体" w:hAnsi="宋体" w:eastAsia="宋体" w:cs="宋体"/>
                      <w:b/>
                      <w:bCs/>
                      <w:spacing w:val="0"/>
                      <w:w w:val="100"/>
                      <w:position w:val="0"/>
                      <w:sz w:val="24"/>
                      <w:szCs w:val="24"/>
                      <w:highlight w:val="none"/>
                    </w:rPr>
                    <w:t>数量</w:t>
                  </w:r>
                </w:p>
              </w:tc>
              <w:tc>
                <w:tcPr>
                  <w:tcW w:w="2615" w:type="dxa"/>
                  <w:tcMar>
                    <w:top w:w="0" w:type="dxa"/>
                    <w:left w:w="113" w:type="dxa"/>
                    <w:bottom w:w="0" w:type="dxa"/>
                    <w:right w:w="113" w:type="dxa"/>
                  </w:tcMar>
                  <w:vAlign w:val="center"/>
                </w:tcPr>
                <w:p w14:paraId="0B56F4C5">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pacing w:val="0"/>
                      <w:w w:val="100"/>
                      <w:position w:val="0"/>
                      <w:sz w:val="24"/>
                      <w:szCs w:val="24"/>
                      <w:highlight w:val="none"/>
                    </w:rPr>
                  </w:pPr>
                  <w:r>
                    <w:rPr>
                      <w:rFonts w:hint="eastAsia" w:ascii="宋体" w:hAnsi="宋体" w:eastAsia="宋体" w:cs="宋体"/>
                      <w:b/>
                      <w:bCs/>
                      <w:spacing w:val="0"/>
                      <w:w w:val="100"/>
                      <w:position w:val="0"/>
                      <w:sz w:val="24"/>
                      <w:szCs w:val="24"/>
                      <w:highlight w:val="none"/>
                    </w:rPr>
                    <w:t>资格要求</w:t>
                  </w:r>
                </w:p>
              </w:tc>
              <w:tc>
                <w:tcPr>
                  <w:tcW w:w="2610" w:type="dxa"/>
                  <w:tcMar>
                    <w:top w:w="0" w:type="dxa"/>
                    <w:left w:w="113" w:type="dxa"/>
                    <w:bottom w:w="0" w:type="dxa"/>
                    <w:right w:w="113" w:type="dxa"/>
                  </w:tcMar>
                  <w:vAlign w:val="center"/>
                </w:tcPr>
                <w:p w14:paraId="42D6F78C">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pacing w:val="0"/>
                      <w:w w:val="100"/>
                      <w:position w:val="0"/>
                      <w:sz w:val="24"/>
                      <w:szCs w:val="24"/>
                      <w:highlight w:val="none"/>
                    </w:rPr>
                  </w:pPr>
                  <w:r>
                    <w:rPr>
                      <w:rFonts w:hint="eastAsia" w:ascii="宋体" w:hAnsi="宋体" w:eastAsia="宋体" w:cs="宋体"/>
                      <w:b/>
                      <w:bCs/>
                      <w:spacing w:val="0"/>
                      <w:w w:val="100"/>
                      <w:position w:val="0"/>
                      <w:sz w:val="24"/>
                      <w:szCs w:val="24"/>
                      <w:highlight w:val="none"/>
                    </w:rPr>
                    <w:t>在岗要求</w:t>
                  </w:r>
                </w:p>
              </w:tc>
            </w:tr>
            <w:tr w14:paraId="37D0B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2" w:hRule="atLeast"/>
                <w:jc w:val="center"/>
              </w:trPr>
              <w:tc>
                <w:tcPr>
                  <w:tcW w:w="722" w:type="dxa"/>
                  <w:tcMar>
                    <w:top w:w="0" w:type="dxa"/>
                    <w:left w:w="113" w:type="dxa"/>
                    <w:bottom w:w="0" w:type="dxa"/>
                    <w:right w:w="113" w:type="dxa"/>
                  </w:tcMar>
                  <w:vAlign w:val="center"/>
                </w:tcPr>
                <w:p w14:paraId="0A8EA0D2">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highlight w:val="none"/>
                    </w:rPr>
                  </w:pPr>
                  <w:r>
                    <w:rPr>
                      <w:rFonts w:hint="eastAsia" w:ascii="宋体" w:hAnsi="宋体" w:eastAsia="宋体" w:cs="宋体"/>
                      <w:spacing w:val="0"/>
                      <w:w w:val="100"/>
                      <w:position w:val="0"/>
                      <w:sz w:val="24"/>
                      <w:szCs w:val="24"/>
                      <w:highlight w:val="none"/>
                    </w:rPr>
                    <w:t>项目经理</w:t>
                  </w:r>
                </w:p>
              </w:tc>
              <w:tc>
                <w:tcPr>
                  <w:tcW w:w="431" w:type="dxa"/>
                  <w:tcMar>
                    <w:top w:w="0" w:type="dxa"/>
                    <w:left w:w="113" w:type="dxa"/>
                    <w:bottom w:w="0" w:type="dxa"/>
                    <w:right w:w="113" w:type="dxa"/>
                  </w:tcMar>
                  <w:vAlign w:val="center"/>
                </w:tcPr>
                <w:p w14:paraId="07EE4327">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highlight w:val="none"/>
                    </w:rPr>
                  </w:pPr>
                  <w:r>
                    <w:rPr>
                      <w:rFonts w:hint="eastAsia" w:ascii="宋体" w:hAnsi="宋体" w:eastAsia="宋体" w:cs="宋体"/>
                      <w:spacing w:val="0"/>
                      <w:w w:val="100"/>
                      <w:position w:val="0"/>
                      <w:sz w:val="24"/>
                      <w:szCs w:val="24"/>
                      <w:highlight w:val="none"/>
                    </w:rPr>
                    <w:t>1名</w:t>
                  </w:r>
                </w:p>
              </w:tc>
              <w:tc>
                <w:tcPr>
                  <w:tcW w:w="2615" w:type="dxa"/>
                  <w:tcMar>
                    <w:top w:w="0" w:type="dxa"/>
                    <w:left w:w="113" w:type="dxa"/>
                    <w:bottom w:w="0" w:type="dxa"/>
                    <w:right w:w="113" w:type="dxa"/>
                  </w:tcMar>
                  <w:vAlign w:val="center"/>
                </w:tcPr>
                <w:p w14:paraId="78541BB2">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highlight w:val="none"/>
                    </w:rPr>
                  </w:pPr>
                  <w:r>
                    <w:rPr>
                      <w:rFonts w:hint="eastAsia" w:ascii="宋体" w:hAnsi="宋体" w:eastAsia="宋体" w:cs="宋体"/>
                      <w:iCs/>
                      <w:spacing w:val="0"/>
                      <w:w w:val="100"/>
                      <w:position w:val="0"/>
                      <w:sz w:val="24"/>
                      <w:szCs w:val="24"/>
                      <w:highlight w:val="none"/>
                      <w:lang w:eastAsia="zh-CN"/>
                    </w:rPr>
                    <w:t>公路工程专业二级注册建造师</w:t>
                  </w:r>
                  <w:r>
                    <w:rPr>
                      <w:rFonts w:hint="eastAsia" w:ascii="宋体" w:hAnsi="宋体" w:eastAsia="宋体" w:cs="宋体"/>
                      <w:iCs/>
                      <w:spacing w:val="0"/>
                      <w:w w:val="100"/>
                      <w:position w:val="0"/>
                      <w:sz w:val="24"/>
                      <w:szCs w:val="24"/>
                      <w:highlight w:val="none"/>
                    </w:rPr>
                    <w:t>执业资格及路桥类中级职称（或以上）及具备有效的安全生产考核合格证(B类)。</w:t>
                  </w:r>
                </w:p>
              </w:tc>
              <w:tc>
                <w:tcPr>
                  <w:tcW w:w="2610" w:type="dxa"/>
                  <w:tcMar>
                    <w:top w:w="0" w:type="dxa"/>
                    <w:left w:w="113" w:type="dxa"/>
                    <w:bottom w:w="0" w:type="dxa"/>
                    <w:right w:w="113" w:type="dxa"/>
                  </w:tcMar>
                  <w:vAlign w:val="center"/>
                </w:tcPr>
                <w:p w14:paraId="582DA7FB">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highlight w:val="none"/>
                    </w:rPr>
                  </w:pPr>
                  <w:r>
                    <w:rPr>
                      <w:rFonts w:hint="eastAsia" w:ascii="宋体" w:hAnsi="宋体" w:eastAsia="宋体" w:cs="宋体"/>
                      <w:spacing w:val="0"/>
                      <w:w w:val="100"/>
                      <w:position w:val="0"/>
                      <w:sz w:val="24"/>
                      <w:szCs w:val="24"/>
                      <w:highlight w:val="none"/>
                    </w:rPr>
                    <w:t xml:space="preserve">1. </w:t>
                  </w:r>
                  <w:bookmarkStart w:id="37" w:name="EB56dd2c3b66f74d07a543ece4c9a3ae13"/>
                  <w:r>
                    <w:rPr>
                      <w:rFonts w:hint="eastAsia" w:ascii="宋体" w:hAnsi="宋体" w:eastAsia="宋体" w:cs="宋体"/>
                      <w:spacing w:val="0"/>
                      <w:w w:val="100"/>
                      <w:position w:val="0"/>
                      <w:sz w:val="24"/>
                      <w:szCs w:val="24"/>
                      <w:highlight w:val="none"/>
                    </w:rPr>
                    <w:t>无在岗项目(指目前未在其他项目上任职，或有在建项目任职的投标人应提供随时撤离承诺书）</w:t>
                  </w:r>
                  <w:bookmarkEnd w:id="37"/>
                  <w:r>
                    <w:rPr>
                      <w:rFonts w:hint="eastAsia" w:ascii="宋体" w:hAnsi="宋体" w:eastAsia="宋体" w:cs="宋体"/>
                      <w:spacing w:val="0"/>
                      <w:w w:val="100"/>
                      <w:position w:val="0"/>
                      <w:sz w:val="24"/>
                      <w:szCs w:val="24"/>
                      <w:highlight w:val="none"/>
                    </w:rPr>
                    <w:t>。</w:t>
                  </w:r>
                </w:p>
                <w:p w14:paraId="772A6E47">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kern w:val="0"/>
                      <w:position w:val="0"/>
                      <w:sz w:val="24"/>
                      <w:szCs w:val="24"/>
                      <w:highlight w:val="none"/>
                      <w:lang w:val="zh-CN" w:bidi="zh-CN"/>
                    </w:rPr>
                  </w:pPr>
                  <w:r>
                    <w:rPr>
                      <w:rFonts w:hint="eastAsia" w:ascii="宋体" w:hAnsi="宋体" w:eastAsia="宋体" w:cs="宋体"/>
                      <w:spacing w:val="0"/>
                      <w:w w:val="100"/>
                      <w:position w:val="0"/>
                      <w:sz w:val="24"/>
                      <w:szCs w:val="24"/>
                      <w:highlight w:val="none"/>
                    </w:rPr>
                    <w:t>2.</w:t>
                  </w:r>
                  <w:r>
                    <w:rPr>
                      <w:rFonts w:hint="eastAsia" w:ascii="宋体" w:hAnsi="宋体" w:eastAsia="宋体" w:cs="宋体"/>
                      <w:color w:val="auto"/>
                      <w:spacing w:val="0"/>
                      <w:w w:val="100"/>
                      <w:position w:val="0"/>
                      <w:sz w:val="24"/>
                      <w:szCs w:val="24"/>
                      <w:highlight w:val="none"/>
                    </w:rPr>
                    <w:t>必须为本单位在岗人员，并提供本单位2025年12月至2026年2月缴纳的有效社保相关证</w:t>
                  </w:r>
                  <w:r>
                    <w:rPr>
                      <w:rFonts w:hint="eastAsia" w:ascii="宋体" w:hAnsi="宋体" w:eastAsia="宋体" w:cs="宋体"/>
                      <w:spacing w:val="0"/>
                      <w:w w:val="100"/>
                      <w:position w:val="0"/>
                      <w:sz w:val="24"/>
                      <w:szCs w:val="24"/>
                      <w:highlight w:val="none"/>
                    </w:rPr>
                    <w:t>明材料扫描件。</w:t>
                  </w:r>
                </w:p>
              </w:tc>
            </w:tr>
          </w:tbl>
          <w:p w14:paraId="292CC368">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p>
          <w:p w14:paraId="4C53B2D9">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spacing w:val="0"/>
                <w:w w:val="100"/>
                <w:position w:val="0"/>
                <w:sz w:val="24"/>
                <w:szCs w:val="24"/>
              </w:rPr>
            </w:pPr>
            <w:bookmarkStart w:id="38" w:name="OLE_LINK41"/>
            <w:r>
              <w:rPr>
                <w:rFonts w:hint="eastAsia" w:ascii="宋体" w:hAnsi="宋体" w:eastAsia="宋体" w:cs="宋体"/>
                <w:b/>
                <w:bCs/>
                <w:spacing w:val="0"/>
                <w:w w:val="100"/>
                <w:position w:val="0"/>
                <w:sz w:val="24"/>
                <w:szCs w:val="24"/>
              </w:rPr>
              <w:t>说明：1.“路桥类”专业是指职称证上的专业，为路桥、公路工程、道路工程、桥梁工程、交通土建、交通工程、隧道工程、交通运输等专业均可。</w:t>
            </w:r>
          </w:p>
          <w:p w14:paraId="6584E617">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spacing w:val="0"/>
                <w:w w:val="100"/>
                <w:position w:val="0"/>
                <w:sz w:val="24"/>
                <w:szCs w:val="24"/>
                <w:highlight w:val="none"/>
                <w:lang w:eastAsia="zh-CN"/>
              </w:rPr>
            </w:pPr>
            <w:r>
              <w:rPr>
                <w:rFonts w:hint="eastAsia" w:ascii="宋体" w:hAnsi="宋体" w:eastAsia="宋体" w:cs="宋体"/>
                <w:b/>
                <w:bCs/>
                <w:spacing w:val="0"/>
                <w:w w:val="100"/>
                <w:position w:val="0"/>
                <w:sz w:val="24"/>
                <w:szCs w:val="24"/>
                <w:highlight w:val="none"/>
              </w:rPr>
              <w:t>2.项目经理有在建项目任职的，投标人应提供随时撤离承诺书。</w:t>
            </w:r>
          </w:p>
          <w:p w14:paraId="212C8180">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spacing w:val="0"/>
                <w:w w:val="100"/>
                <w:position w:val="0"/>
                <w:sz w:val="24"/>
                <w:szCs w:val="24"/>
                <w:lang w:eastAsia="zh-CN"/>
              </w:rPr>
            </w:pPr>
            <w:r>
              <w:rPr>
                <w:rFonts w:hint="eastAsia" w:ascii="宋体" w:hAnsi="宋体" w:eastAsia="宋体" w:cs="宋体"/>
                <w:b/>
                <w:bCs/>
                <w:spacing w:val="0"/>
                <w:w w:val="100"/>
                <w:position w:val="0"/>
                <w:sz w:val="24"/>
                <w:szCs w:val="24"/>
                <w:highlight w:val="none"/>
              </w:rPr>
              <w:t>3.投标人应按本招标文件第六章投标文件格式“拟委任的项目经理资历表”的附注要求</w:t>
            </w:r>
            <w:r>
              <w:rPr>
                <w:rFonts w:hint="eastAsia" w:ascii="宋体" w:hAnsi="宋体" w:eastAsia="宋体" w:cs="宋体"/>
                <w:b/>
                <w:bCs/>
                <w:spacing w:val="0"/>
                <w:w w:val="100"/>
                <w:position w:val="0"/>
                <w:sz w:val="24"/>
                <w:szCs w:val="24"/>
              </w:rPr>
              <w:t>，提供符合要求的相关人员资格证书、社保缴费等证明材料（项目经理的社保缴费单位应是投标单位，如不是本单位人员的，该投标人的投标作否决投标处理）。</w:t>
            </w:r>
            <w:bookmarkEnd w:id="38"/>
          </w:p>
          <w:p w14:paraId="49ACA610">
            <w:pPr>
              <w:pStyle w:val="31"/>
              <w:keepNext w:val="0"/>
              <w:keepLines w:val="0"/>
              <w:pageBreakBefore w:val="0"/>
              <w:widowControl w:val="0"/>
              <w:kinsoku/>
              <w:wordWrap w:val="0"/>
              <w:overflowPunct/>
              <w:topLinePunct w:val="0"/>
              <w:autoSpaceDE w:val="0"/>
              <w:autoSpaceDN w:val="0"/>
              <w:bidi w:val="0"/>
              <w:adjustRightInd w:val="0"/>
              <w:snapToGrid w:val="0"/>
              <w:spacing w:before="0" w:after="0" w:line="360" w:lineRule="auto"/>
              <w:ind w:left="0" w:leftChars="0" w:right="0" w:rightChars="0" w:firstLine="0" w:firstLineChars="0"/>
              <w:textAlignment w:val="baseline"/>
              <w:outlineLvl w:val="9"/>
              <w:rPr>
                <w:rFonts w:hint="eastAsia" w:ascii="宋体" w:hAnsi="宋体" w:eastAsia="宋体" w:cs="宋体"/>
                <w:spacing w:val="0"/>
                <w:w w:val="100"/>
                <w:position w:val="0"/>
                <w:sz w:val="24"/>
                <w:szCs w:val="24"/>
                <w:lang w:eastAsia="zh-CN"/>
              </w:rPr>
            </w:pPr>
            <w:r>
              <w:rPr>
                <w:rFonts w:hint="eastAsia" w:ascii="宋体" w:hAnsi="宋体" w:eastAsia="宋体" w:cs="宋体"/>
                <w:spacing w:val="0"/>
                <w:w w:val="100"/>
                <w:position w:val="0"/>
                <w:sz w:val="24"/>
                <w:szCs w:val="24"/>
                <w:lang w:eastAsia="zh-CN"/>
              </w:rPr>
              <w:t>（其他管理和技术人员最低要求）</w:t>
            </w:r>
          </w:p>
          <w:tbl>
            <w:tblPr>
              <w:tblStyle w:val="25"/>
              <w:tblW w:w="6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3"/>
              <w:gridCol w:w="434"/>
              <w:gridCol w:w="2774"/>
              <w:gridCol w:w="2377"/>
            </w:tblGrid>
            <w:tr w14:paraId="0B2E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7" w:hRule="atLeast"/>
                <w:tblHeader/>
                <w:jc w:val="center"/>
              </w:trPr>
              <w:tc>
                <w:tcPr>
                  <w:tcW w:w="873" w:type="dxa"/>
                  <w:tcMar>
                    <w:top w:w="0" w:type="dxa"/>
                    <w:left w:w="113" w:type="dxa"/>
                    <w:bottom w:w="0" w:type="dxa"/>
                    <w:right w:w="113" w:type="dxa"/>
                  </w:tcMar>
                  <w:vAlign w:val="center"/>
                </w:tcPr>
                <w:p w14:paraId="1DF8DAC8">
                  <w:pPr>
                    <w:keepNext w:val="0"/>
                    <w:keepLines w:val="0"/>
                    <w:pageBreakBefore w:val="0"/>
                    <w:widowControl w:val="0"/>
                    <w:tabs>
                      <w:tab w:val="left" w:pos="432"/>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pacing w:val="0"/>
                      <w:w w:val="100"/>
                      <w:position w:val="0"/>
                      <w:sz w:val="24"/>
                      <w:szCs w:val="24"/>
                    </w:rPr>
                  </w:pPr>
                  <w:r>
                    <w:rPr>
                      <w:rFonts w:hint="eastAsia" w:ascii="宋体" w:hAnsi="宋体" w:eastAsia="宋体" w:cs="宋体"/>
                      <w:b/>
                      <w:bCs/>
                      <w:spacing w:val="0"/>
                      <w:w w:val="100"/>
                      <w:position w:val="0"/>
                      <w:sz w:val="24"/>
                      <w:szCs w:val="24"/>
                    </w:rPr>
                    <w:t>人员</w:t>
                  </w:r>
                </w:p>
              </w:tc>
              <w:tc>
                <w:tcPr>
                  <w:tcW w:w="434" w:type="dxa"/>
                  <w:tcMar>
                    <w:top w:w="0" w:type="dxa"/>
                    <w:left w:w="113" w:type="dxa"/>
                    <w:bottom w:w="0" w:type="dxa"/>
                    <w:right w:w="113" w:type="dxa"/>
                  </w:tcMar>
                  <w:vAlign w:val="center"/>
                </w:tcPr>
                <w:p w14:paraId="57C0CBA3">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pacing w:val="0"/>
                      <w:w w:val="100"/>
                      <w:position w:val="0"/>
                      <w:sz w:val="24"/>
                      <w:szCs w:val="24"/>
                    </w:rPr>
                  </w:pPr>
                  <w:r>
                    <w:rPr>
                      <w:rFonts w:hint="eastAsia" w:ascii="宋体" w:hAnsi="宋体" w:eastAsia="宋体" w:cs="宋体"/>
                      <w:b/>
                      <w:bCs/>
                      <w:spacing w:val="0"/>
                      <w:w w:val="100"/>
                      <w:position w:val="0"/>
                      <w:sz w:val="24"/>
                      <w:szCs w:val="24"/>
                    </w:rPr>
                    <w:t>数量</w:t>
                  </w:r>
                </w:p>
              </w:tc>
              <w:tc>
                <w:tcPr>
                  <w:tcW w:w="2774" w:type="dxa"/>
                  <w:tcMar>
                    <w:top w:w="0" w:type="dxa"/>
                    <w:left w:w="113" w:type="dxa"/>
                    <w:bottom w:w="0" w:type="dxa"/>
                    <w:right w:w="113" w:type="dxa"/>
                  </w:tcMar>
                  <w:vAlign w:val="center"/>
                </w:tcPr>
                <w:p w14:paraId="40D53F08">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pacing w:val="0"/>
                      <w:w w:val="100"/>
                      <w:position w:val="0"/>
                      <w:sz w:val="24"/>
                      <w:szCs w:val="24"/>
                    </w:rPr>
                  </w:pPr>
                  <w:r>
                    <w:rPr>
                      <w:rFonts w:hint="eastAsia" w:ascii="宋体" w:hAnsi="宋体" w:eastAsia="宋体" w:cs="宋体"/>
                      <w:b/>
                      <w:bCs/>
                      <w:spacing w:val="0"/>
                      <w:w w:val="100"/>
                      <w:position w:val="0"/>
                      <w:sz w:val="24"/>
                      <w:szCs w:val="24"/>
                    </w:rPr>
                    <w:t>资格要求</w:t>
                  </w:r>
                </w:p>
              </w:tc>
              <w:tc>
                <w:tcPr>
                  <w:tcW w:w="2377" w:type="dxa"/>
                  <w:tcMar>
                    <w:top w:w="0" w:type="dxa"/>
                    <w:left w:w="113" w:type="dxa"/>
                    <w:bottom w:w="0" w:type="dxa"/>
                    <w:right w:w="113" w:type="dxa"/>
                  </w:tcMar>
                  <w:vAlign w:val="center"/>
                </w:tcPr>
                <w:p w14:paraId="18C6803B">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pacing w:val="0"/>
                      <w:w w:val="100"/>
                      <w:position w:val="0"/>
                      <w:sz w:val="24"/>
                      <w:szCs w:val="24"/>
                    </w:rPr>
                  </w:pPr>
                  <w:r>
                    <w:rPr>
                      <w:rFonts w:hint="eastAsia" w:ascii="宋体" w:hAnsi="宋体" w:eastAsia="宋体" w:cs="宋体"/>
                      <w:b/>
                      <w:bCs/>
                      <w:spacing w:val="0"/>
                      <w:w w:val="100"/>
                      <w:position w:val="0"/>
                      <w:sz w:val="24"/>
                      <w:szCs w:val="24"/>
                    </w:rPr>
                    <w:t>在岗要求</w:t>
                  </w:r>
                </w:p>
              </w:tc>
            </w:tr>
            <w:tr w14:paraId="2A93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7" w:hRule="atLeast"/>
                <w:jc w:val="center"/>
              </w:trPr>
              <w:tc>
                <w:tcPr>
                  <w:tcW w:w="873" w:type="dxa"/>
                  <w:tcMar>
                    <w:top w:w="0" w:type="dxa"/>
                    <w:left w:w="113" w:type="dxa"/>
                    <w:bottom w:w="0" w:type="dxa"/>
                    <w:right w:w="113" w:type="dxa"/>
                  </w:tcMar>
                  <w:vAlign w:val="center"/>
                </w:tcPr>
                <w:p w14:paraId="1D750E3F">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default" w:ascii="宋体" w:hAnsi="宋体" w:eastAsia="宋体" w:cs="宋体"/>
                      <w:spacing w:val="0"/>
                      <w:w w:val="100"/>
                      <w:position w:val="0"/>
                      <w:sz w:val="24"/>
                      <w:szCs w:val="24"/>
                      <w:lang w:val="en-US" w:eastAsia="zh-CN"/>
                    </w:rPr>
                  </w:pPr>
                  <w:r>
                    <w:rPr>
                      <w:rFonts w:hint="eastAsia" w:ascii="宋体" w:hAnsi="宋体" w:eastAsia="宋体" w:cs="宋体"/>
                      <w:spacing w:val="0"/>
                      <w:w w:val="100"/>
                      <w:position w:val="0"/>
                      <w:sz w:val="24"/>
                      <w:szCs w:val="24"/>
                      <w:lang w:val="en-US" w:eastAsia="zh-CN"/>
                    </w:rPr>
                    <w:t>项目总工</w:t>
                  </w:r>
                </w:p>
              </w:tc>
              <w:tc>
                <w:tcPr>
                  <w:tcW w:w="434" w:type="dxa"/>
                  <w:tcMar>
                    <w:top w:w="0" w:type="dxa"/>
                    <w:left w:w="113" w:type="dxa"/>
                    <w:bottom w:w="0" w:type="dxa"/>
                    <w:right w:w="113" w:type="dxa"/>
                  </w:tcMar>
                  <w:vAlign w:val="center"/>
                </w:tcPr>
                <w:p w14:paraId="47B4A4AC">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2774" w:type="dxa"/>
                  <w:tcMar>
                    <w:top w:w="0" w:type="dxa"/>
                    <w:left w:w="113" w:type="dxa"/>
                    <w:bottom w:w="0" w:type="dxa"/>
                    <w:right w:w="113" w:type="dxa"/>
                  </w:tcMar>
                  <w:vAlign w:val="center"/>
                </w:tcPr>
                <w:p w14:paraId="6312352E">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具有路桥类工程师或以上职称。</w:t>
                  </w:r>
                </w:p>
              </w:tc>
              <w:tc>
                <w:tcPr>
                  <w:tcW w:w="2377" w:type="dxa"/>
                  <w:vMerge w:val="restart"/>
                  <w:tcMar>
                    <w:top w:w="0" w:type="dxa"/>
                    <w:left w:w="113" w:type="dxa"/>
                    <w:bottom w:w="0" w:type="dxa"/>
                    <w:right w:w="113" w:type="dxa"/>
                  </w:tcMar>
                  <w:vAlign w:val="center"/>
                </w:tcPr>
                <w:p w14:paraId="2A1C9F23">
                  <w:pPr>
                    <w:keepNext w:val="0"/>
                    <w:keepLines w:val="0"/>
                    <w:pageBreakBefore w:val="0"/>
                    <w:widowControl w:val="0"/>
                    <w:tabs>
                      <w:tab w:val="center" w:pos="4153"/>
                      <w:tab w:val="right" w:pos="8306"/>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spacing w:val="0"/>
                      <w:w w:val="100"/>
                      <w:position w:val="0"/>
                      <w:sz w:val="24"/>
                      <w:szCs w:val="24"/>
                    </w:rPr>
                    <w:t>1</w:t>
                  </w:r>
                  <w:r>
                    <w:rPr>
                      <w:rFonts w:hint="eastAsia" w:ascii="宋体" w:hAnsi="宋体" w:eastAsia="宋体" w:cs="宋体"/>
                      <w:color w:val="auto"/>
                      <w:spacing w:val="0"/>
                      <w:w w:val="100"/>
                      <w:position w:val="0"/>
                      <w:sz w:val="24"/>
                      <w:szCs w:val="24"/>
                      <w:highlight w:val="none"/>
                    </w:rPr>
                    <w:t xml:space="preserve">. </w:t>
                  </w:r>
                  <w:r>
                    <w:rPr>
                      <w:rFonts w:hint="eastAsia" w:ascii="宋体" w:hAnsi="宋体" w:eastAsia="宋体" w:cs="宋体"/>
                      <w:color w:val="auto"/>
                      <w:spacing w:val="0"/>
                      <w:w w:val="100"/>
                      <w:position w:val="0"/>
                      <w:sz w:val="24"/>
                      <w:szCs w:val="24"/>
                      <w:highlight w:val="none"/>
                      <w:lang w:eastAsia="zh-CN"/>
                    </w:rPr>
                    <w:t>项目总工</w:t>
                  </w:r>
                  <w:r>
                    <w:rPr>
                      <w:rFonts w:hint="eastAsia" w:ascii="宋体" w:hAnsi="宋体" w:eastAsia="宋体" w:cs="宋体"/>
                      <w:color w:val="auto"/>
                      <w:spacing w:val="0"/>
                      <w:w w:val="100"/>
                      <w:position w:val="0"/>
                      <w:sz w:val="24"/>
                      <w:szCs w:val="24"/>
                      <w:highlight w:val="none"/>
                    </w:rPr>
                    <w:t>无在岗项目(指目前未在其他项目上任职，或有在建项目任职的投标人应提供随时撤离承诺书）。</w:t>
                  </w:r>
                </w:p>
                <w:p w14:paraId="4D5B8A82">
                  <w:pPr>
                    <w:keepNext w:val="0"/>
                    <w:keepLines w:val="0"/>
                    <w:pageBreakBefore w:val="0"/>
                    <w:widowControl w:val="0"/>
                    <w:tabs>
                      <w:tab w:val="center" w:pos="4153"/>
                      <w:tab w:val="right" w:pos="8306"/>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kern w:val="0"/>
                      <w:position w:val="0"/>
                      <w:sz w:val="24"/>
                      <w:szCs w:val="24"/>
                      <w:lang w:val="zh-CN" w:bidi="zh-CN"/>
                    </w:rPr>
                  </w:pPr>
                  <w:r>
                    <w:rPr>
                      <w:rFonts w:hint="eastAsia" w:ascii="宋体" w:hAnsi="宋体" w:eastAsia="宋体" w:cs="宋体"/>
                      <w:color w:val="auto"/>
                      <w:spacing w:val="0"/>
                      <w:w w:val="100"/>
                      <w:position w:val="0"/>
                      <w:sz w:val="24"/>
                      <w:szCs w:val="24"/>
                      <w:highlight w:val="none"/>
                    </w:rPr>
                    <w:t>2.必须为本单位在岗人员，并提供本单位2025年12月至2026年2月缴纳的有效社保相关证明材料扫描件</w:t>
                  </w:r>
                  <w:r>
                    <w:rPr>
                      <w:rFonts w:hint="eastAsia" w:ascii="宋体" w:hAnsi="宋体" w:eastAsia="宋体" w:cs="宋体"/>
                      <w:spacing w:val="0"/>
                      <w:w w:val="100"/>
                      <w:position w:val="0"/>
                      <w:sz w:val="24"/>
                      <w:szCs w:val="24"/>
                    </w:rPr>
                    <w:t>。</w:t>
                  </w:r>
                </w:p>
              </w:tc>
            </w:tr>
            <w:tr w14:paraId="3468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4" w:hRule="atLeast"/>
                <w:jc w:val="center"/>
              </w:trPr>
              <w:tc>
                <w:tcPr>
                  <w:tcW w:w="873" w:type="dxa"/>
                  <w:tcMar>
                    <w:top w:w="0" w:type="dxa"/>
                    <w:left w:w="113" w:type="dxa"/>
                    <w:bottom w:w="0" w:type="dxa"/>
                    <w:right w:w="113" w:type="dxa"/>
                  </w:tcMar>
                  <w:vAlign w:val="center"/>
                </w:tcPr>
                <w:p w14:paraId="5DACA4E6">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highlight w:val="none"/>
                    </w:rPr>
                  </w:pPr>
                  <w:r>
                    <w:rPr>
                      <w:rFonts w:hint="eastAsia" w:ascii="宋体" w:hAnsi="宋体" w:eastAsia="宋体" w:cs="宋体"/>
                      <w:spacing w:val="0"/>
                      <w:w w:val="100"/>
                      <w:position w:val="0"/>
                      <w:sz w:val="24"/>
                      <w:szCs w:val="24"/>
                      <w:highlight w:val="none"/>
                    </w:rPr>
                    <w:t>现场管理负责人</w:t>
                  </w:r>
                  <w:r>
                    <w:rPr>
                      <w:rFonts w:hint="eastAsia" w:ascii="宋体" w:hAnsi="宋体" w:eastAsia="宋体" w:cs="宋体"/>
                      <w:spacing w:val="0"/>
                      <w:w w:val="100"/>
                      <w:position w:val="0"/>
                      <w:sz w:val="24"/>
                      <w:szCs w:val="24"/>
                      <w:highlight w:val="none"/>
                      <w:lang w:eastAsia="zh-CN"/>
                    </w:rPr>
                    <w:t>（</w:t>
                  </w:r>
                  <w:r>
                    <w:rPr>
                      <w:rFonts w:hint="eastAsia" w:ascii="宋体" w:hAnsi="宋体" w:eastAsia="宋体" w:cs="宋体"/>
                      <w:spacing w:val="0"/>
                      <w:w w:val="100"/>
                      <w:position w:val="0"/>
                      <w:sz w:val="24"/>
                      <w:szCs w:val="24"/>
                      <w:highlight w:val="none"/>
                      <w:lang w:val="en-US" w:eastAsia="zh-CN"/>
                    </w:rPr>
                    <w:t>养护工程师</w:t>
                  </w:r>
                  <w:r>
                    <w:rPr>
                      <w:rFonts w:hint="eastAsia" w:ascii="宋体" w:hAnsi="宋体" w:eastAsia="宋体" w:cs="宋体"/>
                      <w:spacing w:val="0"/>
                      <w:w w:val="100"/>
                      <w:position w:val="0"/>
                      <w:sz w:val="24"/>
                      <w:szCs w:val="24"/>
                      <w:highlight w:val="none"/>
                      <w:lang w:eastAsia="zh-CN"/>
                    </w:rPr>
                    <w:t>）</w:t>
                  </w:r>
                </w:p>
              </w:tc>
              <w:tc>
                <w:tcPr>
                  <w:tcW w:w="434" w:type="dxa"/>
                  <w:tcMar>
                    <w:top w:w="0" w:type="dxa"/>
                    <w:left w:w="113" w:type="dxa"/>
                    <w:bottom w:w="0" w:type="dxa"/>
                    <w:right w:w="113" w:type="dxa"/>
                  </w:tcMar>
                  <w:vAlign w:val="center"/>
                </w:tcPr>
                <w:p w14:paraId="38A956F0">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highlight w:val="none"/>
                      <w:lang w:eastAsia="zh-CN"/>
                    </w:rPr>
                  </w:pPr>
                  <w:r>
                    <w:rPr>
                      <w:rFonts w:hint="eastAsia" w:ascii="宋体" w:hAnsi="宋体" w:eastAsia="宋体" w:cs="宋体"/>
                      <w:spacing w:val="0"/>
                      <w:w w:val="100"/>
                      <w:position w:val="0"/>
                      <w:sz w:val="24"/>
                      <w:szCs w:val="24"/>
                      <w:highlight w:val="none"/>
                      <w:lang w:val="en-US" w:eastAsia="zh-CN"/>
                    </w:rPr>
                    <w:t>4</w:t>
                  </w:r>
                </w:p>
              </w:tc>
              <w:tc>
                <w:tcPr>
                  <w:tcW w:w="2774" w:type="dxa"/>
                  <w:tcMar>
                    <w:top w:w="0" w:type="dxa"/>
                    <w:left w:w="113" w:type="dxa"/>
                    <w:bottom w:w="0" w:type="dxa"/>
                    <w:right w:w="113" w:type="dxa"/>
                  </w:tcMar>
                  <w:vAlign w:val="center"/>
                </w:tcPr>
                <w:p w14:paraId="6F2BDEA3">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highlight w:val="none"/>
                    </w:rPr>
                  </w:pPr>
                  <w:r>
                    <w:rPr>
                      <w:rFonts w:hint="eastAsia" w:ascii="宋体" w:hAnsi="宋体" w:eastAsia="宋体" w:cs="宋体"/>
                      <w:spacing w:val="0"/>
                      <w:w w:val="100"/>
                      <w:position w:val="0"/>
                      <w:sz w:val="24"/>
                      <w:szCs w:val="24"/>
                      <w:highlight w:val="none"/>
                    </w:rPr>
                    <w:t>具有路桥类工程师或以上职称。A、B、C</w:t>
                  </w:r>
                  <w:r>
                    <w:rPr>
                      <w:rFonts w:hint="eastAsia" w:ascii="宋体" w:hAnsi="宋体" w:eastAsia="宋体" w:cs="宋体"/>
                      <w:spacing w:val="0"/>
                      <w:w w:val="100"/>
                      <w:position w:val="0"/>
                      <w:sz w:val="24"/>
                      <w:szCs w:val="24"/>
                      <w:highlight w:val="none"/>
                      <w:lang w:eastAsia="zh-CN"/>
                    </w:rPr>
                    <w:t>、</w:t>
                  </w:r>
                  <w:r>
                    <w:rPr>
                      <w:rFonts w:hint="eastAsia" w:ascii="宋体" w:hAnsi="宋体" w:eastAsia="宋体" w:cs="宋体"/>
                      <w:spacing w:val="0"/>
                      <w:w w:val="100"/>
                      <w:position w:val="0"/>
                      <w:sz w:val="24"/>
                      <w:szCs w:val="24"/>
                      <w:highlight w:val="none"/>
                      <w:lang w:val="en-US" w:eastAsia="zh-CN"/>
                    </w:rPr>
                    <w:t>D</w:t>
                  </w:r>
                  <w:r>
                    <w:rPr>
                      <w:rFonts w:hint="eastAsia" w:ascii="宋体" w:hAnsi="宋体" w:eastAsia="宋体" w:cs="宋体"/>
                      <w:spacing w:val="0"/>
                      <w:w w:val="100"/>
                      <w:position w:val="0"/>
                      <w:sz w:val="24"/>
                      <w:szCs w:val="24"/>
                      <w:highlight w:val="none"/>
                    </w:rPr>
                    <w:t>各段安排1名现场管理负责人</w:t>
                  </w:r>
                  <w:r>
                    <w:rPr>
                      <w:rFonts w:hint="eastAsia" w:ascii="宋体" w:hAnsi="宋体" w:eastAsia="宋体" w:cs="宋体"/>
                      <w:spacing w:val="0"/>
                      <w:w w:val="100"/>
                      <w:position w:val="0"/>
                      <w:sz w:val="24"/>
                      <w:szCs w:val="24"/>
                      <w:highlight w:val="none"/>
                      <w:lang w:eastAsia="zh-CN"/>
                    </w:rPr>
                    <w:t>（</w:t>
                  </w:r>
                  <w:r>
                    <w:rPr>
                      <w:rFonts w:hint="eastAsia" w:ascii="宋体" w:hAnsi="宋体" w:eastAsia="宋体" w:cs="宋体"/>
                      <w:spacing w:val="0"/>
                      <w:w w:val="100"/>
                      <w:position w:val="0"/>
                      <w:sz w:val="24"/>
                      <w:szCs w:val="24"/>
                      <w:highlight w:val="none"/>
                      <w:lang w:val="en-US" w:eastAsia="zh-CN"/>
                    </w:rPr>
                    <w:t>养护工程师</w:t>
                  </w:r>
                  <w:r>
                    <w:rPr>
                      <w:rFonts w:hint="eastAsia" w:ascii="宋体" w:hAnsi="宋体" w:eastAsia="宋体" w:cs="宋体"/>
                      <w:spacing w:val="0"/>
                      <w:w w:val="100"/>
                      <w:position w:val="0"/>
                      <w:sz w:val="24"/>
                      <w:szCs w:val="24"/>
                      <w:highlight w:val="none"/>
                      <w:lang w:eastAsia="zh-CN"/>
                    </w:rPr>
                    <w:t>）</w:t>
                  </w:r>
                  <w:r>
                    <w:rPr>
                      <w:rFonts w:hint="eastAsia" w:ascii="宋体" w:hAnsi="宋体" w:eastAsia="宋体" w:cs="宋体"/>
                      <w:spacing w:val="0"/>
                      <w:w w:val="100"/>
                      <w:position w:val="0"/>
                      <w:sz w:val="24"/>
                      <w:szCs w:val="24"/>
                      <w:highlight w:val="none"/>
                    </w:rPr>
                    <w:t>。</w:t>
                  </w:r>
                </w:p>
              </w:tc>
              <w:tc>
                <w:tcPr>
                  <w:tcW w:w="2377" w:type="dxa"/>
                  <w:vMerge w:val="continue"/>
                  <w:tcMar>
                    <w:top w:w="0" w:type="dxa"/>
                    <w:left w:w="113" w:type="dxa"/>
                    <w:bottom w:w="0" w:type="dxa"/>
                    <w:right w:w="113" w:type="dxa"/>
                  </w:tcMar>
                  <w:vAlign w:val="center"/>
                </w:tcPr>
                <w:p w14:paraId="473282CF">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p>
              </w:tc>
            </w:tr>
            <w:tr w14:paraId="254B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0" w:hRule="atLeast"/>
                <w:jc w:val="center"/>
              </w:trPr>
              <w:tc>
                <w:tcPr>
                  <w:tcW w:w="873" w:type="dxa"/>
                  <w:tcMar>
                    <w:top w:w="0" w:type="dxa"/>
                    <w:left w:w="113" w:type="dxa"/>
                    <w:bottom w:w="0" w:type="dxa"/>
                    <w:right w:w="113" w:type="dxa"/>
                  </w:tcMar>
                  <w:vAlign w:val="center"/>
                </w:tcPr>
                <w:p w14:paraId="0CC4BE4B">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专职安全员</w:t>
                  </w:r>
                </w:p>
              </w:tc>
              <w:tc>
                <w:tcPr>
                  <w:tcW w:w="434" w:type="dxa"/>
                  <w:tcMar>
                    <w:top w:w="0" w:type="dxa"/>
                    <w:left w:w="113" w:type="dxa"/>
                    <w:bottom w:w="0" w:type="dxa"/>
                    <w:right w:w="113" w:type="dxa"/>
                  </w:tcMar>
                  <w:vAlign w:val="center"/>
                </w:tcPr>
                <w:p w14:paraId="3709186B">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lang w:eastAsia="zh-CN"/>
                    </w:rPr>
                  </w:pPr>
                  <w:r>
                    <w:rPr>
                      <w:rFonts w:hint="eastAsia" w:ascii="宋体" w:hAnsi="宋体" w:eastAsia="宋体" w:cs="宋体"/>
                      <w:spacing w:val="0"/>
                      <w:w w:val="100"/>
                      <w:position w:val="0"/>
                      <w:sz w:val="24"/>
                      <w:szCs w:val="24"/>
                      <w:lang w:val="en-US" w:eastAsia="zh-CN"/>
                    </w:rPr>
                    <w:t>4</w:t>
                  </w:r>
                </w:p>
              </w:tc>
              <w:tc>
                <w:tcPr>
                  <w:tcW w:w="2774" w:type="dxa"/>
                  <w:tcMar>
                    <w:top w:w="0" w:type="dxa"/>
                    <w:left w:w="113" w:type="dxa"/>
                    <w:bottom w:w="0" w:type="dxa"/>
                    <w:right w:w="113" w:type="dxa"/>
                  </w:tcMar>
                  <w:vAlign w:val="center"/>
                </w:tcPr>
                <w:p w14:paraId="7741C4EA">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具有省级（或以上）交通主管部门颁发或建设主管部门颁发的有效安全生产“三类人员”C类证书”，A、B、C</w:t>
                  </w:r>
                  <w:r>
                    <w:rPr>
                      <w:rFonts w:hint="eastAsia" w:ascii="宋体" w:hAnsi="宋体" w:eastAsia="宋体" w:cs="宋体"/>
                      <w:spacing w:val="0"/>
                      <w:w w:val="100"/>
                      <w:position w:val="0"/>
                      <w:sz w:val="24"/>
                      <w:szCs w:val="24"/>
                      <w:lang w:eastAsia="zh-CN"/>
                    </w:rPr>
                    <w:t>、</w:t>
                  </w:r>
                  <w:r>
                    <w:rPr>
                      <w:rFonts w:hint="eastAsia" w:ascii="宋体" w:hAnsi="宋体" w:eastAsia="宋体" w:cs="宋体"/>
                      <w:spacing w:val="0"/>
                      <w:w w:val="100"/>
                      <w:position w:val="0"/>
                      <w:sz w:val="24"/>
                      <w:szCs w:val="24"/>
                      <w:lang w:val="en-US" w:eastAsia="zh-CN"/>
                    </w:rPr>
                    <w:t>D</w:t>
                  </w:r>
                  <w:r>
                    <w:rPr>
                      <w:rFonts w:hint="eastAsia" w:ascii="宋体" w:hAnsi="宋体" w:eastAsia="宋体" w:cs="宋体"/>
                      <w:spacing w:val="0"/>
                      <w:w w:val="100"/>
                      <w:position w:val="0"/>
                      <w:sz w:val="24"/>
                      <w:szCs w:val="24"/>
                    </w:rPr>
                    <w:t>各段至少安排1名专职安全员</w:t>
                  </w:r>
                </w:p>
              </w:tc>
              <w:tc>
                <w:tcPr>
                  <w:tcW w:w="2377" w:type="dxa"/>
                  <w:vMerge w:val="continue"/>
                  <w:tcMar>
                    <w:top w:w="0" w:type="dxa"/>
                    <w:left w:w="113" w:type="dxa"/>
                    <w:bottom w:w="0" w:type="dxa"/>
                    <w:right w:w="113" w:type="dxa"/>
                  </w:tcMar>
                  <w:vAlign w:val="center"/>
                </w:tcPr>
                <w:p w14:paraId="228BE3A3">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p>
              </w:tc>
            </w:tr>
            <w:tr w14:paraId="44E85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7" w:hRule="atLeast"/>
                <w:jc w:val="center"/>
              </w:trPr>
              <w:tc>
                <w:tcPr>
                  <w:tcW w:w="873" w:type="dxa"/>
                  <w:tcMar>
                    <w:top w:w="0" w:type="dxa"/>
                    <w:left w:w="113" w:type="dxa"/>
                    <w:bottom w:w="0" w:type="dxa"/>
                    <w:right w:w="113" w:type="dxa"/>
                  </w:tcMar>
                  <w:vAlign w:val="center"/>
                </w:tcPr>
                <w:p w14:paraId="0B735002">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资料员</w:t>
                  </w:r>
                </w:p>
              </w:tc>
              <w:tc>
                <w:tcPr>
                  <w:tcW w:w="434" w:type="dxa"/>
                  <w:tcMar>
                    <w:top w:w="0" w:type="dxa"/>
                    <w:left w:w="113" w:type="dxa"/>
                    <w:bottom w:w="0" w:type="dxa"/>
                    <w:right w:w="113" w:type="dxa"/>
                  </w:tcMar>
                  <w:vAlign w:val="center"/>
                </w:tcPr>
                <w:p w14:paraId="02144A5B">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2774" w:type="dxa"/>
                  <w:tcMar>
                    <w:top w:w="0" w:type="dxa"/>
                    <w:left w:w="113" w:type="dxa"/>
                    <w:bottom w:w="0" w:type="dxa"/>
                    <w:right w:w="113" w:type="dxa"/>
                  </w:tcMar>
                  <w:vAlign w:val="center"/>
                </w:tcPr>
                <w:p w14:paraId="37C7085B">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具有助理工程师或以上职称</w:t>
                  </w:r>
                  <w:r>
                    <w:rPr>
                      <w:rFonts w:hint="eastAsia" w:ascii="宋体" w:hAnsi="宋体" w:eastAsia="宋体" w:cs="宋体"/>
                      <w:b/>
                      <w:bCs/>
                      <w:color w:val="FFFFFF"/>
                      <w:spacing w:val="0"/>
                      <w:w w:val="100"/>
                      <w:position w:val="0"/>
                      <w:sz w:val="24"/>
                      <w:szCs w:val="24"/>
                      <w:shd w:val="clear" w:color="auto" w:fill="FFFFFF"/>
                    </w:rPr>
                    <w:t>与应急</w:t>
                  </w:r>
                </w:p>
              </w:tc>
              <w:tc>
                <w:tcPr>
                  <w:tcW w:w="2377" w:type="dxa"/>
                  <w:vMerge w:val="continue"/>
                  <w:tcMar>
                    <w:top w:w="0" w:type="dxa"/>
                    <w:left w:w="113" w:type="dxa"/>
                    <w:bottom w:w="0" w:type="dxa"/>
                    <w:right w:w="113" w:type="dxa"/>
                  </w:tcMar>
                  <w:vAlign w:val="center"/>
                </w:tcPr>
                <w:p w14:paraId="0BC90C1F">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p>
              </w:tc>
            </w:tr>
          </w:tbl>
          <w:p w14:paraId="03B36881">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b/>
                <w:bCs/>
                <w:spacing w:val="0"/>
                <w:w w:val="100"/>
                <w:position w:val="0"/>
                <w:sz w:val="24"/>
                <w:szCs w:val="24"/>
              </w:rPr>
            </w:pPr>
          </w:p>
          <w:p w14:paraId="22323935">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b/>
                <w:bCs/>
                <w:spacing w:val="0"/>
                <w:w w:val="100"/>
                <w:position w:val="0"/>
                <w:sz w:val="24"/>
                <w:szCs w:val="24"/>
              </w:rPr>
            </w:pPr>
            <w:r>
              <w:rPr>
                <w:rFonts w:hint="eastAsia" w:ascii="宋体" w:hAnsi="宋体" w:eastAsia="宋体" w:cs="宋体"/>
                <w:b/>
                <w:bCs/>
                <w:spacing w:val="0"/>
                <w:w w:val="100"/>
                <w:position w:val="0"/>
                <w:sz w:val="24"/>
                <w:szCs w:val="24"/>
              </w:rPr>
              <w:t>说明：1.“路桥类”专业是指职称证上的专业，为路桥、公路工程、道路工程、桥梁工程、交通土建、交通工程、隧道工程、交通运输等专业均可。</w:t>
            </w:r>
          </w:p>
          <w:p w14:paraId="06752571">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b/>
                <w:bCs/>
                <w:spacing w:val="0"/>
                <w:w w:val="100"/>
                <w:position w:val="0"/>
                <w:sz w:val="24"/>
                <w:szCs w:val="24"/>
              </w:rPr>
            </w:pPr>
            <w:r>
              <w:rPr>
                <w:rFonts w:hint="eastAsia" w:ascii="宋体" w:hAnsi="宋体" w:eastAsia="宋体" w:cs="宋体"/>
                <w:b/>
                <w:bCs/>
                <w:spacing w:val="0"/>
                <w:w w:val="100"/>
                <w:position w:val="0"/>
                <w:sz w:val="24"/>
                <w:szCs w:val="24"/>
                <w:highlight w:val="none"/>
              </w:rPr>
              <w:t>2.</w:t>
            </w:r>
            <w:r>
              <w:rPr>
                <w:rFonts w:hint="eastAsia" w:ascii="宋体" w:hAnsi="宋体" w:eastAsia="宋体" w:cs="宋体"/>
                <w:b/>
                <w:bCs/>
                <w:spacing w:val="0"/>
                <w:w w:val="100"/>
                <w:position w:val="0"/>
                <w:sz w:val="24"/>
                <w:szCs w:val="24"/>
              </w:rPr>
              <w:t>提供符合要求的相关人员资格证书、社保缴费等证明材料（其他管理和技术人员的社保缴费单位应是投标单位，如不是本单位人员的，该投标人的投标作否决投标处理）。</w:t>
            </w:r>
          </w:p>
          <w:p w14:paraId="72D4FB40">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b/>
                <w:bCs/>
                <w:spacing w:val="0"/>
                <w:w w:val="100"/>
                <w:position w:val="0"/>
                <w:sz w:val="24"/>
                <w:szCs w:val="24"/>
              </w:rPr>
            </w:pPr>
          </w:p>
          <w:p w14:paraId="413C7511">
            <w:pPr>
              <w:pStyle w:val="31"/>
              <w:keepNext w:val="0"/>
              <w:keepLines w:val="0"/>
              <w:pageBreakBefore w:val="0"/>
              <w:widowControl w:val="0"/>
              <w:kinsoku/>
              <w:wordWrap w:val="0"/>
              <w:overflowPunct/>
              <w:topLinePunct w:val="0"/>
              <w:autoSpaceDE w:val="0"/>
              <w:autoSpaceDN w:val="0"/>
              <w:bidi w:val="0"/>
              <w:adjustRightInd w:val="0"/>
              <w:snapToGrid w:val="0"/>
              <w:spacing w:before="0" w:after="0" w:line="360" w:lineRule="auto"/>
              <w:ind w:left="0" w:leftChars="0" w:right="0" w:rightChars="0" w:firstLine="0" w:firstLineChars="0"/>
              <w:textAlignment w:val="baseline"/>
              <w:outlineLvl w:val="9"/>
              <w:rPr>
                <w:rFonts w:hint="eastAsia" w:ascii="宋体" w:hAnsi="宋体" w:eastAsia="宋体" w:cs="宋体"/>
                <w:spacing w:val="0"/>
                <w:w w:val="100"/>
                <w:position w:val="0"/>
                <w:sz w:val="24"/>
                <w:szCs w:val="24"/>
                <w:highlight w:val="none"/>
                <w:lang w:eastAsia="zh-CN"/>
              </w:rPr>
            </w:pPr>
            <w:r>
              <w:rPr>
                <w:rFonts w:hint="eastAsia" w:ascii="宋体" w:hAnsi="宋体" w:eastAsia="宋体" w:cs="宋体"/>
                <w:spacing w:val="0"/>
                <w:w w:val="100"/>
                <w:position w:val="0"/>
                <w:sz w:val="24"/>
                <w:szCs w:val="24"/>
                <w:highlight w:val="none"/>
                <w:lang w:eastAsia="zh-CN"/>
              </w:rPr>
              <w:t>（主要机械设备和试验检测设备最低要求）</w:t>
            </w:r>
          </w:p>
          <w:p w14:paraId="1FB9FE10">
            <w:pPr>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b/>
                <w:bCs/>
                <w:spacing w:val="0"/>
                <w:w w:val="100"/>
                <w:position w:val="0"/>
                <w:sz w:val="24"/>
                <w:szCs w:val="24"/>
              </w:rPr>
            </w:pPr>
            <w:r>
              <w:rPr>
                <w:rFonts w:hint="eastAsia" w:ascii="宋体" w:hAnsi="宋体" w:eastAsia="宋体" w:cs="宋体"/>
                <w:b/>
                <w:bCs/>
                <w:spacing w:val="0"/>
                <w:w w:val="100"/>
                <w:position w:val="0"/>
                <w:sz w:val="24"/>
                <w:szCs w:val="24"/>
              </w:rPr>
              <w:t>采购人最低要求养护设备一览表</w:t>
            </w:r>
          </w:p>
          <w:tbl>
            <w:tblPr>
              <w:tblStyle w:val="25"/>
              <w:tblW w:w="0" w:type="auto"/>
              <w:jc w:val="center"/>
              <w:tblLayout w:type="fixed"/>
              <w:tblCellMar>
                <w:top w:w="0" w:type="dxa"/>
                <w:left w:w="0" w:type="dxa"/>
                <w:bottom w:w="0" w:type="dxa"/>
                <w:right w:w="0" w:type="dxa"/>
              </w:tblCellMar>
            </w:tblPr>
            <w:tblGrid>
              <w:gridCol w:w="463"/>
              <w:gridCol w:w="1742"/>
              <w:gridCol w:w="2028"/>
              <w:gridCol w:w="463"/>
              <w:gridCol w:w="463"/>
              <w:gridCol w:w="1359"/>
            </w:tblGrid>
            <w:tr w14:paraId="6EC92D12">
              <w:tblPrEx>
                <w:tblCellMar>
                  <w:top w:w="0" w:type="dxa"/>
                  <w:left w:w="0" w:type="dxa"/>
                  <w:bottom w:w="0" w:type="dxa"/>
                  <w:right w:w="0" w:type="dxa"/>
                </w:tblCellMar>
              </w:tblPrEx>
              <w:trPr>
                <w:trHeight w:val="331" w:hRule="atLeast"/>
                <w:tblHeader/>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B6C74DE">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napToGrid w:val="0"/>
                      <w:spacing w:val="0"/>
                      <w:w w:val="100"/>
                      <w:kern w:val="0"/>
                      <w:position w:val="0"/>
                      <w:sz w:val="24"/>
                      <w:szCs w:val="24"/>
                    </w:rPr>
                  </w:pPr>
                  <w:r>
                    <w:rPr>
                      <w:rFonts w:hint="eastAsia" w:ascii="宋体" w:hAnsi="宋体" w:eastAsia="宋体" w:cs="宋体"/>
                      <w:b/>
                      <w:bCs/>
                      <w:snapToGrid w:val="0"/>
                      <w:spacing w:val="0"/>
                      <w:w w:val="100"/>
                      <w:kern w:val="0"/>
                      <w:position w:val="0"/>
                      <w:sz w:val="24"/>
                      <w:szCs w:val="24"/>
                    </w:rPr>
                    <w:t>序号</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60FDA9B">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napToGrid w:val="0"/>
                      <w:spacing w:val="0"/>
                      <w:w w:val="100"/>
                      <w:kern w:val="0"/>
                      <w:position w:val="0"/>
                      <w:sz w:val="24"/>
                      <w:szCs w:val="24"/>
                    </w:rPr>
                  </w:pPr>
                  <w:r>
                    <w:rPr>
                      <w:rFonts w:hint="eastAsia" w:ascii="宋体" w:hAnsi="宋体" w:eastAsia="宋体" w:cs="宋体"/>
                      <w:b/>
                      <w:bCs/>
                      <w:snapToGrid w:val="0"/>
                      <w:spacing w:val="0"/>
                      <w:w w:val="100"/>
                      <w:kern w:val="0"/>
                      <w:position w:val="0"/>
                      <w:sz w:val="24"/>
                      <w:szCs w:val="24"/>
                    </w:rPr>
                    <w:t>机械设备名称</w:t>
                  </w:r>
                </w:p>
              </w:tc>
              <w:tc>
                <w:tcPr>
                  <w:tcW w:w="20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72286E4">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napToGrid w:val="0"/>
                      <w:spacing w:val="0"/>
                      <w:w w:val="100"/>
                      <w:kern w:val="0"/>
                      <w:position w:val="0"/>
                      <w:sz w:val="24"/>
                      <w:szCs w:val="24"/>
                    </w:rPr>
                  </w:pPr>
                  <w:r>
                    <w:rPr>
                      <w:rFonts w:hint="eastAsia" w:ascii="宋体" w:hAnsi="宋体" w:eastAsia="宋体" w:cs="宋体"/>
                      <w:b/>
                      <w:bCs/>
                      <w:spacing w:val="0"/>
                      <w:w w:val="100"/>
                      <w:kern w:val="0"/>
                      <w:position w:val="0"/>
                      <w:sz w:val="24"/>
                      <w:szCs w:val="24"/>
                    </w:rPr>
                    <w:t>规格、功率及容量</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41A3C32">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napToGrid w:val="0"/>
                      <w:spacing w:val="0"/>
                      <w:w w:val="100"/>
                      <w:kern w:val="0"/>
                      <w:position w:val="0"/>
                      <w:sz w:val="24"/>
                      <w:szCs w:val="24"/>
                    </w:rPr>
                  </w:pPr>
                  <w:r>
                    <w:rPr>
                      <w:rFonts w:hint="eastAsia" w:ascii="宋体" w:hAnsi="宋体" w:eastAsia="宋体" w:cs="宋体"/>
                      <w:b/>
                      <w:bCs/>
                      <w:snapToGrid w:val="0"/>
                      <w:spacing w:val="0"/>
                      <w:w w:val="100"/>
                      <w:kern w:val="0"/>
                      <w:position w:val="0"/>
                      <w:sz w:val="24"/>
                      <w:szCs w:val="24"/>
                    </w:rPr>
                    <w:t>单位</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95C8821">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napToGrid w:val="0"/>
                      <w:spacing w:val="0"/>
                      <w:w w:val="100"/>
                      <w:kern w:val="0"/>
                      <w:position w:val="0"/>
                      <w:sz w:val="24"/>
                      <w:szCs w:val="24"/>
                    </w:rPr>
                  </w:pPr>
                  <w:r>
                    <w:rPr>
                      <w:rFonts w:hint="eastAsia" w:ascii="宋体" w:hAnsi="宋体" w:eastAsia="宋体" w:cs="宋体"/>
                      <w:b/>
                      <w:bCs/>
                      <w:snapToGrid w:val="0"/>
                      <w:spacing w:val="0"/>
                      <w:w w:val="100"/>
                      <w:kern w:val="0"/>
                      <w:position w:val="0"/>
                      <w:sz w:val="24"/>
                      <w:szCs w:val="24"/>
                    </w:rPr>
                    <w:t>数量</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DBDE43B">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napToGrid w:val="0"/>
                      <w:spacing w:val="0"/>
                      <w:w w:val="100"/>
                      <w:kern w:val="0"/>
                      <w:position w:val="0"/>
                      <w:sz w:val="24"/>
                      <w:szCs w:val="24"/>
                    </w:rPr>
                  </w:pPr>
                  <w:r>
                    <w:rPr>
                      <w:rFonts w:hint="eastAsia" w:ascii="宋体" w:hAnsi="宋体" w:eastAsia="宋体" w:cs="宋体"/>
                      <w:b/>
                      <w:bCs/>
                      <w:snapToGrid w:val="0"/>
                      <w:spacing w:val="0"/>
                      <w:w w:val="100"/>
                      <w:kern w:val="0"/>
                      <w:position w:val="0"/>
                      <w:sz w:val="24"/>
                      <w:szCs w:val="24"/>
                    </w:rPr>
                    <w:t>备注</w:t>
                  </w:r>
                </w:p>
              </w:tc>
            </w:tr>
            <w:tr w14:paraId="102BA35F">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A14D459">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6A29A69">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管理和巡查用车</w:t>
                  </w:r>
                </w:p>
              </w:tc>
              <w:tc>
                <w:tcPr>
                  <w:tcW w:w="20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F970741">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rPr>
                    <w:t>皮卡车或小型汽车</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EB3EC11">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2CB5070">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4</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126264D">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397F7657">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A2A759B">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2</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EE14DDD">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napToGrid w:val="0"/>
                      <w:spacing w:val="0"/>
                      <w:w w:val="100"/>
                      <w:kern w:val="0"/>
                      <w:position w:val="0"/>
                      <w:sz w:val="24"/>
                      <w:szCs w:val="24"/>
                    </w:rPr>
                    <w:t>轻型自卸养护车</w:t>
                  </w:r>
                </w:p>
              </w:tc>
              <w:tc>
                <w:tcPr>
                  <w:tcW w:w="20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F08E07B">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rPr>
                    <w:t>1~4.5吨</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C6A8385">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8135007">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6</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1BA4193">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63E42DE6">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036E9E0">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3</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1B42CD1">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高枝修剪车</w:t>
                  </w:r>
                </w:p>
              </w:tc>
              <w:tc>
                <w:tcPr>
                  <w:tcW w:w="20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276A57E">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rPr>
                    <w:t>修剪高度大于5米</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8812736">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15529C6">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1829BD9">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p>
              </w:tc>
            </w:tr>
            <w:tr w14:paraId="138E2BFD">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9C1C5AA">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4</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73B3C60">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护栏清洗机</w:t>
                  </w:r>
                </w:p>
              </w:tc>
              <w:tc>
                <w:tcPr>
                  <w:tcW w:w="20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05E0138">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rPr>
                    <w:t>30千瓦-75千瓦</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25F3795">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D0ABE21">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755428A">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p>
              </w:tc>
            </w:tr>
            <w:tr w14:paraId="1425AC74">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65B1171">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5</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F401F40">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洒水车</w:t>
                  </w:r>
                </w:p>
              </w:tc>
              <w:tc>
                <w:tcPr>
                  <w:tcW w:w="20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AF81831">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rPr>
                    <w:t>容量≥4吨</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6D94BE4">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辆</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586C98D">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1913250">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napToGrid w:val="0"/>
                      <w:spacing w:val="0"/>
                      <w:w w:val="100"/>
                      <w:kern w:val="0"/>
                      <w:position w:val="0"/>
                      <w:sz w:val="24"/>
                      <w:szCs w:val="24"/>
                    </w:rPr>
                    <w:t>配高压冲洗设备</w:t>
                  </w:r>
                </w:p>
              </w:tc>
            </w:tr>
            <w:tr w14:paraId="49D1AFA3">
              <w:tblPrEx>
                <w:tblCellMar>
                  <w:top w:w="0" w:type="dxa"/>
                  <w:left w:w="0" w:type="dxa"/>
                  <w:bottom w:w="0" w:type="dxa"/>
                  <w:right w:w="0" w:type="dxa"/>
                </w:tblCellMar>
              </w:tblPrEx>
              <w:trPr>
                <w:trHeight w:val="90"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90C901C">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6</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CA26C9E">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道路清扫车</w:t>
                  </w:r>
                </w:p>
              </w:tc>
              <w:tc>
                <w:tcPr>
                  <w:tcW w:w="20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244CBEE">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highlight w:val="none"/>
                    </w:rPr>
                    <w:t>真空吸扫式容量≥3</w:t>
                  </w:r>
                  <w:r>
                    <w:rPr>
                      <w:rFonts w:hint="eastAsia" w:ascii="宋体" w:hAnsi="宋体" w:eastAsia="宋体" w:cs="宋体"/>
                      <w:sz w:val="24"/>
                      <w:szCs w:val="24"/>
                      <w:highlight w:val="none"/>
                      <w:lang w:val="en-US" w:eastAsia="zh-CN"/>
                    </w:rPr>
                    <w:t>m</w:t>
                  </w:r>
                  <w:r>
                    <w:rPr>
                      <w:rFonts w:hint="eastAsia" w:ascii="宋体" w:hAnsi="宋体" w:eastAsia="宋体" w:cs="宋体"/>
                      <w:sz w:val="24"/>
                      <w:szCs w:val="24"/>
                      <w:highlight w:val="none"/>
                    </w:rPr>
                    <w:t>³</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20DC000">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26B6636">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C3F1E0E">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7BD91DDA">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F64DC22">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7</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1223791">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道路清扫车</w:t>
                  </w:r>
                </w:p>
              </w:tc>
              <w:tc>
                <w:tcPr>
                  <w:tcW w:w="20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102F81E">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highlight w:val="none"/>
                    </w:rPr>
                    <w:t>真空吸扫式容量</w:t>
                  </w:r>
                  <w:r>
                    <w:rPr>
                      <w:rFonts w:hint="eastAsia" w:ascii="宋体" w:hAnsi="宋体" w:eastAsia="宋体" w:cs="宋体"/>
                      <w:color w:val="auto"/>
                      <w:sz w:val="24"/>
                      <w:szCs w:val="24"/>
                      <w:highlight w:val="none"/>
                      <w:lang w:val="en-US" w:eastAsia="zh-CN"/>
                    </w:rPr>
                    <w:t>＞1</w:t>
                  </w:r>
                  <w:r>
                    <w:rPr>
                      <w:rFonts w:hint="eastAsia" w:ascii="宋体" w:hAnsi="宋体" w:eastAsia="宋体" w:cs="宋体"/>
                      <w:sz w:val="24"/>
                      <w:szCs w:val="24"/>
                      <w:highlight w:val="none"/>
                      <w:lang w:val="en-US" w:eastAsia="zh-CN"/>
                    </w:rPr>
                    <w:t>m</w:t>
                  </w:r>
                  <w:r>
                    <w:rPr>
                      <w:rFonts w:hint="eastAsia" w:ascii="宋体" w:hAnsi="宋体" w:eastAsia="宋体" w:cs="宋体"/>
                      <w:sz w:val="24"/>
                      <w:szCs w:val="24"/>
                      <w:highlight w:val="none"/>
                    </w:rPr>
                    <w:t>³</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6135700">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47DD5A3">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6E9CB23">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1352C1EE">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70B5275">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8</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56027B8">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短油锯</w:t>
                  </w:r>
                </w:p>
              </w:tc>
              <w:tc>
                <w:tcPr>
                  <w:tcW w:w="20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0D1CB18">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rPr>
                    <w:t>功率≥1.8千瓦</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48A13BE">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73D90EB">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6</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147FFD1">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017FF7EE">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7AB03E3">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9</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0023F9B">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高空作业平台（车）</w:t>
                  </w:r>
                </w:p>
              </w:tc>
              <w:tc>
                <w:tcPr>
                  <w:tcW w:w="20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EDF2517">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rPr>
                    <w:t>升高不小于5m</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F63D52D">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76AA0D3">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A6E64DD">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6CBDB769">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1F21A55">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10</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FE52ACA">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高枝油锯</w:t>
                  </w:r>
                </w:p>
              </w:tc>
              <w:tc>
                <w:tcPr>
                  <w:tcW w:w="20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59439A">
                  <w:pPr>
                    <w:tabs>
                      <w:tab w:val="left" w:pos="0"/>
                    </w:tabs>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臂长1.5米</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3DCA88">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台</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85984">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3</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B7B3E8E">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189EB735">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40C02D6">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11</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F0126FC">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割草机</w:t>
                  </w:r>
                </w:p>
              </w:tc>
              <w:tc>
                <w:tcPr>
                  <w:tcW w:w="20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C2877B">
                  <w:pPr>
                    <w:tabs>
                      <w:tab w:val="left" w:pos="0"/>
                    </w:tabs>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排量≥20cc</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5A064A">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台</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23F82C">
                  <w:pPr>
                    <w:tabs>
                      <w:tab w:val="left" w:pos="0"/>
                    </w:tabs>
                    <w:jc w:val="center"/>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z w:val="24"/>
                      <w:szCs w:val="24"/>
                      <w:highlight w:val="none"/>
                      <w:lang w:val="en-US" w:eastAsia="zh-CN"/>
                    </w:rPr>
                    <w:t>18</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B9C1FD6">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1257D98F">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3B28139">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12</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648CA80">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轮式挖掘机</w:t>
                  </w:r>
                </w:p>
              </w:tc>
              <w:tc>
                <w:tcPr>
                  <w:tcW w:w="20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26B674">
                  <w:pPr>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斗容量≥0.1m³</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87F318">
                  <w:pPr>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kern w:val="0"/>
                      <w:sz w:val="24"/>
                      <w:szCs w:val="24"/>
                    </w:rPr>
                    <w:t>台</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D3C09C">
                  <w:pPr>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kern w:val="0"/>
                      <w:sz w:val="24"/>
                      <w:szCs w:val="24"/>
                    </w:rPr>
                    <w:t>1</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0AE5B5B">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4B320B11">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CA0E14E">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13</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368A8B2">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多旋翼无人机</w:t>
                  </w:r>
                </w:p>
              </w:tc>
              <w:tc>
                <w:tcPr>
                  <w:tcW w:w="20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84E8E2">
                  <w:pPr>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续航≥30分钟，像素≥2000万</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E344BF">
                  <w:pPr>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kern w:val="0"/>
                      <w:sz w:val="24"/>
                      <w:szCs w:val="24"/>
                    </w:rPr>
                    <w:t>台</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A52813">
                  <w:pPr>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kern w:val="0"/>
                      <w:sz w:val="24"/>
                      <w:szCs w:val="24"/>
                    </w:rPr>
                    <w:t>3</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F6F2650">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p>
              </w:tc>
            </w:tr>
            <w:tr w14:paraId="0EB6A5A7">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9431177">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14</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1C6A496">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热熔划线机</w:t>
                  </w:r>
                </w:p>
              </w:tc>
              <w:tc>
                <w:tcPr>
                  <w:tcW w:w="20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0FB86">
                  <w:pPr>
                    <w:tabs>
                      <w:tab w:val="left" w:pos="0"/>
                    </w:tabs>
                    <w:jc w:val="left"/>
                    <w:rPr>
                      <w:rFonts w:hint="eastAsia" w:ascii="宋体" w:hAnsi="宋体" w:eastAsia="宋体" w:cs="宋体"/>
                      <w:snapToGrid w:val="0"/>
                      <w:color w:val="000000"/>
                      <w:kern w:val="0"/>
                      <w:sz w:val="24"/>
                      <w:szCs w:val="24"/>
                      <w:lang w:val="en-US" w:eastAsia="en-US" w:bidi="ar-SA"/>
                    </w:rPr>
                  </w:pP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641873">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台</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DBBA8C">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1</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68BE965">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p>
              </w:tc>
            </w:tr>
            <w:tr w14:paraId="4F6325D9">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BEC5EF0">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15</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305A9BC">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履带式挖掘机</w:t>
                  </w:r>
                </w:p>
              </w:tc>
              <w:tc>
                <w:tcPr>
                  <w:tcW w:w="20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C10EB9">
                  <w:pPr>
                    <w:tabs>
                      <w:tab w:val="left" w:pos="0"/>
                    </w:tabs>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斗容量≥0.5m³</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9C0709">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台</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A2E55A">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1</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376F59C">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p>
              </w:tc>
            </w:tr>
            <w:tr w14:paraId="1D43D81C">
              <w:tblPrEx>
                <w:tblCellMar>
                  <w:top w:w="0" w:type="dxa"/>
                  <w:left w:w="0" w:type="dxa"/>
                  <w:bottom w:w="0" w:type="dxa"/>
                  <w:right w:w="0" w:type="dxa"/>
                </w:tblCellMar>
              </w:tblPrEx>
              <w:trPr>
                <w:trHeight w:val="29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1253488">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16</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4A7818A">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装载机</w:t>
                  </w:r>
                </w:p>
              </w:tc>
              <w:tc>
                <w:tcPr>
                  <w:tcW w:w="20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7524FF">
                  <w:pPr>
                    <w:tabs>
                      <w:tab w:val="left" w:pos="0"/>
                    </w:tabs>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斗容量≥</w:t>
                  </w:r>
                  <w:r>
                    <w:rPr>
                      <w:rFonts w:hint="eastAsia" w:ascii="宋体" w:hAnsi="宋体" w:eastAsia="宋体" w:cs="宋体"/>
                      <w:sz w:val="24"/>
                      <w:szCs w:val="24"/>
                      <w:highlight w:val="none"/>
                      <w:lang w:val="en-US" w:eastAsia="zh-CN"/>
                    </w:rPr>
                    <w:t>1m</w:t>
                  </w:r>
                  <w:r>
                    <w:rPr>
                      <w:rFonts w:hint="eastAsia" w:ascii="宋体" w:hAnsi="宋体" w:eastAsia="宋体" w:cs="宋体"/>
                      <w:sz w:val="24"/>
                      <w:szCs w:val="24"/>
                      <w:highlight w:val="none"/>
                    </w:rPr>
                    <w:t>³</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1B9FA04">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台</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760650">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1</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C5768C6">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p>
              </w:tc>
            </w:tr>
            <w:tr w14:paraId="785C7464">
              <w:tblPrEx>
                <w:tblCellMar>
                  <w:top w:w="0" w:type="dxa"/>
                  <w:left w:w="0" w:type="dxa"/>
                  <w:bottom w:w="0" w:type="dxa"/>
                  <w:right w:w="0" w:type="dxa"/>
                </w:tblCellMar>
              </w:tblPrEx>
              <w:trPr>
                <w:trHeight w:val="303" w:hRule="atLeast"/>
                <w:jc w:val="center"/>
              </w:trPr>
              <w:tc>
                <w:tcPr>
                  <w:tcW w:w="4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33D0701">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17</w:t>
                  </w:r>
                </w:p>
              </w:tc>
              <w:tc>
                <w:tcPr>
                  <w:tcW w:w="17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0578B71">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 xml:space="preserve">发电机组 </w:t>
                  </w:r>
                </w:p>
              </w:tc>
              <w:tc>
                <w:tcPr>
                  <w:tcW w:w="20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3253FA">
                  <w:pPr>
                    <w:tabs>
                      <w:tab w:val="left" w:pos="0"/>
                    </w:tabs>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发电量≥12千瓦</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70426E">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台</w:t>
                  </w:r>
                </w:p>
              </w:tc>
              <w:tc>
                <w:tcPr>
                  <w:tcW w:w="46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845038">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1</w:t>
                  </w:r>
                </w:p>
              </w:tc>
              <w:tc>
                <w:tcPr>
                  <w:tcW w:w="13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CA45125">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p>
              </w:tc>
            </w:tr>
          </w:tbl>
          <w:p w14:paraId="5EFC4B3C">
            <w:pPr>
              <w:keepNext w:val="0"/>
              <w:keepLines w:val="0"/>
              <w:pageBreakBefore w:val="0"/>
              <w:widowControl w:val="0"/>
              <w:tabs>
                <w:tab w:val="left" w:pos="0"/>
                <w:tab w:val="left" w:pos="255"/>
              </w:tabs>
              <w:kinsoku/>
              <w:wordWrap w:val="0"/>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spacing w:val="0"/>
                <w:w w:val="100"/>
                <w:position w:val="0"/>
                <w:sz w:val="24"/>
                <w:szCs w:val="24"/>
              </w:rPr>
            </w:pPr>
            <w:r>
              <w:rPr>
                <w:rFonts w:hint="eastAsia" w:ascii="宋体" w:hAnsi="宋体" w:eastAsia="宋体" w:cs="宋体"/>
                <w:b/>
                <w:bCs/>
                <w:color w:val="auto"/>
                <w:spacing w:val="0"/>
                <w:w w:val="100"/>
                <w:position w:val="0"/>
                <w:sz w:val="24"/>
                <w:szCs w:val="24"/>
                <w:highlight w:val="none"/>
              </w:rPr>
              <w:t>注：</w:t>
            </w:r>
            <w:r>
              <w:rPr>
                <w:rFonts w:hint="eastAsia" w:ascii="宋体" w:hAnsi="宋体" w:eastAsia="宋体" w:cs="宋体"/>
                <w:color w:val="auto"/>
                <w:spacing w:val="0"/>
                <w:w w:val="100"/>
                <w:kern w:val="0"/>
                <w:position w:val="0"/>
                <w:sz w:val="24"/>
                <w:szCs w:val="24"/>
                <w:highlight w:val="none"/>
              </w:rPr>
              <w:t>投标人在所投标项目中需提供的主要机械设备和试验检测设备至少满足上表要求，应在投标文件中提交承诺函予以响应。</w:t>
            </w:r>
            <w:r>
              <w:rPr>
                <w:rFonts w:hint="eastAsia" w:ascii="宋体" w:hAnsi="宋体" w:eastAsia="宋体" w:cs="宋体"/>
                <w:b/>
                <w:bCs/>
                <w:color w:val="auto"/>
                <w:spacing w:val="0"/>
                <w:w w:val="100"/>
                <w:position w:val="0"/>
                <w:sz w:val="24"/>
                <w:szCs w:val="24"/>
                <w:highlight w:val="none"/>
              </w:rPr>
              <w:t>投标人一旦中标，应在签订合同15天内，按上表要求投入养护需要的机械设备到位，否则按违约处理。</w:t>
            </w:r>
          </w:p>
        </w:tc>
      </w:tr>
      <w:tr w14:paraId="5C941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9865" w:type="dxa"/>
            <w:gridSpan w:val="4"/>
            <w:vAlign w:val="top"/>
          </w:tcPr>
          <w:p w14:paraId="7BFFB297">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r>
              <w:rPr>
                <w:rFonts w:hint="eastAsia" w:ascii="宋体" w:hAnsi="宋体" w:eastAsia="宋体" w:cs="宋体"/>
                <w:b/>
                <w:bCs/>
                <w:spacing w:val="0"/>
                <w:w w:val="100"/>
                <w:position w:val="0"/>
                <w:sz w:val="24"/>
                <w:szCs w:val="24"/>
              </w:rPr>
              <w:t>商务要求</w:t>
            </w:r>
          </w:p>
        </w:tc>
      </w:tr>
      <w:tr w14:paraId="7DB0C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903" w:type="dxa"/>
            <w:gridSpan w:val="2"/>
            <w:vAlign w:val="top"/>
          </w:tcPr>
          <w:p w14:paraId="1B5CE6DC">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服务期限及地点</w:t>
            </w:r>
          </w:p>
        </w:tc>
        <w:tc>
          <w:tcPr>
            <w:tcW w:w="7962" w:type="dxa"/>
            <w:gridSpan w:val="2"/>
            <w:vAlign w:val="top"/>
          </w:tcPr>
          <w:p w14:paraId="2D4DFBAE">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color w:val="0000FF"/>
                <w:spacing w:val="0"/>
                <w:w w:val="100"/>
                <w:position w:val="0"/>
                <w:sz w:val="24"/>
                <w:szCs w:val="24"/>
              </w:rPr>
            </w:pPr>
            <w:r>
              <w:rPr>
                <w:rFonts w:hint="eastAsia" w:ascii="宋体" w:hAnsi="宋体" w:eastAsia="宋体" w:cs="宋体"/>
                <w:spacing w:val="0"/>
                <w:w w:val="100"/>
                <w:position w:val="0"/>
                <w:sz w:val="24"/>
                <w:szCs w:val="24"/>
              </w:rPr>
              <w:t>1.服务期限：</w:t>
            </w:r>
            <w:r>
              <w:rPr>
                <w:rFonts w:hint="eastAsia" w:ascii="宋体" w:hAnsi="宋体" w:eastAsia="宋体" w:cs="宋体"/>
                <w:spacing w:val="0"/>
                <w:w w:val="100"/>
                <w:position w:val="0"/>
                <w:sz w:val="24"/>
                <w:szCs w:val="24"/>
                <w:highlight w:val="none"/>
                <w:lang w:eastAsia="zh-CN"/>
              </w:rPr>
              <w:t>2026年5月1日至2029年4月30日</w:t>
            </w:r>
          </w:p>
          <w:p w14:paraId="5B290479">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lang w:eastAsia="zh-CN"/>
              </w:rPr>
            </w:pPr>
            <w:r>
              <w:rPr>
                <w:rFonts w:hint="eastAsia" w:ascii="宋体" w:hAnsi="宋体" w:eastAsia="宋体" w:cs="宋体"/>
                <w:spacing w:val="0"/>
                <w:w w:val="100"/>
                <w:position w:val="0"/>
                <w:sz w:val="24"/>
                <w:szCs w:val="24"/>
              </w:rPr>
              <w:t>2.服务地点：广西壮族自治区桂林市恭城县、平乐</w:t>
            </w:r>
            <w:r>
              <w:rPr>
                <w:rFonts w:hint="eastAsia" w:cs="宋体"/>
                <w:spacing w:val="0"/>
                <w:w w:val="100"/>
                <w:position w:val="0"/>
                <w:sz w:val="24"/>
                <w:szCs w:val="24"/>
                <w:lang w:eastAsia="zh-CN"/>
              </w:rPr>
              <w:t>县</w:t>
            </w:r>
            <w:r>
              <w:rPr>
                <w:rFonts w:hint="eastAsia" w:ascii="宋体" w:hAnsi="宋体" w:eastAsia="宋体" w:cs="宋体"/>
                <w:spacing w:val="0"/>
                <w:w w:val="100"/>
                <w:position w:val="0"/>
                <w:sz w:val="24"/>
                <w:szCs w:val="24"/>
              </w:rPr>
              <w:t>、阳朔县</w:t>
            </w:r>
            <w:r>
              <w:rPr>
                <w:rFonts w:hint="eastAsia" w:cs="宋体"/>
                <w:spacing w:val="0"/>
                <w:w w:val="100"/>
                <w:position w:val="0"/>
                <w:sz w:val="24"/>
                <w:szCs w:val="24"/>
                <w:lang w:eastAsia="zh-CN"/>
              </w:rPr>
              <w:t>、灌阳县。</w:t>
            </w:r>
          </w:p>
        </w:tc>
      </w:tr>
      <w:tr w14:paraId="29F46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903" w:type="dxa"/>
            <w:gridSpan w:val="2"/>
            <w:vAlign w:val="top"/>
          </w:tcPr>
          <w:p w14:paraId="13DCDF02">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合同签订时间</w:t>
            </w:r>
          </w:p>
        </w:tc>
        <w:tc>
          <w:tcPr>
            <w:tcW w:w="7962" w:type="dxa"/>
            <w:gridSpan w:val="2"/>
            <w:vAlign w:val="top"/>
          </w:tcPr>
          <w:p w14:paraId="22B3499E">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 xml:space="preserve">自中标通知书发出之日起 </w:t>
            </w:r>
            <w:r>
              <w:rPr>
                <w:rFonts w:hint="eastAsia" w:cs="宋体"/>
                <w:spacing w:val="0"/>
                <w:w w:val="100"/>
                <w:position w:val="0"/>
                <w:sz w:val="24"/>
                <w:szCs w:val="24"/>
                <w:highlight w:val="yellow"/>
                <w:lang w:val="en-US" w:eastAsia="zh-CN"/>
              </w:rPr>
              <w:t>25</w:t>
            </w:r>
            <w:r>
              <w:rPr>
                <w:rFonts w:hint="eastAsia" w:ascii="宋体" w:hAnsi="宋体" w:eastAsia="宋体" w:cs="宋体"/>
                <w:spacing w:val="0"/>
                <w:w w:val="100"/>
                <w:position w:val="0"/>
                <w:sz w:val="24"/>
                <w:szCs w:val="24"/>
              </w:rPr>
              <w:t>日内。</w:t>
            </w:r>
          </w:p>
        </w:tc>
      </w:tr>
      <w:tr w14:paraId="2332E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903" w:type="dxa"/>
            <w:gridSpan w:val="2"/>
            <w:vAlign w:val="top"/>
          </w:tcPr>
          <w:p w14:paraId="707BDEC2">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付款条件</w:t>
            </w:r>
          </w:p>
        </w:tc>
        <w:tc>
          <w:tcPr>
            <w:tcW w:w="7962" w:type="dxa"/>
            <w:gridSpan w:val="2"/>
            <w:vAlign w:val="top"/>
          </w:tcPr>
          <w:p w14:paraId="25C66375">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1、进度款的支付按合同约定的条款进行支付。</w:t>
            </w:r>
          </w:p>
          <w:p w14:paraId="7623B517">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2、每次付款中标供应商须开具相应金额发票给采购人。</w:t>
            </w:r>
          </w:p>
          <w:p w14:paraId="6EC0ED3E">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宋体" w:hAnsi="宋体" w:eastAsia="宋体" w:cs="宋体"/>
                <w:spacing w:val="0"/>
                <w:w w:val="100"/>
                <w:position w:val="0"/>
                <w:sz w:val="24"/>
                <w:szCs w:val="24"/>
              </w:rPr>
            </w:pPr>
            <w:r>
              <w:rPr>
                <w:rFonts w:hint="eastAsia" w:cs="宋体"/>
                <w:color w:val="auto"/>
                <w:sz w:val="24"/>
                <w:szCs w:val="24"/>
                <w:lang w:val="en-US" w:eastAsia="zh-CN"/>
              </w:rPr>
              <w:t>3、</w:t>
            </w:r>
            <w:r>
              <w:rPr>
                <w:rFonts w:hint="eastAsia" w:ascii="宋体" w:hAnsi="宋体" w:eastAsia="宋体" w:cs="宋体"/>
                <w:color w:val="auto"/>
                <w:sz w:val="24"/>
                <w:szCs w:val="24"/>
                <w:highlight w:val="none"/>
              </w:rPr>
              <w:t>2027年、2028年、2029年的最终金额根据发包人上级批复的部门预算情况而定。如采购人上级批复的日常养护经费预算整体调整（含减少或增加），若上级批复的</w:t>
            </w:r>
            <w:r>
              <w:rPr>
                <w:rFonts w:hint="eastAsia" w:ascii="宋体" w:hAnsi="宋体" w:eastAsia="宋体" w:cs="宋体"/>
                <w:color w:val="auto"/>
                <w:sz w:val="24"/>
                <w:szCs w:val="24"/>
                <w:highlight w:val="none"/>
                <w:lang w:val="en-US" w:eastAsia="zh-CN"/>
              </w:rPr>
              <w:t>年度</w:t>
            </w:r>
            <w:r>
              <w:rPr>
                <w:rFonts w:hint="eastAsia" w:ascii="宋体" w:hAnsi="宋体" w:eastAsia="宋体" w:cs="宋体"/>
                <w:color w:val="auto"/>
                <w:sz w:val="24"/>
                <w:szCs w:val="24"/>
                <w:highlight w:val="none"/>
              </w:rPr>
              <w:t>部门预算</w:t>
            </w:r>
            <w:r>
              <w:rPr>
                <w:rFonts w:hint="eastAsia" w:cs="宋体"/>
                <w:color w:val="auto"/>
                <w:sz w:val="24"/>
                <w:szCs w:val="24"/>
                <w:highlight w:val="none"/>
                <w:lang w:val="en-US" w:eastAsia="zh-CN"/>
              </w:rPr>
              <w:t>调整</w:t>
            </w:r>
            <w:r>
              <w:rPr>
                <w:rFonts w:hint="eastAsia" w:ascii="宋体" w:hAnsi="宋体" w:eastAsia="宋体" w:cs="宋体"/>
                <w:color w:val="auto"/>
                <w:sz w:val="24"/>
                <w:szCs w:val="24"/>
                <w:highlight w:val="none"/>
              </w:rPr>
              <w:t>幅度</w:t>
            </w:r>
            <w:r>
              <w:rPr>
                <w:rFonts w:hint="eastAsia" w:cs="宋体"/>
                <w:color w:val="auto"/>
                <w:sz w:val="24"/>
                <w:szCs w:val="24"/>
                <w:highlight w:val="none"/>
                <w:lang w:val="en-US" w:eastAsia="zh-CN"/>
              </w:rPr>
              <w:t>未超出三年合同总价10%（含本数）的，</w:t>
            </w:r>
            <w:r>
              <w:rPr>
                <w:rFonts w:hint="eastAsia" w:ascii="宋体" w:hAnsi="宋体" w:eastAsia="宋体" w:cs="宋体"/>
                <w:color w:val="auto"/>
                <w:sz w:val="24"/>
                <w:szCs w:val="24"/>
                <w:highlight w:val="none"/>
              </w:rPr>
              <w:t>按原合同</w:t>
            </w:r>
            <w:r>
              <w:rPr>
                <w:rFonts w:hint="eastAsia" w:cs="宋体"/>
                <w:color w:val="auto"/>
                <w:sz w:val="24"/>
                <w:szCs w:val="24"/>
                <w:highlight w:val="none"/>
                <w:lang w:val="en-US" w:eastAsia="zh-CN"/>
              </w:rPr>
              <w:t>单价相应调整合同总价</w:t>
            </w:r>
            <w:r>
              <w:rPr>
                <w:rFonts w:hint="eastAsia" w:ascii="宋体" w:hAnsi="宋体" w:eastAsia="宋体" w:cs="宋体"/>
                <w:color w:val="auto"/>
                <w:sz w:val="24"/>
                <w:szCs w:val="24"/>
                <w:highlight w:val="none"/>
              </w:rPr>
              <w:t>继续履行</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若上级批复的</w:t>
            </w:r>
            <w:r>
              <w:rPr>
                <w:rFonts w:hint="eastAsia" w:ascii="宋体" w:hAnsi="宋体" w:eastAsia="宋体" w:cs="宋体"/>
                <w:color w:val="auto"/>
                <w:sz w:val="24"/>
                <w:szCs w:val="24"/>
                <w:highlight w:val="none"/>
                <w:lang w:val="en-US" w:eastAsia="zh-CN"/>
              </w:rPr>
              <w:t>年度</w:t>
            </w:r>
            <w:r>
              <w:rPr>
                <w:rFonts w:hint="eastAsia" w:ascii="宋体" w:hAnsi="宋体" w:eastAsia="宋体" w:cs="宋体"/>
                <w:color w:val="auto"/>
                <w:sz w:val="24"/>
                <w:szCs w:val="24"/>
                <w:highlight w:val="none"/>
              </w:rPr>
              <w:t>部门预算</w:t>
            </w:r>
            <w:r>
              <w:rPr>
                <w:rFonts w:hint="eastAsia" w:ascii="宋体" w:hAnsi="宋体" w:eastAsia="宋体" w:cs="宋体"/>
                <w:color w:val="auto"/>
                <w:sz w:val="24"/>
                <w:szCs w:val="24"/>
                <w:highlight w:val="none"/>
                <w:lang w:val="en-US" w:eastAsia="zh-CN"/>
              </w:rPr>
              <w:t>调整减少</w:t>
            </w:r>
            <w:r>
              <w:rPr>
                <w:rFonts w:hint="eastAsia" w:ascii="宋体" w:hAnsi="宋体" w:eastAsia="宋体" w:cs="宋体"/>
                <w:color w:val="auto"/>
                <w:sz w:val="24"/>
                <w:szCs w:val="24"/>
                <w:highlight w:val="none"/>
              </w:rPr>
              <w:t>幅度超出</w:t>
            </w:r>
            <w:r>
              <w:rPr>
                <w:rFonts w:hint="eastAsia" w:cs="宋体"/>
                <w:color w:val="auto"/>
                <w:sz w:val="24"/>
                <w:szCs w:val="24"/>
                <w:highlight w:val="none"/>
                <w:lang w:val="en-US" w:eastAsia="zh-CN"/>
              </w:rPr>
              <w:t>三年合同总价10%（含本数）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由</w:t>
            </w:r>
            <w:r>
              <w:rPr>
                <w:rFonts w:hint="eastAsia" w:ascii="宋体" w:hAnsi="宋体" w:eastAsia="宋体" w:cs="宋体"/>
                <w:color w:val="auto"/>
                <w:sz w:val="24"/>
                <w:szCs w:val="24"/>
                <w:highlight w:val="none"/>
              </w:rPr>
              <w:t>双方协商解决</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rPr>
              <w:t>如达成一致的，</w:t>
            </w:r>
            <w:r>
              <w:rPr>
                <w:rFonts w:hint="eastAsia" w:ascii="宋体" w:hAnsi="宋体" w:eastAsia="宋体" w:cs="宋体"/>
                <w:color w:val="auto"/>
                <w:sz w:val="24"/>
                <w:szCs w:val="24"/>
                <w:highlight w:val="none"/>
                <w:lang w:val="en-US" w:eastAsia="zh-CN"/>
              </w:rPr>
              <w:t>调整</w:t>
            </w:r>
            <w:r>
              <w:rPr>
                <w:rFonts w:hint="eastAsia" w:ascii="宋体" w:hAnsi="宋体" w:eastAsia="宋体" w:cs="宋体"/>
                <w:color w:val="auto"/>
                <w:sz w:val="24"/>
                <w:szCs w:val="24"/>
                <w:highlight w:val="none"/>
              </w:rPr>
              <w:t>原合同单价签订补充协议；如达不成一致的，双方有权单方面终止</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，采购人及时退还承包人履约保证金，承包人须予接受，且发包人不予赔偿承包人的任何损失。</w:t>
            </w:r>
          </w:p>
        </w:tc>
      </w:tr>
      <w:tr w14:paraId="2AFFD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903" w:type="dxa"/>
            <w:gridSpan w:val="2"/>
            <w:vAlign w:val="top"/>
          </w:tcPr>
          <w:p w14:paraId="448FB433">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报价要求</w:t>
            </w:r>
          </w:p>
        </w:tc>
        <w:tc>
          <w:tcPr>
            <w:tcW w:w="7962" w:type="dxa"/>
            <w:gridSpan w:val="2"/>
            <w:vAlign w:val="top"/>
          </w:tcPr>
          <w:p w14:paraId="6A469D32">
            <w:pPr>
              <w:keepNext w:val="0"/>
              <w:keepLines w:val="0"/>
              <w:pageBreakBefore w:val="0"/>
              <w:widowControl w:val="0"/>
              <w:kinsoku/>
              <w:wordWrap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spacing w:val="0"/>
                <w:w w:val="100"/>
                <w:position w:val="0"/>
                <w:sz w:val="24"/>
                <w:szCs w:val="24"/>
                <w:highlight w:val="none"/>
                <w:lang w:val="en-US" w:eastAsia="zh-CN"/>
              </w:rPr>
            </w:pPr>
            <w:r>
              <w:rPr>
                <w:b/>
                <w:bCs/>
                <w:spacing w:val="10"/>
                <w:sz w:val="24"/>
                <w:szCs w:val="24"/>
                <w:highlight w:val="none"/>
              </w:rPr>
              <w:t>本项目投标报价采用养护</w:t>
            </w:r>
            <w:r>
              <w:rPr>
                <w:rFonts w:hint="eastAsia"/>
                <w:b/>
                <w:bCs/>
                <w:spacing w:val="10"/>
                <w:sz w:val="24"/>
                <w:szCs w:val="24"/>
                <w:highlight w:val="none"/>
                <w:lang w:val="en-US" w:eastAsia="zh-CN"/>
              </w:rPr>
              <w:t>服务工程量</w:t>
            </w:r>
            <w:r>
              <w:rPr>
                <w:b/>
                <w:bCs/>
                <w:spacing w:val="10"/>
                <w:sz w:val="24"/>
                <w:szCs w:val="24"/>
                <w:highlight w:val="none"/>
              </w:rPr>
              <w:t>清单报价。投标人应就采购人提供的养护服务</w:t>
            </w:r>
            <w:r>
              <w:rPr>
                <w:rFonts w:hint="eastAsia"/>
                <w:b/>
                <w:bCs/>
                <w:spacing w:val="10"/>
                <w:sz w:val="24"/>
                <w:szCs w:val="24"/>
                <w:highlight w:val="none"/>
                <w:lang w:val="en-US" w:eastAsia="zh-CN"/>
              </w:rPr>
              <w:t>工程量</w:t>
            </w:r>
            <w:r>
              <w:rPr>
                <w:b/>
                <w:bCs/>
                <w:spacing w:val="10"/>
                <w:sz w:val="24"/>
                <w:szCs w:val="24"/>
                <w:highlight w:val="none"/>
              </w:rPr>
              <w:t>清单</w:t>
            </w:r>
            <w:r>
              <w:rPr>
                <w:b/>
                <w:bCs/>
                <w:spacing w:val="9"/>
                <w:sz w:val="24"/>
                <w:szCs w:val="24"/>
                <w:highlight w:val="none"/>
              </w:rPr>
              <w:t>作</w:t>
            </w:r>
            <w:r>
              <w:rPr>
                <w:b/>
                <w:bCs/>
                <w:spacing w:val="10"/>
                <w:sz w:val="24"/>
                <w:szCs w:val="24"/>
                <w:highlight w:val="none"/>
              </w:rPr>
              <w:t>完整唯一报价，漏项报价的或有选择的或有条件的报价，其投标将视为无效</w:t>
            </w:r>
            <w:r>
              <w:rPr>
                <w:b/>
                <w:bCs/>
                <w:spacing w:val="9"/>
                <w:sz w:val="24"/>
                <w:szCs w:val="24"/>
                <w:highlight w:val="none"/>
              </w:rPr>
              <w:t>；投标</w:t>
            </w:r>
            <w:r>
              <w:rPr>
                <w:rFonts w:hint="eastAsia"/>
                <w:b/>
                <w:bCs/>
                <w:spacing w:val="9"/>
                <w:sz w:val="24"/>
                <w:szCs w:val="24"/>
                <w:highlight w:val="none"/>
                <w:lang w:val="en-US" w:eastAsia="zh-CN"/>
              </w:rPr>
              <w:t>总</w:t>
            </w:r>
            <w:r>
              <w:rPr>
                <w:b/>
                <w:bCs/>
                <w:spacing w:val="9"/>
                <w:sz w:val="24"/>
                <w:szCs w:val="24"/>
                <w:highlight w:val="none"/>
              </w:rPr>
              <w:t>报价</w:t>
            </w:r>
            <w:r>
              <w:rPr>
                <w:rFonts w:hint="eastAsia"/>
                <w:b/>
                <w:bCs/>
                <w:spacing w:val="9"/>
                <w:sz w:val="24"/>
                <w:szCs w:val="24"/>
                <w:highlight w:val="none"/>
                <w:lang w:val="en-US" w:eastAsia="zh-CN"/>
              </w:rPr>
              <w:t>及清单各子目报价</w:t>
            </w:r>
            <w:r>
              <w:rPr>
                <w:b/>
                <w:bCs/>
                <w:spacing w:val="9"/>
                <w:sz w:val="24"/>
                <w:szCs w:val="24"/>
                <w:highlight w:val="none"/>
              </w:rPr>
              <w:t>超过</w:t>
            </w:r>
            <w:r>
              <w:rPr>
                <w:rFonts w:hint="eastAsia"/>
                <w:b/>
                <w:bCs/>
                <w:spacing w:val="9"/>
                <w:sz w:val="24"/>
                <w:szCs w:val="24"/>
                <w:highlight w:val="none"/>
                <w:lang w:val="en-US" w:eastAsia="zh-CN"/>
              </w:rPr>
              <w:t>公布的最高限价和清单子目限价</w:t>
            </w:r>
            <w:r>
              <w:rPr>
                <w:rFonts w:hint="eastAsia" w:cs="宋体"/>
                <w:color w:val="auto"/>
                <w:spacing w:val="0"/>
                <w:w w:val="100"/>
                <w:position w:val="0"/>
                <w:sz w:val="24"/>
                <w:szCs w:val="24"/>
                <w:highlight w:val="none"/>
                <w:lang w:val="en-US" w:eastAsia="zh-CN"/>
              </w:rPr>
              <w:t>，</w:t>
            </w:r>
            <w:r>
              <w:rPr>
                <w:b/>
                <w:bCs/>
                <w:spacing w:val="10"/>
                <w:sz w:val="24"/>
                <w:szCs w:val="24"/>
                <w:highlight w:val="none"/>
              </w:rPr>
              <w:t>其投标将视为无效</w:t>
            </w:r>
            <w:r>
              <w:rPr>
                <w:b/>
                <w:bCs/>
                <w:spacing w:val="7"/>
                <w:sz w:val="24"/>
                <w:szCs w:val="24"/>
                <w:highlight w:val="none"/>
              </w:rPr>
              <w:t>。</w:t>
            </w:r>
          </w:p>
        </w:tc>
      </w:tr>
      <w:tr w14:paraId="4E451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903" w:type="dxa"/>
            <w:gridSpan w:val="2"/>
            <w:vAlign w:val="top"/>
          </w:tcPr>
          <w:p w14:paraId="652CDA77">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0" w:firstLineChars="0"/>
              <w:textAlignment w:val="baseline"/>
              <w:rPr>
                <w:rFonts w:hint="default" w:ascii="宋体" w:hAnsi="宋体" w:eastAsia="宋体" w:cs="宋体"/>
                <w:spacing w:val="0"/>
                <w:w w:val="100"/>
                <w:position w:val="0"/>
                <w:sz w:val="24"/>
                <w:szCs w:val="24"/>
                <w:lang w:val="en-US" w:eastAsia="zh-CN"/>
              </w:rPr>
            </w:pPr>
            <w:r>
              <w:rPr>
                <w:rFonts w:hint="eastAsia" w:ascii="宋体" w:hAnsi="宋体" w:eastAsia="宋体" w:cs="宋体"/>
                <w:spacing w:val="0"/>
                <w:w w:val="100"/>
                <w:position w:val="0"/>
                <w:sz w:val="24"/>
                <w:szCs w:val="24"/>
              </w:rPr>
              <w:t>验收标准</w:t>
            </w:r>
            <w:r>
              <w:rPr>
                <w:rFonts w:hint="eastAsia" w:cs="宋体"/>
                <w:spacing w:val="0"/>
                <w:w w:val="100"/>
                <w:position w:val="0"/>
                <w:sz w:val="24"/>
                <w:szCs w:val="24"/>
                <w:lang w:val="en-US" w:eastAsia="zh-CN"/>
              </w:rPr>
              <w:t>及考核办法</w:t>
            </w:r>
          </w:p>
        </w:tc>
        <w:tc>
          <w:tcPr>
            <w:tcW w:w="7962" w:type="dxa"/>
            <w:gridSpan w:val="2"/>
            <w:vAlign w:val="top"/>
          </w:tcPr>
          <w:p w14:paraId="536AB992">
            <w:pPr>
              <w:pStyle w:val="11"/>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r>
              <w:rPr>
                <w:rFonts w:hint="eastAsia" w:ascii="宋体" w:hAnsi="宋体" w:eastAsia="宋体" w:cs="宋体"/>
                <w:snapToGrid w:val="0"/>
                <w:color w:val="auto"/>
                <w:spacing w:val="0"/>
                <w:w w:val="100"/>
                <w:kern w:val="0"/>
                <w:position w:val="0"/>
                <w:sz w:val="24"/>
                <w:szCs w:val="24"/>
                <w:highlight w:val="none"/>
                <w:lang w:val="en-US" w:eastAsia="en-US" w:bidi="ar-SA"/>
              </w:rPr>
              <w:t>养护验收按</w:t>
            </w:r>
            <w:r>
              <w:rPr>
                <w:rFonts w:hint="eastAsia" w:cs="宋体"/>
                <w:snapToGrid w:val="0"/>
                <w:color w:val="auto"/>
                <w:spacing w:val="0"/>
                <w:w w:val="100"/>
                <w:kern w:val="0"/>
                <w:position w:val="0"/>
                <w:sz w:val="24"/>
                <w:szCs w:val="24"/>
                <w:highlight w:val="none"/>
                <w:lang w:val="en-US" w:eastAsia="zh-CN" w:bidi="ar-SA"/>
              </w:rPr>
              <w:t>合同文件和</w:t>
            </w:r>
            <w:r>
              <w:rPr>
                <w:rFonts w:hint="eastAsia" w:ascii="宋体" w:hAnsi="宋体" w:eastAsia="宋体" w:cs="宋体"/>
                <w:snapToGrid w:val="0"/>
                <w:color w:val="auto"/>
                <w:spacing w:val="0"/>
                <w:w w:val="100"/>
                <w:kern w:val="0"/>
                <w:position w:val="0"/>
                <w:sz w:val="24"/>
                <w:szCs w:val="24"/>
                <w:highlight w:val="none"/>
                <w:lang w:val="en-US" w:eastAsia="zh-CN" w:bidi="ar-SA"/>
              </w:rPr>
              <w:t>《附件</w:t>
            </w:r>
            <w:r>
              <w:rPr>
                <w:rFonts w:hint="eastAsia" w:cs="宋体"/>
                <w:snapToGrid w:val="0"/>
                <w:color w:val="auto"/>
                <w:spacing w:val="0"/>
                <w:w w:val="100"/>
                <w:kern w:val="0"/>
                <w:position w:val="0"/>
                <w:sz w:val="24"/>
                <w:szCs w:val="24"/>
                <w:highlight w:val="none"/>
                <w:lang w:val="en-US" w:eastAsia="zh-CN" w:bidi="ar-SA"/>
              </w:rPr>
              <w:t>一</w:t>
            </w:r>
            <w:r>
              <w:rPr>
                <w:rFonts w:hint="eastAsia" w:ascii="宋体" w:hAnsi="宋体" w:eastAsia="宋体" w:cs="宋体"/>
                <w:snapToGrid w:val="0"/>
                <w:color w:val="auto"/>
                <w:spacing w:val="0"/>
                <w:w w:val="100"/>
                <w:kern w:val="0"/>
                <w:position w:val="0"/>
                <w:sz w:val="24"/>
                <w:szCs w:val="24"/>
                <w:highlight w:val="none"/>
                <w:lang w:val="en-US" w:eastAsia="zh-CN" w:bidi="ar-SA"/>
              </w:rPr>
              <w:t>：广西壮族自治区桂林公路发展中心公路养护</w:t>
            </w:r>
            <w:r>
              <w:rPr>
                <w:rFonts w:hint="eastAsia" w:cs="宋体"/>
                <w:snapToGrid w:val="0"/>
                <w:color w:val="auto"/>
                <w:spacing w:val="0"/>
                <w:w w:val="100"/>
                <w:kern w:val="0"/>
                <w:position w:val="0"/>
                <w:sz w:val="24"/>
                <w:szCs w:val="24"/>
                <w:highlight w:val="none"/>
                <w:lang w:val="en-US" w:eastAsia="zh-CN" w:bidi="ar-SA"/>
              </w:rPr>
              <w:t>服务</w:t>
            </w:r>
            <w:r>
              <w:rPr>
                <w:rFonts w:hint="eastAsia" w:ascii="宋体" w:hAnsi="宋体" w:eastAsia="宋体" w:cs="宋体"/>
                <w:snapToGrid w:val="0"/>
                <w:color w:val="auto"/>
                <w:spacing w:val="0"/>
                <w:w w:val="100"/>
                <w:kern w:val="0"/>
                <w:position w:val="0"/>
                <w:sz w:val="24"/>
                <w:szCs w:val="24"/>
                <w:highlight w:val="none"/>
                <w:lang w:val="en-US" w:eastAsia="zh-CN" w:bidi="ar-SA"/>
              </w:rPr>
              <w:t>工作</w:t>
            </w:r>
            <w:r>
              <w:rPr>
                <w:rFonts w:hint="eastAsia" w:cs="宋体"/>
                <w:snapToGrid w:val="0"/>
                <w:color w:val="auto"/>
                <w:spacing w:val="0"/>
                <w:w w:val="100"/>
                <w:kern w:val="0"/>
                <w:position w:val="0"/>
                <w:sz w:val="24"/>
                <w:szCs w:val="24"/>
                <w:highlight w:val="none"/>
                <w:lang w:val="en-US" w:eastAsia="zh-CN" w:bidi="ar-SA"/>
              </w:rPr>
              <w:t>要求</w:t>
            </w:r>
            <w:r>
              <w:rPr>
                <w:rFonts w:hint="eastAsia" w:ascii="宋体" w:hAnsi="宋体" w:eastAsia="宋体" w:cs="宋体"/>
                <w:snapToGrid w:val="0"/>
                <w:color w:val="auto"/>
                <w:spacing w:val="0"/>
                <w:w w:val="100"/>
                <w:kern w:val="0"/>
                <w:position w:val="0"/>
                <w:sz w:val="24"/>
                <w:szCs w:val="24"/>
                <w:highlight w:val="none"/>
                <w:lang w:val="en-US" w:eastAsia="zh-CN" w:bidi="ar-SA"/>
              </w:rPr>
              <w:t>和考核</w:t>
            </w:r>
            <w:r>
              <w:rPr>
                <w:rFonts w:hint="eastAsia" w:cs="宋体"/>
                <w:snapToGrid w:val="0"/>
                <w:color w:val="auto"/>
                <w:spacing w:val="0"/>
                <w:w w:val="100"/>
                <w:kern w:val="0"/>
                <w:position w:val="0"/>
                <w:sz w:val="24"/>
                <w:szCs w:val="24"/>
                <w:highlight w:val="none"/>
                <w:lang w:val="en-US" w:eastAsia="zh-CN" w:bidi="ar-SA"/>
              </w:rPr>
              <w:t>办法</w:t>
            </w:r>
            <w:r>
              <w:rPr>
                <w:rFonts w:hint="eastAsia" w:ascii="宋体" w:hAnsi="宋体" w:eastAsia="宋体" w:cs="宋体"/>
                <w:snapToGrid w:val="0"/>
                <w:color w:val="auto"/>
                <w:spacing w:val="0"/>
                <w:w w:val="100"/>
                <w:kern w:val="0"/>
                <w:position w:val="0"/>
                <w:sz w:val="24"/>
                <w:szCs w:val="24"/>
                <w:highlight w:val="none"/>
                <w:lang w:val="en-US" w:eastAsia="zh-CN" w:bidi="ar-SA"/>
              </w:rPr>
              <w:t>》</w:t>
            </w:r>
            <w:r>
              <w:rPr>
                <w:rFonts w:hint="eastAsia" w:cs="宋体"/>
                <w:snapToGrid w:val="0"/>
                <w:color w:val="auto"/>
                <w:spacing w:val="0"/>
                <w:w w:val="100"/>
                <w:kern w:val="0"/>
                <w:position w:val="0"/>
                <w:sz w:val="24"/>
                <w:szCs w:val="24"/>
                <w:highlight w:val="none"/>
                <w:lang w:val="en-US" w:eastAsia="zh-CN" w:bidi="ar-SA"/>
              </w:rPr>
              <w:t>执行</w:t>
            </w:r>
            <w:r>
              <w:rPr>
                <w:rFonts w:hint="eastAsia" w:ascii="宋体" w:hAnsi="宋体" w:eastAsia="宋体" w:cs="宋体"/>
                <w:snapToGrid w:val="0"/>
                <w:color w:val="auto"/>
                <w:spacing w:val="0"/>
                <w:w w:val="100"/>
                <w:kern w:val="0"/>
                <w:position w:val="0"/>
                <w:sz w:val="24"/>
                <w:szCs w:val="24"/>
                <w:highlight w:val="none"/>
                <w:lang w:val="en-US" w:eastAsia="zh-CN" w:bidi="ar-SA"/>
              </w:rPr>
              <w:t>。</w:t>
            </w:r>
          </w:p>
        </w:tc>
      </w:tr>
      <w:tr w14:paraId="24D62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1903" w:type="dxa"/>
            <w:gridSpan w:val="2"/>
            <w:vAlign w:val="top"/>
          </w:tcPr>
          <w:p w14:paraId="41164ABE">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p>
          <w:p w14:paraId="304BD682">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其他要求</w:t>
            </w:r>
          </w:p>
        </w:tc>
        <w:tc>
          <w:tcPr>
            <w:tcW w:w="7962" w:type="dxa"/>
            <w:gridSpan w:val="2"/>
            <w:vAlign w:val="top"/>
          </w:tcPr>
          <w:p w14:paraId="637A96AF">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1、投标人可在投标文件中提供针对本项目提供技术方案，包括但不限于拟投入人员情况，服务方案，后续服务内容和措施等。</w:t>
            </w:r>
          </w:p>
          <w:p w14:paraId="0D2CEEEA">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0" w:firstLineChars="0"/>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2、本项目应执行国家相关标准、行业标准、地方标准。</w:t>
            </w:r>
          </w:p>
        </w:tc>
      </w:tr>
    </w:tbl>
    <w:p w14:paraId="128AC2A9">
      <w:pPr>
        <w:rPr>
          <w:rFonts w:hint="eastAsia" w:ascii="宋体" w:hAnsi="宋体" w:cs="宋体"/>
          <w:b/>
          <w:bCs/>
          <w:spacing w:val="10"/>
          <w:position w:val="1"/>
          <w:sz w:val="21"/>
          <w:szCs w:val="21"/>
          <w:lang w:eastAsia="zh-CN"/>
        </w:rPr>
      </w:pPr>
    </w:p>
    <w:p w14:paraId="6AE077E4">
      <w:pPr>
        <w:rPr>
          <w:rFonts w:hint="eastAsia" w:ascii="宋体" w:hAnsi="宋体" w:cs="宋体"/>
          <w:b/>
          <w:bCs/>
          <w:spacing w:val="10"/>
          <w:position w:val="1"/>
          <w:sz w:val="21"/>
          <w:szCs w:val="21"/>
          <w:lang w:eastAsia="zh-CN"/>
        </w:rPr>
      </w:pPr>
    </w:p>
    <w:p w14:paraId="3F7167DB">
      <w:pPr>
        <w:rPr>
          <w:rFonts w:hint="eastAsia" w:ascii="宋体" w:hAnsi="宋体" w:cs="宋体"/>
          <w:b/>
          <w:bCs/>
          <w:spacing w:val="10"/>
          <w:position w:val="1"/>
          <w:sz w:val="21"/>
          <w:szCs w:val="21"/>
          <w:lang w:eastAsia="zh-CN"/>
        </w:rPr>
      </w:pPr>
    </w:p>
    <w:p w14:paraId="562D062C">
      <w:pPr>
        <w:rPr>
          <w:rFonts w:hint="eastAsia" w:ascii="宋体" w:hAnsi="宋体" w:cs="宋体"/>
          <w:b/>
          <w:bCs/>
          <w:spacing w:val="10"/>
          <w:position w:val="1"/>
          <w:sz w:val="21"/>
          <w:szCs w:val="21"/>
          <w:lang w:eastAsia="zh-CN"/>
        </w:rPr>
      </w:pPr>
    </w:p>
    <w:p w14:paraId="4237788F">
      <w:pPr>
        <w:rPr>
          <w:rFonts w:hint="eastAsia" w:ascii="宋体" w:hAnsi="宋体"/>
          <w:spacing w:val="10"/>
          <w:position w:val="1"/>
          <w:sz w:val="24"/>
          <w:szCs w:val="24"/>
          <w:highlight w:val="none"/>
        </w:rPr>
      </w:pPr>
      <w:r>
        <w:rPr>
          <w:rFonts w:hint="eastAsia" w:ascii="宋体" w:hAnsi="宋体"/>
          <w:spacing w:val="10"/>
          <w:position w:val="1"/>
          <w:sz w:val="24"/>
          <w:szCs w:val="24"/>
          <w:highlight w:val="none"/>
        </w:rPr>
        <w:br w:type="page"/>
      </w:r>
    </w:p>
    <w:p w14:paraId="364E01DB">
      <w:pPr>
        <w:pStyle w:val="11"/>
        <w:spacing w:before="192" w:line="274" w:lineRule="exact"/>
        <w:rPr>
          <w:rFonts w:ascii="宋体" w:hAnsi="宋体"/>
          <w:b/>
          <w:bCs/>
          <w:spacing w:val="9"/>
          <w:position w:val="1"/>
          <w:sz w:val="24"/>
          <w:szCs w:val="24"/>
          <w:highlight w:val="none"/>
        </w:rPr>
      </w:pPr>
      <w:r>
        <w:rPr>
          <w:rFonts w:hint="eastAsia" w:ascii="宋体" w:hAnsi="宋体"/>
          <w:b/>
          <w:bCs/>
          <w:spacing w:val="10"/>
          <w:position w:val="1"/>
          <w:sz w:val="24"/>
          <w:szCs w:val="24"/>
          <w:highlight w:val="none"/>
        </w:rPr>
        <w:t>附件</w:t>
      </w:r>
      <w:r>
        <w:rPr>
          <w:rFonts w:hint="eastAsia" w:ascii="宋体" w:hAnsi="宋体"/>
          <w:b/>
          <w:bCs/>
          <w:spacing w:val="10"/>
          <w:position w:val="1"/>
          <w:sz w:val="24"/>
          <w:szCs w:val="24"/>
          <w:highlight w:val="none"/>
          <w:lang w:val="en-US" w:eastAsia="zh-CN"/>
        </w:rPr>
        <w:t>一</w:t>
      </w:r>
      <w:r>
        <w:rPr>
          <w:rFonts w:hint="eastAsia" w:ascii="宋体" w:hAnsi="宋体"/>
          <w:b/>
          <w:bCs/>
          <w:spacing w:val="10"/>
          <w:position w:val="1"/>
          <w:sz w:val="24"/>
          <w:szCs w:val="24"/>
          <w:highlight w:val="none"/>
        </w:rPr>
        <w:t>：</w:t>
      </w:r>
    </w:p>
    <w:p w14:paraId="055B0B99">
      <w:pPr>
        <w:pStyle w:val="11"/>
        <w:spacing w:before="192" w:line="240" w:lineRule="auto"/>
        <w:ind w:left="23"/>
        <w:jc w:val="center"/>
        <w:rPr>
          <w:rFonts w:hint="eastAsia"/>
          <w:sz w:val="30"/>
          <w:szCs w:val="30"/>
          <w:highlight w:val="none"/>
          <w:lang w:val="en-US" w:eastAsia="zh-CN"/>
        </w:rPr>
      </w:pPr>
      <w:r>
        <w:rPr>
          <w:rFonts w:hint="eastAsia"/>
          <w:sz w:val="30"/>
          <w:szCs w:val="30"/>
          <w:highlight w:val="none"/>
          <w:lang w:eastAsia="zh-CN"/>
        </w:rPr>
        <w:t>广西壮族自治区桂林公路发展中心公路养护</w:t>
      </w:r>
      <w:r>
        <w:rPr>
          <w:rFonts w:hint="eastAsia"/>
          <w:sz w:val="30"/>
          <w:szCs w:val="30"/>
          <w:highlight w:val="none"/>
          <w:lang w:val="en-US" w:eastAsia="zh-CN"/>
        </w:rPr>
        <w:t>服务</w:t>
      </w:r>
    </w:p>
    <w:p w14:paraId="721BFE47">
      <w:pPr>
        <w:pStyle w:val="11"/>
        <w:spacing w:before="192" w:line="240" w:lineRule="auto"/>
        <w:ind w:left="23"/>
        <w:jc w:val="center"/>
        <w:rPr>
          <w:rFonts w:hint="eastAsia" w:ascii="宋体" w:hAnsi="宋体"/>
          <w:spacing w:val="10"/>
          <w:position w:val="1"/>
          <w:sz w:val="30"/>
          <w:szCs w:val="30"/>
          <w:highlight w:val="none"/>
          <w:lang w:val="en-US" w:eastAsia="zh-CN"/>
        </w:rPr>
      </w:pPr>
      <w:r>
        <w:rPr>
          <w:rFonts w:hint="eastAsia"/>
          <w:sz w:val="30"/>
          <w:szCs w:val="30"/>
          <w:highlight w:val="none"/>
          <w:lang w:val="en-US" w:eastAsia="zh-CN"/>
        </w:rPr>
        <w:t>工作要求</w:t>
      </w:r>
      <w:r>
        <w:rPr>
          <w:rFonts w:hint="eastAsia"/>
          <w:sz w:val="30"/>
          <w:szCs w:val="30"/>
          <w:highlight w:val="none"/>
          <w:lang w:eastAsia="zh-CN"/>
        </w:rPr>
        <w:t>及考核办法</w:t>
      </w:r>
    </w:p>
    <w:p w14:paraId="15186656">
      <w:pPr>
        <w:pStyle w:val="11"/>
        <w:keepNext w:val="0"/>
        <w:keepLines w:val="0"/>
        <w:pageBreakBefore w:val="0"/>
        <w:kinsoku/>
        <w:wordWrap/>
        <w:overflowPunct/>
        <w:topLinePunct w:val="0"/>
        <w:autoSpaceDE/>
        <w:autoSpaceDN/>
        <w:bidi w:val="0"/>
        <w:adjustRightInd/>
        <w:snapToGrid/>
        <w:spacing w:line="360" w:lineRule="auto"/>
        <w:ind w:left="23" w:firstLine="448" w:firstLineChars="200"/>
        <w:textAlignment w:val="auto"/>
        <w:rPr>
          <w:rFonts w:hint="eastAsia" w:ascii="宋体" w:hAnsi="宋体" w:eastAsia="宋体" w:cs="宋体"/>
          <w:spacing w:val="7"/>
          <w:sz w:val="21"/>
          <w:szCs w:val="21"/>
          <w:highlight w:val="none"/>
        </w:rPr>
      </w:pPr>
    </w:p>
    <w:p w14:paraId="3BD6026F">
      <w:pPr>
        <w:pStyle w:val="11"/>
        <w:keepNext w:val="0"/>
        <w:keepLines w:val="0"/>
        <w:pageBreakBefore w:val="0"/>
        <w:kinsoku/>
        <w:wordWrap/>
        <w:overflowPunct/>
        <w:topLinePunct w:val="0"/>
        <w:autoSpaceDE/>
        <w:autoSpaceDN/>
        <w:bidi w:val="0"/>
        <w:adjustRightInd/>
        <w:snapToGrid/>
        <w:spacing w:line="360" w:lineRule="auto"/>
        <w:ind w:left="23" w:firstLine="448" w:firstLineChars="200"/>
        <w:textAlignment w:val="auto"/>
        <w:rPr>
          <w:rFonts w:hint="eastAsia" w:ascii="宋体" w:hAnsi="宋体" w:eastAsia="宋体" w:cs="宋体"/>
          <w:spacing w:val="9"/>
          <w:sz w:val="21"/>
          <w:szCs w:val="21"/>
        </w:rPr>
      </w:pPr>
      <w:r>
        <w:rPr>
          <w:rFonts w:hint="eastAsia" w:ascii="宋体" w:hAnsi="宋体" w:eastAsia="宋体" w:cs="宋体"/>
          <w:spacing w:val="7"/>
          <w:sz w:val="21"/>
          <w:szCs w:val="21"/>
          <w:highlight w:val="none"/>
        </w:rPr>
        <w:t>根据《公路养护技术标准》（</w:t>
      </w:r>
      <w:r>
        <w:rPr>
          <w:rFonts w:hint="eastAsia" w:ascii="宋体" w:hAnsi="宋体" w:eastAsia="宋体" w:cs="宋体"/>
          <w:sz w:val="21"/>
          <w:szCs w:val="21"/>
          <w:highlight w:val="none"/>
        </w:rPr>
        <w:t>JTG</w:t>
      </w:r>
      <w:r>
        <w:rPr>
          <w:rFonts w:hint="eastAsia" w:ascii="宋体" w:hAnsi="宋体" w:eastAsia="宋体" w:cs="宋体"/>
          <w:spacing w:val="7"/>
          <w:sz w:val="21"/>
          <w:szCs w:val="21"/>
          <w:highlight w:val="none"/>
        </w:rPr>
        <w:t>5110-2023）等有关政策规范要求，结</w:t>
      </w:r>
      <w:r>
        <w:rPr>
          <w:rFonts w:hint="eastAsia" w:ascii="宋体" w:hAnsi="宋体" w:eastAsia="宋体" w:cs="宋体"/>
          <w:spacing w:val="9"/>
          <w:sz w:val="21"/>
          <w:szCs w:val="21"/>
          <w:highlight w:val="none"/>
        </w:rPr>
        <w:t>合桂林辖区各县</w:t>
      </w:r>
      <w:r>
        <w:rPr>
          <w:rFonts w:hint="eastAsia" w:cs="宋体"/>
          <w:spacing w:val="9"/>
          <w:sz w:val="21"/>
          <w:szCs w:val="21"/>
          <w:highlight w:val="none"/>
          <w:lang w:val="en-US" w:eastAsia="zh-CN"/>
        </w:rPr>
        <w:t>级</w:t>
      </w:r>
      <w:r>
        <w:rPr>
          <w:rFonts w:hint="eastAsia" w:ascii="宋体" w:hAnsi="宋体" w:eastAsia="宋体" w:cs="宋体"/>
          <w:spacing w:val="9"/>
          <w:sz w:val="21"/>
          <w:szCs w:val="21"/>
          <w:highlight w:val="none"/>
        </w:rPr>
        <w:t>公路养护中心管养公路</w:t>
      </w:r>
      <w:r>
        <w:rPr>
          <w:rFonts w:hint="eastAsia" w:ascii="宋体" w:hAnsi="宋体" w:eastAsia="宋体" w:cs="宋体"/>
          <w:spacing w:val="9"/>
          <w:sz w:val="21"/>
          <w:szCs w:val="21"/>
          <w:highlight w:val="none"/>
          <w:lang w:val="en-US" w:eastAsia="zh-CN"/>
        </w:rPr>
        <w:t>的巡查检查、</w:t>
      </w:r>
      <w:r>
        <w:rPr>
          <w:rFonts w:hint="eastAsia" w:ascii="宋体" w:hAnsi="宋体" w:eastAsia="宋体" w:cs="宋体"/>
          <w:spacing w:val="9"/>
          <w:sz w:val="21"/>
          <w:szCs w:val="21"/>
          <w:highlight w:val="none"/>
        </w:rPr>
        <w:t>日常养护</w:t>
      </w:r>
      <w:r>
        <w:rPr>
          <w:rFonts w:hint="eastAsia" w:ascii="宋体" w:hAnsi="宋体" w:eastAsia="宋体" w:cs="宋体"/>
          <w:spacing w:val="9"/>
          <w:sz w:val="21"/>
          <w:szCs w:val="21"/>
          <w:highlight w:val="none"/>
          <w:lang w:val="en-US" w:eastAsia="zh-CN"/>
        </w:rPr>
        <w:t>及应急处置等</w:t>
      </w:r>
      <w:r>
        <w:rPr>
          <w:rFonts w:hint="eastAsia" w:ascii="宋体" w:hAnsi="宋体" w:eastAsia="宋体" w:cs="宋体"/>
          <w:spacing w:val="9"/>
          <w:sz w:val="21"/>
          <w:szCs w:val="21"/>
          <w:highlight w:val="none"/>
        </w:rPr>
        <w:t>实际需要，制订</w:t>
      </w:r>
      <w:r>
        <w:rPr>
          <w:rFonts w:hint="eastAsia" w:ascii="宋体" w:hAnsi="宋体" w:eastAsia="宋体" w:cs="宋体"/>
          <w:spacing w:val="10"/>
          <w:position w:val="1"/>
          <w:sz w:val="21"/>
          <w:szCs w:val="21"/>
          <w:highlight w:val="none"/>
        </w:rPr>
        <w:t>桂林公路发展中心</w:t>
      </w:r>
      <w:r>
        <w:rPr>
          <w:rFonts w:hint="eastAsia" w:ascii="宋体" w:hAnsi="宋体" w:eastAsia="宋体" w:cs="宋体"/>
          <w:spacing w:val="10"/>
          <w:position w:val="1"/>
          <w:sz w:val="21"/>
          <w:szCs w:val="21"/>
          <w:highlight w:val="none"/>
          <w:lang w:val="en-US" w:eastAsia="zh-CN"/>
        </w:rPr>
        <w:t>公路</w:t>
      </w:r>
      <w:r>
        <w:rPr>
          <w:rFonts w:hint="eastAsia" w:ascii="宋体" w:hAnsi="宋体" w:eastAsia="宋体" w:cs="宋体"/>
          <w:spacing w:val="10"/>
          <w:position w:val="1"/>
          <w:sz w:val="21"/>
          <w:szCs w:val="21"/>
          <w:highlight w:val="none"/>
        </w:rPr>
        <w:t>养护</w:t>
      </w:r>
      <w:r>
        <w:rPr>
          <w:rFonts w:hint="eastAsia" w:ascii="宋体" w:hAnsi="宋体" w:eastAsia="宋体" w:cs="宋体"/>
          <w:spacing w:val="10"/>
          <w:position w:val="1"/>
          <w:sz w:val="21"/>
          <w:szCs w:val="21"/>
          <w:highlight w:val="none"/>
          <w:lang w:val="en-US" w:eastAsia="zh-CN"/>
        </w:rPr>
        <w:t>服务</w:t>
      </w:r>
      <w:r>
        <w:rPr>
          <w:rFonts w:hint="eastAsia" w:ascii="宋体" w:hAnsi="宋体" w:eastAsia="宋体" w:cs="宋体"/>
          <w:spacing w:val="10"/>
          <w:position w:val="1"/>
          <w:sz w:val="21"/>
          <w:szCs w:val="21"/>
          <w:highlight w:val="none"/>
        </w:rPr>
        <w:t>工作</w:t>
      </w:r>
      <w:r>
        <w:rPr>
          <w:rFonts w:hint="eastAsia" w:ascii="宋体" w:hAnsi="宋体" w:eastAsia="宋体" w:cs="宋体"/>
          <w:spacing w:val="10"/>
          <w:position w:val="1"/>
          <w:sz w:val="21"/>
          <w:szCs w:val="21"/>
          <w:highlight w:val="none"/>
          <w:lang w:val="en-US" w:eastAsia="zh-CN"/>
        </w:rPr>
        <w:t>要求</w:t>
      </w:r>
      <w:r>
        <w:rPr>
          <w:rFonts w:hint="eastAsia" w:ascii="宋体" w:hAnsi="宋体" w:eastAsia="宋体" w:cs="宋体"/>
          <w:spacing w:val="10"/>
          <w:position w:val="1"/>
          <w:sz w:val="21"/>
          <w:szCs w:val="21"/>
          <w:highlight w:val="none"/>
        </w:rPr>
        <w:t>和考核</w:t>
      </w:r>
      <w:r>
        <w:rPr>
          <w:rFonts w:hint="eastAsia" w:ascii="宋体" w:hAnsi="宋体" w:eastAsia="宋体" w:cs="宋体"/>
          <w:spacing w:val="10"/>
          <w:position w:val="1"/>
          <w:sz w:val="21"/>
          <w:szCs w:val="21"/>
          <w:highlight w:val="none"/>
          <w:lang w:val="en-US" w:eastAsia="zh-CN"/>
        </w:rPr>
        <w:t>办法</w:t>
      </w:r>
      <w:r>
        <w:rPr>
          <w:rFonts w:hint="eastAsia" w:ascii="宋体" w:hAnsi="宋体" w:eastAsia="宋体" w:cs="宋体"/>
          <w:spacing w:val="9"/>
          <w:sz w:val="21"/>
          <w:szCs w:val="21"/>
          <w:highlight w:val="none"/>
        </w:rPr>
        <w:t>，</w:t>
      </w:r>
      <w:r>
        <w:rPr>
          <w:rFonts w:hint="eastAsia" w:ascii="宋体" w:hAnsi="宋体" w:eastAsia="宋体" w:cs="宋体"/>
          <w:spacing w:val="9"/>
          <w:sz w:val="21"/>
          <w:szCs w:val="21"/>
        </w:rPr>
        <w:t>适用于桂林辖区各县</w:t>
      </w:r>
      <w:r>
        <w:rPr>
          <w:rFonts w:hint="eastAsia" w:cs="宋体"/>
          <w:spacing w:val="9"/>
          <w:sz w:val="21"/>
          <w:szCs w:val="21"/>
          <w:lang w:val="en-US" w:eastAsia="zh-CN"/>
        </w:rPr>
        <w:t>级</w:t>
      </w:r>
      <w:r>
        <w:rPr>
          <w:rFonts w:hint="eastAsia" w:ascii="宋体" w:hAnsi="宋体" w:eastAsia="宋体" w:cs="宋体"/>
          <w:spacing w:val="9"/>
          <w:sz w:val="21"/>
          <w:szCs w:val="21"/>
        </w:rPr>
        <w:t>公路养护中心针对</w:t>
      </w:r>
      <w:r>
        <w:rPr>
          <w:rFonts w:hint="eastAsia" w:cs="宋体"/>
          <w:spacing w:val="9"/>
          <w:sz w:val="21"/>
          <w:szCs w:val="21"/>
          <w:lang w:val="en-US" w:eastAsia="zh-CN"/>
        </w:rPr>
        <w:t>公路养护市场化</w:t>
      </w:r>
      <w:r>
        <w:rPr>
          <w:rFonts w:hint="eastAsia" w:cs="宋体"/>
          <w:color w:val="auto"/>
          <w:spacing w:val="9"/>
          <w:sz w:val="21"/>
          <w:szCs w:val="21"/>
          <w:lang w:val="en-US" w:eastAsia="zh-CN"/>
        </w:rPr>
        <w:t>承包人</w:t>
      </w:r>
      <w:r>
        <w:rPr>
          <w:rFonts w:hint="eastAsia" w:ascii="宋体" w:hAnsi="宋体" w:eastAsia="宋体" w:cs="宋体"/>
          <w:spacing w:val="9"/>
          <w:sz w:val="21"/>
          <w:szCs w:val="21"/>
        </w:rPr>
        <w:t>日常养护服务的绩效考核</w:t>
      </w:r>
      <w:r>
        <w:rPr>
          <w:rFonts w:hint="eastAsia" w:ascii="宋体" w:hAnsi="宋体" w:eastAsia="宋体" w:cs="宋体"/>
          <w:spacing w:val="9"/>
          <w:sz w:val="21"/>
          <w:szCs w:val="21"/>
          <w:lang w:val="en-US" w:eastAsia="zh-CN"/>
        </w:rPr>
        <w:t>和管理</w:t>
      </w:r>
      <w:r>
        <w:rPr>
          <w:rFonts w:hint="eastAsia" w:ascii="宋体" w:hAnsi="宋体" w:eastAsia="宋体" w:cs="宋体"/>
          <w:spacing w:val="9"/>
          <w:sz w:val="21"/>
          <w:szCs w:val="21"/>
        </w:rPr>
        <w:t>。</w:t>
      </w:r>
    </w:p>
    <w:p w14:paraId="263AAFA1">
      <w:pPr>
        <w:keepNext w:val="0"/>
        <w:keepLines w:val="0"/>
        <w:pageBreakBefore w:val="0"/>
        <w:tabs>
          <w:tab w:val="left" w:pos="0"/>
        </w:tabs>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color w:val="auto"/>
          <w:spacing w:val="9"/>
          <w:sz w:val="28"/>
          <w:szCs w:val="28"/>
          <w:lang w:val="en-US" w:eastAsia="zh-CN"/>
        </w:rPr>
      </w:pPr>
      <w:r>
        <w:rPr>
          <w:rFonts w:hint="eastAsia" w:ascii="宋体" w:hAnsi="宋体" w:eastAsia="宋体" w:cs="宋体"/>
          <w:b/>
          <w:sz w:val="28"/>
          <w:szCs w:val="28"/>
        </w:rPr>
        <w:t>一、</w:t>
      </w:r>
      <w:r>
        <w:rPr>
          <w:rFonts w:hint="eastAsia" w:ascii="宋体" w:hAnsi="宋体" w:eastAsia="宋体" w:cs="宋体"/>
          <w:b/>
          <w:color w:val="auto"/>
          <w:sz w:val="28"/>
          <w:szCs w:val="28"/>
          <w:lang w:val="en-US" w:eastAsia="zh-CN"/>
        </w:rPr>
        <w:t>日常</w:t>
      </w:r>
      <w:r>
        <w:rPr>
          <w:rFonts w:hint="eastAsia" w:ascii="宋体" w:hAnsi="宋体" w:eastAsia="宋体" w:cs="宋体"/>
          <w:b/>
          <w:color w:val="auto"/>
          <w:sz w:val="28"/>
          <w:szCs w:val="28"/>
        </w:rPr>
        <w:t>养护服务主要内容</w:t>
      </w:r>
    </w:p>
    <w:p w14:paraId="4ED66620">
      <w:pPr>
        <w:pStyle w:val="11"/>
        <w:keepNext w:val="0"/>
        <w:keepLines w:val="0"/>
        <w:pageBreakBefore w:val="0"/>
        <w:kinsoku/>
        <w:wordWrap/>
        <w:overflowPunct/>
        <w:topLinePunct w:val="0"/>
        <w:autoSpaceDE/>
        <w:autoSpaceDN/>
        <w:bidi w:val="0"/>
        <w:adjustRightInd/>
        <w:snapToGrid/>
        <w:spacing w:line="360" w:lineRule="auto"/>
        <w:ind w:left="23" w:firstLine="420" w:firstLineChars="200"/>
        <w:textAlignment w:val="auto"/>
        <w:rPr>
          <w:rFonts w:hint="eastAsia" w:ascii="宋体" w:hAnsi="宋体" w:eastAsia="宋体" w:cs="宋体"/>
          <w:sz w:val="21"/>
          <w:szCs w:val="21"/>
        </w:rPr>
      </w:pPr>
      <w:r>
        <w:rPr>
          <w:rFonts w:hint="eastAsia" w:ascii="宋体" w:hAnsi="宋体" w:eastAsia="宋体" w:cs="宋体"/>
          <w:sz w:val="21"/>
          <w:szCs w:val="21"/>
          <w:highlight w:val="none"/>
        </w:rPr>
        <w:t>按《公路养护技术标准》(JTG5110-2023)和国家现行公路养护技术规范</w:t>
      </w:r>
      <w:r>
        <w:rPr>
          <w:rFonts w:hint="eastAsia" w:ascii="宋体" w:hAnsi="宋体" w:eastAsia="宋体" w:cs="宋体"/>
          <w:sz w:val="21"/>
          <w:szCs w:val="21"/>
        </w:rPr>
        <w:t>要求对</w:t>
      </w:r>
      <w:r>
        <w:rPr>
          <w:rFonts w:hint="eastAsia" w:ascii="宋体" w:hAnsi="宋体" w:eastAsia="宋体" w:cs="宋体"/>
          <w:sz w:val="21"/>
          <w:szCs w:val="21"/>
          <w:lang w:val="en-US" w:eastAsia="zh-CN"/>
        </w:rPr>
        <w:t>项目</w:t>
      </w:r>
      <w:r>
        <w:rPr>
          <w:rFonts w:hint="eastAsia" w:ascii="宋体" w:hAnsi="宋体" w:eastAsia="宋体" w:cs="宋体"/>
          <w:sz w:val="21"/>
          <w:szCs w:val="21"/>
        </w:rPr>
        <w:t>服务范围内的公路设施开展</w:t>
      </w:r>
      <w:r>
        <w:rPr>
          <w:rFonts w:hint="eastAsia" w:ascii="宋体" w:hAnsi="宋体" w:eastAsia="宋体" w:cs="宋体"/>
          <w:spacing w:val="0"/>
          <w:sz w:val="21"/>
          <w:szCs w:val="21"/>
          <w:lang w:eastAsia="zh-CN"/>
        </w:rPr>
        <w:t>巡查检查、日常保养（含绿化）、</w:t>
      </w:r>
      <w:r>
        <w:rPr>
          <w:rFonts w:hint="eastAsia" w:ascii="宋体" w:hAnsi="宋体" w:eastAsia="宋体" w:cs="宋体"/>
          <w:sz w:val="21"/>
          <w:szCs w:val="21"/>
          <w:lang w:eastAsia="zh-CN"/>
        </w:rPr>
        <w:t>日常维修、应急处置、冬季除冰雪、数据填报与管理、</w:t>
      </w:r>
      <w:r>
        <w:rPr>
          <w:rFonts w:hint="eastAsia" w:ascii="宋体" w:hAnsi="宋体" w:eastAsia="宋体" w:cs="宋体"/>
          <w:sz w:val="21"/>
          <w:szCs w:val="21"/>
          <w:lang w:val="en-US" w:eastAsia="zh-CN"/>
        </w:rPr>
        <w:t>安全管理、不可预见的专项养护</w:t>
      </w:r>
      <w:r>
        <w:rPr>
          <w:rFonts w:hint="eastAsia" w:ascii="宋体" w:hAnsi="宋体" w:eastAsia="宋体" w:cs="宋体"/>
          <w:sz w:val="21"/>
          <w:szCs w:val="21"/>
        </w:rPr>
        <w:t>等工作。</w:t>
      </w:r>
      <w:r>
        <w:rPr>
          <w:rFonts w:hint="eastAsia" w:ascii="宋体" w:hAnsi="宋体" w:eastAsia="宋体" w:cs="宋体"/>
          <w:sz w:val="21"/>
          <w:szCs w:val="21"/>
          <w:lang w:val="en-US" w:eastAsia="zh-CN"/>
        </w:rPr>
        <w:t>公路设施</w:t>
      </w:r>
      <w:r>
        <w:rPr>
          <w:rFonts w:hint="eastAsia" w:ascii="宋体" w:hAnsi="宋体" w:eastAsia="宋体" w:cs="宋体"/>
          <w:sz w:val="21"/>
          <w:szCs w:val="21"/>
        </w:rPr>
        <w:t>包括（但不限于）路基、路面、桥涵、隧道、交通工程及沿线设施、养护站房、停车区、服务区及候车亭等公路基础设施。</w:t>
      </w:r>
    </w:p>
    <w:p w14:paraId="20FAF9D5">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（1）巡查检查主要内容包含：按照《公路养护技术标准》(JTG 5110-2023)的内容和要求开展公路日常巡查、经常检查</w:t>
      </w:r>
      <w:r>
        <w:rPr>
          <w:rFonts w:hint="eastAsia" w:ascii="宋体" w:hAnsi="宋体" w:eastAsia="宋体" w:cs="宋体"/>
          <w:sz w:val="21"/>
          <w:szCs w:val="21"/>
          <w:lang w:eastAsia="zh-CN"/>
        </w:rPr>
        <w:t>，</w:t>
      </w:r>
      <w:r>
        <w:rPr>
          <w:rFonts w:hint="eastAsia" w:ascii="宋体" w:hAnsi="宋体" w:eastAsia="宋体" w:cs="宋体"/>
          <w:sz w:val="21"/>
          <w:szCs w:val="21"/>
        </w:rPr>
        <w:t>相关费用包含在绩效清单报价中，按绩效考核模式管理。</w:t>
      </w:r>
    </w:p>
    <w:p w14:paraId="78E34FDE">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（2）日常保养（含绿化）主要内容包含：路容保洁、路基清理、挡土墙等支挡结构物清理、路面清理、平交道口清理、桥梁清理、涵洞清理、隧道设施清理和维护、</w:t>
      </w:r>
      <w:r>
        <w:rPr>
          <w:rFonts w:hint="eastAsia" w:ascii="宋体" w:hAnsi="宋体" w:eastAsia="宋体" w:cs="宋体"/>
          <w:bCs/>
          <w:color w:val="auto"/>
          <w:spacing w:val="0"/>
          <w:w w:val="100"/>
          <w:position w:val="0"/>
          <w:sz w:val="24"/>
          <w:szCs w:val="24"/>
          <w:highlight w:val="none"/>
          <w:lang w:val="en-US" w:eastAsia="zh-CN"/>
        </w:rPr>
        <w:t>公路预警监测及信息情报板等设施维护、</w:t>
      </w:r>
      <w:r>
        <w:rPr>
          <w:rFonts w:hint="eastAsia" w:ascii="宋体" w:hAnsi="宋体" w:eastAsia="宋体" w:cs="宋体"/>
          <w:sz w:val="21"/>
          <w:szCs w:val="21"/>
        </w:rPr>
        <w:t>水沟等排水系统清理、路肩清理、标志标牌清洗、标线清洗、机械清洗护栏、停车服务区及候车亭清理、养护站房及庭院清理、路树修剪及管护、绿化花圃修剪及管护、刷白刷漆等</w:t>
      </w:r>
      <w:r>
        <w:rPr>
          <w:rFonts w:hint="eastAsia" w:ascii="宋体" w:hAnsi="宋体" w:eastAsia="宋体" w:cs="宋体"/>
          <w:sz w:val="21"/>
          <w:szCs w:val="21"/>
          <w:lang w:eastAsia="zh-CN"/>
        </w:rPr>
        <w:t>，</w:t>
      </w:r>
      <w:r>
        <w:rPr>
          <w:rFonts w:hint="eastAsia" w:ascii="宋体" w:hAnsi="宋体" w:eastAsia="宋体" w:cs="宋体"/>
          <w:sz w:val="21"/>
          <w:szCs w:val="21"/>
        </w:rPr>
        <w:t>相关费用包含在绩效清单报价中，按绩效考核模式管理。</w:t>
      </w:r>
    </w:p>
    <w:p w14:paraId="60C0F6C0">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日常维修主要内容包含：路基和支挡结构及水沟等排水系统维修、路面维修、桥梁维修、涵洞维修、隧道设施维修、交通安全设施维修、公路绿化美化、公路停车区和服务区设施维修、候车亭维修、养护站房维修及预警监测设施安装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按合同工程量清单子目计量支付，以清单模式管理。</w:t>
      </w:r>
    </w:p>
    <w:p w14:paraId="1A1DEB1C">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（4）应急处置主要内容包</w:t>
      </w:r>
      <w:r>
        <w:rPr>
          <w:rFonts w:hint="eastAsia" w:ascii="宋体" w:hAnsi="宋体" w:eastAsia="宋体" w:cs="宋体"/>
          <w:sz w:val="21"/>
          <w:szCs w:val="21"/>
        </w:rPr>
        <w:t>含：清理塌方（单处≥5m³）、清理落石（单处≥0.5m³）、清理倒伏路树及危树（地径≥10cm）、路基路面损毁修复、路基边坡防护、路侧护栏损坏修复、桥梁涵洞隧道损毁修护、冬季除冰雪等，按合同工程量清单子目计量支付，以清单模式管理。清理塌方（单处＜5m³）、清理落石（单处＜0.5m³）、清理倒伏路树及危树（地径＜10cm）、防汛排水、清理路面洒落物、交通事故清障、路基路面塌陷临时处置、涉路管线倒伏隐患清理、路侧护栏损坏临时防护、桥梁涵洞隧道垮塌临时处置，以及所有公路突发事件或灾害事件的现场警示、管控、维护、值守等，相关费用包含在绩效清单报价中，按绩效考核模式管理</w:t>
      </w:r>
      <w:r>
        <w:rPr>
          <w:rFonts w:hint="eastAsia" w:ascii="宋体" w:hAnsi="宋体" w:eastAsia="宋体" w:cs="宋体"/>
          <w:sz w:val="21"/>
          <w:szCs w:val="21"/>
          <w:highlight w:val="none"/>
        </w:rPr>
        <w:t>。</w:t>
      </w:r>
    </w:p>
    <w:p w14:paraId="00A4E9CB">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（5）冬季除冰雪主要内容包含：</w:t>
      </w:r>
      <w:r>
        <w:rPr>
          <w:rFonts w:hint="eastAsia" w:ascii="宋体" w:hAnsi="宋体" w:eastAsia="宋体" w:cs="宋体"/>
          <w:color w:val="auto"/>
          <w:sz w:val="21"/>
          <w:szCs w:val="21"/>
          <w:highlight w:val="none"/>
          <w:lang w:val="en-US" w:eastAsia="zh-CN"/>
        </w:rPr>
        <w:t>撒布融雪剂、破冰融冰等费用按合同</w:t>
      </w:r>
      <w:r>
        <w:rPr>
          <w:rFonts w:hint="eastAsia" w:ascii="宋体" w:hAnsi="宋体" w:eastAsia="宋体" w:cs="宋体"/>
          <w:color w:val="auto"/>
          <w:spacing w:val="5"/>
          <w:sz w:val="21"/>
          <w:szCs w:val="21"/>
          <w:highlight w:val="none"/>
          <w:u w:val="none"/>
          <w:lang w:val="en-US" w:eastAsia="zh-CN"/>
        </w:rPr>
        <w:t>工程量清单子目计量支付，</w:t>
      </w:r>
      <w:r>
        <w:rPr>
          <w:rFonts w:hint="eastAsia" w:ascii="宋体" w:hAnsi="宋体" w:eastAsia="宋体" w:cs="宋体"/>
          <w:color w:val="auto"/>
          <w:sz w:val="21"/>
          <w:szCs w:val="21"/>
          <w:highlight w:val="none"/>
        </w:rPr>
        <w:t>以清单</w:t>
      </w:r>
      <w:r>
        <w:rPr>
          <w:rFonts w:hint="eastAsia" w:ascii="宋体" w:hAnsi="宋体" w:eastAsia="宋体" w:cs="宋体"/>
          <w:color w:val="auto"/>
          <w:sz w:val="21"/>
          <w:szCs w:val="21"/>
          <w:highlight w:val="none"/>
          <w:lang w:val="en-US" w:eastAsia="zh-CN"/>
        </w:rPr>
        <w:t>模式</w:t>
      </w:r>
      <w:r>
        <w:rPr>
          <w:rFonts w:hint="eastAsia" w:ascii="宋体" w:hAnsi="宋体" w:eastAsia="宋体" w:cs="宋体"/>
          <w:color w:val="auto"/>
          <w:sz w:val="21"/>
          <w:szCs w:val="21"/>
          <w:highlight w:val="none"/>
        </w:rPr>
        <w:t>管理</w:t>
      </w:r>
      <w:r>
        <w:rPr>
          <w:rFonts w:hint="eastAsia" w:ascii="宋体" w:hAnsi="宋体" w:eastAsia="宋体" w:cs="宋体"/>
          <w:color w:val="auto"/>
          <w:sz w:val="21"/>
          <w:szCs w:val="21"/>
          <w:highlight w:val="none"/>
          <w:lang w:eastAsia="zh-CN"/>
        </w:rPr>
        <w:t>。</w:t>
      </w:r>
      <w:r>
        <w:rPr>
          <w:rFonts w:hint="eastAsia" w:ascii="宋体" w:hAnsi="宋体" w:eastAsia="宋体" w:cs="宋体"/>
          <w:spacing w:val="-3"/>
          <w:sz w:val="24"/>
          <w:szCs w:val="24"/>
          <w:lang w:val="en-US" w:eastAsia="zh-CN"/>
        </w:rPr>
        <w:t>除冰雪前后以及作业期间的通行引导</w:t>
      </w:r>
      <w:r>
        <w:rPr>
          <w:rFonts w:hint="eastAsia" w:ascii="宋体" w:hAnsi="宋体" w:eastAsia="宋体" w:cs="宋体"/>
          <w:sz w:val="21"/>
          <w:szCs w:val="21"/>
          <w:highlight w:val="none"/>
          <w:lang w:val="en-US" w:eastAsia="zh-CN"/>
        </w:rPr>
        <w:t>、现场警示、管控维护、现场值守等，</w:t>
      </w:r>
      <w:r>
        <w:rPr>
          <w:rFonts w:hint="eastAsia" w:ascii="宋体" w:hAnsi="宋体" w:eastAsia="宋体" w:cs="宋体"/>
          <w:color w:val="auto"/>
          <w:spacing w:val="5"/>
          <w:sz w:val="21"/>
          <w:szCs w:val="21"/>
          <w:highlight w:val="none"/>
          <w:u w:val="none"/>
          <w:lang w:val="en-US" w:eastAsia="zh-CN"/>
        </w:rPr>
        <w:t>相关费用包含在绩效清单报价中，</w:t>
      </w:r>
      <w:r>
        <w:rPr>
          <w:rFonts w:hint="eastAsia" w:ascii="宋体" w:hAnsi="宋体" w:eastAsia="宋体" w:cs="宋体"/>
          <w:color w:val="auto"/>
          <w:sz w:val="21"/>
          <w:szCs w:val="21"/>
          <w:highlight w:val="none"/>
        </w:rPr>
        <w:t>按绩效考核</w:t>
      </w:r>
      <w:r>
        <w:rPr>
          <w:rFonts w:hint="eastAsia" w:ascii="宋体" w:hAnsi="宋体" w:eastAsia="宋体" w:cs="宋体"/>
          <w:color w:val="auto"/>
          <w:sz w:val="21"/>
          <w:szCs w:val="21"/>
          <w:highlight w:val="none"/>
          <w:lang w:val="en-US" w:eastAsia="zh-CN"/>
        </w:rPr>
        <w:t>模式</w:t>
      </w:r>
      <w:r>
        <w:rPr>
          <w:rFonts w:hint="eastAsia" w:ascii="宋体" w:hAnsi="宋体" w:eastAsia="宋体" w:cs="宋体"/>
          <w:color w:val="auto"/>
          <w:sz w:val="21"/>
          <w:szCs w:val="21"/>
          <w:highlight w:val="none"/>
        </w:rPr>
        <w:t>管理</w:t>
      </w:r>
      <w:r>
        <w:rPr>
          <w:rFonts w:hint="eastAsia" w:ascii="宋体" w:hAnsi="宋体" w:eastAsia="宋体" w:cs="宋体"/>
          <w:color w:val="auto"/>
          <w:sz w:val="21"/>
          <w:szCs w:val="21"/>
          <w:highlight w:val="none"/>
          <w:lang w:eastAsia="zh-CN"/>
        </w:rPr>
        <w:t>。</w:t>
      </w:r>
    </w:p>
    <w:p w14:paraId="58E13B3C">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（6）数据填报与管理主要内容包含：养护计划、作业日志记录、日常巡查及经常检查和处置等记录、日常保养和日常维修施工作业记录、质量合格证明、应急处置及养护作业安全管理资料等</w:t>
      </w:r>
      <w:r>
        <w:rPr>
          <w:rFonts w:hint="eastAsia" w:ascii="宋体" w:hAnsi="宋体" w:eastAsia="宋体" w:cs="宋体"/>
          <w:sz w:val="21"/>
          <w:szCs w:val="21"/>
          <w:lang w:eastAsia="zh-CN"/>
        </w:rPr>
        <w:t>，</w:t>
      </w:r>
      <w:r>
        <w:rPr>
          <w:rFonts w:hint="eastAsia" w:ascii="宋体" w:hAnsi="宋体" w:eastAsia="宋体" w:cs="宋体"/>
          <w:sz w:val="21"/>
          <w:szCs w:val="21"/>
        </w:rPr>
        <w:t>相关费用包含在绩效清单报价中，按绩效考核模式管理。</w:t>
      </w:r>
    </w:p>
    <w:p w14:paraId="50149DCD">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（7）安全管理主要内容包含：成立安全组织机构、做好公路应急处置准备并建立应急机制；购买安全生产责任保险、意外险、第三者责任险等；按《公路养护安全作业规程》（JTG H30-2015）规范要求和国家现行《安全生产法》、《道路交通安全法》要求开展养护现场作业，规范公路标志服帽着装、规范设置公路养护安全作业区，涉险作业设置防护设施，开展安全技术交底和学习教育，进行养护作业安全管理；公路突发事件或灾害事件的现场警示、管控、维护、值守等，相关费用包含在绩效清单报价中，按绩效考核模式管理。</w:t>
      </w:r>
    </w:p>
    <w:p w14:paraId="632CEB83">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rPr>
        <w:t>（8）</w:t>
      </w:r>
      <w:r>
        <w:rPr>
          <w:rFonts w:hint="eastAsia" w:ascii="宋体" w:hAnsi="宋体" w:eastAsia="宋体" w:cs="宋体"/>
          <w:sz w:val="21"/>
          <w:szCs w:val="21"/>
          <w:highlight w:val="none"/>
        </w:rPr>
        <w:t>不可预见的专项养护主要内容包含：候车亭整治、重要节点路段提升（县城出入口、产业园区出入口、旅游景区出入口、省际交界路段）、公路路面防洒落治理、过境公路排水系统治堵、路域环境整治、公路护栏提升等，按合同工程量清单子目计量支付，以清单模式管理。其中保洁、清理类相关费用包含在绩效清单报价中，按绩效考核模式管理，不予计量。</w:t>
      </w:r>
    </w:p>
    <w:p w14:paraId="5A5F64A2">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（9）为适应公路养护高质量发展要求，公路日常养护作业应逐步实现机械化。</w:t>
      </w:r>
    </w:p>
    <w:p w14:paraId="63D78FB9">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①路面日常保洁应采用道路清扫车、洒水车进行清扫或冲洗，2026年起实现机械化路段覆盖率50%，2027年起实现机械化路段覆盖率100%。</w:t>
      </w:r>
    </w:p>
    <w:p w14:paraId="73D77303">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②路树应采用高枝修剪车（或综合绿化车）进行修剪，2026年起实现机械化路段覆盖率50%，2027年起实现机械化路段覆盖率100%。</w:t>
      </w:r>
    </w:p>
    <w:p w14:paraId="27580EA2">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③公路边沟应采用轮胎式挖掘机进行清理，2026年起实现机械化路段覆盖率50%，2027年起实现机械化路段覆盖率100%。</w:t>
      </w:r>
    </w:p>
    <w:p w14:paraId="4A1B5AA0">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④道路中央及两侧护栏、隧道内壁应采用清洗车刷洗，2026年起实现机械化覆盖率100%。</w:t>
      </w:r>
    </w:p>
    <w:p w14:paraId="428DC95D">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⑤路基维修、路面维修、桥涵维修、隧道维修、交通安全设施维修等宜采用机械化作业。</w:t>
      </w:r>
    </w:p>
    <w:p w14:paraId="0A2C5B29">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⑥应急处置宜采用机械化作业。</w:t>
      </w:r>
    </w:p>
    <w:p w14:paraId="127C758D">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b/>
          <w:sz w:val="21"/>
          <w:szCs w:val="21"/>
        </w:rPr>
      </w:pPr>
      <w:r>
        <w:rPr>
          <w:rFonts w:hint="eastAsia" w:ascii="宋体" w:hAnsi="宋体" w:eastAsia="宋体" w:cs="宋体"/>
          <w:sz w:val="21"/>
          <w:szCs w:val="21"/>
          <w:highlight w:val="none"/>
        </w:rPr>
        <w:t>⑦公路巡查检查应采用车载智能识别系统，2026年起实现智能巡查检查覆盖率50%以上</w:t>
      </w:r>
      <w:r>
        <w:rPr>
          <w:rFonts w:hint="eastAsia" w:ascii="宋体" w:hAnsi="宋体" w:eastAsia="宋体" w:cs="宋体"/>
          <w:sz w:val="21"/>
          <w:szCs w:val="21"/>
        </w:rPr>
        <w:t>。</w:t>
      </w:r>
    </w:p>
    <w:p w14:paraId="5A34AC70">
      <w:pPr>
        <w:keepNext w:val="0"/>
        <w:keepLines w:val="0"/>
        <w:pageBreakBefore w:val="0"/>
        <w:tabs>
          <w:tab w:val="left" w:pos="0"/>
        </w:tabs>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sz w:val="28"/>
          <w:szCs w:val="28"/>
          <w:highlight w:val="green"/>
        </w:rPr>
      </w:pPr>
      <w:r>
        <w:rPr>
          <w:rFonts w:hint="eastAsia" w:ascii="宋体" w:hAnsi="宋体" w:eastAsia="宋体" w:cs="宋体"/>
          <w:b/>
          <w:sz w:val="28"/>
          <w:szCs w:val="28"/>
        </w:rPr>
        <w:t>二、养护服务责任目标</w:t>
      </w:r>
    </w:p>
    <w:p w14:paraId="60F1B2F6">
      <w:pPr>
        <w:pStyle w:val="16"/>
        <w:keepNext w:val="0"/>
        <w:keepLines w:val="0"/>
        <w:pageBreakBefore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pacing w:val="-1"/>
          <w:sz w:val="21"/>
          <w:szCs w:val="21"/>
        </w:rPr>
      </w:pPr>
      <w:r>
        <w:rPr>
          <w:rFonts w:hint="eastAsia" w:ascii="宋体" w:hAnsi="宋体" w:eastAsia="宋体" w:cs="宋体"/>
          <w:sz w:val="21"/>
          <w:szCs w:val="21"/>
        </w:rPr>
        <w:t>服务目标：</w:t>
      </w:r>
      <w:r>
        <w:rPr>
          <w:rFonts w:hint="eastAsia" w:ascii="宋体" w:hAnsi="宋体" w:eastAsia="宋体" w:cs="宋体"/>
          <w:spacing w:val="0"/>
          <w:sz w:val="21"/>
          <w:szCs w:val="21"/>
          <w:lang w:eastAsia="zh-CN"/>
        </w:rPr>
        <w:t>巡查检查满足频率要求且覆盖率100%；日常保养（含绿化）月度考核合格率100%；日常维修清单完成率100%，质量合格率100%；公路设施至少保持现有技术状况，结构稳定，功能完整有效，符合安全使用要求；公路设施要求常态化保持无污染、无垃圾杂物、无长草、无堵塞、保持整洁美观；公路突发事件、灾害事件及冬季除冰雪等应急响应时效和处置成效达到合同约定要求；安全管理全面有效；数据填报与管理及时和完整；公路信息资料文件归档齐全</w:t>
      </w:r>
      <w:r>
        <w:rPr>
          <w:rFonts w:hint="eastAsia" w:ascii="宋体" w:hAnsi="宋体" w:eastAsia="宋体" w:cs="宋体"/>
          <w:spacing w:val="-1"/>
          <w:sz w:val="21"/>
          <w:szCs w:val="21"/>
        </w:rPr>
        <w:t>。</w:t>
      </w:r>
    </w:p>
    <w:p w14:paraId="7730E7D6">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lang w:eastAsia="zh-CN"/>
        </w:rPr>
      </w:pPr>
      <w:r>
        <w:rPr>
          <w:rFonts w:hint="eastAsia" w:ascii="宋体" w:hAnsi="宋体" w:eastAsia="宋体" w:cs="宋体"/>
          <w:spacing w:val="-1"/>
          <w:sz w:val="21"/>
          <w:szCs w:val="21"/>
          <w:lang w:val="en-US" w:eastAsia="zh-CN"/>
        </w:rPr>
        <w:t xml:space="preserve">  </w:t>
      </w:r>
      <w:r>
        <w:rPr>
          <w:rFonts w:hint="eastAsia" w:ascii="宋体" w:hAnsi="宋体" w:eastAsia="宋体" w:cs="宋体"/>
          <w:spacing w:val="-1"/>
          <w:sz w:val="21"/>
          <w:szCs w:val="21"/>
          <w:highlight w:val="none"/>
          <w:lang w:val="en-US" w:eastAsia="zh-CN"/>
        </w:rPr>
        <w:t>公路技术状况目标：</w:t>
      </w:r>
      <w:r>
        <w:rPr>
          <w:rFonts w:hint="eastAsia" w:ascii="宋体" w:hAnsi="宋体" w:eastAsia="宋体" w:cs="宋体"/>
          <w:sz w:val="21"/>
          <w:szCs w:val="21"/>
          <w:highlight w:val="none"/>
          <w:lang w:val="en-US" w:eastAsia="zh-CN"/>
        </w:rPr>
        <w:t>完成</w:t>
      </w:r>
      <w:r>
        <w:rPr>
          <w:rFonts w:hint="eastAsia" w:ascii="宋体" w:hAnsi="宋体" w:eastAsia="宋体" w:cs="宋体"/>
          <w:sz w:val="21"/>
          <w:szCs w:val="21"/>
          <w:highlight w:val="none"/>
        </w:rPr>
        <w:t>上级主管部门下达的</w:t>
      </w:r>
      <w:r>
        <w:rPr>
          <w:rFonts w:hint="eastAsia" w:ascii="宋体" w:hAnsi="宋体" w:eastAsia="宋体" w:cs="宋体"/>
          <w:sz w:val="21"/>
          <w:szCs w:val="21"/>
          <w:highlight w:val="none"/>
          <w:lang w:val="en-US" w:eastAsia="zh-CN"/>
        </w:rPr>
        <w:t>年度</w:t>
      </w:r>
      <w:r>
        <w:rPr>
          <w:rFonts w:hint="eastAsia" w:ascii="宋体" w:hAnsi="宋体" w:eastAsia="宋体" w:cs="宋体"/>
          <w:sz w:val="21"/>
          <w:szCs w:val="21"/>
          <w:highlight w:val="none"/>
        </w:rPr>
        <w:t>公路技术状况指标</w:t>
      </w:r>
      <w:r>
        <w:rPr>
          <w:rFonts w:hint="eastAsia" w:ascii="宋体" w:hAnsi="宋体" w:eastAsia="宋体" w:cs="宋体"/>
          <w:sz w:val="21"/>
          <w:szCs w:val="21"/>
          <w:highlight w:val="none"/>
          <w:lang w:val="en-US" w:eastAsia="zh-CN"/>
        </w:rPr>
        <w:t>任务</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各项公路技术状况指标每年度应不低于</w:t>
      </w:r>
      <w:r>
        <w:rPr>
          <w:rFonts w:hint="eastAsia" w:ascii="宋体" w:hAnsi="宋体" w:eastAsia="宋体" w:cs="宋体"/>
          <w:sz w:val="21"/>
          <w:szCs w:val="21"/>
          <w:highlight w:val="none"/>
          <w:lang w:val="en-US" w:eastAsia="zh-CN"/>
        </w:rPr>
        <w:t>任务指标</w:t>
      </w:r>
      <w:r>
        <w:rPr>
          <w:rFonts w:hint="eastAsia" w:ascii="宋体" w:hAnsi="宋体" w:eastAsia="宋体" w:cs="宋体"/>
          <w:sz w:val="21"/>
          <w:szCs w:val="21"/>
          <w:highlight w:val="none"/>
          <w:lang w:eastAsia="zh-CN"/>
        </w:rPr>
        <w:t>。</w:t>
      </w:r>
    </w:p>
    <w:p w14:paraId="735B6DB1">
      <w:pPr>
        <w:keepNext w:val="0"/>
        <w:keepLines w:val="0"/>
        <w:pageBreakBefore w:val="0"/>
        <w:tabs>
          <w:tab w:val="left" w:pos="0"/>
        </w:tabs>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sz w:val="21"/>
          <w:szCs w:val="21"/>
        </w:rPr>
      </w:pPr>
      <w:r>
        <w:rPr>
          <w:rFonts w:hint="eastAsia" w:ascii="宋体" w:hAnsi="宋体" w:eastAsia="宋体" w:cs="宋体"/>
          <w:sz w:val="21"/>
          <w:szCs w:val="21"/>
        </w:rPr>
        <w:t>安全生产目标：无安全责任事故。</w:t>
      </w:r>
    </w:p>
    <w:p w14:paraId="44B1E66B">
      <w:pPr>
        <w:keepNext w:val="0"/>
        <w:keepLines w:val="0"/>
        <w:pageBreakBefore w:val="0"/>
        <w:numPr>
          <w:ilvl w:val="0"/>
          <w:numId w:val="0"/>
        </w:numPr>
        <w:tabs>
          <w:tab w:val="left" w:pos="0"/>
        </w:tabs>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三、</w:t>
      </w:r>
      <w:r>
        <w:rPr>
          <w:rFonts w:hint="eastAsia" w:ascii="宋体" w:hAnsi="宋体" w:eastAsia="宋体" w:cs="宋体"/>
          <w:b/>
          <w:sz w:val="28"/>
          <w:szCs w:val="28"/>
        </w:rPr>
        <w:t>养护</w:t>
      </w:r>
      <w:r>
        <w:rPr>
          <w:rFonts w:hint="eastAsia" w:ascii="宋体" w:hAnsi="宋体" w:eastAsia="宋体" w:cs="宋体"/>
          <w:b/>
          <w:sz w:val="28"/>
          <w:szCs w:val="28"/>
          <w:lang w:val="en-US" w:eastAsia="zh-CN"/>
        </w:rPr>
        <w:t>服务主要工作内容和要求</w:t>
      </w:r>
    </w:p>
    <w:p w14:paraId="7140123F">
      <w:pPr>
        <w:keepNext w:val="0"/>
        <w:keepLines w:val="0"/>
        <w:pageBreakBefore w:val="0"/>
        <w:numPr>
          <w:ilvl w:val="0"/>
          <w:numId w:val="0"/>
        </w:numPr>
        <w:tabs>
          <w:tab w:val="left" w:pos="0"/>
        </w:tabs>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（一）基本要求</w:t>
      </w:r>
    </w:p>
    <w:p w14:paraId="76054341">
      <w:pPr>
        <w:keepNext w:val="0"/>
        <w:keepLines w:val="0"/>
        <w:pageBreakBefore w:val="0"/>
        <w:numPr>
          <w:ilvl w:val="0"/>
          <w:numId w:val="0"/>
        </w:numPr>
        <w:tabs>
          <w:tab w:val="left" w:pos="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rPr>
        <w:t>养护服务项目承包必须遵循《公路养护技术标准》（JTG5110-2023）和国家现行的公路设施养护技术规范或公路设施施工规范等要求，养护质量符合《公路养护工程质量检验评定标准》（JTG 5220-2020）合格标准或合同具体的工作要求和服务标准，养护作业安全符合《公路养护安全作业规程》（JTG H30-2015）规范要求和国家现行《安全生产法》要求</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w:t>
      </w:r>
    </w:p>
    <w:p w14:paraId="3F4A8625">
      <w:pPr>
        <w:keepNext w:val="0"/>
        <w:keepLines w:val="0"/>
        <w:pageBreakBefore w:val="0"/>
        <w:numPr>
          <w:ilvl w:val="0"/>
          <w:numId w:val="0"/>
        </w:numPr>
        <w:tabs>
          <w:tab w:val="left" w:pos="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lang w:val="en-US" w:eastAsia="zh-CN"/>
        </w:rPr>
        <w:t>2.</w:t>
      </w:r>
      <w:r>
        <w:rPr>
          <w:rFonts w:hint="eastAsia" w:ascii="宋体" w:hAnsi="宋体" w:eastAsia="宋体" w:cs="宋体"/>
          <w:bCs/>
          <w:sz w:val="21"/>
          <w:szCs w:val="21"/>
        </w:rPr>
        <w:t>每天开展承包范围内公路日常保养工作和公路巡查工作，路面严重病害出现后24小时内完成维修，防护设施损坏7天内完成维修，</w:t>
      </w:r>
      <w:r>
        <w:rPr>
          <w:rFonts w:hint="eastAsia" w:ascii="宋体" w:hAnsi="宋体" w:eastAsia="宋体" w:cs="宋体"/>
          <w:sz w:val="21"/>
          <w:szCs w:val="21"/>
        </w:rPr>
        <w:t>维修前保持警示，公路沿线交通安全设施修复周期为每月修复一遍，塌方侵占路面时间不超过2天，清理前保持警示，路面修补和预防性养护作业每年10月底前完成，</w:t>
      </w:r>
      <w:r>
        <w:rPr>
          <w:rFonts w:hint="eastAsia" w:ascii="宋体" w:hAnsi="宋体" w:eastAsia="宋体" w:cs="宋体"/>
          <w:sz w:val="21"/>
          <w:szCs w:val="21"/>
          <w:lang w:val="en-US" w:eastAsia="zh-CN"/>
        </w:rPr>
        <w:t>路侧防护损坏、</w:t>
      </w:r>
      <w:r>
        <w:rPr>
          <w:rFonts w:hint="eastAsia" w:ascii="宋体" w:hAnsi="宋体" w:eastAsia="宋体" w:cs="宋体"/>
          <w:sz w:val="21"/>
          <w:szCs w:val="21"/>
        </w:rPr>
        <w:t>路基路面塌陷</w:t>
      </w:r>
      <w:r>
        <w:rPr>
          <w:rFonts w:hint="eastAsia" w:ascii="宋体" w:hAnsi="宋体" w:eastAsia="宋体" w:cs="宋体"/>
          <w:sz w:val="21"/>
          <w:szCs w:val="21"/>
          <w:lang w:val="en-US" w:eastAsia="zh-CN"/>
        </w:rPr>
        <w:t>等险情</w:t>
      </w:r>
      <w:r>
        <w:rPr>
          <w:rFonts w:hint="eastAsia" w:ascii="宋体" w:hAnsi="宋体" w:eastAsia="宋体" w:cs="宋体"/>
          <w:sz w:val="21"/>
          <w:szCs w:val="21"/>
        </w:rPr>
        <w:t>在治理前长期保持警示，</w:t>
      </w:r>
      <w:r>
        <w:rPr>
          <w:rFonts w:hint="eastAsia" w:ascii="宋体" w:hAnsi="宋体" w:eastAsia="宋体" w:cs="宋体"/>
          <w:sz w:val="21"/>
          <w:szCs w:val="21"/>
          <w:lang w:val="en-US" w:eastAsia="zh-CN"/>
        </w:rPr>
        <w:t>应急响应在30分钟内完成，1小时抵达现场，</w:t>
      </w:r>
      <w:r>
        <w:rPr>
          <w:rFonts w:hint="eastAsia" w:ascii="宋体" w:hAnsi="宋体" w:eastAsia="宋体" w:cs="宋体"/>
          <w:sz w:val="21"/>
          <w:szCs w:val="21"/>
        </w:rPr>
        <w:t>应急抢险处置力争在当天完成，未能彻底处置的在治理前长期保持警示</w:t>
      </w:r>
      <w:r>
        <w:rPr>
          <w:rFonts w:hint="eastAsia" w:ascii="宋体" w:hAnsi="宋体" w:eastAsia="宋体" w:cs="宋体"/>
          <w:sz w:val="21"/>
          <w:szCs w:val="21"/>
          <w:lang w:val="en-US" w:eastAsia="zh-CN"/>
        </w:rPr>
        <w:t>和管控</w:t>
      </w:r>
      <w:r>
        <w:rPr>
          <w:rFonts w:hint="eastAsia" w:ascii="宋体" w:hAnsi="宋体" w:eastAsia="宋体" w:cs="宋体"/>
          <w:bCs/>
          <w:sz w:val="21"/>
          <w:szCs w:val="21"/>
        </w:rPr>
        <w:t>。</w:t>
      </w:r>
    </w:p>
    <w:p w14:paraId="1ADF62FF">
      <w:pPr>
        <w:keepNext w:val="0"/>
        <w:keepLines w:val="0"/>
        <w:pageBreakBefore w:val="0"/>
        <w:numPr>
          <w:ilvl w:val="0"/>
          <w:numId w:val="0"/>
        </w:numPr>
        <w:tabs>
          <w:tab w:val="left" w:pos="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4"/>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每天作业开展班前五分钟安全再教育再学习，购买安全生产责任险，养护作业</w:t>
      </w:r>
      <w:r>
        <w:rPr>
          <w:rFonts w:hint="eastAsia" w:ascii="宋体" w:hAnsi="宋体" w:eastAsia="宋体" w:cs="宋体"/>
          <w:spacing w:val="13"/>
          <w:w w:val="95"/>
          <w:sz w:val="21"/>
          <w:szCs w:val="21"/>
        </w:rPr>
        <w:t>人员具有保险保障</w:t>
      </w:r>
      <w:r>
        <w:rPr>
          <w:rFonts w:hint="eastAsia" w:ascii="宋体" w:hAnsi="宋体" w:eastAsia="宋体" w:cs="宋体"/>
          <w:spacing w:val="13"/>
          <w:w w:val="95"/>
          <w:sz w:val="21"/>
          <w:szCs w:val="21"/>
          <w:lang w:eastAsia="zh-CN"/>
        </w:rPr>
        <w:t>。</w:t>
      </w:r>
      <w:r>
        <w:rPr>
          <w:rFonts w:hint="eastAsia" w:ascii="宋体" w:hAnsi="宋体" w:eastAsia="宋体" w:cs="宋体"/>
          <w:sz w:val="21"/>
          <w:szCs w:val="21"/>
        </w:rPr>
        <w:t>严格落实完成发包人审批的月度作业计划或直接派发的月度工作任务</w:t>
      </w:r>
      <w:r>
        <w:rPr>
          <w:rFonts w:hint="eastAsia" w:ascii="宋体" w:hAnsi="宋体" w:eastAsia="宋体" w:cs="宋体"/>
          <w:sz w:val="21"/>
          <w:szCs w:val="21"/>
          <w:highlight w:val="none"/>
        </w:rPr>
        <w:t>单，全</w:t>
      </w:r>
      <w:r>
        <w:rPr>
          <w:rFonts w:hint="eastAsia" w:ascii="宋体" w:hAnsi="宋体" w:eastAsia="宋体" w:cs="宋体"/>
          <w:sz w:val="21"/>
          <w:szCs w:val="21"/>
        </w:rPr>
        <w:t>面安全完成合同任务，养护质量合格，公路技术状况指标达到年度责任目标标准，</w:t>
      </w:r>
      <w:r>
        <w:rPr>
          <w:rFonts w:hint="eastAsia" w:ascii="宋体" w:hAnsi="宋体" w:eastAsia="宋体" w:cs="宋体"/>
          <w:spacing w:val="-4"/>
          <w:sz w:val="21"/>
          <w:szCs w:val="21"/>
        </w:rPr>
        <w:t>承包范围路段安全运营。</w:t>
      </w:r>
    </w:p>
    <w:p w14:paraId="00C33DF9">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64" w:firstLineChars="200"/>
        <w:textAlignment w:val="auto"/>
        <w:rPr>
          <w:rFonts w:hint="eastAsia" w:cs="宋体"/>
          <w:spacing w:val="-4"/>
          <w:szCs w:val="21"/>
          <w:lang w:val="en-US" w:eastAsia="zh-CN"/>
        </w:rPr>
      </w:pPr>
      <w:r>
        <w:rPr>
          <w:rFonts w:hint="eastAsia" w:cs="宋体"/>
          <w:b/>
          <w:bCs/>
          <w:spacing w:val="-4"/>
          <w:sz w:val="24"/>
          <w:szCs w:val="24"/>
          <w:lang w:eastAsia="zh-CN"/>
        </w:rPr>
        <w:t>（</w:t>
      </w:r>
      <w:r>
        <w:rPr>
          <w:rFonts w:hint="eastAsia" w:cs="宋体"/>
          <w:b/>
          <w:bCs/>
          <w:spacing w:val="-4"/>
          <w:sz w:val="24"/>
          <w:szCs w:val="24"/>
          <w:lang w:val="en-US" w:eastAsia="zh-CN"/>
        </w:rPr>
        <w:t>二</w:t>
      </w:r>
      <w:r>
        <w:rPr>
          <w:rFonts w:hint="eastAsia" w:cs="宋体"/>
          <w:b/>
          <w:bCs/>
          <w:spacing w:val="-4"/>
          <w:sz w:val="24"/>
          <w:szCs w:val="24"/>
          <w:lang w:eastAsia="zh-CN"/>
        </w:rPr>
        <w:t>）</w:t>
      </w:r>
      <w:r>
        <w:rPr>
          <w:rFonts w:hint="eastAsia" w:cs="宋体"/>
          <w:b/>
          <w:bCs/>
          <w:spacing w:val="-4"/>
          <w:sz w:val="24"/>
          <w:szCs w:val="24"/>
          <w:lang w:val="en-US" w:eastAsia="zh-CN"/>
        </w:rPr>
        <w:t>计量模式的主要</w:t>
      </w:r>
      <w:r>
        <w:rPr>
          <w:rFonts w:hint="eastAsia" w:cs="宋体"/>
          <w:b/>
          <w:bCs/>
          <w:spacing w:val="-4"/>
          <w:sz w:val="24"/>
          <w:szCs w:val="24"/>
          <w:highlight w:val="none"/>
          <w:lang w:val="en-US" w:eastAsia="zh-CN"/>
        </w:rPr>
        <w:t>工作内</w:t>
      </w:r>
      <w:r>
        <w:rPr>
          <w:rFonts w:hint="eastAsia" w:cs="宋体"/>
          <w:b/>
          <w:bCs/>
          <w:spacing w:val="-4"/>
          <w:sz w:val="24"/>
          <w:szCs w:val="24"/>
          <w:lang w:val="en-US" w:eastAsia="zh-CN"/>
        </w:rPr>
        <w:t>容及要求</w:t>
      </w:r>
    </w:p>
    <w:p w14:paraId="4F970E5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04" w:firstLineChars="200"/>
        <w:textAlignment w:val="auto"/>
        <w:rPr>
          <w:rFonts w:hint="eastAsia" w:eastAsia="宋体" w:cs="宋体"/>
          <w:spacing w:val="-4"/>
          <w:szCs w:val="21"/>
          <w:lang w:val="en-US" w:eastAsia="zh-CN"/>
        </w:rPr>
      </w:pPr>
      <w:r>
        <w:rPr>
          <w:rFonts w:hint="eastAsia" w:cs="宋体"/>
          <w:spacing w:val="-4"/>
          <w:szCs w:val="21"/>
          <w:lang w:val="en-US" w:eastAsia="zh-CN"/>
        </w:rPr>
        <w:t xml:space="preserve">  计量模式的工作内容有：日常维修、应急处置维修、冬季除冰雪处置、不可预见的专项养护维修。</w:t>
      </w:r>
      <w:r>
        <w:rPr>
          <w:rFonts w:hint="eastAsia" w:cs="宋体"/>
          <w:szCs w:val="21"/>
        </w:rPr>
        <w:t>基本要求：日常维修、</w:t>
      </w:r>
      <w:r>
        <w:rPr>
          <w:rFonts w:hint="eastAsia" w:cs="宋体"/>
          <w:szCs w:val="21"/>
          <w:lang w:val="en-US" w:eastAsia="zh-CN"/>
        </w:rPr>
        <w:t>应急</w:t>
      </w:r>
      <w:r>
        <w:rPr>
          <w:rFonts w:hint="eastAsia" w:cs="宋体"/>
          <w:szCs w:val="21"/>
        </w:rPr>
        <w:t>的养护作业需符合公路施工技术规范和公路养护安全作业规程要求，材料质量合格，施工工艺符合规范要求，结构尺寸满足原有标准或现行标准，恢复或提升结构功能和线型。养护质量需符合现行公路养护工程质量验收标准相关要求，分项质量评定合格</w:t>
      </w:r>
      <w:r>
        <w:rPr>
          <w:rFonts w:hint="eastAsia" w:cs="宋体"/>
          <w:szCs w:val="21"/>
          <w:highlight w:val="none"/>
        </w:rPr>
        <w:t>，</w:t>
      </w:r>
      <w:r>
        <w:rPr>
          <w:rFonts w:hint="eastAsia" w:eastAsia="宋体" w:cs="宋体"/>
          <w:szCs w:val="21"/>
          <w:highlight w:val="none"/>
          <w:lang w:val="en-US" w:eastAsia="zh-CN"/>
        </w:rPr>
        <w:t>承包人</w:t>
      </w:r>
      <w:r>
        <w:rPr>
          <w:rFonts w:hint="eastAsia" w:cs="宋体"/>
          <w:szCs w:val="21"/>
          <w:highlight w:val="none"/>
        </w:rPr>
        <w:t>对作业安全和质量负责</w:t>
      </w:r>
      <w:r>
        <w:rPr>
          <w:rFonts w:hint="eastAsia" w:eastAsia="宋体" w:cs="宋体"/>
          <w:szCs w:val="21"/>
          <w:highlight w:val="none"/>
          <w:lang w:val="en-US" w:eastAsia="zh-CN"/>
        </w:rPr>
        <w:t>并</w:t>
      </w:r>
      <w:r>
        <w:rPr>
          <w:rFonts w:hint="eastAsia" w:cs="宋体"/>
          <w:szCs w:val="21"/>
          <w:highlight w:val="none"/>
        </w:rPr>
        <w:t>承担质量</w:t>
      </w:r>
      <w:r>
        <w:rPr>
          <w:rFonts w:hint="eastAsia" w:cs="宋体"/>
          <w:szCs w:val="21"/>
        </w:rPr>
        <w:t>返修费用和安全损失费用。具体工作实施根据承包人</w:t>
      </w:r>
      <w:r>
        <w:rPr>
          <w:rFonts w:hint="eastAsia" w:eastAsia="宋体" w:cs="宋体"/>
          <w:szCs w:val="21"/>
          <w:lang w:val="en-US" w:eastAsia="zh-CN"/>
        </w:rPr>
        <w:t>上报审批的</w:t>
      </w:r>
      <w:r>
        <w:rPr>
          <w:rFonts w:hint="eastAsia" w:cs="宋体"/>
          <w:szCs w:val="21"/>
        </w:rPr>
        <w:t>月度作业计划或发包人月度工作任务单的安排完成，各种公路设施损坏采用工程量清单中相关对应子目的内容措施</w:t>
      </w:r>
      <w:r>
        <w:rPr>
          <w:rFonts w:hint="eastAsia" w:cs="宋体"/>
          <w:szCs w:val="21"/>
          <w:lang w:val="en-US" w:eastAsia="zh-CN"/>
        </w:rPr>
        <w:t>和技术规范</w:t>
      </w:r>
      <w:r>
        <w:rPr>
          <w:rFonts w:hint="eastAsia" w:cs="宋体"/>
          <w:szCs w:val="21"/>
        </w:rPr>
        <w:t>进行日常维修、</w:t>
      </w:r>
      <w:r>
        <w:rPr>
          <w:rFonts w:hint="eastAsia" w:cs="宋体"/>
          <w:szCs w:val="21"/>
          <w:lang w:val="en-US" w:eastAsia="zh-CN"/>
        </w:rPr>
        <w:t>应急处置、</w:t>
      </w:r>
      <w:r>
        <w:rPr>
          <w:rFonts w:hint="eastAsia" w:cs="宋体"/>
          <w:szCs w:val="21"/>
        </w:rPr>
        <w:t>预防养护或修复养护</w:t>
      </w:r>
      <w:r>
        <w:rPr>
          <w:rFonts w:hint="eastAsia" w:cs="宋体"/>
          <w:szCs w:val="21"/>
          <w:lang w:eastAsia="zh-CN"/>
        </w:rPr>
        <w:t>。</w:t>
      </w:r>
    </w:p>
    <w:p w14:paraId="48E902C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64" w:firstLineChars="200"/>
        <w:textAlignment w:val="auto"/>
        <w:rPr>
          <w:rFonts w:hint="eastAsia" w:cs="宋体"/>
          <w:b/>
          <w:bCs/>
          <w:spacing w:val="-4"/>
          <w:sz w:val="24"/>
          <w:szCs w:val="24"/>
          <w:lang w:val="en-US" w:eastAsia="zh-CN"/>
        </w:rPr>
      </w:pPr>
      <w:r>
        <w:rPr>
          <w:rFonts w:hint="eastAsia" w:cs="宋体"/>
          <w:b/>
          <w:bCs/>
          <w:spacing w:val="-4"/>
          <w:sz w:val="24"/>
          <w:szCs w:val="24"/>
          <w:lang w:val="en-US" w:eastAsia="zh-CN"/>
        </w:rPr>
        <w:t>1.日常维修</w:t>
      </w:r>
    </w:p>
    <w:p w14:paraId="22EB724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textAlignment w:val="auto"/>
        <w:rPr>
          <w:rFonts w:cs="宋体"/>
          <w:b/>
          <w:szCs w:val="21"/>
        </w:rPr>
      </w:pPr>
      <w:r>
        <w:rPr>
          <w:rFonts w:hint="eastAsia" w:cs="宋体"/>
          <w:b/>
          <w:szCs w:val="21"/>
        </w:rPr>
        <w:t>（1）</w:t>
      </w:r>
      <w:bookmarkStart w:id="39" w:name="OLE_LINK1"/>
      <w:r>
        <w:rPr>
          <w:rFonts w:hint="eastAsia" w:cs="宋体"/>
          <w:b/>
          <w:szCs w:val="21"/>
        </w:rPr>
        <w:t>路基维修</w:t>
      </w:r>
      <w:bookmarkEnd w:id="39"/>
    </w:p>
    <w:p w14:paraId="7C84FD57">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highlight w:val="green"/>
        </w:rPr>
      </w:pPr>
      <w:r>
        <w:rPr>
          <w:rFonts w:hint="eastAsia" w:cs="宋体"/>
          <w:szCs w:val="21"/>
        </w:rPr>
        <w:t>①路肩、路缘石、路肩墙：对崩塌缺失的土路肩进行填土夯实整平，对护栏立柱埋置深度不足路段的土路肩利用清理塌方弃土进行填土夯实整平，对破损的硬路肩或路缘石、路肩墙采用C20混凝土修复，土路肩崩塌缺失需进行硬化加固的采用C20混凝土维修。</w:t>
      </w:r>
    </w:p>
    <w:p w14:paraId="4A901C59">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②挡土墙缺损维修：对砌石挡土墙裂缝或空洞采用M10水泥砂浆修补，对挡土墙崩缺损坏的部位采用C20混凝土修补，对原有格宾网石笼挡土墙出现铁丝网断裂情况采用喷射混凝土或外包混凝土方式进行加固。</w:t>
      </w:r>
    </w:p>
    <w:p w14:paraId="3A116473">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③边坡加固：对上边坡易塌方、滑坡或水毁路段及下边坡塌陷路段采用设置C20混凝土挡土墙加固，对下边坡冲毁或塌陷路段采用夯打松木桩、夯打（或钻孔安装）钢管桩、格宾网石笼挡土墙、C20混凝土挡土墙等单项或组合方式进行边坡加固。</w:t>
      </w:r>
    </w:p>
    <w:p w14:paraId="25522ACD">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④边坡防护：对上边坡坡面开裂部位和易冲刷部位采用布设防渗薄膜或水泥毯进行封水硬化处理，对上边坡易塌方或滑坡路段卸载平整边坡后，采用夯打松木桩、夯打（或钻孔安装）钢管桩、客土喷播、主动防护网、喷射混凝土等单项或组合方式进行边坡防护。</w:t>
      </w:r>
    </w:p>
    <w:p w14:paraId="2C6BECC3">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⑤塌方清理：对上边坡出现的塌方进行清理，塌方侵占路面时间不超过两天，清理前保持标志警示，恢复水沟原有尺寸、边坡修整平顺。</w:t>
      </w:r>
    </w:p>
    <w:p w14:paraId="3A5F2193">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⑥临水路段河道疏浚：对因河道堆积形成冲刷公路的河道进行河道清理改变冲刷方向，对桥下河道堆积影响</w:t>
      </w:r>
      <w:r>
        <w:rPr>
          <w:rFonts w:hint="eastAsia" w:eastAsia="宋体" w:cs="宋体"/>
          <w:szCs w:val="21"/>
          <w:highlight w:val="none"/>
          <w:lang w:val="en-US" w:eastAsia="zh-CN"/>
        </w:rPr>
        <w:t>行</w:t>
      </w:r>
      <w:r>
        <w:rPr>
          <w:rFonts w:hint="eastAsia" w:cs="宋体"/>
          <w:szCs w:val="21"/>
        </w:rPr>
        <w:t>洪的进行河道疏通清理，对冲刷形成边坡亏损缺失塌陷或支挡结构损坏或涵洞损坏的临水路段，采用夯打松木桩、夯打（或钻孔安装）钢管桩、格宾网石笼挡土墙、C20混凝土挡土墙等单项或组合方式进行边坡恢复和加固。</w:t>
      </w:r>
    </w:p>
    <w:p w14:paraId="422E546D">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textAlignment w:val="auto"/>
        <w:rPr>
          <w:rFonts w:cs="宋体"/>
          <w:b/>
          <w:szCs w:val="21"/>
        </w:rPr>
      </w:pPr>
      <w:r>
        <w:rPr>
          <w:rFonts w:hint="eastAsia" w:cs="宋体"/>
          <w:b/>
          <w:szCs w:val="21"/>
        </w:rPr>
        <w:t>（2）路面维修</w:t>
      </w:r>
    </w:p>
    <w:p w14:paraId="27BABC28">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①沥青路面轻微病害维修：对无变形的网裂、松散、啃边、泛油光滑等轻微病害，一般采用两油两料封层修补。对单处出现单条或少量开裂的路面，采用灌缝修补沥青路面裂缝。对路面易滑或交通事故易发但无严重病害路段采用摊铺式辉绿岩抗滑封层处置。</w:t>
      </w:r>
    </w:p>
    <w:p w14:paraId="54BB692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②沥青路面中等病害维修：对存在变形但没有返浆的龟裂、沉陷、车辙等，先用碎石调平，再采用两油两料封层修补；或采用铣刨加沥青混凝土罩面处理。</w:t>
      </w:r>
    </w:p>
    <w:p w14:paraId="78A28EC7">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color w:val="FF0000"/>
          <w:szCs w:val="21"/>
        </w:rPr>
      </w:pPr>
      <w:r>
        <w:rPr>
          <w:rFonts w:hint="eastAsia" w:cs="宋体"/>
          <w:szCs w:val="21"/>
        </w:rPr>
        <w:t>③沥青路面严重病害维修：对存在变形并且返浆的龟裂或平交道口修补，需进行挖除，回填级配碎石后，再采用三油三料封层修补。对路面擁包病害，一般清除旧沥青面层、基层，回填配级碎石压实后，再采用两油两料封层修补或采用铣刨加沥青混凝土罩面处理。对坑槽、变形龟裂、拥包等严重病害挖除回填后再进行三油三料封层修补或采用铣刨加沥青混凝土罩面处理。严重病害单处修补尺寸原则上超出原病害边线20-50cm，修补后的路面平整密实稳定无跳车，边缘联结紧密，线型规则整齐美观且应与路面中心线平行或垂直。病害产生后24小时内修补，当日开挖当日修补完毕。</w:t>
      </w:r>
    </w:p>
    <w:p w14:paraId="57CCC69A">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④路面热再生维修：对沥青路面坑槽、变形龟裂、拥包等严重病害，试行采用沥青路面修补一体设备对病害部位进行就地热再生修补，修补后的路面平整密实稳定无跳车，边缘联结紧密，线型规则整齐美观且应与路面中心线平行或垂直，当日开挖当日修补完毕。</w:t>
      </w:r>
    </w:p>
    <w:p w14:paraId="6C62586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⑤</w:t>
      </w:r>
      <w:r>
        <w:rPr>
          <w:rFonts w:hint="eastAsia" w:cs="宋体"/>
          <w:bCs/>
          <w:szCs w:val="21"/>
        </w:rPr>
        <w:t>沥青路面预防性养护</w:t>
      </w:r>
      <w:r>
        <w:rPr>
          <w:rFonts w:hint="eastAsia" w:cs="宋体"/>
          <w:szCs w:val="21"/>
        </w:rPr>
        <w:t>：对存在沥青路面连片出现轻微或中等病害或单处病害大于20m</w:t>
      </w:r>
      <w:r>
        <w:rPr>
          <w:rFonts w:hint="eastAsia" w:cs="宋体"/>
          <w:szCs w:val="21"/>
          <w:vertAlign w:val="superscript"/>
        </w:rPr>
        <w:t>2</w:t>
      </w:r>
      <w:r>
        <w:rPr>
          <w:rFonts w:hint="eastAsia" w:cs="宋体"/>
          <w:szCs w:val="21"/>
        </w:rPr>
        <w:t>，应安排</w:t>
      </w:r>
      <w:r>
        <w:rPr>
          <w:rFonts w:hint="eastAsia" w:cs="宋体"/>
          <w:bCs/>
          <w:szCs w:val="21"/>
        </w:rPr>
        <w:t>沥青路面预防性养护，</w:t>
      </w:r>
      <w:r>
        <w:rPr>
          <w:rFonts w:hint="eastAsia" w:cs="宋体"/>
          <w:szCs w:val="21"/>
        </w:rPr>
        <w:t>一般采用三油三料封层修补，也可采用铣刨厚度4cm后回填厚度4cmAC-16沥青混凝土修补。要求单处修补尺寸原则上长不小于5米宽不小于半幅，维修后路面PQI值同比不下降，一般应从5月份开始9月底结束。</w:t>
      </w:r>
    </w:p>
    <w:p w14:paraId="223CCBC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 xml:space="preserve">沥青路面维修后的路面平整密实稳定，衔接平顺无跳车现象，维修边线线型规则整齐美观且应与路面中心线平行或垂直。 </w:t>
      </w:r>
    </w:p>
    <w:p w14:paraId="4F4F0D7F">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⑥水泥路面轻微病害维修：对水泥路面出现未错台的少量断板开裂，采用灌缝修补水泥混凝土路面裂缝。对板面出现少量坑洞或松散脱落，凿边修整后采用两油两料封层修补，对坑洞采用沥青碎石填补。</w:t>
      </w:r>
    </w:p>
    <w:p w14:paraId="22DF0885">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b/>
          <w:bCs/>
          <w:szCs w:val="21"/>
        </w:rPr>
      </w:pPr>
      <w:r>
        <w:rPr>
          <w:rFonts w:hint="eastAsia" w:cs="宋体"/>
          <w:szCs w:val="21"/>
        </w:rPr>
        <w:t>⑦</w:t>
      </w:r>
      <w:r>
        <w:rPr>
          <w:rFonts w:hint="eastAsia" w:cs="宋体"/>
          <w:bCs/>
          <w:szCs w:val="21"/>
        </w:rPr>
        <w:t>水泥路面严重病害维修及预防性养护：</w:t>
      </w:r>
      <w:r>
        <w:rPr>
          <w:rFonts w:hint="eastAsia" w:cs="宋体"/>
          <w:szCs w:val="21"/>
        </w:rPr>
        <w:t>对存在路面出现错台断板或连片出现连续断板等病害或单处病害大于20m</w:t>
      </w:r>
      <w:r>
        <w:rPr>
          <w:rFonts w:hint="eastAsia" w:cs="宋体"/>
          <w:szCs w:val="21"/>
          <w:vertAlign w:val="superscript"/>
        </w:rPr>
        <w:t>2</w:t>
      </w:r>
      <w:r>
        <w:rPr>
          <w:rFonts w:hint="eastAsia" w:cs="宋体"/>
          <w:szCs w:val="21"/>
        </w:rPr>
        <w:t>，应安排</w:t>
      </w:r>
      <w:r>
        <w:rPr>
          <w:rFonts w:hint="eastAsia" w:cs="宋体"/>
          <w:bCs/>
          <w:szCs w:val="21"/>
        </w:rPr>
        <w:t>水泥路面严重病害维修或预防性养护</w:t>
      </w:r>
      <w:r>
        <w:rPr>
          <w:rFonts w:hint="eastAsia" w:cs="宋体"/>
          <w:szCs w:val="21"/>
        </w:rPr>
        <w:t>，一般采用碎石化+面层处治修补。即对水泥路面开裂、断板、下沉等病害采用简易碎石化加铺三油三料封层或沥青混凝土面层修补。使用的沥青和碎石材料必须合格，沥青用量控制符合现行沥青路面施工规范要求，材料质量合格，单处修补尺寸原则上达到一块水泥板，修补后的路面平整密实稳定，衔接平顺无跳车现象，边线线型规则整齐美观且应与路面中心线平行或垂直，路面PQI值同比不下降。一般应从5月份开始9月底结束。</w:t>
      </w:r>
    </w:p>
    <w:p w14:paraId="4970A83E">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⑧</w:t>
      </w:r>
      <w:r>
        <w:rPr>
          <w:rFonts w:hint="eastAsia" w:cs="宋体"/>
          <w:bCs/>
          <w:szCs w:val="21"/>
        </w:rPr>
        <w:t>路面封缝：</w:t>
      </w:r>
      <w:r>
        <w:rPr>
          <w:rFonts w:hint="eastAsia" w:cs="宋体"/>
          <w:szCs w:val="21"/>
        </w:rPr>
        <w:t>对水泥路面中缝、构造缝、施工缝、胀缝、断板轻裂缝、沥青路面横向或纵向单缝采用热沥青灌缝处理，热沥青贯入深度宜达到3-5cm，沥青溢出缝顶面宽不宜大于2cm，铺撒石屑或石粉封盖沥青，封缝后能达到有效防水渗漏，平顺不跳车，尽量避免污染标线，9月份完成。</w:t>
      </w:r>
    </w:p>
    <w:p w14:paraId="1FFBF353">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textAlignment w:val="auto"/>
        <w:rPr>
          <w:rFonts w:cs="宋体"/>
          <w:b/>
          <w:szCs w:val="21"/>
        </w:rPr>
      </w:pPr>
      <w:r>
        <w:rPr>
          <w:rFonts w:hint="eastAsia" w:cs="宋体"/>
          <w:b/>
          <w:szCs w:val="21"/>
        </w:rPr>
        <w:t>（3）桥涵维修</w:t>
      </w:r>
    </w:p>
    <w:p w14:paraId="66934756">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①桥涵安全防护：对桥头护栏空缺段采用增加C</w:t>
      </w:r>
      <w:r>
        <w:rPr>
          <w:rFonts w:hint="eastAsia" w:cs="宋体"/>
          <w:szCs w:val="21"/>
          <w:vertAlign w:val="subscript"/>
        </w:rPr>
        <w:t>30</w:t>
      </w:r>
      <w:r>
        <w:rPr>
          <w:rFonts w:hint="eastAsia" w:cs="宋体"/>
          <w:szCs w:val="21"/>
        </w:rPr>
        <w:t>钢筋混凝土墙式或安装波形梁钢护栏处理，对桥下空间存在农村公路或人行步道的桥梁设置防抛网和警示标志，提升桥梁防护安全。对桥梁人行道钢管栏杆进行刷漆防锈处理，对桥梁护栏损坏的进行原样更换。对桥头跳车采用沥青封层路面调平。对较陡峭的桥梁检查步道增设钢管栏杆。对桥下河道堆积影响行洪的进行河道疏通清理。对损坏缺失的桥梁标志进行更换或增设。对涵洞进水口高差较大的深跌井采用安装钢筋网进行防坠落防护。</w:t>
      </w:r>
    </w:p>
    <w:p w14:paraId="60BA642F">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②伸缩缝无缝化处理：对伸缩缝进行填充W810-Ⅲ新型桥梁伸缩缝专用密封胶，形成可塑变形免清理功能。</w:t>
      </w:r>
    </w:p>
    <w:p w14:paraId="7758C8B0">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③伸缩缝维修：对伸缩缝锚固区破碎而异型钢有效的伸缩缝进行混凝土更换，对伸缩缝破损异型钢失效的或变形量不足形成挤压的伸缩缝进行整体更换，旧混凝土清除干净，采用C</w:t>
      </w:r>
      <w:r>
        <w:rPr>
          <w:rFonts w:hint="eastAsia" w:cs="宋体"/>
          <w:szCs w:val="21"/>
          <w:vertAlign w:val="subscript"/>
        </w:rPr>
        <w:t>40</w:t>
      </w:r>
      <w:r>
        <w:rPr>
          <w:rFonts w:hint="eastAsia" w:cs="宋体"/>
          <w:szCs w:val="21"/>
        </w:rPr>
        <w:t>快凝混凝土，恢复混凝土锚固作用及伸缩缝功能。</w:t>
      </w:r>
    </w:p>
    <w:p w14:paraId="32119F88">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④桥涵圬工结构维修：对桥台翼墙、基础、锥坡、</w:t>
      </w:r>
      <w:r>
        <w:rPr>
          <w:rFonts w:hint="eastAsia" w:cs="宋体"/>
          <w:color w:val="auto"/>
          <w:szCs w:val="21"/>
          <w:highlight w:val="none"/>
        </w:rPr>
        <w:t>砌</w:t>
      </w:r>
      <w:r>
        <w:rPr>
          <w:rFonts w:hint="eastAsia" w:eastAsia="宋体" w:cs="宋体"/>
          <w:color w:val="auto"/>
          <w:szCs w:val="21"/>
          <w:highlight w:val="none"/>
          <w:lang w:val="en-US" w:eastAsia="zh-CN"/>
        </w:rPr>
        <w:t>体</w:t>
      </w:r>
      <w:r>
        <w:rPr>
          <w:rFonts w:hint="eastAsia" w:cs="宋体"/>
          <w:color w:val="auto"/>
          <w:szCs w:val="21"/>
          <w:highlight w:val="none"/>
        </w:rPr>
        <w:t>检</w:t>
      </w:r>
      <w:r>
        <w:rPr>
          <w:rFonts w:hint="eastAsia" w:cs="宋体"/>
          <w:szCs w:val="21"/>
        </w:rPr>
        <w:t>查步道、涵洞进出水口、基础、洞身等结构缺损采用</w:t>
      </w:r>
      <w:r>
        <w:rPr>
          <w:rFonts w:hint="eastAsia" w:eastAsia="宋体" w:cs="宋体"/>
          <w:szCs w:val="21"/>
          <w:lang w:val="en-US" w:eastAsia="zh-CN"/>
        </w:rPr>
        <w:t>C</w:t>
      </w:r>
      <w:r>
        <w:rPr>
          <w:rFonts w:hint="eastAsia" w:cs="宋体"/>
          <w:szCs w:val="21"/>
          <w:vertAlign w:val="subscript"/>
          <w:lang w:val="en-US" w:eastAsia="zh-CN"/>
        </w:rPr>
        <w:t>2</w:t>
      </w:r>
      <w:r>
        <w:rPr>
          <w:rFonts w:hint="eastAsia" w:cs="宋体"/>
          <w:szCs w:val="21"/>
          <w:vertAlign w:val="subscript"/>
        </w:rPr>
        <w:t>0</w:t>
      </w:r>
      <w:r>
        <w:rPr>
          <w:rFonts w:hint="eastAsia" w:cs="宋体"/>
          <w:szCs w:val="21"/>
        </w:rPr>
        <w:t>混凝土修补，桥梁锥坡冲毁的采用格宾网石笼护坡维修。外观平整，恢复或提升结构原有功能和线型。</w:t>
      </w:r>
    </w:p>
    <w:p w14:paraId="41B2B0DD">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⑤铁制检查步道维修：对铁制检查步梯进行更换踏板，对铁制构件进行除锈防锈处理，恢复或提升步梯稳固通行功能。</w:t>
      </w:r>
    </w:p>
    <w:p w14:paraId="3862400F">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⑥桥涵裂缝或露筋维修：对桥面轻微裂缝采用沥青灌缝修补，对桥面露筋采用环氧砂浆封闭修补，对桥面坑洞采用沥青碎石填补，对桥台、桥墩、盖梁、伸缩缝、人行道、混凝土护栏、锥坡、引道翼墙、涵洞洞身、涵洞进出水口、急流槽等裂缝采用M</w:t>
      </w:r>
      <w:r>
        <w:rPr>
          <w:rFonts w:hint="eastAsia" w:cs="宋体"/>
          <w:szCs w:val="21"/>
          <w:vertAlign w:val="subscript"/>
        </w:rPr>
        <w:t>10</w:t>
      </w:r>
      <w:r>
        <w:rPr>
          <w:rFonts w:hint="eastAsia" w:cs="宋体"/>
          <w:szCs w:val="21"/>
        </w:rPr>
        <w:t>水泥砂浆修补或环氧树酯胶封闭修补，桥涵结构露筋的采用环氧砂浆或M</w:t>
      </w:r>
      <w:r>
        <w:rPr>
          <w:rFonts w:hint="eastAsia" w:cs="宋体"/>
          <w:szCs w:val="21"/>
          <w:vertAlign w:val="subscript"/>
        </w:rPr>
        <w:t>10</w:t>
      </w:r>
      <w:r>
        <w:rPr>
          <w:rFonts w:hint="eastAsia" w:cs="宋体"/>
          <w:szCs w:val="21"/>
        </w:rPr>
        <w:t>水泥砂浆封闭修补。达到有效封闭水防渗透及防锈蚀作用。</w:t>
      </w:r>
    </w:p>
    <w:p w14:paraId="7A7414A2">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⑦桥梁支座维修：对破损的桥梁支座进行整体抬升更换，更换的支座须达到原支座尺寸和强度。</w:t>
      </w:r>
    </w:p>
    <w:p w14:paraId="42DCF4C1">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⑧涵洞增设或改造：对路基长期积水无排水出口的路段或因水毁或人为因素造成原有涵洞失效的，应进行涵洞增设或改造，一般采用Φ1.0</w:t>
      </w:r>
      <w:r>
        <w:rPr>
          <w:rFonts w:hint="eastAsia" w:eastAsia="宋体" w:cs="宋体"/>
          <w:szCs w:val="21"/>
          <w:lang w:val="en-US" w:eastAsia="zh-CN"/>
        </w:rPr>
        <w:t>m</w:t>
      </w:r>
      <w:r>
        <w:rPr>
          <w:rFonts w:hint="eastAsia" w:cs="宋体"/>
          <w:szCs w:val="21"/>
        </w:rPr>
        <w:t>圆管涵进行新建或接长，解决路基积水和防止路基冲刷及渗水浸泡损坏。</w:t>
      </w:r>
    </w:p>
    <w:p w14:paraId="42223BF1">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textAlignment w:val="auto"/>
        <w:rPr>
          <w:rFonts w:cs="宋体"/>
          <w:b/>
          <w:szCs w:val="21"/>
        </w:rPr>
      </w:pPr>
      <w:r>
        <w:rPr>
          <w:rFonts w:hint="eastAsia" w:cs="宋体"/>
          <w:b/>
          <w:szCs w:val="21"/>
        </w:rPr>
        <w:t>（4）水沟维修</w:t>
      </w:r>
    </w:p>
    <w:p w14:paraId="63E13E50">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①圬工结构维修：对边沟、排水沟、截水沟、急流槽等排水设施等结构裂缝采用M</w:t>
      </w:r>
      <w:r>
        <w:rPr>
          <w:rFonts w:hint="eastAsia" w:cs="宋体"/>
          <w:szCs w:val="21"/>
          <w:vertAlign w:val="subscript"/>
        </w:rPr>
        <w:t>10</w:t>
      </w:r>
      <w:r>
        <w:rPr>
          <w:rFonts w:hint="eastAsia" w:cs="宋体"/>
          <w:szCs w:val="21"/>
        </w:rPr>
        <w:t>水泥砂浆修补或环氧树酯胶封闭修补，结构缺损采用C</w:t>
      </w:r>
      <w:r>
        <w:rPr>
          <w:rFonts w:hint="eastAsia" w:eastAsia="宋体" w:cs="宋体"/>
          <w:szCs w:val="21"/>
          <w:highlight w:val="none"/>
          <w:vertAlign w:val="subscript"/>
          <w:lang w:val="en-US" w:eastAsia="zh-CN"/>
        </w:rPr>
        <w:t>20</w:t>
      </w:r>
      <w:r>
        <w:rPr>
          <w:rFonts w:hint="eastAsia" w:cs="宋体"/>
          <w:szCs w:val="21"/>
        </w:rPr>
        <w:t>混凝土修复，外观平整，恢复或提升水沟墙防水功能及线型。</w:t>
      </w:r>
    </w:p>
    <w:p w14:paraId="67B26DDB">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highlight w:val="none"/>
        </w:rPr>
      </w:pPr>
      <w:r>
        <w:rPr>
          <w:rFonts w:hint="eastAsia" w:cs="宋体"/>
          <w:szCs w:val="21"/>
        </w:rPr>
        <w:t>②盖板维修：对平交道口等需要通行车辆</w:t>
      </w:r>
      <w:r>
        <w:rPr>
          <w:rFonts w:hint="eastAsia" w:cs="宋体"/>
          <w:szCs w:val="21"/>
          <w:highlight w:val="none"/>
        </w:rPr>
        <w:t>的损坏盖板，采用更换C</w:t>
      </w:r>
      <w:r>
        <w:rPr>
          <w:rFonts w:hint="eastAsia" w:cs="宋体"/>
          <w:szCs w:val="21"/>
          <w:highlight w:val="none"/>
          <w:vertAlign w:val="subscript"/>
        </w:rPr>
        <w:t>30</w:t>
      </w:r>
      <w:r>
        <w:rPr>
          <w:rFonts w:hint="eastAsia" w:cs="宋体"/>
          <w:szCs w:val="21"/>
          <w:highlight w:val="none"/>
        </w:rPr>
        <w:t>钢筋混凝土行车盖板维修，对无需车辆通行的路侧水沟损坏盖板，采用更换C</w:t>
      </w:r>
      <w:r>
        <w:rPr>
          <w:rFonts w:hint="eastAsia" w:eastAsia="宋体" w:cs="宋体"/>
          <w:szCs w:val="21"/>
          <w:highlight w:val="none"/>
          <w:vertAlign w:val="subscript"/>
          <w:lang w:val="en-US" w:eastAsia="zh-CN"/>
        </w:rPr>
        <w:t>30</w:t>
      </w:r>
      <w:r>
        <w:rPr>
          <w:rFonts w:hint="eastAsia" w:cs="宋体"/>
          <w:szCs w:val="21"/>
          <w:highlight w:val="none"/>
        </w:rPr>
        <w:t>钢筋混凝土普通盖板维修，外观平整，恢复行车盖板功能和线型。</w:t>
      </w:r>
    </w:p>
    <w:p w14:paraId="4AFA8DBC">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highlight w:val="none"/>
        </w:rPr>
        <w:t>③土水沟硬化：对上边坡长期存在渗水、边沟长期存在积水或山泉水渗漏、路面容易出现翻浆的路段，采用铺设水泥毯进行硬化排水引水处理</w:t>
      </w:r>
      <w:r>
        <w:rPr>
          <w:rFonts w:hint="eastAsia" w:eastAsia="宋体" w:cs="宋体"/>
          <w:szCs w:val="21"/>
          <w:highlight w:val="none"/>
          <w:lang w:eastAsia="zh-CN"/>
        </w:rPr>
        <w:t>，</w:t>
      </w:r>
      <w:r>
        <w:rPr>
          <w:rFonts w:hint="eastAsia" w:cs="宋体"/>
          <w:szCs w:val="21"/>
          <w:highlight w:val="none"/>
        </w:rPr>
        <w:t>达到封</w:t>
      </w:r>
      <w:r>
        <w:rPr>
          <w:rFonts w:hint="eastAsia" w:cs="宋体"/>
          <w:szCs w:val="21"/>
        </w:rPr>
        <w:t>水防渗的效果。</w:t>
      </w:r>
    </w:p>
    <w:p w14:paraId="76FA0BCB">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④泄水孔增设：对平交道口积水或路侧墙式护栏阻水形成路面积水，采用增设泄水孔进行处理，达到消除路面积水的效果。</w:t>
      </w:r>
    </w:p>
    <w:p w14:paraId="78963228">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⑤盖板水沟增设：对穿越村镇城镇排水不畅路段或新增平交道口路段，采用增设盖板水沟处理，视是否需行车情况选用盖板，提升公路排水能力。</w:t>
      </w:r>
    </w:p>
    <w:p w14:paraId="596A908B">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textAlignment w:val="auto"/>
        <w:rPr>
          <w:rFonts w:cs="宋体"/>
          <w:szCs w:val="21"/>
        </w:rPr>
      </w:pPr>
      <w:r>
        <w:rPr>
          <w:rFonts w:hint="eastAsia" w:cs="宋体"/>
          <w:b/>
          <w:szCs w:val="21"/>
        </w:rPr>
        <w:t>（5）公路绿化与环境保护</w:t>
      </w:r>
    </w:p>
    <w:p w14:paraId="1AFAAF91">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①危树砍伐：对承包范围沿线两侧出现危及交通安全的枯树、歪斜树木</w:t>
      </w:r>
      <w:r>
        <w:rPr>
          <w:rFonts w:hint="eastAsia" w:cs="宋体"/>
          <w:szCs w:val="21"/>
          <w:lang w:eastAsia="zh-CN"/>
        </w:rPr>
        <w:t>（</w:t>
      </w:r>
      <w:r>
        <w:rPr>
          <w:rFonts w:hint="eastAsia" w:cs="宋体"/>
          <w:szCs w:val="21"/>
          <w:lang w:val="en-US" w:eastAsia="zh-CN"/>
        </w:rPr>
        <w:t>地径</w:t>
      </w:r>
      <w:r>
        <w:rPr>
          <w:rFonts w:hint="eastAsia" w:ascii="宋体" w:hAnsi="宋体" w:eastAsia="宋体" w:cs="宋体"/>
          <w:szCs w:val="21"/>
          <w:lang w:val="en-US" w:eastAsia="zh-CN"/>
        </w:rPr>
        <w:t>≧</w:t>
      </w:r>
      <w:r>
        <w:rPr>
          <w:rFonts w:hint="eastAsia" w:cs="宋体"/>
          <w:szCs w:val="21"/>
          <w:lang w:val="en-US" w:eastAsia="zh-CN"/>
        </w:rPr>
        <w:t>10cm</w:t>
      </w:r>
      <w:r>
        <w:rPr>
          <w:rFonts w:hint="eastAsia" w:cs="宋体"/>
          <w:szCs w:val="21"/>
          <w:lang w:eastAsia="zh-CN"/>
        </w:rPr>
        <w:t>）</w:t>
      </w:r>
      <w:r>
        <w:rPr>
          <w:rFonts w:hint="eastAsia" w:cs="宋体"/>
          <w:szCs w:val="21"/>
        </w:rPr>
        <w:t>进行砍伐，清除安全隐患。</w:t>
      </w:r>
    </w:p>
    <w:p w14:paraId="1600243B">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②花圃维修：对公路绿化花圃出现破损的，按原样材料进行补砌维修，恢复花圃原状。</w:t>
      </w:r>
    </w:p>
    <w:p w14:paraId="74A0BF59">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③绿化补植及路树清除：因公路美化需要采购特殊或观赏苗木种植时，编制好绿化方案实施，有效绿化美化公路，对遮挡标志牌、遮挡平交道口会车视线、弯道内侧遮挡行车视距等胸径大于</w:t>
      </w:r>
      <w:r>
        <w:rPr>
          <w:rFonts w:hint="eastAsia" w:cs="宋体"/>
          <w:szCs w:val="21"/>
          <w:lang w:val="en-US" w:eastAsia="zh-CN"/>
        </w:rPr>
        <w:t>1</w:t>
      </w:r>
      <w:r>
        <w:rPr>
          <w:rFonts w:hint="eastAsia" w:cs="宋体"/>
          <w:szCs w:val="21"/>
        </w:rPr>
        <w:t>0cm路树要及时砍伐清除。利用公路原有树种补植、砍伐胸径小于</w:t>
      </w:r>
      <w:r>
        <w:rPr>
          <w:rFonts w:hint="eastAsia" w:cs="宋体"/>
          <w:szCs w:val="21"/>
          <w:lang w:val="en-US" w:eastAsia="zh-CN"/>
        </w:rPr>
        <w:t>1</w:t>
      </w:r>
      <w:r>
        <w:rPr>
          <w:rFonts w:hint="eastAsia" w:cs="宋体"/>
          <w:szCs w:val="21"/>
        </w:rPr>
        <w:t>0cm路树、路树修枝已列入日常保养包干，不再另行计量。</w:t>
      </w:r>
    </w:p>
    <w:p w14:paraId="19013A2A">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④综合环境保护：对穿越饮用水源保护区的路段加强路侧护栏维修，维修损坏的拦水带、收集池、应急池、防护池，完善饮用水源标识、危险路段增设警示标识，防止饮用水源受到交通运输泄漏或事故等事件污染。</w:t>
      </w:r>
    </w:p>
    <w:p w14:paraId="72A02012">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textAlignment w:val="auto"/>
        <w:rPr>
          <w:rFonts w:cs="宋体"/>
          <w:b/>
          <w:szCs w:val="21"/>
        </w:rPr>
      </w:pPr>
      <w:r>
        <w:rPr>
          <w:rFonts w:hint="eastAsia" w:cs="宋体"/>
          <w:b/>
          <w:szCs w:val="21"/>
        </w:rPr>
        <w:t>（6）交通安全设施维修</w:t>
      </w:r>
    </w:p>
    <w:p w14:paraId="56A56E8D">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①标志版面更换：对悬臂式或单柱式标志版面褪色、缺损、皱折、剥落、反光失效的进行更换，恢复标志告示警示功能。</w:t>
      </w:r>
    </w:p>
    <w:p w14:paraId="2A629A8C">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②标志新增：对交通事故或水毁等损坏的悬臂式或单柱式交通标志和路侧变化或交通警示需要设置交通标志的进行新增单柱式标志，新增标志告示警示功能及夜视反光功能。</w:t>
      </w:r>
    </w:p>
    <w:p w14:paraId="365D20F0">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③轮廓标更换或新增：对缺损缺失的轮廓标进行更换，采用锰钢片式轮廓桩进行更换，满足轮廓标原有间距数量，恢复公路轮廓辨识和夜视反光功能。对路侧墙式护栏增设附着式轮廓标，对长陡下坡、多雾、穿越村镇、县域交界等路段增设地着式轮廓标，提升夜间视线诱导功能。</w:t>
      </w:r>
    </w:p>
    <w:p w14:paraId="4E952BA2">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④里程碑、百米桩更换：对损坏缺失的里程碑、百米桩进行更换，安装尺寸符合要求，恢复路线里程告示功能。</w:t>
      </w:r>
    </w:p>
    <w:p w14:paraId="68B47CF0">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sz w:val="20"/>
          <w:szCs w:val="20"/>
          <w:lang w:eastAsia="zh-CN"/>
        </w:rPr>
      </w:pPr>
      <w:r>
        <w:rPr>
          <w:rFonts w:hint="eastAsia" w:cs="宋体"/>
          <w:szCs w:val="21"/>
        </w:rPr>
        <w:t>⑤标线补划：对沿线缺失或磨损或覆盖的路面中线边线、减速标线、人行横道线、道口渠化标线等采用热熔型路面标线补划和完善，恢复原有标线功能及夜视反光功能。</w:t>
      </w:r>
      <w:r>
        <w:rPr>
          <w:spacing w:val="7"/>
          <w:sz w:val="20"/>
          <w:szCs w:val="20"/>
          <w:lang w:eastAsia="zh-CN"/>
        </w:rPr>
        <w:t>严格按照《路面标线涂料》（</w:t>
      </w:r>
      <w:r>
        <w:rPr>
          <w:rFonts w:eastAsia="Times New Roman"/>
          <w:sz w:val="20"/>
          <w:szCs w:val="20"/>
          <w:lang w:eastAsia="zh-CN"/>
        </w:rPr>
        <w:t>JT</w:t>
      </w:r>
      <w:r>
        <w:rPr>
          <w:rFonts w:eastAsia="Times New Roman"/>
          <w:spacing w:val="7"/>
          <w:sz w:val="20"/>
          <w:szCs w:val="20"/>
          <w:lang w:eastAsia="zh-CN"/>
        </w:rPr>
        <w:t>/T 280-2022)</w:t>
      </w:r>
      <w:r>
        <w:rPr>
          <w:spacing w:val="7"/>
          <w:sz w:val="20"/>
          <w:szCs w:val="20"/>
          <w:lang w:eastAsia="zh-CN"/>
        </w:rPr>
        <w:t>要求进行材料采购或加工，施工过程中严格按照设计要求进行</w:t>
      </w:r>
      <w:r>
        <w:rPr>
          <w:spacing w:val="8"/>
          <w:sz w:val="20"/>
          <w:szCs w:val="20"/>
          <w:lang w:eastAsia="zh-CN"/>
        </w:rPr>
        <w:t>施划，其厚度，逆反射系数及厚度需达到规范要求，具体如表</w:t>
      </w:r>
      <w:r>
        <w:rPr>
          <w:spacing w:val="-20"/>
          <w:sz w:val="20"/>
          <w:szCs w:val="20"/>
          <w:lang w:eastAsia="zh-CN"/>
        </w:rPr>
        <w:t xml:space="preserve"> </w:t>
      </w:r>
      <w:r>
        <w:rPr>
          <w:rFonts w:eastAsia="Times New Roman"/>
          <w:spacing w:val="8"/>
          <w:sz w:val="20"/>
          <w:szCs w:val="20"/>
          <w:lang w:eastAsia="zh-CN"/>
        </w:rPr>
        <w:t>1-</w:t>
      </w:r>
      <w:r>
        <w:rPr>
          <w:rFonts w:eastAsia="Times New Roman"/>
          <w:spacing w:val="7"/>
          <w:sz w:val="20"/>
          <w:szCs w:val="20"/>
          <w:lang w:eastAsia="zh-CN"/>
        </w:rPr>
        <w:t>1</w:t>
      </w:r>
      <w:r>
        <w:rPr>
          <w:spacing w:val="7"/>
          <w:sz w:val="20"/>
          <w:szCs w:val="20"/>
          <w:lang w:eastAsia="zh-CN"/>
        </w:rPr>
        <w:t>：</w:t>
      </w:r>
    </w:p>
    <w:p w14:paraId="3C383497">
      <w:pPr>
        <w:pStyle w:val="11"/>
        <w:keepNext w:val="0"/>
        <w:keepLines w:val="0"/>
        <w:pageBreakBefore w:val="0"/>
        <w:widowControl w:val="0"/>
        <w:kinsoku/>
        <w:wordWrap/>
        <w:overflowPunct/>
        <w:topLinePunct w:val="0"/>
        <w:autoSpaceDE/>
        <w:autoSpaceDN/>
        <w:bidi w:val="0"/>
        <w:adjustRightInd/>
        <w:snapToGrid/>
        <w:spacing w:line="360" w:lineRule="auto"/>
        <w:ind w:left="6"/>
        <w:textAlignment w:val="auto"/>
        <w:rPr>
          <w:sz w:val="20"/>
          <w:szCs w:val="20"/>
          <w:lang w:eastAsia="zh-CN"/>
        </w:rPr>
      </w:pPr>
      <w:r>
        <w:rPr>
          <w:spacing w:val="6"/>
          <w:position w:val="1"/>
          <w:sz w:val="20"/>
          <w:szCs w:val="20"/>
          <w:lang w:eastAsia="zh-CN"/>
        </w:rPr>
        <w:t>表</w:t>
      </w:r>
      <w:r>
        <w:rPr>
          <w:spacing w:val="-10"/>
          <w:position w:val="1"/>
          <w:sz w:val="20"/>
          <w:szCs w:val="20"/>
          <w:lang w:eastAsia="zh-CN"/>
        </w:rPr>
        <w:t xml:space="preserve"> </w:t>
      </w:r>
      <w:r>
        <w:rPr>
          <w:rFonts w:eastAsia="Times New Roman"/>
          <w:spacing w:val="6"/>
          <w:position w:val="1"/>
          <w:sz w:val="20"/>
          <w:szCs w:val="20"/>
          <w:lang w:eastAsia="zh-CN"/>
        </w:rPr>
        <w:t xml:space="preserve">1-1  </w:t>
      </w:r>
      <w:r>
        <w:rPr>
          <w:spacing w:val="6"/>
          <w:position w:val="1"/>
          <w:sz w:val="20"/>
          <w:szCs w:val="20"/>
          <w:lang w:eastAsia="zh-CN"/>
        </w:rPr>
        <w:t>热熔型涂料原材料关键技术指标</w:t>
      </w:r>
    </w:p>
    <w:tbl>
      <w:tblPr>
        <w:tblStyle w:val="25"/>
        <w:tblW w:w="8403" w:type="dxa"/>
        <w:tblInd w:w="2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119"/>
        <w:gridCol w:w="2690"/>
        <w:gridCol w:w="1806"/>
        <w:gridCol w:w="2788"/>
      </w:tblGrid>
      <w:tr w14:paraId="2931A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1119" w:type="dxa"/>
            <w:vAlign w:val="center"/>
          </w:tcPr>
          <w:p w14:paraId="17D91E4A">
            <w:pPr>
              <w:pStyle w:val="29"/>
              <w:keepNext/>
              <w:tabs>
                <w:tab w:val="left" w:pos="0"/>
              </w:tabs>
              <w:snapToGrid w:val="0"/>
              <w:ind w:left="0" w:leftChars="0" w:right="0" w:rightChars="0" w:firstLine="0" w:firstLineChars="0"/>
              <w:jc w:val="center"/>
              <w:rPr>
                <w:b/>
                <w:snapToGrid w:val="0"/>
                <w:color w:val="000000"/>
              </w:rPr>
            </w:pPr>
            <w:r>
              <w:rPr>
                <w:b/>
                <w:snapToGrid w:val="0"/>
                <w:color w:val="000000"/>
                <w:spacing w:val="7"/>
              </w:rPr>
              <w:t>材料名称</w:t>
            </w:r>
          </w:p>
        </w:tc>
        <w:tc>
          <w:tcPr>
            <w:tcW w:w="4496" w:type="dxa"/>
            <w:gridSpan w:val="2"/>
            <w:vAlign w:val="center"/>
          </w:tcPr>
          <w:p w14:paraId="4604AF97">
            <w:pPr>
              <w:pStyle w:val="29"/>
              <w:keepNext/>
              <w:tabs>
                <w:tab w:val="left" w:pos="0"/>
              </w:tabs>
              <w:snapToGrid w:val="0"/>
              <w:ind w:left="0" w:leftChars="0" w:right="0" w:rightChars="0" w:firstLine="0" w:firstLineChars="0"/>
              <w:jc w:val="center"/>
              <w:rPr>
                <w:b/>
                <w:snapToGrid w:val="0"/>
                <w:color w:val="000000"/>
              </w:rPr>
            </w:pPr>
            <w:r>
              <w:rPr>
                <w:b/>
                <w:snapToGrid w:val="0"/>
                <w:color w:val="000000"/>
                <w:spacing w:val="7"/>
              </w:rPr>
              <w:t>技术指标</w:t>
            </w:r>
          </w:p>
        </w:tc>
        <w:tc>
          <w:tcPr>
            <w:tcW w:w="2787" w:type="dxa"/>
            <w:vAlign w:val="center"/>
          </w:tcPr>
          <w:p w14:paraId="770A193F">
            <w:pPr>
              <w:pStyle w:val="29"/>
              <w:keepNext/>
              <w:tabs>
                <w:tab w:val="left" w:pos="0"/>
              </w:tabs>
              <w:snapToGrid w:val="0"/>
              <w:ind w:left="0" w:leftChars="0" w:right="0" w:rightChars="0" w:firstLine="0" w:firstLineChars="0"/>
              <w:jc w:val="center"/>
              <w:rPr>
                <w:b/>
                <w:snapToGrid w:val="0"/>
                <w:color w:val="000000"/>
              </w:rPr>
            </w:pPr>
            <w:r>
              <w:rPr>
                <w:b/>
                <w:snapToGrid w:val="0"/>
                <w:color w:val="000000"/>
                <w:spacing w:val="7"/>
              </w:rPr>
              <w:t>技术要求</w:t>
            </w:r>
          </w:p>
        </w:tc>
      </w:tr>
      <w:tr w14:paraId="5F4FB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119" w:type="dxa"/>
            <w:vMerge w:val="restart"/>
            <w:tcBorders>
              <w:bottom w:val="nil"/>
            </w:tcBorders>
            <w:vAlign w:val="center"/>
          </w:tcPr>
          <w:p w14:paraId="5653B1FF">
            <w:pPr>
              <w:pStyle w:val="29"/>
              <w:keepNext/>
              <w:tabs>
                <w:tab w:val="left" w:pos="0"/>
              </w:tabs>
              <w:snapToGrid w:val="0"/>
              <w:ind w:left="0" w:leftChars="0" w:right="0" w:rightChars="0" w:firstLine="0" w:firstLineChars="0"/>
              <w:jc w:val="center"/>
              <w:rPr>
                <w:rFonts w:ascii="Arial" w:eastAsia="宋体"/>
                <w:snapToGrid w:val="0"/>
                <w:color w:val="000000"/>
                <w:sz w:val="21"/>
              </w:rPr>
            </w:pPr>
            <w:r>
              <w:rPr>
                <w:rFonts w:ascii="Arial" w:eastAsia="宋体"/>
                <w:snapToGrid w:val="0"/>
                <w:color w:val="000000"/>
                <w:spacing w:val="7"/>
                <w:sz w:val="21"/>
              </w:rPr>
              <w:t>标线涂料</w:t>
            </w:r>
          </w:p>
        </w:tc>
        <w:tc>
          <w:tcPr>
            <w:tcW w:w="4496" w:type="dxa"/>
            <w:gridSpan w:val="2"/>
            <w:vAlign w:val="center"/>
          </w:tcPr>
          <w:p w14:paraId="61E9D6B0">
            <w:pPr>
              <w:pStyle w:val="29"/>
              <w:keepNext/>
              <w:tabs>
                <w:tab w:val="left" w:pos="0"/>
              </w:tabs>
              <w:snapToGrid w:val="0"/>
              <w:ind w:left="0" w:leftChars="0" w:right="0" w:rightChars="0" w:firstLine="0" w:firstLineChars="0"/>
              <w:jc w:val="center"/>
              <w:rPr>
                <w:rFonts w:ascii="Arial" w:eastAsia="宋体"/>
                <w:snapToGrid w:val="0"/>
                <w:color w:val="000000"/>
                <w:sz w:val="21"/>
              </w:rPr>
            </w:pPr>
            <w:r>
              <w:rPr>
                <w:rFonts w:ascii="Arial" w:eastAsia="宋体"/>
                <w:snapToGrid w:val="0"/>
                <w:color w:val="000000"/>
                <w:spacing w:val="7"/>
                <w:sz w:val="21"/>
              </w:rPr>
              <w:t>总有机物含量</w:t>
            </w:r>
          </w:p>
        </w:tc>
        <w:tc>
          <w:tcPr>
            <w:tcW w:w="2787" w:type="dxa"/>
            <w:vAlign w:val="center"/>
          </w:tcPr>
          <w:p w14:paraId="3C84DCC5">
            <w:pPr>
              <w:pStyle w:val="29"/>
              <w:keepNext/>
              <w:tabs>
                <w:tab w:val="left" w:pos="0"/>
              </w:tabs>
              <w:snapToGrid w:val="0"/>
              <w:ind w:left="0" w:leftChars="0" w:right="0" w:rightChars="0" w:firstLine="0" w:firstLineChars="0"/>
              <w:jc w:val="left"/>
              <w:rPr>
                <w:rFonts w:ascii="Arial" w:hAnsi="Times New Roman" w:eastAsia="宋体" w:cs="Times New Roman"/>
                <w:snapToGrid w:val="0"/>
                <w:color w:val="000000"/>
                <w:sz w:val="21"/>
              </w:rPr>
            </w:pPr>
            <w:r>
              <w:rPr>
                <w:rFonts w:ascii="Arial" w:eastAsia="宋体"/>
                <w:snapToGrid w:val="0"/>
                <w:color w:val="000000"/>
                <w:position w:val="1"/>
                <w:sz w:val="21"/>
              </w:rPr>
              <w:t>≥</w:t>
            </w:r>
            <w:r>
              <w:rPr>
                <w:rFonts w:ascii="Arial" w:hAnsi="Times New Roman" w:eastAsia="宋体" w:cs="Times New Roman"/>
                <w:snapToGrid w:val="0"/>
                <w:color w:val="000000"/>
                <w:position w:val="1"/>
                <w:sz w:val="21"/>
              </w:rPr>
              <w:t>19%</w:t>
            </w:r>
          </w:p>
        </w:tc>
      </w:tr>
      <w:tr w14:paraId="213DE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119" w:type="dxa"/>
            <w:vMerge w:val="continue"/>
            <w:tcBorders>
              <w:top w:val="nil"/>
              <w:bottom w:val="nil"/>
            </w:tcBorders>
            <w:vAlign w:val="center"/>
          </w:tcPr>
          <w:p w14:paraId="2EB88A57">
            <w:pPr>
              <w:keepNext/>
              <w:snapToGrid w:val="0"/>
              <w:ind w:left="0" w:leftChars="0" w:right="0" w:rightChars="0" w:firstLine="0" w:firstLineChars="0"/>
              <w:jc w:val="center"/>
              <w:rPr>
                <w:rFonts w:ascii="Arial" w:eastAsia="宋体" w:cs="Arial"/>
                <w:snapToGrid w:val="0"/>
                <w:color w:val="000000"/>
                <w:sz w:val="21"/>
                <w:szCs w:val="21"/>
              </w:rPr>
            </w:pPr>
          </w:p>
        </w:tc>
        <w:tc>
          <w:tcPr>
            <w:tcW w:w="2690" w:type="dxa"/>
            <w:vMerge w:val="restart"/>
            <w:tcBorders>
              <w:bottom w:val="nil"/>
            </w:tcBorders>
            <w:vAlign w:val="center"/>
          </w:tcPr>
          <w:p w14:paraId="40B4BA86">
            <w:pPr>
              <w:pStyle w:val="29"/>
              <w:keepNext/>
              <w:tabs>
                <w:tab w:val="left" w:pos="0"/>
              </w:tabs>
              <w:snapToGrid w:val="0"/>
              <w:ind w:left="0" w:leftChars="0" w:right="0" w:rightChars="0" w:firstLine="0" w:firstLineChars="0"/>
              <w:jc w:val="center"/>
              <w:rPr>
                <w:rFonts w:ascii="Arial" w:eastAsia="宋体"/>
                <w:snapToGrid w:val="0"/>
                <w:color w:val="000000"/>
                <w:sz w:val="21"/>
              </w:rPr>
            </w:pPr>
            <w:r>
              <w:rPr>
                <w:rFonts w:ascii="Arial" w:eastAsia="宋体"/>
                <w:snapToGrid w:val="0"/>
                <w:color w:val="000000"/>
                <w:spacing w:val="7"/>
                <w:sz w:val="21"/>
              </w:rPr>
              <w:t>亮度因数</w:t>
            </w:r>
          </w:p>
        </w:tc>
        <w:tc>
          <w:tcPr>
            <w:tcW w:w="1806" w:type="dxa"/>
            <w:vAlign w:val="center"/>
          </w:tcPr>
          <w:p w14:paraId="12844BB1">
            <w:pPr>
              <w:pStyle w:val="29"/>
              <w:keepNext/>
              <w:tabs>
                <w:tab w:val="left" w:pos="0"/>
              </w:tabs>
              <w:snapToGrid w:val="0"/>
              <w:ind w:left="0" w:leftChars="0" w:right="0" w:rightChars="0" w:firstLine="0" w:firstLineChars="0"/>
              <w:jc w:val="left"/>
              <w:rPr>
                <w:rFonts w:ascii="Arial" w:eastAsia="宋体"/>
                <w:snapToGrid w:val="0"/>
                <w:color w:val="000000"/>
                <w:sz w:val="21"/>
              </w:rPr>
            </w:pPr>
            <w:r>
              <w:rPr>
                <w:rFonts w:ascii="Arial" w:eastAsia="宋体"/>
                <w:snapToGrid w:val="0"/>
                <w:color w:val="000000"/>
                <w:spacing w:val="-11"/>
                <w:sz w:val="21"/>
              </w:rPr>
              <w:t>白色</w:t>
            </w:r>
          </w:p>
        </w:tc>
        <w:tc>
          <w:tcPr>
            <w:tcW w:w="2787" w:type="dxa"/>
            <w:vAlign w:val="center"/>
          </w:tcPr>
          <w:p w14:paraId="7F2E76B4">
            <w:pPr>
              <w:pStyle w:val="29"/>
              <w:keepNext/>
              <w:tabs>
                <w:tab w:val="left" w:pos="0"/>
              </w:tabs>
              <w:snapToGrid w:val="0"/>
              <w:ind w:left="0" w:leftChars="0" w:right="0" w:rightChars="0" w:firstLine="0" w:firstLineChars="0"/>
              <w:jc w:val="left"/>
              <w:rPr>
                <w:rFonts w:ascii="Arial" w:hAnsi="Times New Roman" w:eastAsia="宋体" w:cs="Times New Roman"/>
                <w:snapToGrid w:val="0"/>
                <w:color w:val="000000"/>
                <w:sz w:val="21"/>
              </w:rPr>
            </w:pPr>
            <w:r>
              <w:rPr>
                <w:rFonts w:ascii="Arial" w:eastAsia="宋体"/>
                <w:snapToGrid w:val="0"/>
                <w:color w:val="000000"/>
                <w:position w:val="1"/>
                <w:sz w:val="21"/>
              </w:rPr>
              <w:t>≥</w:t>
            </w:r>
            <w:r>
              <w:rPr>
                <w:rFonts w:ascii="Arial" w:hAnsi="Times New Roman" w:eastAsia="宋体" w:cs="Times New Roman"/>
                <w:snapToGrid w:val="0"/>
                <w:color w:val="000000"/>
                <w:position w:val="1"/>
                <w:sz w:val="21"/>
              </w:rPr>
              <w:t>0.82</w:t>
            </w:r>
          </w:p>
        </w:tc>
      </w:tr>
      <w:tr w14:paraId="4F4E8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119" w:type="dxa"/>
            <w:vMerge w:val="continue"/>
            <w:tcBorders>
              <w:top w:val="nil"/>
              <w:bottom w:val="nil"/>
            </w:tcBorders>
            <w:vAlign w:val="center"/>
          </w:tcPr>
          <w:p w14:paraId="2B269A49">
            <w:pPr>
              <w:keepNext/>
              <w:snapToGrid w:val="0"/>
              <w:ind w:left="0" w:leftChars="0" w:right="0" w:rightChars="0" w:firstLine="0" w:firstLineChars="0"/>
              <w:jc w:val="center"/>
              <w:rPr>
                <w:rFonts w:ascii="Arial" w:eastAsia="宋体" w:cs="Arial"/>
                <w:snapToGrid w:val="0"/>
                <w:color w:val="000000"/>
                <w:sz w:val="21"/>
                <w:szCs w:val="21"/>
              </w:rPr>
            </w:pPr>
          </w:p>
        </w:tc>
        <w:tc>
          <w:tcPr>
            <w:tcW w:w="2690" w:type="dxa"/>
            <w:vMerge w:val="continue"/>
            <w:tcBorders>
              <w:top w:val="nil"/>
            </w:tcBorders>
            <w:vAlign w:val="center"/>
          </w:tcPr>
          <w:p w14:paraId="2B068E6E">
            <w:pPr>
              <w:keepNext/>
              <w:snapToGrid w:val="0"/>
              <w:ind w:left="0" w:leftChars="0" w:right="0" w:rightChars="0" w:firstLine="0" w:firstLineChars="0"/>
              <w:jc w:val="center"/>
              <w:rPr>
                <w:rFonts w:ascii="Arial" w:eastAsia="宋体" w:cs="Arial"/>
                <w:snapToGrid w:val="0"/>
                <w:color w:val="000000"/>
                <w:sz w:val="21"/>
                <w:szCs w:val="21"/>
              </w:rPr>
            </w:pPr>
          </w:p>
        </w:tc>
        <w:tc>
          <w:tcPr>
            <w:tcW w:w="1806" w:type="dxa"/>
            <w:vAlign w:val="center"/>
          </w:tcPr>
          <w:p w14:paraId="6BF1C04E">
            <w:pPr>
              <w:pStyle w:val="29"/>
              <w:keepNext/>
              <w:tabs>
                <w:tab w:val="left" w:pos="0"/>
              </w:tabs>
              <w:snapToGrid w:val="0"/>
              <w:ind w:left="0" w:leftChars="0" w:right="0" w:rightChars="0" w:firstLine="0" w:firstLineChars="0"/>
              <w:jc w:val="left"/>
              <w:rPr>
                <w:rFonts w:ascii="Arial" w:eastAsia="宋体"/>
                <w:snapToGrid w:val="0"/>
                <w:color w:val="000000"/>
                <w:sz w:val="21"/>
              </w:rPr>
            </w:pPr>
            <w:r>
              <w:rPr>
                <w:rFonts w:ascii="Arial" w:eastAsia="宋体"/>
                <w:snapToGrid w:val="0"/>
                <w:color w:val="000000"/>
                <w:spacing w:val="5"/>
                <w:sz w:val="21"/>
              </w:rPr>
              <w:t>黄色</w:t>
            </w:r>
          </w:p>
        </w:tc>
        <w:tc>
          <w:tcPr>
            <w:tcW w:w="2787" w:type="dxa"/>
            <w:vAlign w:val="center"/>
          </w:tcPr>
          <w:p w14:paraId="3D7C8704">
            <w:pPr>
              <w:pStyle w:val="29"/>
              <w:keepNext/>
              <w:tabs>
                <w:tab w:val="left" w:pos="0"/>
              </w:tabs>
              <w:snapToGrid w:val="0"/>
              <w:ind w:left="0" w:leftChars="0" w:right="0" w:rightChars="0" w:firstLine="0" w:firstLineChars="0"/>
              <w:jc w:val="left"/>
              <w:rPr>
                <w:rFonts w:ascii="Arial" w:hAnsi="Times New Roman" w:eastAsia="宋体" w:cs="Times New Roman"/>
                <w:snapToGrid w:val="0"/>
                <w:color w:val="000000"/>
                <w:sz w:val="21"/>
              </w:rPr>
            </w:pPr>
            <w:r>
              <w:rPr>
                <w:rFonts w:ascii="Arial" w:eastAsia="宋体"/>
                <w:snapToGrid w:val="0"/>
                <w:color w:val="000000"/>
                <w:position w:val="1"/>
                <w:sz w:val="21"/>
              </w:rPr>
              <w:t>≥</w:t>
            </w:r>
            <w:r>
              <w:rPr>
                <w:rFonts w:ascii="Arial" w:hAnsi="Times New Roman" w:eastAsia="宋体" w:cs="Times New Roman"/>
                <w:snapToGrid w:val="0"/>
                <w:color w:val="000000"/>
                <w:position w:val="1"/>
                <w:sz w:val="21"/>
              </w:rPr>
              <w:t>0.50</w:t>
            </w:r>
          </w:p>
        </w:tc>
      </w:tr>
      <w:tr w14:paraId="22976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119" w:type="dxa"/>
            <w:vMerge w:val="continue"/>
            <w:tcBorders>
              <w:top w:val="nil"/>
              <w:bottom w:val="nil"/>
            </w:tcBorders>
            <w:vAlign w:val="center"/>
          </w:tcPr>
          <w:p w14:paraId="2F51D766">
            <w:pPr>
              <w:keepNext/>
              <w:snapToGrid w:val="0"/>
              <w:ind w:left="0" w:leftChars="0" w:right="0" w:rightChars="0" w:firstLine="0" w:firstLineChars="0"/>
              <w:jc w:val="center"/>
              <w:rPr>
                <w:rFonts w:ascii="Arial" w:eastAsia="宋体" w:cs="Arial"/>
                <w:snapToGrid w:val="0"/>
                <w:color w:val="000000"/>
                <w:sz w:val="21"/>
                <w:szCs w:val="21"/>
              </w:rPr>
            </w:pPr>
          </w:p>
        </w:tc>
        <w:tc>
          <w:tcPr>
            <w:tcW w:w="2690" w:type="dxa"/>
            <w:vMerge w:val="restart"/>
            <w:tcBorders>
              <w:bottom w:val="nil"/>
            </w:tcBorders>
            <w:vAlign w:val="center"/>
          </w:tcPr>
          <w:p w14:paraId="3E85E3DE">
            <w:pPr>
              <w:pStyle w:val="29"/>
              <w:keepNext/>
              <w:tabs>
                <w:tab w:val="left" w:pos="0"/>
              </w:tabs>
              <w:snapToGrid w:val="0"/>
              <w:ind w:left="0" w:leftChars="0" w:right="0" w:rightChars="0" w:firstLine="0" w:firstLineChars="0"/>
              <w:jc w:val="center"/>
              <w:rPr>
                <w:rFonts w:ascii="Arial" w:hAnsi="Times New Roman" w:eastAsia="宋体" w:cs="Times New Roman"/>
                <w:snapToGrid w:val="0"/>
                <w:color w:val="000000"/>
                <w:sz w:val="21"/>
              </w:rPr>
            </w:pPr>
            <w:r>
              <w:rPr>
                <w:rFonts w:ascii="Arial" w:eastAsia="宋体"/>
                <w:snapToGrid w:val="0"/>
                <w:color w:val="000000"/>
                <w:spacing w:val="10"/>
                <w:position w:val="2"/>
                <w:sz w:val="21"/>
              </w:rPr>
              <w:t>抗压强度（</w:t>
            </w:r>
            <w:r>
              <w:rPr>
                <w:rFonts w:ascii="Arial" w:hAnsi="Times New Roman" w:eastAsia="宋体" w:cs="Times New Roman"/>
                <w:snapToGrid w:val="0"/>
                <w:color w:val="000000"/>
                <w:position w:val="2"/>
                <w:sz w:val="21"/>
              </w:rPr>
              <w:t>MPa</w:t>
            </w:r>
            <w:r>
              <w:rPr>
                <w:rFonts w:ascii="Arial" w:hAnsi="Times New Roman" w:eastAsia="宋体" w:cs="Times New Roman"/>
                <w:snapToGrid w:val="0"/>
                <w:color w:val="000000"/>
                <w:spacing w:val="10"/>
                <w:position w:val="2"/>
                <w:sz w:val="21"/>
              </w:rPr>
              <w:t>)</w:t>
            </w:r>
          </w:p>
        </w:tc>
        <w:tc>
          <w:tcPr>
            <w:tcW w:w="1806" w:type="dxa"/>
            <w:vAlign w:val="center"/>
          </w:tcPr>
          <w:p w14:paraId="32C24076">
            <w:pPr>
              <w:pStyle w:val="29"/>
              <w:keepNext/>
              <w:tabs>
                <w:tab w:val="left" w:pos="0"/>
              </w:tabs>
              <w:snapToGrid w:val="0"/>
              <w:ind w:left="0" w:leftChars="0" w:right="0" w:rightChars="0" w:firstLine="0" w:firstLineChars="0"/>
              <w:jc w:val="left"/>
              <w:rPr>
                <w:rFonts w:ascii="Arial" w:eastAsia="宋体"/>
                <w:snapToGrid w:val="0"/>
                <w:color w:val="000000"/>
                <w:sz w:val="21"/>
              </w:rPr>
            </w:pPr>
            <w:r>
              <w:rPr>
                <w:rFonts w:ascii="Arial" w:eastAsia="宋体"/>
                <w:snapToGrid w:val="0"/>
                <w:color w:val="000000"/>
                <w:spacing w:val="2"/>
                <w:position w:val="1"/>
                <w:sz w:val="21"/>
              </w:rPr>
              <w:t>（</w:t>
            </w:r>
            <w:r>
              <w:rPr>
                <w:rFonts w:ascii="Arial" w:hAnsi="Times New Roman" w:eastAsia="宋体" w:cs="Times New Roman"/>
                <w:snapToGrid w:val="0"/>
                <w:color w:val="000000"/>
                <w:spacing w:val="2"/>
                <w:position w:val="1"/>
                <w:sz w:val="21"/>
              </w:rPr>
              <w:t>23</w:t>
            </w:r>
            <w:r>
              <w:rPr>
                <w:rFonts w:ascii="Arial" w:eastAsia="宋体"/>
                <w:snapToGrid w:val="0"/>
                <w:color w:val="000000"/>
                <w:spacing w:val="2"/>
                <w:position w:val="1"/>
                <w:sz w:val="21"/>
              </w:rPr>
              <w:t>±</w:t>
            </w:r>
            <w:r>
              <w:rPr>
                <w:rFonts w:ascii="Arial" w:hAnsi="Times New Roman" w:eastAsia="宋体" w:cs="Times New Roman"/>
                <w:snapToGrid w:val="0"/>
                <w:color w:val="000000"/>
                <w:spacing w:val="2"/>
                <w:position w:val="1"/>
                <w:sz w:val="21"/>
              </w:rPr>
              <w:t>1</w:t>
            </w:r>
            <w:r>
              <w:rPr>
                <w:rFonts w:ascii="Arial" w:eastAsia="宋体"/>
                <w:snapToGrid w:val="0"/>
                <w:color w:val="000000"/>
                <w:spacing w:val="2"/>
                <w:position w:val="1"/>
                <w:sz w:val="21"/>
              </w:rPr>
              <w:t>）</w:t>
            </w:r>
            <w:r>
              <w:rPr>
                <w:rFonts w:ascii="Arial" w:eastAsia="宋体"/>
                <w:snapToGrid w:val="0"/>
                <w:color w:val="000000"/>
                <w:spacing w:val="-65"/>
                <w:position w:val="1"/>
                <w:sz w:val="21"/>
              </w:rPr>
              <w:t xml:space="preserve"> </w:t>
            </w:r>
            <w:r>
              <w:rPr>
                <w:rFonts w:ascii="Arial" w:eastAsia="宋体"/>
                <w:snapToGrid w:val="0"/>
                <w:color w:val="000000"/>
                <w:spacing w:val="2"/>
                <w:position w:val="1"/>
                <w:sz w:val="21"/>
              </w:rPr>
              <w:t>℃</w:t>
            </w:r>
          </w:p>
        </w:tc>
        <w:tc>
          <w:tcPr>
            <w:tcW w:w="2787" w:type="dxa"/>
            <w:vAlign w:val="center"/>
          </w:tcPr>
          <w:p w14:paraId="1520506A">
            <w:pPr>
              <w:pStyle w:val="29"/>
              <w:keepNext/>
              <w:tabs>
                <w:tab w:val="left" w:pos="0"/>
              </w:tabs>
              <w:snapToGrid w:val="0"/>
              <w:ind w:left="0" w:leftChars="0" w:right="0" w:rightChars="0" w:firstLine="0" w:firstLineChars="0"/>
              <w:jc w:val="left"/>
              <w:rPr>
                <w:rFonts w:ascii="Arial" w:hAnsi="Times New Roman" w:eastAsia="宋体" w:cs="Times New Roman"/>
                <w:snapToGrid w:val="0"/>
                <w:color w:val="000000"/>
                <w:sz w:val="21"/>
              </w:rPr>
            </w:pPr>
            <w:r>
              <w:rPr>
                <w:rFonts w:ascii="Arial" w:eastAsia="宋体"/>
                <w:snapToGrid w:val="0"/>
                <w:color w:val="000000"/>
                <w:position w:val="1"/>
                <w:sz w:val="21"/>
              </w:rPr>
              <w:t>≥</w:t>
            </w:r>
            <w:r>
              <w:rPr>
                <w:rFonts w:ascii="Arial" w:hAnsi="Times New Roman" w:eastAsia="宋体" w:cs="Times New Roman"/>
                <w:snapToGrid w:val="0"/>
                <w:color w:val="000000"/>
                <w:position w:val="1"/>
                <w:sz w:val="21"/>
              </w:rPr>
              <w:t>12.0</w:t>
            </w:r>
          </w:p>
        </w:tc>
      </w:tr>
      <w:tr w14:paraId="5F1C7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119" w:type="dxa"/>
            <w:vMerge w:val="continue"/>
            <w:tcBorders>
              <w:top w:val="nil"/>
              <w:bottom w:val="nil"/>
            </w:tcBorders>
            <w:vAlign w:val="center"/>
          </w:tcPr>
          <w:p w14:paraId="1F6B9C34">
            <w:pPr>
              <w:keepNext/>
              <w:snapToGrid w:val="0"/>
              <w:ind w:left="0" w:leftChars="0" w:right="0" w:rightChars="0" w:firstLine="0" w:firstLineChars="0"/>
              <w:jc w:val="center"/>
              <w:rPr>
                <w:rFonts w:ascii="Arial" w:eastAsia="宋体" w:cs="Arial"/>
                <w:snapToGrid w:val="0"/>
                <w:color w:val="000000"/>
                <w:sz w:val="21"/>
                <w:szCs w:val="21"/>
              </w:rPr>
            </w:pPr>
          </w:p>
        </w:tc>
        <w:tc>
          <w:tcPr>
            <w:tcW w:w="2690" w:type="dxa"/>
            <w:vMerge w:val="continue"/>
            <w:tcBorders>
              <w:top w:val="nil"/>
            </w:tcBorders>
            <w:vAlign w:val="center"/>
          </w:tcPr>
          <w:p w14:paraId="74C731CC">
            <w:pPr>
              <w:keepNext/>
              <w:snapToGrid w:val="0"/>
              <w:ind w:left="0" w:leftChars="0" w:right="0" w:rightChars="0" w:firstLine="0" w:firstLineChars="0"/>
              <w:jc w:val="center"/>
              <w:rPr>
                <w:rFonts w:ascii="Arial" w:eastAsia="宋体" w:cs="Arial"/>
                <w:snapToGrid w:val="0"/>
                <w:color w:val="000000"/>
                <w:sz w:val="21"/>
                <w:szCs w:val="21"/>
              </w:rPr>
            </w:pPr>
          </w:p>
        </w:tc>
        <w:tc>
          <w:tcPr>
            <w:tcW w:w="1806" w:type="dxa"/>
            <w:vAlign w:val="center"/>
          </w:tcPr>
          <w:p w14:paraId="6CA84FBE">
            <w:pPr>
              <w:pStyle w:val="29"/>
              <w:keepNext/>
              <w:tabs>
                <w:tab w:val="left" w:pos="0"/>
              </w:tabs>
              <w:snapToGrid w:val="0"/>
              <w:ind w:left="0" w:leftChars="0" w:right="0" w:rightChars="0" w:firstLine="0" w:firstLineChars="0"/>
              <w:jc w:val="left"/>
              <w:rPr>
                <w:rFonts w:ascii="Arial" w:eastAsia="宋体"/>
                <w:snapToGrid w:val="0"/>
                <w:color w:val="000000"/>
                <w:sz w:val="21"/>
              </w:rPr>
            </w:pPr>
            <w:r>
              <w:rPr>
                <w:rFonts w:ascii="Arial" w:eastAsia="宋体"/>
                <w:snapToGrid w:val="0"/>
                <w:color w:val="000000"/>
                <w:spacing w:val="2"/>
                <w:position w:val="1"/>
                <w:sz w:val="21"/>
              </w:rPr>
              <w:t>（</w:t>
            </w:r>
            <w:r>
              <w:rPr>
                <w:rFonts w:ascii="Arial" w:hAnsi="Times New Roman" w:eastAsia="宋体" w:cs="Times New Roman"/>
                <w:snapToGrid w:val="0"/>
                <w:color w:val="000000"/>
                <w:spacing w:val="2"/>
                <w:position w:val="1"/>
                <w:sz w:val="21"/>
              </w:rPr>
              <w:t>60</w:t>
            </w:r>
            <w:r>
              <w:rPr>
                <w:rFonts w:ascii="Arial" w:eastAsia="宋体"/>
                <w:snapToGrid w:val="0"/>
                <w:color w:val="000000"/>
                <w:spacing w:val="2"/>
                <w:position w:val="1"/>
                <w:sz w:val="21"/>
              </w:rPr>
              <w:t>±</w:t>
            </w:r>
            <w:r>
              <w:rPr>
                <w:rFonts w:ascii="Arial" w:hAnsi="Times New Roman" w:eastAsia="宋体" w:cs="Times New Roman"/>
                <w:snapToGrid w:val="0"/>
                <w:color w:val="000000"/>
                <w:spacing w:val="2"/>
                <w:position w:val="1"/>
                <w:sz w:val="21"/>
              </w:rPr>
              <w:t>2</w:t>
            </w:r>
            <w:r>
              <w:rPr>
                <w:rFonts w:ascii="Arial" w:eastAsia="宋体"/>
                <w:snapToGrid w:val="0"/>
                <w:color w:val="000000"/>
                <w:spacing w:val="2"/>
                <w:position w:val="1"/>
                <w:sz w:val="21"/>
              </w:rPr>
              <w:t>）</w:t>
            </w:r>
            <w:r>
              <w:rPr>
                <w:rFonts w:ascii="Arial" w:eastAsia="宋体"/>
                <w:snapToGrid w:val="0"/>
                <w:color w:val="000000"/>
                <w:spacing w:val="-65"/>
                <w:position w:val="1"/>
                <w:sz w:val="21"/>
              </w:rPr>
              <w:t xml:space="preserve"> </w:t>
            </w:r>
            <w:r>
              <w:rPr>
                <w:rFonts w:ascii="Arial" w:eastAsia="宋体"/>
                <w:snapToGrid w:val="0"/>
                <w:color w:val="000000"/>
                <w:spacing w:val="2"/>
                <w:position w:val="1"/>
                <w:sz w:val="21"/>
              </w:rPr>
              <w:t>℃</w:t>
            </w:r>
          </w:p>
        </w:tc>
        <w:tc>
          <w:tcPr>
            <w:tcW w:w="2787" w:type="dxa"/>
            <w:vAlign w:val="center"/>
          </w:tcPr>
          <w:p w14:paraId="69C3A503">
            <w:pPr>
              <w:pStyle w:val="29"/>
              <w:keepNext/>
              <w:tabs>
                <w:tab w:val="left" w:pos="0"/>
              </w:tabs>
              <w:snapToGrid w:val="0"/>
              <w:ind w:left="0" w:leftChars="0" w:right="0" w:rightChars="0" w:firstLine="0" w:firstLineChars="0"/>
              <w:jc w:val="left"/>
              <w:rPr>
                <w:rFonts w:ascii="Arial" w:hAnsi="Times New Roman" w:eastAsia="宋体" w:cs="Times New Roman"/>
                <w:snapToGrid w:val="0"/>
                <w:color w:val="000000"/>
                <w:sz w:val="21"/>
              </w:rPr>
            </w:pPr>
            <w:r>
              <w:rPr>
                <w:rFonts w:ascii="Arial" w:eastAsia="宋体"/>
                <w:snapToGrid w:val="0"/>
                <w:color w:val="000000"/>
                <w:spacing w:val="-2"/>
                <w:position w:val="1"/>
                <w:sz w:val="21"/>
              </w:rPr>
              <w:t>≥</w:t>
            </w:r>
            <w:r>
              <w:rPr>
                <w:rFonts w:ascii="Arial" w:hAnsi="Times New Roman" w:eastAsia="宋体" w:cs="Times New Roman"/>
                <w:snapToGrid w:val="0"/>
                <w:color w:val="000000"/>
                <w:spacing w:val="-2"/>
                <w:position w:val="1"/>
                <w:sz w:val="21"/>
              </w:rPr>
              <w:t>2.0</w:t>
            </w:r>
          </w:p>
        </w:tc>
      </w:tr>
      <w:tr w14:paraId="7A7BE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119" w:type="dxa"/>
            <w:vMerge w:val="continue"/>
            <w:tcBorders>
              <w:top w:val="nil"/>
            </w:tcBorders>
            <w:vAlign w:val="center"/>
          </w:tcPr>
          <w:p w14:paraId="30A029C0">
            <w:pPr>
              <w:keepNext/>
              <w:snapToGrid w:val="0"/>
              <w:ind w:left="0" w:leftChars="0" w:right="0" w:rightChars="0" w:firstLine="0" w:firstLineChars="0"/>
              <w:jc w:val="center"/>
              <w:rPr>
                <w:rFonts w:ascii="Arial" w:eastAsia="宋体" w:cs="Arial"/>
                <w:snapToGrid w:val="0"/>
                <w:color w:val="000000"/>
                <w:sz w:val="21"/>
                <w:szCs w:val="21"/>
              </w:rPr>
            </w:pPr>
          </w:p>
        </w:tc>
        <w:tc>
          <w:tcPr>
            <w:tcW w:w="4496" w:type="dxa"/>
            <w:gridSpan w:val="2"/>
            <w:vAlign w:val="center"/>
          </w:tcPr>
          <w:p w14:paraId="370A92FC">
            <w:pPr>
              <w:pStyle w:val="29"/>
              <w:keepNext/>
              <w:tabs>
                <w:tab w:val="left" w:pos="0"/>
              </w:tabs>
              <w:snapToGrid w:val="0"/>
              <w:ind w:left="0" w:leftChars="0" w:right="0" w:rightChars="0" w:firstLine="0" w:firstLineChars="0"/>
              <w:jc w:val="center"/>
              <w:rPr>
                <w:rFonts w:ascii="Arial" w:eastAsia="宋体"/>
                <w:snapToGrid w:val="0"/>
                <w:color w:val="000000"/>
                <w:sz w:val="21"/>
                <w:lang w:eastAsia="zh-CN"/>
              </w:rPr>
            </w:pPr>
            <w:r>
              <w:rPr>
                <w:rFonts w:ascii="Arial" w:eastAsia="宋体"/>
                <w:snapToGrid w:val="0"/>
                <w:color w:val="000000"/>
                <w:spacing w:val="7"/>
                <w:position w:val="2"/>
                <w:sz w:val="21"/>
                <w:lang w:eastAsia="zh-CN"/>
              </w:rPr>
              <w:t>耐磨性（</w:t>
            </w:r>
            <w:r>
              <w:rPr>
                <w:rFonts w:ascii="Arial" w:hAnsi="Times New Roman" w:eastAsia="宋体" w:cs="Times New Roman"/>
                <w:snapToGrid w:val="0"/>
                <w:color w:val="000000"/>
                <w:position w:val="2"/>
                <w:sz w:val="21"/>
                <w:lang w:eastAsia="zh-CN"/>
              </w:rPr>
              <w:t>mg</w:t>
            </w:r>
            <w:r>
              <w:rPr>
                <w:rFonts w:ascii="Arial" w:eastAsia="宋体"/>
                <w:snapToGrid w:val="0"/>
                <w:color w:val="000000"/>
                <w:spacing w:val="3"/>
                <w:position w:val="2"/>
                <w:sz w:val="21"/>
                <w:lang w:eastAsia="zh-CN"/>
              </w:rPr>
              <w:t>）（</w:t>
            </w:r>
            <w:r>
              <w:rPr>
                <w:rFonts w:ascii="Arial" w:hAnsi="Times New Roman" w:eastAsia="宋体" w:cs="Times New Roman"/>
                <w:snapToGrid w:val="0"/>
                <w:color w:val="000000"/>
                <w:spacing w:val="7"/>
                <w:position w:val="2"/>
                <w:sz w:val="21"/>
                <w:lang w:eastAsia="zh-CN"/>
              </w:rPr>
              <w:t xml:space="preserve">200 </w:t>
            </w:r>
            <w:r>
              <w:rPr>
                <w:rFonts w:ascii="Arial" w:eastAsia="宋体"/>
                <w:snapToGrid w:val="0"/>
                <w:color w:val="000000"/>
                <w:spacing w:val="7"/>
                <w:position w:val="2"/>
                <w:sz w:val="21"/>
                <w:lang w:eastAsia="zh-CN"/>
              </w:rPr>
              <w:t>转</w:t>
            </w:r>
            <w:r>
              <w:rPr>
                <w:rFonts w:ascii="Arial" w:hAnsi="Times New Roman" w:eastAsia="宋体" w:cs="Times New Roman"/>
                <w:snapToGrid w:val="0"/>
                <w:color w:val="000000"/>
                <w:spacing w:val="7"/>
                <w:position w:val="2"/>
                <w:sz w:val="21"/>
                <w:lang w:eastAsia="zh-CN"/>
              </w:rPr>
              <w:t xml:space="preserve">/1000g </w:t>
            </w:r>
            <w:r>
              <w:rPr>
                <w:rFonts w:ascii="Arial" w:eastAsia="宋体"/>
                <w:snapToGrid w:val="0"/>
                <w:color w:val="000000"/>
                <w:spacing w:val="7"/>
                <w:position w:val="2"/>
                <w:sz w:val="21"/>
                <w:lang w:eastAsia="zh-CN"/>
              </w:rPr>
              <w:t>后减重）</w:t>
            </w:r>
          </w:p>
        </w:tc>
        <w:tc>
          <w:tcPr>
            <w:tcW w:w="2787" w:type="dxa"/>
            <w:vAlign w:val="center"/>
          </w:tcPr>
          <w:p w14:paraId="4F1E8026">
            <w:pPr>
              <w:pStyle w:val="29"/>
              <w:keepNext/>
              <w:tabs>
                <w:tab w:val="left" w:pos="0"/>
              </w:tabs>
              <w:snapToGrid w:val="0"/>
              <w:ind w:left="0" w:leftChars="0" w:right="0" w:rightChars="0" w:firstLine="0" w:firstLineChars="0"/>
              <w:jc w:val="left"/>
              <w:rPr>
                <w:rFonts w:ascii="Arial" w:eastAsia="宋体"/>
                <w:snapToGrid w:val="0"/>
                <w:color w:val="000000"/>
                <w:sz w:val="21"/>
              </w:rPr>
            </w:pPr>
            <w:r>
              <w:rPr>
                <w:rFonts w:ascii="Arial" w:eastAsia="宋体"/>
                <w:snapToGrid w:val="0"/>
                <w:color w:val="000000"/>
                <w:spacing w:val="5"/>
                <w:position w:val="1"/>
                <w:sz w:val="21"/>
              </w:rPr>
              <w:t>≤</w:t>
            </w:r>
            <w:r>
              <w:rPr>
                <w:rFonts w:ascii="Arial" w:hAnsi="Times New Roman" w:eastAsia="宋体" w:cs="Times New Roman"/>
                <w:snapToGrid w:val="0"/>
                <w:color w:val="000000"/>
                <w:spacing w:val="5"/>
                <w:position w:val="1"/>
                <w:sz w:val="21"/>
              </w:rPr>
              <w:t>60</w:t>
            </w:r>
            <w:r>
              <w:rPr>
                <w:rFonts w:ascii="Arial" w:eastAsia="宋体"/>
                <w:snapToGrid w:val="0"/>
                <w:color w:val="000000"/>
                <w:spacing w:val="5"/>
                <w:position w:val="1"/>
                <w:sz w:val="21"/>
              </w:rPr>
              <w:t>（</w:t>
            </w:r>
            <w:r>
              <w:rPr>
                <w:rFonts w:ascii="Arial" w:hAnsi="Times New Roman" w:eastAsia="宋体" w:cs="Times New Roman"/>
                <w:snapToGrid w:val="0"/>
                <w:color w:val="000000"/>
                <w:position w:val="1"/>
                <w:sz w:val="21"/>
              </w:rPr>
              <w:t>JM</w:t>
            </w:r>
            <w:r>
              <w:rPr>
                <w:rFonts w:ascii="Arial" w:hAnsi="Times New Roman" w:eastAsia="宋体" w:cs="Times New Roman"/>
                <w:snapToGrid w:val="0"/>
                <w:color w:val="000000"/>
                <w:spacing w:val="5"/>
                <w:position w:val="1"/>
                <w:sz w:val="21"/>
              </w:rPr>
              <w:t xml:space="preserve">-100 </w:t>
            </w:r>
            <w:r>
              <w:rPr>
                <w:rFonts w:ascii="Arial" w:eastAsia="宋体"/>
                <w:snapToGrid w:val="0"/>
                <w:color w:val="000000"/>
                <w:spacing w:val="5"/>
                <w:position w:val="1"/>
                <w:sz w:val="21"/>
              </w:rPr>
              <w:t>橡胶砂轮）</w:t>
            </w:r>
          </w:p>
        </w:tc>
      </w:tr>
      <w:tr w14:paraId="75C2F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119" w:type="dxa"/>
            <w:vMerge w:val="restart"/>
            <w:tcBorders>
              <w:bottom w:val="nil"/>
            </w:tcBorders>
            <w:vAlign w:val="center"/>
          </w:tcPr>
          <w:p w14:paraId="6AFBA109">
            <w:pPr>
              <w:pStyle w:val="29"/>
              <w:keepNext/>
              <w:tabs>
                <w:tab w:val="left" w:pos="0"/>
              </w:tabs>
              <w:snapToGrid w:val="0"/>
              <w:ind w:left="0" w:leftChars="0" w:right="0" w:rightChars="0" w:firstLine="0" w:firstLineChars="0"/>
              <w:jc w:val="center"/>
              <w:rPr>
                <w:rFonts w:ascii="Arial" w:eastAsia="宋体"/>
                <w:snapToGrid w:val="0"/>
                <w:color w:val="000000"/>
                <w:sz w:val="21"/>
              </w:rPr>
            </w:pPr>
            <w:r>
              <w:rPr>
                <w:rFonts w:ascii="Arial" w:eastAsia="宋体"/>
                <w:snapToGrid w:val="0"/>
                <w:color w:val="000000"/>
                <w:spacing w:val="5"/>
                <w:sz w:val="21"/>
              </w:rPr>
              <w:t>玻璃珠</w:t>
            </w:r>
          </w:p>
        </w:tc>
        <w:tc>
          <w:tcPr>
            <w:tcW w:w="4496" w:type="dxa"/>
            <w:gridSpan w:val="2"/>
            <w:vAlign w:val="center"/>
          </w:tcPr>
          <w:p w14:paraId="7C105DE2">
            <w:pPr>
              <w:pStyle w:val="29"/>
              <w:keepNext/>
              <w:tabs>
                <w:tab w:val="left" w:pos="0"/>
              </w:tabs>
              <w:snapToGrid w:val="0"/>
              <w:ind w:left="0" w:leftChars="0" w:right="0" w:rightChars="0" w:firstLine="0" w:firstLineChars="0"/>
              <w:jc w:val="center"/>
              <w:rPr>
                <w:rFonts w:ascii="Arial" w:eastAsia="宋体"/>
                <w:snapToGrid w:val="0"/>
                <w:color w:val="000000"/>
                <w:sz w:val="21"/>
                <w:lang w:eastAsia="zh-CN"/>
              </w:rPr>
            </w:pPr>
            <w:r>
              <w:rPr>
                <w:rFonts w:ascii="Arial" w:eastAsia="宋体"/>
                <w:snapToGrid w:val="0"/>
                <w:color w:val="000000"/>
                <w:spacing w:val="7"/>
                <w:position w:val="1"/>
                <w:sz w:val="21"/>
                <w:lang w:eastAsia="zh-CN"/>
              </w:rPr>
              <w:t>面撒玻璃珠成圆率（</w:t>
            </w:r>
            <w:r>
              <w:rPr>
                <w:rFonts w:ascii="Arial" w:hAnsi="Times New Roman" w:eastAsia="宋体" w:cs="Times New Roman"/>
                <w:snapToGrid w:val="0"/>
                <w:color w:val="000000"/>
                <w:spacing w:val="7"/>
                <w:position w:val="1"/>
                <w:sz w:val="21"/>
                <w:lang w:eastAsia="zh-CN"/>
              </w:rPr>
              <w:t>%</w:t>
            </w:r>
            <w:r>
              <w:rPr>
                <w:rFonts w:ascii="Arial" w:eastAsia="宋体"/>
                <w:snapToGrid w:val="0"/>
                <w:color w:val="000000"/>
                <w:spacing w:val="7"/>
                <w:position w:val="1"/>
                <w:sz w:val="21"/>
                <w:lang w:eastAsia="zh-CN"/>
              </w:rPr>
              <w:t>）</w:t>
            </w:r>
          </w:p>
        </w:tc>
        <w:tc>
          <w:tcPr>
            <w:tcW w:w="2787" w:type="dxa"/>
            <w:vAlign w:val="center"/>
          </w:tcPr>
          <w:p w14:paraId="67CF88C7">
            <w:pPr>
              <w:pStyle w:val="29"/>
              <w:keepNext/>
              <w:tabs>
                <w:tab w:val="left" w:pos="0"/>
              </w:tabs>
              <w:snapToGrid w:val="0"/>
              <w:ind w:left="0" w:leftChars="0" w:right="0" w:rightChars="0" w:firstLine="0" w:firstLineChars="0"/>
              <w:jc w:val="left"/>
              <w:rPr>
                <w:rFonts w:ascii="Arial" w:hAnsi="Times New Roman" w:eastAsia="宋体" w:cs="Times New Roman"/>
                <w:snapToGrid w:val="0"/>
                <w:color w:val="000000"/>
                <w:sz w:val="21"/>
              </w:rPr>
            </w:pPr>
            <w:r>
              <w:rPr>
                <w:rFonts w:ascii="Arial" w:eastAsia="宋体"/>
                <w:snapToGrid w:val="0"/>
                <w:color w:val="000000"/>
                <w:position w:val="1"/>
                <w:sz w:val="21"/>
              </w:rPr>
              <w:t>≥</w:t>
            </w:r>
            <w:r>
              <w:rPr>
                <w:rFonts w:ascii="Arial" w:hAnsi="Times New Roman" w:eastAsia="宋体" w:cs="Times New Roman"/>
                <w:snapToGrid w:val="0"/>
                <w:color w:val="000000"/>
                <w:position w:val="1"/>
                <w:sz w:val="21"/>
              </w:rPr>
              <w:t>80%</w:t>
            </w:r>
          </w:p>
        </w:tc>
      </w:tr>
      <w:tr w14:paraId="4576C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119" w:type="dxa"/>
            <w:vMerge w:val="continue"/>
            <w:tcBorders>
              <w:top w:val="nil"/>
            </w:tcBorders>
            <w:vAlign w:val="center"/>
          </w:tcPr>
          <w:p w14:paraId="646C7F7E">
            <w:pPr>
              <w:keepNext/>
              <w:snapToGrid w:val="0"/>
              <w:ind w:left="0" w:leftChars="0" w:right="0" w:rightChars="0" w:firstLine="0" w:firstLineChars="0"/>
              <w:jc w:val="center"/>
              <w:rPr>
                <w:rFonts w:ascii="Arial" w:eastAsia="宋体" w:cs="Arial"/>
                <w:snapToGrid w:val="0"/>
                <w:color w:val="000000"/>
                <w:sz w:val="21"/>
                <w:szCs w:val="21"/>
              </w:rPr>
            </w:pPr>
          </w:p>
        </w:tc>
        <w:tc>
          <w:tcPr>
            <w:tcW w:w="4496" w:type="dxa"/>
            <w:gridSpan w:val="2"/>
            <w:vAlign w:val="center"/>
          </w:tcPr>
          <w:p w14:paraId="437141C5">
            <w:pPr>
              <w:pStyle w:val="29"/>
              <w:keepNext/>
              <w:tabs>
                <w:tab w:val="left" w:pos="0"/>
              </w:tabs>
              <w:snapToGrid w:val="0"/>
              <w:ind w:left="0" w:leftChars="0" w:right="0" w:rightChars="0" w:firstLine="0" w:firstLineChars="0"/>
              <w:jc w:val="center"/>
              <w:rPr>
                <w:rFonts w:ascii="Arial" w:eastAsia="宋体"/>
                <w:snapToGrid w:val="0"/>
                <w:color w:val="000000"/>
                <w:sz w:val="21"/>
              </w:rPr>
            </w:pPr>
            <w:r>
              <w:rPr>
                <w:rFonts w:ascii="Arial" w:eastAsia="宋体"/>
                <w:snapToGrid w:val="0"/>
                <w:color w:val="000000"/>
                <w:spacing w:val="5"/>
                <w:position w:val="1"/>
                <w:sz w:val="21"/>
              </w:rPr>
              <w:t>内混玻璃珠含量（</w:t>
            </w:r>
            <w:r>
              <w:rPr>
                <w:rFonts w:ascii="Arial" w:hAnsi="Times New Roman" w:eastAsia="宋体" w:cs="Times New Roman"/>
                <w:snapToGrid w:val="0"/>
                <w:color w:val="000000"/>
                <w:spacing w:val="5"/>
                <w:position w:val="1"/>
                <w:sz w:val="21"/>
              </w:rPr>
              <w:t>%</w:t>
            </w:r>
            <w:r>
              <w:rPr>
                <w:rFonts w:ascii="Arial" w:eastAsia="宋体"/>
                <w:snapToGrid w:val="0"/>
                <w:color w:val="000000"/>
                <w:spacing w:val="5"/>
                <w:position w:val="1"/>
                <w:sz w:val="21"/>
              </w:rPr>
              <w:t>）</w:t>
            </w:r>
          </w:p>
        </w:tc>
        <w:tc>
          <w:tcPr>
            <w:tcW w:w="2787" w:type="dxa"/>
            <w:vAlign w:val="center"/>
          </w:tcPr>
          <w:p w14:paraId="1E9DC914">
            <w:pPr>
              <w:pStyle w:val="29"/>
              <w:keepNext/>
              <w:tabs>
                <w:tab w:val="left" w:pos="0"/>
              </w:tabs>
              <w:snapToGrid w:val="0"/>
              <w:ind w:left="0" w:leftChars="0" w:right="0" w:rightChars="0" w:firstLine="0" w:firstLineChars="0"/>
              <w:jc w:val="left"/>
              <w:rPr>
                <w:rFonts w:ascii="Arial" w:hAnsi="Times New Roman" w:eastAsia="宋体" w:cs="Times New Roman"/>
                <w:snapToGrid w:val="0"/>
                <w:color w:val="000000"/>
                <w:sz w:val="21"/>
              </w:rPr>
            </w:pPr>
            <w:r>
              <w:rPr>
                <w:rFonts w:ascii="Arial" w:eastAsia="宋体"/>
                <w:snapToGrid w:val="0"/>
                <w:color w:val="000000"/>
                <w:position w:val="1"/>
                <w:sz w:val="21"/>
              </w:rPr>
              <w:t>≥</w:t>
            </w:r>
            <w:r>
              <w:rPr>
                <w:rFonts w:ascii="Arial" w:hAnsi="Times New Roman" w:eastAsia="宋体" w:cs="Times New Roman"/>
                <w:snapToGrid w:val="0"/>
                <w:color w:val="000000"/>
                <w:position w:val="1"/>
                <w:sz w:val="21"/>
              </w:rPr>
              <w:t>30%</w:t>
            </w:r>
          </w:p>
        </w:tc>
      </w:tr>
    </w:tbl>
    <w:p w14:paraId="2CEBCFC4">
      <w:pPr>
        <w:rPr>
          <w:rFonts w:ascii="Arial"/>
          <w:szCs w:val="21"/>
        </w:rPr>
      </w:pPr>
      <w:r>
        <w:rPr>
          <w:szCs w:val="21"/>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22225</wp:posOffset>
                </wp:positionV>
                <wp:extent cx="6120130" cy="9525"/>
                <wp:effectExtent l="0" t="0" r="0" b="0"/>
                <wp:wrapNone/>
                <wp:docPr id="5" name="任意多边形 25"/>
                <wp:cNvGraphicFramePr/>
                <a:graphic xmlns:a="http://schemas.openxmlformats.org/drawingml/2006/main">
                  <a:graphicData uri="http://schemas.microsoft.com/office/word/2010/wordprocessingShape">
                    <wps:wsp>
                      <wps:cNvSpPr/>
                      <wps:spPr>
                        <a:xfrm>
                          <a:off x="0" y="0"/>
                          <a:ext cx="6120130" cy="9525"/>
                        </a:xfrm>
                        <a:custGeom>
                          <a:avLst/>
                          <a:gdLst/>
                          <a:ahLst/>
                          <a:cxnLst/>
                          <a:pathLst>
                            <a:path w="9637" h="15">
                              <a:moveTo>
                                <a:pt x="0" y="0"/>
                              </a:moveTo>
                              <a:lnTo>
                                <a:pt x="9637" y="0"/>
                              </a:lnTo>
                              <a:lnTo>
                                <a:pt x="9637" y="14"/>
                              </a:lnTo>
                              <a:lnTo>
                                <a:pt x="0" y="14"/>
                              </a:lnTo>
                              <a:lnTo>
                                <a:pt x="0" y="0"/>
                              </a:lnTo>
                              <a:close/>
                            </a:path>
                          </a:pathLst>
                        </a:custGeom>
                        <a:solidFill>
                          <a:srgbClr val="000000"/>
                        </a:solidFill>
                        <a:ln>
                          <a:noFill/>
                        </a:ln>
                      </wps:spPr>
                      <wps:bodyPr upright="1"/>
                    </wps:wsp>
                  </a:graphicData>
                </a:graphic>
              </wp:anchor>
            </w:drawing>
          </mc:Choice>
          <mc:Fallback>
            <w:pict>
              <v:shape id="任意多边形 25" o:spid="_x0000_s1026" o:spt="100" style="position:absolute;left:0pt;margin-left:0pt;margin-top:1.75pt;height:0.75pt;width:481.9pt;z-index:251661312;mso-width-relative:page;mso-height-relative:page;" fillcolor="#000000" filled="t" stroked="f" coordsize="9637,15" o:gfxdata="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CO5i7TAAAABAEAAA8AAAAAAAAAAQAgAAAAIgAA&#10;AGRycy9kb3ducmV2LnhtbFBLAQIUABQAAAAIAIdO4kD9M40/DQIAAHwEAAAOAAAAAAAAAAEAIAAA&#10;ACIBAABkcnMvZTJvRG9jLnhtbFBLBQYAAAAABgAGAFkBAAChBQAAAAA=&#10;" path="m0,0l9637,0,9637,14,0,14,0,0xe">
                <v:fill on="t" focussize="0,0"/>
                <v:stroke on="f"/>
                <v:imagedata o:title=""/>
                <o:lock v:ext="edit" aspectratio="f"/>
              </v:shape>
            </w:pict>
          </mc:Fallback>
        </mc:AlternateContent>
      </w:r>
    </w:p>
    <w:p w14:paraId="4B912044">
      <w:pPr>
        <w:pStyle w:val="11"/>
        <w:spacing w:line="240" w:lineRule="auto"/>
        <w:ind w:left="6"/>
        <w:rPr>
          <w:rFonts w:eastAsia="Times New Roman"/>
          <w:sz w:val="21"/>
          <w:szCs w:val="21"/>
          <w:lang w:eastAsia="zh-CN"/>
        </w:rPr>
      </w:pPr>
      <w:r>
        <w:rPr>
          <w:spacing w:val="7"/>
          <w:position w:val="1"/>
          <w:sz w:val="21"/>
          <w:szCs w:val="21"/>
          <w:lang w:eastAsia="zh-CN"/>
        </w:rPr>
        <w:t>普通型热熔标线和耐久型热熔标线逆反射亮度系数</w:t>
      </w:r>
      <w:r>
        <w:rPr>
          <w:spacing w:val="-30"/>
          <w:position w:val="1"/>
          <w:sz w:val="21"/>
          <w:szCs w:val="21"/>
          <w:lang w:eastAsia="zh-CN"/>
        </w:rPr>
        <w:t xml:space="preserve"> </w:t>
      </w:r>
      <w:r>
        <w:rPr>
          <w:rFonts w:eastAsia="Times New Roman"/>
          <w:position w:val="1"/>
          <w:sz w:val="21"/>
          <w:szCs w:val="21"/>
          <w:lang w:eastAsia="zh-CN"/>
        </w:rPr>
        <w:t>RL</w:t>
      </w:r>
      <w:r>
        <w:rPr>
          <w:rFonts w:eastAsia="Times New Roman"/>
          <w:spacing w:val="7"/>
          <w:position w:val="1"/>
          <w:sz w:val="21"/>
          <w:szCs w:val="21"/>
          <w:lang w:eastAsia="zh-CN"/>
        </w:rPr>
        <w:t xml:space="preserve"> </w:t>
      </w:r>
      <w:r>
        <w:rPr>
          <w:spacing w:val="7"/>
          <w:position w:val="1"/>
          <w:sz w:val="21"/>
          <w:szCs w:val="21"/>
          <w:lang w:eastAsia="zh-CN"/>
        </w:rPr>
        <w:t>技术要求分别如表</w:t>
      </w:r>
      <w:r>
        <w:rPr>
          <w:spacing w:val="-20"/>
          <w:position w:val="1"/>
          <w:sz w:val="21"/>
          <w:szCs w:val="21"/>
          <w:lang w:eastAsia="zh-CN"/>
        </w:rPr>
        <w:t xml:space="preserve"> </w:t>
      </w:r>
      <w:r>
        <w:rPr>
          <w:rFonts w:eastAsia="Times New Roman"/>
          <w:spacing w:val="7"/>
          <w:position w:val="1"/>
          <w:sz w:val="21"/>
          <w:szCs w:val="21"/>
          <w:lang w:eastAsia="zh-CN"/>
        </w:rPr>
        <w:t xml:space="preserve">1-2 </w:t>
      </w:r>
      <w:r>
        <w:rPr>
          <w:spacing w:val="7"/>
          <w:position w:val="1"/>
          <w:sz w:val="21"/>
          <w:szCs w:val="21"/>
          <w:lang w:eastAsia="zh-CN"/>
        </w:rPr>
        <w:t>和</w:t>
      </w:r>
      <w:r>
        <w:rPr>
          <w:spacing w:val="-23"/>
          <w:position w:val="1"/>
          <w:sz w:val="21"/>
          <w:szCs w:val="21"/>
          <w:lang w:eastAsia="zh-CN"/>
        </w:rPr>
        <w:t xml:space="preserve"> </w:t>
      </w:r>
      <w:r>
        <w:rPr>
          <w:rFonts w:eastAsia="Times New Roman"/>
          <w:spacing w:val="7"/>
          <w:position w:val="1"/>
          <w:sz w:val="21"/>
          <w:szCs w:val="21"/>
          <w:lang w:eastAsia="zh-CN"/>
        </w:rPr>
        <w:t>1-3</w:t>
      </w:r>
    </w:p>
    <w:p w14:paraId="22370ADA">
      <w:pPr>
        <w:pStyle w:val="11"/>
        <w:spacing w:line="240" w:lineRule="auto"/>
        <w:ind w:left="6"/>
        <w:rPr>
          <w:sz w:val="21"/>
          <w:szCs w:val="21"/>
          <w:lang w:eastAsia="zh-CN"/>
        </w:rPr>
      </w:pPr>
      <w:r>
        <w:rPr>
          <w:spacing w:val="7"/>
          <w:position w:val="1"/>
          <w:sz w:val="21"/>
          <w:szCs w:val="21"/>
          <w:lang w:eastAsia="zh-CN"/>
        </w:rPr>
        <w:t>表</w:t>
      </w:r>
      <w:r>
        <w:rPr>
          <w:spacing w:val="-20"/>
          <w:position w:val="1"/>
          <w:sz w:val="21"/>
          <w:szCs w:val="21"/>
          <w:lang w:eastAsia="zh-CN"/>
        </w:rPr>
        <w:t xml:space="preserve"> </w:t>
      </w:r>
      <w:r>
        <w:rPr>
          <w:rFonts w:eastAsia="Times New Roman"/>
          <w:spacing w:val="7"/>
          <w:position w:val="1"/>
          <w:sz w:val="21"/>
          <w:szCs w:val="21"/>
          <w:lang w:eastAsia="zh-CN"/>
        </w:rPr>
        <w:t xml:space="preserve">1-2  </w:t>
      </w:r>
      <w:r>
        <w:rPr>
          <w:spacing w:val="7"/>
          <w:position w:val="1"/>
          <w:sz w:val="21"/>
          <w:szCs w:val="21"/>
          <w:lang w:eastAsia="zh-CN"/>
        </w:rPr>
        <w:t>普通热熔标线逆反射亮度系数</w:t>
      </w:r>
      <w:r>
        <w:rPr>
          <w:spacing w:val="-44"/>
          <w:position w:val="1"/>
          <w:sz w:val="21"/>
          <w:szCs w:val="21"/>
          <w:lang w:eastAsia="zh-CN"/>
        </w:rPr>
        <w:t xml:space="preserve"> </w:t>
      </w:r>
      <w:r>
        <w:rPr>
          <w:rFonts w:eastAsia="Times New Roman"/>
          <w:position w:val="1"/>
          <w:sz w:val="21"/>
          <w:szCs w:val="21"/>
          <w:lang w:eastAsia="zh-CN"/>
        </w:rPr>
        <w:t>RL</w:t>
      </w:r>
      <w:r>
        <w:rPr>
          <w:rFonts w:eastAsia="Times New Roman"/>
          <w:spacing w:val="7"/>
          <w:position w:val="1"/>
          <w:sz w:val="21"/>
          <w:szCs w:val="21"/>
          <w:lang w:eastAsia="zh-CN"/>
        </w:rPr>
        <w:t xml:space="preserve"> </w:t>
      </w:r>
      <w:r>
        <w:rPr>
          <w:spacing w:val="6"/>
          <w:position w:val="1"/>
          <w:sz w:val="21"/>
          <w:szCs w:val="21"/>
          <w:lang w:eastAsia="zh-CN"/>
        </w:rPr>
        <w:t>要求</w:t>
      </w:r>
    </w:p>
    <w:p w14:paraId="53018436">
      <w:pPr>
        <w:ind w:firstLine="420"/>
        <w:rPr>
          <w:szCs w:val="21"/>
        </w:rPr>
      </w:pPr>
    </w:p>
    <w:tbl>
      <w:tblPr>
        <w:tblStyle w:val="25"/>
        <w:tblW w:w="8387"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704"/>
        <w:gridCol w:w="2072"/>
        <w:gridCol w:w="1611"/>
      </w:tblGrid>
      <w:tr w14:paraId="1DA51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trPr>
        <w:tc>
          <w:tcPr>
            <w:tcW w:w="4704" w:type="dxa"/>
            <w:tcBorders>
              <w:top w:val="single" w:color="000000" w:sz="10" w:space="0"/>
              <w:left w:val="single" w:color="000000" w:sz="10" w:space="0"/>
            </w:tcBorders>
            <w:vAlign w:val="center"/>
          </w:tcPr>
          <w:p w14:paraId="208ECBBA">
            <w:pPr>
              <w:pStyle w:val="29"/>
              <w:tabs>
                <w:tab w:val="left" w:pos="0"/>
              </w:tabs>
              <w:snapToGrid w:val="0"/>
              <w:ind w:left="0" w:leftChars="0" w:right="0" w:rightChars="0" w:firstLine="0" w:firstLineChars="0"/>
              <w:jc w:val="center"/>
              <w:rPr>
                <w:b/>
                <w:snapToGrid w:val="0"/>
                <w:color w:val="000000"/>
              </w:rPr>
            </w:pPr>
            <w:r>
              <w:rPr>
                <w:b/>
                <w:snapToGrid w:val="0"/>
                <w:color w:val="000000"/>
                <w:spacing w:val="7"/>
              </w:rPr>
              <w:t>检测项目</w:t>
            </w:r>
          </w:p>
        </w:tc>
        <w:tc>
          <w:tcPr>
            <w:tcW w:w="2072" w:type="dxa"/>
            <w:tcBorders>
              <w:top w:val="single" w:color="000000" w:sz="10" w:space="0"/>
            </w:tcBorders>
            <w:vAlign w:val="center"/>
          </w:tcPr>
          <w:p w14:paraId="65356190">
            <w:pPr>
              <w:pStyle w:val="29"/>
              <w:tabs>
                <w:tab w:val="left" w:pos="0"/>
              </w:tabs>
              <w:snapToGrid w:val="0"/>
              <w:ind w:left="0" w:leftChars="0" w:right="0" w:rightChars="0" w:firstLine="0" w:firstLineChars="0"/>
              <w:jc w:val="center"/>
              <w:rPr>
                <w:b/>
                <w:snapToGrid w:val="0"/>
                <w:color w:val="000000"/>
              </w:rPr>
            </w:pPr>
            <w:r>
              <w:rPr>
                <w:b/>
                <w:snapToGrid w:val="0"/>
                <w:color w:val="000000"/>
                <w:spacing w:val="7"/>
              </w:rPr>
              <w:t>检测时间</w:t>
            </w:r>
          </w:p>
        </w:tc>
        <w:tc>
          <w:tcPr>
            <w:tcW w:w="1611" w:type="dxa"/>
            <w:tcBorders>
              <w:top w:val="single" w:color="000000" w:sz="10" w:space="0"/>
              <w:right w:val="single" w:color="000000" w:sz="10" w:space="0"/>
            </w:tcBorders>
            <w:vAlign w:val="center"/>
          </w:tcPr>
          <w:p w14:paraId="11E01AF6">
            <w:pPr>
              <w:pStyle w:val="29"/>
              <w:tabs>
                <w:tab w:val="left" w:pos="0"/>
              </w:tabs>
              <w:snapToGrid w:val="0"/>
              <w:ind w:left="0" w:leftChars="0" w:right="0" w:rightChars="0" w:firstLine="0" w:firstLineChars="0"/>
              <w:jc w:val="center"/>
              <w:rPr>
                <w:b/>
                <w:snapToGrid w:val="0"/>
                <w:color w:val="000000"/>
              </w:rPr>
            </w:pPr>
            <w:r>
              <w:rPr>
                <w:b/>
                <w:snapToGrid w:val="0"/>
                <w:color w:val="000000"/>
                <w:spacing w:val="7"/>
              </w:rPr>
              <w:t>合格标准</w:t>
            </w:r>
          </w:p>
        </w:tc>
      </w:tr>
      <w:tr w14:paraId="32E62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704" w:type="dxa"/>
            <w:vMerge w:val="restart"/>
            <w:tcBorders>
              <w:left w:val="single" w:color="000000" w:sz="10" w:space="0"/>
              <w:bottom w:val="nil"/>
            </w:tcBorders>
            <w:vAlign w:val="center"/>
          </w:tcPr>
          <w:p w14:paraId="07F3A035">
            <w:pPr>
              <w:pStyle w:val="29"/>
              <w:tabs>
                <w:tab w:val="left" w:pos="0"/>
              </w:tabs>
              <w:snapToGrid w:val="0"/>
              <w:ind w:left="0" w:leftChars="0" w:right="0" w:rightChars="0" w:firstLine="0" w:firstLineChars="0"/>
              <w:jc w:val="center"/>
              <w:rPr>
                <w:rFonts w:ascii="Times New Roman" w:hAnsi="Times New Roman" w:eastAsia="Times New Roman" w:cs="Times New Roman"/>
                <w:snapToGrid w:val="0"/>
                <w:color w:val="000000"/>
                <w:lang w:eastAsia="zh-CN"/>
              </w:rPr>
            </w:pPr>
            <w:r>
              <w:rPr>
                <w:rFonts w:ascii="Times New Roman" w:eastAsia="Times New Roman"/>
                <w:snapToGrid w:val="0"/>
                <w:color w:val="000000"/>
                <w:spacing w:val="5"/>
                <w:lang w:eastAsia="zh-CN"/>
              </w:rPr>
              <w:t>白色标线</w:t>
            </w:r>
            <w:r>
              <w:rPr>
                <w:rFonts w:ascii="Times New Roman" w:eastAsia="Times New Roman"/>
                <w:snapToGrid w:val="0"/>
                <w:color w:val="000000"/>
                <w:spacing w:val="-41"/>
                <w:lang w:eastAsia="zh-CN"/>
              </w:rPr>
              <w:t xml:space="preserve"> </w:t>
            </w:r>
            <w:r>
              <w:rPr>
                <w:rFonts w:ascii="Times New Roman" w:hAnsi="Times New Roman" w:eastAsia="Times New Roman" w:cs="Times New Roman"/>
                <w:snapToGrid w:val="0"/>
                <w:color w:val="000000"/>
                <w:lang w:eastAsia="zh-CN"/>
              </w:rPr>
              <w:t>RL</w:t>
            </w:r>
            <w:r>
              <w:rPr>
                <w:rFonts w:ascii="Times New Roman" w:eastAsia="Times New Roman"/>
                <w:snapToGrid w:val="0"/>
                <w:color w:val="000000"/>
                <w:spacing w:val="5"/>
                <w:lang w:eastAsia="zh-CN"/>
              </w:rPr>
              <w:t>（干态</w:t>
            </w:r>
            <w:r>
              <w:rPr>
                <w:rFonts w:ascii="Times New Roman" w:eastAsia="Times New Roman"/>
                <w:snapToGrid w:val="0"/>
                <w:color w:val="000000"/>
                <w:lang w:eastAsia="zh-CN"/>
              </w:rPr>
              <w:t xml:space="preserve">）） </w:t>
            </w:r>
            <w:r>
              <w:rPr>
                <w:rFonts w:ascii="Times New Roman" w:hAnsi="Times New Roman" w:eastAsia="Times New Roman" w:cs="Times New Roman"/>
                <w:snapToGrid w:val="0"/>
                <w:color w:val="000000"/>
                <w:lang w:eastAsia="zh-CN"/>
              </w:rPr>
              <w:t>mcd</w:t>
            </w:r>
            <w:r>
              <w:rPr>
                <w:rFonts w:ascii="Times New Roman" w:hAnsi="Times New Roman" w:eastAsia="Times New Roman" w:cs="Times New Roman"/>
                <w:snapToGrid w:val="0"/>
                <w:color w:val="000000"/>
                <w:spacing w:val="6"/>
                <w:lang w:eastAsia="zh-CN"/>
              </w:rPr>
              <w:t>• m-2•</w:t>
            </w:r>
            <w:r>
              <w:rPr>
                <w:rFonts w:ascii="Times New Roman" w:hAnsi="Times New Roman" w:eastAsia="Times New Roman" w:cs="Times New Roman"/>
                <w:snapToGrid w:val="0"/>
                <w:color w:val="000000"/>
                <w:lang w:eastAsia="zh-CN"/>
              </w:rPr>
              <w:t>lx</w:t>
            </w:r>
            <w:r>
              <w:rPr>
                <w:rFonts w:ascii="Times New Roman" w:hAnsi="Times New Roman" w:eastAsia="Times New Roman" w:cs="Times New Roman"/>
                <w:snapToGrid w:val="0"/>
                <w:color w:val="000000"/>
                <w:spacing w:val="6"/>
                <w:lang w:eastAsia="zh-CN"/>
              </w:rPr>
              <w:t>-1</w:t>
            </w:r>
          </w:p>
        </w:tc>
        <w:tc>
          <w:tcPr>
            <w:tcW w:w="2072" w:type="dxa"/>
            <w:vAlign w:val="center"/>
          </w:tcPr>
          <w:p w14:paraId="6A4BFF6C">
            <w:pPr>
              <w:pStyle w:val="29"/>
              <w:tabs>
                <w:tab w:val="left" w:pos="0"/>
              </w:tabs>
              <w:snapToGrid w:val="0"/>
              <w:ind w:left="0" w:leftChars="0" w:right="0" w:rightChars="0" w:firstLine="0" w:firstLineChars="0"/>
              <w:jc w:val="center"/>
              <w:rPr>
                <w:rFonts w:ascii="Times New Roman" w:eastAsia="Times New Roman"/>
                <w:snapToGrid w:val="0"/>
                <w:color w:val="000000"/>
              </w:rPr>
            </w:pPr>
            <w:r>
              <w:rPr>
                <w:rFonts w:ascii="Times New Roman" w:eastAsia="Times New Roman"/>
                <w:snapToGrid w:val="0"/>
                <w:color w:val="000000"/>
                <w:position w:val="1"/>
              </w:rPr>
              <w:t>施划</w:t>
            </w:r>
            <w:r>
              <w:rPr>
                <w:rFonts w:ascii="Times New Roman" w:eastAsia="Times New Roman"/>
                <w:snapToGrid w:val="0"/>
                <w:color w:val="000000"/>
                <w:spacing w:val="-20"/>
                <w:position w:val="1"/>
              </w:rPr>
              <w:t xml:space="preserve"> </w:t>
            </w:r>
            <w:r>
              <w:rPr>
                <w:rFonts w:ascii="Times New Roman" w:hAnsi="Times New Roman" w:eastAsia="Times New Roman" w:cs="Times New Roman"/>
                <w:snapToGrid w:val="0"/>
                <w:color w:val="000000"/>
                <w:position w:val="1"/>
              </w:rPr>
              <w:t>14</w:t>
            </w:r>
            <w:r>
              <w:rPr>
                <w:rFonts w:ascii="Times New Roman" w:hAnsi="Times New Roman" w:eastAsia="Times New Roman" w:cs="Times New Roman"/>
                <w:snapToGrid w:val="0"/>
                <w:color w:val="000000"/>
                <w:spacing w:val="16"/>
                <w:position w:val="1"/>
              </w:rPr>
              <w:t xml:space="preserve"> </w:t>
            </w:r>
            <w:r>
              <w:rPr>
                <w:rFonts w:ascii="Times New Roman" w:eastAsia="Times New Roman"/>
                <w:snapToGrid w:val="0"/>
                <w:color w:val="000000"/>
                <w:position w:val="1"/>
              </w:rPr>
              <w:t>天后</w:t>
            </w:r>
          </w:p>
        </w:tc>
        <w:tc>
          <w:tcPr>
            <w:tcW w:w="1611" w:type="dxa"/>
            <w:tcBorders>
              <w:right w:val="single" w:color="000000" w:sz="10" w:space="0"/>
            </w:tcBorders>
            <w:vAlign w:val="center"/>
          </w:tcPr>
          <w:p w14:paraId="4CDD45D4">
            <w:pPr>
              <w:snapToGrid w:val="0"/>
              <w:ind w:left="0" w:leftChars="0" w:right="0" w:rightChars="0" w:firstLine="0" w:firstLineChars="0"/>
              <w:jc w:val="center"/>
              <w:rPr>
                <w:rFonts w:eastAsia="Times New Roman"/>
                <w:snapToGrid w:val="0"/>
                <w:color w:val="000000"/>
                <w:szCs w:val="21"/>
              </w:rPr>
            </w:pPr>
            <w:r>
              <w:rPr>
                <w:rFonts w:eastAsia="Times New Roman"/>
                <w:snapToGrid w:val="0"/>
                <w:color w:val="000000"/>
                <w:spacing w:val="-2"/>
                <w:position w:val="2"/>
                <w:szCs w:val="21"/>
              </w:rPr>
              <w:t>≥</w:t>
            </w:r>
            <w:r>
              <w:rPr>
                <w:rFonts w:eastAsia="Times New Roman"/>
                <w:snapToGrid w:val="0"/>
                <w:color w:val="000000"/>
                <w:spacing w:val="-27"/>
                <w:position w:val="2"/>
                <w:szCs w:val="21"/>
              </w:rPr>
              <w:t xml:space="preserve"> </w:t>
            </w:r>
            <w:r>
              <w:rPr>
                <w:rFonts w:eastAsia="Times New Roman"/>
                <w:snapToGrid w:val="0"/>
                <w:color w:val="000000"/>
                <w:spacing w:val="-2"/>
                <w:position w:val="2"/>
                <w:szCs w:val="21"/>
              </w:rPr>
              <w:t>150</w:t>
            </w:r>
          </w:p>
        </w:tc>
      </w:tr>
      <w:tr w14:paraId="4C5FC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704" w:type="dxa"/>
            <w:vMerge w:val="continue"/>
            <w:tcBorders>
              <w:top w:val="nil"/>
              <w:left w:val="single" w:color="000000" w:sz="10" w:space="0"/>
            </w:tcBorders>
            <w:vAlign w:val="center"/>
          </w:tcPr>
          <w:p w14:paraId="1416C6C1">
            <w:pPr>
              <w:snapToGrid w:val="0"/>
              <w:ind w:left="0" w:leftChars="0" w:right="0" w:rightChars="0" w:firstLine="0" w:firstLineChars="0"/>
              <w:jc w:val="center"/>
              <w:rPr>
                <w:rFonts w:eastAsia="Times New Roman" w:cs="Arial"/>
                <w:snapToGrid w:val="0"/>
                <w:color w:val="000000"/>
                <w:szCs w:val="21"/>
              </w:rPr>
            </w:pPr>
          </w:p>
        </w:tc>
        <w:tc>
          <w:tcPr>
            <w:tcW w:w="2072" w:type="dxa"/>
            <w:vAlign w:val="center"/>
          </w:tcPr>
          <w:p w14:paraId="172D158E">
            <w:pPr>
              <w:pStyle w:val="29"/>
              <w:tabs>
                <w:tab w:val="left" w:pos="0"/>
              </w:tabs>
              <w:snapToGrid w:val="0"/>
              <w:ind w:left="0" w:leftChars="0" w:right="0" w:rightChars="0" w:firstLine="0" w:firstLineChars="0"/>
              <w:jc w:val="center"/>
              <w:rPr>
                <w:rFonts w:ascii="Times New Roman" w:eastAsia="Times New Roman"/>
                <w:snapToGrid w:val="0"/>
                <w:color w:val="000000"/>
              </w:rPr>
            </w:pPr>
            <w:r>
              <w:rPr>
                <w:rFonts w:ascii="Times New Roman" w:eastAsia="Times New Roman"/>
                <w:snapToGrid w:val="0"/>
                <w:color w:val="000000"/>
                <w:spacing w:val="8"/>
              </w:rPr>
              <w:t>正常使用一年后</w:t>
            </w:r>
          </w:p>
        </w:tc>
        <w:tc>
          <w:tcPr>
            <w:tcW w:w="1611" w:type="dxa"/>
            <w:tcBorders>
              <w:right w:val="single" w:color="000000" w:sz="10" w:space="0"/>
            </w:tcBorders>
            <w:vAlign w:val="center"/>
          </w:tcPr>
          <w:p w14:paraId="573F758F">
            <w:pPr>
              <w:snapToGrid w:val="0"/>
              <w:ind w:left="0" w:leftChars="0" w:right="0" w:rightChars="0" w:firstLine="0" w:firstLineChars="0"/>
              <w:jc w:val="center"/>
              <w:rPr>
                <w:rFonts w:eastAsia="Times New Roman"/>
                <w:snapToGrid w:val="0"/>
                <w:color w:val="000000"/>
                <w:szCs w:val="21"/>
              </w:rPr>
            </w:pPr>
            <w:r>
              <w:rPr>
                <w:rFonts w:eastAsia="Times New Roman"/>
                <w:snapToGrid w:val="0"/>
                <w:color w:val="000000"/>
                <w:spacing w:val="3"/>
                <w:position w:val="2"/>
                <w:szCs w:val="21"/>
              </w:rPr>
              <w:t>≥80</w:t>
            </w:r>
          </w:p>
        </w:tc>
      </w:tr>
      <w:tr w14:paraId="55122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704" w:type="dxa"/>
            <w:vMerge w:val="restart"/>
            <w:tcBorders>
              <w:left w:val="single" w:color="000000" w:sz="10" w:space="0"/>
              <w:bottom w:val="nil"/>
            </w:tcBorders>
            <w:vAlign w:val="center"/>
          </w:tcPr>
          <w:p w14:paraId="307683DA">
            <w:pPr>
              <w:pStyle w:val="29"/>
              <w:tabs>
                <w:tab w:val="left" w:pos="0"/>
              </w:tabs>
              <w:snapToGrid w:val="0"/>
              <w:ind w:left="0" w:leftChars="0" w:right="0" w:rightChars="0" w:firstLine="0" w:firstLineChars="0"/>
              <w:jc w:val="center"/>
              <w:rPr>
                <w:rFonts w:ascii="Times New Roman" w:hAnsi="Times New Roman" w:eastAsia="Times New Roman" w:cs="Times New Roman"/>
                <w:snapToGrid w:val="0"/>
                <w:color w:val="000000"/>
                <w:lang w:eastAsia="zh-CN"/>
              </w:rPr>
            </w:pPr>
            <w:r>
              <w:rPr>
                <w:rFonts w:ascii="Times New Roman" w:eastAsia="Times New Roman"/>
                <w:snapToGrid w:val="0"/>
                <w:color w:val="000000"/>
                <w:spacing w:val="9"/>
                <w:lang w:eastAsia="zh-CN"/>
              </w:rPr>
              <w:t>黄色标线</w:t>
            </w:r>
            <w:r>
              <w:rPr>
                <w:rFonts w:ascii="Times New Roman" w:eastAsia="Times New Roman"/>
                <w:snapToGrid w:val="0"/>
                <w:color w:val="000000"/>
                <w:spacing w:val="-42"/>
                <w:lang w:eastAsia="zh-CN"/>
              </w:rPr>
              <w:t xml:space="preserve"> </w:t>
            </w:r>
            <w:r>
              <w:rPr>
                <w:rFonts w:ascii="Times New Roman" w:hAnsi="Times New Roman" w:eastAsia="Times New Roman" w:cs="Times New Roman"/>
                <w:snapToGrid w:val="0"/>
                <w:color w:val="000000"/>
                <w:lang w:eastAsia="zh-CN"/>
              </w:rPr>
              <w:t>RL</w:t>
            </w:r>
            <w:r>
              <w:rPr>
                <w:rFonts w:ascii="Times New Roman" w:eastAsia="Times New Roman"/>
                <w:snapToGrid w:val="0"/>
                <w:color w:val="000000"/>
                <w:spacing w:val="9"/>
                <w:lang w:eastAsia="zh-CN"/>
              </w:rPr>
              <w:t>（干态</w:t>
            </w:r>
            <w:r>
              <w:rPr>
                <w:rFonts w:ascii="Times New Roman" w:eastAsia="Times New Roman"/>
                <w:snapToGrid w:val="0"/>
                <w:color w:val="000000"/>
                <w:spacing w:val="2"/>
                <w:lang w:eastAsia="zh-CN"/>
              </w:rPr>
              <w:t>））</w:t>
            </w:r>
            <w:r>
              <w:rPr>
                <w:rFonts w:ascii="Times New Roman" w:eastAsia="Times New Roman"/>
                <w:snapToGrid w:val="0"/>
                <w:color w:val="000000"/>
                <w:lang w:eastAsia="zh-CN"/>
              </w:rPr>
              <w:t xml:space="preserve"> </w:t>
            </w:r>
            <w:r>
              <w:rPr>
                <w:rFonts w:ascii="Times New Roman" w:hAnsi="Times New Roman" w:eastAsia="Times New Roman" w:cs="Times New Roman"/>
                <w:snapToGrid w:val="0"/>
                <w:color w:val="000000"/>
                <w:lang w:eastAsia="zh-CN"/>
              </w:rPr>
              <w:t>mcd</w:t>
            </w:r>
            <w:r>
              <w:rPr>
                <w:rFonts w:ascii="Times New Roman" w:hAnsi="Times New Roman" w:eastAsia="Times New Roman" w:cs="Times New Roman"/>
                <w:snapToGrid w:val="0"/>
                <w:color w:val="000000"/>
                <w:spacing w:val="6"/>
                <w:lang w:eastAsia="zh-CN"/>
              </w:rPr>
              <w:t>• m-2•</w:t>
            </w:r>
            <w:r>
              <w:rPr>
                <w:rFonts w:ascii="Times New Roman" w:hAnsi="Times New Roman" w:eastAsia="Times New Roman" w:cs="Times New Roman"/>
                <w:snapToGrid w:val="0"/>
                <w:color w:val="000000"/>
                <w:lang w:eastAsia="zh-CN"/>
              </w:rPr>
              <w:t>lx</w:t>
            </w:r>
            <w:r>
              <w:rPr>
                <w:rFonts w:ascii="Times New Roman" w:hAnsi="Times New Roman" w:eastAsia="Times New Roman" w:cs="Times New Roman"/>
                <w:snapToGrid w:val="0"/>
                <w:color w:val="000000"/>
                <w:spacing w:val="6"/>
                <w:lang w:eastAsia="zh-CN"/>
              </w:rPr>
              <w:t>-1</w:t>
            </w:r>
          </w:p>
        </w:tc>
        <w:tc>
          <w:tcPr>
            <w:tcW w:w="2072" w:type="dxa"/>
            <w:vAlign w:val="center"/>
          </w:tcPr>
          <w:p w14:paraId="6E8E2449">
            <w:pPr>
              <w:pStyle w:val="29"/>
              <w:tabs>
                <w:tab w:val="left" w:pos="0"/>
              </w:tabs>
              <w:snapToGrid w:val="0"/>
              <w:ind w:left="0" w:leftChars="0" w:right="0" w:rightChars="0" w:firstLine="0" w:firstLineChars="0"/>
              <w:jc w:val="center"/>
              <w:rPr>
                <w:rFonts w:ascii="Times New Roman" w:eastAsia="Times New Roman"/>
                <w:snapToGrid w:val="0"/>
                <w:color w:val="000000"/>
              </w:rPr>
            </w:pPr>
            <w:r>
              <w:rPr>
                <w:rFonts w:ascii="Times New Roman" w:eastAsia="Times New Roman"/>
                <w:snapToGrid w:val="0"/>
                <w:color w:val="000000"/>
                <w:position w:val="1"/>
              </w:rPr>
              <w:t>施划</w:t>
            </w:r>
            <w:r>
              <w:rPr>
                <w:rFonts w:ascii="Times New Roman" w:eastAsia="Times New Roman"/>
                <w:snapToGrid w:val="0"/>
                <w:color w:val="000000"/>
                <w:spacing w:val="-20"/>
                <w:position w:val="1"/>
              </w:rPr>
              <w:t xml:space="preserve"> </w:t>
            </w:r>
            <w:r>
              <w:rPr>
                <w:rFonts w:ascii="Times New Roman" w:hAnsi="Times New Roman" w:eastAsia="Times New Roman" w:cs="Times New Roman"/>
                <w:snapToGrid w:val="0"/>
                <w:color w:val="000000"/>
                <w:position w:val="1"/>
              </w:rPr>
              <w:t>14</w:t>
            </w:r>
            <w:r>
              <w:rPr>
                <w:rFonts w:ascii="Times New Roman" w:hAnsi="Times New Roman" w:eastAsia="Times New Roman" w:cs="Times New Roman"/>
                <w:snapToGrid w:val="0"/>
                <w:color w:val="000000"/>
                <w:spacing w:val="16"/>
                <w:position w:val="1"/>
              </w:rPr>
              <w:t xml:space="preserve"> </w:t>
            </w:r>
            <w:r>
              <w:rPr>
                <w:rFonts w:ascii="Times New Roman" w:eastAsia="Times New Roman"/>
                <w:snapToGrid w:val="0"/>
                <w:color w:val="000000"/>
                <w:position w:val="1"/>
              </w:rPr>
              <w:t>天后</w:t>
            </w:r>
          </w:p>
        </w:tc>
        <w:tc>
          <w:tcPr>
            <w:tcW w:w="1611" w:type="dxa"/>
            <w:tcBorders>
              <w:right w:val="single" w:color="000000" w:sz="10" w:space="0"/>
            </w:tcBorders>
            <w:vAlign w:val="center"/>
          </w:tcPr>
          <w:p w14:paraId="7C541C70">
            <w:pPr>
              <w:snapToGrid w:val="0"/>
              <w:ind w:left="0" w:leftChars="0" w:right="0" w:rightChars="0" w:firstLine="0" w:firstLineChars="0"/>
              <w:jc w:val="center"/>
              <w:rPr>
                <w:rFonts w:eastAsia="Times New Roman"/>
                <w:snapToGrid w:val="0"/>
                <w:color w:val="000000"/>
                <w:szCs w:val="21"/>
              </w:rPr>
            </w:pPr>
            <w:r>
              <w:rPr>
                <w:rFonts w:eastAsia="Times New Roman"/>
                <w:snapToGrid w:val="0"/>
                <w:color w:val="000000"/>
                <w:spacing w:val="-2"/>
                <w:position w:val="2"/>
                <w:szCs w:val="21"/>
              </w:rPr>
              <w:t>≥</w:t>
            </w:r>
            <w:r>
              <w:rPr>
                <w:rFonts w:eastAsia="Times New Roman"/>
                <w:snapToGrid w:val="0"/>
                <w:color w:val="000000"/>
                <w:spacing w:val="-27"/>
                <w:position w:val="2"/>
                <w:szCs w:val="21"/>
              </w:rPr>
              <w:t xml:space="preserve"> </w:t>
            </w:r>
            <w:r>
              <w:rPr>
                <w:rFonts w:eastAsia="Times New Roman"/>
                <w:snapToGrid w:val="0"/>
                <w:color w:val="000000"/>
                <w:spacing w:val="-2"/>
                <w:position w:val="2"/>
                <w:szCs w:val="21"/>
              </w:rPr>
              <w:t>100</w:t>
            </w:r>
          </w:p>
        </w:tc>
      </w:tr>
      <w:tr w14:paraId="0E5E8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4704" w:type="dxa"/>
            <w:vMerge w:val="continue"/>
            <w:tcBorders>
              <w:top w:val="nil"/>
              <w:left w:val="single" w:color="000000" w:sz="10" w:space="0"/>
              <w:bottom w:val="single" w:color="000000" w:sz="10" w:space="0"/>
            </w:tcBorders>
            <w:vAlign w:val="center"/>
          </w:tcPr>
          <w:p w14:paraId="6494BB59">
            <w:pPr>
              <w:snapToGrid w:val="0"/>
              <w:ind w:left="0" w:leftChars="0" w:right="0" w:rightChars="0" w:firstLine="0" w:firstLineChars="0"/>
              <w:jc w:val="center"/>
              <w:rPr>
                <w:rFonts w:eastAsia="Times New Roman" w:cs="Arial"/>
                <w:snapToGrid w:val="0"/>
                <w:color w:val="000000"/>
                <w:szCs w:val="21"/>
              </w:rPr>
            </w:pPr>
          </w:p>
        </w:tc>
        <w:tc>
          <w:tcPr>
            <w:tcW w:w="2072" w:type="dxa"/>
            <w:tcBorders>
              <w:bottom w:val="single" w:color="000000" w:sz="10" w:space="0"/>
            </w:tcBorders>
            <w:vAlign w:val="center"/>
          </w:tcPr>
          <w:p w14:paraId="78A6F1ED">
            <w:pPr>
              <w:pStyle w:val="29"/>
              <w:tabs>
                <w:tab w:val="left" w:pos="0"/>
              </w:tabs>
              <w:snapToGrid w:val="0"/>
              <w:ind w:left="0" w:leftChars="0" w:right="0" w:rightChars="0" w:firstLine="0" w:firstLineChars="0"/>
              <w:jc w:val="center"/>
              <w:rPr>
                <w:rFonts w:ascii="Times New Roman" w:eastAsia="Times New Roman"/>
                <w:snapToGrid w:val="0"/>
                <w:color w:val="000000"/>
              </w:rPr>
            </w:pPr>
            <w:r>
              <w:rPr>
                <w:rFonts w:ascii="Times New Roman" w:eastAsia="Times New Roman"/>
                <w:snapToGrid w:val="0"/>
                <w:color w:val="000000"/>
                <w:spacing w:val="8"/>
              </w:rPr>
              <w:t>正常使用一年后</w:t>
            </w:r>
          </w:p>
        </w:tc>
        <w:tc>
          <w:tcPr>
            <w:tcW w:w="1611" w:type="dxa"/>
            <w:tcBorders>
              <w:bottom w:val="single" w:color="000000" w:sz="10" w:space="0"/>
              <w:right w:val="single" w:color="000000" w:sz="10" w:space="0"/>
            </w:tcBorders>
            <w:vAlign w:val="center"/>
          </w:tcPr>
          <w:p w14:paraId="19A456CA">
            <w:pPr>
              <w:snapToGrid w:val="0"/>
              <w:ind w:left="0" w:leftChars="0" w:right="0" w:rightChars="0" w:firstLine="0" w:firstLineChars="0"/>
              <w:jc w:val="center"/>
              <w:rPr>
                <w:rFonts w:eastAsia="Times New Roman"/>
                <w:snapToGrid w:val="0"/>
                <w:color w:val="000000"/>
                <w:szCs w:val="21"/>
              </w:rPr>
            </w:pPr>
            <w:r>
              <w:rPr>
                <w:rFonts w:eastAsia="Times New Roman"/>
                <w:snapToGrid w:val="0"/>
                <w:color w:val="000000"/>
                <w:spacing w:val="3"/>
                <w:position w:val="2"/>
                <w:szCs w:val="21"/>
              </w:rPr>
              <w:t>≥50</w:t>
            </w:r>
          </w:p>
        </w:tc>
      </w:tr>
    </w:tbl>
    <w:p w14:paraId="6CE8113D">
      <w:pPr>
        <w:pStyle w:val="11"/>
        <w:spacing w:line="240" w:lineRule="auto"/>
        <w:ind w:left="6"/>
        <w:rPr>
          <w:sz w:val="21"/>
          <w:szCs w:val="21"/>
          <w:lang w:eastAsia="zh-CN"/>
        </w:rPr>
      </w:pPr>
      <w:r>
        <w:rPr>
          <w:spacing w:val="7"/>
          <w:position w:val="1"/>
          <w:sz w:val="21"/>
          <w:szCs w:val="21"/>
          <w:lang w:eastAsia="zh-CN"/>
        </w:rPr>
        <w:t>表</w:t>
      </w:r>
      <w:r>
        <w:rPr>
          <w:spacing w:val="-20"/>
          <w:position w:val="1"/>
          <w:sz w:val="21"/>
          <w:szCs w:val="21"/>
          <w:lang w:eastAsia="zh-CN"/>
        </w:rPr>
        <w:t xml:space="preserve"> </w:t>
      </w:r>
      <w:r>
        <w:rPr>
          <w:rFonts w:eastAsia="Times New Roman"/>
          <w:spacing w:val="7"/>
          <w:position w:val="1"/>
          <w:sz w:val="21"/>
          <w:szCs w:val="21"/>
          <w:lang w:eastAsia="zh-CN"/>
        </w:rPr>
        <w:t xml:space="preserve">1-3  </w:t>
      </w:r>
      <w:r>
        <w:rPr>
          <w:spacing w:val="7"/>
          <w:position w:val="1"/>
          <w:sz w:val="21"/>
          <w:szCs w:val="21"/>
          <w:lang w:eastAsia="zh-CN"/>
        </w:rPr>
        <w:t>耐久型热熔标线逆反射亮度系数</w:t>
      </w:r>
      <w:r>
        <w:rPr>
          <w:spacing w:val="-44"/>
          <w:position w:val="1"/>
          <w:sz w:val="21"/>
          <w:szCs w:val="21"/>
          <w:lang w:eastAsia="zh-CN"/>
        </w:rPr>
        <w:t xml:space="preserve"> </w:t>
      </w:r>
      <w:r>
        <w:rPr>
          <w:rFonts w:eastAsia="Times New Roman"/>
          <w:position w:val="1"/>
          <w:sz w:val="21"/>
          <w:szCs w:val="21"/>
          <w:lang w:eastAsia="zh-CN"/>
        </w:rPr>
        <w:t>RL</w:t>
      </w:r>
      <w:r>
        <w:rPr>
          <w:rFonts w:eastAsia="Times New Roman"/>
          <w:spacing w:val="7"/>
          <w:position w:val="1"/>
          <w:sz w:val="21"/>
          <w:szCs w:val="21"/>
          <w:lang w:eastAsia="zh-CN"/>
        </w:rPr>
        <w:t xml:space="preserve"> </w:t>
      </w:r>
      <w:r>
        <w:rPr>
          <w:spacing w:val="7"/>
          <w:position w:val="1"/>
          <w:sz w:val="21"/>
          <w:szCs w:val="21"/>
          <w:lang w:eastAsia="zh-CN"/>
        </w:rPr>
        <w:t>要求</w:t>
      </w:r>
    </w:p>
    <w:p w14:paraId="158424E5">
      <w:pPr>
        <w:ind w:firstLine="420"/>
        <w:rPr>
          <w:szCs w:val="21"/>
        </w:rPr>
      </w:pPr>
    </w:p>
    <w:tbl>
      <w:tblPr>
        <w:tblStyle w:val="25"/>
        <w:tblW w:w="8371" w:type="dxa"/>
        <w:tblInd w:w="2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354"/>
        <w:gridCol w:w="1602"/>
        <w:gridCol w:w="1670"/>
        <w:gridCol w:w="1745"/>
      </w:tblGrid>
      <w:tr w14:paraId="0F483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3354" w:type="dxa"/>
            <w:vAlign w:val="center"/>
          </w:tcPr>
          <w:p w14:paraId="414E0891">
            <w:pPr>
              <w:pStyle w:val="29"/>
              <w:tabs>
                <w:tab w:val="left" w:pos="0"/>
              </w:tabs>
              <w:snapToGrid w:val="0"/>
              <w:ind w:left="0" w:leftChars="0" w:right="0" w:rightChars="0" w:firstLine="0" w:firstLineChars="0"/>
              <w:jc w:val="center"/>
              <w:rPr>
                <w:b/>
                <w:snapToGrid w:val="0"/>
                <w:color w:val="000000"/>
              </w:rPr>
            </w:pPr>
            <w:r>
              <w:rPr>
                <w:b/>
                <w:snapToGrid w:val="0"/>
                <w:color w:val="000000"/>
                <w:spacing w:val="7"/>
              </w:rPr>
              <w:t>检查项目</w:t>
            </w:r>
          </w:p>
        </w:tc>
        <w:tc>
          <w:tcPr>
            <w:tcW w:w="1602" w:type="dxa"/>
            <w:vAlign w:val="center"/>
          </w:tcPr>
          <w:p w14:paraId="3031C5DB">
            <w:pPr>
              <w:pStyle w:val="29"/>
              <w:tabs>
                <w:tab w:val="left" w:pos="0"/>
              </w:tabs>
              <w:snapToGrid w:val="0"/>
              <w:ind w:left="0" w:leftChars="0" w:right="0" w:rightChars="0" w:firstLine="0" w:firstLineChars="0"/>
              <w:jc w:val="center"/>
              <w:rPr>
                <w:b/>
                <w:snapToGrid w:val="0"/>
                <w:color w:val="000000"/>
              </w:rPr>
            </w:pPr>
            <w:r>
              <w:rPr>
                <w:b/>
                <w:snapToGrid w:val="0"/>
                <w:color w:val="000000"/>
                <w:spacing w:val="4"/>
              </w:rPr>
              <w:t>类别</w:t>
            </w:r>
          </w:p>
        </w:tc>
        <w:tc>
          <w:tcPr>
            <w:tcW w:w="1670" w:type="dxa"/>
            <w:vAlign w:val="center"/>
          </w:tcPr>
          <w:p w14:paraId="3595A597">
            <w:pPr>
              <w:pStyle w:val="29"/>
              <w:tabs>
                <w:tab w:val="left" w:pos="0"/>
              </w:tabs>
              <w:snapToGrid w:val="0"/>
              <w:ind w:left="0" w:leftChars="0" w:right="0" w:rightChars="0" w:firstLine="0" w:firstLineChars="0"/>
              <w:jc w:val="center"/>
              <w:rPr>
                <w:b/>
                <w:snapToGrid w:val="0"/>
                <w:color w:val="000000"/>
              </w:rPr>
            </w:pPr>
            <w:r>
              <w:rPr>
                <w:b/>
                <w:snapToGrid w:val="0"/>
                <w:color w:val="000000"/>
                <w:spacing w:val="7"/>
              </w:rPr>
              <w:t>检测时间</w:t>
            </w:r>
          </w:p>
        </w:tc>
        <w:tc>
          <w:tcPr>
            <w:tcW w:w="1745" w:type="dxa"/>
            <w:vAlign w:val="center"/>
          </w:tcPr>
          <w:p w14:paraId="4D01E9AB">
            <w:pPr>
              <w:pStyle w:val="29"/>
              <w:tabs>
                <w:tab w:val="left" w:pos="0"/>
              </w:tabs>
              <w:snapToGrid w:val="0"/>
              <w:ind w:left="0" w:leftChars="0" w:right="0" w:rightChars="0" w:firstLine="0" w:firstLineChars="0"/>
              <w:jc w:val="center"/>
              <w:rPr>
                <w:b/>
                <w:snapToGrid w:val="0"/>
                <w:color w:val="000000"/>
              </w:rPr>
            </w:pPr>
            <w:r>
              <w:rPr>
                <w:b/>
                <w:snapToGrid w:val="0"/>
                <w:color w:val="000000"/>
                <w:spacing w:val="7"/>
              </w:rPr>
              <w:t>合格标准</w:t>
            </w:r>
          </w:p>
        </w:tc>
      </w:tr>
      <w:tr w14:paraId="10C63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354" w:type="dxa"/>
            <w:vAlign w:val="center"/>
          </w:tcPr>
          <w:p w14:paraId="02F0F168">
            <w:pPr>
              <w:pStyle w:val="29"/>
              <w:tabs>
                <w:tab w:val="left" w:pos="0"/>
              </w:tabs>
              <w:snapToGrid w:val="0"/>
              <w:ind w:left="0" w:leftChars="0" w:right="0" w:rightChars="0" w:firstLine="0" w:firstLineChars="0"/>
              <w:jc w:val="center"/>
              <w:rPr>
                <w:rFonts w:ascii="Arial" w:eastAsia="宋体"/>
                <w:snapToGrid w:val="0"/>
                <w:color w:val="000000"/>
                <w:sz w:val="21"/>
                <w:lang w:eastAsia="zh-CN"/>
              </w:rPr>
            </w:pPr>
            <w:r>
              <w:rPr>
                <w:rFonts w:ascii="Arial" w:eastAsia="宋体"/>
                <w:snapToGrid w:val="0"/>
                <w:color w:val="000000"/>
                <w:spacing w:val="7"/>
                <w:sz w:val="21"/>
                <w:lang w:eastAsia="zh-CN"/>
              </w:rPr>
              <w:t>标线厚度</w:t>
            </w:r>
          </w:p>
          <w:p w14:paraId="5DED2439">
            <w:pPr>
              <w:pStyle w:val="29"/>
              <w:tabs>
                <w:tab w:val="left" w:pos="0"/>
              </w:tabs>
              <w:snapToGrid w:val="0"/>
              <w:ind w:left="0" w:leftChars="0" w:right="0" w:rightChars="0" w:firstLine="0" w:firstLineChars="0"/>
              <w:jc w:val="center"/>
              <w:rPr>
                <w:rFonts w:ascii="Arial" w:eastAsia="宋体"/>
                <w:snapToGrid w:val="0"/>
                <w:color w:val="000000"/>
                <w:sz w:val="21"/>
                <w:lang w:eastAsia="zh-CN"/>
              </w:rPr>
            </w:pPr>
            <w:r>
              <w:rPr>
                <w:rFonts w:ascii="Arial" w:eastAsia="宋体"/>
                <w:snapToGrid w:val="0"/>
                <w:color w:val="000000"/>
                <w:spacing w:val="7"/>
                <w:sz w:val="21"/>
                <w:lang w:eastAsia="zh-CN"/>
              </w:rPr>
              <w:t>（干膜，</w:t>
            </w:r>
            <w:r>
              <w:rPr>
                <w:rFonts w:ascii="Arial" w:hAnsi="Times New Roman" w:eastAsia="宋体" w:cs="Times New Roman"/>
                <w:snapToGrid w:val="0"/>
                <w:color w:val="000000"/>
                <w:sz w:val="21"/>
                <w:lang w:eastAsia="zh-CN"/>
              </w:rPr>
              <w:t>mm</w:t>
            </w:r>
            <w:r>
              <w:rPr>
                <w:rFonts w:ascii="Arial" w:eastAsia="宋体"/>
                <w:snapToGrid w:val="0"/>
                <w:color w:val="000000"/>
                <w:spacing w:val="7"/>
                <w:sz w:val="21"/>
                <w:lang w:eastAsia="zh-CN"/>
              </w:rPr>
              <w:t>）</w:t>
            </w:r>
          </w:p>
        </w:tc>
        <w:tc>
          <w:tcPr>
            <w:tcW w:w="1602" w:type="dxa"/>
            <w:vMerge w:val="restart"/>
            <w:tcBorders>
              <w:bottom w:val="nil"/>
            </w:tcBorders>
            <w:vAlign w:val="center"/>
          </w:tcPr>
          <w:p w14:paraId="5FAADAB8">
            <w:pPr>
              <w:pStyle w:val="29"/>
              <w:tabs>
                <w:tab w:val="left" w:pos="0"/>
              </w:tabs>
              <w:snapToGrid w:val="0"/>
              <w:ind w:left="0" w:leftChars="0" w:right="0" w:rightChars="0" w:firstLine="0" w:firstLineChars="0"/>
              <w:jc w:val="left"/>
              <w:rPr>
                <w:rFonts w:ascii="Arial" w:eastAsia="宋体"/>
                <w:snapToGrid w:val="0"/>
                <w:color w:val="000000"/>
                <w:sz w:val="21"/>
              </w:rPr>
            </w:pPr>
            <w:r>
              <w:rPr>
                <w:rFonts w:ascii="Arial" w:eastAsia="宋体"/>
                <w:snapToGrid w:val="0"/>
                <w:color w:val="000000"/>
                <w:spacing w:val="30"/>
                <w:sz w:val="21"/>
              </w:rPr>
              <w:t>耐久型</w:t>
            </w:r>
            <w:r>
              <w:rPr>
                <w:rFonts w:ascii="Arial" w:eastAsia="宋体"/>
                <w:snapToGrid w:val="0"/>
                <w:color w:val="000000"/>
                <w:spacing w:val="5"/>
                <w:sz w:val="21"/>
              </w:rPr>
              <w:t>热熔型</w:t>
            </w:r>
          </w:p>
        </w:tc>
        <w:tc>
          <w:tcPr>
            <w:tcW w:w="1670" w:type="dxa"/>
            <w:vAlign w:val="center"/>
          </w:tcPr>
          <w:p w14:paraId="40F93AA7">
            <w:pPr>
              <w:snapToGrid w:val="0"/>
              <w:ind w:left="0" w:leftChars="0" w:right="0" w:rightChars="0" w:firstLine="0" w:firstLineChars="0"/>
              <w:jc w:val="center"/>
              <w:rPr>
                <w:rFonts w:ascii="Arial" w:eastAsia="宋体"/>
                <w:snapToGrid w:val="0"/>
                <w:color w:val="000000"/>
                <w:sz w:val="21"/>
                <w:szCs w:val="21"/>
              </w:rPr>
            </w:pPr>
            <w:r>
              <w:rPr>
                <w:rFonts w:ascii="Arial" w:eastAsia="宋体"/>
                <w:snapToGrid w:val="0"/>
                <w:color w:val="000000"/>
                <w:spacing w:val="2"/>
                <w:position w:val="1"/>
                <w:sz w:val="21"/>
                <w:szCs w:val="21"/>
              </w:rPr>
              <w:t>/</w:t>
            </w:r>
          </w:p>
        </w:tc>
        <w:tc>
          <w:tcPr>
            <w:tcW w:w="1745" w:type="dxa"/>
            <w:vAlign w:val="center"/>
          </w:tcPr>
          <w:p w14:paraId="5345228F">
            <w:pPr>
              <w:pStyle w:val="29"/>
              <w:tabs>
                <w:tab w:val="left" w:pos="0"/>
              </w:tabs>
              <w:snapToGrid w:val="0"/>
              <w:ind w:left="0" w:leftChars="0" w:right="0" w:rightChars="0" w:firstLine="0" w:firstLineChars="0"/>
              <w:jc w:val="center"/>
              <w:rPr>
                <w:rFonts w:ascii="Arial" w:eastAsia="宋体"/>
                <w:snapToGrid w:val="0"/>
                <w:color w:val="000000"/>
                <w:sz w:val="21"/>
              </w:rPr>
            </w:pPr>
            <w:r>
              <w:rPr>
                <w:rFonts w:ascii="Arial" w:hAnsi="Times New Roman" w:eastAsia="宋体" w:cs="Times New Roman"/>
                <w:snapToGrid w:val="0"/>
                <w:color w:val="000000"/>
                <w:spacing w:val="2"/>
                <w:position w:val="1"/>
                <w:sz w:val="21"/>
              </w:rPr>
              <w:t>2.0</w:t>
            </w:r>
            <w:r>
              <w:rPr>
                <w:rFonts w:ascii="Arial" w:hAnsi="Times New Roman" w:eastAsia="宋体" w:cs="Times New Roman"/>
                <w:snapToGrid w:val="0"/>
                <w:color w:val="000000"/>
                <w:spacing w:val="11"/>
                <w:position w:val="1"/>
                <w:sz w:val="21"/>
              </w:rPr>
              <w:t xml:space="preserve">  </w:t>
            </w:r>
            <w:r>
              <w:rPr>
                <w:rFonts w:ascii="Arial" w:eastAsia="宋体"/>
                <w:snapToGrid w:val="0"/>
                <w:color w:val="000000"/>
                <w:spacing w:val="2"/>
                <w:position w:val="1"/>
                <w:sz w:val="21"/>
              </w:rPr>
              <w:t>(±</w:t>
            </w:r>
            <w:r>
              <w:rPr>
                <w:rFonts w:ascii="Arial" w:hAnsi="Times New Roman" w:eastAsia="宋体" w:cs="Times New Roman"/>
                <w:snapToGrid w:val="0"/>
                <w:color w:val="000000"/>
                <w:spacing w:val="2"/>
                <w:position w:val="1"/>
                <w:sz w:val="21"/>
              </w:rPr>
              <w:t>0.2</w:t>
            </w:r>
            <w:r>
              <w:rPr>
                <w:rFonts w:ascii="Arial" w:eastAsia="宋体"/>
                <w:snapToGrid w:val="0"/>
                <w:color w:val="000000"/>
                <w:spacing w:val="2"/>
                <w:position w:val="1"/>
                <w:sz w:val="21"/>
              </w:rPr>
              <w:t>）</w:t>
            </w:r>
          </w:p>
        </w:tc>
      </w:tr>
      <w:tr w14:paraId="3EF1A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354" w:type="dxa"/>
            <w:vMerge w:val="restart"/>
            <w:tcBorders>
              <w:bottom w:val="nil"/>
            </w:tcBorders>
            <w:vAlign w:val="center"/>
          </w:tcPr>
          <w:p w14:paraId="01B38CEA">
            <w:pPr>
              <w:pStyle w:val="29"/>
              <w:tabs>
                <w:tab w:val="left" w:pos="0"/>
              </w:tabs>
              <w:snapToGrid w:val="0"/>
              <w:ind w:left="0" w:leftChars="0" w:right="0" w:rightChars="0" w:firstLine="0" w:firstLineChars="0"/>
              <w:jc w:val="center"/>
              <w:rPr>
                <w:rFonts w:ascii="Arial" w:hAnsi="Times New Roman" w:eastAsia="宋体" w:cs="Times New Roman"/>
                <w:snapToGrid w:val="0"/>
                <w:color w:val="000000"/>
                <w:sz w:val="21"/>
                <w:lang w:eastAsia="zh-CN"/>
              </w:rPr>
            </w:pPr>
            <w:r>
              <w:rPr>
                <w:rFonts w:ascii="Arial" w:eastAsia="宋体"/>
                <w:snapToGrid w:val="0"/>
                <w:color w:val="000000"/>
                <w:spacing w:val="3"/>
                <w:sz w:val="21"/>
                <w:lang w:eastAsia="zh-CN"/>
              </w:rPr>
              <w:t>白色标线</w:t>
            </w:r>
            <w:r>
              <w:rPr>
                <w:rFonts w:ascii="Arial" w:eastAsia="宋体"/>
                <w:snapToGrid w:val="0"/>
                <w:color w:val="000000"/>
                <w:spacing w:val="-38"/>
                <w:sz w:val="21"/>
                <w:lang w:eastAsia="zh-CN"/>
              </w:rPr>
              <w:t xml:space="preserve"> </w:t>
            </w:r>
            <w:r>
              <w:rPr>
                <w:rFonts w:ascii="Arial" w:hAnsi="Times New Roman" w:eastAsia="宋体" w:cs="Times New Roman"/>
                <w:snapToGrid w:val="0"/>
                <w:color w:val="000000"/>
                <w:sz w:val="21"/>
                <w:lang w:eastAsia="zh-CN"/>
              </w:rPr>
              <w:t>RL</w:t>
            </w:r>
            <w:r>
              <w:rPr>
                <w:rFonts w:ascii="Arial" w:eastAsia="宋体"/>
                <w:snapToGrid w:val="0"/>
                <w:color w:val="000000"/>
                <w:spacing w:val="3"/>
                <w:sz w:val="21"/>
                <w:lang w:eastAsia="zh-CN"/>
              </w:rPr>
              <w:t>（干态）</w:t>
            </w:r>
            <w:r>
              <w:rPr>
                <w:rFonts w:ascii="Arial" w:eastAsia="宋体"/>
                <w:snapToGrid w:val="0"/>
                <w:color w:val="000000"/>
                <w:sz w:val="21"/>
                <w:lang w:eastAsia="zh-CN"/>
              </w:rPr>
              <w:t xml:space="preserve"> </w:t>
            </w:r>
            <w:r>
              <w:rPr>
                <w:rFonts w:ascii="Arial" w:hAnsi="Times New Roman" w:eastAsia="宋体" w:cs="Times New Roman"/>
                <w:snapToGrid w:val="0"/>
                <w:color w:val="000000"/>
                <w:spacing w:val="-9"/>
                <w:sz w:val="21"/>
                <w:lang w:eastAsia="zh-CN"/>
              </w:rPr>
              <w:t>mcd</w:t>
            </w:r>
            <w:r>
              <w:rPr>
                <w:rFonts w:ascii="Arial" w:hAnsi="Times New Roman" w:eastAsia="宋体" w:cs="Times New Roman"/>
                <w:snapToGrid w:val="0"/>
                <w:color w:val="000000"/>
                <w:spacing w:val="38"/>
                <w:w w:val="101"/>
                <w:sz w:val="21"/>
                <w:lang w:eastAsia="zh-CN"/>
              </w:rPr>
              <w:t xml:space="preserve"> </w:t>
            </w:r>
            <w:r>
              <w:rPr>
                <w:rFonts w:ascii="Arial" w:eastAsia="宋体"/>
                <w:snapToGrid w:val="0"/>
                <w:color w:val="000000"/>
                <w:spacing w:val="-9"/>
                <w:sz w:val="21"/>
                <w:lang w:eastAsia="zh-CN"/>
              </w:rPr>
              <w:t>·</w:t>
            </w:r>
            <w:r>
              <w:rPr>
                <w:rFonts w:ascii="Arial" w:hAnsi="Times New Roman" w:eastAsia="宋体" w:cs="Times New Roman"/>
                <w:snapToGrid w:val="0"/>
                <w:color w:val="000000"/>
                <w:spacing w:val="-9"/>
                <w:sz w:val="21"/>
                <w:lang w:eastAsia="zh-CN"/>
              </w:rPr>
              <w:t>m-2</w:t>
            </w:r>
            <w:r>
              <w:rPr>
                <w:rFonts w:ascii="Arial" w:hAnsi="Times New Roman" w:eastAsia="宋体" w:cs="Times New Roman"/>
                <w:snapToGrid w:val="0"/>
                <w:color w:val="000000"/>
                <w:spacing w:val="33"/>
                <w:w w:val="101"/>
                <w:sz w:val="21"/>
                <w:lang w:eastAsia="zh-CN"/>
              </w:rPr>
              <w:t xml:space="preserve"> </w:t>
            </w:r>
            <w:r>
              <w:rPr>
                <w:rFonts w:ascii="Arial" w:eastAsia="宋体"/>
                <w:snapToGrid w:val="0"/>
                <w:color w:val="000000"/>
                <w:spacing w:val="-9"/>
                <w:sz w:val="21"/>
                <w:lang w:eastAsia="zh-CN"/>
              </w:rPr>
              <w:t>·</w:t>
            </w:r>
            <w:r>
              <w:rPr>
                <w:rFonts w:ascii="Arial" w:hAnsi="Times New Roman" w:eastAsia="宋体" w:cs="Times New Roman"/>
                <w:snapToGrid w:val="0"/>
                <w:color w:val="000000"/>
                <w:spacing w:val="-9"/>
                <w:sz w:val="21"/>
                <w:lang w:eastAsia="zh-CN"/>
              </w:rPr>
              <w:t>lx-1</w:t>
            </w:r>
          </w:p>
        </w:tc>
        <w:tc>
          <w:tcPr>
            <w:tcW w:w="1602" w:type="dxa"/>
            <w:vMerge w:val="continue"/>
            <w:tcBorders>
              <w:top w:val="nil"/>
              <w:bottom w:val="nil"/>
            </w:tcBorders>
            <w:vAlign w:val="center"/>
          </w:tcPr>
          <w:p w14:paraId="7DC8C959">
            <w:pPr>
              <w:snapToGrid w:val="0"/>
              <w:ind w:left="0" w:leftChars="0" w:right="0" w:rightChars="0" w:firstLine="0" w:firstLineChars="0"/>
              <w:jc w:val="left"/>
              <w:rPr>
                <w:rFonts w:ascii="Arial" w:eastAsia="宋体" w:cs="Arial"/>
                <w:snapToGrid w:val="0"/>
                <w:color w:val="000000"/>
                <w:sz w:val="21"/>
                <w:szCs w:val="21"/>
              </w:rPr>
            </w:pPr>
          </w:p>
        </w:tc>
        <w:tc>
          <w:tcPr>
            <w:tcW w:w="1670" w:type="dxa"/>
            <w:vAlign w:val="center"/>
          </w:tcPr>
          <w:p w14:paraId="5E014C94">
            <w:pPr>
              <w:pStyle w:val="29"/>
              <w:tabs>
                <w:tab w:val="left" w:pos="0"/>
              </w:tabs>
              <w:snapToGrid w:val="0"/>
              <w:ind w:left="0" w:leftChars="0" w:right="0" w:rightChars="0" w:firstLine="0" w:firstLineChars="0"/>
              <w:jc w:val="center"/>
              <w:rPr>
                <w:rFonts w:ascii="Arial" w:eastAsia="宋体"/>
                <w:snapToGrid w:val="0"/>
                <w:color w:val="000000"/>
                <w:sz w:val="21"/>
              </w:rPr>
            </w:pPr>
            <w:r>
              <w:rPr>
                <w:rFonts w:ascii="Arial" w:eastAsia="宋体"/>
                <w:snapToGrid w:val="0"/>
                <w:color w:val="000000"/>
                <w:spacing w:val="1"/>
                <w:position w:val="1"/>
                <w:sz w:val="21"/>
              </w:rPr>
              <w:t>施工完</w:t>
            </w:r>
            <w:r>
              <w:rPr>
                <w:rFonts w:ascii="Arial" w:eastAsia="宋体"/>
                <w:snapToGrid w:val="0"/>
                <w:color w:val="000000"/>
                <w:spacing w:val="-19"/>
                <w:position w:val="1"/>
                <w:sz w:val="21"/>
              </w:rPr>
              <w:t xml:space="preserve"> </w:t>
            </w:r>
            <w:r>
              <w:rPr>
                <w:rFonts w:ascii="Arial" w:hAnsi="Times New Roman" w:eastAsia="宋体" w:cs="Times New Roman"/>
                <w:snapToGrid w:val="0"/>
                <w:color w:val="000000"/>
                <w:spacing w:val="1"/>
                <w:position w:val="1"/>
                <w:sz w:val="21"/>
              </w:rPr>
              <w:t>14</w:t>
            </w:r>
            <w:r>
              <w:rPr>
                <w:rFonts w:ascii="Arial" w:hAnsi="Times New Roman" w:eastAsia="宋体" w:cs="Times New Roman"/>
                <w:snapToGrid w:val="0"/>
                <w:color w:val="000000"/>
                <w:spacing w:val="17"/>
                <w:position w:val="1"/>
                <w:sz w:val="21"/>
              </w:rPr>
              <w:t xml:space="preserve"> </w:t>
            </w:r>
            <w:r>
              <w:rPr>
                <w:rFonts w:ascii="Arial" w:eastAsia="宋体"/>
                <w:snapToGrid w:val="0"/>
                <w:color w:val="000000"/>
                <w:spacing w:val="1"/>
                <w:position w:val="1"/>
                <w:sz w:val="21"/>
              </w:rPr>
              <w:t>天内</w:t>
            </w:r>
          </w:p>
        </w:tc>
        <w:tc>
          <w:tcPr>
            <w:tcW w:w="1745" w:type="dxa"/>
            <w:vAlign w:val="center"/>
          </w:tcPr>
          <w:p w14:paraId="4DA6E886">
            <w:pPr>
              <w:pStyle w:val="29"/>
              <w:tabs>
                <w:tab w:val="left" w:pos="0"/>
              </w:tabs>
              <w:snapToGrid w:val="0"/>
              <w:ind w:left="0" w:leftChars="0" w:right="0" w:rightChars="0" w:firstLine="0" w:firstLineChars="0"/>
              <w:jc w:val="center"/>
              <w:rPr>
                <w:rFonts w:ascii="Arial" w:hAnsi="Times New Roman" w:eastAsia="宋体" w:cs="Times New Roman"/>
                <w:snapToGrid w:val="0"/>
                <w:color w:val="000000"/>
                <w:sz w:val="21"/>
              </w:rPr>
            </w:pPr>
            <w:r>
              <w:rPr>
                <w:rFonts w:ascii="Arial" w:eastAsia="宋体"/>
                <w:snapToGrid w:val="0"/>
                <w:color w:val="000000"/>
                <w:spacing w:val="-1"/>
                <w:position w:val="1"/>
                <w:sz w:val="21"/>
              </w:rPr>
              <w:t>≥</w:t>
            </w:r>
            <w:r>
              <w:rPr>
                <w:rFonts w:ascii="Arial" w:hAnsi="Times New Roman" w:eastAsia="宋体" w:cs="Times New Roman"/>
                <w:snapToGrid w:val="0"/>
                <w:color w:val="000000"/>
                <w:spacing w:val="-1"/>
                <w:position w:val="1"/>
                <w:sz w:val="21"/>
              </w:rPr>
              <w:t>350</w:t>
            </w:r>
          </w:p>
        </w:tc>
      </w:tr>
      <w:tr w14:paraId="19E3A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354" w:type="dxa"/>
            <w:vMerge w:val="continue"/>
            <w:tcBorders>
              <w:top w:val="nil"/>
              <w:bottom w:val="nil"/>
            </w:tcBorders>
            <w:vAlign w:val="center"/>
          </w:tcPr>
          <w:p w14:paraId="2A9801F7">
            <w:pPr>
              <w:snapToGrid w:val="0"/>
              <w:ind w:left="0" w:leftChars="0" w:right="0" w:rightChars="0" w:firstLine="0" w:firstLineChars="0"/>
              <w:jc w:val="center"/>
              <w:rPr>
                <w:rFonts w:ascii="Arial" w:eastAsia="宋体" w:cs="Arial"/>
                <w:snapToGrid w:val="0"/>
                <w:color w:val="000000"/>
                <w:sz w:val="21"/>
                <w:szCs w:val="21"/>
              </w:rPr>
            </w:pPr>
          </w:p>
        </w:tc>
        <w:tc>
          <w:tcPr>
            <w:tcW w:w="1602" w:type="dxa"/>
            <w:vMerge w:val="continue"/>
            <w:tcBorders>
              <w:top w:val="nil"/>
              <w:bottom w:val="nil"/>
            </w:tcBorders>
            <w:vAlign w:val="center"/>
          </w:tcPr>
          <w:p w14:paraId="17B07A8A">
            <w:pPr>
              <w:snapToGrid w:val="0"/>
              <w:ind w:left="0" w:leftChars="0" w:right="0" w:rightChars="0" w:firstLine="0" w:firstLineChars="0"/>
              <w:jc w:val="left"/>
              <w:rPr>
                <w:rFonts w:ascii="Arial" w:eastAsia="宋体" w:cs="Arial"/>
                <w:snapToGrid w:val="0"/>
                <w:color w:val="000000"/>
                <w:sz w:val="21"/>
                <w:szCs w:val="21"/>
              </w:rPr>
            </w:pPr>
          </w:p>
        </w:tc>
        <w:tc>
          <w:tcPr>
            <w:tcW w:w="1670" w:type="dxa"/>
            <w:vAlign w:val="center"/>
          </w:tcPr>
          <w:p w14:paraId="7A47297A">
            <w:pPr>
              <w:pStyle w:val="29"/>
              <w:tabs>
                <w:tab w:val="left" w:pos="0"/>
              </w:tabs>
              <w:snapToGrid w:val="0"/>
              <w:ind w:left="0" w:leftChars="0" w:right="0" w:rightChars="0" w:firstLine="0" w:firstLineChars="0"/>
              <w:jc w:val="center"/>
              <w:rPr>
                <w:rFonts w:ascii="Arial" w:eastAsia="宋体"/>
                <w:snapToGrid w:val="0"/>
                <w:color w:val="000000"/>
                <w:sz w:val="21"/>
              </w:rPr>
            </w:pPr>
            <w:r>
              <w:rPr>
                <w:rFonts w:ascii="Arial" w:eastAsia="宋体"/>
                <w:snapToGrid w:val="0"/>
                <w:color w:val="000000"/>
                <w:spacing w:val="13"/>
                <w:position w:val="1"/>
                <w:sz w:val="21"/>
              </w:rPr>
              <w:t>正常使用</w:t>
            </w:r>
            <w:r>
              <w:rPr>
                <w:rFonts w:ascii="Arial" w:hAnsi="Times New Roman" w:eastAsia="宋体" w:cs="Times New Roman"/>
                <w:snapToGrid w:val="0"/>
                <w:color w:val="000000"/>
                <w:spacing w:val="13"/>
                <w:position w:val="1"/>
                <w:sz w:val="21"/>
              </w:rPr>
              <w:t xml:space="preserve">2 </w:t>
            </w:r>
            <w:r>
              <w:rPr>
                <w:rFonts w:ascii="Arial" w:eastAsia="宋体"/>
                <w:snapToGrid w:val="0"/>
                <w:color w:val="000000"/>
                <w:spacing w:val="13"/>
                <w:position w:val="1"/>
                <w:sz w:val="21"/>
              </w:rPr>
              <w:t>年</w:t>
            </w:r>
          </w:p>
        </w:tc>
        <w:tc>
          <w:tcPr>
            <w:tcW w:w="1745" w:type="dxa"/>
            <w:vAlign w:val="center"/>
          </w:tcPr>
          <w:p w14:paraId="7014F267">
            <w:pPr>
              <w:pStyle w:val="29"/>
              <w:tabs>
                <w:tab w:val="left" w:pos="0"/>
              </w:tabs>
              <w:snapToGrid w:val="0"/>
              <w:ind w:left="0" w:leftChars="0" w:right="0" w:rightChars="0" w:firstLine="0" w:firstLineChars="0"/>
              <w:jc w:val="center"/>
              <w:rPr>
                <w:rFonts w:ascii="Arial" w:hAnsi="Times New Roman" w:eastAsia="宋体" w:cs="Times New Roman"/>
                <w:snapToGrid w:val="0"/>
                <w:color w:val="000000"/>
                <w:sz w:val="21"/>
              </w:rPr>
            </w:pPr>
            <w:r>
              <w:rPr>
                <w:rFonts w:ascii="Arial" w:eastAsia="宋体"/>
                <w:snapToGrid w:val="0"/>
                <w:color w:val="000000"/>
                <w:spacing w:val="-1"/>
                <w:position w:val="1"/>
                <w:sz w:val="21"/>
              </w:rPr>
              <w:t>≥</w:t>
            </w:r>
            <w:r>
              <w:rPr>
                <w:rFonts w:ascii="Arial" w:hAnsi="Times New Roman" w:eastAsia="宋体" w:cs="Times New Roman"/>
                <w:snapToGrid w:val="0"/>
                <w:color w:val="000000"/>
                <w:spacing w:val="-1"/>
                <w:position w:val="1"/>
                <w:sz w:val="21"/>
              </w:rPr>
              <w:t>120</w:t>
            </w:r>
          </w:p>
        </w:tc>
      </w:tr>
      <w:tr w14:paraId="5AF035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354" w:type="dxa"/>
            <w:vMerge w:val="continue"/>
            <w:tcBorders>
              <w:top w:val="nil"/>
            </w:tcBorders>
            <w:vAlign w:val="center"/>
          </w:tcPr>
          <w:p w14:paraId="50397EE3">
            <w:pPr>
              <w:snapToGrid w:val="0"/>
              <w:ind w:left="0" w:leftChars="0" w:right="0" w:rightChars="0" w:firstLine="0" w:firstLineChars="0"/>
              <w:jc w:val="center"/>
              <w:rPr>
                <w:rFonts w:ascii="Arial" w:eastAsia="宋体" w:cs="Arial"/>
                <w:snapToGrid w:val="0"/>
                <w:color w:val="000000"/>
                <w:sz w:val="21"/>
                <w:szCs w:val="21"/>
              </w:rPr>
            </w:pPr>
          </w:p>
        </w:tc>
        <w:tc>
          <w:tcPr>
            <w:tcW w:w="1602" w:type="dxa"/>
            <w:vMerge w:val="continue"/>
            <w:tcBorders>
              <w:top w:val="nil"/>
              <w:bottom w:val="nil"/>
            </w:tcBorders>
            <w:vAlign w:val="center"/>
          </w:tcPr>
          <w:p w14:paraId="5E10158E">
            <w:pPr>
              <w:snapToGrid w:val="0"/>
              <w:ind w:left="0" w:leftChars="0" w:right="0" w:rightChars="0" w:firstLine="0" w:firstLineChars="0"/>
              <w:jc w:val="left"/>
              <w:rPr>
                <w:rFonts w:ascii="Arial" w:eastAsia="宋体" w:cs="Arial"/>
                <w:snapToGrid w:val="0"/>
                <w:color w:val="000000"/>
                <w:sz w:val="21"/>
                <w:szCs w:val="21"/>
              </w:rPr>
            </w:pPr>
          </w:p>
        </w:tc>
        <w:tc>
          <w:tcPr>
            <w:tcW w:w="1670" w:type="dxa"/>
            <w:vAlign w:val="center"/>
          </w:tcPr>
          <w:p w14:paraId="4C8E5C34">
            <w:pPr>
              <w:pStyle w:val="29"/>
              <w:tabs>
                <w:tab w:val="left" w:pos="0"/>
              </w:tabs>
              <w:snapToGrid w:val="0"/>
              <w:ind w:left="0" w:leftChars="0" w:right="0" w:rightChars="0" w:firstLine="0" w:firstLineChars="0"/>
              <w:jc w:val="center"/>
              <w:rPr>
                <w:rFonts w:ascii="Arial" w:eastAsia="宋体"/>
                <w:snapToGrid w:val="0"/>
                <w:color w:val="000000"/>
                <w:sz w:val="21"/>
              </w:rPr>
            </w:pPr>
            <w:r>
              <w:rPr>
                <w:rFonts w:ascii="Arial" w:eastAsia="宋体"/>
                <w:snapToGrid w:val="0"/>
                <w:color w:val="000000"/>
                <w:spacing w:val="3"/>
                <w:position w:val="1"/>
                <w:sz w:val="21"/>
              </w:rPr>
              <w:t>正常使用</w:t>
            </w:r>
            <w:r>
              <w:rPr>
                <w:rFonts w:ascii="Arial" w:eastAsia="宋体"/>
                <w:snapToGrid w:val="0"/>
                <w:color w:val="000000"/>
                <w:spacing w:val="-35"/>
                <w:position w:val="1"/>
                <w:sz w:val="21"/>
              </w:rPr>
              <w:t xml:space="preserve"> </w:t>
            </w:r>
            <w:r>
              <w:rPr>
                <w:rFonts w:ascii="Arial" w:hAnsi="Times New Roman" w:eastAsia="宋体" w:cs="Times New Roman"/>
                <w:snapToGrid w:val="0"/>
                <w:color w:val="000000"/>
                <w:spacing w:val="3"/>
                <w:position w:val="1"/>
                <w:sz w:val="21"/>
              </w:rPr>
              <w:t>3</w:t>
            </w:r>
            <w:r>
              <w:rPr>
                <w:rFonts w:ascii="Arial" w:hAnsi="Times New Roman" w:eastAsia="宋体" w:cs="Times New Roman"/>
                <w:snapToGrid w:val="0"/>
                <w:color w:val="000000"/>
                <w:spacing w:val="13"/>
                <w:w w:val="101"/>
                <w:position w:val="1"/>
                <w:sz w:val="21"/>
              </w:rPr>
              <w:t xml:space="preserve"> </w:t>
            </w:r>
            <w:r>
              <w:rPr>
                <w:rFonts w:ascii="Arial" w:eastAsia="宋体"/>
                <w:snapToGrid w:val="0"/>
                <w:color w:val="000000"/>
                <w:spacing w:val="3"/>
                <w:position w:val="1"/>
                <w:sz w:val="21"/>
              </w:rPr>
              <w:t>年</w:t>
            </w:r>
          </w:p>
        </w:tc>
        <w:tc>
          <w:tcPr>
            <w:tcW w:w="1745" w:type="dxa"/>
            <w:vAlign w:val="center"/>
          </w:tcPr>
          <w:p w14:paraId="453F59B2">
            <w:pPr>
              <w:pStyle w:val="29"/>
              <w:tabs>
                <w:tab w:val="left" w:pos="0"/>
              </w:tabs>
              <w:snapToGrid w:val="0"/>
              <w:ind w:left="0" w:leftChars="0" w:right="0" w:rightChars="0" w:firstLine="0" w:firstLineChars="0"/>
              <w:jc w:val="center"/>
              <w:rPr>
                <w:rFonts w:ascii="Arial" w:hAnsi="Times New Roman" w:eastAsia="宋体" w:cs="Times New Roman"/>
                <w:snapToGrid w:val="0"/>
                <w:color w:val="000000"/>
                <w:sz w:val="21"/>
              </w:rPr>
            </w:pPr>
            <w:r>
              <w:rPr>
                <w:rFonts w:ascii="Arial" w:eastAsia="宋体"/>
                <w:snapToGrid w:val="0"/>
                <w:color w:val="000000"/>
                <w:spacing w:val="-3"/>
                <w:position w:val="1"/>
                <w:sz w:val="21"/>
              </w:rPr>
              <w:t>≥</w:t>
            </w:r>
            <w:r>
              <w:rPr>
                <w:rFonts w:ascii="Arial" w:hAnsi="Times New Roman" w:eastAsia="宋体" w:cs="Times New Roman"/>
                <w:snapToGrid w:val="0"/>
                <w:color w:val="000000"/>
                <w:spacing w:val="-3"/>
                <w:position w:val="1"/>
                <w:sz w:val="21"/>
              </w:rPr>
              <w:t>80</w:t>
            </w:r>
          </w:p>
        </w:tc>
      </w:tr>
      <w:tr w14:paraId="1DC2D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354" w:type="dxa"/>
            <w:vMerge w:val="restart"/>
            <w:tcBorders>
              <w:bottom w:val="nil"/>
            </w:tcBorders>
            <w:vAlign w:val="center"/>
          </w:tcPr>
          <w:p w14:paraId="7AD3C8B4">
            <w:pPr>
              <w:pStyle w:val="29"/>
              <w:tabs>
                <w:tab w:val="left" w:pos="0"/>
              </w:tabs>
              <w:snapToGrid w:val="0"/>
              <w:ind w:left="0" w:leftChars="0" w:right="0" w:rightChars="0" w:firstLine="0" w:firstLineChars="0"/>
              <w:jc w:val="center"/>
              <w:rPr>
                <w:rFonts w:ascii="Arial" w:hAnsi="Times New Roman" w:eastAsia="宋体" w:cs="Times New Roman"/>
                <w:snapToGrid w:val="0"/>
                <w:color w:val="000000"/>
                <w:sz w:val="21"/>
                <w:lang w:eastAsia="zh-CN"/>
              </w:rPr>
            </w:pPr>
            <w:r>
              <w:rPr>
                <w:rFonts w:ascii="Arial" w:eastAsia="宋体"/>
                <w:snapToGrid w:val="0"/>
                <w:color w:val="000000"/>
                <w:spacing w:val="7"/>
                <w:sz w:val="21"/>
                <w:lang w:eastAsia="zh-CN"/>
              </w:rPr>
              <w:t>黄色标线</w:t>
            </w:r>
            <w:r>
              <w:rPr>
                <w:rFonts w:ascii="Arial" w:eastAsia="宋体"/>
                <w:snapToGrid w:val="0"/>
                <w:color w:val="000000"/>
                <w:spacing w:val="-39"/>
                <w:sz w:val="21"/>
                <w:lang w:eastAsia="zh-CN"/>
              </w:rPr>
              <w:t xml:space="preserve"> </w:t>
            </w:r>
            <w:r>
              <w:rPr>
                <w:rFonts w:ascii="Arial" w:hAnsi="Times New Roman" w:eastAsia="宋体" w:cs="Times New Roman"/>
                <w:snapToGrid w:val="0"/>
                <w:color w:val="000000"/>
                <w:sz w:val="21"/>
                <w:lang w:eastAsia="zh-CN"/>
              </w:rPr>
              <w:t>RL</w:t>
            </w:r>
            <w:r>
              <w:rPr>
                <w:rFonts w:ascii="Arial" w:eastAsia="宋体"/>
                <w:snapToGrid w:val="0"/>
                <w:color w:val="000000"/>
                <w:spacing w:val="7"/>
                <w:sz w:val="21"/>
                <w:lang w:eastAsia="zh-CN"/>
              </w:rPr>
              <w:t>（干态）</w:t>
            </w:r>
            <w:r>
              <w:rPr>
                <w:rFonts w:ascii="Arial" w:eastAsia="宋体"/>
                <w:snapToGrid w:val="0"/>
                <w:color w:val="000000"/>
                <w:sz w:val="21"/>
                <w:lang w:eastAsia="zh-CN"/>
              </w:rPr>
              <w:t xml:space="preserve"> </w:t>
            </w:r>
            <w:r>
              <w:rPr>
                <w:rFonts w:ascii="Arial" w:hAnsi="Times New Roman" w:eastAsia="宋体" w:cs="Times New Roman"/>
                <w:snapToGrid w:val="0"/>
                <w:color w:val="000000"/>
                <w:spacing w:val="-9"/>
                <w:sz w:val="21"/>
                <w:lang w:eastAsia="zh-CN"/>
              </w:rPr>
              <w:t>mcd</w:t>
            </w:r>
            <w:r>
              <w:rPr>
                <w:rFonts w:ascii="Arial" w:hAnsi="Times New Roman" w:eastAsia="宋体" w:cs="Times New Roman"/>
                <w:snapToGrid w:val="0"/>
                <w:color w:val="000000"/>
                <w:spacing w:val="38"/>
                <w:w w:val="101"/>
                <w:sz w:val="21"/>
                <w:lang w:eastAsia="zh-CN"/>
              </w:rPr>
              <w:t xml:space="preserve"> </w:t>
            </w:r>
            <w:r>
              <w:rPr>
                <w:rFonts w:ascii="Arial" w:eastAsia="宋体"/>
                <w:snapToGrid w:val="0"/>
                <w:color w:val="000000"/>
                <w:spacing w:val="-9"/>
                <w:sz w:val="21"/>
                <w:lang w:eastAsia="zh-CN"/>
              </w:rPr>
              <w:t>·</w:t>
            </w:r>
            <w:r>
              <w:rPr>
                <w:rFonts w:ascii="Arial" w:hAnsi="Times New Roman" w:eastAsia="宋体" w:cs="Times New Roman"/>
                <w:snapToGrid w:val="0"/>
                <w:color w:val="000000"/>
                <w:spacing w:val="-9"/>
                <w:sz w:val="21"/>
                <w:lang w:eastAsia="zh-CN"/>
              </w:rPr>
              <w:t>m-2</w:t>
            </w:r>
            <w:r>
              <w:rPr>
                <w:rFonts w:ascii="Arial" w:hAnsi="Times New Roman" w:eastAsia="宋体" w:cs="Times New Roman"/>
                <w:snapToGrid w:val="0"/>
                <w:color w:val="000000"/>
                <w:spacing w:val="33"/>
                <w:w w:val="101"/>
                <w:sz w:val="21"/>
                <w:lang w:eastAsia="zh-CN"/>
              </w:rPr>
              <w:t xml:space="preserve"> </w:t>
            </w:r>
            <w:r>
              <w:rPr>
                <w:rFonts w:ascii="Arial" w:eastAsia="宋体"/>
                <w:snapToGrid w:val="0"/>
                <w:color w:val="000000"/>
                <w:spacing w:val="-9"/>
                <w:sz w:val="21"/>
                <w:lang w:eastAsia="zh-CN"/>
              </w:rPr>
              <w:t>·</w:t>
            </w:r>
            <w:r>
              <w:rPr>
                <w:rFonts w:ascii="Arial" w:hAnsi="Times New Roman" w:eastAsia="宋体" w:cs="Times New Roman"/>
                <w:snapToGrid w:val="0"/>
                <w:color w:val="000000"/>
                <w:spacing w:val="-9"/>
                <w:sz w:val="21"/>
                <w:lang w:eastAsia="zh-CN"/>
              </w:rPr>
              <w:t>lx-1</w:t>
            </w:r>
          </w:p>
        </w:tc>
        <w:tc>
          <w:tcPr>
            <w:tcW w:w="1602" w:type="dxa"/>
            <w:vMerge w:val="continue"/>
            <w:tcBorders>
              <w:top w:val="nil"/>
              <w:bottom w:val="nil"/>
            </w:tcBorders>
            <w:vAlign w:val="center"/>
          </w:tcPr>
          <w:p w14:paraId="78B1CB78">
            <w:pPr>
              <w:snapToGrid w:val="0"/>
              <w:ind w:left="0" w:leftChars="0" w:right="0" w:rightChars="0" w:firstLine="0" w:firstLineChars="0"/>
              <w:jc w:val="left"/>
              <w:rPr>
                <w:rFonts w:ascii="Arial" w:eastAsia="宋体" w:cs="Arial"/>
                <w:snapToGrid w:val="0"/>
                <w:color w:val="000000"/>
                <w:sz w:val="21"/>
                <w:szCs w:val="21"/>
              </w:rPr>
            </w:pPr>
          </w:p>
        </w:tc>
        <w:tc>
          <w:tcPr>
            <w:tcW w:w="1670" w:type="dxa"/>
            <w:vAlign w:val="center"/>
          </w:tcPr>
          <w:p w14:paraId="72111358">
            <w:pPr>
              <w:pStyle w:val="29"/>
              <w:tabs>
                <w:tab w:val="left" w:pos="0"/>
              </w:tabs>
              <w:snapToGrid w:val="0"/>
              <w:ind w:left="0" w:leftChars="0" w:right="0" w:rightChars="0" w:firstLine="0" w:firstLineChars="0"/>
              <w:jc w:val="center"/>
              <w:rPr>
                <w:rFonts w:ascii="Arial" w:eastAsia="宋体"/>
                <w:snapToGrid w:val="0"/>
                <w:color w:val="000000"/>
                <w:sz w:val="21"/>
              </w:rPr>
            </w:pPr>
            <w:r>
              <w:rPr>
                <w:rFonts w:ascii="Arial" w:eastAsia="宋体"/>
                <w:snapToGrid w:val="0"/>
                <w:color w:val="000000"/>
                <w:spacing w:val="1"/>
                <w:position w:val="1"/>
                <w:sz w:val="21"/>
              </w:rPr>
              <w:t>施工完</w:t>
            </w:r>
            <w:r>
              <w:rPr>
                <w:rFonts w:ascii="Arial" w:eastAsia="宋体"/>
                <w:snapToGrid w:val="0"/>
                <w:color w:val="000000"/>
                <w:spacing w:val="-19"/>
                <w:position w:val="1"/>
                <w:sz w:val="21"/>
              </w:rPr>
              <w:t xml:space="preserve"> </w:t>
            </w:r>
            <w:r>
              <w:rPr>
                <w:rFonts w:ascii="Arial" w:hAnsi="Times New Roman" w:eastAsia="宋体" w:cs="Times New Roman"/>
                <w:snapToGrid w:val="0"/>
                <w:color w:val="000000"/>
                <w:spacing w:val="1"/>
                <w:position w:val="1"/>
                <w:sz w:val="21"/>
              </w:rPr>
              <w:t>14</w:t>
            </w:r>
            <w:r>
              <w:rPr>
                <w:rFonts w:ascii="Arial" w:hAnsi="Times New Roman" w:eastAsia="宋体" w:cs="Times New Roman"/>
                <w:snapToGrid w:val="0"/>
                <w:color w:val="000000"/>
                <w:spacing w:val="17"/>
                <w:position w:val="1"/>
                <w:sz w:val="21"/>
              </w:rPr>
              <w:t xml:space="preserve"> </w:t>
            </w:r>
            <w:r>
              <w:rPr>
                <w:rFonts w:ascii="Arial" w:eastAsia="宋体"/>
                <w:snapToGrid w:val="0"/>
                <w:color w:val="000000"/>
                <w:spacing w:val="1"/>
                <w:position w:val="1"/>
                <w:sz w:val="21"/>
              </w:rPr>
              <w:t>天内</w:t>
            </w:r>
          </w:p>
        </w:tc>
        <w:tc>
          <w:tcPr>
            <w:tcW w:w="1745" w:type="dxa"/>
            <w:vAlign w:val="center"/>
          </w:tcPr>
          <w:p w14:paraId="43BD67B9">
            <w:pPr>
              <w:pStyle w:val="29"/>
              <w:tabs>
                <w:tab w:val="left" w:pos="0"/>
              </w:tabs>
              <w:snapToGrid w:val="0"/>
              <w:ind w:left="0" w:leftChars="0" w:right="0" w:rightChars="0" w:firstLine="0" w:firstLineChars="0"/>
              <w:jc w:val="center"/>
              <w:rPr>
                <w:rFonts w:ascii="Arial" w:hAnsi="Times New Roman" w:eastAsia="宋体" w:cs="Times New Roman"/>
                <w:snapToGrid w:val="0"/>
                <w:color w:val="000000"/>
                <w:sz w:val="21"/>
              </w:rPr>
            </w:pPr>
            <w:r>
              <w:rPr>
                <w:rFonts w:ascii="Arial" w:eastAsia="宋体"/>
                <w:snapToGrid w:val="0"/>
                <w:color w:val="000000"/>
                <w:spacing w:val="-1"/>
                <w:position w:val="1"/>
                <w:sz w:val="21"/>
              </w:rPr>
              <w:t>≥</w:t>
            </w:r>
            <w:r>
              <w:rPr>
                <w:rFonts w:ascii="Arial" w:hAnsi="Times New Roman" w:eastAsia="宋体" w:cs="Times New Roman"/>
                <w:snapToGrid w:val="0"/>
                <w:color w:val="000000"/>
                <w:spacing w:val="-1"/>
                <w:position w:val="1"/>
                <w:sz w:val="21"/>
              </w:rPr>
              <w:t>200</w:t>
            </w:r>
          </w:p>
        </w:tc>
      </w:tr>
      <w:tr w14:paraId="63F12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354" w:type="dxa"/>
            <w:vMerge w:val="continue"/>
            <w:tcBorders>
              <w:top w:val="nil"/>
              <w:bottom w:val="nil"/>
            </w:tcBorders>
            <w:vAlign w:val="center"/>
          </w:tcPr>
          <w:p w14:paraId="565145E8">
            <w:pPr>
              <w:snapToGrid w:val="0"/>
              <w:ind w:left="0" w:leftChars="0" w:right="0" w:rightChars="0" w:firstLine="0" w:firstLineChars="0"/>
              <w:jc w:val="center"/>
              <w:rPr>
                <w:rFonts w:ascii="Arial" w:eastAsia="宋体" w:cs="Arial"/>
                <w:snapToGrid w:val="0"/>
                <w:color w:val="000000"/>
                <w:sz w:val="21"/>
              </w:rPr>
            </w:pPr>
          </w:p>
        </w:tc>
        <w:tc>
          <w:tcPr>
            <w:tcW w:w="1602" w:type="dxa"/>
            <w:vMerge w:val="continue"/>
            <w:tcBorders>
              <w:top w:val="nil"/>
              <w:bottom w:val="nil"/>
            </w:tcBorders>
            <w:vAlign w:val="center"/>
          </w:tcPr>
          <w:p w14:paraId="5B375F19">
            <w:pPr>
              <w:snapToGrid w:val="0"/>
              <w:ind w:left="0" w:leftChars="0" w:right="0" w:rightChars="0" w:firstLine="0" w:firstLineChars="0"/>
              <w:jc w:val="left"/>
              <w:rPr>
                <w:rFonts w:ascii="Arial" w:eastAsia="宋体" w:cs="Arial"/>
                <w:snapToGrid w:val="0"/>
                <w:color w:val="000000"/>
                <w:sz w:val="21"/>
              </w:rPr>
            </w:pPr>
          </w:p>
        </w:tc>
        <w:tc>
          <w:tcPr>
            <w:tcW w:w="1670" w:type="dxa"/>
            <w:vAlign w:val="center"/>
          </w:tcPr>
          <w:p w14:paraId="1C14BBE4">
            <w:pPr>
              <w:pStyle w:val="29"/>
              <w:tabs>
                <w:tab w:val="left" w:pos="0"/>
              </w:tabs>
              <w:snapToGrid w:val="0"/>
              <w:ind w:left="0" w:leftChars="0" w:right="0" w:rightChars="0" w:firstLine="0" w:firstLineChars="0"/>
              <w:jc w:val="center"/>
              <w:rPr>
                <w:rFonts w:ascii="Arial" w:eastAsia="宋体"/>
                <w:snapToGrid w:val="0"/>
                <w:color w:val="000000"/>
                <w:sz w:val="21"/>
              </w:rPr>
            </w:pPr>
            <w:r>
              <w:rPr>
                <w:rFonts w:ascii="Arial" w:eastAsia="宋体"/>
                <w:snapToGrid w:val="0"/>
                <w:color w:val="000000"/>
                <w:spacing w:val="13"/>
                <w:position w:val="1"/>
                <w:sz w:val="21"/>
              </w:rPr>
              <w:t>正常使用</w:t>
            </w:r>
            <w:r>
              <w:rPr>
                <w:rFonts w:ascii="Arial" w:hAnsi="Times New Roman" w:eastAsia="宋体" w:cs="Times New Roman"/>
                <w:snapToGrid w:val="0"/>
                <w:color w:val="000000"/>
                <w:spacing w:val="13"/>
                <w:position w:val="1"/>
                <w:sz w:val="21"/>
              </w:rPr>
              <w:t xml:space="preserve">2 </w:t>
            </w:r>
            <w:r>
              <w:rPr>
                <w:rFonts w:ascii="Arial" w:eastAsia="宋体"/>
                <w:snapToGrid w:val="0"/>
                <w:color w:val="000000"/>
                <w:spacing w:val="13"/>
                <w:position w:val="1"/>
                <w:sz w:val="21"/>
              </w:rPr>
              <w:t>年</w:t>
            </w:r>
          </w:p>
        </w:tc>
        <w:tc>
          <w:tcPr>
            <w:tcW w:w="1745" w:type="dxa"/>
            <w:vAlign w:val="center"/>
          </w:tcPr>
          <w:p w14:paraId="3212F319">
            <w:pPr>
              <w:pStyle w:val="29"/>
              <w:tabs>
                <w:tab w:val="left" w:pos="0"/>
              </w:tabs>
              <w:snapToGrid w:val="0"/>
              <w:ind w:left="0" w:leftChars="0" w:right="0" w:rightChars="0" w:firstLine="0" w:firstLineChars="0"/>
              <w:jc w:val="center"/>
              <w:rPr>
                <w:rFonts w:ascii="Arial" w:hAnsi="Times New Roman" w:eastAsia="宋体" w:cs="Times New Roman"/>
                <w:snapToGrid w:val="0"/>
                <w:color w:val="000000"/>
                <w:sz w:val="21"/>
              </w:rPr>
            </w:pPr>
            <w:r>
              <w:rPr>
                <w:rFonts w:ascii="Arial" w:eastAsia="宋体"/>
                <w:snapToGrid w:val="0"/>
                <w:color w:val="000000"/>
                <w:spacing w:val="-3"/>
                <w:position w:val="1"/>
                <w:sz w:val="21"/>
              </w:rPr>
              <w:t>≥</w:t>
            </w:r>
            <w:r>
              <w:rPr>
                <w:rFonts w:ascii="Arial" w:hAnsi="Times New Roman" w:eastAsia="宋体" w:cs="Times New Roman"/>
                <w:snapToGrid w:val="0"/>
                <w:color w:val="000000"/>
                <w:spacing w:val="-3"/>
                <w:position w:val="1"/>
                <w:sz w:val="21"/>
              </w:rPr>
              <w:t>80</w:t>
            </w:r>
          </w:p>
        </w:tc>
      </w:tr>
      <w:tr w14:paraId="132CF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3354" w:type="dxa"/>
            <w:vMerge w:val="continue"/>
            <w:tcBorders>
              <w:top w:val="nil"/>
            </w:tcBorders>
            <w:vAlign w:val="center"/>
          </w:tcPr>
          <w:p w14:paraId="391E0259">
            <w:pPr>
              <w:snapToGrid w:val="0"/>
              <w:ind w:left="0" w:leftChars="0" w:right="0" w:rightChars="0" w:firstLine="0" w:firstLineChars="0"/>
              <w:jc w:val="center"/>
              <w:rPr>
                <w:rFonts w:ascii="Arial" w:eastAsia="宋体" w:cs="Arial"/>
                <w:snapToGrid w:val="0"/>
                <w:color w:val="000000"/>
                <w:sz w:val="21"/>
              </w:rPr>
            </w:pPr>
          </w:p>
        </w:tc>
        <w:tc>
          <w:tcPr>
            <w:tcW w:w="1602" w:type="dxa"/>
            <w:vMerge w:val="continue"/>
            <w:tcBorders>
              <w:top w:val="nil"/>
            </w:tcBorders>
            <w:vAlign w:val="center"/>
          </w:tcPr>
          <w:p w14:paraId="57676711">
            <w:pPr>
              <w:snapToGrid w:val="0"/>
              <w:ind w:left="0" w:leftChars="0" w:right="0" w:rightChars="0" w:firstLine="0" w:firstLineChars="0"/>
              <w:jc w:val="left"/>
              <w:rPr>
                <w:rFonts w:ascii="Arial" w:eastAsia="宋体" w:cs="Arial"/>
                <w:snapToGrid w:val="0"/>
                <w:color w:val="000000"/>
                <w:sz w:val="21"/>
              </w:rPr>
            </w:pPr>
          </w:p>
        </w:tc>
        <w:tc>
          <w:tcPr>
            <w:tcW w:w="1670" w:type="dxa"/>
            <w:vAlign w:val="center"/>
          </w:tcPr>
          <w:p w14:paraId="7BF7635A">
            <w:pPr>
              <w:pStyle w:val="29"/>
              <w:tabs>
                <w:tab w:val="left" w:pos="0"/>
              </w:tabs>
              <w:snapToGrid w:val="0"/>
              <w:ind w:left="0" w:leftChars="0" w:right="0" w:rightChars="0" w:firstLine="0" w:firstLineChars="0"/>
              <w:jc w:val="center"/>
              <w:rPr>
                <w:rFonts w:ascii="Arial" w:eastAsia="宋体"/>
                <w:snapToGrid w:val="0"/>
                <w:color w:val="000000"/>
                <w:sz w:val="21"/>
              </w:rPr>
            </w:pPr>
            <w:r>
              <w:rPr>
                <w:rFonts w:ascii="Arial" w:eastAsia="宋体"/>
                <w:snapToGrid w:val="0"/>
                <w:color w:val="000000"/>
                <w:spacing w:val="3"/>
                <w:position w:val="1"/>
                <w:sz w:val="21"/>
              </w:rPr>
              <w:t>正常使用</w:t>
            </w:r>
            <w:r>
              <w:rPr>
                <w:rFonts w:ascii="Arial" w:eastAsia="宋体"/>
                <w:snapToGrid w:val="0"/>
                <w:color w:val="000000"/>
                <w:spacing w:val="-35"/>
                <w:position w:val="1"/>
                <w:sz w:val="21"/>
              </w:rPr>
              <w:t xml:space="preserve"> </w:t>
            </w:r>
            <w:r>
              <w:rPr>
                <w:rFonts w:ascii="Arial" w:hAnsi="Times New Roman" w:eastAsia="宋体" w:cs="Times New Roman"/>
                <w:snapToGrid w:val="0"/>
                <w:color w:val="000000"/>
                <w:spacing w:val="3"/>
                <w:position w:val="1"/>
                <w:sz w:val="21"/>
              </w:rPr>
              <w:t>3</w:t>
            </w:r>
            <w:r>
              <w:rPr>
                <w:rFonts w:ascii="Arial" w:hAnsi="Times New Roman" w:eastAsia="宋体" w:cs="Times New Roman"/>
                <w:snapToGrid w:val="0"/>
                <w:color w:val="000000"/>
                <w:spacing w:val="13"/>
                <w:w w:val="101"/>
                <w:position w:val="1"/>
                <w:sz w:val="21"/>
              </w:rPr>
              <w:t xml:space="preserve"> </w:t>
            </w:r>
            <w:r>
              <w:rPr>
                <w:rFonts w:ascii="Arial" w:eastAsia="宋体"/>
                <w:snapToGrid w:val="0"/>
                <w:color w:val="000000"/>
                <w:spacing w:val="3"/>
                <w:position w:val="1"/>
                <w:sz w:val="21"/>
              </w:rPr>
              <w:t>年</w:t>
            </w:r>
          </w:p>
        </w:tc>
        <w:tc>
          <w:tcPr>
            <w:tcW w:w="1745" w:type="dxa"/>
            <w:vAlign w:val="center"/>
          </w:tcPr>
          <w:p w14:paraId="7E0F6FA4">
            <w:pPr>
              <w:pStyle w:val="29"/>
              <w:tabs>
                <w:tab w:val="left" w:pos="0"/>
              </w:tabs>
              <w:snapToGrid w:val="0"/>
              <w:ind w:left="0" w:leftChars="0" w:right="0" w:rightChars="0" w:firstLine="0" w:firstLineChars="0"/>
              <w:jc w:val="center"/>
              <w:rPr>
                <w:rFonts w:ascii="Arial" w:hAnsi="Times New Roman" w:eastAsia="宋体" w:cs="Times New Roman"/>
                <w:snapToGrid w:val="0"/>
                <w:color w:val="000000"/>
                <w:sz w:val="21"/>
              </w:rPr>
            </w:pPr>
            <w:r>
              <w:rPr>
                <w:rFonts w:ascii="Arial" w:eastAsia="宋体"/>
                <w:snapToGrid w:val="0"/>
                <w:color w:val="000000"/>
                <w:spacing w:val="-3"/>
                <w:position w:val="1"/>
                <w:sz w:val="21"/>
              </w:rPr>
              <w:t>≥</w:t>
            </w:r>
            <w:r>
              <w:rPr>
                <w:rFonts w:ascii="Arial" w:hAnsi="Times New Roman" w:eastAsia="宋体" w:cs="Times New Roman"/>
                <w:snapToGrid w:val="0"/>
                <w:color w:val="000000"/>
                <w:spacing w:val="-3"/>
                <w:position w:val="1"/>
                <w:sz w:val="21"/>
              </w:rPr>
              <w:t>50</w:t>
            </w:r>
          </w:p>
        </w:tc>
      </w:tr>
    </w:tbl>
    <w:p w14:paraId="5967618B">
      <w:pPr>
        <w:keepNext w:val="0"/>
        <w:keepLines w:val="0"/>
        <w:pageBreakBefore w:val="0"/>
        <w:tabs>
          <w:tab w:val="left" w:pos="0"/>
        </w:tabs>
        <w:kinsoku/>
        <w:wordWrap/>
        <w:overflowPunct/>
        <w:topLinePunct w:val="0"/>
        <w:autoSpaceDE/>
        <w:autoSpaceDN/>
        <w:bidi w:val="0"/>
        <w:adjustRightInd/>
        <w:snapToGrid/>
        <w:spacing w:line="360" w:lineRule="auto"/>
        <w:ind w:firstLine="420" w:firstLineChars="200"/>
        <w:textAlignment w:val="auto"/>
        <w:rPr>
          <w:rFonts w:cs="宋体"/>
          <w:szCs w:val="21"/>
        </w:rPr>
      </w:pPr>
      <w:r>
        <w:rPr>
          <w:rFonts w:hint="eastAsia" w:cs="宋体"/>
          <w:szCs w:val="21"/>
        </w:rPr>
        <w:t>⑥护栏更换或新增：对交通事故或水毁损坏的钢护栏或</w:t>
      </w:r>
      <w:r>
        <w:rPr>
          <w:rFonts w:hint="eastAsia" w:eastAsia="宋体" w:cs="宋体"/>
          <w:szCs w:val="21"/>
          <w:highlight w:val="none"/>
          <w:lang w:val="en-US" w:eastAsia="zh-CN"/>
        </w:rPr>
        <w:t>缆</w:t>
      </w:r>
      <w:r>
        <w:rPr>
          <w:rFonts w:hint="eastAsia" w:cs="宋体"/>
          <w:szCs w:val="21"/>
        </w:rPr>
        <w:t>索护栏或混凝土墙式护栏按原样原等级进行更换维修，对路侧防护空缺段，采用新增A级或B级波形梁钢护栏或混凝土墙式护栏处置，安装尺寸符合要求，线型顺适，恢复或提升公路路侧防护功能。对损坏的护栏端头、立柱进行原等级单件更换，对所有迎车流方向护栏端头进行立面标记处理。</w:t>
      </w:r>
    </w:p>
    <w:p w14:paraId="5167016C">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⑦道口桩更换：对缺损缺失的道口桩进行更换，要具备夜间反光要求。</w:t>
      </w:r>
    </w:p>
    <w:p w14:paraId="1168AF6D">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cs="宋体"/>
          <w:szCs w:val="21"/>
        </w:rPr>
      </w:pPr>
      <w:r>
        <w:rPr>
          <w:rFonts w:hint="eastAsia" w:cs="宋体"/>
          <w:szCs w:val="21"/>
        </w:rPr>
        <w:t>⑧交通安全隐患整治：对交通事故易发或路面易滑路段采用增设单柱式爆闪灯、增设单柱式标志牌、增设彩色防滑标线等方式处置，对遮挡行车视线的标志牌宣传牌进行迁移或拆除。</w:t>
      </w:r>
    </w:p>
    <w:p w14:paraId="27BF379F">
      <w:pPr>
        <w:keepNext w:val="0"/>
        <w:keepLines w:val="0"/>
        <w:pageBreakBefore w:val="0"/>
        <w:numPr>
          <w:ilvl w:val="0"/>
          <w:numId w:val="0"/>
        </w:numPr>
        <w:tabs>
          <w:tab w:val="left" w:pos="0"/>
        </w:tabs>
        <w:kinsoku/>
        <w:wordWrap/>
        <w:overflowPunct/>
        <w:topLinePunct w:val="0"/>
        <w:autoSpaceDE/>
        <w:autoSpaceDN/>
        <w:bidi w:val="0"/>
        <w:adjustRightInd/>
        <w:snapToGrid/>
        <w:spacing w:line="360" w:lineRule="auto"/>
        <w:ind w:firstLine="420" w:firstLineChars="200"/>
        <w:textAlignment w:val="auto"/>
        <w:rPr>
          <w:rFonts w:hint="eastAsia" w:cs="宋体"/>
          <w:b/>
          <w:bCs/>
          <w:szCs w:val="21"/>
        </w:rPr>
      </w:pPr>
      <w:r>
        <w:rPr>
          <w:rFonts w:hint="eastAsia" w:cs="宋体"/>
          <w:b/>
          <w:bCs/>
          <w:szCs w:val="21"/>
          <w:lang w:eastAsia="zh-CN"/>
        </w:rPr>
        <w:t>（</w:t>
      </w:r>
      <w:r>
        <w:rPr>
          <w:rFonts w:hint="eastAsia" w:cs="宋体"/>
          <w:b/>
          <w:bCs/>
          <w:szCs w:val="21"/>
          <w:lang w:val="en-US" w:eastAsia="zh-CN"/>
        </w:rPr>
        <w:t>7</w:t>
      </w:r>
      <w:r>
        <w:rPr>
          <w:rFonts w:hint="eastAsia" w:cs="宋体"/>
          <w:b/>
          <w:bCs/>
          <w:szCs w:val="21"/>
          <w:lang w:eastAsia="zh-CN"/>
        </w:rPr>
        <w:t>）</w:t>
      </w:r>
      <w:r>
        <w:rPr>
          <w:rFonts w:hint="eastAsia" w:cs="宋体"/>
          <w:b/>
          <w:bCs/>
          <w:szCs w:val="21"/>
        </w:rPr>
        <w:t>隧道维修：</w:t>
      </w:r>
    </w:p>
    <w:p w14:paraId="53BDDFB9">
      <w:pPr>
        <w:keepNext w:val="0"/>
        <w:keepLines w:val="0"/>
        <w:pageBreakBefore w:val="0"/>
        <w:numPr>
          <w:ilvl w:val="0"/>
          <w:numId w:val="0"/>
        </w:numPr>
        <w:tabs>
          <w:tab w:val="left" w:pos="0"/>
        </w:tabs>
        <w:kinsoku/>
        <w:wordWrap/>
        <w:overflowPunct/>
        <w:topLinePunct w:val="0"/>
        <w:autoSpaceDE/>
        <w:autoSpaceDN/>
        <w:bidi w:val="0"/>
        <w:adjustRightInd/>
        <w:snapToGrid/>
        <w:spacing w:line="360" w:lineRule="auto"/>
        <w:ind w:firstLine="420" w:firstLineChars="200"/>
        <w:textAlignment w:val="auto"/>
        <w:rPr>
          <w:rFonts w:cs="宋体"/>
          <w:b/>
          <w:bCs/>
          <w:szCs w:val="21"/>
        </w:rPr>
      </w:pPr>
      <w:r>
        <w:rPr>
          <w:rFonts w:hint="eastAsia" w:cs="宋体"/>
          <w:szCs w:val="21"/>
        </w:rPr>
        <w:t>及时进行隧道衬砌变形、结构性裂缝、破损和渗漏水等问题的修复；隧底涌水、翻浆、路面隆起或路面板断裂等修复；洞口边仰坡边坡失稳和坍塌等治理修复；洞门结构物修复；检修道、吊顶及预埋件和内装饰等修复；排水设施集中修复；隧道供配电，照明，通风，消防，监控和通信等机电设施及设备集中维修或更换；设备洞室，风机房，水泵房，对外联络通道等其他工程设施的修复。</w:t>
      </w:r>
    </w:p>
    <w:p w14:paraId="29D99D56">
      <w:pPr>
        <w:keepNext w:val="0"/>
        <w:keepLines w:val="0"/>
        <w:pageBreakBefore w:val="0"/>
        <w:tabs>
          <w:tab w:val="left" w:pos="0"/>
        </w:tabs>
        <w:kinsoku/>
        <w:wordWrap/>
        <w:overflowPunct/>
        <w:topLinePunct w:val="0"/>
        <w:autoSpaceDE/>
        <w:autoSpaceDN/>
        <w:bidi w:val="0"/>
        <w:adjustRightInd/>
        <w:snapToGrid/>
        <w:spacing w:line="360" w:lineRule="auto"/>
        <w:ind w:firstLine="475" w:firstLineChars="198"/>
        <w:textAlignment w:val="auto"/>
        <w:rPr>
          <w:rFonts w:cs="宋体"/>
          <w:b/>
          <w:sz w:val="24"/>
          <w:szCs w:val="24"/>
        </w:rPr>
      </w:pPr>
      <w:r>
        <w:rPr>
          <w:rFonts w:hint="eastAsia" w:cs="宋体"/>
          <w:b/>
          <w:sz w:val="24"/>
          <w:szCs w:val="24"/>
          <w:lang w:val="en-US" w:eastAsia="zh-CN"/>
        </w:rPr>
        <w:t>2.</w:t>
      </w:r>
      <w:r>
        <w:rPr>
          <w:rFonts w:hint="eastAsia" w:cs="宋体"/>
          <w:b/>
          <w:sz w:val="24"/>
          <w:szCs w:val="24"/>
        </w:rPr>
        <w:t>应急处置</w:t>
      </w:r>
      <w:r>
        <w:rPr>
          <w:rFonts w:hint="eastAsia" w:cs="宋体"/>
          <w:b/>
          <w:sz w:val="24"/>
          <w:szCs w:val="24"/>
          <w:lang w:val="en-US" w:eastAsia="zh-CN"/>
        </w:rPr>
        <w:t>(</w:t>
      </w:r>
      <w:r>
        <w:rPr>
          <w:rFonts w:hint="eastAsia" w:cs="宋体"/>
          <w:b/>
          <w:sz w:val="24"/>
          <w:szCs w:val="24"/>
        </w:rPr>
        <w:t>应急</w:t>
      </w:r>
      <w:r>
        <w:rPr>
          <w:rFonts w:hint="eastAsia" w:cs="宋体"/>
          <w:b/>
          <w:sz w:val="24"/>
          <w:szCs w:val="24"/>
          <w:lang w:val="en-US" w:eastAsia="zh-CN"/>
        </w:rPr>
        <w:t>抢险)</w:t>
      </w:r>
    </w:p>
    <w:p w14:paraId="71EB9BDA">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宋体" w:hAnsi="宋体" w:eastAsia="宋体" w:cs="宋体"/>
          <w:szCs w:val="21"/>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清理塌方</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单处≥</w:t>
      </w:r>
      <w:r>
        <w:rPr>
          <w:rFonts w:hint="eastAsia" w:ascii="宋体" w:hAnsi="宋体" w:eastAsia="宋体" w:cs="宋体"/>
          <w:color w:val="auto"/>
          <w:szCs w:val="21"/>
          <w:highlight w:val="none"/>
        </w:rPr>
        <w:t>5m³</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清理</w:t>
      </w:r>
      <w:r>
        <w:rPr>
          <w:rFonts w:hint="eastAsia" w:ascii="宋体" w:hAnsi="宋体" w:eastAsia="宋体" w:cs="宋体"/>
          <w:color w:val="auto"/>
          <w:szCs w:val="21"/>
          <w:highlight w:val="none"/>
        </w:rPr>
        <w:t>落石</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单处≥0.</w:t>
      </w:r>
      <w:r>
        <w:rPr>
          <w:rFonts w:hint="eastAsia" w:ascii="宋体" w:hAnsi="宋体" w:eastAsia="宋体" w:cs="宋体"/>
          <w:color w:val="auto"/>
          <w:szCs w:val="21"/>
          <w:highlight w:val="none"/>
        </w:rPr>
        <w:t>5m³</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、清理倒伏路树及危树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地径≥10cm</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路基路面损毁修复、路基边坡防护、路侧护栏损坏修复、桥梁涵洞隧道损毁修护、冬季除冰雪</w:t>
      </w:r>
      <w:r>
        <w:rPr>
          <w:rFonts w:hint="eastAsia" w:ascii="宋体" w:hAnsi="宋体" w:eastAsia="宋体" w:cs="宋体"/>
          <w:color w:val="auto"/>
          <w:szCs w:val="21"/>
          <w:highlight w:val="none"/>
        </w:rPr>
        <w:t>等</w:t>
      </w:r>
      <w:r>
        <w:rPr>
          <w:rFonts w:hint="eastAsia" w:ascii="宋体" w:hAnsi="宋体" w:eastAsia="宋体" w:cs="宋体"/>
          <w:color w:val="auto"/>
          <w:szCs w:val="21"/>
          <w:highlight w:val="none"/>
          <w:lang w:val="en-US" w:eastAsia="zh-CN"/>
        </w:rPr>
        <w:t>按合同</w:t>
      </w:r>
      <w:r>
        <w:rPr>
          <w:rFonts w:hint="eastAsia" w:ascii="宋体" w:hAnsi="宋体" w:eastAsia="宋体" w:cs="宋体"/>
          <w:color w:val="auto"/>
          <w:spacing w:val="5"/>
          <w:sz w:val="21"/>
          <w:szCs w:val="21"/>
          <w:highlight w:val="none"/>
          <w:u w:val="none"/>
          <w:lang w:val="en-US" w:eastAsia="zh-CN"/>
        </w:rPr>
        <w:t>工程量清单子目计量支付。应急处置的计量，优先按工程清单子目进行实体验收计量，若需以计日工形式计量的，应事先由发包人指定工作内容并按计日工计量规则进行签认</w:t>
      </w:r>
      <w:r>
        <w:rPr>
          <w:rFonts w:hint="eastAsia" w:ascii="宋体" w:hAnsi="宋体" w:eastAsia="宋体" w:cs="宋体"/>
          <w:color w:val="auto"/>
          <w:szCs w:val="21"/>
          <w:highlight w:val="none"/>
          <w:lang w:eastAsia="zh-CN"/>
        </w:rPr>
        <w:t>。</w:t>
      </w:r>
    </w:p>
    <w:p w14:paraId="285E8F36">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cs="宋体"/>
          <w:szCs w:val="21"/>
        </w:rPr>
      </w:pPr>
      <w:r>
        <w:rPr>
          <w:rFonts w:hint="eastAsia" w:cs="宋体"/>
          <w:szCs w:val="21"/>
        </w:rPr>
        <w:t>（</w:t>
      </w:r>
      <w:r>
        <w:rPr>
          <w:rFonts w:hint="eastAsia" w:cs="宋体"/>
          <w:szCs w:val="21"/>
          <w:lang w:val="en-US" w:eastAsia="zh-CN"/>
        </w:rPr>
        <w:t>2</w:t>
      </w:r>
      <w:r>
        <w:rPr>
          <w:rFonts w:hint="eastAsia" w:cs="宋体"/>
          <w:szCs w:val="21"/>
        </w:rPr>
        <w:t>）承包人应建立公路突发事件应急预案体系，并按要求进行备案，每年开展不少于一次公路养护应急演练，提高应急处置能力。承包人应成立应急抢险工作组，应急抢险工作组负责人应由本项目经理或项目技术人员担任，由企业人员组建或与沿线具有抢险机械的社会个体或企业力量组建抢险队伍，为组建的抢险队伍人员购买意外伤害保险或雇主责任险，并将应急管理工作组和抢险队伍的人员及联系方式报备发包人。承包人应储备碎石、砂、水泥、木糠、麻袋、松木桩或钢管桩、冷补料、除冰溶雪剂或工业盐等应急物资，应配备抢险队伍至少2</w:t>
      </w:r>
      <w:r>
        <w:rPr>
          <w:rFonts w:hint="eastAsia" w:eastAsia="宋体" w:cs="宋体"/>
          <w:szCs w:val="21"/>
          <w:lang w:val="en-US" w:eastAsia="zh-CN"/>
        </w:rPr>
        <w:t>4</w:t>
      </w:r>
      <w:r>
        <w:rPr>
          <w:rFonts w:hint="eastAsia" w:cs="宋体"/>
          <w:szCs w:val="21"/>
        </w:rPr>
        <w:t>人的公路部门反光橘红色衣服、安全帽、反光背心，能满足按规范布设二级公路4个长期作业区的各类配套的标志牌，各类危险警示提示牌（塌方、水毁、雨天路滑、道路结冰、水淹路面、交通中断、禁止通行等）、反光锥筒、防撞桶、水马、太阳能施工警示爆闪灯（红蓝），配备有短油锯、高枝油锯 、装载机、挖掘机、压路机、起重机、高空作业车、洒水车、道路清扫车、自卸汽车、除冰溶雪车等机械设备。每天至少安排2名应急处置联系人（应急待班联系人），要求应急待班联系人员待班期间每天24小时内均能保持通讯联系并能组织出动处置险情，应急处置联系人员安排表报备发包人。</w:t>
      </w:r>
    </w:p>
    <w:p w14:paraId="1E87A699">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cs="宋体"/>
          <w:szCs w:val="21"/>
        </w:rPr>
      </w:pPr>
      <w:r>
        <w:rPr>
          <w:rFonts w:hint="eastAsia" w:cs="宋体"/>
          <w:szCs w:val="21"/>
        </w:rPr>
        <w:t>（</w:t>
      </w:r>
      <w:r>
        <w:rPr>
          <w:rFonts w:hint="eastAsia" w:cs="宋体"/>
          <w:szCs w:val="21"/>
          <w:lang w:val="en-US" w:eastAsia="zh-CN"/>
        </w:rPr>
        <w:t>3</w:t>
      </w:r>
      <w:r>
        <w:rPr>
          <w:rFonts w:hint="eastAsia" w:cs="宋体"/>
          <w:szCs w:val="21"/>
        </w:rPr>
        <w:t>）发生公路险情时，承包人应急处置联系人接到发包人应急抢险电话通知后，立即安排人员赶赴现场设置警示，30分钟内组织好抢险队伍，</w:t>
      </w:r>
      <w:r>
        <w:rPr>
          <w:rFonts w:hint="eastAsia" w:cs="宋体"/>
          <w:kern w:val="0"/>
          <w:szCs w:val="21"/>
        </w:rPr>
        <w:t>一个小时内到达现场完成相关警示标志牌的布置并立即</w:t>
      </w:r>
      <w:r>
        <w:rPr>
          <w:rFonts w:hint="eastAsia" w:cs="宋体"/>
          <w:szCs w:val="21"/>
        </w:rPr>
        <w:t>开展应急处置，处置作业必须遵守公路养护作业安全规程，确保自身安全和他人安全。应急养护和抢险处置力争在当天完成，中断交通的，立即安排进行现场管控和设置警示，未能彻底处置的在治理前长期保持警示。路面污染易滑险情要求4小时内清理完成，路面落石、倒伏路树等障碍物清理要求4小时内清理完成，500方以内的塌方要求当天清出路面保持全幅路面通车，500方以上2000方以内塌方4小时内完成半幅路面通车，2天内完成全幅路面通车， 2000方以上塌方组织应急养护工程，8小时内完成半幅路面通车，7天内完成全幅路面通车，交通事故清障在交警处置结束后2小时内完成，防汛排水阻塞点由养护保养人员30分钟内完成清通，人工难以处置的应调派机械1小时内完成。汛期路面坑槽沉陷出现后1天内完成修补，路基路面塌陷组织应急养护工程处置，争取1天内完成半幅或临时通车，维持半幅通行的，设置长期警示标志，能利用养护资金处置的争取30天内完成处置全幅通车，恢复路基路面的应急养护工程质量符合现行规范标准，质保期内保持合格。路面溶冰除雪8小时内完成并保持至路面结冰结束，电杆倒伏等涉路管线应急隐患清理8小时内完成，交通事故或上边坡崩塌损坏的护栏5天内完成维修，路基塌陷损坏的护栏在路基恢复后3天内完成修复，护栏缺失期间设置长期警示标志，桥梁涵洞跨塌交通管制值守至恢复通车或临时道路开通。</w:t>
      </w:r>
    </w:p>
    <w:p w14:paraId="27C4C1B6">
      <w:pPr>
        <w:keepNext w:val="0"/>
        <w:keepLines w:val="0"/>
        <w:pageBreakBefore w:val="0"/>
        <w:widowControl/>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sz w:val="24"/>
          <w:szCs w:val="24"/>
          <w:lang w:val="en-US" w:eastAsia="zh-CN"/>
        </w:rPr>
        <w:t>3.</w:t>
      </w:r>
      <w:r>
        <w:rPr>
          <w:rFonts w:hint="eastAsia" w:ascii="宋体" w:hAnsi="宋体" w:eastAsia="宋体" w:cs="宋体"/>
          <w:b/>
          <w:bCs/>
          <w:color w:val="auto"/>
          <w:sz w:val="24"/>
          <w:szCs w:val="24"/>
          <w:highlight w:val="none"/>
          <w:lang w:eastAsia="zh-CN"/>
        </w:rPr>
        <w:t>冬季除冰雪</w:t>
      </w:r>
    </w:p>
    <w:p w14:paraId="05F005D2">
      <w:pPr>
        <w:keepNext w:val="0"/>
        <w:keepLines w:val="0"/>
        <w:pageBreakBefore w:val="0"/>
        <w:widowControl/>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u w:val="none"/>
          <w:lang w:val="en-US" w:eastAsia="zh-CN"/>
        </w:rPr>
      </w:pPr>
      <w:r>
        <w:rPr>
          <w:rFonts w:hint="eastAsia" w:ascii="宋体" w:hAnsi="宋体" w:eastAsia="宋体" w:cs="宋体"/>
          <w:sz w:val="21"/>
          <w:szCs w:val="21"/>
          <w:highlight w:val="none"/>
          <w:lang w:val="en-US" w:eastAsia="zh-CN"/>
        </w:rPr>
        <w:t>要针对易结冰积雪路段制定具体方案，配备除冰雪的机械、物资和人员。</w:t>
      </w:r>
      <w:r>
        <w:rPr>
          <w:rFonts w:hint="eastAsia" w:ascii="宋体" w:hAnsi="宋体" w:eastAsia="宋体" w:cs="宋体"/>
          <w:color w:val="auto"/>
          <w:szCs w:val="21"/>
          <w:highlight w:val="none"/>
          <w:lang w:val="en-US" w:eastAsia="zh-CN"/>
        </w:rPr>
        <w:t>撒布融雪剂、破冰融冰等费用按合同</w:t>
      </w:r>
      <w:r>
        <w:rPr>
          <w:rFonts w:hint="eastAsia" w:ascii="宋体" w:hAnsi="宋体" w:eastAsia="宋体" w:cs="宋体"/>
          <w:color w:val="auto"/>
          <w:spacing w:val="5"/>
          <w:sz w:val="21"/>
          <w:szCs w:val="21"/>
          <w:highlight w:val="none"/>
          <w:u w:val="none"/>
          <w:lang w:val="en-US" w:eastAsia="zh-CN"/>
        </w:rPr>
        <w:t>工程量清单子目计量支付，</w:t>
      </w:r>
      <w:r>
        <w:rPr>
          <w:rFonts w:hint="eastAsia" w:ascii="宋体" w:hAnsi="宋体" w:eastAsia="宋体" w:cs="宋体"/>
          <w:color w:val="auto"/>
          <w:szCs w:val="21"/>
          <w:highlight w:val="none"/>
        </w:rPr>
        <w:t>以清单</w:t>
      </w:r>
      <w:r>
        <w:rPr>
          <w:rFonts w:hint="eastAsia" w:ascii="宋体" w:hAnsi="宋体" w:eastAsia="宋体" w:cs="宋体"/>
          <w:color w:val="auto"/>
          <w:szCs w:val="21"/>
          <w:highlight w:val="none"/>
          <w:lang w:val="en-US" w:eastAsia="zh-CN"/>
        </w:rPr>
        <w:t>模式</w:t>
      </w:r>
      <w:r>
        <w:rPr>
          <w:rFonts w:hint="eastAsia" w:ascii="宋体" w:hAnsi="宋体" w:eastAsia="宋体" w:cs="宋体"/>
          <w:color w:val="auto"/>
          <w:szCs w:val="21"/>
          <w:highlight w:val="none"/>
        </w:rPr>
        <w:t>管理</w:t>
      </w:r>
      <w:r>
        <w:rPr>
          <w:rFonts w:hint="eastAsia" w:ascii="宋体" w:hAnsi="宋体" w:eastAsia="宋体" w:cs="宋体"/>
          <w:color w:val="auto"/>
          <w:szCs w:val="21"/>
          <w:highlight w:val="none"/>
          <w:lang w:eastAsia="zh-CN"/>
        </w:rPr>
        <w:t>。</w:t>
      </w:r>
      <w:r>
        <w:rPr>
          <w:rFonts w:hint="eastAsia" w:ascii="宋体" w:hAnsi="宋体" w:eastAsia="宋体" w:cs="宋体"/>
          <w:highlight w:val="none"/>
          <w:lang w:val="en-US" w:eastAsia="zh-CN"/>
        </w:rPr>
        <w:t>除冰雪前后的通行引导、现场警示、管控维护、现场值守等</w:t>
      </w:r>
      <w:r>
        <w:rPr>
          <w:rFonts w:hint="eastAsia" w:ascii="宋体" w:hAnsi="宋体" w:eastAsia="宋体" w:cs="宋体"/>
          <w:color w:val="auto"/>
          <w:spacing w:val="5"/>
          <w:sz w:val="21"/>
          <w:szCs w:val="21"/>
          <w:highlight w:val="none"/>
          <w:u w:val="none"/>
          <w:lang w:val="en-US" w:eastAsia="zh-CN"/>
        </w:rPr>
        <w:t>相关费用包含在绩效清单报价中，</w:t>
      </w:r>
      <w:r>
        <w:rPr>
          <w:rFonts w:hint="eastAsia" w:ascii="宋体" w:hAnsi="宋体" w:eastAsia="宋体" w:cs="宋体"/>
          <w:color w:val="auto"/>
          <w:szCs w:val="21"/>
          <w:highlight w:val="none"/>
        </w:rPr>
        <w:t>按绩效考核</w:t>
      </w:r>
      <w:r>
        <w:rPr>
          <w:rFonts w:hint="eastAsia" w:ascii="宋体" w:hAnsi="宋体" w:eastAsia="宋体" w:cs="宋体"/>
          <w:color w:val="auto"/>
          <w:szCs w:val="21"/>
          <w:highlight w:val="none"/>
          <w:lang w:val="en-US" w:eastAsia="zh-CN"/>
        </w:rPr>
        <w:t>模式</w:t>
      </w:r>
      <w:r>
        <w:rPr>
          <w:rFonts w:hint="eastAsia" w:ascii="宋体" w:hAnsi="宋体" w:eastAsia="宋体" w:cs="宋体"/>
          <w:color w:val="auto"/>
          <w:szCs w:val="21"/>
          <w:highlight w:val="none"/>
        </w:rPr>
        <w:t>管理</w:t>
      </w:r>
      <w:r>
        <w:rPr>
          <w:rFonts w:hint="eastAsia" w:ascii="宋体" w:hAnsi="宋体" w:eastAsia="宋体" w:cs="宋体"/>
          <w:color w:val="auto"/>
          <w:szCs w:val="21"/>
          <w:highlight w:val="none"/>
          <w:lang w:eastAsia="zh-CN"/>
        </w:rPr>
        <w:t>。</w:t>
      </w:r>
      <w:r>
        <w:rPr>
          <w:rFonts w:hint="eastAsia" w:ascii="宋体" w:hAnsi="宋体" w:eastAsia="宋体" w:cs="宋体"/>
          <w:sz w:val="21"/>
          <w:szCs w:val="21"/>
          <w:highlight w:val="none"/>
          <w:u w:val="none"/>
          <w:lang w:val="en-US" w:eastAsia="zh-CN"/>
        </w:rPr>
        <w:t>发生冰雪情况时要按应急处置的工作要求开展处置和管控工作。</w:t>
      </w:r>
    </w:p>
    <w:p w14:paraId="36E5130F">
      <w:pPr>
        <w:keepNext w:val="0"/>
        <w:keepLines w:val="0"/>
        <w:pageBreakBefore w:val="0"/>
        <w:widowControl/>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u w:val="none"/>
          <w:lang w:val="en-US" w:eastAsia="zh-CN"/>
        </w:rPr>
        <w:t>4.</w:t>
      </w:r>
      <w:r>
        <w:rPr>
          <w:rFonts w:hint="eastAsia" w:ascii="宋体" w:hAnsi="宋体" w:eastAsia="宋体" w:cs="宋体"/>
          <w:b/>
          <w:bCs/>
          <w:sz w:val="24"/>
          <w:szCs w:val="24"/>
          <w:highlight w:val="none"/>
        </w:rPr>
        <w:t>不可预见的专项养护</w:t>
      </w:r>
    </w:p>
    <w:p w14:paraId="529272E7">
      <w:pPr>
        <w:keepNext w:val="0"/>
        <w:keepLines w:val="0"/>
        <w:pageBreakBefore w:val="0"/>
        <w:widowControl/>
        <w:tabs>
          <w:tab w:val="left" w:pos="0"/>
        </w:tabs>
        <w:kinsoku/>
        <w:wordWrap/>
        <w:overflowPunct/>
        <w:topLinePunct w:val="0"/>
        <w:autoSpaceDE/>
        <w:autoSpaceDN/>
        <w:bidi w:val="0"/>
        <w:adjustRightInd/>
        <w:snapToGrid/>
        <w:spacing w:line="360" w:lineRule="auto"/>
        <w:ind w:firstLine="420"/>
        <w:textAlignment w:val="auto"/>
        <w:rPr>
          <w:rFonts w:hint="default" w:ascii="宋体" w:hAnsi="宋体" w:eastAsia="宋体" w:cs="宋体"/>
          <w:sz w:val="21"/>
          <w:szCs w:val="21"/>
          <w:highlight w:val="none"/>
          <w:u w:val="none"/>
          <w:lang w:val="en-US" w:eastAsia="zh-CN"/>
        </w:rPr>
      </w:pPr>
      <w:r>
        <w:rPr>
          <w:rFonts w:hint="eastAsia" w:ascii="宋体" w:hAnsi="宋体" w:eastAsia="宋体" w:cs="宋体"/>
          <w:sz w:val="21"/>
          <w:szCs w:val="21"/>
        </w:rPr>
        <w:t>候车亭</w:t>
      </w:r>
      <w:r>
        <w:rPr>
          <w:rFonts w:hint="eastAsia" w:ascii="宋体" w:hAnsi="宋体" w:cs="宋体"/>
          <w:sz w:val="21"/>
          <w:szCs w:val="21"/>
          <w:lang w:val="en-US" w:eastAsia="zh-CN"/>
        </w:rPr>
        <w:t>维修</w:t>
      </w:r>
      <w:r>
        <w:rPr>
          <w:rFonts w:hint="eastAsia" w:ascii="宋体" w:hAnsi="宋体" w:eastAsia="宋体" w:cs="宋体"/>
          <w:sz w:val="21"/>
          <w:szCs w:val="21"/>
        </w:rPr>
        <w:t>、重要节点路段提升（县城出入口、产业园区出入口、旅游景区出入口、省际交界路段）、过境公路排水系统</w:t>
      </w:r>
      <w:r>
        <w:rPr>
          <w:rFonts w:hint="eastAsia" w:ascii="宋体" w:hAnsi="宋体" w:cs="宋体"/>
          <w:sz w:val="21"/>
          <w:szCs w:val="21"/>
          <w:lang w:val="en-US" w:eastAsia="zh-CN"/>
        </w:rPr>
        <w:t>维修</w:t>
      </w:r>
      <w:r>
        <w:rPr>
          <w:rFonts w:hint="eastAsia" w:ascii="宋体" w:hAnsi="宋体" w:eastAsia="宋体" w:cs="宋体"/>
          <w:sz w:val="21"/>
          <w:szCs w:val="21"/>
        </w:rPr>
        <w:t>、路域环境整治</w:t>
      </w:r>
      <w:r>
        <w:rPr>
          <w:rFonts w:hint="eastAsia" w:ascii="宋体" w:hAnsi="宋体" w:cs="宋体"/>
          <w:sz w:val="21"/>
          <w:szCs w:val="21"/>
          <w:lang w:val="en-US" w:eastAsia="zh-CN"/>
        </w:rPr>
        <w:t>维修</w:t>
      </w:r>
      <w:r>
        <w:rPr>
          <w:rFonts w:hint="eastAsia" w:ascii="宋体" w:hAnsi="宋体" w:eastAsia="宋体" w:cs="宋体"/>
          <w:sz w:val="21"/>
          <w:szCs w:val="21"/>
        </w:rPr>
        <w:t>、护栏提升</w:t>
      </w:r>
      <w:r>
        <w:rPr>
          <w:rFonts w:hint="eastAsia" w:ascii="宋体" w:hAnsi="宋体" w:cs="宋体"/>
          <w:sz w:val="21"/>
          <w:szCs w:val="21"/>
          <w:lang w:val="en-US" w:eastAsia="zh-CN"/>
        </w:rPr>
        <w:t>维修</w:t>
      </w:r>
      <w:r>
        <w:rPr>
          <w:rFonts w:hint="eastAsia" w:ascii="宋体" w:hAnsi="宋体" w:eastAsia="宋体" w:cs="宋体"/>
          <w:sz w:val="21"/>
          <w:szCs w:val="21"/>
        </w:rPr>
        <w:t>等</w:t>
      </w:r>
      <w:r>
        <w:rPr>
          <w:rFonts w:hint="eastAsia" w:ascii="宋体" w:hAnsi="宋体" w:cs="宋体"/>
          <w:sz w:val="21"/>
          <w:szCs w:val="21"/>
          <w:lang w:val="en-US" w:eastAsia="zh-CN"/>
        </w:rPr>
        <w:t>参照日常维修工作要求执行</w:t>
      </w:r>
      <w:r>
        <w:rPr>
          <w:rFonts w:hint="eastAsia" w:ascii="宋体" w:hAnsi="宋体" w:eastAsia="宋体" w:cs="宋体"/>
          <w:sz w:val="21"/>
          <w:szCs w:val="21"/>
        </w:rPr>
        <w:t>。</w:t>
      </w:r>
    </w:p>
    <w:p w14:paraId="4F534D6D">
      <w:pPr>
        <w:pStyle w:val="11"/>
        <w:keepNext w:val="0"/>
        <w:keepLines w:val="0"/>
        <w:pageBreakBefore w:val="0"/>
        <w:kinsoku/>
        <w:wordWrap/>
        <w:overflowPunct/>
        <w:topLinePunct w:val="0"/>
        <w:autoSpaceDE/>
        <w:autoSpaceDN/>
        <w:bidi w:val="0"/>
        <w:adjustRightInd/>
        <w:snapToGrid/>
        <w:spacing w:line="360" w:lineRule="auto"/>
        <w:ind w:left="23" w:firstLine="522" w:firstLineChars="200"/>
        <w:jc w:val="left"/>
        <w:textAlignment w:val="auto"/>
        <w:rPr>
          <w:rFonts w:hint="eastAsia" w:ascii="宋体" w:hAnsi="宋体"/>
          <w:b/>
          <w:bCs/>
          <w:spacing w:val="10"/>
          <w:position w:val="1"/>
          <w:sz w:val="24"/>
          <w:szCs w:val="24"/>
          <w:highlight w:val="none"/>
        </w:rPr>
      </w:pPr>
      <w:r>
        <w:rPr>
          <w:rFonts w:hint="eastAsia" w:ascii="宋体" w:hAnsi="宋体"/>
          <w:b/>
          <w:bCs/>
          <w:spacing w:val="10"/>
          <w:position w:val="1"/>
          <w:sz w:val="24"/>
          <w:szCs w:val="24"/>
          <w:highlight w:val="none"/>
          <w:lang w:eastAsia="zh-CN"/>
        </w:rPr>
        <w:t>（</w:t>
      </w:r>
      <w:r>
        <w:rPr>
          <w:rFonts w:hint="eastAsia" w:ascii="宋体" w:hAnsi="宋体"/>
          <w:b/>
          <w:bCs/>
          <w:spacing w:val="10"/>
          <w:position w:val="1"/>
          <w:sz w:val="24"/>
          <w:szCs w:val="24"/>
          <w:highlight w:val="none"/>
          <w:lang w:val="en-US" w:eastAsia="zh-CN"/>
        </w:rPr>
        <w:t>三</w:t>
      </w:r>
      <w:r>
        <w:rPr>
          <w:rFonts w:hint="eastAsia" w:ascii="宋体" w:hAnsi="宋体"/>
          <w:b/>
          <w:bCs/>
          <w:spacing w:val="10"/>
          <w:position w:val="1"/>
          <w:sz w:val="24"/>
          <w:szCs w:val="24"/>
          <w:highlight w:val="none"/>
          <w:lang w:eastAsia="zh-CN"/>
        </w:rPr>
        <w:t>）</w:t>
      </w:r>
      <w:r>
        <w:rPr>
          <w:rFonts w:hint="eastAsia" w:ascii="宋体" w:hAnsi="宋体"/>
          <w:b/>
          <w:bCs/>
          <w:spacing w:val="10"/>
          <w:position w:val="1"/>
          <w:sz w:val="24"/>
          <w:szCs w:val="24"/>
          <w:highlight w:val="none"/>
        </w:rPr>
        <w:t>绩效</w:t>
      </w:r>
      <w:r>
        <w:rPr>
          <w:rFonts w:hint="eastAsia" w:ascii="宋体" w:hAnsi="宋体"/>
          <w:b/>
          <w:bCs/>
          <w:spacing w:val="10"/>
          <w:position w:val="1"/>
          <w:sz w:val="24"/>
          <w:szCs w:val="24"/>
          <w:highlight w:val="none"/>
          <w:lang w:val="en-US" w:eastAsia="zh-CN"/>
        </w:rPr>
        <w:t>模式的主要</w:t>
      </w:r>
      <w:r>
        <w:rPr>
          <w:rFonts w:hint="eastAsia" w:ascii="宋体" w:hAnsi="宋体"/>
          <w:b/>
          <w:bCs/>
          <w:spacing w:val="10"/>
          <w:position w:val="1"/>
          <w:sz w:val="24"/>
          <w:szCs w:val="24"/>
          <w:highlight w:val="none"/>
        </w:rPr>
        <w:t>工作内容和考核标准</w:t>
      </w:r>
    </w:p>
    <w:p w14:paraId="2E6A894C">
      <w:pPr>
        <w:pStyle w:val="11"/>
        <w:keepNext w:val="0"/>
        <w:keepLines w:val="0"/>
        <w:pageBreakBefore w:val="0"/>
        <w:kinsoku/>
        <w:wordWrap/>
        <w:overflowPunct/>
        <w:topLinePunct w:val="0"/>
        <w:autoSpaceDE/>
        <w:autoSpaceDN/>
        <w:bidi w:val="0"/>
        <w:adjustRightInd/>
        <w:snapToGrid/>
        <w:spacing w:line="360" w:lineRule="auto"/>
        <w:ind w:left="23" w:firstLine="460" w:firstLineChars="200"/>
        <w:jc w:val="left"/>
        <w:textAlignment w:val="auto"/>
        <w:rPr>
          <w:rFonts w:hint="default" w:ascii="宋体" w:hAnsi="宋体"/>
          <w:b w:val="0"/>
          <w:bCs w:val="0"/>
          <w:spacing w:val="10"/>
          <w:position w:val="1"/>
          <w:sz w:val="21"/>
          <w:szCs w:val="21"/>
          <w:highlight w:val="none"/>
          <w:lang w:val="en-US" w:eastAsia="zh-CN"/>
        </w:rPr>
      </w:pPr>
      <w:r>
        <w:rPr>
          <w:rFonts w:hint="eastAsia" w:ascii="宋体" w:hAnsi="宋体"/>
          <w:b w:val="0"/>
          <w:bCs w:val="0"/>
          <w:spacing w:val="10"/>
          <w:position w:val="1"/>
          <w:sz w:val="21"/>
          <w:szCs w:val="21"/>
          <w:highlight w:val="none"/>
          <w:lang w:val="en-US" w:eastAsia="zh-CN"/>
        </w:rPr>
        <w:t>绩效模式的工作内容有：公路巡查检查、日常保养、应急处置（小量障碍清除和应急现场管理）、冬季除冰雪现场管理、数据填报管理、安全生产管理、不可预见专项养护等。月度绩效考核以100分为基础，对照本文附件《广西壮族自治区桂林公路发展中心公路养护服务月度绩效考核评分细则》进行考核评分，评分结果作为绩效费用支付依据。</w:t>
      </w:r>
    </w:p>
    <w:p w14:paraId="2016E711">
      <w:pPr>
        <w:pStyle w:val="11"/>
        <w:keepNext w:val="0"/>
        <w:keepLines w:val="0"/>
        <w:pageBreakBefore w:val="0"/>
        <w:kinsoku/>
        <w:wordWrap/>
        <w:overflowPunct/>
        <w:topLinePunct w:val="0"/>
        <w:autoSpaceDE/>
        <w:autoSpaceDN/>
        <w:bidi w:val="0"/>
        <w:adjustRightInd/>
        <w:snapToGrid/>
        <w:spacing w:line="360" w:lineRule="auto"/>
        <w:ind w:left="23" w:firstLine="460" w:firstLineChars="200"/>
        <w:jc w:val="left"/>
        <w:textAlignment w:val="auto"/>
        <w:rPr>
          <w:rFonts w:hint="default" w:ascii="宋体" w:hAnsi="宋体" w:eastAsia="宋体"/>
          <w:b w:val="0"/>
          <w:bCs w:val="0"/>
          <w:spacing w:val="10"/>
          <w:position w:val="1"/>
          <w:sz w:val="21"/>
          <w:szCs w:val="21"/>
          <w:highlight w:val="none"/>
          <w:lang w:val="en-US" w:eastAsia="zh-CN"/>
        </w:rPr>
      </w:pPr>
    </w:p>
    <w:p w14:paraId="224A91A5">
      <w:pPr>
        <w:pStyle w:val="11"/>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1.</w:t>
      </w:r>
      <w:r>
        <w:rPr>
          <w:rFonts w:hint="eastAsia" w:ascii="宋体" w:hAnsi="宋体" w:eastAsia="宋体" w:cs="宋体"/>
          <w:b/>
          <w:bCs/>
          <w:sz w:val="24"/>
          <w:szCs w:val="24"/>
        </w:rPr>
        <w:t xml:space="preserve">巡查检查 </w:t>
      </w:r>
    </w:p>
    <w:p w14:paraId="32FBC1D5">
      <w:pPr>
        <w:pStyle w:val="11"/>
        <w:spacing w:line="360" w:lineRule="auto"/>
        <w:ind w:left="17" w:firstLine="422" w:firstLineChars="200"/>
        <w:rPr>
          <w:rFonts w:hint="eastAsia" w:ascii="宋体" w:hAnsi="宋体" w:eastAsia="宋体" w:cs="宋体"/>
          <w:b/>
          <w:bCs/>
          <w:sz w:val="21"/>
          <w:szCs w:val="21"/>
        </w:rPr>
      </w:pPr>
      <w:r>
        <w:rPr>
          <w:rFonts w:hint="eastAsia" w:ascii="宋体" w:hAnsi="宋体" w:cs="宋体"/>
          <w:b/>
          <w:bCs/>
          <w:sz w:val="21"/>
          <w:szCs w:val="21"/>
          <w:lang w:val="en-US" w:eastAsia="zh-CN"/>
        </w:rPr>
        <w:t>1.1</w:t>
      </w:r>
      <w:r>
        <w:rPr>
          <w:rFonts w:hint="eastAsia" w:ascii="宋体" w:hAnsi="宋体" w:eastAsia="宋体" w:cs="宋体"/>
          <w:b/>
          <w:bCs/>
          <w:sz w:val="21"/>
          <w:szCs w:val="21"/>
        </w:rPr>
        <w:t>日常</w:t>
      </w:r>
      <w:r>
        <w:rPr>
          <w:rFonts w:hint="eastAsia" w:ascii="宋体" w:hAnsi="宋体" w:eastAsia="宋体" w:cs="宋体"/>
          <w:b/>
          <w:bCs/>
          <w:spacing w:val="7"/>
          <w:sz w:val="21"/>
          <w:szCs w:val="21"/>
        </w:rPr>
        <w:t>巡查</w:t>
      </w:r>
    </w:p>
    <w:p w14:paraId="35775297">
      <w:pPr>
        <w:pStyle w:val="11"/>
        <w:spacing w:line="360" w:lineRule="auto"/>
        <w:ind w:firstLine="430" w:firstLineChars="200"/>
        <w:rPr>
          <w:rFonts w:hint="eastAsia" w:ascii="宋体" w:hAnsi="宋体" w:eastAsia="宋体" w:cs="宋体"/>
          <w:b/>
          <w:bCs/>
          <w:sz w:val="21"/>
          <w:szCs w:val="21"/>
        </w:rPr>
      </w:pPr>
      <w:r>
        <w:rPr>
          <w:rFonts w:hint="eastAsia" w:ascii="宋体" w:hAnsi="宋体" w:eastAsia="宋体" w:cs="宋体"/>
          <w:b/>
          <w:bCs/>
          <w:spacing w:val="2"/>
          <w:position w:val="1"/>
          <w:sz w:val="21"/>
          <w:szCs w:val="21"/>
        </w:rPr>
        <w:t>1.1</w:t>
      </w:r>
      <w:r>
        <w:rPr>
          <w:rFonts w:hint="eastAsia" w:ascii="宋体" w:hAnsi="宋体" w:cs="宋体"/>
          <w:b/>
          <w:bCs/>
          <w:spacing w:val="2"/>
          <w:position w:val="1"/>
          <w:sz w:val="21"/>
          <w:szCs w:val="21"/>
          <w:lang w:val="en-US" w:eastAsia="zh-CN"/>
        </w:rPr>
        <w:t>.1</w:t>
      </w:r>
      <w:r>
        <w:rPr>
          <w:rFonts w:hint="eastAsia" w:ascii="宋体" w:hAnsi="宋体" w:eastAsia="宋体" w:cs="宋体"/>
          <w:b/>
          <w:bCs/>
          <w:spacing w:val="15"/>
          <w:position w:val="1"/>
          <w:sz w:val="21"/>
          <w:szCs w:val="21"/>
        </w:rPr>
        <w:t xml:space="preserve"> </w:t>
      </w:r>
      <w:r>
        <w:rPr>
          <w:rFonts w:hint="eastAsia" w:ascii="宋体" w:hAnsi="宋体" w:eastAsia="宋体" w:cs="宋体"/>
          <w:b/>
          <w:bCs/>
          <w:spacing w:val="2"/>
          <w:position w:val="1"/>
          <w:sz w:val="21"/>
          <w:szCs w:val="21"/>
        </w:rPr>
        <w:t>工作内容</w:t>
      </w:r>
      <w:r>
        <w:rPr>
          <w:rFonts w:hint="eastAsia" w:ascii="宋体" w:hAnsi="宋体" w:cs="宋体"/>
          <w:b/>
          <w:bCs/>
          <w:spacing w:val="2"/>
          <w:position w:val="1"/>
          <w:sz w:val="21"/>
          <w:szCs w:val="21"/>
          <w:lang w:val="en-US" w:eastAsia="zh-CN"/>
        </w:rPr>
        <w:t>及要求</w:t>
      </w:r>
      <w:r>
        <w:rPr>
          <w:rFonts w:hint="eastAsia" w:ascii="宋体" w:hAnsi="宋体" w:eastAsia="宋体" w:cs="宋体"/>
          <w:b/>
          <w:bCs/>
          <w:spacing w:val="2"/>
          <w:position w:val="1"/>
          <w:sz w:val="21"/>
          <w:szCs w:val="21"/>
        </w:rPr>
        <w:t>：</w:t>
      </w:r>
    </w:p>
    <w:p w14:paraId="4D517BAE">
      <w:pPr>
        <w:pStyle w:val="11"/>
        <w:spacing w:line="360" w:lineRule="auto"/>
        <w:ind w:left="7" w:right="56" w:firstLine="463" w:firstLineChars="207"/>
        <w:rPr>
          <w:rFonts w:hint="eastAsia" w:ascii="宋体" w:hAnsi="宋体" w:eastAsia="宋体" w:cs="宋体"/>
          <w:sz w:val="21"/>
          <w:szCs w:val="21"/>
        </w:rPr>
      </w:pPr>
      <w:r>
        <w:rPr>
          <w:rFonts w:hint="eastAsia" w:ascii="宋体" w:hAnsi="宋体" w:eastAsia="宋体" w:cs="宋体"/>
          <w:spacing w:val="7"/>
          <w:position w:val="1"/>
          <w:sz w:val="21"/>
          <w:szCs w:val="21"/>
        </w:rPr>
        <w:t>（1）</w:t>
      </w:r>
      <w:r>
        <w:rPr>
          <w:rFonts w:hint="eastAsia" w:ascii="宋体" w:hAnsi="宋体" w:eastAsia="宋体" w:cs="宋体"/>
          <w:spacing w:val="-43"/>
          <w:sz w:val="21"/>
          <w:szCs w:val="21"/>
        </w:rPr>
        <w:t xml:space="preserve"> </w:t>
      </w:r>
      <w:r>
        <w:rPr>
          <w:rFonts w:hint="eastAsia" w:ascii="宋体" w:hAnsi="宋体" w:eastAsia="宋体" w:cs="宋体"/>
          <w:spacing w:val="9"/>
          <w:sz w:val="21"/>
          <w:szCs w:val="21"/>
        </w:rPr>
        <w:t>日间巡查:路基、路面、桥面系、隧道土建结构及</w:t>
      </w:r>
      <w:r>
        <w:rPr>
          <w:rFonts w:hint="eastAsia" w:ascii="宋体" w:hAnsi="宋体" w:eastAsia="宋体" w:cs="宋体"/>
          <w:spacing w:val="8"/>
          <w:sz w:val="21"/>
          <w:szCs w:val="21"/>
        </w:rPr>
        <w:t>其他工程设施、交通安全设施、机电设施、绿化与环</w:t>
      </w:r>
      <w:r>
        <w:rPr>
          <w:rFonts w:hint="eastAsia" w:ascii="宋体" w:hAnsi="宋体" w:eastAsia="宋体" w:cs="宋体"/>
          <w:spacing w:val="9"/>
          <w:sz w:val="21"/>
          <w:szCs w:val="21"/>
        </w:rPr>
        <w:t>境保护设施等是否完好整洁、使用正常，是否存在影响安全的病害、缺损及路面障碍物等其他异常情况，路侧是否存在遮挡标志和安全视距的植物和设施等。</w:t>
      </w:r>
    </w:p>
    <w:p w14:paraId="21051E49">
      <w:pPr>
        <w:pStyle w:val="11"/>
        <w:spacing w:line="360" w:lineRule="auto"/>
        <w:ind w:firstLine="448" w:firstLineChars="200"/>
        <w:rPr>
          <w:rFonts w:hint="eastAsia" w:ascii="宋体" w:hAnsi="宋体" w:eastAsia="宋体" w:cs="宋体"/>
          <w:spacing w:val="8"/>
          <w:sz w:val="21"/>
          <w:szCs w:val="21"/>
        </w:rPr>
      </w:pPr>
      <w:r>
        <w:rPr>
          <w:rFonts w:hint="eastAsia" w:ascii="宋体" w:hAnsi="宋体" w:eastAsia="宋体" w:cs="宋体"/>
          <w:spacing w:val="7"/>
          <w:sz w:val="21"/>
          <w:szCs w:val="21"/>
        </w:rPr>
        <w:t>（2）夜间巡查:标志、标线和轮廓标等的夜间视认性是否满足使用要求，照明设施是否齐全完好、工作</w:t>
      </w:r>
      <w:r>
        <w:rPr>
          <w:rFonts w:hint="eastAsia" w:ascii="宋体" w:hAnsi="宋体" w:eastAsia="宋体" w:cs="宋体"/>
          <w:spacing w:val="6"/>
          <w:sz w:val="21"/>
          <w:szCs w:val="21"/>
        </w:rPr>
        <w:t>正常，</w:t>
      </w:r>
      <w:r>
        <w:rPr>
          <w:rFonts w:hint="eastAsia" w:ascii="宋体" w:hAnsi="宋体" w:eastAsia="宋体" w:cs="宋体"/>
          <w:spacing w:val="8"/>
          <w:sz w:val="21"/>
          <w:szCs w:val="21"/>
        </w:rPr>
        <w:t>路面是否存在障碍并及时处置。</w:t>
      </w:r>
    </w:p>
    <w:p w14:paraId="773AA1CE">
      <w:pPr>
        <w:pStyle w:val="11"/>
        <w:spacing w:line="360" w:lineRule="auto"/>
        <w:ind w:firstLine="448" w:firstLineChars="200"/>
        <w:rPr>
          <w:rFonts w:hint="eastAsia" w:ascii="宋体" w:hAnsi="宋体" w:eastAsia="宋体" w:cs="宋体"/>
          <w:spacing w:val="6"/>
          <w:position w:val="2"/>
          <w:sz w:val="21"/>
          <w:szCs w:val="21"/>
        </w:rPr>
      </w:pPr>
      <w:r>
        <w:rPr>
          <w:rFonts w:hint="eastAsia" w:ascii="宋体" w:hAnsi="宋体" w:eastAsia="宋体" w:cs="宋体"/>
          <w:spacing w:val="7"/>
          <w:position w:val="2"/>
          <w:sz w:val="21"/>
          <w:szCs w:val="21"/>
        </w:rPr>
        <w:t>（</w:t>
      </w:r>
      <w:r>
        <w:rPr>
          <w:rFonts w:hint="eastAsia" w:ascii="宋体" w:hAnsi="宋体" w:eastAsia="宋体" w:cs="宋体"/>
          <w:spacing w:val="7"/>
          <w:position w:val="2"/>
          <w:sz w:val="21"/>
          <w:szCs w:val="21"/>
          <w:lang w:val="en-US" w:eastAsia="zh-CN"/>
        </w:rPr>
        <w:t>3</w:t>
      </w:r>
      <w:r>
        <w:rPr>
          <w:rFonts w:hint="eastAsia" w:ascii="宋体" w:hAnsi="宋体" w:eastAsia="宋体" w:cs="宋体"/>
          <w:spacing w:val="7"/>
          <w:position w:val="2"/>
          <w:sz w:val="21"/>
          <w:szCs w:val="21"/>
        </w:rPr>
        <w:t>）</w:t>
      </w:r>
      <w:r>
        <w:rPr>
          <w:rFonts w:hint="eastAsia" w:ascii="宋体" w:hAnsi="宋体" w:eastAsia="宋体" w:cs="宋体"/>
          <w:spacing w:val="-46"/>
          <w:position w:val="2"/>
          <w:sz w:val="21"/>
          <w:szCs w:val="21"/>
        </w:rPr>
        <w:t xml:space="preserve"> </w:t>
      </w:r>
      <w:r>
        <w:rPr>
          <w:rFonts w:hint="eastAsia" w:ascii="宋体" w:hAnsi="宋体" w:eastAsia="宋体" w:cs="宋体"/>
          <w:spacing w:val="7"/>
          <w:position w:val="2"/>
          <w:sz w:val="21"/>
          <w:szCs w:val="21"/>
        </w:rPr>
        <w:t>日常巡查频率满足《公路养护技术标</w:t>
      </w:r>
      <w:r>
        <w:rPr>
          <w:rFonts w:hint="eastAsia" w:ascii="宋体" w:hAnsi="宋体" w:eastAsia="宋体" w:cs="宋体"/>
          <w:spacing w:val="6"/>
          <w:position w:val="2"/>
          <w:sz w:val="21"/>
          <w:szCs w:val="21"/>
        </w:rPr>
        <w:t>准》（</w:t>
      </w:r>
      <w:r>
        <w:rPr>
          <w:rFonts w:hint="eastAsia" w:ascii="宋体" w:hAnsi="宋体" w:eastAsia="宋体" w:cs="宋体"/>
          <w:position w:val="2"/>
          <w:sz w:val="21"/>
          <w:szCs w:val="21"/>
        </w:rPr>
        <w:t>JTG</w:t>
      </w:r>
      <w:r>
        <w:rPr>
          <w:rFonts w:hint="eastAsia" w:ascii="宋体" w:hAnsi="宋体" w:eastAsia="宋体" w:cs="宋体"/>
          <w:spacing w:val="6"/>
          <w:position w:val="2"/>
          <w:sz w:val="21"/>
          <w:szCs w:val="21"/>
        </w:rPr>
        <w:t>5110-2023)相关规定</w:t>
      </w:r>
    </w:p>
    <w:p w14:paraId="3C651219">
      <w:pPr>
        <w:spacing w:line="360" w:lineRule="auto"/>
        <w:jc w:val="center"/>
        <w:rPr>
          <w:rFonts w:hint="eastAsia" w:ascii="宋体" w:hAnsi="宋体" w:eastAsia="宋体" w:cs="宋体"/>
          <w:sz w:val="21"/>
          <w:szCs w:val="21"/>
        </w:rPr>
      </w:pPr>
      <w:r>
        <w:rPr>
          <w:rFonts w:hint="eastAsia" w:ascii="宋体" w:hAnsi="宋体" w:eastAsia="宋体" w:cs="宋体"/>
          <w:b/>
          <w:bCs/>
          <w:spacing w:val="-21"/>
          <w:sz w:val="21"/>
          <w:szCs w:val="21"/>
        </w:rPr>
        <w:t>表4.2.1</w:t>
      </w:r>
      <w:r>
        <w:rPr>
          <w:rFonts w:hint="eastAsia" w:ascii="宋体" w:hAnsi="宋体" w:eastAsia="宋体" w:cs="宋体"/>
          <w:spacing w:val="-30"/>
          <w:sz w:val="21"/>
          <w:szCs w:val="21"/>
        </w:rPr>
        <w:t xml:space="preserve"> </w:t>
      </w:r>
      <w:r>
        <w:rPr>
          <w:rFonts w:hint="eastAsia" w:ascii="宋体" w:hAnsi="宋体" w:eastAsia="宋体" w:cs="宋体"/>
          <w:b/>
          <w:bCs/>
          <w:spacing w:val="-21"/>
          <w:sz w:val="21"/>
          <w:szCs w:val="21"/>
        </w:rPr>
        <w:t>路基、路面、交通工程及沿线设施</w:t>
      </w:r>
      <w:r>
        <w:rPr>
          <w:rFonts w:hint="eastAsia" w:ascii="宋体" w:hAnsi="宋体" w:eastAsia="宋体" w:cs="宋体"/>
          <w:b/>
          <w:bCs/>
          <w:spacing w:val="-22"/>
          <w:sz w:val="21"/>
          <w:szCs w:val="21"/>
        </w:rPr>
        <w:t>养护检查等级划分标准</w:t>
      </w:r>
    </w:p>
    <w:tbl>
      <w:tblPr>
        <w:tblStyle w:val="25"/>
        <w:tblW w:w="7975"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78"/>
        <w:gridCol w:w="2290"/>
        <w:gridCol w:w="1896"/>
        <w:gridCol w:w="2211"/>
      </w:tblGrid>
      <w:tr w14:paraId="75F59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trPr>
        <w:tc>
          <w:tcPr>
            <w:tcW w:w="1578" w:type="dxa"/>
            <w:tcBorders>
              <w:top w:val="single" w:color="000000" w:sz="4" w:space="0"/>
              <w:left w:val="single" w:color="000000" w:sz="4" w:space="0"/>
              <w:bottom w:val="single" w:color="000000" w:sz="4" w:space="0"/>
              <w:right w:val="single" w:color="000000" w:sz="4" w:space="0"/>
            </w:tcBorders>
          </w:tcPr>
          <w:p w14:paraId="0E14F7C8">
            <w:pPr>
              <w:pStyle w:val="29"/>
              <w:tabs>
                <w:tab w:val="left" w:pos="0"/>
              </w:tabs>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pacing w:val="-2"/>
                <w:sz w:val="21"/>
                <w:szCs w:val="21"/>
              </w:rPr>
              <w:t>养护检查等级</w:t>
            </w:r>
          </w:p>
        </w:tc>
        <w:tc>
          <w:tcPr>
            <w:tcW w:w="2290" w:type="dxa"/>
            <w:tcBorders>
              <w:top w:val="single" w:color="000000" w:sz="4" w:space="0"/>
              <w:left w:val="single" w:color="000000" w:sz="4" w:space="0"/>
              <w:bottom w:val="single" w:color="000000" w:sz="4" w:space="0"/>
              <w:right w:val="single" w:color="000000" w:sz="4" w:space="0"/>
            </w:tcBorders>
          </w:tcPr>
          <w:p w14:paraId="71E9C206">
            <w:pPr>
              <w:pStyle w:val="29"/>
              <w:tabs>
                <w:tab w:val="left" w:pos="0"/>
              </w:tabs>
              <w:snapToGrid w:val="0"/>
              <w:spacing w:line="360" w:lineRule="auto"/>
              <w:ind w:left="1002"/>
              <w:rPr>
                <w:rFonts w:hint="eastAsia" w:ascii="宋体" w:hAnsi="宋体" w:eastAsia="宋体" w:cs="宋体"/>
                <w:color w:val="000000"/>
                <w:sz w:val="21"/>
                <w:szCs w:val="21"/>
              </w:rPr>
            </w:pPr>
            <w:r>
              <w:rPr>
                <w:rFonts w:hint="eastAsia" w:ascii="宋体" w:hAnsi="宋体" w:eastAsia="宋体" w:cs="宋体"/>
                <w:color w:val="000000"/>
                <w:spacing w:val="5"/>
                <w:sz w:val="21"/>
                <w:szCs w:val="21"/>
              </w:rPr>
              <w:t>I级</w:t>
            </w:r>
          </w:p>
        </w:tc>
        <w:tc>
          <w:tcPr>
            <w:tcW w:w="1896" w:type="dxa"/>
            <w:tcBorders>
              <w:top w:val="single" w:color="000000" w:sz="4" w:space="0"/>
              <w:left w:val="single" w:color="000000" w:sz="4" w:space="0"/>
              <w:bottom w:val="single" w:color="000000" w:sz="4" w:space="0"/>
              <w:right w:val="single" w:color="000000" w:sz="4" w:space="0"/>
            </w:tcBorders>
          </w:tcPr>
          <w:p w14:paraId="12B3C560">
            <w:pPr>
              <w:pStyle w:val="29"/>
              <w:tabs>
                <w:tab w:val="left" w:pos="0"/>
              </w:tabs>
              <w:snapToGrid w:val="0"/>
              <w:spacing w:line="360" w:lineRule="auto"/>
              <w:ind w:left="973"/>
              <w:rPr>
                <w:rFonts w:hint="eastAsia" w:ascii="宋体" w:hAnsi="宋体" w:eastAsia="宋体" w:cs="宋体"/>
                <w:color w:val="000000"/>
                <w:sz w:val="21"/>
                <w:szCs w:val="21"/>
              </w:rPr>
            </w:pPr>
            <w:r>
              <w:rPr>
                <w:rFonts w:hint="eastAsia" w:ascii="宋体" w:hAnsi="宋体" w:eastAsia="宋体" w:cs="宋体"/>
                <w:color w:val="000000"/>
                <w:spacing w:val="-19"/>
                <w:sz w:val="21"/>
                <w:szCs w:val="21"/>
              </w:rPr>
              <w:t>Ⅱ</w:t>
            </w:r>
            <w:r>
              <w:rPr>
                <w:rFonts w:hint="eastAsia" w:ascii="宋体" w:hAnsi="宋体" w:eastAsia="宋体" w:cs="宋体"/>
                <w:color w:val="000000"/>
                <w:spacing w:val="-31"/>
                <w:sz w:val="21"/>
                <w:szCs w:val="21"/>
              </w:rPr>
              <w:t xml:space="preserve"> </w:t>
            </w:r>
            <w:r>
              <w:rPr>
                <w:rFonts w:hint="eastAsia" w:ascii="宋体" w:hAnsi="宋体" w:eastAsia="宋体" w:cs="宋体"/>
                <w:color w:val="000000"/>
                <w:spacing w:val="-19"/>
                <w:sz w:val="21"/>
                <w:szCs w:val="21"/>
              </w:rPr>
              <w:t>级</w:t>
            </w:r>
          </w:p>
        </w:tc>
        <w:tc>
          <w:tcPr>
            <w:tcW w:w="2211" w:type="dxa"/>
            <w:tcBorders>
              <w:top w:val="single" w:color="000000" w:sz="4" w:space="0"/>
              <w:left w:val="single" w:color="000000" w:sz="4" w:space="0"/>
              <w:bottom w:val="single" w:color="000000" w:sz="4" w:space="0"/>
              <w:right w:val="single" w:color="000000" w:sz="4" w:space="0"/>
            </w:tcBorders>
          </w:tcPr>
          <w:p w14:paraId="0AF91429">
            <w:pPr>
              <w:pStyle w:val="29"/>
              <w:tabs>
                <w:tab w:val="left" w:pos="0"/>
              </w:tabs>
              <w:snapToGrid w:val="0"/>
              <w:spacing w:line="360" w:lineRule="auto"/>
              <w:ind w:left="966"/>
              <w:rPr>
                <w:rFonts w:hint="eastAsia" w:ascii="宋体" w:hAnsi="宋体" w:eastAsia="宋体" w:cs="宋体"/>
                <w:color w:val="000000"/>
                <w:sz w:val="21"/>
                <w:szCs w:val="21"/>
              </w:rPr>
            </w:pPr>
            <w:r>
              <w:rPr>
                <w:rFonts w:hint="eastAsia" w:ascii="宋体" w:hAnsi="宋体" w:eastAsia="宋体" w:cs="宋体"/>
                <w:color w:val="000000"/>
                <w:spacing w:val="-2"/>
                <w:sz w:val="21"/>
                <w:szCs w:val="21"/>
              </w:rPr>
              <w:t>Ⅲ级</w:t>
            </w:r>
          </w:p>
        </w:tc>
      </w:tr>
      <w:tr w14:paraId="1832A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trPr>
        <w:tc>
          <w:tcPr>
            <w:tcW w:w="1578" w:type="dxa"/>
            <w:tcBorders>
              <w:top w:val="single" w:color="000000" w:sz="4" w:space="0"/>
              <w:left w:val="single" w:color="000000" w:sz="4" w:space="0"/>
              <w:bottom w:val="single" w:color="000000" w:sz="4" w:space="0"/>
              <w:right w:val="single" w:color="000000" w:sz="4" w:space="0"/>
            </w:tcBorders>
          </w:tcPr>
          <w:p w14:paraId="6EA16CA9">
            <w:pPr>
              <w:pStyle w:val="29"/>
              <w:tabs>
                <w:tab w:val="left" w:pos="0"/>
              </w:tabs>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pacing w:val="1"/>
                <w:sz w:val="21"/>
                <w:szCs w:val="21"/>
              </w:rPr>
              <w:t>公路技术等级</w:t>
            </w:r>
          </w:p>
        </w:tc>
        <w:tc>
          <w:tcPr>
            <w:tcW w:w="2290" w:type="dxa"/>
            <w:tcBorders>
              <w:top w:val="single" w:color="000000" w:sz="4" w:space="0"/>
              <w:left w:val="single" w:color="000000" w:sz="4" w:space="0"/>
              <w:bottom w:val="single" w:color="000000" w:sz="4" w:space="0"/>
              <w:right w:val="single" w:color="000000" w:sz="4" w:space="0"/>
            </w:tcBorders>
          </w:tcPr>
          <w:p w14:paraId="1A4758E3">
            <w:pPr>
              <w:pStyle w:val="29"/>
              <w:tabs>
                <w:tab w:val="left" w:pos="0"/>
              </w:tabs>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pacing w:val="-2"/>
                <w:sz w:val="21"/>
                <w:szCs w:val="21"/>
              </w:rPr>
              <w:t>高速公路、一级公路</w:t>
            </w:r>
          </w:p>
        </w:tc>
        <w:tc>
          <w:tcPr>
            <w:tcW w:w="1896" w:type="dxa"/>
            <w:tcBorders>
              <w:top w:val="single" w:color="000000" w:sz="4" w:space="0"/>
              <w:left w:val="single" w:color="000000" w:sz="4" w:space="0"/>
              <w:bottom w:val="single" w:color="000000" w:sz="4" w:space="0"/>
              <w:right w:val="single" w:color="000000" w:sz="4" w:space="0"/>
            </w:tcBorders>
          </w:tcPr>
          <w:p w14:paraId="48C55BDE">
            <w:pPr>
              <w:pStyle w:val="29"/>
              <w:tabs>
                <w:tab w:val="left" w:pos="0"/>
              </w:tabs>
              <w:snapToGrid w:val="0"/>
              <w:spacing w:line="360" w:lineRule="auto"/>
              <w:ind w:left="794"/>
              <w:rPr>
                <w:rFonts w:hint="eastAsia" w:ascii="宋体" w:hAnsi="宋体" w:eastAsia="宋体" w:cs="宋体"/>
                <w:color w:val="000000"/>
                <w:sz w:val="21"/>
                <w:szCs w:val="21"/>
              </w:rPr>
            </w:pPr>
            <w:r>
              <w:rPr>
                <w:rFonts w:hint="eastAsia" w:ascii="宋体" w:hAnsi="宋体" w:eastAsia="宋体" w:cs="宋体"/>
                <w:color w:val="000000"/>
                <w:spacing w:val="-2"/>
                <w:sz w:val="21"/>
                <w:szCs w:val="21"/>
              </w:rPr>
              <w:t>二级公路</w:t>
            </w:r>
          </w:p>
        </w:tc>
        <w:tc>
          <w:tcPr>
            <w:tcW w:w="2211" w:type="dxa"/>
            <w:tcBorders>
              <w:top w:val="single" w:color="000000" w:sz="4" w:space="0"/>
              <w:left w:val="single" w:color="000000" w:sz="4" w:space="0"/>
              <w:bottom w:val="single" w:color="000000" w:sz="4" w:space="0"/>
              <w:right w:val="single" w:color="000000" w:sz="4" w:space="0"/>
            </w:tcBorders>
          </w:tcPr>
          <w:p w14:paraId="46A1AB76">
            <w:pPr>
              <w:pStyle w:val="29"/>
              <w:tabs>
                <w:tab w:val="left" w:pos="0"/>
              </w:tabs>
              <w:snapToGrid w:val="0"/>
              <w:spacing w:line="360" w:lineRule="auto"/>
              <w:ind w:left="607"/>
              <w:rPr>
                <w:rFonts w:hint="eastAsia" w:ascii="宋体" w:hAnsi="宋体" w:eastAsia="宋体" w:cs="宋体"/>
                <w:color w:val="000000"/>
                <w:sz w:val="21"/>
                <w:szCs w:val="21"/>
              </w:rPr>
            </w:pPr>
            <w:r>
              <w:rPr>
                <w:rFonts w:hint="eastAsia" w:ascii="宋体" w:hAnsi="宋体" w:eastAsia="宋体" w:cs="宋体"/>
                <w:color w:val="000000"/>
                <w:spacing w:val="-1"/>
                <w:sz w:val="21"/>
                <w:szCs w:val="21"/>
              </w:rPr>
              <w:t>三、四级公路</w:t>
            </w:r>
          </w:p>
        </w:tc>
      </w:tr>
    </w:tbl>
    <w:p w14:paraId="6FF5F66B">
      <w:pPr>
        <w:spacing w:line="360" w:lineRule="auto"/>
        <w:jc w:val="center"/>
        <w:rPr>
          <w:rFonts w:hint="eastAsia" w:ascii="宋体" w:hAnsi="宋体" w:eastAsia="宋体" w:cs="宋体"/>
          <w:sz w:val="21"/>
          <w:szCs w:val="21"/>
        </w:rPr>
      </w:pPr>
      <w:r>
        <w:rPr>
          <w:rFonts w:hint="eastAsia" w:ascii="宋体" w:hAnsi="宋体" w:eastAsia="宋体" w:cs="宋体"/>
          <w:b/>
          <w:bCs/>
          <w:spacing w:val="4"/>
          <w:sz w:val="21"/>
          <w:szCs w:val="21"/>
        </w:rPr>
        <w:t>表4.2.2</w:t>
      </w:r>
      <w:r>
        <w:rPr>
          <w:rFonts w:hint="eastAsia" w:ascii="宋体" w:hAnsi="宋体" w:eastAsia="宋体" w:cs="宋体"/>
          <w:spacing w:val="-16"/>
          <w:sz w:val="21"/>
          <w:szCs w:val="21"/>
        </w:rPr>
        <w:t xml:space="preserve"> </w:t>
      </w:r>
      <w:r>
        <w:rPr>
          <w:rFonts w:hint="eastAsia" w:ascii="宋体" w:hAnsi="宋体" w:eastAsia="宋体" w:cs="宋体"/>
          <w:b/>
          <w:bCs/>
          <w:spacing w:val="4"/>
          <w:sz w:val="21"/>
          <w:szCs w:val="21"/>
        </w:rPr>
        <w:t>桥涵养护检查等级划分标准</w:t>
      </w:r>
    </w:p>
    <w:tbl>
      <w:tblPr>
        <w:tblStyle w:val="25"/>
        <w:tblW w:w="7975"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760"/>
        <w:gridCol w:w="2282"/>
        <w:gridCol w:w="2658"/>
        <w:gridCol w:w="1275"/>
      </w:tblGrid>
      <w:tr w14:paraId="7E08C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trPr>
        <w:tc>
          <w:tcPr>
            <w:tcW w:w="1761" w:type="dxa"/>
            <w:tcBorders>
              <w:top w:val="single" w:color="000000" w:sz="4" w:space="0"/>
              <w:left w:val="single" w:color="000000" w:sz="4" w:space="0"/>
              <w:bottom w:val="single" w:color="000000" w:sz="4" w:space="0"/>
              <w:right w:val="single" w:color="000000" w:sz="4" w:space="0"/>
            </w:tcBorders>
            <w:vAlign w:val="center"/>
          </w:tcPr>
          <w:p w14:paraId="4466C644">
            <w:pPr>
              <w:pStyle w:val="29"/>
              <w:tabs>
                <w:tab w:val="left" w:pos="0"/>
              </w:tabs>
              <w:snapToGrid w:val="0"/>
              <w:spacing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color w:val="000000"/>
                <w:spacing w:val="-2"/>
                <w:sz w:val="21"/>
                <w:szCs w:val="21"/>
              </w:rPr>
              <w:t>养护检查等级</w:t>
            </w:r>
          </w:p>
        </w:tc>
        <w:tc>
          <w:tcPr>
            <w:tcW w:w="2282" w:type="dxa"/>
            <w:tcBorders>
              <w:top w:val="single" w:color="000000" w:sz="4" w:space="0"/>
              <w:left w:val="single" w:color="000000" w:sz="4" w:space="0"/>
              <w:bottom w:val="single" w:color="000000" w:sz="4" w:space="0"/>
              <w:right w:val="single" w:color="000000" w:sz="4" w:space="0"/>
            </w:tcBorders>
            <w:vAlign w:val="center"/>
          </w:tcPr>
          <w:p w14:paraId="3FE930F8">
            <w:pPr>
              <w:pStyle w:val="29"/>
              <w:tabs>
                <w:tab w:val="left" w:pos="0"/>
              </w:tabs>
              <w:snapToGrid w:val="0"/>
              <w:spacing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color w:val="000000"/>
                <w:spacing w:val="8"/>
                <w:sz w:val="21"/>
                <w:szCs w:val="21"/>
              </w:rPr>
              <w:t>I级</w:t>
            </w:r>
          </w:p>
        </w:tc>
        <w:tc>
          <w:tcPr>
            <w:tcW w:w="2658" w:type="dxa"/>
            <w:tcBorders>
              <w:top w:val="single" w:color="000000" w:sz="4" w:space="0"/>
              <w:left w:val="single" w:color="000000" w:sz="4" w:space="0"/>
              <w:bottom w:val="single" w:color="000000" w:sz="4" w:space="0"/>
              <w:right w:val="single" w:color="000000" w:sz="4" w:space="0"/>
            </w:tcBorders>
            <w:vAlign w:val="center"/>
          </w:tcPr>
          <w:p w14:paraId="2B534ADC">
            <w:pPr>
              <w:pStyle w:val="29"/>
              <w:tabs>
                <w:tab w:val="left" w:pos="0"/>
              </w:tabs>
              <w:snapToGrid w:val="0"/>
              <w:spacing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color w:val="000000"/>
                <w:spacing w:val="-21"/>
                <w:sz w:val="21"/>
                <w:szCs w:val="21"/>
              </w:rPr>
              <w:t>Ⅱ级</w:t>
            </w:r>
          </w:p>
        </w:tc>
        <w:tc>
          <w:tcPr>
            <w:tcW w:w="1275" w:type="dxa"/>
            <w:tcBorders>
              <w:top w:val="single" w:color="000000" w:sz="4" w:space="0"/>
              <w:left w:val="single" w:color="000000" w:sz="4" w:space="0"/>
              <w:bottom w:val="single" w:color="000000" w:sz="4" w:space="0"/>
              <w:right w:val="single" w:color="000000" w:sz="4" w:space="0"/>
            </w:tcBorders>
            <w:vAlign w:val="center"/>
          </w:tcPr>
          <w:p w14:paraId="2BEC2E4F">
            <w:pPr>
              <w:pStyle w:val="29"/>
              <w:tabs>
                <w:tab w:val="left" w:pos="0"/>
              </w:tabs>
              <w:snapToGrid w:val="0"/>
              <w:spacing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color w:val="000000"/>
                <w:spacing w:val="-2"/>
                <w:sz w:val="21"/>
                <w:szCs w:val="21"/>
              </w:rPr>
              <w:t>Ⅲ级</w:t>
            </w:r>
          </w:p>
        </w:tc>
      </w:tr>
      <w:tr w14:paraId="16DDA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761" w:type="dxa"/>
            <w:tcBorders>
              <w:top w:val="single" w:color="000000" w:sz="4" w:space="0"/>
              <w:left w:val="single" w:color="000000" w:sz="4" w:space="0"/>
              <w:bottom w:val="single" w:color="000000" w:sz="4" w:space="0"/>
              <w:right w:val="single" w:color="000000" w:sz="4" w:space="0"/>
            </w:tcBorders>
            <w:vAlign w:val="center"/>
          </w:tcPr>
          <w:p w14:paraId="33755518">
            <w:pPr>
              <w:pStyle w:val="29"/>
              <w:tabs>
                <w:tab w:val="left" w:pos="0"/>
              </w:tabs>
              <w:snapToGrid w:val="0"/>
              <w:spacing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color w:val="000000"/>
                <w:spacing w:val="1"/>
                <w:sz w:val="21"/>
                <w:szCs w:val="21"/>
              </w:rPr>
              <w:t>高速公路，</w:t>
            </w:r>
            <w:r>
              <w:rPr>
                <w:rFonts w:hint="eastAsia" w:ascii="宋体" w:hAnsi="宋体" w:eastAsia="宋体" w:cs="宋体"/>
                <w:color w:val="000000"/>
                <w:sz w:val="21"/>
                <w:szCs w:val="21"/>
              </w:rPr>
              <w:t xml:space="preserve"> </w:t>
            </w:r>
            <w:r>
              <w:rPr>
                <w:rFonts w:hint="eastAsia" w:ascii="宋体" w:hAnsi="宋体" w:eastAsia="宋体" w:cs="宋体"/>
                <w:color w:val="000000"/>
                <w:spacing w:val="-3"/>
                <w:sz w:val="21"/>
                <w:szCs w:val="21"/>
              </w:rPr>
              <w:t>一、二级公路</w:t>
            </w:r>
          </w:p>
        </w:tc>
        <w:tc>
          <w:tcPr>
            <w:tcW w:w="2282" w:type="dxa"/>
            <w:tcBorders>
              <w:top w:val="single" w:color="000000" w:sz="4" w:space="0"/>
              <w:left w:val="single" w:color="000000" w:sz="4" w:space="0"/>
              <w:bottom w:val="single" w:color="000000" w:sz="4" w:space="0"/>
              <w:right w:val="single" w:color="000000" w:sz="4" w:space="0"/>
            </w:tcBorders>
            <w:vAlign w:val="center"/>
          </w:tcPr>
          <w:p w14:paraId="0DD831A3">
            <w:pPr>
              <w:pStyle w:val="29"/>
              <w:tabs>
                <w:tab w:val="left" w:pos="0"/>
              </w:tabs>
              <w:snapToGrid w:val="0"/>
              <w:spacing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pacing w:val="-1"/>
                <w:sz w:val="21"/>
                <w:szCs w:val="21"/>
              </w:rPr>
              <w:t>Lk&gt;150m的特大桥，</w:t>
            </w:r>
            <w:r>
              <w:rPr>
                <w:rFonts w:hint="eastAsia" w:ascii="宋体" w:hAnsi="宋体" w:eastAsia="宋体" w:cs="宋体"/>
                <w:color w:val="000000"/>
                <w:spacing w:val="10"/>
                <w:sz w:val="21"/>
                <w:szCs w:val="21"/>
              </w:rPr>
              <w:t xml:space="preserve"> </w:t>
            </w:r>
            <w:r>
              <w:rPr>
                <w:rFonts w:hint="eastAsia" w:ascii="宋体" w:hAnsi="宋体" w:eastAsia="宋体" w:cs="宋体"/>
                <w:color w:val="000000"/>
                <w:spacing w:val="-2"/>
                <w:sz w:val="21"/>
                <w:szCs w:val="21"/>
              </w:rPr>
              <w:t>特殊结构桥梁</w:t>
            </w:r>
          </w:p>
        </w:tc>
        <w:tc>
          <w:tcPr>
            <w:tcW w:w="2658" w:type="dxa"/>
            <w:tcBorders>
              <w:top w:val="single" w:color="000000" w:sz="4" w:space="0"/>
              <w:left w:val="single" w:color="000000" w:sz="4" w:space="0"/>
              <w:bottom w:val="single" w:color="000000" w:sz="4" w:space="0"/>
              <w:right w:val="single" w:color="000000" w:sz="4" w:space="0"/>
            </w:tcBorders>
            <w:vAlign w:val="center"/>
          </w:tcPr>
          <w:p w14:paraId="2F15B027">
            <w:pPr>
              <w:pStyle w:val="29"/>
              <w:tabs>
                <w:tab w:val="left" w:pos="0"/>
              </w:tabs>
              <w:snapToGrid w:val="0"/>
              <w:spacing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color w:val="000000"/>
                <w:spacing w:val="-1"/>
                <w:sz w:val="21"/>
                <w:szCs w:val="21"/>
              </w:rPr>
              <w:t>L≤150m的特大桥，</w:t>
            </w:r>
            <w:r>
              <w:rPr>
                <w:rFonts w:hint="eastAsia" w:ascii="宋体" w:hAnsi="宋体" w:eastAsia="宋体" w:cs="宋体"/>
                <w:color w:val="000000"/>
                <w:spacing w:val="9"/>
                <w:sz w:val="21"/>
                <w:szCs w:val="21"/>
              </w:rPr>
              <w:t xml:space="preserve"> </w:t>
            </w:r>
            <w:r>
              <w:rPr>
                <w:rFonts w:hint="eastAsia" w:ascii="宋体" w:hAnsi="宋体" w:eastAsia="宋体" w:cs="宋体"/>
                <w:color w:val="000000"/>
                <w:spacing w:val="-2"/>
                <w:sz w:val="21"/>
                <w:szCs w:val="21"/>
              </w:rPr>
              <w:t>大桥、中桥、小桥</w:t>
            </w:r>
          </w:p>
        </w:tc>
        <w:tc>
          <w:tcPr>
            <w:tcW w:w="1275" w:type="dxa"/>
            <w:tcBorders>
              <w:top w:val="single" w:color="000000" w:sz="4" w:space="0"/>
              <w:left w:val="single" w:color="000000" w:sz="4" w:space="0"/>
              <w:bottom w:val="single" w:color="000000" w:sz="4" w:space="0"/>
              <w:right w:val="single" w:color="000000" w:sz="4" w:space="0"/>
            </w:tcBorders>
            <w:vAlign w:val="center"/>
          </w:tcPr>
          <w:p w14:paraId="46315545">
            <w:pPr>
              <w:pStyle w:val="29"/>
              <w:tabs>
                <w:tab w:val="left" w:pos="0"/>
              </w:tabs>
              <w:snapToGrid w:val="0"/>
              <w:spacing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pacing w:val="7"/>
                <w:sz w:val="21"/>
                <w:szCs w:val="21"/>
              </w:rPr>
              <w:t>涵洞</w:t>
            </w:r>
          </w:p>
        </w:tc>
      </w:tr>
      <w:tr w14:paraId="15634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761" w:type="dxa"/>
            <w:tcBorders>
              <w:top w:val="single" w:color="000000" w:sz="4" w:space="0"/>
              <w:left w:val="single" w:color="000000" w:sz="4" w:space="0"/>
              <w:bottom w:val="single" w:color="000000" w:sz="4" w:space="0"/>
              <w:right w:val="single" w:color="000000" w:sz="4" w:space="0"/>
            </w:tcBorders>
            <w:vAlign w:val="center"/>
          </w:tcPr>
          <w:p w14:paraId="76358C15">
            <w:pPr>
              <w:pStyle w:val="29"/>
              <w:tabs>
                <w:tab w:val="left" w:pos="0"/>
              </w:tabs>
              <w:snapToGrid w:val="0"/>
              <w:spacing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color w:val="000000"/>
                <w:spacing w:val="-2"/>
                <w:sz w:val="21"/>
                <w:szCs w:val="21"/>
              </w:rPr>
              <w:t>三、四级公路</w:t>
            </w:r>
          </w:p>
        </w:tc>
        <w:tc>
          <w:tcPr>
            <w:tcW w:w="2282" w:type="dxa"/>
            <w:tcBorders>
              <w:top w:val="single" w:color="000000" w:sz="4" w:space="0"/>
              <w:left w:val="single" w:color="000000" w:sz="4" w:space="0"/>
              <w:bottom w:val="single" w:color="000000" w:sz="4" w:space="0"/>
              <w:right w:val="single" w:color="000000" w:sz="4" w:space="0"/>
            </w:tcBorders>
            <w:vAlign w:val="center"/>
          </w:tcPr>
          <w:p w14:paraId="640969A3">
            <w:pPr>
              <w:pStyle w:val="29"/>
              <w:tabs>
                <w:tab w:val="left" w:pos="0"/>
              </w:tabs>
              <w:snapToGrid w:val="0"/>
              <w:spacing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pacing w:val="-1"/>
                <w:sz w:val="21"/>
                <w:szCs w:val="21"/>
              </w:rPr>
              <w:t>Lk&gt;150m的特大桥，</w:t>
            </w:r>
            <w:r>
              <w:rPr>
                <w:rFonts w:hint="eastAsia" w:ascii="宋体" w:hAnsi="宋体" w:eastAsia="宋体" w:cs="宋体"/>
                <w:color w:val="000000"/>
                <w:spacing w:val="10"/>
                <w:sz w:val="21"/>
                <w:szCs w:val="21"/>
              </w:rPr>
              <w:t xml:space="preserve"> </w:t>
            </w:r>
            <w:r>
              <w:rPr>
                <w:rFonts w:hint="eastAsia" w:ascii="宋体" w:hAnsi="宋体" w:eastAsia="宋体" w:cs="宋体"/>
                <w:color w:val="000000"/>
                <w:spacing w:val="-2"/>
                <w:sz w:val="21"/>
                <w:szCs w:val="21"/>
              </w:rPr>
              <w:t>特殊结构桥梁</w:t>
            </w:r>
          </w:p>
        </w:tc>
        <w:tc>
          <w:tcPr>
            <w:tcW w:w="2658" w:type="dxa"/>
            <w:tcBorders>
              <w:top w:val="single" w:color="000000" w:sz="4" w:space="0"/>
              <w:left w:val="single" w:color="000000" w:sz="4" w:space="0"/>
              <w:bottom w:val="single" w:color="000000" w:sz="4" w:space="0"/>
              <w:right w:val="single" w:color="000000" w:sz="4" w:space="0"/>
            </w:tcBorders>
            <w:vAlign w:val="center"/>
          </w:tcPr>
          <w:p w14:paraId="41FD2BF1">
            <w:pPr>
              <w:pStyle w:val="29"/>
              <w:tabs>
                <w:tab w:val="left" w:pos="0"/>
              </w:tabs>
              <w:snapToGrid w:val="0"/>
              <w:spacing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color w:val="000000"/>
                <w:spacing w:val="-1"/>
                <w:sz w:val="21"/>
                <w:szCs w:val="21"/>
              </w:rPr>
              <w:t>Lk≤150m的特大桥，大</w:t>
            </w:r>
            <w:r>
              <w:rPr>
                <w:rFonts w:hint="eastAsia" w:ascii="宋体" w:hAnsi="宋体" w:eastAsia="宋体" w:cs="宋体"/>
                <w:color w:val="000000"/>
                <w:spacing w:val="6"/>
                <w:sz w:val="21"/>
                <w:szCs w:val="21"/>
              </w:rPr>
              <w:t xml:space="preserve"> </w:t>
            </w:r>
            <w:r>
              <w:rPr>
                <w:rFonts w:hint="eastAsia" w:ascii="宋体" w:hAnsi="宋体" w:eastAsia="宋体" w:cs="宋体"/>
                <w:color w:val="000000"/>
                <w:sz w:val="21"/>
                <w:szCs w:val="21"/>
              </w:rPr>
              <w:t>桥</w:t>
            </w:r>
          </w:p>
        </w:tc>
        <w:tc>
          <w:tcPr>
            <w:tcW w:w="1275" w:type="dxa"/>
            <w:tcBorders>
              <w:top w:val="single" w:color="000000" w:sz="4" w:space="0"/>
              <w:left w:val="single" w:color="000000" w:sz="4" w:space="0"/>
              <w:bottom w:val="single" w:color="000000" w:sz="4" w:space="0"/>
              <w:right w:val="single" w:color="000000" w:sz="4" w:space="0"/>
            </w:tcBorders>
            <w:vAlign w:val="center"/>
          </w:tcPr>
          <w:p w14:paraId="0376BDDA">
            <w:pPr>
              <w:pStyle w:val="29"/>
              <w:tabs>
                <w:tab w:val="left" w:pos="0"/>
              </w:tabs>
              <w:snapToGrid w:val="0"/>
              <w:spacing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pacing w:val="1"/>
                <w:sz w:val="21"/>
                <w:szCs w:val="21"/>
              </w:rPr>
              <w:t>中桥、小桥、涵洞</w:t>
            </w:r>
          </w:p>
        </w:tc>
      </w:tr>
    </w:tbl>
    <w:p w14:paraId="534ADD17">
      <w:pPr>
        <w:spacing w:line="360" w:lineRule="auto"/>
        <w:jc w:val="center"/>
        <w:rPr>
          <w:rFonts w:hint="eastAsia" w:ascii="宋体" w:hAnsi="宋体" w:eastAsia="宋体" w:cs="宋体"/>
          <w:sz w:val="21"/>
          <w:szCs w:val="21"/>
        </w:rPr>
      </w:pPr>
      <w:r>
        <w:rPr>
          <w:rFonts w:hint="eastAsia" w:ascii="宋体" w:hAnsi="宋体" w:eastAsia="宋体" w:cs="宋体"/>
          <w:b/>
          <w:bCs/>
          <w:spacing w:val="4"/>
          <w:sz w:val="21"/>
          <w:szCs w:val="21"/>
        </w:rPr>
        <w:t>表4.2.3</w:t>
      </w:r>
      <w:r>
        <w:rPr>
          <w:rFonts w:hint="eastAsia" w:ascii="宋体" w:hAnsi="宋体" w:eastAsia="宋体" w:cs="宋体"/>
          <w:spacing w:val="4"/>
          <w:sz w:val="21"/>
          <w:szCs w:val="21"/>
        </w:rPr>
        <w:t xml:space="preserve"> </w:t>
      </w:r>
      <w:r>
        <w:rPr>
          <w:rFonts w:hint="eastAsia" w:ascii="宋体" w:hAnsi="宋体" w:eastAsia="宋体" w:cs="宋体"/>
          <w:b/>
          <w:bCs/>
          <w:spacing w:val="4"/>
          <w:sz w:val="21"/>
          <w:szCs w:val="21"/>
        </w:rPr>
        <w:t>隧道土建结构养护检查等级划分标准</w:t>
      </w:r>
    </w:p>
    <w:tbl>
      <w:tblPr>
        <w:tblStyle w:val="25"/>
        <w:tblW w:w="7975"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836"/>
        <w:gridCol w:w="2572"/>
        <w:gridCol w:w="1603"/>
        <w:gridCol w:w="964"/>
      </w:tblGrid>
      <w:tr w14:paraId="7E60E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trPr>
        <w:tc>
          <w:tcPr>
            <w:tcW w:w="2836" w:type="dxa"/>
            <w:tcBorders>
              <w:top w:val="single" w:color="000000" w:sz="4" w:space="0"/>
              <w:left w:val="single" w:color="000000" w:sz="4" w:space="0"/>
              <w:bottom w:val="single" w:color="000000" w:sz="4" w:space="0"/>
              <w:right w:val="single" w:color="000000" w:sz="4" w:space="0"/>
            </w:tcBorders>
            <w:vAlign w:val="center"/>
          </w:tcPr>
          <w:p w14:paraId="755D552C">
            <w:pPr>
              <w:pStyle w:val="29"/>
              <w:tabs>
                <w:tab w:val="left" w:pos="0"/>
              </w:tabs>
              <w:snapToGrid w:val="0"/>
              <w:spacing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color w:val="000000"/>
                <w:spacing w:val="2"/>
                <w:sz w:val="21"/>
                <w:szCs w:val="21"/>
              </w:rPr>
              <w:t>养护检查等级</w:t>
            </w:r>
          </w:p>
        </w:tc>
        <w:tc>
          <w:tcPr>
            <w:tcW w:w="2572" w:type="dxa"/>
            <w:tcBorders>
              <w:top w:val="single" w:color="000000" w:sz="4" w:space="0"/>
              <w:left w:val="single" w:color="000000" w:sz="4" w:space="0"/>
              <w:bottom w:val="single" w:color="000000" w:sz="4" w:space="0"/>
              <w:right w:val="single" w:color="000000" w:sz="4" w:space="0"/>
            </w:tcBorders>
            <w:vAlign w:val="center"/>
          </w:tcPr>
          <w:p w14:paraId="49703889">
            <w:pPr>
              <w:pStyle w:val="29"/>
              <w:tabs>
                <w:tab w:val="left" w:pos="0"/>
              </w:tabs>
              <w:snapToGrid w:val="0"/>
              <w:spacing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color w:val="000000"/>
                <w:spacing w:val="5"/>
                <w:sz w:val="21"/>
                <w:szCs w:val="21"/>
              </w:rPr>
              <w:t>I级</w:t>
            </w:r>
          </w:p>
        </w:tc>
        <w:tc>
          <w:tcPr>
            <w:tcW w:w="1603" w:type="dxa"/>
            <w:tcBorders>
              <w:top w:val="single" w:color="000000" w:sz="4" w:space="0"/>
              <w:left w:val="single" w:color="000000" w:sz="4" w:space="0"/>
              <w:bottom w:val="single" w:color="000000" w:sz="4" w:space="0"/>
              <w:right w:val="single" w:color="000000" w:sz="4" w:space="0"/>
            </w:tcBorders>
            <w:vAlign w:val="center"/>
          </w:tcPr>
          <w:p w14:paraId="0819BC6E">
            <w:pPr>
              <w:pStyle w:val="29"/>
              <w:tabs>
                <w:tab w:val="left" w:pos="0"/>
              </w:tabs>
              <w:snapToGrid w:val="0"/>
              <w:spacing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color w:val="000000"/>
                <w:spacing w:val="-19"/>
                <w:sz w:val="21"/>
                <w:szCs w:val="21"/>
              </w:rPr>
              <w:t>Ⅱ级</w:t>
            </w:r>
          </w:p>
        </w:tc>
        <w:tc>
          <w:tcPr>
            <w:tcW w:w="964" w:type="dxa"/>
            <w:tcBorders>
              <w:top w:val="single" w:color="000000" w:sz="4" w:space="0"/>
              <w:left w:val="single" w:color="000000" w:sz="4" w:space="0"/>
              <w:bottom w:val="single" w:color="000000" w:sz="4" w:space="0"/>
              <w:right w:val="single" w:color="000000" w:sz="4" w:space="0"/>
            </w:tcBorders>
            <w:vAlign w:val="center"/>
          </w:tcPr>
          <w:p w14:paraId="6FD9BD03">
            <w:pPr>
              <w:pStyle w:val="29"/>
              <w:tabs>
                <w:tab w:val="left" w:pos="0"/>
              </w:tabs>
              <w:snapToGrid w:val="0"/>
              <w:spacing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color w:val="000000"/>
                <w:spacing w:val="-2"/>
                <w:sz w:val="21"/>
                <w:szCs w:val="21"/>
              </w:rPr>
              <w:t>Ⅲ级</w:t>
            </w:r>
          </w:p>
        </w:tc>
      </w:tr>
      <w:tr w14:paraId="55CC9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836" w:type="dxa"/>
            <w:tcBorders>
              <w:top w:val="single" w:color="000000" w:sz="4" w:space="0"/>
              <w:left w:val="single" w:color="000000" w:sz="4" w:space="0"/>
              <w:bottom w:val="single" w:color="000000" w:sz="4" w:space="0"/>
              <w:right w:val="single" w:color="000000" w:sz="4" w:space="0"/>
            </w:tcBorders>
            <w:vAlign w:val="center"/>
          </w:tcPr>
          <w:p w14:paraId="65546CAC">
            <w:pPr>
              <w:pStyle w:val="29"/>
              <w:tabs>
                <w:tab w:val="left" w:pos="0"/>
              </w:tabs>
              <w:snapToGrid w:val="0"/>
              <w:spacing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color w:val="000000"/>
                <w:spacing w:val="-3"/>
                <w:sz w:val="21"/>
                <w:szCs w:val="21"/>
              </w:rPr>
              <w:t>高速公路、一级公路</w:t>
            </w:r>
          </w:p>
        </w:tc>
        <w:tc>
          <w:tcPr>
            <w:tcW w:w="2572" w:type="dxa"/>
            <w:tcBorders>
              <w:top w:val="single" w:color="000000" w:sz="4" w:space="0"/>
              <w:left w:val="single" w:color="000000" w:sz="4" w:space="0"/>
              <w:bottom w:val="single" w:color="000000" w:sz="4" w:space="0"/>
              <w:right w:val="single" w:color="000000" w:sz="4" w:space="0"/>
            </w:tcBorders>
            <w:vAlign w:val="center"/>
          </w:tcPr>
          <w:p w14:paraId="5502914D">
            <w:pPr>
              <w:pStyle w:val="29"/>
              <w:tabs>
                <w:tab w:val="left" w:pos="0"/>
              </w:tabs>
              <w:snapToGrid w:val="0"/>
              <w:spacing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color w:val="000000"/>
                <w:spacing w:val="-1"/>
                <w:sz w:val="21"/>
                <w:szCs w:val="21"/>
              </w:rPr>
              <w:t>特长、长、中隧道</w:t>
            </w:r>
          </w:p>
        </w:tc>
        <w:tc>
          <w:tcPr>
            <w:tcW w:w="1603" w:type="dxa"/>
            <w:tcBorders>
              <w:top w:val="single" w:color="000000" w:sz="4" w:space="0"/>
              <w:left w:val="single" w:color="000000" w:sz="4" w:space="0"/>
              <w:bottom w:val="single" w:color="000000" w:sz="4" w:space="0"/>
              <w:right w:val="single" w:color="000000" w:sz="4" w:space="0"/>
            </w:tcBorders>
            <w:vAlign w:val="center"/>
          </w:tcPr>
          <w:p w14:paraId="7EF46BC3">
            <w:pPr>
              <w:pStyle w:val="29"/>
              <w:tabs>
                <w:tab w:val="left" w:pos="0"/>
              </w:tabs>
              <w:snapToGrid w:val="0"/>
              <w:spacing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pacing w:val="-3"/>
                <w:sz w:val="21"/>
                <w:szCs w:val="21"/>
              </w:rPr>
              <w:t>短隧道</w:t>
            </w:r>
          </w:p>
        </w:tc>
        <w:tc>
          <w:tcPr>
            <w:tcW w:w="964" w:type="dxa"/>
            <w:tcBorders>
              <w:top w:val="single" w:color="000000" w:sz="4" w:space="0"/>
              <w:left w:val="single" w:color="000000" w:sz="4" w:space="0"/>
              <w:bottom w:val="single" w:color="000000" w:sz="4" w:space="0"/>
              <w:right w:val="single" w:color="000000" w:sz="4" w:space="0"/>
            </w:tcBorders>
            <w:vAlign w:val="center"/>
          </w:tcPr>
          <w:p w14:paraId="26E3460C">
            <w:pPr>
              <w:pStyle w:val="29"/>
              <w:tabs>
                <w:tab w:val="left" w:pos="0"/>
              </w:tabs>
              <w:snapToGrid w:val="0"/>
              <w:spacing w:line="240" w:lineRule="auto"/>
              <w:ind w:left="0" w:leftChars="0" w:right="0" w:rightChars="0" w:firstLine="0" w:firstLineChars="0"/>
              <w:jc w:val="center"/>
              <w:rPr>
                <w:rFonts w:hint="eastAsia" w:ascii="宋体" w:hAnsi="宋体" w:eastAsia="宋体" w:cs="宋体"/>
                <w:color w:val="000000"/>
                <w:sz w:val="21"/>
                <w:szCs w:val="21"/>
                <w:lang w:val="en-US" w:eastAsia="zh-CN"/>
              </w:rPr>
            </w:pPr>
            <w:r>
              <w:rPr>
                <w:rFonts w:hint="eastAsia" w:cs="宋体"/>
                <w:color w:val="000000"/>
                <w:sz w:val="21"/>
                <w:szCs w:val="21"/>
                <w:lang w:val="en-US" w:eastAsia="zh-CN"/>
              </w:rPr>
              <w:t>/</w:t>
            </w:r>
          </w:p>
        </w:tc>
      </w:tr>
      <w:tr w14:paraId="6F407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836" w:type="dxa"/>
            <w:tcBorders>
              <w:top w:val="single" w:color="000000" w:sz="4" w:space="0"/>
              <w:left w:val="single" w:color="000000" w:sz="4" w:space="0"/>
              <w:bottom w:val="single" w:color="000000" w:sz="4" w:space="0"/>
              <w:right w:val="single" w:color="000000" w:sz="4" w:space="0"/>
            </w:tcBorders>
            <w:vAlign w:val="center"/>
          </w:tcPr>
          <w:p w14:paraId="21B1DC93">
            <w:pPr>
              <w:pStyle w:val="29"/>
              <w:tabs>
                <w:tab w:val="left" w:pos="0"/>
              </w:tabs>
              <w:snapToGrid w:val="0"/>
              <w:spacing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color w:val="000000"/>
                <w:spacing w:val="-2"/>
                <w:sz w:val="21"/>
                <w:szCs w:val="21"/>
              </w:rPr>
              <w:t>二、三、四级公路</w:t>
            </w:r>
          </w:p>
        </w:tc>
        <w:tc>
          <w:tcPr>
            <w:tcW w:w="2572" w:type="dxa"/>
            <w:tcBorders>
              <w:top w:val="single" w:color="000000" w:sz="4" w:space="0"/>
              <w:left w:val="single" w:color="000000" w:sz="4" w:space="0"/>
              <w:bottom w:val="single" w:color="000000" w:sz="4" w:space="0"/>
              <w:right w:val="single" w:color="000000" w:sz="4" w:space="0"/>
            </w:tcBorders>
            <w:vAlign w:val="center"/>
          </w:tcPr>
          <w:p w14:paraId="157D76D2">
            <w:pPr>
              <w:pStyle w:val="29"/>
              <w:tabs>
                <w:tab w:val="left" w:pos="0"/>
              </w:tabs>
              <w:snapToGrid w:val="0"/>
              <w:spacing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color w:val="000000"/>
                <w:spacing w:val="-2"/>
                <w:sz w:val="21"/>
                <w:szCs w:val="21"/>
              </w:rPr>
              <w:t>特长隧道</w:t>
            </w:r>
          </w:p>
        </w:tc>
        <w:tc>
          <w:tcPr>
            <w:tcW w:w="1603" w:type="dxa"/>
            <w:tcBorders>
              <w:top w:val="single" w:color="000000" w:sz="4" w:space="0"/>
              <w:left w:val="single" w:color="000000" w:sz="4" w:space="0"/>
              <w:bottom w:val="single" w:color="000000" w:sz="4" w:space="0"/>
              <w:right w:val="single" w:color="000000" w:sz="4" w:space="0"/>
            </w:tcBorders>
            <w:vAlign w:val="center"/>
          </w:tcPr>
          <w:p w14:paraId="30244FEC">
            <w:pPr>
              <w:pStyle w:val="29"/>
              <w:tabs>
                <w:tab w:val="left" w:pos="0"/>
              </w:tabs>
              <w:snapToGrid w:val="0"/>
              <w:spacing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pacing w:val="-2"/>
                <w:sz w:val="21"/>
                <w:szCs w:val="21"/>
              </w:rPr>
              <w:t>长、中隧道</w:t>
            </w:r>
          </w:p>
        </w:tc>
        <w:tc>
          <w:tcPr>
            <w:tcW w:w="964" w:type="dxa"/>
            <w:tcBorders>
              <w:top w:val="single" w:color="000000" w:sz="4" w:space="0"/>
              <w:left w:val="single" w:color="000000" w:sz="4" w:space="0"/>
              <w:bottom w:val="single" w:color="000000" w:sz="4" w:space="0"/>
              <w:right w:val="single" w:color="000000" w:sz="4" w:space="0"/>
            </w:tcBorders>
            <w:vAlign w:val="center"/>
          </w:tcPr>
          <w:p w14:paraId="546B47A0">
            <w:pPr>
              <w:pStyle w:val="29"/>
              <w:tabs>
                <w:tab w:val="left" w:pos="0"/>
              </w:tabs>
              <w:snapToGrid w:val="0"/>
              <w:spacing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pacing w:val="-3"/>
                <w:sz w:val="21"/>
                <w:szCs w:val="21"/>
              </w:rPr>
              <w:t>短隧道</w:t>
            </w:r>
          </w:p>
        </w:tc>
      </w:tr>
    </w:tbl>
    <w:p w14:paraId="2BA86838">
      <w:pPr>
        <w:spacing w:line="360" w:lineRule="auto"/>
        <w:ind w:left="243" w:firstLine="482"/>
        <w:rPr>
          <w:rFonts w:hint="eastAsia" w:ascii="宋体" w:hAnsi="宋体" w:eastAsia="宋体" w:cs="宋体"/>
          <w:sz w:val="21"/>
          <w:szCs w:val="21"/>
        </w:rPr>
      </w:pPr>
      <w:r>
        <w:rPr>
          <w:rFonts w:hint="eastAsia" w:ascii="宋体" w:hAnsi="宋体" w:eastAsia="宋体" w:cs="宋体"/>
          <w:b/>
          <w:bCs/>
          <w:sz w:val="21"/>
          <w:szCs w:val="21"/>
        </w:rPr>
        <w:t>4.3.2</w:t>
      </w:r>
      <w:r>
        <w:rPr>
          <w:rFonts w:hint="eastAsia" w:ascii="宋体" w:hAnsi="宋体" w:eastAsia="宋体" w:cs="宋体"/>
          <w:b/>
          <w:bCs/>
          <w:spacing w:val="46"/>
          <w:sz w:val="21"/>
          <w:szCs w:val="21"/>
        </w:rPr>
        <w:t xml:space="preserve"> </w:t>
      </w:r>
      <w:r>
        <w:rPr>
          <w:rFonts w:hint="eastAsia" w:ascii="宋体" w:hAnsi="宋体" w:eastAsia="宋体" w:cs="宋体"/>
          <w:sz w:val="21"/>
          <w:szCs w:val="21"/>
        </w:rPr>
        <w:t>日常巡查频率不应小于表4.3.2的规定，并应符</w:t>
      </w:r>
      <w:r>
        <w:rPr>
          <w:rFonts w:hint="eastAsia" w:ascii="宋体" w:hAnsi="宋体" w:eastAsia="宋体" w:cs="宋体"/>
          <w:spacing w:val="-1"/>
          <w:sz w:val="21"/>
          <w:szCs w:val="21"/>
        </w:rPr>
        <w:t>合下列规定：</w:t>
      </w:r>
    </w:p>
    <w:p w14:paraId="1E68847C">
      <w:pPr>
        <w:spacing w:line="360" w:lineRule="auto"/>
        <w:jc w:val="center"/>
        <w:rPr>
          <w:rFonts w:hint="eastAsia" w:ascii="宋体" w:hAnsi="宋体" w:eastAsia="宋体" w:cs="宋体"/>
          <w:sz w:val="21"/>
          <w:szCs w:val="21"/>
        </w:rPr>
      </w:pPr>
      <w:r>
        <w:rPr>
          <w:rFonts w:hint="eastAsia" w:ascii="宋体" w:hAnsi="宋体" w:eastAsia="宋体" w:cs="宋体"/>
          <w:b/>
          <w:bCs/>
          <w:spacing w:val="-3"/>
          <w:sz w:val="21"/>
          <w:szCs w:val="21"/>
        </w:rPr>
        <w:t>表4.3.2日常巡查频率</w:t>
      </w:r>
    </w:p>
    <w:tbl>
      <w:tblPr>
        <w:tblStyle w:val="25"/>
        <w:tblW w:w="7975"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229"/>
        <w:gridCol w:w="1565"/>
        <w:gridCol w:w="1668"/>
        <w:gridCol w:w="1699"/>
        <w:gridCol w:w="1814"/>
      </w:tblGrid>
      <w:tr w14:paraId="55F55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trPr>
        <w:tc>
          <w:tcPr>
            <w:tcW w:w="1565" w:type="dxa"/>
            <w:gridSpan w:val="2"/>
            <w:tcBorders>
              <w:top w:val="single" w:color="000000" w:sz="4" w:space="0"/>
              <w:left w:val="single" w:color="000000" w:sz="4" w:space="0"/>
              <w:bottom w:val="single" w:color="000000" w:sz="4" w:space="0"/>
              <w:right w:val="single" w:color="000000" w:sz="4" w:space="0"/>
            </w:tcBorders>
          </w:tcPr>
          <w:p w14:paraId="1517EA2C">
            <w:pPr>
              <w:pStyle w:val="29"/>
              <w:tabs>
                <w:tab w:val="left" w:pos="0"/>
              </w:tabs>
              <w:snapToGrid w:val="0"/>
              <w:spacing w:line="360" w:lineRule="auto"/>
              <w:ind w:left="944"/>
              <w:rPr>
                <w:rFonts w:hint="eastAsia" w:ascii="宋体" w:hAnsi="宋体" w:eastAsia="宋体" w:cs="宋体"/>
                <w:color w:val="000000"/>
                <w:sz w:val="21"/>
                <w:szCs w:val="21"/>
              </w:rPr>
            </w:pPr>
            <w:r>
              <w:rPr>
                <w:rFonts w:hint="eastAsia" w:ascii="宋体" w:hAnsi="宋体" w:eastAsia="宋体" w:cs="宋体"/>
                <w:color w:val="000000"/>
                <w:spacing w:val="-2"/>
                <w:sz w:val="21"/>
                <w:szCs w:val="21"/>
              </w:rPr>
              <w:t>养护检查等级</w:t>
            </w:r>
          </w:p>
        </w:tc>
        <w:tc>
          <w:tcPr>
            <w:tcW w:w="1668" w:type="dxa"/>
            <w:tcBorders>
              <w:top w:val="single" w:color="000000" w:sz="4" w:space="0"/>
              <w:left w:val="single" w:color="000000" w:sz="4" w:space="0"/>
              <w:bottom w:val="single" w:color="000000" w:sz="4" w:space="0"/>
              <w:right w:val="single" w:color="000000" w:sz="4" w:space="0"/>
            </w:tcBorders>
          </w:tcPr>
          <w:p w14:paraId="00047F04">
            <w:pPr>
              <w:pStyle w:val="29"/>
              <w:tabs>
                <w:tab w:val="left" w:pos="0"/>
              </w:tabs>
              <w:snapToGrid w:val="0"/>
              <w:spacing w:line="360" w:lineRule="auto"/>
              <w:ind w:left="843"/>
              <w:rPr>
                <w:rFonts w:hint="eastAsia" w:ascii="宋体" w:hAnsi="宋体" w:eastAsia="宋体" w:cs="宋体"/>
                <w:color w:val="000000"/>
                <w:sz w:val="21"/>
                <w:szCs w:val="21"/>
              </w:rPr>
            </w:pPr>
            <w:r>
              <w:rPr>
                <w:rFonts w:hint="eastAsia" w:ascii="宋体" w:hAnsi="宋体" w:eastAsia="宋体" w:cs="宋体"/>
                <w:color w:val="000000"/>
                <w:spacing w:val="5"/>
                <w:sz w:val="21"/>
                <w:szCs w:val="21"/>
              </w:rPr>
              <w:t>I级</w:t>
            </w:r>
          </w:p>
        </w:tc>
        <w:tc>
          <w:tcPr>
            <w:tcW w:w="1699" w:type="dxa"/>
            <w:tcBorders>
              <w:top w:val="single" w:color="000000" w:sz="4" w:space="0"/>
              <w:left w:val="single" w:color="000000" w:sz="4" w:space="0"/>
              <w:bottom w:val="single" w:color="000000" w:sz="4" w:space="0"/>
              <w:right w:val="single" w:color="000000" w:sz="4" w:space="0"/>
            </w:tcBorders>
          </w:tcPr>
          <w:p w14:paraId="12A9F89F">
            <w:pPr>
              <w:pStyle w:val="29"/>
              <w:tabs>
                <w:tab w:val="left" w:pos="0"/>
              </w:tabs>
              <w:snapToGrid w:val="0"/>
              <w:spacing w:line="360" w:lineRule="auto"/>
              <w:ind w:left="716"/>
              <w:rPr>
                <w:rFonts w:hint="eastAsia" w:ascii="宋体" w:hAnsi="宋体" w:eastAsia="宋体" w:cs="宋体"/>
                <w:color w:val="000000"/>
                <w:sz w:val="21"/>
                <w:szCs w:val="21"/>
              </w:rPr>
            </w:pPr>
            <w:r>
              <w:rPr>
                <w:rFonts w:hint="eastAsia" w:ascii="宋体" w:hAnsi="宋体" w:eastAsia="宋体" w:cs="宋体"/>
                <w:color w:val="000000"/>
                <w:spacing w:val="-30"/>
                <w:sz w:val="21"/>
                <w:szCs w:val="21"/>
              </w:rPr>
              <w:t>Ⅱ</w:t>
            </w:r>
            <w:r>
              <w:rPr>
                <w:rFonts w:hint="eastAsia" w:ascii="宋体" w:hAnsi="宋体" w:eastAsia="宋体" w:cs="宋体"/>
                <w:color w:val="000000"/>
                <w:spacing w:val="-49"/>
                <w:sz w:val="21"/>
                <w:szCs w:val="21"/>
              </w:rPr>
              <w:t xml:space="preserve"> </w:t>
            </w:r>
            <w:r>
              <w:rPr>
                <w:rFonts w:hint="eastAsia" w:ascii="宋体" w:hAnsi="宋体" w:eastAsia="宋体" w:cs="宋体"/>
                <w:color w:val="000000"/>
                <w:spacing w:val="-30"/>
                <w:sz w:val="21"/>
                <w:szCs w:val="21"/>
              </w:rPr>
              <w:t>级</w:t>
            </w:r>
          </w:p>
        </w:tc>
        <w:tc>
          <w:tcPr>
            <w:tcW w:w="1814" w:type="dxa"/>
            <w:tcBorders>
              <w:top w:val="single" w:color="000000" w:sz="4" w:space="0"/>
              <w:left w:val="single" w:color="000000" w:sz="4" w:space="0"/>
              <w:bottom w:val="single" w:color="000000" w:sz="4" w:space="0"/>
              <w:right w:val="single" w:color="000000" w:sz="4" w:space="0"/>
            </w:tcBorders>
          </w:tcPr>
          <w:p w14:paraId="51845EE9">
            <w:pPr>
              <w:pStyle w:val="29"/>
              <w:tabs>
                <w:tab w:val="left" w:pos="0"/>
              </w:tabs>
              <w:snapToGrid w:val="0"/>
              <w:spacing w:line="360" w:lineRule="auto"/>
              <w:ind w:left="798"/>
              <w:rPr>
                <w:rFonts w:hint="eastAsia" w:ascii="宋体" w:hAnsi="宋体" w:eastAsia="宋体" w:cs="宋体"/>
                <w:color w:val="000000"/>
                <w:sz w:val="21"/>
                <w:szCs w:val="21"/>
              </w:rPr>
            </w:pPr>
            <w:r>
              <w:rPr>
                <w:rFonts w:hint="eastAsia" w:ascii="宋体" w:hAnsi="宋体" w:eastAsia="宋体" w:cs="宋体"/>
                <w:color w:val="000000"/>
                <w:spacing w:val="-2"/>
                <w:sz w:val="21"/>
                <w:szCs w:val="21"/>
              </w:rPr>
              <w:t>Ⅲ级</w:t>
            </w:r>
          </w:p>
        </w:tc>
      </w:tr>
      <w:tr w14:paraId="6231D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trPr>
        <w:tc>
          <w:tcPr>
            <w:tcW w:w="1229" w:type="dxa"/>
            <w:vMerge w:val="restart"/>
            <w:tcBorders>
              <w:top w:val="nil"/>
              <w:left w:val="single" w:color="000000" w:sz="4" w:space="0"/>
              <w:bottom w:val="single" w:color="auto" w:sz="4" w:space="0"/>
              <w:right w:val="single" w:color="000000" w:sz="4" w:space="0"/>
            </w:tcBorders>
          </w:tcPr>
          <w:p w14:paraId="763CB22B">
            <w:pPr>
              <w:pStyle w:val="29"/>
              <w:tabs>
                <w:tab w:val="left" w:pos="0"/>
              </w:tabs>
              <w:snapToGrid w:val="0"/>
              <w:spacing w:line="360" w:lineRule="auto"/>
              <w:ind w:firstLine="206" w:firstLineChars="100"/>
              <w:rPr>
                <w:rFonts w:hint="eastAsia" w:ascii="宋体" w:hAnsi="宋体" w:eastAsia="宋体" w:cs="宋体"/>
                <w:color w:val="000000"/>
                <w:sz w:val="21"/>
                <w:szCs w:val="21"/>
              </w:rPr>
            </w:pPr>
            <w:r>
              <w:rPr>
                <w:rFonts w:hint="eastAsia" w:ascii="宋体" w:hAnsi="宋体" w:eastAsia="宋体" w:cs="宋体"/>
                <w:color w:val="000000"/>
                <w:spacing w:val="-2"/>
                <w:sz w:val="21"/>
                <w:szCs w:val="21"/>
              </w:rPr>
              <w:t>巡查频率</w:t>
            </w:r>
          </w:p>
        </w:tc>
        <w:tc>
          <w:tcPr>
            <w:tcW w:w="1565" w:type="dxa"/>
            <w:tcBorders>
              <w:top w:val="single" w:color="000000" w:sz="4" w:space="0"/>
              <w:left w:val="single" w:color="000000" w:sz="4" w:space="0"/>
              <w:bottom w:val="single" w:color="auto" w:sz="4" w:space="0"/>
              <w:right w:val="single" w:color="000000" w:sz="4" w:space="0"/>
            </w:tcBorders>
          </w:tcPr>
          <w:p w14:paraId="146EA315">
            <w:pPr>
              <w:pStyle w:val="29"/>
              <w:tabs>
                <w:tab w:val="left" w:pos="0"/>
              </w:tabs>
              <w:snapToGrid w:val="0"/>
              <w:spacing w:line="360" w:lineRule="auto"/>
              <w:ind w:left="482"/>
              <w:rPr>
                <w:rFonts w:hint="eastAsia" w:ascii="宋体" w:hAnsi="宋体" w:eastAsia="宋体" w:cs="宋体"/>
                <w:color w:val="000000"/>
                <w:sz w:val="21"/>
                <w:szCs w:val="21"/>
              </w:rPr>
            </w:pPr>
            <w:r>
              <w:rPr>
                <w:rFonts w:hint="eastAsia" w:ascii="宋体" w:hAnsi="宋体" w:eastAsia="宋体" w:cs="宋体"/>
                <w:color w:val="000000"/>
                <w:spacing w:val="2"/>
                <w:sz w:val="21"/>
                <w:szCs w:val="21"/>
              </w:rPr>
              <w:t>日间巡查</w:t>
            </w:r>
          </w:p>
        </w:tc>
        <w:tc>
          <w:tcPr>
            <w:tcW w:w="1668" w:type="dxa"/>
            <w:tcBorders>
              <w:top w:val="single" w:color="000000" w:sz="4" w:space="0"/>
              <w:left w:val="single" w:color="000000" w:sz="4" w:space="0"/>
              <w:bottom w:val="single" w:color="000000" w:sz="4" w:space="0"/>
              <w:right w:val="single" w:color="000000" w:sz="4" w:space="0"/>
            </w:tcBorders>
          </w:tcPr>
          <w:p w14:paraId="30320EF1">
            <w:pPr>
              <w:pStyle w:val="29"/>
              <w:tabs>
                <w:tab w:val="left" w:pos="0"/>
              </w:tabs>
              <w:snapToGrid w:val="0"/>
              <w:spacing w:line="360" w:lineRule="auto"/>
              <w:ind w:left="704"/>
              <w:rPr>
                <w:rFonts w:hint="eastAsia" w:ascii="宋体" w:hAnsi="宋体" w:eastAsia="宋体" w:cs="宋体"/>
                <w:color w:val="000000"/>
                <w:sz w:val="21"/>
                <w:szCs w:val="21"/>
              </w:rPr>
            </w:pPr>
            <w:r>
              <w:rPr>
                <w:rFonts w:hint="eastAsia" w:ascii="宋体" w:hAnsi="宋体" w:eastAsia="宋体" w:cs="宋体"/>
                <w:color w:val="000000"/>
                <w:spacing w:val="8"/>
                <w:sz w:val="21"/>
                <w:szCs w:val="21"/>
              </w:rPr>
              <w:t>1次/日</w:t>
            </w:r>
          </w:p>
        </w:tc>
        <w:tc>
          <w:tcPr>
            <w:tcW w:w="1699" w:type="dxa"/>
            <w:tcBorders>
              <w:top w:val="single" w:color="000000" w:sz="4" w:space="0"/>
              <w:left w:val="single" w:color="000000" w:sz="4" w:space="0"/>
              <w:bottom w:val="single" w:color="000000" w:sz="4" w:space="0"/>
              <w:right w:val="single" w:color="000000" w:sz="4" w:space="0"/>
            </w:tcBorders>
          </w:tcPr>
          <w:p w14:paraId="74D53A87">
            <w:pPr>
              <w:pStyle w:val="29"/>
              <w:tabs>
                <w:tab w:val="left" w:pos="0"/>
              </w:tabs>
              <w:snapToGrid w:val="0"/>
              <w:spacing w:line="360" w:lineRule="auto"/>
              <w:ind w:left="506"/>
              <w:rPr>
                <w:rFonts w:hint="eastAsia" w:ascii="宋体" w:hAnsi="宋体" w:eastAsia="宋体" w:cs="宋体"/>
                <w:color w:val="000000"/>
                <w:sz w:val="21"/>
                <w:szCs w:val="21"/>
              </w:rPr>
            </w:pPr>
            <w:r>
              <w:rPr>
                <w:rFonts w:hint="eastAsia" w:ascii="宋体" w:hAnsi="宋体" w:eastAsia="宋体" w:cs="宋体"/>
                <w:color w:val="000000"/>
                <w:spacing w:val="10"/>
                <w:sz w:val="21"/>
                <w:szCs w:val="21"/>
              </w:rPr>
              <w:t>1次/3日</w:t>
            </w:r>
          </w:p>
        </w:tc>
        <w:tc>
          <w:tcPr>
            <w:tcW w:w="1814" w:type="dxa"/>
            <w:tcBorders>
              <w:top w:val="single" w:color="000000" w:sz="4" w:space="0"/>
              <w:left w:val="single" w:color="000000" w:sz="4" w:space="0"/>
              <w:bottom w:val="single" w:color="000000" w:sz="4" w:space="0"/>
              <w:right w:val="single" w:color="000000" w:sz="4" w:space="0"/>
            </w:tcBorders>
          </w:tcPr>
          <w:p w14:paraId="4598C527">
            <w:pPr>
              <w:pStyle w:val="29"/>
              <w:tabs>
                <w:tab w:val="left" w:pos="0"/>
              </w:tabs>
              <w:snapToGrid w:val="0"/>
              <w:spacing w:line="360" w:lineRule="auto"/>
              <w:ind w:left="707"/>
              <w:rPr>
                <w:rFonts w:hint="eastAsia" w:ascii="宋体" w:hAnsi="宋体" w:eastAsia="宋体" w:cs="宋体"/>
                <w:color w:val="000000"/>
                <w:sz w:val="21"/>
                <w:szCs w:val="21"/>
              </w:rPr>
            </w:pPr>
            <w:r>
              <w:rPr>
                <w:rFonts w:hint="eastAsia" w:ascii="宋体" w:hAnsi="宋体" w:eastAsia="宋体" w:cs="宋体"/>
                <w:color w:val="000000"/>
                <w:spacing w:val="5"/>
                <w:sz w:val="21"/>
                <w:szCs w:val="21"/>
              </w:rPr>
              <w:t>1次/周</w:t>
            </w:r>
          </w:p>
        </w:tc>
      </w:tr>
      <w:tr w14:paraId="019AB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trPr>
        <w:tc>
          <w:tcPr>
            <w:tcW w:w="1229" w:type="dxa"/>
            <w:vMerge w:val="continue"/>
            <w:tcBorders>
              <w:top w:val="single" w:color="auto" w:sz="4" w:space="0"/>
              <w:left w:val="single" w:color="000000" w:sz="4" w:space="0"/>
              <w:bottom w:val="single" w:color="auto" w:sz="4" w:space="0"/>
              <w:right w:val="single" w:color="000000" w:sz="4" w:space="0"/>
            </w:tcBorders>
            <w:vAlign w:val="center"/>
          </w:tcPr>
          <w:p w14:paraId="16B7EF79">
            <w:pPr>
              <w:widowControl/>
              <w:snapToGrid w:val="0"/>
              <w:spacing w:line="360" w:lineRule="auto"/>
              <w:jc w:val="left"/>
              <w:rPr>
                <w:rFonts w:hint="eastAsia" w:ascii="宋体" w:hAnsi="宋体" w:eastAsia="宋体" w:cs="宋体"/>
                <w:color w:val="000000"/>
                <w:sz w:val="21"/>
                <w:szCs w:val="21"/>
              </w:rPr>
            </w:pPr>
          </w:p>
        </w:tc>
        <w:tc>
          <w:tcPr>
            <w:tcW w:w="1565" w:type="dxa"/>
            <w:tcBorders>
              <w:top w:val="single" w:color="auto" w:sz="4" w:space="0"/>
              <w:left w:val="single" w:color="000000" w:sz="4" w:space="0"/>
              <w:bottom w:val="single" w:color="auto" w:sz="4" w:space="0"/>
              <w:right w:val="single" w:color="000000" w:sz="4" w:space="0"/>
            </w:tcBorders>
          </w:tcPr>
          <w:p w14:paraId="0D8E2FC0">
            <w:pPr>
              <w:pStyle w:val="29"/>
              <w:tabs>
                <w:tab w:val="left" w:pos="0"/>
              </w:tabs>
              <w:snapToGrid w:val="0"/>
              <w:spacing w:line="360" w:lineRule="auto"/>
              <w:ind w:left="482"/>
              <w:rPr>
                <w:rFonts w:hint="eastAsia" w:ascii="宋体" w:hAnsi="宋体" w:eastAsia="宋体" w:cs="宋体"/>
                <w:color w:val="000000"/>
                <w:sz w:val="21"/>
                <w:szCs w:val="21"/>
              </w:rPr>
            </w:pPr>
            <w:r>
              <w:rPr>
                <w:rFonts w:hint="eastAsia" w:ascii="宋体" w:hAnsi="宋体" w:eastAsia="宋体" w:cs="宋体"/>
                <w:color w:val="000000"/>
                <w:spacing w:val="-2"/>
                <w:sz w:val="21"/>
                <w:szCs w:val="21"/>
              </w:rPr>
              <w:t>夜间巡查</w:t>
            </w:r>
          </w:p>
        </w:tc>
        <w:tc>
          <w:tcPr>
            <w:tcW w:w="1668" w:type="dxa"/>
            <w:tcBorders>
              <w:top w:val="single" w:color="000000" w:sz="4" w:space="0"/>
              <w:left w:val="single" w:color="000000" w:sz="4" w:space="0"/>
              <w:bottom w:val="single" w:color="000000" w:sz="4" w:space="0"/>
              <w:right w:val="single" w:color="000000" w:sz="4" w:space="0"/>
            </w:tcBorders>
          </w:tcPr>
          <w:p w14:paraId="6C3E5755">
            <w:pPr>
              <w:pStyle w:val="29"/>
              <w:tabs>
                <w:tab w:val="left" w:pos="0"/>
              </w:tabs>
              <w:snapToGrid w:val="0"/>
              <w:spacing w:line="360" w:lineRule="auto"/>
              <w:ind w:left="704"/>
              <w:rPr>
                <w:rFonts w:hint="eastAsia" w:ascii="宋体" w:hAnsi="宋体" w:eastAsia="宋体" w:cs="宋体"/>
                <w:color w:val="000000"/>
                <w:sz w:val="21"/>
                <w:szCs w:val="21"/>
              </w:rPr>
            </w:pPr>
            <w:r>
              <w:rPr>
                <w:rFonts w:hint="eastAsia" w:ascii="宋体" w:hAnsi="宋体" w:eastAsia="宋体" w:cs="宋体"/>
                <w:color w:val="000000"/>
                <w:spacing w:val="9"/>
                <w:sz w:val="21"/>
                <w:szCs w:val="21"/>
              </w:rPr>
              <w:t>1次/月</w:t>
            </w:r>
          </w:p>
        </w:tc>
        <w:tc>
          <w:tcPr>
            <w:tcW w:w="1699" w:type="dxa"/>
            <w:tcBorders>
              <w:top w:val="single" w:color="000000" w:sz="4" w:space="0"/>
              <w:left w:val="single" w:color="000000" w:sz="4" w:space="0"/>
              <w:bottom w:val="single" w:color="000000" w:sz="4" w:space="0"/>
              <w:right w:val="single" w:color="000000" w:sz="4" w:space="0"/>
            </w:tcBorders>
          </w:tcPr>
          <w:p w14:paraId="5A42CBBD">
            <w:pPr>
              <w:pStyle w:val="29"/>
              <w:tabs>
                <w:tab w:val="left" w:pos="0"/>
              </w:tabs>
              <w:snapToGrid w:val="0"/>
              <w:spacing w:line="360" w:lineRule="auto"/>
              <w:ind w:left="536"/>
              <w:rPr>
                <w:rFonts w:hint="eastAsia" w:ascii="宋体" w:hAnsi="宋体" w:eastAsia="宋体" w:cs="宋体"/>
                <w:color w:val="000000"/>
                <w:sz w:val="21"/>
                <w:szCs w:val="21"/>
              </w:rPr>
            </w:pPr>
            <w:r>
              <w:rPr>
                <w:rFonts w:hint="eastAsia" w:ascii="宋体" w:hAnsi="宋体" w:eastAsia="宋体" w:cs="宋体"/>
                <w:color w:val="000000"/>
                <w:spacing w:val="10"/>
                <w:sz w:val="21"/>
                <w:szCs w:val="21"/>
              </w:rPr>
              <w:t>1次/2月</w:t>
            </w:r>
          </w:p>
        </w:tc>
        <w:tc>
          <w:tcPr>
            <w:tcW w:w="1814" w:type="dxa"/>
            <w:tcBorders>
              <w:top w:val="single" w:color="000000" w:sz="4" w:space="0"/>
              <w:left w:val="single" w:color="000000" w:sz="4" w:space="0"/>
              <w:bottom w:val="single" w:color="000000" w:sz="4" w:space="0"/>
              <w:right w:val="single" w:color="000000" w:sz="4" w:space="0"/>
            </w:tcBorders>
          </w:tcPr>
          <w:p w14:paraId="2E1E6728">
            <w:pPr>
              <w:pStyle w:val="29"/>
              <w:tabs>
                <w:tab w:val="left" w:pos="0"/>
              </w:tabs>
              <w:snapToGrid w:val="0"/>
              <w:spacing w:line="360" w:lineRule="auto"/>
              <w:ind w:left="667"/>
              <w:rPr>
                <w:rFonts w:hint="eastAsia" w:ascii="宋体" w:hAnsi="宋体" w:eastAsia="宋体" w:cs="宋体"/>
                <w:color w:val="000000"/>
                <w:sz w:val="21"/>
                <w:szCs w:val="21"/>
              </w:rPr>
            </w:pPr>
            <w:r>
              <w:rPr>
                <w:rFonts w:hint="eastAsia" w:ascii="宋体" w:hAnsi="宋体" w:eastAsia="宋体" w:cs="宋体"/>
                <w:color w:val="000000"/>
                <w:spacing w:val="7"/>
                <w:sz w:val="21"/>
                <w:szCs w:val="21"/>
              </w:rPr>
              <w:t>1次/3月</w:t>
            </w:r>
          </w:p>
        </w:tc>
      </w:tr>
    </w:tbl>
    <w:p w14:paraId="484A690C">
      <w:pPr>
        <w:spacing w:line="360" w:lineRule="auto"/>
        <w:ind w:firstLine="408" w:firstLineChars="200"/>
        <w:rPr>
          <w:rFonts w:hint="eastAsia" w:ascii="宋体" w:hAnsi="宋体" w:eastAsia="宋体" w:cs="宋体"/>
          <w:sz w:val="21"/>
          <w:szCs w:val="21"/>
        </w:rPr>
      </w:pPr>
      <w:r>
        <w:rPr>
          <w:rFonts w:hint="eastAsia" w:ascii="宋体" w:hAnsi="宋体" w:eastAsia="宋体" w:cs="宋体"/>
          <w:spacing w:val="-3"/>
          <w:sz w:val="21"/>
          <w:szCs w:val="21"/>
        </w:rPr>
        <w:t>（</w:t>
      </w:r>
      <w:r>
        <w:rPr>
          <w:rFonts w:hint="eastAsia" w:ascii="宋体" w:hAnsi="宋体" w:eastAsia="宋体" w:cs="宋体"/>
          <w:spacing w:val="-3"/>
          <w:sz w:val="21"/>
          <w:szCs w:val="21"/>
          <w:lang w:val="en-US" w:eastAsia="zh-CN"/>
        </w:rPr>
        <w:t>4</w:t>
      </w:r>
      <w:r>
        <w:rPr>
          <w:rFonts w:hint="eastAsia" w:ascii="宋体" w:hAnsi="宋体" w:eastAsia="宋体" w:cs="宋体"/>
          <w:spacing w:val="-3"/>
          <w:sz w:val="21"/>
          <w:szCs w:val="21"/>
        </w:rPr>
        <w:t>）养护检查等级为Ⅱ级的桥梁，日间巡查频率不应小于1次/日。灾害天气应加大日常巡查频率</w:t>
      </w:r>
      <w:r>
        <w:rPr>
          <w:rFonts w:hint="eastAsia" w:ascii="宋体" w:hAnsi="宋体" w:cs="宋体"/>
          <w:spacing w:val="-3"/>
          <w:sz w:val="21"/>
          <w:szCs w:val="21"/>
          <w:lang w:eastAsia="zh-CN"/>
        </w:rPr>
        <w:t>，</w:t>
      </w:r>
      <w:r>
        <w:rPr>
          <w:rFonts w:hint="eastAsia" w:ascii="宋体" w:hAnsi="宋体" w:eastAsia="宋体" w:cs="宋体"/>
          <w:color w:val="auto"/>
          <w:spacing w:val="-3"/>
          <w:sz w:val="21"/>
          <w:szCs w:val="21"/>
        </w:rPr>
        <w:t>具体按《交通运输部关于进一步做好汛期公路安全风险管控工作的通知》执行</w:t>
      </w:r>
      <w:r>
        <w:rPr>
          <w:rFonts w:hint="eastAsia" w:ascii="宋体" w:hAnsi="宋体" w:cs="宋体"/>
          <w:color w:val="auto"/>
          <w:spacing w:val="-3"/>
          <w:sz w:val="21"/>
          <w:szCs w:val="21"/>
          <w:lang w:eastAsia="zh-CN"/>
        </w:rPr>
        <w:t>，汛期加强巡查，对因水沟阻塞形成水过路面的路段立即进行人工疏通或排水引水，人工不能解决的，要马上组织机械作业，消除水过路面情况，防止水过路面冲刷路基边坡造成路基路面塌陷</w:t>
      </w:r>
      <w:r>
        <w:rPr>
          <w:rFonts w:hint="eastAsia" w:ascii="宋体" w:hAnsi="宋体" w:eastAsia="宋体" w:cs="宋体"/>
          <w:color w:val="auto"/>
          <w:spacing w:val="-3"/>
          <w:sz w:val="21"/>
          <w:szCs w:val="21"/>
        </w:rPr>
        <w:t>。</w:t>
      </w:r>
      <w:r>
        <w:rPr>
          <w:rFonts w:hint="eastAsia" w:ascii="宋体" w:hAnsi="宋体" w:eastAsia="宋体" w:cs="宋体"/>
          <w:spacing w:val="-4"/>
          <w:sz w:val="21"/>
          <w:szCs w:val="21"/>
        </w:rPr>
        <w:t>一级公路应双向全程巡查。</w:t>
      </w:r>
    </w:p>
    <w:p w14:paraId="033037ED">
      <w:pPr>
        <w:pStyle w:val="11"/>
        <w:spacing w:line="360" w:lineRule="auto"/>
        <w:ind w:left="7" w:firstLine="460" w:firstLineChars="200"/>
        <w:rPr>
          <w:rFonts w:hint="eastAsia" w:ascii="宋体" w:hAnsi="宋体" w:eastAsia="宋体" w:cs="宋体"/>
          <w:sz w:val="21"/>
          <w:szCs w:val="21"/>
        </w:rPr>
      </w:pPr>
      <w:r>
        <w:rPr>
          <w:rFonts w:hint="eastAsia" w:ascii="宋体" w:hAnsi="宋体" w:eastAsia="宋体" w:cs="宋体"/>
          <w:spacing w:val="10"/>
          <w:sz w:val="21"/>
          <w:szCs w:val="21"/>
        </w:rPr>
        <w:t>（</w:t>
      </w:r>
      <w:r>
        <w:rPr>
          <w:rFonts w:hint="eastAsia" w:ascii="宋体" w:hAnsi="宋体" w:eastAsia="宋体" w:cs="宋体"/>
          <w:spacing w:val="10"/>
          <w:sz w:val="21"/>
          <w:szCs w:val="21"/>
          <w:lang w:val="en-US" w:eastAsia="zh-CN"/>
        </w:rPr>
        <w:t>5</w:t>
      </w:r>
      <w:r>
        <w:rPr>
          <w:rFonts w:hint="eastAsia" w:ascii="宋体" w:hAnsi="宋体" w:eastAsia="宋体" w:cs="宋体"/>
          <w:spacing w:val="10"/>
          <w:sz w:val="21"/>
          <w:szCs w:val="21"/>
        </w:rPr>
        <w:t>）</w:t>
      </w:r>
      <w:r>
        <w:rPr>
          <w:rFonts w:hint="eastAsia" w:ascii="宋体" w:hAnsi="宋体" w:eastAsia="宋体" w:cs="宋体"/>
          <w:spacing w:val="9"/>
          <w:sz w:val="21"/>
          <w:szCs w:val="21"/>
        </w:rPr>
        <w:t>日常巡查主要采用车行观察方式，辅以摄影或摄像。发现</w:t>
      </w:r>
      <w:r>
        <w:rPr>
          <w:rFonts w:hint="eastAsia" w:ascii="宋体" w:hAnsi="宋体" w:eastAsia="宋体" w:cs="宋体"/>
          <w:spacing w:val="8"/>
          <w:sz w:val="21"/>
          <w:szCs w:val="21"/>
        </w:rPr>
        <w:t>异常情况应下车抵近检查，对异常情况类型和位</w:t>
      </w:r>
      <w:r>
        <w:rPr>
          <w:rFonts w:hint="eastAsia" w:ascii="宋体" w:hAnsi="宋体" w:eastAsia="宋体" w:cs="宋体"/>
          <w:spacing w:val="7"/>
          <w:sz w:val="21"/>
          <w:szCs w:val="21"/>
        </w:rPr>
        <w:t>置进行记录。</w:t>
      </w:r>
      <w:r>
        <w:rPr>
          <w:rFonts w:hint="eastAsia" w:ascii="宋体" w:hAnsi="宋体" w:eastAsia="宋体" w:cs="宋体"/>
          <w:spacing w:val="10"/>
          <w:sz w:val="21"/>
          <w:szCs w:val="21"/>
        </w:rPr>
        <w:t>巡查发现路上影响交通安全的隐患要及时排除</w:t>
      </w:r>
      <w:r>
        <w:rPr>
          <w:rFonts w:hint="eastAsia" w:ascii="宋体" w:hAnsi="宋体" w:eastAsia="宋体" w:cs="宋体"/>
          <w:spacing w:val="9"/>
          <w:sz w:val="21"/>
          <w:szCs w:val="21"/>
        </w:rPr>
        <w:t>，不能排除的设置警示标志并报告发包人。</w:t>
      </w:r>
    </w:p>
    <w:p w14:paraId="10B29D59">
      <w:pPr>
        <w:pStyle w:val="11"/>
        <w:spacing w:line="360" w:lineRule="auto"/>
        <w:ind w:left="7" w:right="58" w:firstLine="458" w:firstLineChars="200"/>
        <w:rPr>
          <w:rFonts w:hint="eastAsia" w:ascii="宋体" w:hAnsi="宋体" w:eastAsia="宋体" w:cs="宋体"/>
          <w:b/>
          <w:bCs/>
          <w:spacing w:val="9"/>
          <w:sz w:val="21"/>
          <w:szCs w:val="21"/>
          <w:lang w:val="en-US" w:eastAsia="zh-CN"/>
        </w:rPr>
      </w:pPr>
      <w:r>
        <w:rPr>
          <w:rFonts w:hint="eastAsia" w:ascii="宋体" w:hAnsi="宋体" w:eastAsia="宋体" w:cs="宋体"/>
          <w:b/>
          <w:bCs/>
          <w:spacing w:val="9"/>
          <w:sz w:val="21"/>
          <w:szCs w:val="21"/>
          <w:lang w:val="en-US" w:eastAsia="zh-CN"/>
        </w:rPr>
        <w:t>1.</w:t>
      </w:r>
      <w:r>
        <w:rPr>
          <w:rFonts w:hint="eastAsia" w:ascii="宋体" w:hAnsi="宋体" w:cs="宋体"/>
          <w:b/>
          <w:bCs/>
          <w:spacing w:val="9"/>
          <w:sz w:val="21"/>
          <w:szCs w:val="21"/>
          <w:lang w:val="en-US" w:eastAsia="zh-CN"/>
        </w:rPr>
        <w:t>1.</w:t>
      </w:r>
      <w:r>
        <w:rPr>
          <w:rFonts w:hint="eastAsia" w:ascii="宋体" w:hAnsi="宋体" w:eastAsia="宋体" w:cs="宋体"/>
          <w:b/>
          <w:bCs/>
          <w:spacing w:val="9"/>
          <w:sz w:val="21"/>
          <w:szCs w:val="21"/>
          <w:lang w:val="en-US" w:eastAsia="zh-CN"/>
        </w:rPr>
        <w:t>2考核标准：</w:t>
      </w:r>
    </w:p>
    <w:p w14:paraId="683802C6">
      <w:pPr>
        <w:pStyle w:val="11"/>
        <w:spacing w:line="360" w:lineRule="auto"/>
        <w:ind w:left="7" w:right="58" w:firstLine="456" w:firstLineChars="200"/>
        <w:rPr>
          <w:rFonts w:hint="eastAsia" w:ascii="宋体" w:hAnsi="宋体" w:eastAsia="宋体" w:cs="宋体"/>
          <w:spacing w:val="8"/>
          <w:sz w:val="21"/>
          <w:szCs w:val="21"/>
        </w:rPr>
      </w:pPr>
      <w:r>
        <w:rPr>
          <w:rFonts w:hint="eastAsia" w:ascii="宋体" w:hAnsi="宋体" w:eastAsia="宋体" w:cs="宋体"/>
          <w:spacing w:val="9"/>
          <w:sz w:val="21"/>
          <w:szCs w:val="21"/>
        </w:rPr>
        <w:t>巡查频率符合《公路养护技术标准》规定，</w:t>
      </w:r>
      <w:r>
        <w:rPr>
          <w:rFonts w:hint="eastAsia" w:ascii="宋体" w:hAnsi="宋体" w:eastAsia="宋体" w:cs="宋体"/>
          <w:spacing w:val="10"/>
          <w:sz w:val="21"/>
          <w:szCs w:val="21"/>
        </w:rPr>
        <w:t>节假日正常开展巡查</w:t>
      </w:r>
      <w:r>
        <w:rPr>
          <w:rFonts w:hint="eastAsia" w:ascii="宋体" w:hAnsi="宋体" w:eastAsia="宋体" w:cs="宋体"/>
          <w:spacing w:val="2"/>
          <w:sz w:val="21"/>
          <w:szCs w:val="21"/>
        </w:rPr>
        <w:t>。</w:t>
      </w:r>
      <w:r>
        <w:rPr>
          <w:rFonts w:hint="eastAsia" w:ascii="宋体" w:hAnsi="宋体" w:eastAsia="宋体" w:cs="宋体"/>
          <w:sz w:val="21"/>
          <w:szCs w:val="21"/>
        </w:rPr>
        <w:t>巡路过程要同步清捡落石，清除倒树倒枝吊枝倒竹，维护安全警示标志牌，清理抛洒物，保持桥涵排水孔口通水，保持水沟通水，对路基、路面、桥梁、涵洞、交通安全设施、养护站房、服务区停车区、候车亭新增破损情况或原有病害发展情况记录并报告发包人，初步进行交通安全评估，对</w:t>
      </w:r>
      <w:r>
        <w:rPr>
          <w:rFonts w:hint="eastAsia" w:ascii="宋体" w:hAnsi="宋体" w:cs="宋体"/>
          <w:sz w:val="21"/>
          <w:szCs w:val="21"/>
          <w:lang w:val="en-US" w:eastAsia="zh-CN"/>
        </w:rPr>
        <w:t>公路设施</w:t>
      </w:r>
      <w:r>
        <w:rPr>
          <w:rFonts w:hint="eastAsia" w:ascii="宋体" w:hAnsi="宋体" w:eastAsia="宋体" w:cs="宋体"/>
          <w:sz w:val="21"/>
          <w:szCs w:val="21"/>
        </w:rPr>
        <w:t>是否处在正常工作状态、是否</w:t>
      </w:r>
      <w:r>
        <w:rPr>
          <w:rFonts w:hint="eastAsia" w:ascii="宋体" w:hAnsi="宋体" w:cs="宋体"/>
          <w:sz w:val="21"/>
          <w:szCs w:val="21"/>
          <w:lang w:val="en-US" w:eastAsia="zh-CN"/>
        </w:rPr>
        <w:t>存在</w:t>
      </w:r>
      <w:r>
        <w:rPr>
          <w:rFonts w:hint="eastAsia" w:ascii="宋体" w:hAnsi="宋体" w:eastAsia="宋体" w:cs="宋体"/>
          <w:sz w:val="21"/>
          <w:szCs w:val="21"/>
        </w:rPr>
        <w:t>交通安全</w:t>
      </w:r>
      <w:r>
        <w:rPr>
          <w:rFonts w:hint="eastAsia" w:ascii="宋体" w:hAnsi="宋体" w:cs="宋体"/>
          <w:sz w:val="21"/>
          <w:szCs w:val="21"/>
          <w:lang w:val="en-US" w:eastAsia="zh-CN"/>
        </w:rPr>
        <w:t>隐患</w:t>
      </w:r>
      <w:r>
        <w:rPr>
          <w:rFonts w:hint="eastAsia" w:ascii="宋体" w:hAnsi="宋体" w:eastAsia="宋体" w:cs="宋体"/>
          <w:sz w:val="21"/>
          <w:szCs w:val="21"/>
        </w:rPr>
        <w:t>等进行检查，报告公路险情、桥涵异常、交通事故损坏、违规涉路施工或危害公路安全或侵占路产路权行为等情况。发现突发应急事件时，立即对现场实施管控，按照规范规定设置标牌并拍照存档，引导通行，同时立即报告发包人组织处置。每天全覆盖巡路一遍并做好巡路记录。巡查记录内容齐全、真实、准确，日常巡路范围及临时处置情况、临水路段情况和应急抢险处置情况应详细登记入巡路记录。</w:t>
      </w:r>
      <w:r>
        <w:rPr>
          <w:rFonts w:hint="eastAsia" w:ascii="宋体" w:hAnsi="宋体" w:eastAsia="宋体" w:cs="宋体"/>
          <w:spacing w:val="9"/>
          <w:sz w:val="21"/>
          <w:szCs w:val="21"/>
        </w:rPr>
        <w:t>月底将记录和影像资料一起排序装订</w:t>
      </w:r>
      <w:r>
        <w:rPr>
          <w:rFonts w:hint="eastAsia" w:ascii="宋体" w:hAnsi="宋体" w:eastAsia="宋体" w:cs="宋体"/>
          <w:spacing w:val="8"/>
          <w:sz w:val="21"/>
          <w:szCs w:val="21"/>
        </w:rPr>
        <w:t>成册提交给发包人。</w:t>
      </w:r>
    </w:p>
    <w:p w14:paraId="4B0F2F44">
      <w:pPr>
        <w:pStyle w:val="11"/>
        <w:spacing w:line="360" w:lineRule="auto"/>
        <w:ind w:left="7" w:right="58" w:firstLine="452" w:firstLineChars="200"/>
        <w:rPr>
          <w:rFonts w:hint="eastAsia" w:ascii="宋体" w:hAnsi="宋体" w:cs="宋体"/>
          <w:spacing w:val="8"/>
          <w:sz w:val="21"/>
          <w:szCs w:val="21"/>
          <w:highlight w:val="none"/>
          <w:lang w:val="en-US" w:eastAsia="zh-CN"/>
        </w:rPr>
      </w:pPr>
      <w:r>
        <w:rPr>
          <w:rFonts w:hint="eastAsia" w:ascii="宋体" w:hAnsi="宋体" w:cs="宋体"/>
          <w:spacing w:val="8"/>
          <w:sz w:val="21"/>
          <w:szCs w:val="21"/>
          <w:highlight w:val="none"/>
          <w:lang w:val="en-US" w:eastAsia="zh-CN"/>
        </w:rPr>
        <w:t>检查频率不符合要求，每少1天扣0.1分；</w:t>
      </w:r>
    </w:p>
    <w:p w14:paraId="5D9DD51C">
      <w:pPr>
        <w:pStyle w:val="11"/>
        <w:spacing w:line="360" w:lineRule="auto"/>
        <w:ind w:left="7" w:right="58" w:firstLine="452" w:firstLineChars="200"/>
        <w:rPr>
          <w:rFonts w:hint="eastAsia" w:ascii="宋体" w:hAnsi="宋体" w:cs="宋体"/>
          <w:spacing w:val="8"/>
          <w:sz w:val="21"/>
          <w:szCs w:val="21"/>
          <w:highlight w:val="none"/>
          <w:lang w:val="en-US" w:eastAsia="zh-CN"/>
        </w:rPr>
      </w:pPr>
      <w:r>
        <w:rPr>
          <w:rFonts w:hint="eastAsia" w:ascii="宋体" w:hAnsi="宋体" w:cs="宋体"/>
          <w:spacing w:val="8"/>
          <w:sz w:val="21"/>
          <w:szCs w:val="21"/>
          <w:highlight w:val="none"/>
          <w:lang w:val="en-US" w:eastAsia="zh-CN"/>
        </w:rPr>
        <w:t>巡查未同步清理</w:t>
      </w:r>
      <w:r>
        <w:rPr>
          <w:rFonts w:hint="default" w:ascii="宋体" w:hAnsi="宋体" w:cs="宋体"/>
          <w:spacing w:val="8"/>
          <w:sz w:val="21"/>
          <w:szCs w:val="21"/>
          <w:highlight w:val="none"/>
          <w:lang w:val="en-US" w:eastAsia="zh-CN"/>
        </w:rPr>
        <w:t>零星落石</w:t>
      </w:r>
      <w:r>
        <w:rPr>
          <w:rFonts w:hint="eastAsia" w:ascii="宋体" w:hAnsi="宋体" w:cs="宋体"/>
          <w:spacing w:val="8"/>
          <w:sz w:val="21"/>
          <w:szCs w:val="21"/>
          <w:highlight w:val="none"/>
          <w:lang w:val="en-US" w:eastAsia="zh-CN"/>
        </w:rPr>
        <w:t>、</w:t>
      </w:r>
      <w:r>
        <w:rPr>
          <w:rFonts w:hint="default" w:ascii="宋体" w:hAnsi="宋体" w:cs="宋体"/>
          <w:spacing w:val="8"/>
          <w:sz w:val="21"/>
          <w:szCs w:val="21"/>
          <w:highlight w:val="none"/>
          <w:lang w:val="en-US" w:eastAsia="zh-CN"/>
        </w:rPr>
        <w:t>倒树</w:t>
      </w:r>
      <w:r>
        <w:rPr>
          <w:rFonts w:hint="eastAsia" w:ascii="宋体" w:hAnsi="宋体" w:cs="宋体"/>
          <w:spacing w:val="8"/>
          <w:sz w:val="21"/>
          <w:szCs w:val="21"/>
          <w:highlight w:val="none"/>
          <w:lang w:val="en-US" w:eastAsia="zh-CN"/>
        </w:rPr>
        <w:t>、</w:t>
      </w:r>
      <w:r>
        <w:rPr>
          <w:rFonts w:hint="default" w:ascii="宋体" w:hAnsi="宋体" w:cs="宋体"/>
          <w:spacing w:val="8"/>
          <w:sz w:val="21"/>
          <w:szCs w:val="21"/>
          <w:highlight w:val="none"/>
          <w:lang w:val="en-US" w:eastAsia="zh-CN"/>
        </w:rPr>
        <w:t>倒枝</w:t>
      </w:r>
      <w:r>
        <w:rPr>
          <w:rFonts w:hint="eastAsia" w:ascii="宋体" w:hAnsi="宋体" w:cs="宋体"/>
          <w:spacing w:val="8"/>
          <w:sz w:val="21"/>
          <w:szCs w:val="21"/>
          <w:highlight w:val="none"/>
          <w:lang w:val="en-US" w:eastAsia="zh-CN"/>
        </w:rPr>
        <w:t>、</w:t>
      </w:r>
      <w:r>
        <w:rPr>
          <w:rFonts w:hint="default" w:ascii="宋体" w:hAnsi="宋体" w:cs="宋体"/>
          <w:spacing w:val="8"/>
          <w:sz w:val="21"/>
          <w:szCs w:val="21"/>
          <w:highlight w:val="none"/>
          <w:lang w:val="en-US" w:eastAsia="zh-CN"/>
        </w:rPr>
        <w:t>吊枝</w:t>
      </w:r>
      <w:r>
        <w:rPr>
          <w:rFonts w:hint="eastAsia" w:ascii="宋体" w:hAnsi="宋体" w:cs="宋体"/>
          <w:spacing w:val="8"/>
          <w:sz w:val="21"/>
          <w:szCs w:val="21"/>
          <w:highlight w:val="none"/>
          <w:lang w:val="en-US" w:eastAsia="zh-CN"/>
        </w:rPr>
        <w:t>、</w:t>
      </w:r>
      <w:r>
        <w:rPr>
          <w:rFonts w:hint="default" w:ascii="宋体" w:hAnsi="宋体" w:cs="宋体"/>
          <w:spacing w:val="8"/>
          <w:sz w:val="21"/>
          <w:szCs w:val="21"/>
          <w:highlight w:val="none"/>
          <w:lang w:val="en-US" w:eastAsia="zh-CN"/>
        </w:rPr>
        <w:t>倒竹</w:t>
      </w:r>
      <w:r>
        <w:rPr>
          <w:rFonts w:hint="eastAsia" w:ascii="宋体" w:hAnsi="宋体" w:cs="宋体"/>
          <w:spacing w:val="8"/>
          <w:sz w:val="21"/>
          <w:szCs w:val="21"/>
          <w:highlight w:val="none"/>
          <w:lang w:val="en-US" w:eastAsia="zh-CN"/>
        </w:rPr>
        <w:t>、</w:t>
      </w:r>
      <w:r>
        <w:rPr>
          <w:rFonts w:hint="default" w:ascii="宋体" w:hAnsi="宋体" w:cs="宋体"/>
          <w:spacing w:val="8"/>
          <w:sz w:val="21"/>
          <w:szCs w:val="21"/>
          <w:highlight w:val="none"/>
          <w:lang w:val="en-US" w:eastAsia="zh-CN"/>
        </w:rPr>
        <w:t>抛洒物</w:t>
      </w:r>
      <w:r>
        <w:rPr>
          <w:rFonts w:hint="eastAsia" w:ascii="宋体" w:hAnsi="宋体" w:cs="宋体"/>
          <w:spacing w:val="8"/>
          <w:sz w:val="21"/>
          <w:szCs w:val="21"/>
          <w:highlight w:val="none"/>
          <w:lang w:val="en-US" w:eastAsia="zh-CN"/>
        </w:rPr>
        <w:t>等路障的，每处扣0.2分；</w:t>
      </w:r>
    </w:p>
    <w:p w14:paraId="750662E3">
      <w:pPr>
        <w:pStyle w:val="11"/>
        <w:spacing w:line="360" w:lineRule="auto"/>
        <w:ind w:left="7" w:right="58" w:firstLine="452" w:firstLineChars="200"/>
        <w:rPr>
          <w:rFonts w:hint="default" w:ascii="宋体" w:hAnsi="宋体" w:cs="宋体"/>
          <w:spacing w:val="8"/>
          <w:sz w:val="21"/>
          <w:szCs w:val="21"/>
          <w:highlight w:val="none"/>
          <w:lang w:val="en-US" w:eastAsia="zh-CN"/>
        </w:rPr>
      </w:pPr>
      <w:r>
        <w:rPr>
          <w:rFonts w:hint="default" w:ascii="宋体" w:hAnsi="宋体" w:cs="宋体"/>
          <w:spacing w:val="8"/>
          <w:sz w:val="21"/>
          <w:szCs w:val="21"/>
          <w:highlight w:val="none"/>
          <w:lang w:val="en-US" w:eastAsia="zh-CN"/>
        </w:rPr>
        <w:t>未维护既有的施工标志或危险点警示标志每</w:t>
      </w:r>
      <w:r>
        <w:rPr>
          <w:rFonts w:hint="eastAsia" w:ascii="宋体" w:hAnsi="宋体" w:cs="宋体"/>
          <w:spacing w:val="8"/>
          <w:sz w:val="21"/>
          <w:szCs w:val="21"/>
          <w:highlight w:val="none"/>
          <w:lang w:val="en-US" w:eastAsia="zh-CN"/>
        </w:rPr>
        <w:t>处每次</w:t>
      </w:r>
      <w:r>
        <w:rPr>
          <w:rFonts w:hint="default" w:ascii="宋体" w:hAnsi="宋体" w:cs="宋体"/>
          <w:spacing w:val="8"/>
          <w:sz w:val="21"/>
          <w:szCs w:val="21"/>
          <w:highlight w:val="none"/>
          <w:lang w:val="en-US" w:eastAsia="zh-CN"/>
        </w:rPr>
        <w:t>扣0.2分，桥涵排水孔阻塞未</w:t>
      </w:r>
      <w:r>
        <w:rPr>
          <w:rFonts w:hint="eastAsia" w:ascii="宋体" w:hAnsi="宋体" w:cs="宋体"/>
          <w:spacing w:val="8"/>
          <w:sz w:val="21"/>
          <w:szCs w:val="21"/>
          <w:highlight w:val="none"/>
          <w:lang w:val="en-US" w:eastAsia="zh-CN"/>
        </w:rPr>
        <w:t>当场立即</w:t>
      </w:r>
      <w:r>
        <w:rPr>
          <w:rFonts w:hint="default" w:ascii="宋体" w:hAnsi="宋体" w:cs="宋体"/>
          <w:spacing w:val="8"/>
          <w:sz w:val="21"/>
          <w:szCs w:val="21"/>
          <w:highlight w:val="none"/>
          <w:lang w:val="en-US" w:eastAsia="zh-CN"/>
        </w:rPr>
        <w:t>清通每次扣0.2分，水沟或涵洞阻塞形成水过路面未</w:t>
      </w:r>
      <w:r>
        <w:rPr>
          <w:rFonts w:hint="eastAsia" w:ascii="宋体" w:hAnsi="宋体" w:cs="宋体"/>
          <w:spacing w:val="8"/>
          <w:sz w:val="21"/>
          <w:szCs w:val="21"/>
          <w:highlight w:val="none"/>
          <w:lang w:val="en-US" w:eastAsia="zh-CN"/>
        </w:rPr>
        <w:t>当场组织</w:t>
      </w:r>
      <w:r>
        <w:rPr>
          <w:rFonts w:hint="default" w:ascii="宋体" w:hAnsi="宋体" w:cs="宋体"/>
          <w:spacing w:val="8"/>
          <w:sz w:val="21"/>
          <w:szCs w:val="21"/>
          <w:highlight w:val="none"/>
          <w:lang w:val="en-US" w:eastAsia="zh-CN"/>
        </w:rPr>
        <w:t>处置每次扣1分；</w:t>
      </w:r>
    </w:p>
    <w:p w14:paraId="1A9C6813">
      <w:pPr>
        <w:pStyle w:val="11"/>
        <w:spacing w:line="360" w:lineRule="auto"/>
        <w:ind w:right="58" w:firstLine="452" w:firstLineChars="200"/>
        <w:rPr>
          <w:rFonts w:hint="default" w:ascii="宋体" w:hAnsi="宋体" w:cs="宋体"/>
          <w:spacing w:val="8"/>
          <w:sz w:val="21"/>
          <w:szCs w:val="21"/>
          <w:highlight w:val="none"/>
          <w:lang w:val="en-US" w:eastAsia="zh-CN"/>
        </w:rPr>
      </w:pPr>
      <w:r>
        <w:rPr>
          <w:rFonts w:hint="eastAsia" w:ascii="宋体" w:hAnsi="宋体" w:cs="宋体"/>
          <w:spacing w:val="8"/>
          <w:sz w:val="21"/>
          <w:szCs w:val="21"/>
          <w:highlight w:val="none"/>
          <w:lang w:val="en-US" w:eastAsia="zh-CN"/>
        </w:rPr>
        <w:t>巡查遭遇突发应急事件，现场未警示的每处扣0.2分，未管控的每处扣0.2分，未及时报告的每处扣0.2分；</w:t>
      </w:r>
    </w:p>
    <w:p w14:paraId="018141D0">
      <w:pPr>
        <w:pStyle w:val="11"/>
        <w:spacing w:line="360" w:lineRule="auto"/>
        <w:ind w:left="7" w:right="58" w:firstLine="452" w:firstLineChars="200"/>
        <w:rPr>
          <w:rFonts w:hint="eastAsia" w:ascii="宋体" w:hAnsi="宋体" w:cs="宋体"/>
          <w:spacing w:val="8"/>
          <w:sz w:val="21"/>
          <w:szCs w:val="21"/>
          <w:highlight w:val="none"/>
          <w:lang w:val="en-US" w:eastAsia="zh-CN"/>
        </w:rPr>
      </w:pPr>
      <w:r>
        <w:rPr>
          <w:rFonts w:hint="eastAsia" w:ascii="宋体" w:hAnsi="宋体" w:cs="宋体"/>
          <w:spacing w:val="8"/>
          <w:sz w:val="21"/>
          <w:szCs w:val="21"/>
          <w:highlight w:val="none"/>
          <w:lang w:val="en-US" w:eastAsia="zh-CN"/>
        </w:rPr>
        <w:t>巡查范围未全路段覆盖，每缺少1公里扣0.2分；</w:t>
      </w:r>
    </w:p>
    <w:p w14:paraId="3C505E19">
      <w:pPr>
        <w:pStyle w:val="11"/>
        <w:spacing w:line="360" w:lineRule="auto"/>
        <w:ind w:left="7" w:right="58" w:firstLine="452" w:firstLineChars="200"/>
        <w:rPr>
          <w:rFonts w:hint="default" w:ascii="宋体" w:hAnsi="宋体" w:cs="宋体"/>
          <w:spacing w:val="8"/>
          <w:sz w:val="21"/>
          <w:szCs w:val="21"/>
          <w:highlight w:val="none"/>
          <w:lang w:val="en-US" w:eastAsia="zh-CN"/>
        </w:rPr>
      </w:pPr>
      <w:r>
        <w:rPr>
          <w:rFonts w:hint="default" w:ascii="宋体" w:hAnsi="宋体" w:cs="宋体"/>
          <w:spacing w:val="8"/>
          <w:sz w:val="21"/>
          <w:szCs w:val="21"/>
          <w:highlight w:val="none"/>
          <w:lang w:val="en-US" w:eastAsia="zh-CN"/>
        </w:rPr>
        <w:t>发现涉路</w:t>
      </w:r>
      <w:r>
        <w:rPr>
          <w:rFonts w:hint="eastAsia" w:ascii="宋体" w:hAnsi="宋体" w:cs="宋体"/>
          <w:spacing w:val="8"/>
          <w:sz w:val="21"/>
          <w:szCs w:val="21"/>
          <w:highlight w:val="none"/>
          <w:lang w:val="en-US" w:eastAsia="zh-CN"/>
        </w:rPr>
        <w:t>侵权的</w:t>
      </w:r>
      <w:r>
        <w:rPr>
          <w:rFonts w:hint="default" w:ascii="宋体" w:hAnsi="宋体" w:cs="宋体"/>
          <w:spacing w:val="8"/>
          <w:sz w:val="21"/>
          <w:szCs w:val="21"/>
          <w:highlight w:val="none"/>
          <w:lang w:val="en-US" w:eastAsia="zh-CN"/>
        </w:rPr>
        <w:t>，未及时制止或报告的每次扣0.</w:t>
      </w:r>
      <w:r>
        <w:rPr>
          <w:rFonts w:hint="eastAsia" w:ascii="宋体" w:hAnsi="宋体" w:cs="宋体"/>
          <w:spacing w:val="8"/>
          <w:sz w:val="21"/>
          <w:szCs w:val="21"/>
          <w:highlight w:val="none"/>
          <w:lang w:val="en-US" w:eastAsia="zh-CN"/>
        </w:rPr>
        <w:t>1</w:t>
      </w:r>
      <w:r>
        <w:rPr>
          <w:rFonts w:hint="default" w:ascii="宋体" w:hAnsi="宋体" w:cs="宋体"/>
          <w:spacing w:val="8"/>
          <w:sz w:val="21"/>
          <w:szCs w:val="21"/>
          <w:highlight w:val="none"/>
          <w:lang w:val="en-US" w:eastAsia="zh-CN"/>
        </w:rPr>
        <w:t>分</w:t>
      </w:r>
      <w:r>
        <w:rPr>
          <w:rFonts w:hint="eastAsia" w:ascii="宋体" w:hAnsi="宋体" w:cs="宋体"/>
          <w:spacing w:val="8"/>
          <w:sz w:val="21"/>
          <w:szCs w:val="21"/>
          <w:highlight w:val="none"/>
          <w:lang w:val="en-US" w:eastAsia="zh-CN"/>
        </w:rPr>
        <w:t>；</w:t>
      </w:r>
    </w:p>
    <w:p w14:paraId="47AF2379">
      <w:pPr>
        <w:pStyle w:val="11"/>
        <w:spacing w:line="360" w:lineRule="auto"/>
        <w:ind w:left="7" w:right="58" w:firstLine="452" w:firstLineChars="200"/>
        <w:rPr>
          <w:rFonts w:hint="eastAsia" w:ascii="宋体" w:hAnsi="宋体" w:cs="宋体"/>
          <w:spacing w:val="8"/>
          <w:sz w:val="21"/>
          <w:szCs w:val="21"/>
          <w:highlight w:val="none"/>
          <w:lang w:val="en-US" w:eastAsia="zh-CN"/>
        </w:rPr>
      </w:pPr>
      <w:r>
        <w:rPr>
          <w:rFonts w:hint="default" w:ascii="宋体" w:hAnsi="宋体" w:cs="宋体"/>
          <w:spacing w:val="8"/>
          <w:sz w:val="21"/>
          <w:szCs w:val="21"/>
          <w:highlight w:val="none"/>
          <w:lang w:val="en-US" w:eastAsia="zh-CN"/>
        </w:rPr>
        <w:t>未开展节假日巡查的，每天扣0.5分</w:t>
      </w:r>
      <w:r>
        <w:rPr>
          <w:rFonts w:hint="eastAsia" w:ascii="宋体" w:hAnsi="宋体" w:cs="宋体"/>
          <w:spacing w:val="8"/>
          <w:sz w:val="21"/>
          <w:szCs w:val="21"/>
          <w:highlight w:val="none"/>
          <w:lang w:val="en-US" w:eastAsia="zh-CN"/>
        </w:rPr>
        <w:t>；</w:t>
      </w:r>
    </w:p>
    <w:p w14:paraId="3829CC06">
      <w:pPr>
        <w:pStyle w:val="11"/>
        <w:spacing w:line="360" w:lineRule="auto"/>
        <w:ind w:left="7" w:right="58" w:firstLine="452" w:firstLineChars="200"/>
        <w:rPr>
          <w:rFonts w:hint="eastAsia" w:ascii="宋体" w:hAnsi="宋体" w:cs="宋体"/>
          <w:spacing w:val="8"/>
          <w:sz w:val="21"/>
          <w:szCs w:val="21"/>
          <w:highlight w:val="none"/>
          <w:lang w:val="en-US" w:eastAsia="zh-CN"/>
        </w:rPr>
      </w:pPr>
      <w:r>
        <w:rPr>
          <w:rFonts w:hint="eastAsia" w:ascii="宋体" w:hAnsi="宋体" w:cs="宋体"/>
          <w:spacing w:val="8"/>
          <w:sz w:val="21"/>
          <w:szCs w:val="21"/>
          <w:highlight w:val="none"/>
          <w:lang w:val="en-US" w:eastAsia="zh-CN"/>
        </w:rPr>
        <w:t>巡查记录资料不全每项扣0.1分，资料未归档装订每月扣0.2分，未按时提交每次扣0.2分。</w:t>
      </w:r>
    </w:p>
    <w:p w14:paraId="533C88EC">
      <w:pPr>
        <w:pStyle w:val="11"/>
        <w:spacing w:line="360" w:lineRule="auto"/>
        <w:ind w:firstLine="416" w:firstLineChars="200"/>
        <w:rPr>
          <w:rFonts w:hint="eastAsia" w:ascii="宋体" w:hAnsi="宋体" w:eastAsia="宋体" w:cs="宋体"/>
          <w:color w:val="000000"/>
          <w:spacing w:val="-1"/>
          <w:sz w:val="21"/>
          <w:szCs w:val="21"/>
          <w:highlight w:val="none"/>
        </w:rPr>
      </w:pPr>
      <w:r>
        <w:rPr>
          <w:rFonts w:hint="eastAsia" w:ascii="宋体" w:hAnsi="宋体" w:cs="宋体"/>
          <w:color w:val="000000"/>
          <w:spacing w:val="-1"/>
          <w:sz w:val="21"/>
          <w:szCs w:val="21"/>
          <w:highlight w:val="none"/>
          <w:lang w:val="en-US" w:eastAsia="zh-CN"/>
        </w:rPr>
        <w:t>1.2</w:t>
      </w:r>
      <w:r>
        <w:rPr>
          <w:rFonts w:hint="eastAsia" w:ascii="宋体" w:hAnsi="宋体" w:eastAsia="宋体" w:cs="宋体"/>
          <w:sz w:val="21"/>
          <w:szCs w:val="21"/>
          <w:highlight w:val="none"/>
        </w:rPr>
        <w:t>经常检查</w:t>
      </w:r>
    </w:p>
    <w:p w14:paraId="2F42CEDE">
      <w:pPr>
        <w:pStyle w:val="11"/>
        <w:spacing w:line="360" w:lineRule="auto"/>
        <w:ind w:firstLine="420" w:firstLineChars="200"/>
        <w:rPr>
          <w:rFonts w:hint="eastAsia" w:ascii="宋体" w:hAnsi="宋体" w:eastAsia="宋体" w:cs="宋体"/>
          <w:b/>
          <w:bCs/>
          <w:sz w:val="21"/>
          <w:szCs w:val="21"/>
          <w:highlight w:val="none"/>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.1工作</w:t>
      </w:r>
      <w:r>
        <w:rPr>
          <w:rFonts w:hint="eastAsia" w:ascii="宋体" w:hAnsi="宋体" w:cs="宋体"/>
          <w:sz w:val="21"/>
          <w:szCs w:val="21"/>
          <w:highlight w:val="none"/>
          <w:lang w:val="en-US" w:eastAsia="zh-CN"/>
        </w:rPr>
        <w:t>内容及</w:t>
      </w:r>
      <w:r>
        <w:rPr>
          <w:rFonts w:hint="eastAsia" w:ascii="宋体" w:hAnsi="宋体" w:eastAsia="宋体" w:cs="宋体"/>
          <w:sz w:val="21"/>
          <w:szCs w:val="21"/>
          <w:highlight w:val="none"/>
        </w:rPr>
        <w:t>要求：按</w:t>
      </w:r>
      <w:r>
        <w:rPr>
          <w:rFonts w:hint="eastAsia" w:ascii="宋体" w:hAnsi="宋体" w:eastAsia="宋体" w:cs="宋体"/>
          <w:b/>
          <w:bCs/>
          <w:spacing w:val="-14"/>
          <w:sz w:val="21"/>
          <w:szCs w:val="21"/>
          <w:highlight w:val="none"/>
        </w:rPr>
        <w:t>表4.4.2</w:t>
      </w:r>
      <w:r>
        <w:rPr>
          <w:rFonts w:hint="eastAsia" w:ascii="宋体" w:hAnsi="宋体" w:eastAsia="宋体" w:cs="宋体"/>
          <w:sz w:val="21"/>
          <w:szCs w:val="21"/>
          <w:highlight w:val="none"/>
        </w:rPr>
        <w:t>检查频率对</w:t>
      </w:r>
      <w:r>
        <w:rPr>
          <w:rFonts w:hint="eastAsia" w:ascii="宋体" w:hAnsi="宋体" w:eastAsia="宋体" w:cs="宋体"/>
          <w:color w:val="000000"/>
          <w:spacing w:val="-1"/>
          <w:sz w:val="21"/>
          <w:szCs w:val="21"/>
          <w:highlight w:val="none"/>
        </w:rPr>
        <w:t>路基、路面、交通工程及沿线设</w:t>
      </w:r>
      <w:r>
        <w:rPr>
          <w:rFonts w:hint="eastAsia" w:ascii="宋体" w:hAnsi="宋体" w:eastAsia="宋体" w:cs="宋体"/>
          <w:color w:val="000000"/>
          <w:sz w:val="21"/>
          <w:szCs w:val="21"/>
          <w:highlight w:val="none"/>
        </w:rPr>
        <w:t>施、</w:t>
      </w:r>
      <w:r>
        <w:rPr>
          <w:rFonts w:hint="eastAsia" w:ascii="宋体" w:hAnsi="宋体" w:eastAsia="宋体" w:cs="宋体"/>
          <w:sz w:val="21"/>
          <w:szCs w:val="21"/>
          <w:highlight w:val="none"/>
        </w:rPr>
        <w:t>涵洞等设施经常检查，检查内容包括是否存在病害及隐患、使用功能是否正常、以及既有病害的发展情况等，经常检查应抵近检查</w:t>
      </w:r>
      <w:r>
        <w:rPr>
          <w:rFonts w:hint="eastAsia" w:ascii="宋体" w:hAnsi="宋体" w:eastAsia="宋体" w:cs="宋体"/>
          <w:spacing w:val="-1"/>
          <w:sz w:val="21"/>
          <w:szCs w:val="21"/>
          <w:highlight w:val="none"/>
        </w:rPr>
        <w:t>。</w:t>
      </w:r>
      <w:r>
        <w:rPr>
          <w:rFonts w:hint="eastAsia" w:ascii="宋体" w:hAnsi="宋体" w:eastAsia="宋体" w:cs="宋体"/>
          <w:sz w:val="21"/>
          <w:szCs w:val="21"/>
          <w:highlight w:val="none"/>
        </w:rPr>
        <w:t>做好设施病害记录，作为月度或下年度养护计划依据</w:t>
      </w:r>
      <w:r>
        <w:rPr>
          <w:rFonts w:hint="eastAsia" w:ascii="宋体" w:hAnsi="宋体" w:eastAsia="宋体" w:cs="宋体"/>
          <w:spacing w:val="-1"/>
          <w:sz w:val="21"/>
          <w:szCs w:val="21"/>
          <w:highlight w:val="none"/>
        </w:rPr>
        <w:t>。</w:t>
      </w:r>
    </w:p>
    <w:p w14:paraId="5AA0EB38">
      <w:pPr>
        <w:spacing w:line="360" w:lineRule="auto"/>
        <w:jc w:val="center"/>
        <w:rPr>
          <w:rFonts w:hint="eastAsia" w:ascii="宋体" w:hAnsi="宋体" w:eastAsia="宋体" w:cs="宋体"/>
          <w:sz w:val="21"/>
          <w:szCs w:val="21"/>
          <w:highlight w:val="none"/>
        </w:rPr>
      </w:pPr>
      <w:r>
        <w:rPr>
          <w:rFonts w:hint="eastAsia" w:ascii="宋体" w:hAnsi="宋体" w:eastAsia="宋体" w:cs="宋体"/>
          <w:b/>
          <w:bCs/>
          <w:spacing w:val="-14"/>
          <w:sz w:val="21"/>
          <w:szCs w:val="21"/>
          <w:highlight w:val="none"/>
        </w:rPr>
        <w:t>表4.4.2经常检查频率</w:t>
      </w:r>
    </w:p>
    <w:tbl>
      <w:tblPr>
        <w:tblStyle w:val="25"/>
        <w:tblW w:w="7975"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2"/>
        <w:gridCol w:w="1490"/>
        <w:gridCol w:w="1701"/>
        <w:gridCol w:w="2552"/>
      </w:tblGrid>
      <w:tr w14:paraId="53C98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232" w:type="dxa"/>
            <w:tcBorders>
              <w:top w:val="single" w:color="000000" w:sz="4" w:space="0"/>
              <w:left w:val="single" w:color="000000" w:sz="4" w:space="0"/>
              <w:bottom w:val="single" w:color="000000" w:sz="4" w:space="0"/>
              <w:right w:val="single" w:color="000000" w:sz="4" w:space="0"/>
            </w:tcBorders>
          </w:tcPr>
          <w:p w14:paraId="5EB7A91C">
            <w:pPr>
              <w:pStyle w:val="29"/>
              <w:tabs>
                <w:tab w:val="left" w:pos="0"/>
              </w:tabs>
              <w:spacing w:line="360" w:lineRule="auto"/>
              <w:ind w:left="535"/>
              <w:rPr>
                <w:rFonts w:hint="eastAsia" w:ascii="宋体" w:hAnsi="宋体" w:eastAsia="宋体" w:cs="宋体"/>
                <w:color w:val="000000"/>
                <w:sz w:val="21"/>
                <w:szCs w:val="21"/>
                <w:highlight w:val="none"/>
              </w:rPr>
            </w:pPr>
            <w:r>
              <w:rPr>
                <w:rFonts w:hint="eastAsia" w:ascii="宋体" w:hAnsi="宋体" w:eastAsia="宋体" w:cs="宋体"/>
                <w:color w:val="000000"/>
                <w:spacing w:val="-2"/>
                <w:sz w:val="21"/>
                <w:szCs w:val="21"/>
                <w:highlight w:val="none"/>
              </w:rPr>
              <w:t>养护检查等级</w:t>
            </w:r>
          </w:p>
        </w:tc>
        <w:tc>
          <w:tcPr>
            <w:tcW w:w="1490" w:type="dxa"/>
            <w:tcBorders>
              <w:top w:val="single" w:color="000000" w:sz="4" w:space="0"/>
              <w:left w:val="single" w:color="000000" w:sz="4" w:space="0"/>
              <w:bottom w:val="single" w:color="000000" w:sz="4" w:space="0"/>
              <w:right w:val="single" w:color="000000" w:sz="4" w:space="0"/>
            </w:tcBorders>
          </w:tcPr>
          <w:p w14:paraId="1DEA219F">
            <w:pPr>
              <w:pStyle w:val="29"/>
              <w:tabs>
                <w:tab w:val="left" w:pos="0"/>
              </w:tabs>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pacing w:val="3"/>
                <w:sz w:val="21"/>
                <w:szCs w:val="21"/>
                <w:highlight w:val="none"/>
              </w:rPr>
              <w:t>I级</w:t>
            </w:r>
          </w:p>
        </w:tc>
        <w:tc>
          <w:tcPr>
            <w:tcW w:w="1701" w:type="dxa"/>
            <w:tcBorders>
              <w:top w:val="single" w:color="000000" w:sz="4" w:space="0"/>
              <w:left w:val="single" w:color="000000" w:sz="4" w:space="0"/>
              <w:bottom w:val="single" w:color="000000" w:sz="4" w:space="0"/>
              <w:right w:val="single" w:color="000000" w:sz="4" w:space="0"/>
            </w:tcBorders>
          </w:tcPr>
          <w:p w14:paraId="7D3FE9F3">
            <w:pPr>
              <w:pStyle w:val="29"/>
              <w:tabs>
                <w:tab w:val="left" w:pos="0"/>
              </w:tabs>
              <w:spacing w:line="360" w:lineRule="auto"/>
              <w:ind w:left="915"/>
              <w:rPr>
                <w:rFonts w:hint="eastAsia" w:ascii="宋体" w:hAnsi="宋体" w:eastAsia="宋体" w:cs="宋体"/>
                <w:color w:val="000000"/>
                <w:sz w:val="21"/>
                <w:szCs w:val="21"/>
                <w:highlight w:val="none"/>
              </w:rPr>
            </w:pPr>
            <w:r>
              <w:rPr>
                <w:rFonts w:hint="eastAsia" w:ascii="宋体" w:hAnsi="宋体" w:eastAsia="宋体" w:cs="宋体"/>
                <w:color w:val="000000"/>
                <w:spacing w:val="-21"/>
                <w:sz w:val="21"/>
                <w:szCs w:val="21"/>
                <w:highlight w:val="none"/>
              </w:rPr>
              <w:t>Ⅱ</w:t>
            </w:r>
            <w:r>
              <w:rPr>
                <w:rFonts w:hint="eastAsia" w:ascii="宋体" w:hAnsi="宋体" w:eastAsia="宋体" w:cs="宋体"/>
                <w:color w:val="000000"/>
                <w:spacing w:val="-32"/>
                <w:sz w:val="21"/>
                <w:szCs w:val="21"/>
                <w:highlight w:val="none"/>
              </w:rPr>
              <w:t xml:space="preserve"> </w:t>
            </w:r>
            <w:r>
              <w:rPr>
                <w:rFonts w:hint="eastAsia" w:ascii="宋体" w:hAnsi="宋体" w:eastAsia="宋体" w:cs="宋体"/>
                <w:color w:val="000000"/>
                <w:spacing w:val="-21"/>
                <w:sz w:val="21"/>
                <w:szCs w:val="21"/>
                <w:highlight w:val="none"/>
              </w:rPr>
              <w:t>级</w:t>
            </w:r>
          </w:p>
        </w:tc>
        <w:tc>
          <w:tcPr>
            <w:tcW w:w="2552" w:type="dxa"/>
            <w:tcBorders>
              <w:top w:val="single" w:color="000000" w:sz="4" w:space="0"/>
              <w:left w:val="single" w:color="000000" w:sz="4" w:space="0"/>
              <w:bottom w:val="single" w:color="000000" w:sz="4" w:space="0"/>
              <w:right w:val="single" w:color="000000" w:sz="4" w:space="0"/>
            </w:tcBorders>
          </w:tcPr>
          <w:p w14:paraId="79F1A05E">
            <w:pPr>
              <w:pStyle w:val="29"/>
              <w:tabs>
                <w:tab w:val="left" w:pos="0"/>
              </w:tabs>
              <w:spacing w:line="360" w:lineRule="auto"/>
              <w:ind w:left="918"/>
              <w:rPr>
                <w:rFonts w:hint="eastAsia" w:ascii="宋体" w:hAnsi="宋体" w:eastAsia="宋体" w:cs="宋体"/>
                <w:color w:val="000000"/>
                <w:sz w:val="21"/>
                <w:szCs w:val="21"/>
                <w:highlight w:val="none"/>
              </w:rPr>
            </w:pPr>
            <w:r>
              <w:rPr>
                <w:rFonts w:hint="eastAsia" w:ascii="宋体" w:hAnsi="宋体" w:eastAsia="宋体" w:cs="宋体"/>
                <w:color w:val="000000"/>
                <w:spacing w:val="-2"/>
                <w:sz w:val="21"/>
                <w:szCs w:val="21"/>
                <w:highlight w:val="none"/>
              </w:rPr>
              <w:t>Ⅲ级</w:t>
            </w:r>
          </w:p>
        </w:tc>
      </w:tr>
      <w:tr w14:paraId="3CFCA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2232" w:type="dxa"/>
            <w:tcBorders>
              <w:top w:val="single" w:color="000000" w:sz="4" w:space="0"/>
              <w:left w:val="single" w:color="000000" w:sz="4" w:space="0"/>
              <w:bottom w:val="single" w:color="000000" w:sz="4" w:space="0"/>
              <w:right w:val="single" w:color="000000" w:sz="4" w:space="0"/>
            </w:tcBorders>
          </w:tcPr>
          <w:p w14:paraId="1C65CA8E">
            <w:pPr>
              <w:pStyle w:val="29"/>
              <w:tabs>
                <w:tab w:val="left" w:pos="0"/>
              </w:tabs>
              <w:spacing w:line="360" w:lineRule="auto"/>
              <w:ind w:left="725"/>
              <w:rPr>
                <w:rFonts w:hint="eastAsia" w:ascii="宋体" w:hAnsi="宋体" w:eastAsia="宋体" w:cs="宋体"/>
                <w:color w:val="000000"/>
                <w:sz w:val="21"/>
                <w:szCs w:val="21"/>
                <w:highlight w:val="none"/>
              </w:rPr>
            </w:pPr>
            <w:r>
              <w:rPr>
                <w:rFonts w:hint="eastAsia" w:ascii="宋体" w:hAnsi="宋体" w:eastAsia="宋体" w:cs="宋体"/>
                <w:color w:val="000000"/>
                <w:spacing w:val="-2"/>
                <w:sz w:val="21"/>
                <w:szCs w:val="21"/>
                <w:highlight w:val="none"/>
              </w:rPr>
              <w:t>检查频率</w:t>
            </w:r>
          </w:p>
        </w:tc>
        <w:tc>
          <w:tcPr>
            <w:tcW w:w="1490" w:type="dxa"/>
            <w:tcBorders>
              <w:top w:val="single" w:color="000000" w:sz="4" w:space="0"/>
              <w:left w:val="single" w:color="000000" w:sz="4" w:space="0"/>
              <w:bottom w:val="single" w:color="000000" w:sz="4" w:space="0"/>
              <w:right w:val="single" w:color="000000" w:sz="4" w:space="0"/>
            </w:tcBorders>
          </w:tcPr>
          <w:p w14:paraId="11520B1E">
            <w:pPr>
              <w:pStyle w:val="29"/>
              <w:tabs>
                <w:tab w:val="left" w:pos="0"/>
              </w:tabs>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pacing w:val="9"/>
                <w:sz w:val="21"/>
                <w:szCs w:val="21"/>
                <w:highlight w:val="none"/>
              </w:rPr>
              <w:t>1次/月</w:t>
            </w:r>
          </w:p>
        </w:tc>
        <w:tc>
          <w:tcPr>
            <w:tcW w:w="1701" w:type="dxa"/>
            <w:tcBorders>
              <w:top w:val="single" w:color="000000" w:sz="4" w:space="0"/>
              <w:left w:val="single" w:color="000000" w:sz="4" w:space="0"/>
              <w:bottom w:val="single" w:color="000000" w:sz="4" w:space="0"/>
              <w:right w:val="single" w:color="000000" w:sz="4" w:space="0"/>
            </w:tcBorders>
          </w:tcPr>
          <w:p w14:paraId="61343AD5">
            <w:pPr>
              <w:pStyle w:val="29"/>
              <w:tabs>
                <w:tab w:val="left" w:pos="0"/>
              </w:tabs>
              <w:spacing w:line="360" w:lineRule="auto"/>
              <w:ind w:left="776"/>
              <w:rPr>
                <w:rFonts w:hint="eastAsia" w:ascii="宋体" w:hAnsi="宋体" w:eastAsia="宋体" w:cs="宋体"/>
                <w:color w:val="000000"/>
                <w:sz w:val="21"/>
                <w:szCs w:val="21"/>
                <w:highlight w:val="none"/>
              </w:rPr>
            </w:pPr>
            <w:r>
              <w:rPr>
                <w:rFonts w:hint="eastAsia" w:ascii="宋体" w:hAnsi="宋体" w:eastAsia="宋体" w:cs="宋体"/>
                <w:color w:val="000000"/>
                <w:spacing w:val="6"/>
                <w:sz w:val="21"/>
                <w:szCs w:val="21"/>
                <w:highlight w:val="none"/>
              </w:rPr>
              <w:t>1次/2月</w:t>
            </w:r>
          </w:p>
        </w:tc>
        <w:tc>
          <w:tcPr>
            <w:tcW w:w="2552" w:type="dxa"/>
            <w:tcBorders>
              <w:top w:val="single" w:color="000000" w:sz="4" w:space="0"/>
              <w:left w:val="single" w:color="000000" w:sz="4" w:space="0"/>
              <w:bottom w:val="single" w:color="000000" w:sz="4" w:space="0"/>
              <w:right w:val="single" w:color="000000" w:sz="4" w:space="0"/>
            </w:tcBorders>
          </w:tcPr>
          <w:p w14:paraId="5F260EC4">
            <w:pPr>
              <w:pStyle w:val="29"/>
              <w:tabs>
                <w:tab w:val="left" w:pos="0"/>
              </w:tabs>
              <w:spacing w:line="360" w:lineRule="auto"/>
              <w:ind w:left="777"/>
              <w:rPr>
                <w:rFonts w:hint="eastAsia" w:ascii="宋体" w:hAnsi="宋体" w:eastAsia="宋体" w:cs="宋体"/>
                <w:color w:val="000000"/>
                <w:sz w:val="21"/>
                <w:szCs w:val="21"/>
                <w:highlight w:val="none"/>
              </w:rPr>
            </w:pPr>
            <w:r>
              <w:rPr>
                <w:rFonts w:hint="eastAsia" w:ascii="宋体" w:hAnsi="宋体" w:eastAsia="宋体" w:cs="宋体"/>
                <w:color w:val="000000"/>
                <w:spacing w:val="6"/>
                <w:sz w:val="21"/>
                <w:szCs w:val="21"/>
                <w:highlight w:val="none"/>
              </w:rPr>
              <w:t>1次/3月</w:t>
            </w:r>
          </w:p>
        </w:tc>
      </w:tr>
    </w:tbl>
    <w:p w14:paraId="508235FF">
      <w:pPr>
        <w:pStyle w:val="11"/>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1.2</w:t>
      </w:r>
      <w:r>
        <w:rPr>
          <w:rFonts w:hint="eastAsia" w:asciiTheme="minorEastAsia" w:hAnsiTheme="minorEastAsia" w:eastAsiaTheme="minorEastAsia" w:cstheme="minorEastAsia"/>
          <w:sz w:val="21"/>
          <w:szCs w:val="21"/>
          <w:highlight w:val="none"/>
        </w:rPr>
        <w:t>.2考核标准：</w:t>
      </w:r>
      <w:r>
        <w:rPr>
          <w:rFonts w:hint="eastAsia" w:asciiTheme="minorEastAsia" w:hAnsiTheme="minorEastAsia" w:eastAsiaTheme="minorEastAsia" w:cstheme="minorEastAsia"/>
          <w:spacing w:val="9"/>
          <w:sz w:val="21"/>
          <w:szCs w:val="21"/>
          <w:highlight w:val="none"/>
        </w:rPr>
        <w:t>巡查频率符合规定</w:t>
      </w:r>
      <w:r>
        <w:rPr>
          <w:rFonts w:hint="eastAsia" w:asciiTheme="minorEastAsia" w:hAnsiTheme="minorEastAsia" w:eastAsiaTheme="minorEastAsia" w:cstheme="minorEastAsia"/>
          <w:spacing w:val="9"/>
          <w:sz w:val="21"/>
          <w:szCs w:val="21"/>
          <w:highlight w:val="none"/>
          <w:lang w:eastAsia="zh-CN"/>
        </w:rPr>
        <w:t>，</w:t>
      </w:r>
      <w:r>
        <w:rPr>
          <w:rFonts w:hint="eastAsia" w:asciiTheme="minorEastAsia" w:hAnsiTheme="minorEastAsia" w:eastAsiaTheme="minorEastAsia" w:cstheme="minorEastAsia"/>
          <w:spacing w:val="9"/>
          <w:sz w:val="21"/>
          <w:szCs w:val="21"/>
          <w:highlight w:val="none"/>
          <w:lang w:val="en-US" w:eastAsia="zh-CN"/>
        </w:rPr>
        <w:t>检查对象全面，</w:t>
      </w:r>
      <w:r>
        <w:rPr>
          <w:rFonts w:hint="eastAsia" w:asciiTheme="minorEastAsia" w:hAnsiTheme="minorEastAsia" w:eastAsiaTheme="minorEastAsia" w:cstheme="minorEastAsia"/>
          <w:sz w:val="21"/>
          <w:szCs w:val="21"/>
          <w:highlight w:val="none"/>
          <w:lang w:val="en-US" w:eastAsia="zh-CN"/>
        </w:rPr>
        <w:t>对</w:t>
      </w:r>
      <w:r>
        <w:rPr>
          <w:rFonts w:hint="eastAsia" w:asciiTheme="minorEastAsia" w:hAnsiTheme="minorEastAsia" w:eastAsiaTheme="minorEastAsia" w:cstheme="minorEastAsia"/>
          <w:sz w:val="21"/>
          <w:szCs w:val="21"/>
          <w:highlight w:val="none"/>
        </w:rPr>
        <w:t>新增破损情况或原有病害发展情况记录并报告发包人，对使用功能进行安全评估，对设施病害编制月度或年度修复计划报备发包人。</w:t>
      </w:r>
    </w:p>
    <w:p w14:paraId="4669E598">
      <w:pPr>
        <w:pStyle w:val="11"/>
        <w:spacing w:line="360" w:lineRule="auto"/>
        <w:ind w:left="7" w:right="58" w:firstLine="452" w:firstLineChars="200"/>
        <w:rPr>
          <w:rFonts w:hint="eastAsia" w:asciiTheme="minorEastAsia" w:hAnsiTheme="minorEastAsia" w:eastAsiaTheme="minorEastAsia" w:cstheme="minorEastAsia"/>
          <w:spacing w:val="8"/>
          <w:sz w:val="21"/>
          <w:szCs w:val="21"/>
          <w:highlight w:val="none"/>
          <w:lang w:val="en-US" w:eastAsia="zh-CN"/>
        </w:rPr>
      </w:pPr>
      <w:r>
        <w:rPr>
          <w:rFonts w:hint="eastAsia" w:asciiTheme="minorEastAsia" w:hAnsiTheme="minorEastAsia" w:eastAsiaTheme="minorEastAsia" w:cstheme="minorEastAsia"/>
          <w:spacing w:val="8"/>
          <w:sz w:val="21"/>
          <w:szCs w:val="21"/>
          <w:highlight w:val="none"/>
          <w:lang w:val="en-US" w:eastAsia="zh-CN"/>
        </w:rPr>
        <w:t>检查频率不符合要求的，每少1次扣0.5分；</w:t>
      </w:r>
    </w:p>
    <w:p w14:paraId="6456811D">
      <w:pPr>
        <w:pStyle w:val="11"/>
        <w:spacing w:line="360" w:lineRule="auto"/>
        <w:ind w:left="7" w:right="58" w:firstLine="452" w:firstLineChars="200"/>
        <w:rPr>
          <w:rFonts w:hint="eastAsia" w:asciiTheme="minorEastAsia" w:hAnsiTheme="minorEastAsia" w:eastAsiaTheme="minorEastAsia" w:cstheme="minorEastAsia"/>
          <w:spacing w:val="8"/>
          <w:sz w:val="21"/>
          <w:szCs w:val="21"/>
          <w:highlight w:val="none"/>
          <w:lang w:val="en-US" w:eastAsia="zh-CN"/>
        </w:rPr>
      </w:pPr>
      <w:r>
        <w:rPr>
          <w:rFonts w:hint="eastAsia" w:asciiTheme="minorEastAsia" w:hAnsiTheme="minorEastAsia" w:eastAsiaTheme="minorEastAsia" w:cstheme="minorEastAsia"/>
          <w:spacing w:val="8"/>
          <w:sz w:val="21"/>
          <w:szCs w:val="21"/>
          <w:highlight w:val="none"/>
          <w:lang w:val="en-US" w:eastAsia="zh-CN"/>
        </w:rPr>
        <w:t>检查范围不全面，每少一处设施扣0.1分；</w:t>
      </w:r>
    </w:p>
    <w:p w14:paraId="2AD10D02">
      <w:pPr>
        <w:pStyle w:val="11"/>
        <w:spacing w:line="360" w:lineRule="auto"/>
        <w:ind w:left="7" w:right="58" w:firstLine="452" w:firstLineChars="200"/>
        <w:rPr>
          <w:rFonts w:hint="eastAsia" w:asciiTheme="minorEastAsia" w:hAnsiTheme="minorEastAsia" w:eastAsiaTheme="minorEastAsia" w:cstheme="minorEastAsia"/>
          <w:spacing w:val="8"/>
          <w:sz w:val="21"/>
          <w:szCs w:val="21"/>
          <w:highlight w:val="none"/>
          <w:lang w:val="en-US" w:eastAsia="zh-CN"/>
        </w:rPr>
      </w:pPr>
      <w:r>
        <w:rPr>
          <w:rFonts w:hint="eastAsia" w:asciiTheme="minorEastAsia" w:hAnsiTheme="minorEastAsia" w:eastAsiaTheme="minorEastAsia" w:cstheme="minorEastAsia"/>
          <w:spacing w:val="8"/>
          <w:sz w:val="21"/>
          <w:szCs w:val="21"/>
          <w:highlight w:val="none"/>
          <w:lang w:val="en-US" w:eastAsia="zh-CN"/>
        </w:rPr>
        <w:t>未报告设施异常情况或新增损坏情况每处扣0.2分；</w:t>
      </w:r>
    </w:p>
    <w:p w14:paraId="6643927F">
      <w:pPr>
        <w:pStyle w:val="11"/>
        <w:spacing w:line="360" w:lineRule="auto"/>
        <w:ind w:left="7" w:right="58" w:firstLine="452" w:firstLineChars="200"/>
        <w:rPr>
          <w:rFonts w:hint="eastAsia" w:asciiTheme="minorEastAsia" w:hAnsiTheme="minorEastAsia" w:eastAsiaTheme="minorEastAsia" w:cstheme="minorEastAsia"/>
          <w:spacing w:val="8"/>
          <w:sz w:val="21"/>
          <w:szCs w:val="21"/>
          <w:highlight w:val="none"/>
          <w:lang w:val="en-US" w:eastAsia="zh-CN"/>
        </w:rPr>
      </w:pPr>
      <w:r>
        <w:rPr>
          <w:rFonts w:hint="eastAsia" w:asciiTheme="minorEastAsia" w:hAnsiTheme="minorEastAsia" w:eastAsiaTheme="minorEastAsia" w:cstheme="minorEastAsia"/>
          <w:spacing w:val="8"/>
          <w:sz w:val="21"/>
          <w:szCs w:val="21"/>
          <w:highlight w:val="none"/>
          <w:lang w:val="en-US" w:eastAsia="zh-CN"/>
        </w:rPr>
        <w:t>对设施病害无处置计划每处扣0.2分；</w:t>
      </w:r>
    </w:p>
    <w:p w14:paraId="50568EBE">
      <w:pPr>
        <w:pStyle w:val="11"/>
        <w:spacing w:line="360" w:lineRule="auto"/>
        <w:ind w:left="7" w:right="58" w:firstLine="452"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8"/>
          <w:sz w:val="21"/>
          <w:szCs w:val="21"/>
          <w:highlight w:val="none"/>
          <w:lang w:val="en-US" w:eastAsia="zh-CN"/>
        </w:rPr>
        <w:t>检查记录资料不全每项扣0.1分，资料未归档装订扣0.5分，未按时提交每次扣0.2分。</w:t>
      </w:r>
    </w:p>
    <w:p w14:paraId="79158AFD">
      <w:pPr>
        <w:pStyle w:val="11"/>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lang w:val="en-US" w:eastAsia="zh-CN"/>
        </w:rPr>
        <w:t>2.</w:t>
      </w:r>
      <w:r>
        <w:rPr>
          <w:rFonts w:hint="eastAsia" w:asciiTheme="minorEastAsia" w:hAnsiTheme="minorEastAsia" w:eastAsiaTheme="minorEastAsia" w:cstheme="minorEastAsia"/>
          <w:b/>
          <w:bCs/>
          <w:sz w:val="24"/>
          <w:szCs w:val="24"/>
          <w:highlight w:val="none"/>
        </w:rPr>
        <w:t>日常保养（含绿化）</w:t>
      </w:r>
    </w:p>
    <w:p w14:paraId="1E750A56">
      <w:pPr>
        <w:pStyle w:val="11"/>
        <w:keepNext w:val="0"/>
        <w:keepLines w:val="0"/>
        <w:pageBreakBefore w:val="0"/>
        <w:widowControl w:val="0"/>
        <w:kinsoku/>
        <w:wordWrap/>
        <w:overflowPunct/>
        <w:topLinePunct w:val="0"/>
        <w:autoSpaceDE/>
        <w:autoSpaceDN/>
        <w:bidi w:val="0"/>
        <w:adjustRightInd/>
        <w:snapToGrid/>
        <w:spacing w:line="360" w:lineRule="auto"/>
        <w:ind w:left="17" w:firstLine="450" w:firstLineChars="200"/>
        <w:textAlignment w:val="auto"/>
        <w:rPr>
          <w:rFonts w:hint="eastAsia" w:asciiTheme="minorEastAsia" w:hAnsiTheme="minorEastAsia" w:eastAsiaTheme="minorEastAsia" w:cstheme="minorEastAsia"/>
          <w:b/>
          <w:bCs/>
          <w:spacing w:val="7"/>
          <w:sz w:val="21"/>
          <w:szCs w:val="21"/>
          <w:highlight w:val="none"/>
          <w:lang w:val="en-US" w:eastAsia="zh-CN"/>
        </w:rPr>
      </w:pPr>
      <w:r>
        <w:rPr>
          <w:rFonts w:hint="eastAsia" w:asciiTheme="minorEastAsia" w:hAnsiTheme="minorEastAsia" w:eastAsiaTheme="minorEastAsia" w:cstheme="minorEastAsia"/>
          <w:b/>
          <w:bCs/>
          <w:spacing w:val="7"/>
          <w:sz w:val="21"/>
          <w:szCs w:val="21"/>
          <w:highlight w:val="none"/>
          <w:lang w:val="en-US" w:eastAsia="zh-CN"/>
        </w:rPr>
        <w:t>2.1公路保洁</w:t>
      </w:r>
    </w:p>
    <w:p w14:paraId="5747E8C1">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eastAsia="zh-CN"/>
        </w:rPr>
      </w:pPr>
      <w:r>
        <w:rPr>
          <w:rFonts w:hint="eastAsia" w:asciiTheme="minorEastAsia" w:hAnsiTheme="minorEastAsia" w:eastAsiaTheme="minorEastAsia" w:cstheme="minorEastAsia"/>
          <w:spacing w:val="7"/>
          <w:sz w:val="21"/>
          <w:szCs w:val="21"/>
          <w:highlight w:val="none"/>
          <w:lang w:val="en-US" w:eastAsia="zh-CN"/>
        </w:rPr>
        <w:t>2.1.1工作内容及要求</w:t>
      </w:r>
      <w:r>
        <w:rPr>
          <w:rFonts w:hint="eastAsia" w:asciiTheme="minorEastAsia" w:hAnsiTheme="minorEastAsia" w:eastAsiaTheme="minorEastAsia" w:cstheme="minorEastAsia"/>
          <w:spacing w:val="7"/>
          <w:sz w:val="21"/>
          <w:szCs w:val="21"/>
          <w:highlight w:val="none"/>
          <w:lang w:eastAsia="zh-CN"/>
        </w:rPr>
        <w:t>：人工每周进行清</w:t>
      </w:r>
      <w:r>
        <w:rPr>
          <w:rFonts w:hint="eastAsia" w:asciiTheme="minorEastAsia" w:hAnsiTheme="minorEastAsia" w:eastAsiaTheme="minorEastAsia" w:cstheme="minorEastAsia"/>
          <w:spacing w:val="7"/>
          <w:sz w:val="21"/>
          <w:szCs w:val="21"/>
          <w:highlight w:val="none"/>
          <w:lang w:val="en-US" w:eastAsia="zh-CN"/>
        </w:rPr>
        <w:t>理</w:t>
      </w:r>
      <w:r>
        <w:rPr>
          <w:rFonts w:hint="eastAsia" w:asciiTheme="minorEastAsia" w:hAnsiTheme="minorEastAsia" w:eastAsiaTheme="minorEastAsia" w:cstheme="minorEastAsia"/>
          <w:spacing w:val="7"/>
          <w:sz w:val="21"/>
          <w:szCs w:val="21"/>
          <w:highlight w:val="none"/>
          <w:lang w:eastAsia="zh-CN"/>
        </w:rPr>
        <w:t>白色垃圾1遍。保持公路路基边缘以内可视范围的干净整洁，清理边坡、水沟、涵洞进出水口、路肩、路面、桥面、桥梁锥坡及踏步、支挡结构、路树、护栏、标志等范围内的白色垃圾（包含饮料瓶罐、塑料袋、果皮纸屑、烟盒烟头、食品盒、纤维物品、金属或陶制物品、竹木条、生活废弃物等）、抛洒物等。</w:t>
      </w:r>
    </w:p>
    <w:p w14:paraId="181888B6">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eastAsia="zh-CN"/>
        </w:rPr>
        <w:t>2.</w:t>
      </w:r>
      <w:r>
        <w:rPr>
          <w:rFonts w:hint="eastAsia" w:asciiTheme="minorEastAsia" w:hAnsiTheme="minorEastAsia" w:eastAsiaTheme="minorEastAsia" w:cstheme="minorEastAsia"/>
          <w:spacing w:val="7"/>
          <w:sz w:val="21"/>
          <w:szCs w:val="21"/>
          <w:highlight w:val="none"/>
          <w:lang w:val="en-US" w:eastAsia="zh-CN"/>
        </w:rPr>
        <w:t>1.2考核标准：按每周1遍进行清理，全路段常态化保持无垃圾。</w:t>
      </w:r>
    </w:p>
    <w:p w14:paraId="7064D231">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公路沿线以每100m为1处，1处内有垃圾扣0.1分；</w:t>
      </w:r>
    </w:p>
    <w:p w14:paraId="17953286">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未按频率进行清理的每公里扣0.2分；</w:t>
      </w:r>
    </w:p>
    <w:p w14:paraId="2E0CFBFE">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月度内存在连续500m以上未清理的，按整公里不合格，每公里扣1分</w:t>
      </w:r>
    </w:p>
    <w:p w14:paraId="7ECF55E0">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下达整改后，未按要求及时整改的，每处扣0.5分；</w:t>
      </w:r>
    </w:p>
    <w:p w14:paraId="3058E6C0">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未按上级部门检查整改要求整改到位的，每处扣1分。</w:t>
      </w:r>
    </w:p>
    <w:p w14:paraId="6BC73B87">
      <w:pPr>
        <w:pStyle w:val="11"/>
        <w:keepNext w:val="0"/>
        <w:keepLines w:val="0"/>
        <w:pageBreakBefore w:val="0"/>
        <w:widowControl w:val="0"/>
        <w:kinsoku/>
        <w:wordWrap/>
        <w:overflowPunct/>
        <w:topLinePunct w:val="0"/>
        <w:autoSpaceDE/>
        <w:autoSpaceDN/>
        <w:bidi w:val="0"/>
        <w:adjustRightInd/>
        <w:snapToGrid/>
        <w:spacing w:line="360" w:lineRule="auto"/>
        <w:ind w:left="17" w:firstLine="450"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pacing w:val="7"/>
          <w:sz w:val="21"/>
          <w:szCs w:val="21"/>
          <w:highlight w:val="none"/>
          <w:lang w:val="en-US" w:eastAsia="zh-CN"/>
        </w:rPr>
        <w:t>2.2</w:t>
      </w:r>
      <w:r>
        <w:rPr>
          <w:rFonts w:hint="eastAsia" w:asciiTheme="minorEastAsia" w:hAnsiTheme="minorEastAsia" w:eastAsiaTheme="minorEastAsia" w:cstheme="minorEastAsia"/>
          <w:b/>
          <w:bCs/>
          <w:spacing w:val="7"/>
          <w:sz w:val="21"/>
          <w:szCs w:val="21"/>
          <w:highlight w:val="none"/>
        </w:rPr>
        <w:t>路基日常保养</w:t>
      </w:r>
    </w:p>
    <w:p w14:paraId="4AB9D4E6">
      <w:pPr>
        <w:pStyle w:val="11"/>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Theme="minorEastAsia" w:hAnsiTheme="minorEastAsia" w:eastAsiaTheme="minorEastAsia" w:cstheme="minorEastAsia"/>
          <w:spacing w:val="8"/>
          <w:sz w:val="21"/>
          <w:szCs w:val="21"/>
          <w:highlight w:val="none"/>
        </w:rPr>
      </w:pPr>
      <w:r>
        <w:rPr>
          <w:rFonts w:hint="eastAsia" w:asciiTheme="minorEastAsia" w:hAnsiTheme="minorEastAsia" w:eastAsiaTheme="minorEastAsia" w:cstheme="minorEastAsia"/>
          <w:spacing w:val="7"/>
          <w:position w:val="1"/>
          <w:sz w:val="21"/>
          <w:szCs w:val="21"/>
          <w:highlight w:val="none"/>
          <w:lang w:val="en-US" w:eastAsia="zh-CN"/>
        </w:rPr>
        <w:t>2.2.</w:t>
      </w:r>
      <w:r>
        <w:rPr>
          <w:rFonts w:hint="eastAsia" w:asciiTheme="minorEastAsia" w:hAnsiTheme="minorEastAsia" w:eastAsiaTheme="minorEastAsia" w:cstheme="minorEastAsia"/>
          <w:spacing w:val="7"/>
          <w:position w:val="1"/>
          <w:sz w:val="21"/>
          <w:szCs w:val="21"/>
          <w:highlight w:val="none"/>
        </w:rPr>
        <w:t>1</w:t>
      </w:r>
      <w:r>
        <w:rPr>
          <w:rFonts w:hint="eastAsia" w:asciiTheme="minorEastAsia" w:hAnsiTheme="minorEastAsia" w:eastAsiaTheme="minorEastAsia" w:cstheme="minorEastAsia"/>
          <w:spacing w:val="-20"/>
          <w:position w:val="1"/>
          <w:sz w:val="21"/>
          <w:szCs w:val="21"/>
          <w:highlight w:val="none"/>
        </w:rPr>
        <w:t xml:space="preserve"> .</w:t>
      </w:r>
      <w:r>
        <w:rPr>
          <w:rFonts w:hint="eastAsia" w:asciiTheme="minorEastAsia" w:hAnsiTheme="minorEastAsia" w:eastAsiaTheme="minorEastAsia" w:cstheme="minorEastAsia"/>
          <w:spacing w:val="3"/>
          <w:position w:val="1"/>
          <w:sz w:val="21"/>
          <w:szCs w:val="21"/>
          <w:highlight w:val="none"/>
        </w:rPr>
        <w:t>工作内容</w:t>
      </w:r>
      <w:r>
        <w:rPr>
          <w:rFonts w:hint="eastAsia" w:asciiTheme="minorEastAsia" w:hAnsiTheme="minorEastAsia" w:eastAsiaTheme="minorEastAsia" w:cstheme="minorEastAsia"/>
          <w:spacing w:val="3"/>
          <w:position w:val="1"/>
          <w:sz w:val="21"/>
          <w:szCs w:val="21"/>
          <w:highlight w:val="none"/>
          <w:lang w:val="en-US" w:eastAsia="zh-CN"/>
        </w:rPr>
        <w:t>及要求：</w:t>
      </w:r>
    </w:p>
    <w:p w14:paraId="071C43E3">
      <w:pPr>
        <w:pStyle w:val="11"/>
        <w:keepNext w:val="0"/>
        <w:keepLines w:val="0"/>
        <w:pageBreakBefore w:val="0"/>
        <w:widowControl w:val="0"/>
        <w:kinsoku/>
        <w:wordWrap/>
        <w:overflowPunct/>
        <w:topLinePunct w:val="0"/>
        <w:autoSpaceDE/>
        <w:autoSpaceDN/>
        <w:bidi w:val="0"/>
        <w:adjustRightInd/>
        <w:snapToGrid/>
        <w:spacing w:line="360" w:lineRule="auto"/>
        <w:ind w:firstLine="452" w:firstLineChars="200"/>
        <w:textAlignment w:val="auto"/>
        <w:rPr>
          <w:rFonts w:hint="eastAsia" w:asciiTheme="minorEastAsia" w:hAnsiTheme="minorEastAsia" w:eastAsiaTheme="minorEastAsia" w:cstheme="minorEastAsia"/>
          <w:spacing w:val="8"/>
          <w:sz w:val="21"/>
          <w:szCs w:val="21"/>
          <w:highlight w:val="none"/>
        </w:rPr>
      </w:pPr>
      <w:r>
        <w:rPr>
          <w:rFonts w:hint="eastAsia" w:asciiTheme="minorEastAsia" w:hAnsiTheme="minorEastAsia" w:eastAsiaTheme="minorEastAsia" w:cstheme="minorEastAsia"/>
          <w:spacing w:val="8"/>
          <w:sz w:val="21"/>
          <w:szCs w:val="21"/>
          <w:highlight w:val="none"/>
          <w:lang w:eastAsia="zh-CN"/>
        </w:rPr>
        <w:t>（</w:t>
      </w:r>
      <w:r>
        <w:rPr>
          <w:rFonts w:hint="eastAsia" w:asciiTheme="minorEastAsia" w:hAnsiTheme="minorEastAsia" w:eastAsiaTheme="minorEastAsia" w:cstheme="minorEastAsia"/>
          <w:spacing w:val="8"/>
          <w:sz w:val="21"/>
          <w:szCs w:val="21"/>
          <w:highlight w:val="none"/>
          <w:lang w:val="en-US" w:eastAsia="zh-CN"/>
        </w:rPr>
        <w:t>1</w:t>
      </w:r>
      <w:r>
        <w:rPr>
          <w:rFonts w:hint="eastAsia" w:asciiTheme="minorEastAsia" w:hAnsiTheme="minorEastAsia" w:eastAsiaTheme="minorEastAsia" w:cstheme="minorEastAsia"/>
          <w:spacing w:val="8"/>
          <w:sz w:val="21"/>
          <w:szCs w:val="21"/>
          <w:highlight w:val="none"/>
          <w:lang w:eastAsia="zh-CN"/>
        </w:rPr>
        <w:t>）</w:t>
      </w:r>
      <w:r>
        <w:rPr>
          <w:rFonts w:hint="eastAsia" w:asciiTheme="minorEastAsia" w:hAnsiTheme="minorEastAsia" w:eastAsiaTheme="minorEastAsia" w:cstheme="minorEastAsia"/>
          <w:spacing w:val="8"/>
          <w:sz w:val="21"/>
          <w:szCs w:val="21"/>
          <w:highlight w:val="none"/>
        </w:rPr>
        <w:t>保持路面以上1.5米空间范围内的边坡干净整洁，形成高度平齐顺适的修整线，长草不超过15cm，无堆积物，无行车视线遮挡物，边沟底或边坡上倾倒的竹木杂物等要当天清除，每月清理边坡长草一遍。负责所有单处5m3以下的落石、塌方清理，清理后要能恢复原有水沟尺寸和排水功能及边坡线型，边坡坡面稳定平整，发生塌方后一周内清理完毕，负责清理胸径小于10cm以内倒伏路树,发生</w:t>
      </w:r>
      <w:r>
        <w:rPr>
          <w:rFonts w:hint="eastAsia" w:asciiTheme="minorEastAsia" w:hAnsiTheme="minorEastAsia" w:eastAsiaTheme="minorEastAsia" w:cstheme="minorEastAsia"/>
          <w:spacing w:val="8"/>
          <w:sz w:val="21"/>
          <w:szCs w:val="21"/>
          <w:highlight w:val="none"/>
          <w:lang w:val="en-US" w:eastAsia="zh-CN"/>
        </w:rPr>
        <w:t>落</w:t>
      </w:r>
      <w:r>
        <w:rPr>
          <w:rFonts w:hint="eastAsia" w:asciiTheme="minorEastAsia" w:hAnsiTheme="minorEastAsia" w:eastAsiaTheme="minorEastAsia" w:cstheme="minorEastAsia"/>
          <w:spacing w:val="8"/>
          <w:sz w:val="21"/>
          <w:szCs w:val="21"/>
          <w:highlight w:val="none"/>
        </w:rPr>
        <w:t>石、路树倒伏情况后4小时内清理完毕。保持路基范围内支挡结构整洁，结构外缘1米内长草不超过15cm，泄水孔疏通排水，每月清理一遍。</w:t>
      </w:r>
    </w:p>
    <w:p w14:paraId="2424839C">
      <w:pPr>
        <w:pStyle w:val="11"/>
        <w:keepNext w:val="0"/>
        <w:keepLines w:val="0"/>
        <w:pageBreakBefore w:val="0"/>
        <w:widowControl w:val="0"/>
        <w:kinsoku/>
        <w:wordWrap/>
        <w:overflowPunct/>
        <w:topLinePunct w:val="0"/>
        <w:autoSpaceDE/>
        <w:autoSpaceDN/>
        <w:bidi w:val="0"/>
        <w:adjustRightInd/>
        <w:snapToGrid/>
        <w:spacing w:line="360" w:lineRule="auto"/>
        <w:ind w:firstLine="452" w:firstLineChars="200"/>
        <w:textAlignment w:val="auto"/>
        <w:rPr>
          <w:rFonts w:hint="eastAsia" w:asciiTheme="minorEastAsia" w:hAnsiTheme="minorEastAsia" w:eastAsiaTheme="minorEastAsia" w:cstheme="minorEastAsia"/>
          <w:spacing w:val="8"/>
          <w:sz w:val="21"/>
          <w:szCs w:val="21"/>
          <w:highlight w:val="none"/>
        </w:rPr>
      </w:pPr>
      <w:r>
        <w:rPr>
          <w:rFonts w:hint="eastAsia" w:asciiTheme="minorEastAsia" w:hAnsiTheme="minorEastAsia" w:eastAsiaTheme="minorEastAsia" w:cstheme="minorEastAsia"/>
          <w:spacing w:val="8"/>
          <w:sz w:val="21"/>
          <w:szCs w:val="21"/>
          <w:highlight w:val="none"/>
          <w:lang w:eastAsia="zh-CN"/>
        </w:rPr>
        <w:t>（</w:t>
      </w:r>
      <w:r>
        <w:rPr>
          <w:rFonts w:hint="eastAsia" w:asciiTheme="minorEastAsia" w:hAnsiTheme="minorEastAsia" w:eastAsiaTheme="minorEastAsia" w:cstheme="minorEastAsia"/>
          <w:spacing w:val="8"/>
          <w:sz w:val="21"/>
          <w:szCs w:val="21"/>
          <w:highlight w:val="none"/>
          <w:lang w:val="en-US" w:eastAsia="zh-CN"/>
        </w:rPr>
        <w:t>2</w:t>
      </w:r>
      <w:r>
        <w:rPr>
          <w:rFonts w:hint="eastAsia" w:asciiTheme="minorEastAsia" w:hAnsiTheme="minorEastAsia" w:eastAsiaTheme="minorEastAsia" w:cstheme="minorEastAsia"/>
          <w:spacing w:val="8"/>
          <w:sz w:val="21"/>
          <w:szCs w:val="21"/>
          <w:highlight w:val="none"/>
          <w:lang w:eastAsia="zh-CN"/>
        </w:rPr>
        <w:t>）</w:t>
      </w:r>
      <w:r>
        <w:rPr>
          <w:rFonts w:hint="eastAsia" w:asciiTheme="minorEastAsia" w:hAnsiTheme="minorEastAsia" w:eastAsiaTheme="minorEastAsia" w:cstheme="minorEastAsia"/>
          <w:spacing w:val="8"/>
          <w:sz w:val="21"/>
          <w:szCs w:val="21"/>
          <w:highlight w:val="none"/>
        </w:rPr>
        <w:t>保持上下边坡挡墙结构周边1米空间范围内干净整洁，挡土墙、护坡、路肩墙及其他构造物表面不长杂草和植被，不被杂物和积土覆盖，顶面及侧面清晰可见，泄水孔、伸缩缝、沉降缝无堵塞且功能正常，检查便道和养护便道功能正常，墙顶或墙脚边坡形成范围不小于1米的平齐顺适的修整线，附近土基边坡长草不超过15cm，无堆积物，每月清理挡土墙杂草一遍。</w:t>
      </w:r>
    </w:p>
    <w:p w14:paraId="10DE9F68">
      <w:pPr>
        <w:pStyle w:val="11"/>
        <w:keepNext w:val="0"/>
        <w:keepLines w:val="0"/>
        <w:pageBreakBefore w:val="0"/>
        <w:widowControl w:val="0"/>
        <w:kinsoku/>
        <w:wordWrap/>
        <w:overflowPunct/>
        <w:topLinePunct w:val="0"/>
        <w:autoSpaceDE/>
        <w:autoSpaceDN/>
        <w:bidi w:val="0"/>
        <w:adjustRightInd/>
        <w:snapToGrid/>
        <w:spacing w:line="360" w:lineRule="auto"/>
        <w:ind w:firstLine="452" w:firstLineChars="200"/>
        <w:textAlignment w:val="auto"/>
        <w:rPr>
          <w:rFonts w:hint="eastAsia" w:asciiTheme="minorEastAsia" w:hAnsiTheme="minorEastAsia" w:eastAsiaTheme="minorEastAsia" w:cstheme="minorEastAsia"/>
          <w:spacing w:val="8"/>
          <w:sz w:val="21"/>
          <w:szCs w:val="21"/>
          <w:highlight w:val="none"/>
        </w:rPr>
      </w:pPr>
      <w:r>
        <w:rPr>
          <w:rFonts w:hint="eastAsia" w:asciiTheme="minorEastAsia" w:hAnsiTheme="minorEastAsia" w:eastAsiaTheme="minorEastAsia" w:cstheme="minorEastAsia"/>
          <w:spacing w:val="8"/>
          <w:sz w:val="21"/>
          <w:szCs w:val="21"/>
          <w:highlight w:val="none"/>
          <w:lang w:eastAsia="zh-CN"/>
        </w:rPr>
        <w:t>（</w:t>
      </w:r>
      <w:r>
        <w:rPr>
          <w:rFonts w:hint="eastAsia" w:asciiTheme="minorEastAsia" w:hAnsiTheme="minorEastAsia" w:eastAsiaTheme="minorEastAsia" w:cstheme="minorEastAsia"/>
          <w:spacing w:val="8"/>
          <w:sz w:val="21"/>
          <w:szCs w:val="21"/>
          <w:highlight w:val="none"/>
          <w:lang w:val="en-US" w:eastAsia="zh-CN"/>
        </w:rPr>
        <w:t>3</w:t>
      </w:r>
      <w:r>
        <w:rPr>
          <w:rFonts w:hint="eastAsia" w:asciiTheme="minorEastAsia" w:hAnsiTheme="minorEastAsia" w:eastAsiaTheme="minorEastAsia" w:cstheme="minorEastAsia"/>
          <w:spacing w:val="8"/>
          <w:sz w:val="21"/>
          <w:szCs w:val="21"/>
          <w:highlight w:val="none"/>
          <w:lang w:eastAsia="zh-CN"/>
        </w:rPr>
        <w:t>）</w:t>
      </w:r>
      <w:r>
        <w:rPr>
          <w:rFonts w:hint="eastAsia" w:asciiTheme="minorEastAsia" w:hAnsiTheme="minorEastAsia" w:eastAsiaTheme="minorEastAsia" w:cstheme="minorEastAsia"/>
          <w:spacing w:val="8"/>
          <w:sz w:val="21"/>
          <w:szCs w:val="21"/>
          <w:highlight w:val="none"/>
        </w:rPr>
        <w:t>保持边沟、截水沟、排水沟干净整洁，沟内及外露面长草不超过15cm，沟底无植物、无淤塞、无杂物堆积物堵塞，沟内断面保持排水畅通，积泥厚度不得超过</w:t>
      </w:r>
      <w:r>
        <w:rPr>
          <w:rFonts w:hint="eastAsia" w:asciiTheme="minorEastAsia" w:hAnsiTheme="minorEastAsia" w:eastAsiaTheme="minorEastAsia" w:cstheme="minorEastAsia"/>
          <w:spacing w:val="8"/>
          <w:sz w:val="21"/>
          <w:szCs w:val="21"/>
          <w:highlight w:val="none"/>
          <w:lang w:val="en-US" w:eastAsia="zh-CN"/>
        </w:rPr>
        <w:t>2</w:t>
      </w:r>
      <w:r>
        <w:rPr>
          <w:rFonts w:hint="eastAsia" w:asciiTheme="minorEastAsia" w:hAnsiTheme="minorEastAsia" w:eastAsiaTheme="minorEastAsia" w:cstheme="minorEastAsia"/>
          <w:spacing w:val="8"/>
          <w:sz w:val="21"/>
          <w:szCs w:val="21"/>
          <w:highlight w:val="none"/>
        </w:rPr>
        <w:t>cm，每月清理一遍。雨季期间全面排通，雨季后专项清理一遍。汛期加强巡查，对因水沟阻塞形成水过路面的路段立即进行人工疏通或排水引水，人工不能解决的，要马上组织机械作业，消除水过路面情况，防止水过路面冲刷路基边坡造成路基路面塌陷</w:t>
      </w:r>
    </w:p>
    <w:p w14:paraId="470DF4A9">
      <w:pPr>
        <w:pStyle w:val="11"/>
        <w:keepNext w:val="0"/>
        <w:keepLines w:val="0"/>
        <w:pageBreakBefore w:val="0"/>
        <w:widowControl w:val="0"/>
        <w:kinsoku/>
        <w:wordWrap/>
        <w:overflowPunct/>
        <w:topLinePunct w:val="0"/>
        <w:autoSpaceDE/>
        <w:autoSpaceDN/>
        <w:bidi w:val="0"/>
        <w:adjustRightInd/>
        <w:snapToGrid/>
        <w:spacing w:line="360" w:lineRule="auto"/>
        <w:ind w:firstLine="452" w:firstLineChars="200"/>
        <w:textAlignment w:val="auto"/>
        <w:rPr>
          <w:rFonts w:hint="eastAsia" w:asciiTheme="minorEastAsia" w:hAnsiTheme="minorEastAsia" w:eastAsiaTheme="minorEastAsia" w:cstheme="minorEastAsia"/>
          <w:spacing w:val="8"/>
          <w:sz w:val="21"/>
          <w:szCs w:val="21"/>
          <w:highlight w:val="none"/>
        </w:rPr>
      </w:pPr>
      <w:r>
        <w:rPr>
          <w:rFonts w:hint="eastAsia" w:asciiTheme="minorEastAsia" w:hAnsiTheme="minorEastAsia" w:eastAsiaTheme="minorEastAsia" w:cstheme="minorEastAsia"/>
          <w:spacing w:val="8"/>
          <w:sz w:val="21"/>
          <w:szCs w:val="21"/>
          <w:highlight w:val="none"/>
          <w:lang w:eastAsia="zh-CN"/>
        </w:rPr>
        <w:t>（</w:t>
      </w:r>
      <w:r>
        <w:rPr>
          <w:rFonts w:hint="eastAsia" w:asciiTheme="minorEastAsia" w:hAnsiTheme="minorEastAsia" w:eastAsiaTheme="minorEastAsia" w:cstheme="minorEastAsia"/>
          <w:spacing w:val="8"/>
          <w:sz w:val="21"/>
          <w:szCs w:val="21"/>
          <w:highlight w:val="none"/>
          <w:lang w:val="en-US" w:eastAsia="zh-CN"/>
        </w:rPr>
        <w:t>4</w:t>
      </w:r>
      <w:r>
        <w:rPr>
          <w:rFonts w:hint="eastAsia" w:asciiTheme="minorEastAsia" w:hAnsiTheme="minorEastAsia" w:eastAsiaTheme="minorEastAsia" w:cstheme="minorEastAsia"/>
          <w:spacing w:val="8"/>
          <w:sz w:val="21"/>
          <w:szCs w:val="21"/>
          <w:highlight w:val="none"/>
          <w:lang w:eastAsia="zh-CN"/>
        </w:rPr>
        <w:t>）</w:t>
      </w:r>
      <w:r>
        <w:rPr>
          <w:rFonts w:hint="eastAsia" w:asciiTheme="minorEastAsia" w:hAnsiTheme="minorEastAsia" w:eastAsiaTheme="minorEastAsia" w:cstheme="minorEastAsia"/>
          <w:spacing w:val="8"/>
          <w:sz w:val="21"/>
          <w:szCs w:val="21"/>
          <w:highlight w:val="none"/>
        </w:rPr>
        <w:t>对土路肩进行回填夯实或削除整平，每月安排平整土路肩一遍。保持土路肩平整、坚实，路肩顶面低于路面2cm且横坡大于3%，排水顺畅，横坡适顺，无长草，保持路树往外50cm范围内干净整洁，长草不超过15cm，形成顺适的路肩线型，无堆积物。硬路肩无长草、无积砂积泥。每月清理一遍。</w:t>
      </w:r>
    </w:p>
    <w:p w14:paraId="4560A4EA">
      <w:pPr>
        <w:pStyle w:val="11"/>
        <w:keepNext w:val="0"/>
        <w:keepLines w:val="0"/>
        <w:pageBreakBefore w:val="0"/>
        <w:widowControl w:val="0"/>
        <w:kinsoku/>
        <w:wordWrap/>
        <w:overflowPunct/>
        <w:topLinePunct w:val="0"/>
        <w:autoSpaceDE/>
        <w:autoSpaceDN/>
        <w:bidi w:val="0"/>
        <w:adjustRightInd/>
        <w:snapToGrid/>
        <w:spacing w:line="360" w:lineRule="auto"/>
        <w:ind w:left="17" w:firstLine="460" w:firstLineChars="200"/>
        <w:textAlignment w:val="auto"/>
        <w:rPr>
          <w:rFonts w:hint="eastAsia" w:asciiTheme="minorEastAsia" w:hAnsiTheme="minorEastAsia" w:eastAsiaTheme="minorEastAsia" w:cstheme="minorEastAsia"/>
          <w:spacing w:val="10"/>
          <w:position w:val="1"/>
          <w:sz w:val="21"/>
          <w:szCs w:val="21"/>
          <w:highlight w:val="none"/>
          <w:lang w:val="en-US" w:eastAsia="zh-CN"/>
        </w:rPr>
      </w:pPr>
      <w:r>
        <w:rPr>
          <w:rFonts w:hint="eastAsia" w:asciiTheme="minorEastAsia" w:hAnsiTheme="minorEastAsia" w:eastAsiaTheme="minorEastAsia" w:cstheme="minorEastAsia"/>
          <w:spacing w:val="10"/>
          <w:position w:val="1"/>
          <w:sz w:val="21"/>
          <w:szCs w:val="21"/>
          <w:highlight w:val="none"/>
          <w:lang w:val="en-US" w:eastAsia="zh-CN"/>
        </w:rPr>
        <w:t>2.2.2考核标准：</w:t>
      </w:r>
    </w:p>
    <w:p w14:paraId="6C5E7F2D">
      <w:pPr>
        <w:pStyle w:val="11"/>
        <w:keepNext w:val="0"/>
        <w:keepLines w:val="0"/>
        <w:pageBreakBefore w:val="0"/>
        <w:widowControl w:val="0"/>
        <w:kinsoku/>
        <w:wordWrap/>
        <w:overflowPunct/>
        <w:topLinePunct w:val="0"/>
        <w:autoSpaceDE/>
        <w:autoSpaceDN/>
        <w:bidi w:val="0"/>
        <w:adjustRightInd/>
        <w:snapToGrid/>
        <w:spacing w:line="360" w:lineRule="auto"/>
        <w:ind w:left="17" w:firstLine="460" w:firstLineChars="200"/>
        <w:textAlignment w:val="auto"/>
        <w:rPr>
          <w:rFonts w:hint="eastAsia" w:asciiTheme="minorEastAsia" w:hAnsiTheme="minorEastAsia" w:eastAsiaTheme="minorEastAsia" w:cstheme="minorEastAsia"/>
          <w:spacing w:val="10"/>
          <w:position w:val="1"/>
          <w:sz w:val="21"/>
          <w:szCs w:val="21"/>
          <w:highlight w:val="none"/>
          <w:lang w:val="en-US" w:eastAsia="zh-CN"/>
        </w:rPr>
      </w:pPr>
      <w:r>
        <w:rPr>
          <w:rFonts w:hint="eastAsia" w:asciiTheme="minorEastAsia" w:hAnsiTheme="minorEastAsia" w:eastAsiaTheme="minorEastAsia" w:cstheme="minorEastAsia"/>
          <w:spacing w:val="10"/>
          <w:position w:val="1"/>
          <w:sz w:val="21"/>
          <w:szCs w:val="21"/>
          <w:highlight w:val="none"/>
          <w:lang w:val="en-US" w:eastAsia="zh-CN"/>
        </w:rPr>
        <w:t>按每月为一周期安排完成路基日常保养任务，保持路基边坡、路肩、排水设施、支挡结构等干净整洁，无长草、杂物、无零星塌方或落石，排水系统通畅，行车视线无遮挡。</w:t>
      </w:r>
    </w:p>
    <w:p w14:paraId="751AE975">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路肩以每100m为1处，护坡、支挡结构物等以每个为1处，塌方落石以每处为1处，排水设施以每100m为1处。每项每处存在不符合要求的扣0.1分；</w:t>
      </w:r>
    </w:p>
    <w:p w14:paraId="2E23B16F">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未按频率进行清理的每项每公里扣0.2分；</w:t>
      </w:r>
    </w:p>
    <w:p w14:paraId="429580DF">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月度内存在连续500m以上未清理的，按整公里不合格，每公里扣2分；</w:t>
      </w:r>
    </w:p>
    <w:p w14:paraId="63182B4C">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default"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雨季后未进行水沟专项清理每处扣0.2分；</w:t>
      </w:r>
    </w:p>
    <w:p w14:paraId="6DAE6BDE">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出现水过路面未解决的扣1分，造成塌陷的扣5分；</w:t>
      </w:r>
    </w:p>
    <w:p w14:paraId="76EF387B">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下达整改后，未按要求及时整改的，每处扣0.5分；</w:t>
      </w:r>
    </w:p>
    <w:p w14:paraId="3F4B7624">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未按上级部门检查整改要求整改到位的，每处扣1分。</w:t>
      </w:r>
    </w:p>
    <w:p w14:paraId="4576BA78">
      <w:pPr>
        <w:pStyle w:val="11"/>
        <w:keepNext w:val="0"/>
        <w:keepLines w:val="0"/>
        <w:pageBreakBefore w:val="0"/>
        <w:widowControl w:val="0"/>
        <w:kinsoku/>
        <w:wordWrap/>
        <w:overflowPunct/>
        <w:topLinePunct w:val="0"/>
        <w:autoSpaceDE/>
        <w:autoSpaceDN/>
        <w:bidi w:val="0"/>
        <w:adjustRightInd/>
        <w:snapToGrid/>
        <w:spacing w:line="360" w:lineRule="auto"/>
        <w:ind w:left="17" w:firstLine="450"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pacing w:val="7"/>
          <w:sz w:val="21"/>
          <w:szCs w:val="21"/>
          <w:highlight w:val="none"/>
          <w:lang w:val="en-US" w:eastAsia="zh-CN"/>
        </w:rPr>
        <w:t>2.3</w:t>
      </w:r>
      <w:r>
        <w:rPr>
          <w:rFonts w:hint="eastAsia" w:asciiTheme="minorEastAsia" w:hAnsiTheme="minorEastAsia" w:eastAsiaTheme="minorEastAsia" w:cstheme="minorEastAsia"/>
          <w:b/>
          <w:bCs/>
          <w:spacing w:val="7"/>
          <w:sz w:val="21"/>
          <w:szCs w:val="21"/>
          <w:highlight w:val="none"/>
        </w:rPr>
        <w:t>路面日常保养</w:t>
      </w:r>
    </w:p>
    <w:p w14:paraId="363F575B">
      <w:pPr>
        <w:pStyle w:val="11"/>
        <w:keepNext w:val="0"/>
        <w:keepLines w:val="0"/>
        <w:pageBreakBefore w:val="0"/>
        <w:widowControl w:val="0"/>
        <w:kinsoku/>
        <w:wordWrap/>
        <w:overflowPunct/>
        <w:topLinePunct w:val="0"/>
        <w:autoSpaceDE/>
        <w:autoSpaceDN/>
        <w:bidi w:val="0"/>
        <w:adjustRightInd/>
        <w:snapToGrid/>
        <w:spacing w:line="360" w:lineRule="auto"/>
        <w:ind w:left="23" w:firstLine="428" w:firstLineChars="200"/>
        <w:textAlignment w:val="auto"/>
        <w:rPr>
          <w:rFonts w:hint="eastAsia" w:asciiTheme="minorEastAsia" w:hAnsiTheme="minorEastAsia" w:eastAsiaTheme="minorEastAsia" w:cstheme="minorEastAsia"/>
          <w:spacing w:val="2"/>
          <w:position w:val="1"/>
          <w:sz w:val="21"/>
          <w:szCs w:val="21"/>
          <w:highlight w:val="none"/>
          <w:lang w:eastAsia="zh-CN"/>
        </w:rPr>
      </w:pPr>
      <w:r>
        <w:rPr>
          <w:rFonts w:hint="eastAsia" w:asciiTheme="minorEastAsia" w:hAnsiTheme="minorEastAsia" w:eastAsiaTheme="minorEastAsia" w:cstheme="minorEastAsia"/>
          <w:spacing w:val="2"/>
          <w:position w:val="1"/>
          <w:sz w:val="21"/>
          <w:szCs w:val="21"/>
          <w:highlight w:val="none"/>
          <w:lang w:val="en-US" w:eastAsia="zh-CN"/>
        </w:rPr>
        <w:t>2.3</w:t>
      </w:r>
      <w:r>
        <w:rPr>
          <w:rFonts w:hint="eastAsia" w:asciiTheme="minorEastAsia" w:hAnsiTheme="minorEastAsia" w:eastAsiaTheme="minorEastAsia" w:cstheme="minorEastAsia"/>
          <w:spacing w:val="2"/>
          <w:position w:val="1"/>
          <w:sz w:val="21"/>
          <w:szCs w:val="21"/>
          <w:highlight w:val="none"/>
        </w:rPr>
        <w:t>.1</w:t>
      </w:r>
      <w:r>
        <w:rPr>
          <w:rFonts w:hint="eastAsia" w:asciiTheme="minorEastAsia" w:hAnsiTheme="minorEastAsia" w:eastAsiaTheme="minorEastAsia" w:cstheme="minorEastAsia"/>
          <w:spacing w:val="15"/>
          <w:position w:val="1"/>
          <w:sz w:val="21"/>
          <w:szCs w:val="21"/>
          <w:highlight w:val="none"/>
        </w:rPr>
        <w:t xml:space="preserve"> </w:t>
      </w:r>
      <w:r>
        <w:rPr>
          <w:rFonts w:hint="eastAsia" w:asciiTheme="minorEastAsia" w:hAnsiTheme="minorEastAsia" w:eastAsiaTheme="minorEastAsia" w:cstheme="minorEastAsia"/>
          <w:spacing w:val="15"/>
          <w:position w:val="1"/>
          <w:sz w:val="21"/>
          <w:szCs w:val="21"/>
          <w:highlight w:val="none"/>
          <w:lang w:val="en-US" w:eastAsia="zh-CN"/>
        </w:rPr>
        <w:t>工作内容及</w:t>
      </w:r>
      <w:r>
        <w:rPr>
          <w:rFonts w:hint="eastAsia" w:asciiTheme="minorEastAsia" w:hAnsiTheme="minorEastAsia" w:eastAsiaTheme="minorEastAsia" w:cstheme="minorEastAsia"/>
          <w:spacing w:val="2"/>
          <w:position w:val="1"/>
          <w:sz w:val="21"/>
          <w:szCs w:val="21"/>
          <w:highlight w:val="none"/>
        </w:rPr>
        <w:t>要求</w:t>
      </w:r>
      <w:r>
        <w:rPr>
          <w:rFonts w:hint="eastAsia" w:asciiTheme="minorEastAsia" w:hAnsiTheme="minorEastAsia" w:eastAsiaTheme="minorEastAsia" w:cstheme="minorEastAsia"/>
          <w:spacing w:val="2"/>
          <w:position w:val="1"/>
          <w:sz w:val="21"/>
          <w:szCs w:val="21"/>
          <w:highlight w:val="none"/>
          <w:lang w:eastAsia="zh-CN"/>
        </w:rPr>
        <w:t>：</w:t>
      </w:r>
    </w:p>
    <w:p w14:paraId="57307E25">
      <w:pPr>
        <w:pStyle w:val="11"/>
        <w:keepNext w:val="0"/>
        <w:keepLines w:val="0"/>
        <w:pageBreakBefore w:val="0"/>
        <w:widowControl w:val="0"/>
        <w:kinsoku/>
        <w:wordWrap/>
        <w:overflowPunct/>
        <w:topLinePunct w:val="0"/>
        <w:autoSpaceDE/>
        <w:autoSpaceDN/>
        <w:bidi w:val="0"/>
        <w:adjustRightInd/>
        <w:snapToGrid/>
        <w:spacing w:line="360" w:lineRule="auto"/>
        <w:ind w:left="23" w:firstLine="428" w:firstLineChars="200"/>
        <w:textAlignment w:val="auto"/>
        <w:rPr>
          <w:rFonts w:hint="eastAsia" w:asciiTheme="minorEastAsia" w:hAnsiTheme="minorEastAsia" w:eastAsiaTheme="minorEastAsia" w:cstheme="minorEastAsia"/>
          <w:spacing w:val="2"/>
          <w:position w:val="1"/>
          <w:sz w:val="21"/>
          <w:szCs w:val="21"/>
          <w:highlight w:val="none"/>
        </w:rPr>
      </w:pPr>
      <w:r>
        <w:rPr>
          <w:rFonts w:hint="eastAsia" w:asciiTheme="minorEastAsia" w:hAnsiTheme="minorEastAsia" w:eastAsiaTheme="minorEastAsia" w:cstheme="minorEastAsia"/>
          <w:spacing w:val="2"/>
          <w:position w:val="1"/>
          <w:sz w:val="21"/>
          <w:szCs w:val="21"/>
          <w:highlight w:val="none"/>
          <w:lang w:eastAsia="zh-CN"/>
        </w:rPr>
        <w:t>（</w:t>
      </w:r>
      <w:r>
        <w:rPr>
          <w:rFonts w:hint="eastAsia" w:asciiTheme="minorEastAsia" w:hAnsiTheme="minorEastAsia" w:eastAsiaTheme="minorEastAsia" w:cstheme="minorEastAsia"/>
          <w:spacing w:val="2"/>
          <w:position w:val="1"/>
          <w:sz w:val="21"/>
          <w:szCs w:val="21"/>
          <w:highlight w:val="none"/>
          <w:lang w:val="en-US" w:eastAsia="zh-CN"/>
        </w:rPr>
        <w:t>1</w:t>
      </w:r>
      <w:r>
        <w:rPr>
          <w:rFonts w:hint="eastAsia" w:asciiTheme="minorEastAsia" w:hAnsiTheme="minorEastAsia" w:eastAsiaTheme="minorEastAsia" w:cstheme="minorEastAsia"/>
          <w:spacing w:val="2"/>
          <w:position w:val="1"/>
          <w:sz w:val="21"/>
          <w:szCs w:val="21"/>
          <w:highlight w:val="none"/>
          <w:lang w:eastAsia="zh-CN"/>
        </w:rPr>
        <w:t>）</w:t>
      </w:r>
      <w:r>
        <w:rPr>
          <w:rFonts w:hint="eastAsia" w:asciiTheme="minorEastAsia" w:hAnsiTheme="minorEastAsia" w:eastAsiaTheme="minorEastAsia" w:cstheme="minorEastAsia"/>
          <w:spacing w:val="2"/>
          <w:position w:val="1"/>
          <w:sz w:val="21"/>
          <w:szCs w:val="21"/>
          <w:highlight w:val="none"/>
        </w:rPr>
        <w:t>路面整洁，无杂物、污染物、散落物等。保持路面清洁、标线清晰，利用扫路车或洒水车对路面进行清扫或冲洗，每月全路段至少清扫一遍，地方政府有考察检查或专项行动时按政府通知进行专项清扫；</w:t>
      </w:r>
    </w:p>
    <w:p w14:paraId="396E632D">
      <w:pPr>
        <w:pStyle w:val="11"/>
        <w:keepNext w:val="0"/>
        <w:keepLines w:val="0"/>
        <w:pageBreakBefore w:val="0"/>
        <w:widowControl w:val="0"/>
        <w:kinsoku/>
        <w:wordWrap/>
        <w:overflowPunct/>
        <w:topLinePunct w:val="0"/>
        <w:autoSpaceDE/>
        <w:autoSpaceDN/>
        <w:bidi w:val="0"/>
        <w:adjustRightInd/>
        <w:snapToGrid/>
        <w:spacing w:line="360" w:lineRule="auto"/>
        <w:ind w:left="23" w:firstLine="428" w:firstLineChars="200"/>
        <w:textAlignment w:val="auto"/>
        <w:rPr>
          <w:rFonts w:hint="eastAsia" w:asciiTheme="minorEastAsia" w:hAnsiTheme="minorEastAsia" w:eastAsiaTheme="minorEastAsia" w:cstheme="minorEastAsia"/>
          <w:spacing w:val="2"/>
          <w:position w:val="1"/>
          <w:sz w:val="21"/>
          <w:szCs w:val="21"/>
          <w:highlight w:val="none"/>
        </w:rPr>
      </w:pPr>
      <w:r>
        <w:rPr>
          <w:rFonts w:hint="eastAsia" w:asciiTheme="minorEastAsia" w:hAnsiTheme="minorEastAsia" w:eastAsiaTheme="minorEastAsia" w:cstheme="minorEastAsia"/>
          <w:spacing w:val="2"/>
          <w:position w:val="1"/>
          <w:sz w:val="21"/>
          <w:szCs w:val="21"/>
          <w:highlight w:val="none"/>
          <w:lang w:eastAsia="zh-CN"/>
        </w:rPr>
        <w:t>（</w:t>
      </w:r>
      <w:r>
        <w:rPr>
          <w:rFonts w:hint="eastAsia" w:asciiTheme="minorEastAsia" w:hAnsiTheme="minorEastAsia" w:eastAsiaTheme="minorEastAsia" w:cstheme="minorEastAsia"/>
          <w:spacing w:val="2"/>
          <w:position w:val="1"/>
          <w:sz w:val="21"/>
          <w:szCs w:val="21"/>
          <w:highlight w:val="none"/>
          <w:lang w:val="en-US" w:eastAsia="zh-CN"/>
        </w:rPr>
        <w:t>2</w:t>
      </w:r>
      <w:r>
        <w:rPr>
          <w:rFonts w:hint="eastAsia" w:asciiTheme="minorEastAsia" w:hAnsiTheme="minorEastAsia" w:eastAsiaTheme="minorEastAsia" w:cstheme="minorEastAsia"/>
          <w:spacing w:val="2"/>
          <w:position w:val="1"/>
          <w:sz w:val="21"/>
          <w:szCs w:val="21"/>
          <w:highlight w:val="none"/>
          <w:lang w:eastAsia="zh-CN"/>
        </w:rPr>
        <w:t>）</w:t>
      </w:r>
      <w:r>
        <w:rPr>
          <w:rFonts w:hint="eastAsia" w:asciiTheme="minorEastAsia" w:hAnsiTheme="minorEastAsia" w:eastAsiaTheme="minorEastAsia" w:cstheme="minorEastAsia"/>
          <w:spacing w:val="2"/>
          <w:position w:val="1"/>
          <w:sz w:val="21"/>
          <w:szCs w:val="21"/>
          <w:highlight w:val="none"/>
        </w:rPr>
        <w:t>路面保洁采取机械清扫+人工清扫的方式，机械清扫保洁必须确保法定工作日内正常上路作业；</w:t>
      </w:r>
    </w:p>
    <w:p w14:paraId="0BC406CF">
      <w:pPr>
        <w:pStyle w:val="11"/>
        <w:keepNext w:val="0"/>
        <w:keepLines w:val="0"/>
        <w:pageBreakBefore w:val="0"/>
        <w:widowControl w:val="0"/>
        <w:kinsoku/>
        <w:wordWrap/>
        <w:overflowPunct/>
        <w:topLinePunct w:val="0"/>
        <w:autoSpaceDE/>
        <w:autoSpaceDN/>
        <w:bidi w:val="0"/>
        <w:adjustRightInd/>
        <w:snapToGrid/>
        <w:spacing w:line="360" w:lineRule="auto"/>
        <w:ind w:left="23" w:firstLine="428" w:firstLineChars="200"/>
        <w:textAlignment w:val="auto"/>
        <w:rPr>
          <w:rFonts w:hint="eastAsia" w:asciiTheme="minorEastAsia" w:hAnsiTheme="minorEastAsia" w:eastAsiaTheme="minorEastAsia" w:cstheme="minorEastAsia"/>
          <w:spacing w:val="2"/>
          <w:position w:val="1"/>
          <w:sz w:val="21"/>
          <w:szCs w:val="21"/>
          <w:highlight w:val="none"/>
        </w:rPr>
      </w:pPr>
      <w:r>
        <w:rPr>
          <w:rFonts w:hint="eastAsia" w:asciiTheme="minorEastAsia" w:hAnsiTheme="minorEastAsia" w:eastAsiaTheme="minorEastAsia" w:cstheme="minorEastAsia"/>
          <w:spacing w:val="2"/>
          <w:position w:val="1"/>
          <w:sz w:val="21"/>
          <w:szCs w:val="21"/>
          <w:highlight w:val="none"/>
          <w:lang w:eastAsia="zh-CN"/>
        </w:rPr>
        <w:t>（</w:t>
      </w:r>
      <w:r>
        <w:rPr>
          <w:rFonts w:hint="eastAsia" w:asciiTheme="minorEastAsia" w:hAnsiTheme="minorEastAsia" w:eastAsiaTheme="minorEastAsia" w:cstheme="minorEastAsia"/>
          <w:spacing w:val="2"/>
          <w:position w:val="1"/>
          <w:sz w:val="21"/>
          <w:szCs w:val="21"/>
          <w:highlight w:val="none"/>
          <w:lang w:val="en-US" w:eastAsia="zh-CN"/>
        </w:rPr>
        <w:t>3</w:t>
      </w:r>
      <w:r>
        <w:rPr>
          <w:rFonts w:hint="eastAsia" w:asciiTheme="minorEastAsia" w:hAnsiTheme="minorEastAsia" w:eastAsiaTheme="minorEastAsia" w:cstheme="minorEastAsia"/>
          <w:spacing w:val="2"/>
          <w:position w:val="1"/>
          <w:sz w:val="21"/>
          <w:szCs w:val="21"/>
          <w:highlight w:val="none"/>
          <w:lang w:eastAsia="zh-CN"/>
        </w:rPr>
        <w:t>）</w:t>
      </w:r>
      <w:r>
        <w:rPr>
          <w:rFonts w:hint="eastAsia" w:asciiTheme="minorEastAsia" w:hAnsiTheme="minorEastAsia" w:eastAsiaTheme="minorEastAsia" w:cstheme="minorEastAsia"/>
          <w:spacing w:val="2"/>
          <w:position w:val="1"/>
          <w:sz w:val="21"/>
          <w:szCs w:val="21"/>
          <w:highlight w:val="none"/>
        </w:rPr>
        <w:t>负责清理所有临时出现的路面洒落碎石或砂，发生洒落情况后要30分钟内到达现场开展处置，4小时内清理完毕；</w:t>
      </w:r>
    </w:p>
    <w:p w14:paraId="26B13948">
      <w:pPr>
        <w:pStyle w:val="11"/>
        <w:keepNext w:val="0"/>
        <w:keepLines w:val="0"/>
        <w:pageBreakBefore w:val="0"/>
        <w:widowControl w:val="0"/>
        <w:kinsoku/>
        <w:wordWrap/>
        <w:overflowPunct/>
        <w:topLinePunct w:val="0"/>
        <w:autoSpaceDE/>
        <w:autoSpaceDN/>
        <w:bidi w:val="0"/>
        <w:adjustRightInd/>
        <w:snapToGrid/>
        <w:spacing w:line="360" w:lineRule="auto"/>
        <w:ind w:left="23" w:firstLine="428" w:firstLineChars="200"/>
        <w:textAlignment w:val="auto"/>
        <w:rPr>
          <w:rFonts w:hint="eastAsia" w:asciiTheme="minorEastAsia" w:hAnsiTheme="minorEastAsia" w:eastAsiaTheme="minorEastAsia" w:cstheme="minorEastAsia"/>
          <w:spacing w:val="2"/>
          <w:position w:val="1"/>
          <w:sz w:val="21"/>
          <w:szCs w:val="21"/>
          <w:highlight w:val="none"/>
        </w:rPr>
      </w:pPr>
      <w:r>
        <w:rPr>
          <w:rFonts w:hint="eastAsia" w:asciiTheme="minorEastAsia" w:hAnsiTheme="minorEastAsia" w:eastAsiaTheme="minorEastAsia" w:cstheme="minorEastAsia"/>
          <w:spacing w:val="2"/>
          <w:position w:val="1"/>
          <w:sz w:val="21"/>
          <w:szCs w:val="21"/>
          <w:highlight w:val="none"/>
          <w:lang w:eastAsia="zh-CN"/>
        </w:rPr>
        <w:t>（</w:t>
      </w:r>
      <w:r>
        <w:rPr>
          <w:rFonts w:hint="eastAsia" w:asciiTheme="minorEastAsia" w:hAnsiTheme="minorEastAsia" w:eastAsiaTheme="minorEastAsia" w:cstheme="minorEastAsia"/>
          <w:spacing w:val="2"/>
          <w:position w:val="1"/>
          <w:sz w:val="21"/>
          <w:szCs w:val="21"/>
          <w:highlight w:val="none"/>
          <w:lang w:val="en-US" w:eastAsia="zh-CN"/>
        </w:rPr>
        <w:t>4</w:t>
      </w:r>
      <w:r>
        <w:rPr>
          <w:rFonts w:hint="eastAsia" w:asciiTheme="minorEastAsia" w:hAnsiTheme="minorEastAsia" w:eastAsiaTheme="minorEastAsia" w:cstheme="minorEastAsia"/>
          <w:spacing w:val="2"/>
          <w:position w:val="1"/>
          <w:sz w:val="21"/>
          <w:szCs w:val="21"/>
          <w:highlight w:val="none"/>
          <w:lang w:eastAsia="zh-CN"/>
        </w:rPr>
        <w:t>）</w:t>
      </w:r>
      <w:r>
        <w:rPr>
          <w:rFonts w:hint="eastAsia" w:asciiTheme="minorEastAsia" w:hAnsiTheme="minorEastAsia" w:eastAsiaTheme="minorEastAsia" w:cstheme="minorEastAsia"/>
          <w:spacing w:val="2"/>
          <w:position w:val="1"/>
          <w:sz w:val="21"/>
          <w:szCs w:val="21"/>
          <w:highlight w:val="none"/>
        </w:rPr>
        <w:t>保持平交道口干净整洁，道口衔接处无淤积或冲积物、无砂石堆积，平交道口处排水系统通畅，无杂物堆积物堵塞，道口边坡及水沟无长草、垃圾，平交道口两侧无路树或堆积物遮挡视线。每月清理一遍，雨季期间全面清理冲积物，疏通平交处水沟，雨季后专项清理一遍；</w:t>
      </w:r>
    </w:p>
    <w:p w14:paraId="00A0F6AA">
      <w:pPr>
        <w:pStyle w:val="11"/>
        <w:keepNext w:val="0"/>
        <w:keepLines w:val="0"/>
        <w:pageBreakBefore w:val="0"/>
        <w:widowControl w:val="0"/>
        <w:kinsoku/>
        <w:wordWrap/>
        <w:overflowPunct/>
        <w:topLinePunct w:val="0"/>
        <w:autoSpaceDE/>
        <w:autoSpaceDN/>
        <w:bidi w:val="0"/>
        <w:adjustRightInd/>
        <w:snapToGrid/>
        <w:spacing w:line="360" w:lineRule="auto"/>
        <w:ind w:firstLine="444" w:firstLineChars="200"/>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pacing w:val="6"/>
          <w:position w:val="1"/>
          <w:sz w:val="21"/>
          <w:szCs w:val="21"/>
          <w:highlight w:val="none"/>
          <w:lang w:val="en-US" w:eastAsia="zh-CN"/>
        </w:rPr>
        <w:t>2.3</w:t>
      </w:r>
      <w:r>
        <w:rPr>
          <w:rFonts w:hint="eastAsia" w:asciiTheme="minorEastAsia" w:hAnsiTheme="minorEastAsia" w:eastAsiaTheme="minorEastAsia" w:cstheme="minorEastAsia"/>
          <w:spacing w:val="6"/>
          <w:position w:val="1"/>
          <w:sz w:val="21"/>
          <w:szCs w:val="21"/>
          <w:highlight w:val="none"/>
        </w:rPr>
        <w:t xml:space="preserve">.2 </w:t>
      </w:r>
      <w:r>
        <w:rPr>
          <w:rFonts w:hint="eastAsia" w:asciiTheme="minorEastAsia" w:hAnsiTheme="minorEastAsia" w:eastAsiaTheme="minorEastAsia" w:cstheme="minorEastAsia"/>
          <w:spacing w:val="6"/>
          <w:position w:val="1"/>
          <w:sz w:val="21"/>
          <w:szCs w:val="21"/>
          <w:highlight w:val="none"/>
          <w:lang w:val="en-US" w:eastAsia="zh-CN"/>
        </w:rPr>
        <w:t>考核</w:t>
      </w:r>
      <w:r>
        <w:rPr>
          <w:rFonts w:hint="eastAsia" w:asciiTheme="minorEastAsia" w:hAnsiTheme="minorEastAsia" w:eastAsiaTheme="minorEastAsia" w:cstheme="minorEastAsia"/>
          <w:spacing w:val="6"/>
          <w:position w:val="1"/>
          <w:sz w:val="21"/>
          <w:szCs w:val="21"/>
          <w:highlight w:val="none"/>
        </w:rPr>
        <w:t>标准</w:t>
      </w:r>
      <w:r>
        <w:rPr>
          <w:rFonts w:hint="eastAsia" w:asciiTheme="minorEastAsia" w:hAnsiTheme="minorEastAsia" w:eastAsiaTheme="minorEastAsia" w:cstheme="minorEastAsia"/>
          <w:spacing w:val="6"/>
          <w:position w:val="1"/>
          <w:sz w:val="21"/>
          <w:szCs w:val="21"/>
          <w:highlight w:val="none"/>
          <w:lang w:eastAsia="zh-CN"/>
        </w:rPr>
        <w:t>：</w:t>
      </w:r>
    </w:p>
    <w:p w14:paraId="45F1B9E8">
      <w:pPr>
        <w:pStyle w:val="11"/>
        <w:keepNext w:val="0"/>
        <w:keepLines w:val="0"/>
        <w:pageBreakBefore w:val="0"/>
        <w:widowControl w:val="0"/>
        <w:kinsoku/>
        <w:wordWrap/>
        <w:overflowPunct/>
        <w:topLinePunct w:val="0"/>
        <w:autoSpaceDE/>
        <w:autoSpaceDN/>
        <w:bidi w:val="0"/>
        <w:adjustRightInd/>
        <w:snapToGrid/>
        <w:spacing w:line="360" w:lineRule="auto"/>
        <w:ind w:left="6" w:right="56" w:firstLine="456" w:firstLineChars="200"/>
        <w:textAlignment w:val="auto"/>
        <w:rPr>
          <w:rFonts w:hint="eastAsia" w:asciiTheme="minorEastAsia" w:hAnsiTheme="minorEastAsia" w:eastAsiaTheme="minorEastAsia" w:cstheme="minorEastAsia"/>
          <w:spacing w:val="7"/>
          <w:sz w:val="21"/>
          <w:szCs w:val="21"/>
          <w:highlight w:val="none"/>
        </w:rPr>
      </w:pPr>
      <w:r>
        <w:rPr>
          <w:rFonts w:hint="eastAsia" w:asciiTheme="minorEastAsia" w:hAnsiTheme="minorEastAsia" w:eastAsiaTheme="minorEastAsia" w:cstheme="minorEastAsia"/>
          <w:spacing w:val="9"/>
          <w:position w:val="1"/>
          <w:sz w:val="21"/>
          <w:szCs w:val="21"/>
          <w:highlight w:val="none"/>
          <w:lang w:val="en-US" w:eastAsia="zh-CN"/>
        </w:rPr>
        <w:t>以每月为一个周期进行清理，保持机械化清理。</w:t>
      </w:r>
      <w:r>
        <w:rPr>
          <w:rFonts w:hint="eastAsia" w:asciiTheme="minorEastAsia" w:hAnsiTheme="minorEastAsia" w:eastAsiaTheme="minorEastAsia" w:cstheme="minorEastAsia"/>
          <w:spacing w:val="9"/>
          <w:position w:val="1"/>
          <w:sz w:val="21"/>
          <w:szCs w:val="21"/>
          <w:highlight w:val="none"/>
        </w:rPr>
        <w:t>路面</w:t>
      </w:r>
      <w:r>
        <w:rPr>
          <w:rFonts w:hint="eastAsia" w:asciiTheme="minorEastAsia" w:hAnsiTheme="minorEastAsia" w:eastAsiaTheme="minorEastAsia" w:cstheme="minorEastAsia"/>
          <w:spacing w:val="9"/>
          <w:position w:val="1"/>
          <w:sz w:val="21"/>
          <w:szCs w:val="21"/>
          <w:highlight w:val="none"/>
          <w:lang w:val="en-US" w:eastAsia="zh-CN"/>
        </w:rPr>
        <w:t>和平交道口</w:t>
      </w:r>
      <w:r>
        <w:rPr>
          <w:rFonts w:hint="eastAsia" w:asciiTheme="minorEastAsia" w:hAnsiTheme="minorEastAsia" w:eastAsiaTheme="minorEastAsia" w:cstheme="minorEastAsia"/>
          <w:spacing w:val="9"/>
          <w:position w:val="1"/>
          <w:sz w:val="21"/>
          <w:szCs w:val="21"/>
          <w:highlight w:val="none"/>
        </w:rPr>
        <w:t>无垃圾、无积泥、无积沙、无洒落物等杂物，经常性保持路面干净、标线清晰。影响交通安全各类洒落物要及时处理，做好警示</w:t>
      </w:r>
      <w:r>
        <w:rPr>
          <w:rFonts w:hint="eastAsia" w:asciiTheme="minorEastAsia" w:hAnsiTheme="minorEastAsia" w:eastAsiaTheme="minorEastAsia" w:cstheme="minorEastAsia"/>
          <w:spacing w:val="9"/>
          <w:position w:val="1"/>
          <w:sz w:val="21"/>
          <w:szCs w:val="21"/>
          <w:highlight w:val="none"/>
          <w:lang w:val="en-US" w:eastAsia="zh-CN"/>
        </w:rPr>
        <w:t>和管控</w:t>
      </w:r>
      <w:r>
        <w:rPr>
          <w:rFonts w:hint="eastAsia" w:asciiTheme="minorEastAsia" w:hAnsiTheme="minorEastAsia" w:eastAsiaTheme="minorEastAsia" w:cstheme="minorEastAsia"/>
          <w:spacing w:val="9"/>
          <w:position w:val="1"/>
          <w:sz w:val="21"/>
          <w:szCs w:val="21"/>
          <w:highlight w:val="none"/>
        </w:rPr>
        <w:t>，当天须清理完毕，确保公路安全畅通</w:t>
      </w:r>
      <w:r>
        <w:rPr>
          <w:rFonts w:hint="eastAsia" w:asciiTheme="minorEastAsia" w:hAnsiTheme="minorEastAsia" w:eastAsiaTheme="minorEastAsia" w:cstheme="minorEastAsia"/>
          <w:spacing w:val="7"/>
          <w:sz w:val="21"/>
          <w:szCs w:val="21"/>
          <w:highlight w:val="none"/>
        </w:rPr>
        <w:t>。</w:t>
      </w:r>
    </w:p>
    <w:p w14:paraId="72C61FA9">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路面以每100m或400m2为1处，平交道口以每个为1处。每项每处存在不符合要求的扣0.2分；</w:t>
      </w:r>
    </w:p>
    <w:p w14:paraId="0F6A0360">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未按频率进行清理的每公里扣0.2分；</w:t>
      </w:r>
    </w:p>
    <w:p w14:paraId="60207FBC">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default"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未保持机械化清理的，每天扣0.1分；</w:t>
      </w:r>
    </w:p>
    <w:p w14:paraId="74A2ED91">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未按时清</w:t>
      </w:r>
      <w:r>
        <w:rPr>
          <w:rFonts w:hint="eastAsia" w:asciiTheme="minorEastAsia" w:hAnsiTheme="minorEastAsia" w:eastAsiaTheme="minorEastAsia" w:cstheme="minorEastAsia"/>
          <w:color w:val="auto"/>
          <w:spacing w:val="7"/>
          <w:sz w:val="21"/>
          <w:szCs w:val="21"/>
          <w:highlight w:val="none"/>
          <w:lang w:val="en-US" w:eastAsia="zh-CN"/>
        </w:rPr>
        <w:t>理</w:t>
      </w:r>
      <w:r>
        <w:rPr>
          <w:rFonts w:hint="eastAsia" w:asciiTheme="minorEastAsia" w:hAnsiTheme="minorEastAsia" w:eastAsiaTheme="minorEastAsia" w:cstheme="minorEastAsia"/>
          <w:color w:val="auto"/>
          <w:spacing w:val="2"/>
          <w:position w:val="1"/>
          <w:sz w:val="21"/>
          <w:szCs w:val="21"/>
          <w:highlight w:val="none"/>
        </w:rPr>
        <w:t>洒落</w:t>
      </w:r>
      <w:r>
        <w:rPr>
          <w:rFonts w:hint="eastAsia" w:asciiTheme="minorEastAsia" w:hAnsiTheme="minorEastAsia" w:eastAsiaTheme="minorEastAsia" w:cstheme="minorEastAsia"/>
          <w:color w:val="auto"/>
          <w:spacing w:val="2"/>
          <w:position w:val="1"/>
          <w:sz w:val="21"/>
          <w:szCs w:val="21"/>
          <w:highlight w:val="none"/>
          <w:lang w:val="en-US" w:eastAsia="zh-CN"/>
        </w:rPr>
        <w:t>物每处扣0.2分，当天未清理完毕的每次扣0.4分；</w:t>
      </w:r>
    </w:p>
    <w:p w14:paraId="797CE7CA">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月度内存在连续500m以上未清理的，按整公里不合格，每公里扣2分；</w:t>
      </w:r>
    </w:p>
    <w:p w14:paraId="22D3788B">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下达整改后，未按要求及时整改的，每处扣0.5分；</w:t>
      </w:r>
    </w:p>
    <w:p w14:paraId="15AAB152">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rPr>
      </w:pPr>
      <w:r>
        <w:rPr>
          <w:rFonts w:hint="eastAsia" w:asciiTheme="minorEastAsia" w:hAnsiTheme="minorEastAsia" w:eastAsiaTheme="minorEastAsia" w:cstheme="minorEastAsia"/>
          <w:spacing w:val="7"/>
          <w:sz w:val="21"/>
          <w:szCs w:val="21"/>
          <w:highlight w:val="none"/>
          <w:lang w:val="en-US" w:eastAsia="zh-CN"/>
        </w:rPr>
        <w:t>未按上级部门检查整改要求整改到位的，每处扣1分。</w:t>
      </w:r>
    </w:p>
    <w:p w14:paraId="0518CA91">
      <w:pPr>
        <w:pStyle w:val="11"/>
        <w:keepNext w:val="0"/>
        <w:keepLines w:val="0"/>
        <w:pageBreakBefore w:val="0"/>
        <w:widowControl w:val="0"/>
        <w:kinsoku/>
        <w:wordWrap/>
        <w:overflowPunct/>
        <w:topLinePunct w:val="0"/>
        <w:autoSpaceDE/>
        <w:autoSpaceDN/>
        <w:bidi w:val="0"/>
        <w:adjustRightInd/>
        <w:snapToGrid/>
        <w:spacing w:line="360" w:lineRule="auto"/>
        <w:ind w:left="17" w:firstLine="454"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pacing w:val="8"/>
          <w:sz w:val="21"/>
          <w:szCs w:val="21"/>
          <w:highlight w:val="none"/>
          <w:lang w:val="en-US" w:eastAsia="zh-CN"/>
        </w:rPr>
        <w:t>2.4</w:t>
      </w:r>
      <w:r>
        <w:rPr>
          <w:rFonts w:hint="eastAsia" w:asciiTheme="minorEastAsia" w:hAnsiTheme="minorEastAsia" w:eastAsiaTheme="minorEastAsia" w:cstheme="minorEastAsia"/>
          <w:b/>
          <w:bCs/>
          <w:spacing w:val="8"/>
          <w:sz w:val="21"/>
          <w:szCs w:val="21"/>
          <w:highlight w:val="none"/>
        </w:rPr>
        <w:t>桥梁、涵洞日常保养</w:t>
      </w:r>
    </w:p>
    <w:p w14:paraId="2FC24C2D">
      <w:pPr>
        <w:pStyle w:val="11"/>
        <w:keepNext w:val="0"/>
        <w:keepLines w:val="0"/>
        <w:pageBreakBefore w:val="0"/>
        <w:widowControl w:val="0"/>
        <w:kinsoku/>
        <w:wordWrap/>
        <w:overflowPunct/>
        <w:topLinePunct w:val="0"/>
        <w:autoSpaceDE/>
        <w:autoSpaceDN/>
        <w:bidi w:val="0"/>
        <w:adjustRightInd/>
        <w:snapToGrid/>
        <w:spacing w:line="360" w:lineRule="auto"/>
        <w:ind w:left="23" w:firstLine="432" w:firstLineChars="200"/>
        <w:textAlignment w:val="auto"/>
        <w:rPr>
          <w:rFonts w:hint="eastAsia" w:asciiTheme="minorEastAsia" w:hAnsiTheme="minorEastAsia" w:eastAsiaTheme="minorEastAsia" w:cstheme="minorEastAsia"/>
          <w:spacing w:val="3"/>
          <w:position w:val="1"/>
          <w:sz w:val="21"/>
          <w:szCs w:val="21"/>
          <w:highlight w:val="none"/>
          <w:lang w:val="en-US" w:eastAsia="zh-CN"/>
        </w:rPr>
      </w:pPr>
      <w:r>
        <w:rPr>
          <w:rFonts w:hint="eastAsia" w:asciiTheme="minorEastAsia" w:hAnsiTheme="minorEastAsia" w:eastAsiaTheme="minorEastAsia" w:cstheme="minorEastAsia"/>
          <w:spacing w:val="3"/>
          <w:position w:val="1"/>
          <w:sz w:val="21"/>
          <w:szCs w:val="21"/>
          <w:highlight w:val="none"/>
          <w:lang w:val="en-US" w:eastAsia="zh-CN"/>
        </w:rPr>
        <w:t>2.4.1工作内容及要求</w:t>
      </w:r>
    </w:p>
    <w:p w14:paraId="1858F9FB">
      <w:pPr>
        <w:pStyle w:val="11"/>
        <w:keepNext w:val="0"/>
        <w:keepLines w:val="0"/>
        <w:pageBreakBefore w:val="0"/>
        <w:widowControl w:val="0"/>
        <w:numPr>
          <w:ilvl w:val="0"/>
          <w:numId w:val="4"/>
        </w:numPr>
        <w:kinsoku/>
        <w:wordWrap/>
        <w:overflowPunct/>
        <w:topLinePunct w:val="0"/>
        <w:autoSpaceDE/>
        <w:autoSpaceDN/>
        <w:bidi w:val="0"/>
        <w:adjustRightInd/>
        <w:snapToGrid/>
        <w:spacing w:line="360" w:lineRule="auto"/>
        <w:ind w:left="23" w:firstLine="448" w:firstLineChars="200"/>
        <w:textAlignment w:val="auto"/>
        <w:rPr>
          <w:rFonts w:hint="eastAsia" w:asciiTheme="minorEastAsia" w:hAnsiTheme="minorEastAsia" w:eastAsiaTheme="minorEastAsia" w:cstheme="minorEastAsia"/>
          <w:spacing w:val="9"/>
          <w:sz w:val="21"/>
          <w:szCs w:val="21"/>
          <w:highlight w:val="none"/>
        </w:rPr>
      </w:pPr>
      <w:r>
        <w:rPr>
          <w:rFonts w:hint="eastAsia" w:asciiTheme="minorEastAsia" w:hAnsiTheme="minorEastAsia" w:eastAsiaTheme="minorEastAsia" w:cstheme="minorEastAsia"/>
          <w:spacing w:val="7"/>
          <w:sz w:val="21"/>
          <w:szCs w:val="21"/>
          <w:highlight w:val="none"/>
        </w:rPr>
        <w:t>经常性清除桥面泥土、积</w:t>
      </w:r>
      <w:r>
        <w:rPr>
          <w:rFonts w:hint="eastAsia" w:asciiTheme="minorEastAsia" w:hAnsiTheme="minorEastAsia" w:eastAsiaTheme="minorEastAsia" w:cstheme="minorEastAsia"/>
          <w:spacing w:val="7"/>
          <w:sz w:val="21"/>
          <w:szCs w:val="21"/>
          <w:highlight w:val="none"/>
          <w:lang w:val="en-US" w:eastAsia="zh-CN"/>
        </w:rPr>
        <w:t>砂</w:t>
      </w:r>
      <w:r>
        <w:rPr>
          <w:rFonts w:hint="eastAsia" w:asciiTheme="minorEastAsia" w:hAnsiTheme="minorEastAsia" w:eastAsiaTheme="minorEastAsia" w:cstheme="minorEastAsia"/>
          <w:spacing w:val="7"/>
          <w:sz w:val="21"/>
          <w:szCs w:val="21"/>
          <w:highlight w:val="none"/>
        </w:rPr>
        <w:t>、杂物、</w:t>
      </w:r>
      <w:r>
        <w:rPr>
          <w:rFonts w:hint="eastAsia" w:asciiTheme="minorEastAsia" w:hAnsiTheme="minorEastAsia" w:eastAsiaTheme="minorEastAsia" w:cstheme="minorEastAsia"/>
          <w:spacing w:val="7"/>
          <w:sz w:val="21"/>
          <w:szCs w:val="21"/>
          <w:highlight w:val="none"/>
          <w:lang w:val="en-US" w:eastAsia="zh-CN"/>
        </w:rPr>
        <w:t>洒</w:t>
      </w:r>
      <w:r>
        <w:rPr>
          <w:rFonts w:hint="eastAsia" w:asciiTheme="minorEastAsia" w:hAnsiTheme="minorEastAsia" w:eastAsiaTheme="minorEastAsia" w:cstheme="minorEastAsia"/>
          <w:spacing w:val="7"/>
          <w:sz w:val="21"/>
          <w:szCs w:val="21"/>
          <w:highlight w:val="none"/>
        </w:rPr>
        <w:t>落物、积水、积雪和积冰等，保持桥面干净</w:t>
      </w:r>
      <w:r>
        <w:rPr>
          <w:rFonts w:hint="eastAsia" w:asciiTheme="minorEastAsia" w:hAnsiTheme="minorEastAsia" w:eastAsiaTheme="minorEastAsia" w:cstheme="minorEastAsia"/>
          <w:spacing w:val="7"/>
          <w:sz w:val="21"/>
          <w:szCs w:val="21"/>
          <w:highlight w:val="none"/>
          <w:lang w:eastAsia="zh-CN"/>
        </w:rPr>
        <w:t>，</w:t>
      </w:r>
      <w:r>
        <w:rPr>
          <w:rFonts w:hint="eastAsia" w:asciiTheme="minorEastAsia" w:hAnsiTheme="minorEastAsia" w:eastAsiaTheme="minorEastAsia" w:cstheme="minorEastAsia"/>
          <w:spacing w:val="7"/>
          <w:sz w:val="21"/>
          <w:szCs w:val="21"/>
          <w:highlight w:val="none"/>
        </w:rPr>
        <w:t>每月不少于清扫2</w:t>
      </w:r>
      <w:r>
        <w:rPr>
          <w:rFonts w:hint="eastAsia" w:asciiTheme="minorEastAsia" w:hAnsiTheme="minorEastAsia" w:eastAsiaTheme="minorEastAsia" w:cstheme="minorEastAsia"/>
          <w:spacing w:val="6"/>
          <w:sz w:val="21"/>
          <w:szCs w:val="21"/>
          <w:highlight w:val="none"/>
        </w:rPr>
        <w:t xml:space="preserve"> 遍</w:t>
      </w:r>
      <w:r>
        <w:rPr>
          <w:rFonts w:hint="eastAsia" w:asciiTheme="minorEastAsia" w:hAnsiTheme="minorEastAsia" w:eastAsiaTheme="minorEastAsia" w:cstheme="minorEastAsia"/>
          <w:spacing w:val="9"/>
          <w:sz w:val="21"/>
          <w:szCs w:val="21"/>
          <w:highlight w:val="none"/>
        </w:rPr>
        <w:t>桥面洒落物严重或突发情况的桥梁需要加大清扫频率</w:t>
      </w:r>
      <w:r>
        <w:rPr>
          <w:rFonts w:hint="eastAsia" w:asciiTheme="minorEastAsia" w:hAnsiTheme="minorEastAsia" w:eastAsiaTheme="minorEastAsia" w:cstheme="minorEastAsia"/>
          <w:spacing w:val="9"/>
          <w:sz w:val="21"/>
          <w:szCs w:val="21"/>
          <w:highlight w:val="none"/>
          <w:lang w:eastAsia="zh-CN"/>
        </w:rPr>
        <w:t>；</w:t>
      </w:r>
      <w:r>
        <w:rPr>
          <w:rFonts w:hint="eastAsia" w:asciiTheme="minorEastAsia" w:hAnsiTheme="minorEastAsia" w:eastAsiaTheme="minorEastAsia" w:cstheme="minorEastAsia"/>
          <w:spacing w:val="9"/>
          <w:sz w:val="21"/>
          <w:szCs w:val="21"/>
          <w:highlight w:val="none"/>
        </w:rPr>
        <w:t>经常性保持桥梁上部结构和下部结构部件及构件、桥梁附属结构等桥梁所有构件干净，无杂草、</w:t>
      </w:r>
      <w:r>
        <w:rPr>
          <w:rFonts w:hint="eastAsia" w:asciiTheme="minorEastAsia" w:hAnsiTheme="minorEastAsia" w:eastAsiaTheme="minorEastAsia" w:cstheme="minorEastAsia"/>
          <w:spacing w:val="6"/>
          <w:sz w:val="21"/>
          <w:szCs w:val="21"/>
          <w:highlight w:val="none"/>
        </w:rPr>
        <w:t>杂物、泥沙、灌木、青苔等</w:t>
      </w:r>
      <w:r>
        <w:rPr>
          <w:rFonts w:hint="eastAsia" w:asciiTheme="minorEastAsia" w:hAnsiTheme="minorEastAsia" w:eastAsiaTheme="minorEastAsia" w:cstheme="minorEastAsia"/>
          <w:spacing w:val="9"/>
          <w:sz w:val="21"/>
          <w:szCs w:val="21"/>
          <w:highlight w:val="none"/>
        </w:rPr>
        <w:t>；附着式轮廓标清晰反光有效，桥梁限重标志牌、信息标志牌长期保持干净整洁</w:t>
      </w:r>
      <w:r>
        <w:rPr>
          <w:rFonts w:hint="eastAsia" w:asciiTheme="minorEastAsia" w:hAnsiTheme="minorEastAsia" w:eastAsiaTheme="minorEastAsia" w:cstheme="minorEastAsia"/>
          <w:spacing w:val="9"/>
          <w:sz w:val="21"/>
          <w:szCs w:val="21"/>
          <w:highlight w:val="none"/>
          <w:lang w:eastAsia="zh-CN"/>
        </w:rPr>
        <w:t>，</w:t>
      </w:r>
      <w:r>
        <w:rPr>
          <w:rFonts w:hint="eastAsia" w:asciiTheme="minorEastAsia" w:hAnsiTheme="minorEastAsia" w:eastAsiaTheme="minorEastAsia" w:cstheme="minorEastAsia"/>
          <w:spacing w:val="6"/>
          <w:sz w:val="21"/>
          <w:szCs w:val="21"/>
          <w:highlight w:val="none"/>
        </w:rPr>
        <w:t>养护频率每个月不少于一次。</w:t>
      </w:r>
      <w:r>
        <w:rPr>
          <w:rFonts w:hint="eastAsia" w:asciiTheme="minorEastAsia" w:hAnsiTheme="minorEastAsia" w:eastAsiaTheme="minorEastAsia" w:cstheme="minorEastAsia"/>
          <w:spacing w:val="9"/>
          <w:sz w:val="21"/>
          <w:szCs w:val="21"/>
          <w:highlight w:val="none"/>
        </w:rPr>
        <w:t>桥底公路</w:t>
      </w:r>
      <w:r>
        <w:rPr>
          <w:rFonts w:hint="eastAsia" w:asciiTheme="minorEastAsia" w:hAnsiTheme="minorEastAsia" w:eastAsiaTheme="minorEastAsia" w:cstheme="minorEastAsia"/>
          <w:spacing w:val="2"/>
          <w:sz w:val="21"/>
          <w:szCs w:val="21"/>
          <w:highlight w:val="none"/>
        </w:rPr>
        <w:t>范围内草不超过</w:t>
      </w:r>
      <w:r>
        <w:rPr>
          <w:rFonts w:hint="eastAsia" w:asciiTheme="minorEastAsia" w:hAnsiTheme="minorEastAsia" w:eastAsiaTheme="minorEastAsia" w:cstheme="minorEastAsia"/>
          <w:spacing w:val="-16"/>
          <w:sz w:val="21"/>
          <w:szCs w:val="21"/>
          <w:highlight w:val="none"/>
        </w:rPr>
        <w:t xml:space="preserve"> </w:t>
      </w:r>
      <w:r>
        <w:rPr>
          <w:rFonts w:hint="eastAsia" w:asciiTheme="minorEastAsia" w:hAnsiTheme="minorEastAsia" w:eastAsiaTheme="minorEastAsia" w:cstheme="minorEastAsia"/>
          <w:spacing w:val="2"/>
          <w:sz w:val="21"/>
          <w:szCs w:val="21"/>
          <w:highlight w:val="none"/>
        </w:rPr>
        <w:t>10</w:t>
      </w:r>
      <w:r>
        <w:rPr>
          <w:rFonts w:hint="eastAsia" w:asciiTheme="minorEastAsia" w:hAnsiTheme="minorEastAsia" w:eastAsiaTheme="minorEastAsia" w:cstheme="minorEastAsia"/>
          <w:spacing w:val="15"/>
          <w:sz w:val="21"/>
          <w:szCs w:val="21"/>
          <w:highlight w:val="none"/>
        </w:rPr>
        <w:t xml:space="preserve"> </w:t>
      </w:r>
      <w:r>
        <w:rPr>
          <w:rFonts w:hint="eastAsia" w:asciiTheme="minorEastAsia" w:hAnsiTheme="minorEastAsia" w:eastAsiaTheme="minorEastAsia" w:cstheme="minorEastAsia"/>
          <w:spacing w:val="2"/>
          <w:sz w:val="21"/>
          <w:szCs w:val="21"/>
          <w:highlight w:val="none"/>
        </w:rPr>
        <w:t>㎝</w:t>
      </w:r>
      <w:r>
        <w:rPr>
          <w:rFonts w:hint="eastAsia" w:asciiTheme="minorEastAsia" w:hAnsiTheme="minorEastAsia" w:eastAsiaTheme="minorEastAsia" w:cstheme="minorEastAsia"/>
          <w:spacing w:val="2"/>
          <w:sz w:val="21"/>
          <w:szCs w:val="21"/>
          <w:highlight w:val="none"/>
          <w:lang w:eastAsia="zh-CN"/>
        </w:rPr>
        <w:t>，</w:t>
      </w:r>
      <w:r>
        <w:rPr>
          <w:rFonts w:hint="eastAsia" w:asciiTheme="minorEastAsia" w:hAnsiTheme="minorEastAsia" w:eastAsiaTheme="minorEastAsia" w:cstheme="minorEastAsia"/>
          <w:spacing w:val="9"/>
          <w:sz w:val="21"/>
          <w:szCs w:val="21"/>
          <w:highlight w:val="none"/>
        </w:rPr>
        <w:t>桥</w:t>
      </w:r>
      <w:r>
        <w:rPr>
          <w:rFonts w:hint="eastAsia" w:asciiTheme="minorEastAsia" w:hAnsiTheme="minorEastAsia" w:eastAsiaTheme="minorEastAsia" w:cstheme="minorEastAsia"/>
          <w:spacing w:val="9"/>
          <w:sz w:val="21"/>
          <w:szCs w:val="21"/>
          <w:highlight w:val="none"/>
          <w:lang w:val="en-US" w:eastAsia="zh-CN"/>
        </w:rPr>
        <w:t>下空间</w:t>
      </w:r>
      <w:r>
        <w:rPr>
          <w:rFonts w:hint="eastAsia" w:asciiTheme="minorEastAsia" w:hAnsiTheme="minorEastAsia" w:eastAsiaTheme="minorEastAsia" w:cstheme="minorEastAsia"/>
          <w:spacing w:val="9"/>
          <w:sz w:val="21"/>
          <w:szCs w:val="21"/>
          <w:highlight w:val="none"/>
        </w:rPr>
        <w:t>范围无树木</w:t>
      </w:r>
      <w:r>
        <w:rPr>
          <w:rFonts w:hint="eastAsia" w:asciiTheme="minorEastAsia" w:hAnsiTheme="minorEastAsia" w:eastAsiaTheme="minorEastAsia" w:cstheme="minorEastAsia"/>
          <w:spacing w:val="9"/>
          <w:sz w:val="21"/>
          <w:szCs w:val="21"/>
          <w:highlight w:val="none"/>
          <w:lang w:eastAsia="zh-CN"/>
        </w:rPr>
        <w:t>，</w:t>
      </w:r>
      <w:r>
        <w:rPr>
          <w:rFonts w:hint="eastAsia" w:asciiTheme="minorEastAsia" w:hAnsiTheme="minorEastAsia" w:eastAsiaTheme="minorEastAsia" w:cstheme="minorEastAsia"/>
          <w:spacing w:val="10"/>
          <w:sz w:val="21"/>
          <w:szCs w:val="21"/>
          <w:highlight w:val="none"/>
        </w:rPr>
        <w:t>桥下和调治构造物周边无漂浮物、堆积物、杂物等，</w:t>
      </w:r>
      <w:r>
        <w:rPr>
          <w:rFonts w:hint="eastAsia" w:asciiTheme="minorEastAsia" w:hAnsiTheme="minorEastAsia" w:eastAsiaTheme="minorEastAsia" w:cstheme="minorEastAsia"/>
          <w:spacing w:val="9"/>
          <w:sz w:val="21"/>
          <w:szCs w:val="21"/>
          <w:highlight w:val="none"/>
        </w:rPr>
        <w:t>桥下空间排水畅通</w:t>
      </w:r>
      <w:r>
        <w:rPr>
          <w:rFonts w:hint="eastAsia" w:asciiTheme="minorEastAsia" w:hAnsiTheme="minorEastAsia" w:eastAsiaTheme="minorEastAsia" w:cstheme="minorEastAsia"/>
          <w:spacing w:val="2"/>
          <w:sz w:val="21"/>
          <w:szCs w:val="21"/>
          <w:highlight w:val="none"/>
          <w:lang w:eastAsia="zh-CN"/>
        </w:rPr>
        <w:t>；</w:t>
      </w:r>
      <w:r>
        <w:rPr>
          <w:rFonts w:hint="eastAsia" w:asciiTheme="minorEastAsia" w:hAnsiTheme="minorEastAsia" w:eastAsiaTheme="minorEastAsia" w:cstheme="minorEastAsia"/>
          <w:spacing w:val="9"/>
          <w:sz w:val="21"/>
          <w:szCs w:val="21"/>
          <w:highlight w:val="none"/>
        </w:rPr>
        <w:t>经常性保持桥梁泄水孔畅通和伸缩缝干净、无沉积杂物。</w:t>
      </w:r>
    </w:p>
    <w:p w14:paraId="737F8D74">
      <w:pPr>
        <w:pStyle w:val="11"/>
        <w:keepNext w:val="0"/>
        <w:keepLines w:val="0"/>
        <w:pageBreakBefore w:val="0"/>
        <w:widowControl w:val="0"/>
        <w:kinsoku/>
        <w:wordWrap/>
        <w:overflowPunct/>
        <w:topLinePunct w:val="0"/>
        <w:autoSpaceDE/>
        <w:autoSpaceDN/>
        <w:bidi w:val="0"/>
        <w:adjustRightInd/>
        <w:snapToGrid/>
        <w:spacing w:line="360" w:lineRule="auto"/>
        <w:ind w:left="23" w:firstLine="432" w:firstLineChars="200"/>
        <w:textAlignment w:val="auto"/>
        <w:rPr>
          <w:rFonts w:hint="eastAsia" w:asciiTheme="minorEastAsia" w:hAnsiTheme="minorEastAsia" w:eastAsiaTheme="minorEastAsia" w:cstheme="minorEastAsia"/>
          <w:spacing w:val="3"/>
          <w:position w:val="1"/>
          <w:sz w:val="21"/>
          <w:szCs w:val="21"/>
          <w:highlight w:val="none"/>
        </w:rPr>
      </w:pPr>
      <w:r>
        <w:rPr>
          <w:rFonts w:hint="eastAsia" w:asciiTheme="minorEastAsia" w:hAnsiTheme="minorEastAsia" w:eastAsiaTheme="minorEastAsia" w:cstheme="minorEastAsia"/>
          <w:spacing w:val="3"/>
          <w:position w:val="1"/>
          <w:sz w:val="21"/>
          <w:szCs w:val="21"/>
          <w:highlight w:val="none"/>
          <w:lang w:eastAsia="zh-CN"/>
        </w:rPr>
        <w:t>（</w:t>
      </w:r>
      <w:r>
        <w:rPr>
          <w:rFonts w:hint="eastAsia" w:asciiTheme="minorEastAsia" w:hAnsiTheme="minorEastAsia" w:eastAsiaTheme="minorEastAsia" w:cstheme="minorEastAsia"/>
          <w:spacing w:val="3"/>
          <w:position w:val="1"/>
          <w:sz w:val="21"/>
          <w:szCs w:val="21"/>
          <w:highlight w:val="none"/>
          <w:lang w:val="en-US" w:eastAsia="zh-CN"/>
        </w:rPr>
        <w:t>2</w:t>
      </w:r>
      <w:r>
        <w:rPr>
          <w:rFonts w:hint="eastAsia" w:asciiTheme="minorEastAsia" w:hAnsiTheme="minorEastAsia" w:eastAsiaTheme="minorEastAsia" w:cstheme="minorEastAsia"/>
          <w:spacing w:val="3"/>
          <w:position w:val="1"/>
          <w:sz w:val="21"/>
          <w:szCs w:val="21"/>
          <w:highlight w:val="none"/>
          <w:lang w:eastAsia="zh-CN"/>
        </w:rPr>
        <w:t>）</w:t>
      </w:r>
      <w:r>
        <w:rPr>
          <w:rFonts w:hint="eastAsia" w:asciiTheme="minorEastAsia" w:hAnsiTheme="minorEastAsia" w:eastAsiaTheme="minorEastAsia" w:cstheme="minorEastAsia"/>
          <w:spacing w:val="3"/>
          <w:position w:val="1"/>
          <w:sz w:val="21"/>
          <w:szCs w:val="21"/>
          <w:highlight w:val="none"/>
        </w:rPr>
        <w:t>保持涵洞进出水口及洞内清洁无杂物、杂草，长期保持排水畅通，无冲积物、淤泥、杂物等堆积堵塞。涵洞及急流槽结构外缘1米内空间长草不超过15cm，清除长草杂草每月进行一遍，清理泥沙、石块、树枝等杂物，清理进出水口及洞身淤塞或杂物应每季一遍，雨季期间全面排通，雨季后专项清理一遍。汛期加强巡查，对因涵洞阻塞形成水过路面的路段立即进行人工疏通或引流排水，人工不能解决的，要马上组织机械作业，消除水过路面情况，防止水过路面冲刷造成路基路面塌陷或涵洞崩毁。</w:t>
      </w:r>
    </w:p>
    <w:p w14:paraId="742B777E">
      <w:pPr>
        <w:pStyle w:val="11"/>
        <w:keepNext w:val="0"/>
        <w:keepLines w:val="0"/>
        <w:pageBreakBefore w:val="0"/>
        <w:widowControl w:val="0"/>
        <w:kinsoku/>
        <w:wordWrap/>
        <w:overflowPunct/>
        <w:topLinePunct w:val="0"/>
        <w:autoSpaceDE/>
        <w:autoSpaceDN/>
        <w:bidi w:val="0"/>
        <w:adjustRightInd/>
        <w:snapToGrid/>
        <w:spacing w:line="360" w:lineRule="auto"/>
        <w:ind w:left="23" w:firstLine="432" w:firstLineChars="200"/>
        <w:textAlignment w:val="auto"/>
        <w:rPr>
          <w:rFonts w:hint="eastAsia" w:asciiTheme="minorEastAsia" w:hAnsiTheme="minorEastAsia" w:eastAsiaTheme="minorEastAsia" w:cstheme="minorEastAsia"/>
          <w:spacing w:val="3"/>
          <w:position w:val="1"/>
          <w:sz w:val="21"/>
          <w:szCs w:val="21"/>
          <w:highlight w:val="none"/>
          <w:lang w:val="en-US" w:eastAsia="zh-CN"/>
        </w:rPr>
      </w:pPr>
      <w:r>
        <w:rPr>
          <w:rFonts w:hint="eastAsia" w:asciiTheme="minorEastAsia" w:hAnsiTheme="minorEastAsia" w:eastAsiaTheme="minorEastAsia" w:cstheme="minorEastAsia"/>
          <w:spacing w:val="3"/>
          <w:position w:val="1"/>
          <w:sz w:val="21"/>
          <w:szCs w:val="21"/>
          <w:highlight w:val="none"/>
          <w:lang w:val="en-US" w:eastAsia="zh-CN"/>
        </w:rPr>
        <w:t>2.4.2考核标准：</w:t>
      </w:r>
    </w:p>
    <w:p w14:paraId="1F1B4AC9">
      <w:pPr>
        <w:pStyle w:val="11"/>
        <w:keepNext w:val="0"/>
        <w:keepLines w:val="0"/>
        <w:pageBreakBefore w:val="0"/>
        <w:widowControl w:val="0"/>
        <w:kinsoku/>
        <w:wordWrap/>
        <w:overflowPunct/>
        <w:topLinePunct w:val="0"/>
        <w:autoSpaceDE/>
        <w:autoSpaceDN/>
        <w:bidi w:val="0"/>
        <w:adjustRightInd/>
        <w:snapToGrid/>
        <w:spacing w:line="360" w:lineRule="auto"/>
        <w:ind w:left="23" w:firstLine="432"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3"/>
          <w:position w:val="1"/>
          <w:sz w:val="21"/>
          <w:szCs w:val="21"/>
          <w:highlight w:val="none"/>
        </w:rPr>
        <w:t>1</w:t>
      </w:r>
      <w:r>
        <w:rPr>
          <w:rFonts w:hint="eastAsia" w:asciiTheme="minorEastAsia" w:hAnsiTheme="minorEastAsia" w:eastAsiaTheme="minorEastAsia" w:cstheme="minorEastAsia"/>
          <w:spacing w:val="19"/>
          <w:w w:val="101"/>
          <w:position w:val="1"/>
          <w:sz w:val="21"/>
          <w:szCs w:val="21"/>
          <w:highlight w:val="none"/>
        </w:rPr>
        <w:t xml:space="preserve"> </w:t>
      </w:r>
      <w:r>
        <w:rPr>
          <w:rFonts w:hint="eastAsia" w:asciiTheme="minorEastAsia" w:hAnsiTheme="minorEastAsia" w:eastAsiaTheme="minorEastAsia" w:cstheme="minorEastAsia"/>
          <w:spacing w:val="3"/>
          <w:position w:val="1"/>
          <w:sz w:val="21"/>
          <w:szCs w:val="21"/>
          <w:highlight w:val="none"/>
        </w:rPr>
        <w:t>.2 质量验收标准</w:t>
      </w:r>
    </w:p>
    <w:p w14:paraId="1EFA2F0D">
      <w:pPr>
        <w:pStyle w:val="11"/>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eastAsia" w:asciiTheme="minorEastAsia" w:hAnsiTheme="minorEastAsia" w:eastAsiaTheme="minorEastAsia" w:cstheme="minorEastAsia"/>
          <w:spacing w:val="2"/>
          <w:sz w:val="21"/>
          <w:szCs w:val="21"/>
          <w:highlight w:val="none"/>
          <w:lang w:eastAsia="zh-CN"/>
        </w:rPr>
      </w:pPr>
      <w:r>
        <w:rPr>
          <w:rFonts w:hint="eastAsia" w:asciiTheme="minorEastAsia" w:hAnsiTheme="minorEastAsia" w:eastAsiaTheme="minorEastAsia" w:cstheme="minorEastAsia"/>
          <w:spacing w:val="9"/>
          <w:position w:val="1"/>
          <w:sz w:val="21"/>
          <w:szCs w:val="21"/>
          <w:highlight w:val="none"/>
          <w:lang w:val="en-US" w:eastAsia="zh-CN"/>
        </w:rPr>
        <w:t>以每月为一个周期进行清理。</w:t>
      </w:r>
      <w:r>
        <w:rPr>
          <w:rFonts w:hint="eastAsia" w:asciiTheme="minorEastAsia" w:hAnsiTheme="minorEastAsia" w:eastAsiaTheme="minorEastAsia" w:cstheme="minorEastAsia"/>
          <w:spacing w:val="3"/>
          <w:position w:val="1"/>
          <w:sz w:val="21"/>
          <w:szCs w:val="21"/>
          <w:highlight w:val="none"/>
        </w:rPr>
        <w:t>保持桥面及护栏清洁，附着式轮廓标清晰反光有效，锥坡、检查步道及桥体结构干净整洁无植物杂草，伸缩缝干净无沉积杂物、无堵塞，泄水孔长期保持畅通，无积水，桥梁限重标志牌、信息标志牌长期保持干净整洁，桥下无垃圾无高大树木，桥墩、桥台、锥坡、伸缩缝等无异杂物。</w:t>
      </w:r>
      <w:r>
        <w:rPr>
          <w:rFonts w:hint="eastAsia" w:asciiTheme="minorEastAsia" w:hAnsiTheme="minorEastAsia" w:eastAsiaTheme="minorEastAsia" w:cstheme="minorEastAsia"/>
          <w:spacing w:val="9"/>
          <w:sz w:val="21"/>
          <w:szCs w:val="21"/>
          <w:highlight w:val="none"/>
        </w:rPr>
        <w:t>经常性保持</w:t>
      </w:r>
      <w:r>
        <w:rPr>
          <w:rFonts w:hint="eastAsia" w:asciiTheme="minorEastAsia" w:hAnsiTheme="minorEastAsia" w:eastAsiaTheme="minorEastAsia" w:cstheme="minorEastAsia"/>
          <w:spacing w:val="9"/>
          <w:sz w:val="21"/>
          <w:szCs w:val="21"/>
          <w:highlight w:val="none"/>
          <w:lang w:val="en-US" w:eastAsia="zh-CN"/>
        </w:rPr>
        <w:t>涵洞</w:t>
      </w:r>
      <w:r>
        <w:rPr>
          <w:rFonts w:hint="eastAsia" w:asciiTheme="minorEastAsia" w:hAnsiTheme="minorEastAsia" w:eastAsiaTheme="minorEastAsia" w:cstheme="minorEastAsia"/>
          <w:spacing w:val="9"/>
          <w:sz w:val="21"/>
          <w:szCs w:val="21"/>
          <w:highlight w:val="none"/>
        </w:rPr>
        <w:t>进出水口、洞内及墙体清洁无杂物、杂草，保持涵洞排水畅通，无冲积物、淤泥、杂物等堆积</w:t>
      </w:r>
      <w:r>
        <w:rPr>
          <w:rFonts w:hint="eastAsia" w:asciiTheme="minorEastAsia" w:hAnsiTheme="minorEastAsia" w:eastAsiaTheme="minorEastAsia" w:cstheme="minorEastAsia"/>
          <w:spacing w:val="2"/>
          <w:sz w:val="21"/>
          <w:szCs w:val="21"/>
          <w:highlight w:val="none"/>
        </w:rPr>
        <w:t>堵塞</w:t>
      </w:r>
      <w:r>
        <w:rPr>
          <w:rFonts w:hint="eastAsia" w:asciiTheme="minorEastAsia" w:hAnsiTheme="minorEastAsia" w:eastAsiaTheme="minorEastAsia" w:cstheme="minorEastAsia"/>
          <w:spacing w:val="2"/>
          <w:sz w:val="21"/>
          <w:szCs w:val="21"/>
          <w:highlight w:val="none"/>
          <w:lang w:eastAsia="zh-CN"/>
        </w:rPr>
        <w:t>。</w:t>
      </w:r>
    </w:p>
    <w:p w14:paraId="11BD66F2">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桥梁以每座为1处，涵洞以每座为1处。每处局部存在不符合要求的扣0.1分；</w:t>
      </w:r>
    </w:p>
    <w:p w14:paraId="31478CCC">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未按频率进行清理的每处桥梁扣0.2分，每个涵洞扣0.2分；</w:t>
      </w:r>
    </w:p>
    <w:p w14:paraId="447261CC">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月度内存在整座桥梁或整座涵洞未清理的，按每座扣1分；</w:t>
      </w:r>
    </w:p>
    <w:p w14:paraId="048213BD">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大雨后未进行涵洞专项检查清理每处扣0.5分。</w:t>
      </w:r>
    </w:p>
    <w:p w14:paraId="307B1669">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出现水过路面未解决的扣1分，造成塌陷或涵洞崩塌的扣5分；</w:t>
      </w:r>
    </w:p>
    <w:p w14:paraId="0C44BB7F">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下达整改后，未按要求及时整改的，每处扣0.5分；</w:t>
      </w:r>
    </w:p>
    <w:p w14:paraId="6F601782">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未按上级部门检查整改要求整改到位的，每处扣1分。</w:t>
      </w:r>
    </w:p>
    <w:p w14:paraId="131AD6E4">
      <w:pPr>
        <w:pStyle w:val="11"/>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bCs/>
          <w:sz w:val="21"/>
          <w:szCs w:val="21"/>
          <w:highlight w:val="none"/>
          <w:lang w:val="en-US" w:eastAsia="zh-CN"/>
        </w:rPr>
        <w:t>2.5</w:t>
      </w:r>
      <w:r>
        <w:rPr>
          <w:rFonts w:hint="eastAsia" w:asciiTheme="minorEastAsia" w:hAnsiTheme="minorEastAsia" w:eastAsiaTheme="minorEastAsia" w:cstheme="minorEastAsia"/>
          <w:b/>
          <w:bCs/>
          <w:sz w:val="21"/>
          <w:szCs w:val="21"/>
          <w:highlight w:val="none"/>
        </w:rPr>
        <w:t>隧道</w:t>
      </w:r>
      <w:r>
        <w:rPr>
          <w:rFonts w:hint="eastAsia" w:asciiTheme="minorEastAsia" w:hAnsiTheme="minorEastAsia" w:eastAsiaTheme="minorEastAsia" w:cstheme="minorEastAsia"/>
          <w:b/>
          <w:bCs/>
          <w:sz w:val="21"/>
          <w:szCs w:val="21"/>
          <w:highlight w:val="none"/>
          <w:lang w:val="en-US" w:eastAsia="zh-CN"/>
        </w:rPr>
        <w:t>日常保养</w:t>
      </w:r>
    </w:p>
    <w:p w14:paraId="5AF66E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0"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2.5.1工作内容及要求：</w:t>
      </w:r>
    </w:p>
    <w:p w14:paraId="28155D9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Chars="0"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隧道养护要求：安排专人进行日常保养，正常开展日常保洁。</w:t>
      </w:r>
      <w:r>
        <w:rPr>
          <w:rFonts w:hint="eastAsia" w:asciiTheme="minorEastAsia" w:hAnsiTheme="minorEastAsia" w:eastAsiaTheme="minorEastAsia" w:cstheme="minorEastAsia"/>
          <w:sz w:val="21"/>
          <w:szCs w:val="21"/>
          <w:highlight w:val="none"/>
          <w:lang w:val="en-US" w:eastAsia="zh-CN"/>
        </w:rPr>
        <w:t>每月</w:t>
      </w:r>
      <w:r>
        <w:rPr>
          <w:rFonts w:hint="eastAsia" w:asciiTheme="minorEastAsia" w:hAnsiTheme="minorEastAsia" w:eastAsiaTheme="minorEastAsia" w:cstheme="minorEastAsia"/>
          <w:sz w:val="21"/>
          <w:szCs w:val="21"/>
          <w:highlight w:val="none"/>
        </w:rPr>
        <w:t>对隧道内墙面、拱顶、路面进行全面冲洗</w:t>
      </w:r>
      <w:r>
        <w:rPr>
          <w:rFonts w:hint="eastAsia" w:asciiTheme="minorEastAsia" w:hAnsiTheme="minorEastAsia" w:eastAsia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rPr>
        <w:t>擦拭，清除顽固油污、霉斑</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排水系统:彻底疏通边沟、检查井，清理沉淀池淤泥，保证排水通畅</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清理照明灯具，拆解清洁通风口滤网、消防喷头</w:t>
      </w:r>
      <w:r>
        <w:rPr>
          <w:rFonts w:hint="eastAsia" w:asciiTheme="minorEastAsia" w:hAnsiTheme="minorEastAsia" w:eastAsia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rPr>
        <w:t>软管，清理监控</w:t>
      </w:r>
      <w:r>
        <w:rPr>
          <w:rFonts w:hint="eastAsia" w:asciiTheme="minorEastAsia" w:hAnsiTheme="minorEastAsia" w:eastAsiaTheme="minorEastAsia" w:cstheme="minorEastAsia"/>
          <w:sz w:val="21"/>
          <w:szCs w:val="21"/>
          <w:highlight w:val="none"/>
          <w:lang w:val="en-US" w:eastAsia="zh-CN"/>
        </w:rPr>
        <w:t>和</w:t>
      </w:r>
      <w:r>
        <w:rPr>
          <w:rFonts w:hint="eastAsia" w:asciiTheme="minorEastAsia" w:hAnsiTheme="minorEastAsia" w:eastAsiaTheme="minorEastAsia" w:cstheme="minorEastAsia"/>
          <w:sz w:val="21"/>
          <w:szCs w:val="21"/>
          <w:highlight w:val="none"/>
        </w:rPr>
        <w:t>通信设备的积尘和遮挡物</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清理隧道进出口边坡的杂草、落石，疏通洞口截水沟，清理洞口附近的杂物堆积</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清理风机进风口、风道内的浮尘和杂物避免堵塞</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清理反光标识、消防箱、监控探头的积尘;疏通边沟、截水沟、集水井的淤泥、杂物。</w:t>
      </w:r>
      <w:r>
        <w:rPr>
          <w:rFonts w:hint="eastAsia" w:asciiTheme="minorEastAsia" w:hAnsiTheme="minorEastAsia" w:eastAsiaTheme="minorEastAsia" w:cstheme="minorEastAsia"/>
          <w:sz w:val="21"/>
          <w:szCs w:val="21"/>
          <w:highlight w:val="none"/>
          <w:lang w:val="en-US" w:eastAsia="zh-CN"/>
        </w:rPr>
        <w:t>发生</w:t>
      </w:r>
      <w:r>
        <w:rPr>
          <w:rFonts w:hint="eastAsia" w:asciiTheme="minorEastAsia" w:hAnsiTheme="minorEastAsia" w:eastAsiaTheme="minorEastAsia" w:cstheme="minorEastAsia"/>
          <w:sz w:val="21"/>
          <w:szCs w:val="21"/>
          <w:highlight w:val="none"/>
        </w:rPr>
        <w:t>交通事故后</w:t>
      </w:r>
      <w:r>
        <w:rPr>
          <w:rFonts w:hint="eastAsia" w:asciiTheme="minorEastAsia" w:hAnsiTheme="minorEastAsia" w:eastAsiaTheme="minorEastAsia" w:cstheme="minorEastAsia"/>
          <w:sz w:val="21"/>
          <w:szCs w:val="21"/>
          <w:highlight w:val="none"/>
          <w:lang w:val="en-US" w:eastAsia="zh-CN"/>
        </w:rPr>
        <w:t>要</w:t>
      </w:r>
      <w:r>
        <w:rPr>
          <w:rFonts w:hint="eastAsia" w:asciiTheme="minorEastAsia" w:hAnsiTheme="minorEastAsia" w:eastAsiaTheme="minorEastAsia" w:cstheme="minorEastAsia"/>
          <w:sz w:val="21"/>
          <w:szCs w:val="21"/>
          <w:highlight w:val="none"/>
        </w:rPr>
        <w:t>清理散落物、油污、破碎构件，冲洗路面残留污渍</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养护施工后</w:t>
      </w:r>
      <w:r>
        <w:rPr>
          <w:rFonts w:hint="eastAsia" w:asciiTheme="minorEastAsia" w:hAnsiTheme="minorEastAsia" w:eastAsiaTheme="minorEastAsia" w:cstheme="minorEastAsia"/>
          <w:sz w:val="21"/>
          <w:szCs w:val="21"/>
          <w:highlight w:val="none"/>
          <w:lang w:val="en-US" w:eastAsia="zh-CN"/>
        </w:rPr>
        <w:t>要</w:t>
      </w:r>
      <w:r>
        <w:rPr>
          <w:rFonts w:hint="eastAsia" w:asciiTheme="minorEastAsia" w:hAnsiTheme="minorEastAsia" w:eastAsiaTheme="minorEastAsia" w:cstheme="minorEastAsia"/>
          <w:sz w:val="21"/>
          <w:szCs w:val="21"/>
          <w:highlight w:val="none"/>
        </w:rPr>
        <w:t>清理施工渣土、废弃材料，恢复路面和设施整洁</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汛期雨季</w:t>
      </w:r>
      <w:r>
        <w:rPr>
          <w:rFonts w:hint="eastAsia" w:asciiTheme="minorEastAsia" w:hAnsiTheme="minorEastAsia" w:eastAsiaTheme="minorEastAsia" w:cstheme="minorEastAsia"/>
          <w:sz w:val="21"/>
          <w:szCs w:val="21"/>
          <w:highlight w:val="none"/>
          <w:lang w:val="en-US" w:eastAsia="zh-CN"/>
        </w:rPr>
        <w:t>后</w:t>
      </w:r>
      <w:r>
        <w:rPr>
          <w:rFonts w:hint="eastAsia" w:asciiTheme="minorEastAsia" w:hAnsiTheme="minorEastAsia" w:eastAsiaTheme="minorEastAsia" w:cstheme="minorEastAsia"/>
          <w:sz w:val="21"/>
          <w:szCs w:val="21"/>
          <w:highlight w:val="none"/>
        </w:rPr>
        <w:t>及时清理被雨水冲淤的排水系统和路面淤泥</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冬季冰冻</w:t>
      </w:r>
      <w:r>
        <w:rPr>
          <w:rFonts w:hint="eastAsia" w:asciiTheme="minorEastAsia" w:hAnsiTheme="minorEastAsia" w:eastAsiaTheme="minorEastAsia" w:cstheme="minorEastAsia"/>
          <w:sz w:val="21"/>
          <w:szCs w:val="21"/>
          <w:highlight w:val="none"/>
          <w:lang w:val="en-US" w:eastAsia="zh-CN"/>
        </w:rPr>
        <w:t>后</w:t>
      </w:r>
      <w:r>
        <w:rPr>
          <w:rFonts w:hint="eastAsia" w:asciiTheme="minorEastAsia" w:hAnsiTheme="minorEastAsia" w:eastAsiaTheme="minorEastAsia" w:cstheme="minorEastAsia"/>
          <w:sz w:val="21"/>
          <w:szCs w:val="21"/>
          <w:highlight w:val="none"/>
        </w:rPr>
        <w:t>及时清除积水、积冰、积雪</w:t>
      </w:r>
      <w:r>
        <w:rPr>
          <w:rFonts w:hint="eastAsia" w:asciiTheme="minorEastAsia" w:hAnsiTheme="minorEastAsia" w:eastAsiaTheme="minorEastAsia" w:cstheme="minorEastAsia"/>
          <w:sz w:val="21"/>
          <w:szCs w:val="21"/>
          <w:highlight w:val="none"/>
          <w:lang w:val="en-US" w:eastAsia="zh-CN"/>
        </w:rPr>
        <w:t>和</w:t>
      </w:r>
      <w:r>
        <w:rPr>
          <w:rFonts w:hint="eastAsia" w:asciiTheme="minorEastAsia" w:hAnsiTheme="minorEastAsia" w:eastAsiaTheme="minorEastAsia" w:cstheme="minorEastAsia"/>
          <w:sz w:val="21"/>
          <w:szCs w:val="21"/>
          <w:highlight w:val="none"/>
        </w:rPr>
        <w:t>清理因冰灾造成的路面污染。</w:t>
      </w:r>
    </w:p>
    <w:p w14:paraId="3DF0BDE3">
      <w:pPr>
        <w:pStyle w:val="1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2.5.2考核</w:t>
      </w:r>
      <w:r>
        <w:rPr>
          <w:rFonts w:hint="eastAsia" w:asciiTheme="minorEastAsia" w:hAnsiTheme="minorEastAsia" w:eastAsiaTheme="minorEastAsia" w:cstheme="minorEastAsia"/>
          <w:sz w:val="21"/>
          <w:szCs w:val="21"/>
          <w:highlight w:val="none"/>
        </w:rPr>
        <w:t>标准：</w:t>
      </w:r>
    </w:p>
    <w:p w14:paraId="5A50FD43">
      <w:pPr>
        <w:pStyle w:val="11"/>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9"/>
          <w:position w:val="1"/>
          <w:sz w:val="21"/>
          <w:szCs w:val="21"/>
          <w:highlight w:val="none"/>
          <w:lang w:val="en-US" w:eastAsia="zh-CN"/>
        </w:rPr>
        <w:t>以每月为一个周期进行清理，</w:t>
      </w:r>
      <w:r>
        <w:rPr>
          <w:rFonts w:hint="eastAsia" w:asciiTheme="minorEastAsia" w:hAnsiTheme="minorEastAsia" w:eastAsiaTheme="minorEastAsia" w:cstheme="minorEastAsia"/>
          <w:sz w:val="21"/>
          <w:szCs w:val="21"/>
          <w:highlight w:val="none"/>
        </w:rPr>
        <w:t>保持隧道路面无杂物、无积水积冰、无明显油污，路面标线清晰可辨;墙面或拱顶无浮尘、无非法张贴或喷涂、无悬挂杂物，反光标识清洁、反光效果良好，照明/监控:灯具、探头无积尘遮挡，亮度/拍摄视野达标;消防箱无遮挡、箱内清洁，器材完好可取用;通风设施的风道、风口无堵塞，风机进风无阻碍;进出口无落石、杂草、杂物堆积，视线通透，边沟、集水井、截水沟无堵塞，排水通畅，无淤泥堵塞;整体环境:隧道内无明显异味、无扬尘。</w:t>
      </w:r>
    </w:p>
    <w:p w14:paraId="3E237D72">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隧道以每100延米为1处。每处局部存在不符合要求的扣0.1分；</w:t>
      </w:r>
    </w:p>
    <w:p w14:paraId="7E65849C">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未按频率进行清理的每处扣0.2分；</w:t>
      </w:r>
    </w:p>
    <w:p w14:paraId="620CDCC9">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月度内存在整座隧道未清理的，按每座扣1分；</w:t>
      </w:r>
    </w:p>
    <w:p w14:paraId="0E3B9448">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下达整改后，未按要求及时整改的，每处扣0.5分；</w:t>
      </w:r>
    </w:p>
    <w:p w14:paraId="409285B0">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7"/>
          <w:sz w:val="21"/>
          <w:szCs w:val="21"/>
          <w:highlight w:val="none"/>
          <w:lang w:val="en-US" w:eastAsia="zh-CN"/>
        </w:rPr>
        <w:t>未按上级部门检查整改要求整改到位的，每处扣1分。</w:t>
      </w:r>
    </w:p>
    <w:p w14:paraId="1A4D5225">
      <w:pPr>
        <w:pStyle w:val="11"/>
        <w:keepNext w:val="0"/>
        <w:keepLines w:val="0"/>
        <w:pageBreakBefore w:val="0"/>
        <w:widowControl w:val="0"/>
        <w:kinsoku/>
        <w:wordWrap/>
        <w:overflowPunct/>
        <w:topLinePunct w:val="0"/>
        <w:autoSpaceDE/>
        <w:autoSpaceDN/>
        <w:bidi w:val="0"/>
        <w:adjustRightInd/>
        <w:snapToGrid/>
        <w:spacing w:line="360" w:lineRule="auto"/>
        <w:ind w:left="17" w:firstLine="454"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pacing w:val="8"/>
          <w:sz w:val="21"/>
          <w:szCs w:val="21"/>
          <w:highlight w:val="none"/>
          <w:lang w:val="en-US" w:eastAsia="zh-CN"/>
        </w:rPr>
        <w:t>2.6</w:t>
      </w:r>
      <w:r>
        <w:rPr>
          <w:rFonts w:hint="eastAsia" w:asciiTheme="minorEastAsia" w:hAnsiTheme="minorEastAsia" w:eastAsiaTheme="minorEastAsia" w:cstheme="minorEastAsia"/>
          <w:b/>
          <w:bCs/>
          <w:spacing w:val="8"/>
          <w:sz w:val="21"/>
          <w:szCs w:val="21"/>
          <w:highlight w:val="none"/>
        </w:rPr>
        <w:t>交通安全设施日常保养</w:t>
      </w:r>
    </w:p>
    <w:p w14:paraId="10789CE7">
      <w:pPr>
        <w:pStyle w:val="11"/>
        <w:keepNext w:val="0"/>
        <w:keepLines w:val="0"/>
        <w:pageBreakBefore w:val="0"/>
        <w:widowControl w:val="0"/>
        <w:kinsoku/>
        <w:wordWrap/>
        <w:overflowPunct/>
        <w:topLinePunct w:val="0"/>
        <w:autoSpaceDE/>
        <w:autoSpaceDN/>
        <w:bidi w:val="0"/>
        <w:adjustRightInd/>
        <w:snapToGrid/>
        <w:spacing w:line="360" w:lineRule="auto"/>
        <w:ind w:right="121" w:firstLine="432" w:firstLineChars="200"/>
        <w:textAlignment w:val="auto"/>
        <w:rPr>
          <w:rFonts w:hint="eastAsia" w:asciiTheme="minorEastAsia" w:hAnsiTheme="minorEastAsia" w:eastAsiaTheme="minorEastAsia" w:cstheme="minorEastAsia"/>
          <w:spacing w:val="3"/>
          <w:position w:val="1"/>
          <w:sz w:val="21"/>
          <w:szCs w:val="21"/>
          <w:highlight w:val="none"/>
        </w:rPr>
      </w:pPr>
      <w:r>
        <w:rPr>
          <w:rFonts w:hint="eastAsia" w:asciiTheme="minorEastAsia" w:hAnsiTheme="minorEastAsia" w:eastAsiaTheme="minorEastAsia" w:cstheme="minorEastAsia"/>
          <w:spacing w:val="3"/>
          <w:position w:val="1"/>
          <w:sz w:val="21"/>
          <w:szCs w:val="21"/>
          <w:highlight w:val="none"/>
          <w:lang w:val="en-US" w:eastAsia="zh-CN"/>
        </w:rPr>
        <w:t>2.6.</w:t>
      </w:r>
      <w:r>
        <w:rPr>
          <w:rFonts w:hint="eastAsia" w:asciiTheme="minorEastAsia" w:hAnsiTheme="minorEastAsia" w:eastAsiaTheme="minorEastAsia" w:cstheme="minorEastAsia"/>
          <w:spacing w:val="3"/>
          <w:position w:val="1"/>
          <w:sz w:val="21"/>
          <w:szCs w:val="21"/>
          <w:highlight w:val="none"/>
        </w:rPr>
        <w:t>1</w:t>
      </w:r>
      <w:r>
        <w:rPr>
          <w:rFonts w:hint="eastAsia" w:asciiTheme="minorEastAsia" w:hAnsiTheme="minorEastAsia" w:eastAsiaTheme="minorEastAsia" w:cstheme="minorEastAsia"/>
          <w:spacing w:val="3"/>
          <w:position w:val="1"/>
          <w:sz w:val="21"/>
          <w:szCs w:val="21"/>
          <w:highlight w:val="none"/>
          <w:lang w:val="en-US" w:eastAsia="zh-CN"/>
        </w:rPr>
        <w:t>工作内容及</w:t>
      </w:r>
      <w:r>
        <w:rPr>
          <w:rFonts w:hint="eastAsia" w:asciiTheme="minorEastAsia" w:hAnsiTheme="minorEastAsia" w:eastAsiaTheme="minorEastAsia" w:cstheme="minorEastAsia"/>
          <w:spacing w:val="3"/>
          <w:position w:val="1"/>
          <w:sz w:val="21"/>
          <w:szCs w:val="21"/>
          <w:highlight w:val="none"/>
        </w:rPr>
        <w:t>要求</w:t>
      </w:r>
    </w:p>
    <w:p w14:paraId="3D2C380C">
      <w:pPr>
        <w:pStyle w:val="11"/>
        <w:keepNext w:val="0"/>
        <w:keepLines w:val="0"/>
        <w:pageBreakBefore w:val="0"/>
        <w:widowControl w:val="0"/>
        <w:kinsoku/>
        <w:wordWrap/>
        <w:overflowPunct/>
        <w:topLinePunct w:val="0"/>
        <w:autoSpaceDE/>
        <w:autoSpaceDN/>
        <w:bidi w:val="0"/>
        <w:adjustRightInd/>
        <w:snapToGrid/>
        <w:spacing w:line="360" w:lineRule="auto"/>
        <w:ind w:left="8" w:right="121" w:firstLine="468" w:firstLineChars="202"/>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1"/>
          <w:sz w:val="21"/>
          <w:szCs w:val="21"/>
          <w:highlight w:val="none"/>
        </w:rPr>
        <w:t>（1）每年不少于2</w:t>
      </w:r>
      <w:r>
        <w:rPr>
          <w:rFonts w:hint="eastAsia" w:asciiTheme="minorEastAsia" w:hAnsiTheme="minorEastAsia" w:eastAsiaTheme="minorEastAsia" w:cstheme="minorEastAsia"/>
          <w:spacing w:val="18"/>
          <w:sz w:val="21"/>
          <w:szCs w:val="21"/>
          <w:highlight w:val="none"/>
        </w:rPr>
        <w:t xml:space="preserve"> </w:t>
      </w:r>
      <w:r>
        <w:rPr>
          <w:rFonts w:hint="eastAsia" w:asciiTheme="minorEastAsia" w:hAnsiTheme="minorEastAsia" w:eastAsiaTheme="minorEastAsia" w:cstheme="minorEastAsia"/>
          <w:spacing w:val="11"/>
          <w:sz w:val="21"/>
          <w:szCs w:val="21"/>
          <w:highlight w:val="none"/>
        </w:rPr>
        <w:t>次对全线标志牌版面、里程碑、百米桩、路面标线、突起路标等安全设施</w:t>
      </w:r>
      <w:r>
        <w:rPr>
          <w:rFonts w:hint="eastAsia" w:asciiTheme="minorEastAsia" w:hAnsiTheme="minorEastAsia" w:eastAsiaTheme="minorEastAsia" w:cstheme="minorEastAsia"/>
          <w:spacing w:val="10"/>
          <w:sz w:val="21"/>
          <w:szCs w:val="21"/>
          <w:highlight w:val="none"/>
        </w:rPr>
        <w:t>进行清洗，</w:t>
      </w:r>
      <w:r>
        <w:rPr>
          <w:rFonts w:hint="eastAsia" w:asciiTheme="minorEastAsia" w:hAnsiTheme="minorEastAsia" w:eastAsiaTheme="minorEastAsia" w:cstheme="minorEastAsia"/>
          <w:spacing w:val="9"/>
          <w:sz w:val="21"/>
          <w:szCs w:val="21"/>
          <w:highlight w:val="none"/>
        </w:rPr>
        <w:t>污染严重路段要增加清洗频率，确保版面和文字清晰可见。</w:t>
      </w:r>
    </w:p>
    <w:p w14:paraId="20445BD3">
      <w:pPr>
        <w:pStyle w:val="11"/>
        <w:keepNext w:val="0"/>
        <w:keepLines w:val="0"/>
        <w:pageBreakBefore w:val="0"/>
        <w:widowControl w:val="0"/>
        <w:kinsoku/>
        <w:wordWrap/>
        <w:overflowPunct/>
        <w:topLinePunct w:val="0"/>
        <w:autoSpaceDE/>
        <w:autoSpaceDN/>
        <w:bidi w:val="0"/>
        <w:adjustRightInd/>
        <w:snapToGrid/>
        <w:spacing w:line="360" w:lineRule="auto"/>
        <w:ind w:left="7" w:right="72" w:firstLine="470" w:firstLineChars="203"/>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1"/>
          <w:sz w:val="21"/>
          <w:szCs w:val="21"/>
          <w:highlight w:val="none"/>
        </w:rPr>
        <w:t>（2）每一季度不少于一次对全线轮廓标、示警桩、示警墩、立面标记、附着式反光标和道口标柱等视线</w:t>
      </w:r>
      <w:r>
        <w:rPr>
          <w:rFonts w:hint="eastAsia" w:asciiTheme="minorEastAsia" w:hAnsiTheme="minorEastAsia" w:eastAsiaTheme="minorEastAsia" w:cstheme="minorEastAsia"/>
          <w:spacing w:val="9"/>
          <w:sz w:val="21"/>
          <w:szCs w:val="21"/>
          <w:highlight w:val="none"/>
        </w:rPr>
        <w:t>诱导设施清洗，雨季或汛期加清洗频率，确保视线诱导设施干净，夜间反光有效。</w:t>
      </w:r>
    </w:p>
    <w:p w14:paraId="6BEFF3F6">
      <w:pPr>
        <w:pStyle w:val="11"/>
        <w:keepNext w:val="0"/>
        <w:keepLines w:val="0"/>
        <w:pageBreakBefore w:val="0"/>
        <w:widowControl w:val="0"/>
        <w:kinsoku/>
        <w:wordWrap/>
        <w:overflowPunct/>
        <w:topLinePunct w:val="0"/>
        <w:autoSpaceDE/>
        <w:autoSpaceDN/>
        <w:bidi w:val="0"/>
        <w:adjustRightInd/>
        <w:snapToGrid/>
        <w:spacing w:line="360" w:lineRule="auto"/>
        <w:ind w:left="7" w:right="72" w:firstLine="470" w:firstLineChars="203"/>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1"/>
          <w:sz w:val="21"/>
          <w:szCs w:val="21"/>
          <w:highlight w:val="none"/>
        </w:rPr>
        <w:t>（3）每年不少于</w:t>
      </w:r>
      <w:r>
        <w:rPr>
          <w:rFonts w:hint="eastAsia" w:asciiTheme="minorEastAsia" w:hAnsiTheme="minorEastAsia" w:eastAsiaTheme="minorEastAsia" w:cstheme="minorEastAsia"/>
          <w:spacing w:val="-38"/>
          <w:sz w:val="21"/>
          <w:szCs w:val="21"/>
          <w:highlight w:val="none"/>
        </w:rPr>
        <w:t xml:space="preserve"> </w:t>
      </w:r>
      <w:r>
        <w:rPr>
          <w:rFonts w:hint="eastAsia" w:asciiTheme="minorEastAsia" w:hAnsiTheme="minorEastAsia" w:eastAsiaTheme="minorEastAsia" w:cstheme="minorEastAsia"/>
          <w:spacing w:val="11"/>
          <w:sz w:val="21"/>
          <w:szCs w:val="21"/>
          <w:highlight w:val="none"/>
        </w:rPr>
        <w:t>2</w:t>
      </w:r>
      <w:r>
        <w:rPr>
          <w:rFonts w:hint="eastAsia" w:asciiTheme="minorEastAsia" w:hAnsiTheme="minorEastAsia" w:eastAsiaTheme="minorEastAsia" w:cstheme="minorEastAsia"/>
          <w:spacing w:val="17"/>
          <w:w w:val="101"/>
          <w:sz w:val="21"/>
          <w:szCs w:val="21"/>
          <w:highlight w:val="none"/>
        </w:rPr>
        <w:t xml:space="preserve"> </w:t>
      </w:r>
      <w:r>
        <w:rPr>
          <w:rFonts w:hint="eastAsia" w:asciiTheme="minorEastAsia" w:hAnsiTheme="minorEastAsia" w:eastAsiaTheme="minorEastAsia" w:cstheme="minorEastAsia"/>
          <w:spacing w:val="11"/>
          <w:sz w:val="21"/>
          <w:szCs w:val="21"/>
          <w:highlight w:val="none"/>
        </w:rPr>
        <w:t>次采用护栏清洗机对钢护栏和已刷漆的墙式护</w:t>
      </w:r>
      <w:r>
        <w:rPr>
          <w:rFonts w:hint="eastAsia" w:asciiTheme="minorEastAsia" w:hAnsiTheme="minorEastAsia" w:eastAsiaTheme="minorEastAsia" w:cstheme="minorEastAsia"/>
          <w:spacing w:val="10"/>
          <w:sz w:val="21"/>
          <w:szCs w:val="21"/>
          <w:highlight w:val="none"/>
        </w:rPr>
        <w:t>栏清洗，清除泥污尘污油污染，严重路</w:t>
      </w:r>
      <w:r>
        <w:rPr>
          <w:rFonts w:hint="eastAsia" w:asciiTheme="minorEastAsia" w:hAnsiTheme="minorEastAsia" w:eastAsiaTheme="minorEastAsia" w:cstheme="minorEastAsia"/>
          <w:spacing w:val="7"/>
          <w:sz w:val="21"/>
          <w:szCs w:val="21"/>
          <w:highlight w:val="none"/>
        </w:rPr>
        <w:t>段要增加清洗频率。</w:t>
      </w:r>
    </w:p>
    <w:p w14:paraId="4C0AE146">
      <w:pPr>
        <w:pStyle w:val="11"/>
        <w:keepNext w:val="0"/>
        <w:keepLines w:val="0"/>
        <w:pageBreakBefore w:val="0"/>
        <w:widowControl w:val="0"/>
        <w:kinsoku/>
        <w:wordWrap/>
        <w:overflowPunct/>
        <w:topLinePunct w:val="0"/>
        <w:autoSpaceDE/>
        <w:autoSpaceDN/>
        <w:bidi w:val="0"/>
        <w:adjustRightInd/>
        <w:snapToGrid/>
        <w:spacing w:line="360" w:lineRule="auto"/>
        <w:ind w:left="17" w:firstLine="456"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9"/>
          <w:position w:val="1"/>
          <w:sz w:val="21"/>
          <w:szCs w:val="21"/>
          <w:highlight w:val="none"/>
        </w:rPr>
        <w:t>（4）及时扶正歪斜的标志牌、轮廓标、示警桩、道口桩等交安设施和标志。</w:t>
      </w:r>
    </w:p>
    <w:p w14:paraId="15DA0150">
      <w:pPr>
        <w:pStyle w:val="11"/>
        <w:keepNext w:val="0"/>
        <w:keepLines w:val="0"/>
        <w:pageBreakBefore w:val="0"/>
        <w:widowControl w:val="0"/>
        <w:kinsoku/>
        <w:wordWrap/>
        <w:overflowPunct/>
        <w:topLinePunct w:val="0"/>
        <w:autoSpaceDE/>
        <w:autoSpaceDN/>
        <w:bidi w:val="0"/>
        <w:adjustRightInd/>
        <w:snapToGrid/>
        <w:spacing w:line="360" w:lineRule="auto"/>
        <w:ind w:left="11" w:right="72" w:firstLine="466" w:firstLineChars="201"/>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pacing w:val="11"/>
          <w:sz w:val="21"/>
          <w:szCs w:val="21"/>
          <w:highlight w:val="none"/>
        </w:rPr>
        <w:t>（5）及时修复轮廓标反光膜或者反光片，确保夜间反光</w:t>
      </w:r>
      <w:r>
        <w:rPr>
          <w:rFonts w:hint="eastAsia" w:asciiTheme="minorEastAsia" w:hAnsiTheme="minorEastAsia" w:eastAsiaTheme="minorEastAsia" w:cstheme="minorEastAsia"/>
          <w:spacing w:val="11"/>
          <w:sz w:val="21"/>
          <w:szCs w:val="21"/>
          <w:highlight w:val="none"/>
          <w:lang w:eastAsia="zh-CN"/>
        </w:rPr>
        <w:t>。</w:t>
      </w:r>
    </w:p>
    <w:p w14:paraId="5460FD15">
      <w:pPr>
        <w:pStyle w:val="11"/>
        <w:keepNext w:val="0"/>
        <w:keepLines w:val="0"/>
        <w:pageBreakBefore w:val="0"/>
        <w:widowControl w:val="0"/>
        <w:kinsoku/>
        <w:wordWrap/>
        <w:overflowPunct/>
        <w:topLinePunct w:val="0"/>
        <w:autoSpaceDE/>
        <w:autoSpaceDN/>
        <w:bidi w:val="0"/>
        <w:adjustRightInd/>
        <w:snapToGrid/>
        <w:spacing w:line="360" w:lineRule="auto"/>
        <w:ind w:left="6" w:right="25" w:firstLine="462" w:firstLineChars="203"/>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9"/>
          <w:sz w:val="21"/>
          <w:szCs w:val="21"/>
          <w:highlight w:val="none"/>
        </w:rPr>
        <w:t>（6）及时扶正歪斜的里程碑、百米桩，及时更换损坏的里程碑、百米桩，每年（10 月下旬至</w:t>
      </w:r>
      <w:r>
        <w:rPr>
          <w:rFonts w:hint="eastAsia" w:asciiTheme="minorEastAsia" w:hAnsiTheme="minorEastAsia" w:eastAsiaTheme="minorEastAsia" w:cstheme="minorEastAsia"/>
          <w:spacing w:val="-21"/>
          <w:sz w:val="21"/>
          <w:szCs w:val="21"/>
          <w:highlight w:val="none"/>
        </w:rPr>
        <w:t xml:space="preserve"> </w:t>
      </w:r>
      <w:r>
        <w:rPr>
          <w:rFonts w:hint="eastAsia" w:asciiTheme="minorEastAsia" w:hAnsiTheme="minorEastAsia" w:eastAsiaTheme="minorEastAsia" w:cstheme="minorEastAsia"/>
          <w:spacing w:val="9"/>
          <w:sz w:val="21"/>
          <w:szCs w:val="21"/>
          <w:highlight w:val="none"/>
        </w:rPr>
        <w:t>1</w:t>
      </w:r>
      <w:r>
        <w:rPr>
          <w:rFonts w:hint="eastAsia" w:asciiTheme="minorEastAsia" w:hAnsiTheme="minorEastAsia" w:eastAsiaTheme="minorEastAsia" w:cstheme="minorEastAsia"/>
          <w:spacing w:val="8"/>
          <w:sz w:val="21"/>
          <w:szCs w:val="21"/>
          <w:highlight w:val="none"/>
        </w:rPr>
        <w:t>1月上旬）</w:t>
      </w:r>
      <w:r>
        <w:rPr>
          <w:rFonts w:hint="eastAsia" w:asciiTheme="minorEastAsia" w:hAnsiTheme="minorEastAsia" w:eastAsiaTheme="minorEastAsia" w:cstheme="minorEastAsia"/>
          <w:spacing w:val="10"/>
          <w:sz w:val="21"/>
          <w:szCs w:val="21"/>
          <w:highlight w:val="none"/>
        </w:rPr>
        <w:t>一次对里程碑、百米桩用油漆刷白描字（国道红色、省道蓝色</w:t>
      </w:r>
      <w:r>
        <w:rPr>
          <w:rFonts w:hint="eastAsia" w:asciiTheme="minorEastAsia" w:hAnsiTheme="minorEastAsia" w:eastAsiaTheme="minorEastAsia" w:cstheme="minorEastAsia"/>
          <w:spacing w:val="-7"/>
          <w:sz w:val="21"/>
          <w:szCs w:val="21"/>
          <w:highlight w:val="none"/>
        </w:rPr>
        <w:t>）（</w:t>
      </w:r>
      <w:r>
        <w:rPr>
          <w:rFonts w:hint="eastAsia" w:asciiTheme="minorEastAsia" w:hAnsiTheme="minorEastAsia" w:eastAsiaTheme="minorEastAsia" w:cstheme="minorEastAsia"/>
          <w:spacing w:val="10"/>
          <w:sz w:val="21"/>
          <w:szCs w:val="21"/>
          <w:highlight w:val="none"/>
        </w:rPr>
        <w:t>特别提醒：完成此项工作内容的费用包</w:t>
      </w:r>
      <w:r>
        <w:rPr>
          <w:rFonts w:hint="eastAsia" w:asciiTheme="minorEastAsia" w:hAnsiTheme="minorEastAsia" w:eastAsiaTheme="minorEastAsia" w:cstheme="minorEastAsia"/>
          <w:spacing w:val="7"/>
          <w:sz w:val="21"/>
          <w:szCs w:val="21"/>
          <w:highlight w:val="none"/>
        </w:rPr>
        <w:t>含在日常保养项目包干费中）。</w:t>
      </w:r>
    </w:p>
    <w:p w14:paraId="72EB23B1">
      <w:pPr>
        <w:pStyle w:val="11"/>
        <w:keepNext w:val="0"/>
        <w:keepLines w:val="0"/>
        <w:pageBreakBefore w:val="0"/>
        <w:widowControl w:val="0"/>
        <w:kinsoku/>
        <w:wordWrap/>
        <w:overflowPunct/>
        <w:topLinePunct w:val="0"/>
        <w:autoSpaceDE/>
        <w:autoSpaceDN/>
        <w:bidi w:val="0"/>
        <w:adjustRightInd/>
        <w:snapToGrid/>
        <w:spacing w:line="360" w:lineRule="auto"/>
        <w:ind w:left="8" w:right="71" w:firstLine="456" w:firstLineChars="202"/>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8"/>
          <w:sz w:val="21"/>
          <w:szCs w:val="21"/>
          <w:highlight w:val="none"/>
        </w:rPr>
        <w:t>（7）每年（10</w:t>
      </w:r>
      <w:r>
        <w:rPr>
          <w:rFonts w:hint="eastAsia" w:asciiTheme="minorEastAsia" w:hAnsiTheme="minorEastAsia" w:eastAsiaTheme="minorEastAsia" w:cstheme="minorEastAsia"/>
          <w:spacing w:val="17"/>
          <w:w w:val="101"/>
          <w:sz w:val="21"/>
          <w:szCs w:val="21"/>
          <w:highlight w:val="none"/>
        </w:rPr>
        <w:t xml:space="preserve"> </w:t>
      </w:r>
      <w:r>
        <w:rPr>
          <w:rFonts w:hint="eastAsia" w:asciiTheme="minorEastAsia" w:hAnsiTheme="minorEastAsia" w:eastAsiaTheme="minorEastAsia" w:cstheme="minorEastAsia"/>
          <w:spacing w:val="8"/>
          <w:sz w:val="21"/>
          <w:szCs w:val="21"/>
          <w:highlight w:val="none"/>
        </w:rPr>
        <w:t>月下旬至</w:t>
      </w:r>
      <w:r>
        <w:rPr>
          <w:rFonts w:hint="eastAsia" w:asciiTheme="minorEastAsia" w:hAnsiTheme="minorEastAsia" w:eastAsiaTheme="minorEastAsia" w:cstheme="minorEastAsia"/>
          <w:spacing w:val="-21"/>
          <w:sz w:val="21"/>
          <w:szCs w:val="21"/>
          <w:highlight w:val="none"/>
        </w:rPr>
        <w:t xml:space="preserve"> </w:t>
      </w:r>
      <w:r>
        <w:rPr>
          <w:rFonts w:hint="eastAsia" w:asciiTheme="minorEastAsia" w:hAnsiTheme="minorEastAsia" w:eastAsiaTheme="minorEastAsia" w:cstheme="minorEastAsia"/>
          <w:spacing w:val="8"/>
          <w:sz w:val="21"/>
          <w:szCs w:val="21"/>
          <w:highlight w:val="none"/>
        </w:rPr>
        <w:t>11月上旬）一次对砼轮廓桩、砼警示桩、砼防撞墙（</w:t>
      </w:r>
      <w:r>
        <w:rPr>
          <w:rFonts w:hint="eastAsia" w:asciiTheme="minorEastAsia" w:hAnsiTheme="minorEastAsia" w:eastAsiaTheme="minorEastAsia" w:cstheme="minorEastAsia"/>
          <w:spacing w:val="7"/>
          <w:sz w:val="21"/>
          <w:szCs w:val="21"/>
          <w:highlight w:val="none"/>
        </w:rPr>
        <w:t>包括桥梁护栏）端头立面标</w:t>
      </w:r>
      <w:r>
        <w:rPr>
          <w:rFonts w:hint="eastAsia" w:asciiTheme="minorEastAsia" w:hAnsiTheme="minorEastAsia" w:eastAsiaTheme="minorEastAsia" w:cstheme="minorEastAsia"/>
          <w:spacing w:val="9"/>
          <w:sz w:val="21"/>
          <w:szCs w:val="21"/>
          <w:highlight w:val="none"/>
        </w:rPr>
        <w:t>识等成进行刷反光油漆，刷漆宽度、高度与设施尺寸相同，颜色与原色相同</w:t>
      </w:r>
      <w:r>
        <w:rPr>
          <w:rFonts w:hint="eastAsia" w:asciiTheme="minorEastAsia" w:hAnsiTheme="minorEastAsia" w:eastAsiaTheme="minorEastAsia" w:cstheme="minorEastAsia"/>
          <w:spacing w:val="8"/>
          <w:sz w:val="21"/>
          <w:szCs w:val="21"/>
          <w:highlight w:val="none"/>
        </w:rPr>
        <w:t>。</w:t>
      </w:r>
    </w:p>
    <w:p w14:paraId="53D95E28">
      <w:pPr>
        <w:pStyle w:val="11"/>
        <w:keepNext w:val="0"/>
        <w:keepLines w:val="0"/>
        <w:pageBreakBefore w:val="0"/>
        <w:widowControl w:val="0"/>
        <w:kinsoku/>
        <w:wordWrap/>
        <w:overflowPunct/>
        <w:topLinePunct w:val="0"/>
        <w:autoSpaceDE/>
        <w:autoSpaceDN/>
        <w:bidi w:val="0"/>
        <w:adjustRightInd/>
        <w:snapToGrid/>
        <w:spacing w:line="360" w:lineRule="auto"/>
        <w:ind w:left="108" w:firstLine="448"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7"/>
          <w:position w:val="1"/>
          <w:sz w:val="21"/>
          <w:szCs w:val="21"/>
          <w:highlight w:val="none"/>
        </w:rPr>
        <w:t>2</w:t>
      </w:r>
      <w:r>
        <w:rPr>
          <w:rFonts w:hint="eastAsia" w:asciiTheme="minorEastAsia" w:hAnsiTheme="minorEastAsia" w:eastAsiaTheme="minorEastAsia" w:cstheme="minorEastAsia"/>
          <w:spacing w:val="7"/>
          <w:position w:val="1"/>
          <w:sz w:val="21"/>
          <w:szCs w:val="21"/>
          <w:highlight w:val="none"/>
          <w:lang w:val="en-US" w:eastAsia="zh-CN"/>
        </w:rPr>
        <w:t>.6.2考核</w:t>
      </w:r>
      <w:r>
        <w:rPr>
          <w:rFonts w:hint="eastAsia" w:asciiTheme="minorEastAsia" w:hAnsiTheme="minorEastAsia" w:eastAsiaTheme="minorEastAsia" w:cstheme="minorEastAsia"/>
          <w:spacing w:val="7"/>
          <w:position w:val="1"/>
          <w:sz w:val="21"/>
          <w:szCs w:val="21"/>
          <w:highlight w:val="none"/>
        </w:rPr>
        <w:t>标准</w:t>
      </w:r>
    </w:p>
    <w:p w14:paraId="6A65A938">
      <w:pPr>
        <w:pStyle w:val="11"/>
        <w:keepNext w:val="0"/>
        <w:keepLines w:val="0"/>
        <w:pageBreakBefore w:val="0"/>
        <w:widowControl w:val="0"/>
        <w:kinsoku/>
        <w:wordWrap/>
        <w:overflowPunct/>
        <w:topLinePunct w:val="0"/>
        <w:autoSpaceDE/>
        <w:autoSpaceDN/>
        <w:bidi w:val="0"/>
        <w:adjustRightInd/>
        <w:snapToGrid/>
        <w:spacing w:line="360" w:lineRule="auto"/>
        <w:ind w:left="7" w:right="106" w:firstLine="470" w:firstLineChars="203"/>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1"/>
          <w:sz w:val="21"/>
          <w:szCs w:val="21"/>
          <w:highlight w:val="none"/>
        </w:rPr>
        <w:t>（1）管养线路交通标志版面内容、里程碑、百米桩、</w:t>
      </w:r>
      <w:r>
        <w:rPr>
          <w:rFonts w:hint="eastAsia" w:asciiTheme="minorEastAsia" w:hAnsiTheme="minorEastAsia" w:eastAsiaTheme="minorEastAsia" w:cstheme="minorEastAsia"/>
          <w:spacing w:val="10"/>
          <w:sz w:val="21"/>
          <w:szCs w:val="21"/>
          <w:highlight w:val="none"/>
        </w:rPr>
        <w:t>路面标线、突起路标等安全设施保持整洁、清晰、</w:t>
      </w:r>
      <w:r>
        <w:rPr>
          <w:rFonts w:hint="eastAsia" w:asciiTheme="minorEastAsia" w:hAnsiTheme="minorEastAsia" w:eastAsiaTheme="minorEastAsia" w:cstheme="minorEastAsia"/>
          <w:spacing w:val="5"/>
          <w:sz w:val="21"/>
          <w:szCs w:val="21"/>
          <w:highlight w:val="none"/>
        </w:rPr>
        <w:t>反光有效。</w:t>
      </w:r>
    </w:p>
    <w:p w14:paraId="670C2EBF">
      <w:pPr>
        <w:pStyle w:val="11"/>
        <w:keepNext w:val="0"/>
        <w:keepLines w:val="0"/>
        <w:pageBreakBefore w:val="0"/>
        <w:widowControl w:val="0"/>
        <w:kinsoku/>
        <w:wordWrap/>
        <w:overflowPunct/>
        <w:topLinePunct w:val="0"/>
        <w:autoSpaceDE/>
        <w:autoSpaceDN/>
        <w:bidi w:val="0"/>
        <w:adjustRightInd/>
        <w:snapToGrid/>
        <w:spacing w:line="360" w:lineRule="auto"/>
        <w:ind w:left="9" w:right="72" w:firstLine="468" w:firstLineChars="202"/>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1"/>
          <w:sz w:val="21"/>
          <w:szCs w:val="21"/>
          <w:highlight w:val="none"/>
        </w:rPr>
        <w:t>（2）管养线路轮廓标、示警桩、示警墩、立面标记、附着式反光标和道口标柱等视线诱导设施经常性保</w:t>
      </w:r>
      <w:r>
        <w:rPr>
          <w:rFonts w:hint="eastAsia" w:asciiTheme="minorEastAsia" w:hAnsiTheme="minorEastAsia" w:eastAsiaTheme="minorEastAsia" w:cstheme="minorEastAsia"/>
          <w:spacing w:val="7"/>
          <w:sz w:val="21"/>
          <w:szCs w:val="21"/>
          <w:highlight w:val="none"/>
        </w:rPr>
        <w:t>持干净，夜间反光有效。</w:t>
      </w:r>
    </w:p>
    <w:p w14:paraId="05D3BF4D">
      <w:pPr>
        <w:pStyle w:val="11"/>
        <w:keepNext w:val="0"/>
        <w:keepLines w:val="0"/>
        <w:pageBreakBefore w:val="0"/>
        <w:widowControl w:val="0"/>
        <w:kinsoku/>
        <w:wordWrap/>
        <w:overflowPunct/>
        <w:topLinePunct w:val="0"/>
        <w:autoSpaceDE/>
        <w:autoSpaceDN/>
        <w:bidi w:val="0"/>
        <w:adjustRightInd/>
        <w:snapToGrid/>
        <w:spacing w:line="360" w:lineRule="auto"/>
        <w:ind w:left="17" w:firstLine="456"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9"/>
          <w:position w:val="1"/>
          <w:sz w:val="21"/>
          <w:szCs w:val="21"/>
          <w:highlight w:val="none"/>
        </w:rPr>
        <w:t>（3）保持管养线路钢护栏和已刷漆的墙式护栏干净，附着式反光标、端头立面标识保持夜间反光有效。</w:t>
      </w:r>
    </w:p>
    <w:p w14:paraId="7FF1EBBF">
      <w:pPr>
        <w:pStyle w:val="11"/>
        <w:keepNext w:val="0"/>
        <w:keepLines w:val="0"/>
        <w:pageBreakBefore w:val="0"/>
        <w:widowControl w:val="0"/>
        <w:kinsoku/>
        <w:wordWrap/>
        <w:overflowPunct/>
        <w:topLinePunct w:val="0"/>
        <w:autoSpaceDE/>
        <w:autoSpaceDN/>
        <w:bidi w:val="0"/>
        <w:adjustRightInd/>
        <w:snapToGrid/>
        <w:spacing w:line="360" w:lineRule="auto"/>
        <w:ind w:left="17" w:firstLine="456"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9"/>
          <w:position w:val="1"/>
          <w:sz w:val="21"/>
          <w:szCs w:val="21"/>
          <w:highlight w:val="none"/>
        </w:rPr>
        <w:t>（4）管养线路标志牌、轮廓标、示警桩、道口桩等交安设施和标志无歪斜。</w:t>
      </w:r>
    </w:p>
    <w:p w14:paraId="4E414732">
      <w:pPr>
        <w:pStyle w:val="11"/>
        <w:keepNext w:val="0"/>
        <w:keepLines w:val="0"/>
        <w:pageBreakBefore w:val="0"/>
        <w:widowControl w:val="0"/>
        <w:kinsoku/>
        <w:wordWrap/>
        <w:overflowPunct/>
        <w:topLinePunct w:val="0"/>
        <w:autoSpaceDE/>
        <w:autoSpaceDN/>
        <w:bidi w:val="0"/>
        <w:adjustRightInd/>
        <w:snapToGrid/>
        <w:spacing w:line="360" w:lineRule="auto"/>
        <w:ind w:left="17" w:firstLine="452"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8"/>
          <w:sz w:val="21"/>
          <w:szCs w:val="21"/>
          <w:highlight w:val="none"/>
        </w:rPr>
        <w:t>（5）管养线路轮廓标反光膜或者反光片齐全和反光有效。</w:t>
      </w:r>
    </w:p>
    <w:p w14:paraId="2469F606">
      <w:pPr>
        <w:pStyle w:val="11"/>
        <w:keepNext w:val="0"/>
        <w:keepLines w:val="0"/>
        <w:pageBreakBefore w:val="0"/>
        <w:widowControl w:val="0"/>
        <w:kinsoku/>
        <w:wordWrap/>
        <w:overflowPunct/>
        <w:topLinePunct w:val="0"/>
        <w:autoSpaceDE/>
        <w:autoSpaceDN/>
        <w:bidi w:val="0"/>
        <w:adjustRightInd/>
        <w:snapToGrid/>
        <w:spacing w:line="360" w:lineRule="auto"/>
        <w:ind w:left="17" w:firstLine="456" w:firstLineChars="200"/>
        <w:textAlignment w:val="auto"/>
        <w:rPr>
          <w:rFonts w:hint="eastAsia" w:asciiTheme="minorEastAsia" w:hAnsiTheme="minorEastAsia" w:eastAsiaTheme="minorEastAsia" w:cstheme="minorEastAsia"/>
          <w:spacing w:val="9"/>
          <w:position w:val="1"/>
          <w:sz w:val="21"/>
          <w:szCs w:val="21"/>
          <w:highlight w:val="none"/>
        </w:rPr>
      </w:pPr>
      <w:r>
        <w:rPr>
          <w:rFonts w:hint="eastAsia" w:asciiTheme="minorEastAsia" w:hAnsiTheme="minorEastAsia" w:eastAsiaTheme="minorEastAsia" w:cstheme="minorEastAsia"/>
          <w:spacing w:val="9"/>
          <w:position w:val="1"/>
          <w:sz w:val="21"/>
          <w:szCs w:val="21"/>
          <w:highlight w:val="none"/>
        </w:rPr>
        <w:t>（6）管养线路里程碑、百米桩无歪斜，齐全，按时按要求完成刷漆刷白描字。</w:t>
      </w:r>
    </w:p>
    <w:p w14:paraId="0ACDB183">
      <w:pPr>
        <w:pStyle w:val="11"/>
        <w:keepNext w:val="0"/>
        <w:keepLines w:val="0"/>
        <w:pageBreakBefore w:val="0"/>
        <w:widowControl w:val="0"/>
        <w:kinsoku/>
        <w:wordWrap/>
        <w:overflowPunct/>
        <w:topLinePunct w:val="0"/>
        <w:autoSpaceDE/>
        <w:autoSpaceDN/>
        <w:bidi w:val="0"/>
        <w:adjustRightInd/>
        <w:snapToGrid/>
        <w:spacing w:line="360" w:lineRule="auto"/>
        <w:ind w:left="17" w:firstLine="452" w:firstLineChars="200"/>
        <w:textAlignment w:val="auto"/>
        <w:rPr>
          <w:rFonts w:hint="eastAsia" w:asciiTheme="minorEastAsia" w:hAnsiTheme="minorEastAsia" w:eastAsiaTheme="minorEastAsia" w:cstheme="minorEastAsia"/>
          <w:spacing w:val="8"/>
          <w:sz w:val="21"/>
          <w:szCs w:val="21"/>
          <w:highlight w:val="none"/>
        </w:rPr>
      </w:pPr>
      <w:r>
        <w:rPr>
          <w:rFonts w:hint="eastAsia" w:asciiTheme="minorEastAsia" w:hAnsiTheme="minorEastAsia" w:eastAsiaTheme="minorEastAsia" w:cstheme="minorEastAsia"/>
          <w:spacing w:val="8"/>
          <w:sz w:val="21"/>
          <w:szCs w:val="21"/>
          <w:highlight w:val="none"/>
        </w:rPr>
        <w:t>（7）管养线路砼轮廓桩、砼警示桩、砼防撞墙（包括桥梁护栏）端头立面标识等按时按要求刷油漆翻新。</w:t>
      </w:r>
    </w:p>
    <w:p w14:paraId="0169551C">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标志以每个为1处，标线以每100m为1处，护栏以每50m为1处，沿线设施以每10个为1处。每项每处存在不符合要求的扣0.1分；</w:t>
      </w:r>
    </w:p>
    <w:p w14:paraId="1D8B5B23">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未按频率进行清理的每处扣0.2分；</w:t>
      </w:r>
    </w:p>
    <w:p w14:paraId="583AF741">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default"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未按时限要求完成的每处扣0.2分；</w:t>
      </w:r>
    </w:p>
    <w:p w14:paraId="3ADE086E">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月度内存在连续500m以上未清理的，按整公里不合格，每公里扣2分；</w:t>
      </w:r>
    </w:p>
    <w:p w14:paraId="3AD972BD">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7"/>
          <w:sz w:val="21"/>
          <w:szCs w:val="21"/>
          <w:highlight w:val="none"/>
          <w:lang w:val="en-US" w:eastAsia="zh-CN"/>
        </w:rPr>
      </w:pPr>
      <w:r>
        <w:rPr>
          <w:rFonts w:hint="eastAsia" w:asciiTheme="minorEastAsia" w:hAnsiTheme="minorEastAsia" w:eastAsiaTheme="minorEastAsia" w:cstheme="minorEastAsia"/>
          <w:spacing w:val="7"/>
          <w:sz w:val="21"/>
          <w:szCs w:val="21"/>
          <w:highlight w:val="none"/>
          <w:lang w:val="en-US" w:eastAsia="zh-CN"/>
        </w:rPr>
        <w:t>下达整改后，未按要求及时整改的，每处扣0.5分；</w:t>
      </w:r>
    </w:p>
    <w:p w14:paraId="4BD09328">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inorEastAsia" w:hAnsiTheme="minorEastAsia" w:eastAsiaTheme="minorEastAsia" w:cstheme="minorEastAsia"/>
          <w:spacing w:val="8"/>
          <w:sz w:val="21"/>
          <w:szCs w:val="21"/>
          <w:highlight w:val="none"/>
        </w:rPr>
      </w:pPr>
      <w:r>
        <w:rPr>
          <w:rFonts w:hint="eastAsia" w:asciiTheme="minorEastAsia" w:hAnsiTheme="minorEastAsia" w:eastAsiaTheme="minorEastAsia" w:cstheme="minorEastAsia"/>
          <w:spacing w:val="7"/>
          <w:sz w:val="21"/>
          <w:szCs w:val="21"/>
          <w:highlight w:val="none"/>
          <w:lang w:val="en-US" w:eastAsia="zh-CN"/>
        </w:rPr>
        <w:t>未按上级部门检查整改要求整改到位的，每处扣1分。</w:t>
      </w:r>
    </w:p>
    <w:p w14:paraId="79591CF8">
      <w:pPr>
        <w:pStyle w:val="11"/>
        <w:keepNext w:val="0"/>
        <w:keepLines w:val="0"/>
        <w:pageBreakBefore w:val="0"/>
        <w:widowControl w:val="0"/>
        <w:kinsoku/>
        <w:wordWrap/>
        <w:overflowPunct/>
        <w:topLinePunct w:val="0"/>
        <w:autoSpaceDE/>
        <w:autoSpaceDN/>
        <w:bidi w:val="0"/>
        <w:adjustRightInd/>
        <w:snapToGrid/>
        <w:spacing w:line="360" w:lineRule="auto"/>
        <w:ind w:firstLine="454" w:firstLineChars="200"/>
        <w:textAlignment w:val="auto"/>
        <w:rPr>
          <w:rFonts w:hint="eastAsia" w:asciiTheme="majorEastAsia" w:hAnsiTheme="majorEastAsia" w:eastAsiaTheme="majorEastAsia" w:cstheme="majorEastAsia"/>
          <w:b/>
          <w:bCs/>
          <w:sz w:val="21"/>
          <w:szCs w:val="21"/>
          <w:highlight w:val="none"/>
        </w:rPr>
      </w:pPr>
      <w:r>
        <w:rPr>
          <w:rFonts w:hint="eastAsia" w:asciiTheme="majorEastAsia" w:hAnsiTheme="majorEastAsia" w:eastAsiaTheme="majorEastAsia" w:cstheme="majorEastAsia"/>
          <w:b/>
          <w:bCs/>
          <w:spacing w:val="8"/>
          <w:sz w:val="21"/>
          <w:szCs w:val="21"/>
          <w:highlight w:val="none"/>
          <w:lang w:val="en-US" w:eastAsia="zh-CN"/>
        </w:rPr>
        <w:t>2.7</w:t>
      </w:r>
      <w:r>
        <w:rPr>
          <w:rFonts w:hint="eastAsia" w:asciiTheme="majorEastAsia" w:hAnsiTheme="majorEastAsia" w:eastAsiaTheme="majorEastAsia" w:cstheme="majorEastAsia"/>
          <w:b/>
          <w:bCs/>
          <w:spacing w:val="8"/>
          <w:sz w:val="21"/>
          <w:szCs w:val="21"/>
          <w:highlight w:val="none"/>
        </w:rPr>
        <w:t>管理</w:t>
      </w:r>
      <w:r>
        <w:rPr>
          <w:rFonts w:hint="eastAsia" w:asciiTheme="majorEastAsia" w:hAnsiTheme="majorEastAsia" w:eastAsiaTheme="majorEastAsia" w:cstheme="majorEastAsia"/>
          <w:b/>
          <w:bCs/>
          <w:spacing w:val="8"/>
          <w:sz w:val="21"/>
          <w:szCs w:val="21"/>
          <w:highlight w:val="none"/>
          <w:lang w:val="en-US" w:eastAsia="zh-CN"/>
        </w:rPr>
        <w:t>和</w:t>
      </w:r>
      <w:r>
        <w:rPr>
          <w:rFonts w:hint="eastAsia" w:asciiTheme="majorEastAsia" w:hAnsiTheme="majorEastAsia" w:eastAsiaTheme="majorEastAsia" w:cstheme="majorEastAsia"/>
          <w:b/>
          <w:bCs/>
          <w:spacing w:val="8"/>
          <w:sz w:val="21"/>
          <w:szCs w:val="21"/>
          <w:highlight w:val="none"/>
        </w:rPr>
        <w:t>服务设施日常保养</w:t>
      </w:r>
    </w:p>
    <w:p w14:paraId="1E693753">
      <w:pPr>
        <w:pStyle w:val="11"/>
        <w:keepNext w:val="0"/>
        <w:keepLines w:val="0"/>
        <w:pageBreakBefore w:val="0"/>
        <w:widowControl w:val="0"/>
        <w:kinsoku/>
        <w:wordWrap/>
        <w:overflowPunct/>
        <w:topLinePunct w:val="0"/>
        <w:autoSpaceDE/>
        <w:autoSpaceDN/>
        <w:bidi w:val="0"/>
        <w:adjustRightInd/>
        <w:snapToGrid/>
        <w:spacing w:line="360" w:lineRule="auto"/>
        <w:ind w:firstLine="432"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pacing w:val="3"/>
          <w:position w:val="1"/>
          <w:sz w:val="21"/>
          <w:szCs w:val="21"/>
          <w:highlight w:val="none"/>
          <w:lang w:val="en-US" w:eastAsia="zh-CN"/>
        </w:rPr>
        <w:t>2.7.</w:t>
      </w:r>
      <w:r>
        <w:rPr>
          <w:rFonts w:hint="eastAsia" w:asciiTheme="majorEastAsia" w:hAnsiTheme="majorEastAsia" w:eastAsiaTheme="majorEastAsia" w:cstheme="majorEastAsia"/>
          <w:spacing w:val="3"/>
          <w:position w:val="1"/>
          <w:sz w:val="21"/>
          <w:szCs w:val="21"/>
          <w:highlight w:val="none"/>
        </w:rPr>
        <w:t>1</w:t>
      </w:r>
      <w:r>
        <w:rPr>
          <w:rFonts w:hint="eastAsia" w:asciiTheme="majorEastAsia" w:hAnsiTheme="majorEastAsia" w:eastAsiaTheme="majorEastAsia" w:cstheme="majorEastAsia"/>
          <w:spacing w:val="3"/>
          <w:position w:val="1"/>
          <w:sz w:val="21"/>
          <w:szCs w:val="21"/>
          <w:highlight w:val="none"/>
          <w:lang w:val="en-US" w:eastAsia="zh-CN"/>
        </w:rPr>
        <w:t>工作内容及</w:t>
      </w:r>
      <w:r>
        <w:rPr>
          <w:rFonts w:hint="eastAsia" w:asciiTheme="majorEastAsia" w:hAnsiTheme="majorEastAsia" w:eastAsiaTheme="majorEastAsia" w:cstheme="majorEastAsia"/>
          <w:spacing w:val="3"/>
          <w:position w:val="1"/>
          <w:sz w:val="21"/>
          <w:szCs w:val="21"/>
          <w:highlight w:val="none"/>
        </w:rPr>
        <w:t>要求</w:t>
      </w:r>
    </w:p>
    <w:p w14:paraId="6262B69B">
      <w:pPr>
        <w:pStyle w:val="11"/>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eastAsia" w:asciiTheme="majorEastAsia" w:hAnsiTheme="majorEastAsia" w:eastAsiaTheme="majorEastAsia" w:cstheme="majorEastAsia"/>
          <w:spacing w:val="9"/>
          <w:sz w:val="21"/>
          <w:szCs w:val="21"/>
          <w:highlight w:val="none"/>
        </w:rPr>
      </w:pPr>
      <w:r>
        <w:rPr>
          <w:rFonts w:hint="eastAsia" w:asciiTheme="majorEastAsia" w:hAnsiTheme="majorEastAsia" w:eastAsiaTheme="majorEastAsia" w:cstheme="majorEastAsia"/>
          <w:spacing w:val="9"/>
          <w:sz w:val="21"/>
          <w:szCs w:val="21"/>
          <w:highlight w:val="none"/>
          <w:lang w:eastAsia="zh-CN"/>
        </w:rPr>
        <w:t>（</w:t>
      </w:r>
      <w:r>
        <w:rPr>
          <w:rFonts w:hint="eastAsia" w:asciiTheme="majorEastAsia" w:hAnsiTheme="majorEastAsia" w:eastAsiaTheme="majorEastAsia" w:cstheme="majorEastAsia"/>
          <w:spacing w:val="9"/>
          <w:sz w:val="21"/>
          <w:szCs w:val="21"/>
          <w:highlight w:val="none"/>
          <w:lang w:val="en-US" w:eastAsia="zh-CN"/>
        </w:rPr>
        <w:t>1</w:t>
      </w:r>
      <w:r>
        <w:rPr>
          <w:rFonts w:hint="eastAsia" w:asciiTheme="majorEastAsia" w:hAnsiTheme="majorEastAsia" w:eastAsiaTheme="majorEastAsia" w:cstheme="majorEastAsia"/>
          <w:spacing w:val="9"/>
          <w:sz w:val="21"/>
          <w:szCs w:val="21"/>
          <w:highlight w:val="none"/>
          <w:lang w:eastAsia="zh-CN"/>
        </w:rPr>
        <w:t>）</w:t>
      </w:r>
      <w:r>
        <w:rPr>
          <w:rFonts w:hint="eastAsia" w:asciiTheme="majorEastAsia" w:hAnsiTheme="majorEastAsia" w:eastAsiaTheme="majorEastAsia" w:cstheme="majorEastAsia"/>
          <w:spacing w:val="9"/>
          <w:sz w:val="21"/>
          <w:szCs w:val="21"/>
          <w:highlight w:val="none"/>
        </w:rPr>
        <w:t>养护站</w:t>
      </w:r>
      <w:r>
        <w:rPr>
          <w:rFonts w:hint="eastAsia" w:asciiTheme="majorEastAsia" w:hAnsiTheme="majorEastAsia" w:eastAsiaTheme="majorEastAsia" w:cstheme="majorEastAsia"/>
          <w:spacing w:val="9"/>
          <w:sz w:val="21"/>
          <w:szCs w:val="21"/>
          <w:highlight w:val="none"/>
          <w:lang w:val="en-US" w:eastAsia="zh-CN"/>
        </w:rPr>
        <w:t>保养</w:t>
      </w:r>
      <w:r>
        <w:rPr>
          <w:rFonts w:hint="eastAsia" w:asciiTheme="majorEastAsia" w:hAnsiTheme="majorEastAsia" w:eastAsiaTheme="majorEastAsia" w:cstheme="majorEastAsia"/>
          <w:spacing w:val="9"/>
          <w:sz w:val="21"/>
          <w:szCs w:val="21"/>
          <w:highlight w:val="none"/>
        </w:rPr>
        <w:t>:保持站内整洁干净，无白色垃圾，无杂草，每月进行</w:t>
      </w:r>
      <w:r>
        <w:rPr>
          <w:rFonts w:hint="eastAsia" w:asciiTheme="majorEastAsia" w:hAnsiTheme="majorEastAsia" w:eastAsiaTheme="majorEastAsia" w:cstheme="majorEastAsia"/>
          <w:spacing w:val="9"/>
          <w:sz w:val="21"/>
          <w:szCs w:val="21"/>
          <w:highlight w:val="none"/>
          <w:lang w:val="en-US" w:eastAsia="zh-CN"/>
        </w:rPr>
        <w:t>卫生清扫和</w:t>
      </w:r>
      <w:r>
        <w:rPr>
          <w:rFonts w:hint="eastAsia" w:asciiTheme="majorEastAsia" w:hAnsiTheme="majorEastAsia" w:eastAsiaTheme="majorEastAsia" w:cstheme="majorEastAsia"/>
          <w:spacing w:val="9"/>
          <w:sz w:val="21"/>
          <w:szCs w:val="21"/>
          <w:highlight w:val="none"/>
        </w:rPr>
        <w:t>绿化灌木丛修枝整形；</w:t>
      </w:r>
    </w:p>
    <w:p w14:paraId="22140E1E">
      <w:pPr>
        <w:pStyle w:val="11"/>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eastAsia" w:asciiTheme="majorEastAsia" w:hAnsiTheme="majorEastAsia" w:eastAsiaTheme="majorEastAsia" w:cstheme="majorEastAsia"/>
          <w:spacing w:val="9"/>
          <w:sz w:val="21"/>
          <w:szCs w:val="21"/>
          <w:highlight w:val="none"/>
        </w:rPr>
      </w:pPr>
      <w:r>
        <w:rPr>
          <w:rFonts w:hint="eastAsia" w:asciiTheme="majorEastAsia" w:hAnsiTheme="majorEastAsia" w:eastAsiaTheme="majorEastAsia" w:cstheme="majorEastAsia"/>
          <w:spacing w:val="9"/>
          <w:sz w:val="21"/>
          <w:szCs w:val="21"/>
          <w:highlight w:val="none"/>
          <w:lang w:eastAsia="zh-CN"/>
        </w:rPr>
        <w:t>（</w:t>
      </w:r>
      <w:r>
        <w:rPr>
          <w:rFonts w:hint="eastAsia" w:asciiTheme="majorEastAsia" w:hAnsiTheme="majorEastAsia" w:eastAsiaTheme="majorEastAsia" w:cstheme="majorEastAsia"/>
          <w:spacing w:val="9"/>
          <w:sz w:val="21"/>
          <w:szCs w:val="21"/>
          <w:highlight w:val="none"/>
          <w:lang w:val="en-US" w:eastAsia="zh-CN"/>
        </w:rPr>
        <w:t>2</w:t>
      </w:r>
      <w:r>
        <w:rPr>
          <w:rFonts w:hint="eastAsia" w:asciiTheme="majorEastAsia" w:hAnsiTheme="majorEastAsia" w:eastAsiaTheme="majorEastAsia" w:cstheme="majorEastAsia"/>
          <w:spacing w:val="9"/>
          <w:sz w:val="21"/>
          <w:szCs w:val="21"/>
          <w:highlight w:val="none"/>
          <w:lang w:eastAsia="zh-CN"/>
        </w:rPr>
        <w:t>）</w:t>
      </w:r>
      <w:r>
        <w:rPr>
          <w:rFonts w:hint="eastAsia" w:asciiTheme="majorEastAsia" w:hAnsiTheme="majorEastAsia" w:eastAsiaTheme="majorEastAsia" w:cstheme="majorEastAsia"/>
          <w:spacing w:val="9"/>
          <w:sz w:val="21"/>
          <w:szCs w:val="21"/>
          <w:highlight w:val="none"/>
        </w:rPr>
        <w:t>便民候车亭</w:t>
      </w:r>
      <w:r>
        <w:rPr>
          <w:rFonts w:hint="eastAsia" w:asciiTheme="majorEastAsia" w:hAnsiTheme="majorEastAsia" w:eastAsiaTheme="majorEastAsia" w:cstheme="majorEastAsia"/>
          <w:spacing w:val="9"/>
          <w:sz w:val="21"/>
          <w:szCs w:val="21"/>
          <w:highlight w:val="none"/>
          <w:lang w:eastAsia="zh-CN"/>
        </w:rPr>
        <w:t>、</w:t>
      </w:r>
      <w:r>
        <w:rPr>
          <w:rFonts w:hint="eastAsia" w:asciiTheme="majorEastAsia" w:hAnsiTheme="majorEastAsia" w:eastAsiaTheme="majorEastAsia" w:cstheme="majorEastAsia"/>
          <w:spacing w:val="9"/>
          <w:sz w:val="21"/>
          <w:szCs w:val="21"/>
          <w:highlight w:val="none"/>
          <w:lang w:val="en-US" w:eastAsia="zh-CN"/>
        </w:rPr>
        <w:t>停车区、服务区保养：</w:t>
      </w:r>
      <w:r>
        <w:rPr>
          <w:rFonts w:hint="eastAsia" w:asciiTheme="majorEastAsia" w:hAnsiTheme="majorEastAsia" w:eastAsiaTheme="majorEastAsia" w:cstheme="majorEastAsia"/>
          <w:spacing w:val="9"/>
          <w:sz w:val="21"/>
          <w:szCs w:val="21"/>
          <w:highlight w:val="none"/>
        </w:rPr>
        <w:t>清理墙壁非法广告、开展日常卫生保洁，保持停车亭内清洁无杂物、杂草、垃圾，地面平整、无积水，结构外缘1米内长草不超过15cm，清除长草杂草每月进行一遍。</w:t>
      </w:r>
    </w:p>
    <w:p w14:paraId="55AAA868">
      <w:pPr>
        <w:pStyle w:val="11"/>
        <w:keepNext w:val="0"/>
        <w:keepLines w:val="0"/>
        <w:pageBreakBefore w:val="0"/>
        <w:widowControl w:val="0"/>
        <w:kinsoku/>
        <w:wordWrap/>
        <w:overflowPunct/>
        <w:topLinePunct w:val="0"/>
        <w:autoSpaceDE/>
        <w:autoSpaceDN/>
        <w:bidi w:val="0"/>
        <w:adjustRightInd/>
        <w:snapToGrid/>
        <w:spacing w:line="360" w:lineRule="auto"/>
        <w:ind w:left="210" w:leftChars="100" w:firstLine="228" w:firstLineChars="100"/>
        <w:textAlignment w:val="auto"/>
        <w:rPr>
          <w:rFonts w:hint="eastAsia" w:asciiTheme="majorEastAsia" w:hAnsiTheme="majorEastAsia" w:eastAsiaTheme="majorEastAsia" w:cstheme="majorEastAsia"/>
          <w:spacing w:val="9"/>
          <w:sz w:val="21"/>
          <w:szCs w:val="21"/>
          <w:highlight w:val="none"/>
          <w:lang w:val="en-US" w:eastAsia="zh-CN"/>
        </w:rPr>
      </w:pPr>
      <w:r>
        <w:rPr>
          <w:rFonts w:hint="eastAsia" w:asciiTheme="majorEastAsia" w:hAnsiTheme="majorEastAsia" w:eastAsiaTheme="majorEastAsia" w:cstheme="majorEastAsia"/>
          <w:spacing w:val="9"/>
          <w:sz w:val="21"/>
          <w:szCs w:val="21"/>
          <w:highlight w:val="none"/>
          <w:lang w:eastAsia="zh-CN"/>
        </w:rPr>
        <w:t>（</w:t>
      </w:r>
      <w:r>
        <w:rPr>
          <w:rFonts w:hint="eastAsia" w:asciiTheme="majorEastAsia" w:hAnsiTheme="majorEastAsia" w:eastAsiaTheme="majorEastAsia" w:cstheme="majorEastAsia"/>
          <w:spacing w:val="9"/>
          <w:sz w:val="21"/>
          <w:szCs w:val="21"/>
          <w:highlight w:val="none"/>
          <w:lang w:val="en-US" w:eastAsia="zh-CN"/>
        </w:rPr>
        <w:t>3</w:t>
      </w:r>
      <w:r>
        <w:rPr>
          <w:rFonts w:hint="eastAsia" w:asciiTheme="majorEastAsia" w:hAnsiTheme="majorEastAsia" w:eastAsiaTheme="majorEastAsia" w:cstheme="majorEastAsia"/>
          <w:spacing w:val="9"/>
          <w:sz w:val="21"/>
          <w:szCs w:val="21"/>
          <w:highlight w:val="none"/>
          <w:lang w:eastAsia="zh-CN"/>
        </w:rPr>
        <w:t>）</w:t>
      </w:r>
      <w:r>
        <w:rPr>
          <w:rFonts w:hint="eastAsia" w:asciiTheme="majorEastAsia" w:hAnsiTheme="majorEastAsia" w:eastAsiaTheme="majorEastAsia" w:cstheme="majorEastAsia"/>
          <w:spacing w:val="9"/>
          <w:sz w:val="21"/>
          <w:szCs w:val="21"/>
          <w:highlight w:val="none"/>
        </w:rPr>
        <w:t>公路监测设备维护：清除监测设备周边杂物杂草，保证监测无遮挡情况。</w:t>
      </w:r>
      <w:r>
        <w:rPr>
          <w:rFonts w:hint="eastAsia" w:asciiTheme="majorEastAsia" w:hAnsiTheme="majorEastAsia" w:eastAsiaTheme="majorEastAsia" w:cstheme="majorEastAsia"/>
          <w:spacing w:val="9"/>
          <w:sz w:val="21"/>
          <w:szCs w:val="21"/>
          <w:highlight w:val="none"/>
          <w:lang w:val="en-US" w:eastAsia="zh-CN"/>
        </w:rPr>
        <w:t xml:space="preserve"> </w:t>
      </w:r>
    </w:p>
    <w:p w14:paraId="26D8717A">
      <w:pPr>
        <w:pStyle w:val="11"/>
        <w:keepNext w:val="0"/>
        <w:keepLines w:val="0"/>
        <w:pageBreakBefore w:val="0"/>
        <w:widowControl w:val="0"/>
        <w:kinsoku/>
        <w:wordWrap/>
        <w:overflowPunct/>
        <w:topLinePunct w:val="0"/>
        <w:autoSpaceDE/>
        <w:autoSpaceDN/>
        <w:bidi w:val="0"/>
        <w:adjustRightInd/>
        <w:snapToGrid/>
        <w:spacing w:line="360" w:lineRule="auto"/>
        <w:ind w:left="210" w:leftChars="100" w:firstLine="224" w:firstLineChars="1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pacing w:val="7"/>
          <w:position w:val="1"/>
          <w:sz w:val="21"/>
          <w:szCs w:val="21"/>
          <w:highlight w:val="none"/>
        </w:rPr>
        <w:t>2.</w:t>
      </w:r>
      <w:r>
        <w:rPr>
          <w:rFonts w:hint="eastAsia" w:asciiTheme="majorEastAsia" w:hAnsiTheme="majorEastAsia" w:eastAsiaTheme="majorEastAsia" w:cstheme="majorEastAsia"/>
          <w:spacing w:val="7"/>
          <w:position w:val="1"/>
          <w:sz w:val="21"/>
          <w:szCs w:val="21"/>
          <w:highlight w:val="none"/>
          <w:lang w:val="en-US" w:eastAsia="zh-CN"/>
        </w:rPr>
        <w:t>7.2</w:t>
      </w:r>
      <w:r>
        <w:rPr>
          <w:rFonts w:hint="eastAsia" w:asciiTheme="majorEastAsia" w:hAnsiTheme="majorEastAsia" w:eastAsiaTheme="majorEastAsia" w:cstheme="majorEastAsia"/>
          <w:spacing w:val="7"/>
          <w:position w:val="1"/>
          <w:sz w:val="21"/>
          <w:szCs w:val="21"/>
          <w:highlight w:val="none"/>
        </w:rPr>
        <w:t>质量验收标准</w:t>
      </w:r>
    </w:p>
    <w:p w14:paraId="456CCBAD">
      <w:pPr>
        <w:pStyle w:val="11"/>
        <w:keepNext w:val="0"/>
        <w:keepLines w:val="0"/>
        <w:pageBreakBefore w:val="0"/>
        <w:widowControl w:val="0"/>
        <w:kinsoku/>
        <w:wordWrap/>
        <w:overflowPunct/>
        <w:topLinePunct w:val="0"/>
        <w:autoSpaceDE/>
        <w:autoSpaceDN/>
        <w:bidi w:val="0"/>
        <w:adjustRightInd/>
        <w:snapToGrid/>
        <w:spacing w:line="360" w:lineRule="auto"/>
        <w:ind w:left="6" w:firstLine="456" w:firstLineChars="200"/>
        <w:textAlignment w:val="auto"/>
        <w:rPr>
          <w:rFonts w:hint="eastAsia" w:asciiTheme="majorEastAsia" w:hAnsiTheme="majorEastAsia" w:eastAsiaTheme="majorEastAsia" w:cstheme="majorEastAsia"/>
          <w:spacing w:val="9"/>
          <w:sz w:val="21"/>
          <w:szCs w:val="21"/>
          <w:highlight w:val="none"/>
        </w:rPr>
      </w:pPr>
      <w:r>
        <w:rPr>
          <w:rFonts w:hint="eastAsia" w:asciiTheme="minorEastAsia" w:hAnsiTheme="minorEastAsia" w:eastAsiaTheme="minorEastAsia" w:cstheme="minorEastAsia"/>
          <w:spacing w:val="9"/>
          <w:position w:val="1"/>
          <w:sz w:val="21"/>
          <w:szCs w:val="21"/>
          <w:highlight w:val="none"/>
          <w:lang w:val="en-US" w:eastAsia="zh-CN"/>
        </w:rPr>
        <w:t>以每月为一个周期进行清理。</w:t>
      </w:r>
      <w:r>
        <w:rPr>
          <w:rFonts w:hint="eastAsia" w:asciiTheme="majorEastAsia" w:hAnsiTheme="majorEastAsia" w:eastAsiaTheme="majorEastAsia" w:cstheme="majorEastAsia"/>
          <w:spacing w:val="9"/>
          <w:sz w:val="21"/>
          <w:szCs w:val="21"/>
          <w:highlight w:val="none"/>
        </w:rPr>
        <w:t>对沿线</w:t>
      </w:r>
      <w:r>
        <w:rPr>
          <w:rFonts w:hint="eastAsia" w:asciiTheme="majorEastAsia" w:hAnsiTheme="majorEastAsia" w:eastAsiaTheme="majorEastAsia" w:cstheme="majorEastAsia"/>
          <w:spacing w:val="8"/>
          <w:sz w:val="21"/>
          <w:szCs w:val="21"/>
          <w:highlight w:val="none"/>
        </w:rPr>
        <w:t>管理</w:t>
      </w:r>
      <w:r>
        <w:rPr>
          <w:rFonts w:hint="eastAsia" w:asciiTheme="majorEastAsia" w:hAnsiTheme="majorEastAsia" w:eastAsiaTheme="majorEastAsia" w:cstheme="majorEastAsia"/>
          <w:spacing w:val="8"/>
          <w:sz w:val="21"/>
          <w:szCs w:val="21"/>
          <w:highlight w:val="none"/>
          <w:lang w:val="en-US" w:eastAsia="zh-CN"/>
        </w:rPr>
        <w:t>和</w:t>
      </w:r>
      <w:r>
        <w:rPr>
          <w:rFonts w:hint="eastAsia" w:asciiTheme="majorEastAsia" w:hAnsiTheme="majorEastAsia" w:eastAsiaTheme="majorEastAsia" w:cstheme="majorEastAsia"/>
          <w:spacing w:val="8"/>
          <w:sz w:val="21"/>
          <w:szCs w:val="21"/>
          <w:highlight w:val="none"/>
        </w:rPr>
        <w:t>服务设施</w:t>
      </w:r>
      <w:r>
        <w:rPr>
          <w:rFonts w:hint="eastAsia" w:asciiTheme="majorEastAsia" w:hAnsiTheme="majorEastAsia" w:eastAsiaTheme="majorEastAsia" w:cstheme="majorEastAsia"/>
          <w:spacing w:val="9"/>
          <w:sz w:val="21"/>
          <w:szCs w:val="21"/>
          <w:highlight w:val="none"/>
          <w:lang w:val="en-US" w:eastAsia="zh-CN"/>
        </w:rPr>
        <w:t>保养</w:t>
      </w:r>
      <w:r>
        <w:rPr>
          <w:rFonts w:hint="eastAsia" w:asciiTheme="majorEastAsia" w:hAnsiTheme="majorEastAsia" w:eastAsiaTheme="majorEastAsia" w:cstheme="majorEastAsia"/>
          <w:spacing w:val="9"/>
          <w:sz w:val="21"/>
          <w:szCs w:val="21"/>
          <w:highlight w:val="none"/>
        </w:rPr>
        <w:t>，</w:t>
      </w:r>
      <w:r>
        <w:rPr>
          <w:rFonts w:hint="eastAsia" w:asciiTheme="majorEastAsia" w:hAnsiTheme="majorEastAsia" w:eastAsiaTheme="majorEastAsia" w:cstheme="majorEastAsia"/>
          <w:spacing w:val="6"/>
          <w:sz w:val="21"/>
          <w:szCs w:val="21"/>
          <w:highlight w:val="none"/>
          <w:lang w:val="en-US" w:eastAsia="zh-CN"/>
        </w:rPr>
        <w:t>养护站内干净整洁，监控监测</w:t>
      </w:r>
      <w:r>
        <w:rPr>
          <w:rFonts w:hint="eastAsia" w:asciiTheme="majorEastAsia" w:hAnsiTheme="majorEastAsia" w:eastAsiaTheme="majorEastAsia" w:cstheme="majorEastAsia"/>
          <w:spacing w:val="6"/>
          <w:sz w:val="21"/>
          <w:szCs w:val="21"/>
          <w:highlight w:val="none"/>
        </w:rPr>
        <w:t>不被树枝等杂物遮挡；管养线路公路便民候车厅、</w:t>
      </w:r>
      <w:r>
        <w:rPr>
          <w:rFonts w:hint="eastAsia" w:asciiTheme="majorEastAsia" w:hAnsiTheme="majorEastAsia" w:eastAsiaTheme="majorEastAsia" w:cstheme="majorEastAsia"/>
          <w:spacing w:val="6"/>
          <w:sz w:val="21"/>
          <w:szCs w:val="21"/>
          <w:highlight w:val="none"/>
          <w:lang w:val="en-US" w:eastAsia="zh-CN"/>
        </w:rPr>
        <w:t>服务区</w:t>
      </w:r>
      <w:r>
        <w:rPr>
          <w:rFonts w:hint="eastAsia" w:asciiTheme="majorEastAsia" w:hAnsiTheme="majorEastAsia" w:eastAsiaTheme="majorEastAsia" w:cstheme="majorEastAsia"/>
          <w:spacing w:val="6"/>
          <w:sz w:val="21"/>
          <w:szCs w:val="21"/>
          <w:highlight w:val="none"/>
        </w:rPr>
        <w:t>、临时停车区等公路服务设施地面、</w:t>
      </w:r>
      <w:r>
        <w:rPr>
          <w:rFonts w:hint="eastAsia" w:asciiTheme="majorEastAsia" w:hAnsiTheme="majorEastAsia" w:eastAsiaTheme="majorEastAsia" w:cstheme="majorEastAsia"/>
          <w:spacing w:val="9"/>
          <w:sz w:val="21"/>
          <w:szCs w:val="21"/>
          <w:highlight w:val="none"/>
        </w:rPr>
        <w:t>墙体干净，无垃圾、广告、堆积物</w:t>
      </w:r>
      <w:r>
        <w:rPr>
          <w:rFonts w:hint="eastAsia" w:asciiTheme="majorEastAsia" w:hAnsiTheme="majorEastAsia" w:eastAsiaTheme="majorEastAsia" w:cstheme="majorEastAsia"/>
          <w:spacing w:val="9"/>
          <w:sz w:val="21"/>
          <w:szCs w:val="21"/>
          <w:highlight w:val="none"/>
          <w:lang w:eastAsia="zh-CN"/>
        </w:rPr>
        <w:t>、</w:t>
      </w:r>
      <w:r>
        <w:rPr>
          <w:rFonts w:hint="eastAsia" w:asciiTheme="majorEastAsia" w:hAnsiTheme="majorEastAsia" w:eastAsiaTheme="majorEastAsia" w:cstheme="majorEastAsia"/>
          <w:spacing w:val="9"/>
          <w:sz w:val="21"/>
          <w:szCs w:val="21"/>
          <w:highlight w:val="none"/>
          <w:lang w:val="en-US" w:eastAsia="zh-CN"/>
        </w:rPr>
        <w:t>无杂草</w:t>
      </w:r>
      <w:r>
        <w:rPr>
          <w:rFonts w:hint="eastAsia" w:asciiTheme="majorEastAsia" w:hAnsiTheme="majorEastAsia" w:eastAsiaTheme="majorEastAsia" w:cstheme="majorEastAsia"/>
          <w:spacing w:val="9"/>
          <w:sz w:val="21"/>
          <w:szCs w:val="21"/>
          <w:highlight w:val="none"/>
        </w:rPr>
        <w:t>等，按要求</w:t>
      </w:r>
      <w:r>
        <w:rPr>
          <w:rFonts w:hint="eastAsia" w:asciiTheme="majorEastAsia" w:hAnsiTheme="majorEastAsia" w:eastAsiaTheme="majorEastAsia" w:cstheme="majorEastAsia"/>
          <w:spacing w:val="9"/>
          <w:sz w:val="21"/>
          <w:szCs w:val="21"/>
          <w:highlight w:val="none"/>
          <w:lang w:val="en-US" w:eastAsia="zh-CN"/>
        </w:rPr>
        <w:t>报告设施受损或被</w:t>
      </w:r>
      <w:r>
        <w:rPr>
          <w:rFonts w:hint="eastAsia" w:asciiTheme="majorEastAsia" w:hAnsiTheme="majorEastAsia" w:eastAsiaTheme="majorEastAsia" w:cstheme="majorEastAsia"/>
          <w:spacing w:val="9"/>
          <w:sz w:val="21"/>
          <w:szCs w:val="21"/>
          <w:highlight w:val="none"/>
        </w:rPr>
        <w:t>侵害行为。</w:t>
      </w:r>
    </w:p>
    <w:p w14:paraId="610789C3">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ajorEastAsia" w:hAnsiTheme="majorEastAsia" w:eastAsiaTheme="majorEastAsia" w:cstheme="majorEastAsia"/>
          <w:spacing w:val="7"/>
          <w:sz w:val="21"/>
          <w:szCs w:val="21"/>
          <w:highlight w:val="none"/>
          <w:lang w:val="en-US" w:eastAsia="zh-CN"/>
        </w:rPr>
      </w:pPr>
      <w:r>
        <w:rPr>
          <w:rFonts w:hint="eastAsia" w:asciiTheme="majorEastAsia" w:hAnsiTheme="majorEastAsia" w:eastAsiaTheme="majorEastAsia" w:cstheme="majorEastAsia"/>
          <w:spacing w:val="7"/>
          <w:sz w:val="21"/>
          <w:szCs w:val="21"/>
          <w:highlight w:val="none"/>
          <w:lang w:val="en-US" w:eastAsia="zh-CN"/>
        </w:rPr>
        <w:t>养护站、候车亭、服务区、停车区以每个为1处，监测设备以每个为1处。每项每处存在不符合要求的扣0.1分；</w:t>
      </w:r>
    </w:p>
    <w:p w14:paraId="2C4EA95B">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ajorEastAsia" w:hAnsiTheme="majorEastAsia" w:eastAsiaTheme="majorEastAsia" w:cstheme="majorEastAsia"/>
          <w:spacing w:val="7"/>
          <w:sz w:val="21"/>
          <w:szCs w:val="21"/>
          <w:highlight w:val="none"/>
          <w:lang w:val="en-US" w:eastAsia="zh-CN"/>
        </w:rPr>
      </w:pPr>
      <w:r>
        <w:rPr>
          <w:rFonts w:hint="eastAsia" w:asciiTheme="majorEastAsia" w:hAnsiTheme="majorEastAsia" w:eastAsiaTheme="majorEastAsia" w:cstheme="majorEastAsia"/>
          <w:spacing w:val="7"/>
          <w:sz w:val="21"/>
          <w:szCs w:val="21"/>
          <w:highlight w:val="none"/>
          <w:lang w:val="en-US" w:eastAsia="zh-CN"/>
        </w:rPr>
        <w:t>未按频率进行清理的每处扣0.2分；</w:t>
      </w:r>
    </w:p>
    <w:p w14:paraId="4634B0A1">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ajorEastAsia" w:hAnsiTheme="majorEastAsia" w:eastAsiaTheme="majorEastAsia" w:cstheme="majorEastAsia"/>
          <w:spacing w:val="7"/>
          <w:sz w:val="21"/>
          <w:szCs w:val="21"/>
          <w:highlight w:val="none"/>
          <w:lang w:val="en-US" w:eastAsia="zh-CN"/>
        </w:rPr>
      </w:pPr>
      <w:r>
        <w:rPr>
          <w:rFonts w:hint="eastAsia" w:asciiTheme="majorEastAsia" w:hAnsiTheme="majorEastAsia" w:eastAsiaTheme="majorEastAsia" w:cstheme="majorEastAsia"/>
          <w:spacing w:val="7"/>
          <w:sz w:val="21"/>
          <w:szCs w:val="21"/>
          <w:highlight w:val="none"/>
          <w:lang w:val="en-US" w:eastAsia="zh-CN"/>
        </w:rPr>
        <w:t>月度内存在全部</w:t>
      </w:r>
      <w:r>
        <w:rPr>
          <w:rFonts w:hint="eastAsia" w:asciiTheme="majorEastAsia" w:hAnsiTheme="majorEastAsia" w:eastAsiaTheme="majorEastAsia" w:cstheme="majorEastAsia"/>
          <w:spacing w:val="8"/>
          <w:sz w:val="21"/>
          <w:szCs w:val="21"/>
          <w:highlight w:val="none"/>
        </w:rPr>
        <w:t>管理</w:t>
      </w:r>
      <w:r>
        <w:rPr>
          <w:rFonts w:hint="eastAsia" w:asciiTheme="majorEastAsia" w:hAnsiTheme="majorEastAsia" w:eastAsiaTheme="majorEastAsia" w:cstheme="majorEastAsia"/>
          <w:spacing w:val="8"/>
          <w:sz w:val="21"/>
          <w:szCs w:val="21"/>
          <w:highlight w:val="none"/>
          <w:lang w:val="en-US" w:eastAsia="zh-CN"/>
        </w:rPr>
        <w:t>和</w:t>
      </w:r>
      <w:r>
        <w:rPr>
          <w:rFonts w:hint="eastAsia" w:asciiTheme="majorEastAsia" w:hAnsiTheme="majorEastAsia" w:eastAsiaTheme="majorEastAsia" w:cstheme="majorEastAsia"/>
          <w:spacing w:val="8"/>
          <w:sz w:val="21"/>
          <w:szCs w:val="21"/>
          <w:highlight w:val="none"/>
        </w:rPr>
        <w:t>服务设施</w:t>
      </w:r>
      <w:r>
        <w:rPr>
          <w:rFonts w:hint="eastAsia" w:asciiTheme="majorEastAsia" w:hAnsiTheme="majorEastAsia" w:eastAsiaTheme="majorEastAsia" w:cstheme="majorEastAsia"/>
          <w:spacing w:val="7"/>
          <w:sz w:val="21"/>
          <w:szCs w:val="21"/>
          <w:highlight w:val="none"/>
          <w:lang w:val="en-US" w:eastAsia="zh-CN"/>
        </w:rPr>
        <w:t>未清理的，按每个扣0.5分；</w:t>
      </w:r>
    </w:p>
    <w:p w14:paraId="2831E2B8">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ajorEastAsia" w:hAnsiTheme="majorEastAsia" w:eastAsiaTheme="majorEastAsia" w:cstheme="majorEastAsia"/>
          <w:spacing w:val="7"/>
          <w:sz w:val="21"/>
          <w:szCs w:val="21"/>
          <w:highlight w:val="none"/>
          <w:lang w:val="en-US" w:eastAsia="zh-CN"/>
        </w:rPr>
      </w:pPr>
      <w:r>
        <w:rPr>
          <w:rFonts w:hint="eastAsia" w:asciiTheme="majorEastAsia" w:hAnsiTheme="majorEastAsia" w:eastAsiaTheme="majorEastAsia" w:cstheme="majorEastAsia"/>
          <w:spacing w:val="7"/>
          <w:sz w:val="21"/>
          <w:szCs w:val="21"/>
          <w:highlight w:val="none"/>
          <w:lang w:val="en-US" w:eastAsia="zh-CN"/>
        </w:rPr>
        <w:t>下达整改后，未按要求及时整改的，每处扣0.5分；</w:t>
      </w:r>
    </w:p>
    <w:p w14:paraId="4818D681">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ajorEastAsia" w:hAnsiTheme="majorEastAsia" w:eastAsiaTheme="majorEastAsia" w:cstheme="majorEastAsia"/>
          <w:spacing w:val="9"/>
          <w:sz w:val="21"/>
          <w:szCs w:val="21"/>
          <w:highlight w:val="none"/>
        </w:rPr>
      </w:pPr>
      <w:r>
        <w:rPr>
          <w:rFonts w:hint="eastAsia" w:asciiTheme="majorEastAsia" w:hAnsiTheme="majorEastAsia" w:eastAsiaTheme="majorEastAsia" w:cstheme="majorEastAsia"/>
          <w:spacing w:val="7"/>
          <w:sz w:val="21"/>
          <w:szCs w:val="21"/>
          <w:highlight w:val="none"/>
          <w:lang w:val="en-US" w:eastAsia="zh-CN"/>
        </w:rPr>
        <w:t>未按上级部门检查整改要求整改到位的，每处扣1分。</w:t>
      </w:r>
    </w:p>
    <w:p w14:paraId="2A66430E">
      <w:pPr>
        <w:pStyle w:val="11"/>
        <w:keepNext w:val="0"/>
        <w:keepLines w:val="0"/>
        <w:pageBreakBefore w:val="0"/>
        <w:kinsoku/>
        <w:wordWrap/>
        <w:overflowPunct/>
        <w:topLinePunct w:val="0"/>
        <w:autoSpaceDE/>
        <w:autoSpaceDN/>
        <w:bidi w:val="0"/>
        <w:adjustRightInd/>
        <w:snapToGrid/>
        <w:spacing w:line="360" w:lineRule="auto"/>
        <w:ind w:firstLine="454" w:firstLineChars="200"/>
        <w:textAlignment w:val="auto"/>
        <w:rPr>
          <w:rFonts w:hint="eastAsia" w:asciiTheme="majorEastAsia" w:hAnsiTheme="majorEastAsia" w:eastAsiaTheme="majorEastAsia" w:cstheme="majorEastAsia"/>
          <w:b/>
          <w:bCs/>
          <w:sz w:val="21"/>
          <w:szCs w:val="21"/>
          <w:highlight w:val="none"/>
        </w:rPr>
      </w:pPr>
      <w:r>
        <w:rPr>
          <w:rFonts w:hint="eastAsia" w:asciiTheme="majorEastAsia" w:hAnsiTheme="majorEastAsia" w:eastAsiaTheme="majorEastAsia" w:cstheme="majorEastAsia"/>
          <w:b/>
          <w:bCs/>
          <w:spacing w:val="8"/>
          <w:sz w:val="21"/>
          <w:szCs w:val="21"/>
          <w:highlight w:val="none"/>
          <w:lang w:val="en-US" w:eastAsia="zh-CN"/>
        </w:rPr>
        <w:t>2.8</w:t>
      </w:r>
      <w:r>
        <w:rPr>
          <w:rFonts w:hint="eastAsia" w:asciiTheme="majorEastAsia" w:hAnsiTheme="majorEastAsia" w:eastAsiaTheme="majorEastAsia" w:cstheme="majorEastAsia"/>
          <w:b/>
          <w:bCs/>
          <w:spacing w:val="8"/>
          <w:sz w:val="21"/>
          <w:szCs w:val="21"/>
          <w:highlight w:val="none"/>
        </w:rPr>
        <w:t>绿化与环境保护日常保养</w:t>
      </w:r>
    </w:p>
    <w:p w14:paraId="1633ECD8">
      <w:pPr>
        <w:pStyle w:val="11"/>
        <w:keepNext w:val="0"/>
        <w:keepLines w:val="0"/>
        <w:pageBreakBefore w:val="0"/>
        <w:kinsoku/>
        <w:wordWrap/>
        <w:overflowPunct/>
        <w:topLinePunct w:val="0"/>
        <w:autoSpaceDE/>
        <w:autoSpaceDN/>
        <w:bidi w:val="0"/>
        <w:adjustRightInd/>
        <w:snapToGrid/>
        <w:spacing w:line="360" w:lineRule="auto"/>
        <w:ind w:firstLine="432" w:firstLineChars="200"/>
        <w:textAlignment w:val="auto"/>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spacing w:val="3"/>
          <w:position w:val="1"/>
          <w:sz w:val="21"/>
          <w:szCs w:val="21"/>
          <w:highlight w:val="none"/>
          <w:lang w:val="en-US" w:eastAsia="zh-CN"/>
        </w:rPr>
        <w:t>2.8.</w:t>
      </w:r>
      <w:r>
        <w:rPr>
          <w:rFonts w:hint="eastAsia" w:asciiTheme="majorEastAsia" w:hAnsiTheme="majorEastAsia" w:eastAsiaTheme="majorEastAsia" w:cstheme="majorEastAsia"/>
          <w:spacing w:val="3"/>
          <w:position w:val="1"/>
          <w:sz w:val="21"/>
          <w:szCs w:val="21"/>
          <w:highlight w:val="none"/>
        </w:rPr>
        <w:t>1</w:t>
      </w:r>
      <w:r>
        <w:rPr>
          <w:rFonts w:hint="eastAsia" w:asciiTheme="majorEastAsia" w:hAnsiTheme="majorEastAsia" w:eastAsiaTheme="majorEastAsia" w:cstheme="majorEastAsia"/>
          <w:spacing w:val="3"/>
          <w:position w:val="1"/>
          <w:sz w:val="21"/>
          <w:szCs w:val="21"/>
          <w:highlight w:val="none"/>
          <w:lang w:val="en-US" w:eastAsia="zh-CN"/>
        </w:rPr>
        <w:t>工作内容及</w:t>
      </w:r>
      <w:r>
        <w:rPr>
          <w:rFonts w:hint="eastAsia" w:asciiTheme="majorEastAsia" w:hAnsiTheme="majorEastAsia" w:eastAsiaTheme="majorEastAsia" w:cstheme="majorEastAsia"/>
          <w:spacing w:val="3"/>
          <w:position w:val="1"/>
          <w:sz w:val="21"/>
          <w:szCs w:val="21"/>
          <w:highlight w:val="none"/>
        </w:rPr>
        <w:t>要求</w:t>
      </w:r>
      <w:r>
        <w:rPr>
          <w:rFonts w:hint="eastAsia" w:asciiTheme="majorEastAsia" w:hAnsiTheme="majorEastAsia" w:eastAsiaTheme="majorEastAsia" w:cstheme="majorEastAsia"/>
          <w:spacing w:val="3"/>
          <w:position w:val="1"/>
          <w:sz w:val="21"/>
          <w:szCs w:val="21"/>
          <w:highlight w:val="none"/>
          <w:lang w:val="en-US" w:eastAsia="zh-CN"/>
        </w:rPr>
        <w:t>:</w:t>
      </w:r>
    </w:p>
    <w:p w14:paraId="6161F5DC">
      <w:pPr>
        <w:pStyle w:val="11"/>
        <w:keepNext w:val="0"/>
        <w:keepLines w:val="0"/>
        <w:pageBreakBefore w:val="0"/>
        <w:kinsoku/>
        <w:wordWrap/>
        <w:overflowPunct/>
        <w:topLinePunct w:val="0"/>
        <w:autoSpaceDE/>
        <w:autoSpaceDN/>
        <w:bidi w:val="0"/>
        <w:adjustRightInd/>
        <w:snapToGrid/>
        <w:spacing w:line="360" w:lineRule="auto"/>
        <w:ind w:right="71" w:firstLine="464"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pacing w:val="11"/>
          <w:sz w:val="21"/>
          <w:szCs w:val="21"/>
          <w:highlight w:val="none"/>
        </w:rPr>
        <w:t>（1）每季度不少于一遍对管养路线的灌木、草皮、景观小品等绿化植物进行灌溉、排涝、施肥、除</w:t>
      </w:r>
      <w:r>
        <w:rPr>
          <w:rFonts w:hint="eastAsia" w:asciiTheme="majorEastAsia" w:hAnsiTheme="majorEastAsia" w:eastAsiaTheme="majorEastAsia" w:cstheme="majorEastAsia"/>
          <w:spacing w:val="8"/>
          <w:sz w:val="21"/>
          <w:szCs w:val="21"/>
          <w:highlight w:val="none"/>
        </w:rPr>
        <w:t>杂草、整形修剪和病虫害防治等。</w:t>
      </w:r>
    </w:p>
    <w:p w14:paraId="5581B08C">
      <w:pPr>
        <w:pStyle w:val="11"/>
        <w:keepNext w:val="0"/>
        <w:keepLines w:val="0"/>
        <w:pageBreakBefore w:val="0"/>
        <w:kinsoku/>
        <w:wordWrap/>
        <w:overflowPunct/>
        <w:topLinePunct w:val="0"/>
        <w:autoSpaceDE/>
        <w:autoSpaceDN/>
        <w:bidi w:val="0"/>
        <w:adjustRightInd/>
        <w:snapToGrid/>
        <w:spacing w:line="360" w:lineRule="auto"/>
        <w:ind w:right="70" w:firstLine="448"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pacing w:val="7"/>
          <w:sz w:val="21"/>
          <w:szCs w:val="21"/>
          <w:highlight w:val="none"/>
        </w:rPr>
        <w:t>（2）保持公路路树修剪、整形，对路肩外边缘路面以上高5米范围内树枝要清除，不能伸入路面，对遮挡标志牌、遮挡平交道口会车视线、弯道内侧遮挡行车视距等胸径小于20cm路树或树枝要清除，及时清理公路两侧危树枯树。每半年清理一遍，9月底前完成。</w:t>
      </w:r>
    </w:p>
    <w:p w14:paraId="09F219F3">
      <w:pPr>
        <w:pStyle w:val="11"/>
        <w:keepNext w:val="0"/>
        <w:keepLines w:val="0"/>
        <w:pageBreakBefore w:val="0"/>
        <w:kinsoku/>
        <w:wordWrap/>
        <w:overflowPunct/>
        <w:topLinePunct w:val="0"/>
        <w:autoSpaceDE/>
        <w:autoSpaceDN/>
        <w:bidi w:val="0"/>
        <w:adjustRightInd/>
        <w:snapToGrid/>
        <w:spacing w:line="360" w:lineRule="auto"/>
        <w:ind w:right="71" w:firstLine="464"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pacing w:val="11"/>
          <w:sz w:val="21"/>
          <w:szCs w:val="21"/>
          <w:highlight w:val="none"/>
        </w:rPr>
        <w:t>（3）及时修剪或清除遮挡标志牌、遮挡平交道口视线、弯道内侧遮挡行车视距的路树或灌木等绿植，及</w:t>
      </w:r>
      <w:r>
        <w:rPr>
          <w:rFonts w:hint="eastAsia" w:asciiTheme="majorEastAsia" w:hAnsiTheme="majorEastAsia" w:eastAsiaTheme="majorEastAsia" w:cstheme="majorEastAsia"/>
          <w:spacing w:val="9"/>
          <w:sz w:val="21"/>
          <w:szCs w:val="21"/>
          <w:highlight w:val="none"/>
        </w:rPr>
        <w:t>时清除公路两侧枯树、死树等危险路树和过密树木间伐。</w:t>
      </w:r>
    </w:p>
    <w:p w14:paraId="624543C7">
      <w:pPr>
        <w:pStyle w:val="11"/>
        <w:keepNext w:val="0"/>
        <w:keepLines w:val="0"/>
        <w:pageBreakBefore w:val="0"/>
        <w:kinsoku/>
        <w:wordWrap/>
        <w:overflowPunct/>
        <w:topLinePunct w:val="0"/>
        <w:autoSpaceDE/>
        <w:autoSpaceDN/>
        <w:bidi w:val="0"/>
        <w:adjustRightInd/>
        <w:snapToGrid/>
        <w:spacing w:line="360" w:lineRule="auto"/>
        <w:ind w:right="70" w:firstLine="456"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pacing w:val="9"/>
          <w:sz w:val="21"/>
          <w:szCs w:val="21"/>
          <w:highlight w:val="none"/>
        </w:rPr>
        <w:t>（4）</w:t>
      </w:r>
      <w:r>
        <w:rPr>
          <w:rFonts w:hint="eastAsia" w:asciiTheme="majorEastAsia" w:hAnsiTheme="majorEastAsia" w:eastAsiaTheme="majorEastAsia" w:cstheme="majorEastAsia"/>
          <w:spacing w:val="8"/>
          <w:sz w:val="21"/>
          <w:szCs w:val="21"/>
          <w:highlight w:val="none"/>
        </w:rPr>
        <w:t>路树刷白+设施刷漆：保持对公路路树的健康美观、加强病虫害防治，保持里程碑、百米桩、道口桩、轮廓桩的清洁和辨识清晰。利用石灰粉对路树进行从路肩以上1.5米高范围刷白，形成高度平齐顺适的刷白线，用白油漆对里程碑、百米桩、轮廓桩进行刷白，对里程碑、百米桩用油漆描字（国道红色、省道蓝色），同时对百米桩进行地面数字喷涂标识。每年进行一遍，11月份完成。</w:t>
      </w:r>
    </w:p>
    <w:p w14:paraId="086EE57A">
      <w:pPr>
        <w:pStyle w:val="11"/>
        <w:keepNext w:val="0"/>
        <w:keepLines w:val="0"/>
        <w:pageBreakBefore w:val="0"/>
        <w:kinsoku/>
        <w:wordWrap/>
        <w:overflowPunct/>
        <w:topLinePunct w:val="0"/>
        <w:autoSpaceDE/>
        <w:autoSpaceDN/>
        <w:bidi w:val="0"/>
        <w:adjustRightInd/>
        <w:snapToGrid/>
        <w:spacing w:line="360" w:lineRule="auto"/>
        <w:ind w:firstLine="448" w:firstLineChars="200"/>
        <w:textAlignment w:val="auto"/>
        <w:rPr>
          <w:rFonts w:hint="eastAsia" w:asciiTheme="majorEastAsia" w:hAnsiTheme="majorEastAsia" w:eastAsiaTheme="majorEastAsia" w:cstheme="majorEastAsia"/>
          <w:sz w:val="21"/>
          <w:szCs w:val="21"/>
          <w:highlight w:val="none"/>
          <w:lang w:val="en-US" w:eastAsia="zh-CN"/>
        </w:rPr>
      </w:pPr>
      <w:r>
        <w:rPr>
          <w:rFonts w:hint="eastAsia" w:asciiTheme="majorEastAsia" w:hAnsiTheme="majorEastAsia" w:eastAsiaTheme="majorEastAsia" w:cstheme="majorEastAsia"/>
          <w:spacing w:val="7"/>
          <w:position w:val="1"/>
          <w:sz w:val="21"/>
          <w:szCs w:val="21"/>
          <w:highlight w:val="none"/>
          <w:lang w:val="en-US" w:eastAsia="zh-CN"/>
        </w:rPr>
        <w:t>2.8.</w:t>
      </w:r>
      <w:r>
        <w:rPr>
          <w:rFonts w:hint="eastAsia" w:asciiTheme="majorEastAsia" w:hAnsiTheme="majorEastAsia" w:eastAsiaTheme="majorEastAsia" w:cstheme="majorEastAsia"/>
          <w:spacing w:val="7"/>
          <w:position w:val="1"/>
          <w:sz w:val="21"/>
          <w:szCs w:val="21"/>
          <w:highlight w:val="none"/>
        </w:rPr>
        <w:t>2</w:t>
      </w:r>
      <w:r>
        <w:rPr>
          <w:rFonts w:hint="eastAsia" w:asciiTheme="majorEastAsia" w:hAnsiTheme="majorEastAsia" w:eastAsiaTheme="majorEastAsia" w:cstheme="majorEastAsia"/>
          <w:spacing w:val="7"/>
          <w:position w:val="1"/>
          <w:sz w:val="21"/>
          <w:szCs w:val="21"/>
          <w:highlight w:val="none"/>
          <w:lang w:val="en-US" w:eastAsia="zh-CN"/>
        </w:rPr>
        <w:t>考核</w:t>
      </w:r>
      <w:r>
        <w:rPr>
          <w:rFonts w:hint="eastAsia" w:asciiTheme="majorEastAsia" w:hAnsiTheme="majorEastAsia" w:eastAsiaTheme="majorEastAsia" w:cstheme="majorEastAsia"/>
          <w:spacing w:val="7"/>
          <w:position w:val="1"/>
          <w:sz w:val="21"/>
          <w:szCs w:val="21"/>
          <w:highlight w:val="none"/>
        </w:rPr>
        <w:t>标准</w:t>
      </w:r>
      <w:r>
        <w:rPr>
          <w:rFonts w:hint="eastAsia" w:asciiTheme="majorEastAsia" w:hAnsiTheme="majorEastAsia" w:eastAsiaTheme="majorEastAsia" w:cstheme="majorEastAsia"/>
          <w:spacing w:val="7"/>
          <w:position w:val="1"/>
          <w:sz w:val="21"/>
          <w:szCs w:val="21"/>
          <w:highlight w:val="none"/>
          <w:lang w:val="en-US" w:eastAsia="zh-CN"/>
        </w:rPr>
        <w:t>;</w:t>
      </w:r>
    </w:p>
    <w:p w14:paraId="52A01B9C">
      <w:pPr>
        <w:pStyle w:val="11"/>
        <w:keepNext w:val="0"/>
        <w:keepLines w:val="0"/>
        <w:pageBreakBefore w:val="0"/>
        <w:kinsoku/>
        <w:wordWrap/>
        <w:overflowPunct/>
        <w:topLinePunct w:val="0"/>
        <w:autoSpaceDE/>
        <w:autoSpaceDN/>
        <w:bidi w:val="0"/>
        <w:adjustRightInd/>
        <w:snapToGrid/>
        <w:spacing w:line="360" w:lineRule="auto"/>
        <w:ind w:firstLine="456"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pacing w:val="9"/>
          <w:position w:val="1"/>
          <w:sz w:val="21"/>
          <w:szCs w:val="21"/>
          <w:highlight w:val="none"/>
        </w:rPr>
        <w:t>（1）管养路线的灌木、草皮、景观小品等绿化植物无杂草、形状修剪整齐、无病虫害，正常生长。</w:t>
      </w:r>
    </w:p>
    <w:p w14:paraId="1AE78A31">
      <w:pPr>
        <w:pStyle w:val="11"/>
        <w:keepNext w:val="0"/>
        <w:keepLines w:val="0"/>
        <w:pageBreakBefore w:val="0"/>
        <w:kinsoku/>
        <w:wordWrap/>
        <w:overflowPunct/>
        <w:topLinePunct w:val="0"/>
        <w:autoSpaceDE/>
        <w:autoSpaceDN/>
        <w:bidi w:val="0"/>
        <w:adjustRightInd/>
        <w:snapToGrid/>
        <w:spacing w:line="360" w:lineRule="auto"/>
        <w:ind w:right="71" w:firstLine="464"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pacing w:val="11"/>
          <w:sz w:val="21"/>
          <w:szCs w:val="21"/>
          <w:highlight w:val="none"/>
        </w:rPr>
        <w:t>（2）路树树干从根部往上不少于米高度范围无树枝和树枝侵入，树干露出不被树叶遮挡；路肩外边缘路</w:t>
      </w:r>
      <w:r>
        <w:rPr>
          <w:rFonts w:hint="eastAsia" w:asciiTheme="majorEastAsia" w:hAnsiTheme="majorEastAsia" w:eastAsiaTheme="majorEastAsia" w:cstheme="majorEastAsia"/>
          <w:spacing w:val="8"/>
          <w:sz w:val="21"/>
          <w:szCs w:val="21"/>
          <w:highlight w:val="none"/>
        </w:rPr>
        <w:t>面以上高</w:t>
      </w:r>
      <w:r>
        <w:rPr>
          <w:rFonts w:hint="eastAsia" w:asciiTheme="majorEastAsia" w:hAnsiTheme="majorEastAsia" w:eastAsiaTheme="majorEastAsia" w:cstheme="majorEastAsia"/>
          <w:spacing w:val="-35"/>
          <w:sz w:val="21"/>
          <w:szCs w:val="21"/>
          <w:highlight w:val="none"/>
        </w:rPr>
        <w:t xml:space="preserve"> </w:t>
      </w:r>
      <w:r>
        <w:rPr>
          <w:rFonts w:hint="eastAsia" w:asciiTheme="majorEastAsia" w:hAnsiTheme="majorEastAsia" w:eastAsiaTheme="majorEastAsia" w:cstheme="majorEastAsia"/>
          <w:spacing w:val="8"/>
          <w:sz w:val="21"/>
          <w:szCs w:val="21"/>
          <w:highlight w:val="none"/>
        </w:rPr>
        <w:t>5 米和路面往上</w:t>
      </w:r>
      <w:r>
        <w:rPr>
          <w:rFonts w:hint="eastAsia" w:asciiTheme="majorEastAsia" w:hAnsiTheme="majorEastAsia" w:eastAsiaTheme="majorEastAsia" w:cstheme="majorEastAsia"/>
          <w:spacing w:val="-35"/>
          <w:sz w:val="21"/>
          <w:szCs w:val="21"/>
          <w:highlight w:val="none"/>
        </w:rPr>
        <w:t xml:space="preserve"> </w:t>
      </w:r>
      <w:r>
        <w:rPr>
          <w:rFonts w:hint="eastAsia" w:asciiTheme="majorEastAsia" w:hAnsiTheme="majorEastAsia" w:eastAsiaTheme="majorEastAsia" w:cstheme="majorEastAsia"/>
          <w:spacing w:val="8"/>
          <w:sz w:val="21"/>
          <w:szCs w:val="21"/>
          <w:highlight w:val="none"/>
        </w:rPr>
        <w:t>5.5 范围内无树枝路树，路树等绿植不侵入公路建筑</w:t>
      </w:r>
      <w:r>
        <w:rPr>
          <w:rFonts w:hint="eastAsia" w:asciiTheme="majorEastAsia" w:hAnsiTheme="majorEastAsia" w:eastAsiaTheme="majorEastAsia" w:cstheme="majorEastAsia"/>
          <w:spacing w:val="7"/>
          <w:sz w:val="21"/>
          <w:szCs w:val="21"/>
          <w:highlight w:val="none"/>
        </w:rPr>
        <w:t>限界。</w:t>
      </w:r>
    </w:p>
    <w:p w14:paraId="55409380">
      <w:pPr>
        <w:pStyle w:val="11"/>
        <w:keepNext w:val="0"/>
        <w:keepLines w:val="0"/>
        <w:pageBreakBefore w:val="0"/>
        <w:kinsoku/>
        <w:wordWrap/>
        <w:overflowPunct/>
        <w:topLinePunct w:val="0"/>
        <w:autoSpaceDE/>
        <w:autoSpaceDN/>
        <w:bidi w:val="0"/>
        <w:adjustRightInd/>
        <w:snapToGrid/>
        <w:spacing w:line="360" w:lineRule="auto"/>
        <w:ind w:firstLine="456"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pacing w:val="9"/>
          <w:position w:val="1"/>
          <w:sz w:val="21"/>
          <w:szCs w:val="21"/>
          <w:highlight w:val="none"/>
        </w:rPr>
        <w:t>（3）全线无遮行车挡视线视距、无遮挡公路标志牌的路树、灌木，公路两侧无危树枯树。</w:t>
      </w:r>
    </w:p>
    <w:p w14:paraId="028B6F65">
      <w:pPr>
        <w:pStyle w:val="11"/>
        <w:keepNext w:val="0"/>
        <w:keepLines w:val="0"/>
        <w:pageBreakBefore w:val="0"/>
        <w:kinsoku/>
        <w:wordWrap/>
        <w:overflowPunct/>
        <w:topLinePunct w:val="0"/>
        <w:autoSpaceDE/>
        <w:autoSpaceDN/>
        <w:bidi w:val="0"/>
        <w:adjustRightInd/>
        <w:snapToGrid/>
        <w:spacing w:line="360" w:lineRule="auto"/>
        <w:ind w:firstLine="448" w:firstLineChars="200"/>
        <w:textAlignment w:val="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pacing w:val="7"/>
          <w:position w:val="1"/>
          <w:sz w:val="21"/>
          <w:szCs w:val="21"/>
          <w:highlight w:val="none"/>
        </w:rPr>
        <w:t>（4）按时和按要求完成路树刷白。</w:t>
      </w:r>
    </w:p>
    <w:p w14:paraId="010EC096">
      <w:pPr>
        <w:pStyle w:val="11"/>
        <w:keepNext w:val="0"/>
        <w:keepLines w:val="0"/>
        <w:pageBreakBefore w:val="0"/>
        <w:kinsoku/>
        <w:wordWrap/>
        <w:overflowPunct/>
        <w:topLinePunct w:val="0"/>
        <w:autoSpaceDE/>
        <w:autoSpaceDN/>
        <w:bidi w:val="0"/>
        <w:adjustRightInd/>
        <w:snapToGrid/>
        <w:spacing w:line="360" w:lineRule="auto"/>
        <w:ind w:firstLine="452" w:firstLineChars="200"/>
        <w:textAlignment w:val="auto"/>
        <w:rPr>
          <w:rFonts w:hint="eastAsia" w:asciiTheme="majorEastAsia" w:hAnsiTheme="majorEastAsia" w:eastAsiaTheme="majorEastAsia" w:cstheme="majorEastAsia"/>
          <w:spacing w:val="8"/>
          <w:sz w:val="21"/>
          <w:szCs w:val="21"/>
          <w:highlight w:val="none"/>
        </w:rPr>
      </w:pPr>
      <w:r>
        <w:rPr>
          <w:rFonts w:hint="eastAsia" w:asciiTheme="majorEastAsia" w:hAnsiTheme="majorEastAsia" w:eastAsiaTheme="majorEastAsia" w:cstheme="majorEastAsia"/>
          <w:spacing w:val="8"/>
          <w:sz w:val="21"/>
          <w:szCs w:val="21"/>
          <w:highlight w:val="none"/>
        </w:rPr>
        <w:t>（5）按时和按要求完成两侧公路缘石用石灰水刷白。</w:t>
      </w:r>
    </w:p>
    <w:p w14:paraId="02A67BFC">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ajorEastAsia" w:hAnsiTheme="majorEastAsia" w:eastAsiaTheme="majorEastAsia" w:cstheme="majorEastAsia"/>
          <w:spacing w:val="7"/>
          <w:sz w:val="21"/>
          <w:szCs w:val="21"/>
          <w:highlight w:val="none"/>
          <w:lang w:val="en-US" w:eastAsia="zh-CN"/>
        </w:rPr>
      </w:pPr>
      <w:r>
        <w:rPr>
          <w:rFonts w:hint="eastAsia" w:asciiTheme="majorEastAsia" w:hAnsiTheme="majorEastAsia" w:eastAsiaTheme="majorEastAsia" w:cstheme="majorEastAsia"/>
          <w:spacing w:val="7"/>
          <w:sz w:val="21"/>
          <w:szCs w:val="21"/>
          <w:highlight w:val="none"/>
          <w:lang w:val="en-US" w:eastAsia="zh-CN"/>
        </w:rPr>
        <w:t>路树以每100m为1处，设施刷漆以每10个为1处。每项每处存在不符合要求的扣0.1分；</w:t>
      </w:r>
    </w:p>
    <w:p w14:paraId="1E77B9E9">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ajorEastAsia" w:hAnsiTheme="majorEastAsia" w:eastAsiaTheme="majorEastAsia" w:cstheme="majorEastAsia"/>
          <w:spacing w:val="7"/>
          <w:sz w:val="21"/>
          <w:szCs w:val="21"/>
          <w:highlight w:val="none"/>
          <w:lang w:val="en-US" w:eastAsia="zh-CN"/>
        </w:rPr>
      </w:pPr>
      <w:r>
        <w:rPr>
          <w:rFonts w:hint="eastAsia" w:asciiTheme="majorEastAsia" w:hAnsiTheme="majorEastAsia" w:eastAsiaTheme="majorEastAsia" w:cstheme="majorEastAsia"/>
          <w:spacing w:val="7"/>
          <w:sz w:val="21"/>
          <w:szCs w:val="21"/>
          <w:highlight w:val="none"/>
          <w:lang w:val="en-US" w:eastAsia="zh-CN"/>
        </w:rPr>
        <w:t>未按频率进行清理保养的每处扣0.2分；</w:t>
      </w:r>
    </w:p>
    <w:p w14:paraId="5E33F990">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ajorEastAsia" w:hAnsiTheme="majorEastAsia" w:eastAsiaTheme="majorEastAsia" w:cstheme="majorEastAsia"/>
          <w:spacing w:val="7"/>
          <w:sz w:val="21"/>
          <w:szCs w:val="21"/>
          <w:highlight w:val="none"/>
          <w:lang w:val="en-US" w:eastAsia="zh-CN"/>
        </w:rPr>
      </w:pPr>
      <w:r>
        <w:rPr>
          <w:rFonts w:hint="eastAsia" w:asciiTheme="majorEastAsia" w:hAnsiTheme="majorEastAsia" w:eastAsiaTheme="majorEastAsia" w:cstheme="majorEastAsia"/>
          <w:spacing w:val="7"/>
          <w:sz w:val="21"/>
          <w:szCs w:val="21"/>
          <w:highlight w:val="none"/>
          <w:lang w:val="en-US" w:eastAsia="zh-CN"/>
        </w:rPr>
        <w:t>未按时限要求完成的每处扣0.2分；</w:t>
      </w:r>
    </w:p>
    <w:p w14:paraId="5CA8520A">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ajorEastAsia" w:hAnsiTheme="majorEastAsia" w:eastAsiaTheme="majorEastAsia" w:cstheme="majorEastAsia"/>
          <w:spacing w:val="7"/>
          <w:sz w:val="21"/>
          <w:szCs w:val="21"/>
          <w:highlight w:val="none"/>
          <w:lang w:val="en-US" w:eastAsia="zh-CN"/>
        </w:rPr>
      </w:pPr>
      <w:r>
        <w:rPr>
          <w:rFonts w:hint="eastAsia" w:asciiTheme="majorEastAsia" w:hAnsiTheme="majorEastAsia" w:eastAsiaTheme="majorEastAsia" w:cstheme="majorEastAsia"/>
          <w:spacing w:val="7"/>
          <w:sz w:val="21"/>
          <w:szCs w:val="21"/>
          <w:highlight w:val="none"/>
          <w:lang w:val="en-US" w:eastAsia="zh-CN"/>
        </w:rPr>
        <w:t>枯树危树未清除的，每株扣0.5分；</w:t>
      </w:r>
    </w:p>
    <w:p w14:paraId="0CEB5BE2">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ajorEastAsia" w:hAnsiTheme="majorEastAsia" w:eastAsiaTheme="majorEastAsia" w:cstheme="majorEastAsia"/>
          <w:spacing w:val="7"/>
          <w:sz w:val="21"/>
          <w:szCs w:val="21"/>
          <w:highlight w:val="none"/>
          <w:lang w:val="en-US" w:eastAsia="zh-CN"/>
        </w:rPr>
      </w:pPr>
      <w:r>
        <w:rPr>
          <w:rFonts w:hint="eastAsia" w:asciiTheme="majorEastAsia" w:hAnsiTheme="majorEastAsia" w:eastAsiaTheme="majorEastAsia" w:cstheme="majorEastAsia"/>
          <w:spacing w:val="7"/>
          <w:sz w:val="21"/>
          <w:szCs w:val="21"/>
          <w:highlight w:val="none"/>
          <w:lang w:val="en-US" w:eastAsia="zh-CN"/>
        </w:rPr>
        <w:t>月度内存在连续500m以上未清理保养的，按整公里不合格，每公里扣1分；</w:t>
      </w:r>
    </w:p>
    <w:p w14:paraId="681A696A">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ajorEastAsia" w:hAnsiTheme="majorEastAsia" w:eastAsiaTheme="majorEastAsia" w:cstheme="majorEastAsia"/>
          <w:spacing w:val="7"/>
          <w:sz w:val="21"/>
          <w:szCs w:val="21"/>
          <w:highlight w:val="none"/>
          <w:lang w:val="en-US" w:eastAsia="zh-CN"/>
        </w:rPr>
      </w:pPr>
      <w:r>
        <w:rPr>
          <w:rFonts w:hint="eastAsia" w:asciiTheme="majorEastAsia" w:hAnsiTheme="majorEastAsia" w:eastAsiaTheme="majorEastAsia" w:cstheme="majorEastAsia"/>
          <w:spacing w:val="7"/>
          <w:sz w:val="21"/>
          <w:szCs w:val="21"/>
          <w:highlight w:val="none"/>
          <w:lang w:val="en-US" w:eastAsia="zh-CN"/>
        </w:rPr>
        <w:t>下达整改后，未按要求及时整改的，每处扣0.5分；</w:t>
      </w:r>
    </w:p>
    <w:p w14:paraId="03215749">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Theme="majorEastAsia" w:hAnsiTheme="majorEastAsia" w:eastAsiaTheme="majorEastAsia" w:cstheme="majorEastAsia"/>
          <w:spacing w:val="8"/>
          <w:sz w:val="21"/>
          <w:szCs w:val="21"/>
          <w:highlight w:val="none"/>
        </w:rPr>
      </w:pPr>
      <w:r>
        <w:rPr>
          <w:rFonts w:hint="eastAsia" w:asciiTheme="majorEastAsia" w:hAnsiTheme="majorEastAsia" w:eastAsiaTheme="majorEastAsia" w:cstheme="majorEastAsia"/>
          <w:spacing w:val="7"/>
          <w:sz w:val="21"/>
          <w:szCs w:val="21"/>
          <w:highlight w:val="none"/>
          <w:lang w:val="en-US" w:eastAsia="zh-CN"/>
        </w:rPr>
        <w:t>未按上级部门检查整改要求整改到位的，每处扣1分。</w:t>
      </w:r>
    </w:p>
    <w:p w14:paraId="4712615B">
      <w:pPr>
        <w:pStyle w:val="11"/>
        <w:keepNext w:val="0"/>
        <w:keepLines w:val="0"/>
        <w:pageBreakBefore w:val="0"/>
        <w:numPr>
          <w:ilvl w:val="0"/>
          <w:numId w:val="0"/>
        </w:numPr>
        <w:tabs>
          <w:tab w:val="left" w:pos="834"/>
        </w:tabs>
        <w:kinsoku/>
        <w:wordWrap/>
        <w:overflowPunct/>
        <w:topLinePunct w:val="0"/>
        <w:autoSpaceDE/>
        <w:autoSpaceDN/>
        <w:bidi w:val="0"/>
        <w:adjustRightInd/>
        <w:snapToGrid/>
        <w:spacing w:line="360" w:lineRule="auto"/>
        <w:ind w:firstLine="522" w:firstLineChars="200"/>
        <w:textAlignment w:val="auto"/>
        <w:rPr>
          <w:rFonts w:hint="eastAsia" w:asciiTheme="majorEastAsia" w:hAnsiTheme="majorEastAsia" w:eastAsiaTheme="majorEastAsia" w:cstheme="majorEastAsia"/>
          <w:b/>
          <w:bCs/>
          <w:spacing w:val="10"/>
          <w:position w:val="1"/>
          <w:sz w:val="24"/>
          <w:szCs w:val="24"/>
          <w:highlight w:val="none"/>
        </w:rPr>
      </w:pPr>
      <w:r>
        <w:rPr>
          <w:rFonts w:hint="eastAsia" w:asciiTheme="majorEastAsia" w:hAnsiTheme="majorEastAsia" w:eastAsiaTheme="majorEastAsia" w:cstheme="majorEastAsia"/>
          <w:b/>
          <w:bCs/>
          <w:spacing w:val="10"/>
          <w:position w:val="1"/>
          <w:sz w:val="24"/>
          <w:szCs w:val="24"/>
          <w:highlight w:val="none"/>
          <w:lang w:val="en-US" w:eastAsia="zh-CN"/>
        </w:rPr>
        <w:t>3.</w:t>
      </w:r>
      <w:r>
        <w:rPr>
          <w:rFonts w:hint="eastAsia" w:asciiTheme="majorEastAsia" w:hAnsiTheme="majorEastAsia" w:eastAsiaTheme="majorEastAsia" w:cstheme="majorEastAsia"/>
          <w:b/>
          <w:bCs/>
          <w:spacing w:val="10"/>
          <w:position w:val="1"/>
          <w:sz w:val="24"/>
          <w:szCs w:val="24"/>
          <w:highlight w:val="none"/>
        </w:rPr>
        <w:t>应急处置</w:t>
      </w:r>
    </w:p>
    <w:p w14:paraId="0F8062E6">
      <w:pPr>
        <w:keepNext w:val="0"/>
        <w:keepLines w:val="0"/>
        <w:pageBreakBefore w:val="0"/>
        <w:kinsoku/>
        <w:wordWrap/>
        <w:overflowPunct/>
        <w:topLinePunct w:val="0"/>
        <w:autoSpaceDE/>
        <w:autoSpaceDN/>
        <w:bidi w:val="0"/>
        <w:adjustRightInd/>
        <w:snapToGrid/>
        <w:spacing w:line="360" w:lineRule="auto"/>
        <w:ind w:firstLine="460" w:firstLineChars="200"/>
        <w:textAlignment w:val="auto"/>
        <w:rPr>
          <w:rFonts w:hint="eastAsia" w:ascii="宋体" w:hAnsi="宋体" w:eastAsia="宋体" w:cs="宋体"/>
          <w:spacing w:val="10"/>
          <w:position w:val="1"/>
          <w:sz w:val="21"/>
          <w:szCs w:val="21"/>
          <w:highlight w:val="none"/>
          <w:lang w:val="en-US" w:eastAsia="zh-CN"/>
        </w:rPr>
      </w:pPr>
      <w:r>
        <w:rPr>
          <w:rFonts w:hint="eastAsia" w:ascii="宋体" w:hAnsi="宋体" w:eastAsia="宋体" w:cs="宋体"/>
          <w:spacing w:val="10"/>
          <w:position w:val="1"/>
          <w:sz w:val="21"/>
          <w:szCs w:val="21"/>
          <w:highlight w:val="none"/>
          <w:lang w:val="en-US" w:eastAsia="zh-CN"/>
        </w:rPr>
        <w:t>3.1工作内容及要求：</w:t>
      </w:r>
      <w:r>
        <w:rPr>
          <w:rFonts w:hint="eastAsia" w:ascii="宋体" w:hAnsi="宋体" w:eastAsia="宋体" w:cs="宋体"/>
          <w:bCs/>
          <w:szCs w:val="21"/>
          <w:highlight w:val="none"/>
        </w:rPr>
        <w:t>在各</w:t>
      </w:r>
      <w:r>
        <w:rPr>
          <w:rFonts w:hint="eastAsia" w:ascii="宋体" w:hAnsi="宋体" w:eastAsia="宋体" w:cs="宋体"/>
          <w:bCs/>
          <w:szCs w:val="21"/>
          <w:highlight w:val="none"/>
          <w:lang w:val="en-US" w:eastAsia="zh-CN"/>
        </w:rPr>
        <w:t>县级公路养护中心</w:t>
      </w:r>
      <w:r>
        <w:rPr>
          <w:rFonts w:hint="eastAsia" w:ascii="宋体" w:hAnsi="宋体" w:eastAsia="宋体" w:cs="宋体"/>
          <w:bCs/>
          <w:szCs w:val="21"/>
          <w:highlight w:val="none"/>
        </w:rPr>
        <w:t>辖区</w:t>
      </w:r>
      <w:r>
        <w:rPr>
          <w:rFonts w:hint="eastAsia" w:ascii="宋体" w:hAnsi="宋体" w:eastAsia="宋体" w:cs="宋体"/>
          <w:szCs w:val="21"/>
          <w:highlight w:val="none"/>
        </w:rPr>
        <w:t>建立不少于8人的应急队伍，配备应急设备（挖掘机1台、铲车1台、双排座汽车2辆、融雪剂撒布车（机）2台、短油锯3台、高枝油锯1台），应急或处理问题响应时间要求接到采购人处理问题通知后1小时内到达采购人指定现场。</w:t>
      </w:r>
      <w:r>
        <w:rPr>
          <w:rFonts w:hint="eastAsia" w:ascii="宋体" w:hAnsi="宋体" w:eastAsia="宋体" w:cs="宋体"/>
          <w:color w:val="auto"/>
          <w:szCs w:val="21"/>
          <w:highlight w:val="none"/>
        </w:rPr>
        <w:t>清理</w:t>
      </w:r>
      <w:r>
        <w:rPr>
          <w:rFonts w:hint="eastAsia" w:ascii="宋体" w:hAnsi="宋体" w:eastAsia="宋体" w:cs="宋体"/>
          <w:color w:val="auto"/>
          <w:szCs w:val="21"/>
          <w:highlight w:val="none"/>
          <w:lang w:val="en-US" w:eastAsia="zh-CN"/>
        </w:rPr>
        <w:t>塌方（单处＜</w:t>
      </w:r>
      <w:r>
        <w:rPr>
          <w:rFonts w:hint="eastAsia" w:ascii="宋体" w:hAnsi="宋体" w:eastAsia="宋体" w:cs="宋体"/>
          <w:color w:val="auto"/>
          <w:szCs w:val="21"/>
          <w:highlight w:val="none"/>
        </w:rPr>
        <w:t>5m³</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清理落石（单处＜0.5</w:t>
      </w:r>
      <w:r>
        <w:rPr>
          <w:rFonts w:hint="eastAsia" w:ascii="宋体" w:hAnsi="宋体" w:eastAsia="宋体" w:cs="宋体"/>
          <w:color w:val="auto"/>
          <w:szCs w:val="21"/>
          <w:highlight w:val="none"/>
        </w:rPr>
        <w:t>m³</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、清理倒伏路树及危树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地径＜10cm</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防汛排水、清理路面洒落物、交通事故清障、路基路面塌陷临时处置、涉路管线倒伏隐患清理、路侧护栏损坏临时防护、桥梁涵洞隧道垮塌临时处置，以及所有公路突发事件或灾害事件的现场警示、管控、维护、值守等</w:t>
      </w:r>
      <w:r>
        <w:rPr>
          <w:rFonts w:hint="eastAsia" w:ascii="宋体" w:hAnsi="宋体" w:eastAsia="宋体" w:cs="宋体"/>
          <w:color w:val="auto"/>
          <w:szCs w:val="21"/>
          <w:highlight w:val="none"/>
        </w:rPr>
        <w:t>。应急处置</w:t>
      </w:r>
      <w:r>
        <w:rPr>
          <w:rFonts w:hint="eastAsia" w:ascii="宋体" w:hAnsi="宋体" w:eastAsia="宋体" w:cs="宋体"/>
          <w:color w:val="auto"/>
          <w:szCs w:val="21"/>
          <w:highlight w:val="none"/>
          <w:lang w:val="en-US" w:eastAsia="zh-CN"/>
        </w:rPr>
        <w:t>所在</w:t>
      </w:r>
      <w:r>
        <w:rPr>
          <w:rFonts w:hint="eastAsia" w:ascii="宋体" w:hAnsi="宋体" w:eastAsia="宋体" w:cs="宋体"/>
          <w:color w:val="auto"/>
          <w:szCs w:val="21"/>
          <w:highlight w:val="none"/>
        </w:rPr>
        <w:t>路段的安全隐患在彻</w:t>
      </w:r>
      <w:r>
        <w:rPr>
          <w:rFonts w:hint="eastAsia" w:ascii="宋体" w:hAnsi="宋体" w:eastAsia="宋体" w:cs="宋体"/>
          <w:szCs w:val="21"/>
          <w:highlight w:val="none"/>
        </w:rPr>
        <w:t>底消除前应保持有效警示和管控。</w:t>
      </w:r>
    </w:p>
    <w:p w14:paraId="3D3B2831">
      <w:pPr>
        <w:pStyle w:val="11"/>
        <w:keepNext w:val="0"/>
        <w:keepLines w:val="0"/>
        <w:pageBreakBefore w:val="0"/>
        <w:numPr>
          <w:ilvl w:val="0"/>
          <w:numId w:val="0"/>
        </w:numPr>
        <w:kinsoku/>
        <w:wordWrap/>
        <w:overflowPunct/>
        <w:topLinePunct w:val="0"/>
        <w:autoSpaceDE/>
        <w:autoSpaceDN/>
        <w:bidi w:val="0"/>
        <w:adjustRightInd/>
        <w:snapToGrid/>
        <w:spacing w:line="360" w:lineRule="auto"/>
        <w:ind w:firstLine="460" w:firstLineChars="200"/>
        <w:textAlignment w:val="auto"/>
        <w:rPr>
          <w:rFonts w:hint="eastAsia" w:asciiTheme="majorEastAsia" w:hAnsiTheme="majorEastAsia" w:eastAsiaTheme="majorEastAsia" w:cstheme="majorEastAsia"/>
          <w:spacing w:val="10"/>
          <w:position w:val="1"/>
          <w:sz w:val="21"/>
          <w:szCs w:val="21"/>
          <w:highlight w:val="none"/>
          <w:lang w:val="en-US" w:eastAsia="zh-CN"/>
        </w:rPr>
      </w:pPr>
      <w:r>
        <w:rPr>
          <w:rFonts w:hint="eastAsia" w:asciiTheme="majorEastAsia" w:hAnsiTheme="majorEastAsia" w:eastAsiaTheme="majorEastAsia" w:cstheme="majorEastAsia"/>
          <w:spacing w:val="10"/>
          <w:position w:val="1"/>
          <w:sz w:val="21"/>
          <w:szCs w:val="21"/>
          <w:highlight w:val="none"/>
          <w:lang w:val="en-US" w:eastAsia="zh-CN"/>
        </w:rPr>
        <w:t>3.2考核标准：</w:t>
      </w:r>
    </w:p>
    <w:p w14:paraId="71D430BB">
      <w:pPr>
        <w:pStyle w:val="11"/>
        <w:keepNext w:val="0"/>
        <w:keepLines w:val="0"/>
        <w:pageBreakBefore w:val="0"/>
        <w:numPr>
          <w:ilvl w:val="0"/>
          <w:numId w:val="0"/>
        </w:numPr>
        <w:kinsoku/>
        <w:wordWrap/>
        <w:overflowPunct/>
        <w:topLinePunct w:val="0"/>
        <w:autoSpaceDE/>
        <w:autoSpaceDN/>
        <w:bidi w:val="0"/>
        <w:adjustRightInd/>
        <w:snapToGrid/>
        <w:spacing w:line="360" w:lineRule="auto"/>
        <w:ind w:firstLine="460" w:firstLineChars="200"/>
        <w:textAlignment w:val="auto"/>
        <w:rPr>
          <w:rFonts w:hint="eastAsia" w:asciiTheme="majorEastAsia" w:hAnsiTheme="majorEastAsia" w:eastAsiaTheme="majorEastAsia" w:cstheme="majorEastAsia"/>
          <w:spacing w:val="10"/>
          <w:position w:val="1"/>
          <w:sz w:val="21"/>
          <w:szCs w:val="21"/>
          <w:highlight w:val="none"/>
          <w:lang w:val="en-US" w:eastAsia="zh-CN"/>
        </w:rPr>
      </w:pPr>
      <w:r>
        <w:rPr>
          <w:rFonts w:hint="eastAsia" w:asciiTheme="majorEastAsia" w:hAnsiTheme="majorEastAsia" w:eastAsiaTheme="majorEastAsia" w:cstheme="majorEastAsia"/>
          <w:spacing w:val="10"/>
          <w:position w:val="1"/>
          <w:sz w:val="21"/>
          <w:szCs w:val="21"/>
          <w:highlight w:val="none"/>
          <w:lang w:val="en-US" w:eastAsia="zh-CN"/>
        </w:rPr>
        <w:t>从承包人知道或应该知道时间算起，60分钟内承包人的应急处置人员到达现场和开始处理，处置措施规范有效，及时抢通。</w:t>
      </w:r>
      <w:r>
        <w:rPr>
          <w:rFonts w:hint="eastAsia" w:asciiTheme="majorEastAsia" w:hAnsiTheme="majorEastAsia" w:eastAsiaTheme="majorEastAsia" w:cstheme="majorEastAsia"/>
          <w:spacing w:val="10"/>
          <w:position w:val="1"/>
          <w:sz w:val="21"/>
          <w:szCs w:val="21"/>
          <w:highlight w:val="none"/>
        </w:rPr>
        <w:t>清理所有单处5m³以内塌方</w:t>
      </w:r>
      <w:r>
        <w:rPr>
          <w:rFonts w:hint="eastAsia" w:asciiTheme="majorEastAsia" w:hAnsiTheme="majorEastAsia" w:eastAsiaTheme="majorEastAsia" w:cstheme="majorEastAsia"/>
          <w:spacing w:val="10"/>
          <w:position w:val="1"/>
          <w:sz w:val="21"/>
          <w:szCs w:val="21"/>
          <w:highlight w:val="none"/>
          <w:lang w:eastAsia="zh-CN"/>
        </w:rPr>
        <w:t>、</w:t>
      </w:r>
      <w:r>
        <w:rPr>
          <w:rFonts w:hint="eastAsia" w:asciiTheme="majorEastAsia" w:hAnsiTheme="majorEastAsia" w:eastAsiaTheme="majorEastAsia" w:cstheme="majorEastAsia"/>
          <w:spacing w:val="10"/>
          <w:position w:val="1"/>
          <w:sz w:val="21"/>
          <w:szCs w:val="21"/>
          <w:highlight w:val="none"/>
        </w:rPr>
        <w:t>落石</w:t>
      </w:r>
      <w:r>
        <w:rPr>
          <w:rFonts w:hint="eastAsia" w:asciiTheme="majorEastAsia" w:hAnsiTheme="majorEastAsia" w:eastAsiaTheme="majorEastAsia" w:cstheme="majorEastAsia"/>
          <w:spacing w:val="10"/>
          <w:position w:val="1"/>
          <w:sz w:val="21"/>
          <w:szCs w:val="21"/>
          <w:highlight w:val="none"/>
          <w:lang w:val="en-US" w:eastAsia="zh-CN"/>
        </w:rPr>
        <w:t>和上边坡危石</w:t>
      </w:r>
      <w:r>
        <w:rPr>
          <w:rFonts w:hint="eastAsia" w:asciiTheme="majorEastAsia" w:hAnsiTheme="majorEastAsia" w:eastAsiaTheme="majorEastAsia" w:cstheme="majorEastAsia"/>
          <w:spacing w:val="10"/>
          <w:position w:val="1"/>
          <w:sz w:val="21"/>
          <w:szCs w:val="21"/>
          <w:highlight w:val="none"/>
        </w:rPr>
        <w:t>，清理所有胸径小于</w:t>
      </w:r>
      <w:r>
        <w:rPr>
          <w:rFonts w:hint="eastAsia" w:asciiTheme="majorEastAsia" w:hAnsiTheme="majorEastAsia" w:eastAsiaTheme="majorEastAsia" w:cstheme="majorEastAsia"/>
          <w:spacing w:val="10"/>
          <w:position w:val="1"/>
          <w:sz w:val="21"/>
          <w:szCs w:val="21"/>
          <w:highlight w:val="none"/>
          <w:lang w:val="en-US" w:eastAsia="zh-CN"/>
        </w:rPr>
        <w:t>1</w:t>
      </w:r>
      <w:r>
        <w:rPr>
          <w:rFonts w:hint="eastAsia" w:asciiTheme="majorEastAsia" w:hAnsiTheme="majorEastAsia" w:eastAsiaTheme="majorEastAsia" w:cstheme="majorEastAsia"/>
          <w:spacing w:val="10"/>
          <w:position w:val="1"/>
          <w:sz w:val="21"/>
          <w:szCs w:val="21"/>
          <w:highlight w:val="none"/>
        </w:rPr>
        <w:t>0cm以内倒伏路树，防汛疏通排水，清理所有单处400㎡以内路面洒落物，交通事故清障，防汛</w:t>
      </w:r>
      <w:r>
        <w:rPr>
          <w:rFonts w:hint="eastAsia" w:asciiTheme="majorEastAsia" w:hAnsiTheme="majorEastAsia" w:eastAsiaTheme="majorEastAsia" w:cstheme="majorEastAsia"/>
          <w:spacing w:val="10"/>
          <w:position w:val="1"/>
          <w:sz w:val="21"/>
          <w:szCs w:val="21"/>
          <w:highlight w:val="none"/>
          <w:lang w:val="en-US" w:eastAsia="zh-CN"/>
        </w:rPr>
        <w:t>临时</w:t>
      </w:r>
      <w:r>
        <w:rPr>
          <w:rFonts w:hint="eastAsia" w:asciiTheme="majorEastAsia" w:hAnsiTheme="majorEastAsia" w:eastAsiaTheme="majorEastAsia" w:cstheme="majorEastAsia"/>
          <w:spacing w:val="10"/>
          <w:position w:val="1"/>
          <w:sz w:val="21"/>
          <w:szCs w:val="21"/>
          <w:highlight w:val="none"/>
        </w:rPr>
        <w:t>排水，涉路管线倒伏隐患清理，路侧护栏损坏临时防护</w:t>
      </w:r>
      <w:r>
        <w:rPr>
          <w:rFonts w:hint="eastAsia" w:asciiTheme="majorEastAsia" w:hAnsiTheme="majorEastAsia" w:eastAsiaTheme="majorEastAsia" w:cstheme="majorEastAsia"/>
          <w:spacing w:val="10"/>
          <w:position w:val="1"/>
          <w:sz w:val="21"/>
          <w:szCs w:val="21"/>
          <w:highlight w:val="none"/>
          <w:lang w:val="en-US" w:eastAsia="zh-CN"/>
        </w:rPr>
        <w:t>警示</w:t>
      </w:r>
      <w:r>
        <w:rPr>
          <w:rFonts w:hint="eastAsia" w:asciiTheme="majorEastAsia" w:hAnsiTheme="majorEastAsia" w:eastAsiaTheme="majorEastAsia" w:cstheme="majorEastAsia"/>
          <w:spacing w:val="10"/>
          <w:position w:val="1"/>
          <w:sz w:val="21"/>
          <w:szCs w:val="21"/>
          <w:highlight w:val="none"/>
        </w:rPr>
        <w:t>，桥梁涵洞垮塌、隧道坍塌临时</w:t>
      </w:r>
      <w:r>
        <w:rPr>
          <w:rFonts w:hint="eastAsia" w:asciiTheme="majorEastAsia" w:hAnsiTheme="majorEastAsia" w:eastAsiaTheme="majorEastAsia" w:cstheme="majorEastAsia"/>
          <w:spacing w:val="10"/>
          <w:position w:val="1"/>
          <w:sz w:val="21"/>
          <w:szCs w:val="21"/>
          <w:highlight w:val="none"/>
          <w:lang w:val="en-US" w:eastAsia="zh-CN"/>
        </w:rPr>
        <w:t>警示</w:t>
      </w:r>
      <w:r>
        <w:rPr>
          <w:rFonts w:hint="eastAsia" w:asciiTheme="majorEastAsia" w:hAnsiTheme="majorEastAsia" w:eastAsiaTheme="majorEastAsia" w:cstheme="majorEastAsia"/>
          <w:spacing w:val="10"/>
          <w:position w:val="1"/>
          <w:sz w:val="21"/>
          <w:szCs w:val="21"/>
          <w:highlight w:val="none"/>
        </w:rPr>
        <w:t>处置，以及突发事件或灾害事件的现场警示、管控、维护、值守等。</w:t>
      </w:r>
      <w:r>
        <w:rPr>
          <w:rFonts w:hint="eastAsia" w:asciiTheme="majorEastAsia" w:hAnsiTheme="majorEastAsia" w:eastAsiaTheme="majorEastAsia" w:cstheme="majorEastAsia"/>
          <w:spacing w:val="10"/>
          <w:position w:val="1"/>
          <w:sz w:val="21"/>
          <w:szCs w:val="21"/>
          <w:highlight w:val="none"/>
          <w:lang w:val="en-US" w:eastAsia="zh-CN"/>
        </w:rPr>
        <w:t>出现交通管制后，安排专人值守至恢复通车或临时道路开通。存在安全隐患的在完全治理前保持警示和管控。</w:t>
      </w:r>
    </w:p>
    <w:p w14:paraId="0CCCD0BE">
      <w:pPr>
        <w:pStyle w:val="11"/>
        <w:keepNext w:val="0"/>
        <w:keepLines w:val="0"/>
        <w:pageBreakBefore w:val="0"/>
        <w:numPr>
          <w:ilvl w:val="0"/>
          <w:numId w:val="0"/>
        </w:numPr>
        <w:kinsoku/>
        <w:wordWrap/>
        <w:overflowPunct/>
        <w:topLinePunct w:val="0"/>
        <w:autoSpaceDE/>
        <w:autoSpaceDN/>
        <w:bidi w:val="0"/>
        <w:adjustRightInd/>
        <w:snapToGrid/>
        <w:spacing w:line="360" w:lineRule="auto"/>
        <w:ind w:firstLine="460" w:firstLineChars="200"/>
        <w:textAlignment w:val="auto"/>
        <w:rPr>
          <w:rFonts w:hint="eastAsia" w:asciiTheme="majorEastAsia" w:hAnsiTheme="majorEastAsia" w:eastAsiaTheme="majorEastAsia" w:cstheme="majorEastAsia"/>
          <w:spacing w:val="10"/>
          <w:position w:val="1"/>
          <w:sz w:val="21"/>
          <w:szCs w:val="21"/>
          <w:highlight w:val="none"/>
          <w:lang w:val="en-US" w:eastAsia="zh-CN"/>
        </w:rPr>
      </w:pPr>
      <w:r>
        <w:rPr>
          <w:rFonts w:hint="eastAsia" w:asciiTheme="majorEastAsia" w:hAnsiTheme="majorEastAsia" w:eastAsiaTheme="majorEastAsia" w:cstheme="majorEastAsia"/>
          <w:spacing w:val="10"/>
          <w:position w:val="1"/>
          <w:sz w:val="21"/>
          <w:szCs w:val="21"/>
          <w:highlight w:val="none"/>
          <w:lang w:val="en-US" w:eastAsia="zh-CN"/>
        </w:rPr>
        <w:t>未组织出动处置险情的扣5分</w:t>
      </w:r>
    </w:p>
    <w:p w14:paraId="1C937C75">
      <w:pPr>
        <w:pStyle w:val="11"/>
        <w:keepNext w:val="0"/>
        <w:keepLines w:val="0"/>
        <w:pageBreakBefore w:val="0"/>
        <w:numPr>
          <w:ilvl w:val="0"/>
          <w:numId w:val="0"/>
        </w:numPr>
        <w:kinsoku/>
        <w:wordWrap/>
        <w:overflowPunct/>
        <w:topLinePunct w:val="0"/>
        <w:autoSpaceDE/>
        <w:autoSpaceDN/>
        <w:bidi w:val="0"/>
        <w:adjustRightInd/>
        <w:snapToGrid/>
        <w:spacing w:line="360" w:lineRule="auto"/>
        <w:ind w:firstLine="460" w:firstLineChars="200"/>
        <w:textAlignment w:val="auto"/>
        <w:rPr>
          <w:rFonts w:hint="eastAsia" w:asciiTheme="majorEastAsia" w:hAnsiTheme="majorEastAsia" w:eastAsiaTheme="majorEastAsia" w:cstheme="majorEastAsia"/>
          <w:spacing w:val="10"/>
          <w:position w:val="1"/>
          <w:sz w:val="21"/>
          <w:szCs w:val="21"/>
          <w:highlight w:val="none"/>
          <w:lang w:val="en-US" w:eastAsia="zh-CN"/>
        </w:rPr>
      </w:pPr>
      <w:r>
        <w:rPr>
          <w:rFonts w:hint="eastAsia" w:asciiTheme="majorEastAsia" w:hAnsiTheme="majorEastAsia" w:eastAsiaTheme="majorEastAsia" w:cstheme="majorEastAsia"/>
          <w:spacing w:val="10"/>
          <w:position w:val="1"/>
          <w:sz w:val="21"/>
          <w:szCs w:val="21"/>
          <w:highlight w:val="none"/>
          <w:lang w:val="en-US" w:eastAsia="zh-CN"/>
        </w:rPr>
        <w:t>处置不及时、不到位，造成不良影响的，每次扣0.2分；不按规定时间完工，扣0.2分；处置不力被上级通报批评的，每次扣0.5分。</w:t>
      </w:r>
    </w:p>
    <w:p w14:paraId="4A6B9E86">
      <w:pPr>
        <w:pStyle w:val="11"/>
        <w:keepNext w:val="0"/>
        <w:keepLines w:val="0"/>
        <w:pageBreakBefore w:val="0"/>
        <w:numPr>
          <w:ilvl w:val="0"/>
          <w:numId w:val="0"/>
        </w:numPr>
        <w:kinsoku/>
        <w:wordWrap/>
        <w:overflowPunct/>
        <w:topLinePunct w:val="0"/>
        <w:autoSpaceDE/>
        <w:autoSpaceDN/>
        <w:bidi w:val="0"/>
        <w:adjustRightInd/>
        <w:snapToGrid/>
        <w:spacing w:line="360" w:lineRule="auto"/>
        <w:ind w:firstLine="460" w:firstLineChars="200"/>
        <w:textAlignment w:val="auto"/>
        <w:rPr>
          <w:rFonts w:hint="eastAsia" w:asciiTheme="majorEastAsia" w:hAnsiTheme="majorEastAsia" w:eastAsiaTheme="majorEastAsia" w:cstheme="majorEastAsia"/>
          <w:spacing w:val="10"/>
          <w:position w:val="1"/>
          <w:sz w:val="21"/>
          <w:szCs w:val="21"/>
          <w:highlight w:val="none"/>
          <w:lang w:val="en-US" w:eastAsia="zh-CN"/>
        </w:rPr>
      </w:pPr>
      <w:r>
        <w:rPr>
          <w:rFonts w:hint="eastAsia" w:asciiTheme="majorEastAsia" w:hAnsiTheme="majorEastAsia" w:eastAsiaTheme="majorEastAsia" w:cstheme="majorEastAsia"/>
          <w:spacing w:val="10"/>
          <w:position w:val="1"/>
          <w:sz w:val="21"/>
          <w:szCs w:val="21"/>
          <w:highlight w:val="none"/>
          <w:lang w:val="en-US" w:eastAsia="zh-CN"/>
        </w:rPr>
        <w:t>未</w:t>
      </w:r>
      <w:r>
        <w:rPr>
          <w:rFonts w:hint="eastAsia" w:asciiTheme="majorEastAsia" w:hAnsiTheme="majorEastAsia" w:eastAsiaTheme="majorEastAsia" w:cstheme="majorEastAsia"/>
          <w:spacing w:val="10"/>
          <w:position w:val="1"/>
          <w:sz w:val="21"/>
          <w:szCs w:val="21"/>
          <w:highlight w:val="none"/>
        </w:rPr>
        <w:t>清理单处5m³以内塌方</w:t>
      </w:r>
      <w:r>
        <w:rPr>
          <w:rFonts w:hint="eastAsia" w:asciiTheme="majorEastAsia" w:hAnsiTheme="majorEastAsia" w:eastAsiaTheme="majorEastAsia" w:cstheme="majorEastAsia"/>
          <w:spacing w:val="10"/>
          <w:position w:val="1"/>
          <w:sz w:val="21"/>
          <w:szCs w:val="21"/>
          <w:highlight w:val="none"/>
          <w:lang w:eastAsia="zh-CN"/>
        </w:rPr>
        <w:t>、</w:t>
      </w:r>
      <w:r>
        <w:rPr>
          <w:rFonts w:hint="eastAsia" w:asciiTheme="majorEastAsia" w:hAnsiTheme="majorEastAsia" w:eastAsiaTheme="majorEastAsia" w:cstheme="majorEastAsia"/>
          <w:spacing w:val="10"/>
          <w:position w:val="1"/>
          <w:sz w:val="21"/>
          <w:szCs w:val="21"/>
          <w:highlight w:val="none"/>
        </w:rPr>
        <w:t>落石</w:t>
      </w:r>
      <w:r>
        <w:rPr>
          <w:rFonts w:hint="eastAsia" w:asciiTheme="majorEastAsia" w:hAnsiTheme="majorEastAsia" w:eastAsiaTheme="majorEastAsia" w:cstheme="majorEastAsia"/>
          <w:spacing w:val="10"/>
          <w:position w:val="1"/>
          <w:sz w:val="21"/>
          <w:szCs w:val="21"/>
          <w:highlight w:val="none"/>
          <w:lang w:val="en-US" w:eastAsia="zh-CN"/>
        </w:rPr>
        <w:t>的每处扣0.5分</w:t>
      </w:r>
      <w:r>
        <w:rPr>
          <w:rFonts w:hint="eastAsia" w:asciiTheme="majorEastAsia" w:hAnsiTheme="majorEastAsia" w:eastAsiaTheme="majorEastAsia" w:cstheme="majorEastAsia"/>
          <w:spacing w:val="10"/>
          <w:position w:val="1"/>
          <w:sz w:val="21"/>
          <w:szCs w:val="21"/>
          <w:highlight w:val="none"/>
        </w:rPr>
        <w:t>，</w:t>
      </w:r>
      <w:r>
        <w:rPr>
          <w:rFonts w:hint="eastAsia" w:asciiTheme="majorEastAsia" w:hAnsiTheme="majorEastAsia" w:eastAsiaTheme="majorEastAsia" w:cstheme="majorEastAsia"/>
          <w:spacing w:val="10"/>
          <w:position w:val="1"/>
          <w:sz w:val="21"/>
          <w:szCs w:val="21"/>
          <w:highlight w:val="none"/>
          <w:lang w:val="en-US" w:eastAsia="zh-CN"/>
        </w:rPr>
        <w:t>未</w:t>
      </w:r>
      <w:r>
        <w:rPr>
          <w:rFonts w:hint="eastAsia" w:asciiTheme="majorEastAsia" w:hAnsiTheme="majorEastAsia" w:eastAsiaTheme="majorEastAsia" w:cstheme="majorEastAsia"/>
          <w:spacing w:val="10"/>
          <w:position w:val="1"/>
          <w:sz w:val="21"/>
          <w:szCs w:val="21"/>
          <w:highlight w:val="none"/>
        </w:rPr>
        <w:t>清理胸径小于</w:t>
      </w:r>
      <w:r>
        <w:rPr>
          <w:rFonts w:hint="eastAsia" w:asciiTheme="majorEastAsia" w:hAnsiTheme="majorEastAsia" w:eastAsiaTheme="majorEastAsia" w:cstheme="majorEastAsia"/>
          <w:spacing w:val="10"/>
          <w:position w:val="1"/>
          <w:sz w:val="21"/>
          <w:szCs w:val="21"/>
          <w:highlight w:val="none"/>
          <w:lang w:val="en-US" w:eastAsia="zh-CN"/>
        </w:rPr>
        <w:t>1</w:t>
      </w:r>
      <w:r>
        <w:rPr>
          <w:rFonts w:hint="eastAsia" w:asciiTheme="majorEastAsia" w:hAnsiTheme="majorEastAsia" w:eastAsiaTheme="majorEastAsia" w:cstheme="majorEastAsia"/>
          <w:spacing w:val="10"/>
          <w:position w:val="1"/>
          <w:sz w:val="21"/>
          <w:szCs w:val="21"/>
          <w:highlight w:val="none"/>
        </w:rPr>
        <w:t>0cm以内倒伏路树</w:t>
      </w:r>
      <w:r>
        <w:rPr>
          <w:rFonts w:hint="eastAsia" w:asciiTheme="majorEastAsia" w:hAnsiTheme="majorEastAsia" w:eastAsiaTheme="majorEastAsia" w:cstheme="majorEastAsia"/>
          <w:spacing w:val="10"/>
          <w:position w:val="1"/>
          <w:sz w:val="21"/>
          <w:szCs w:val="21"/>
          <w:highlight w:val="none"/>
          <w:lang w:val="en-US" w:eastAsia="zh-CN"/>
        </w:rPr>
        <w:t>每处扣0.5分</w:t>
      </w:r>
      <w:r>
        <w:rPr>
          <w:rFonts w:hint="eastAsia" w:asciiTheme="majorEastAsia" w:hAnsiTheme="majorEastAsia" w:eastAsiaTheme="majorEastAsia" w:cstheme="majorEastAsia"/>
          <w:spacing w:val="10"/>
          <w:position w:val="1"/>
          <w:sz w:val="21"/>
          <w:szCs w:val="21"/>
          <w:highlight w:val="none"/>
        </w:rPr>
        <w:t>，</w:t>
      </w:r>
      <w:r>
        <w:rPr>
          <w:rFonts w:hint="eastAsia" w:asciiTheme="majorEastAsia" w:hAnsiTheme="majorEastAsia" w:eastAsiaTheme="majorEastAsia" w:cstheme="majorEastAsia"/>
          <w:spacing w:val="10"/>
          <w:position w:val="1"/>
          <w:sz w:val="21"/>
          <w:szCs w:val="21"/>
          <w:highlight w:val="none"/>
          <w:lang w:val="en-US" w:eastAsia="zh-CN"/>
        </w:rPr>
        <w:t>未</w:t>
      </w:r>
      <w:r>
        <w:rPr>
          <w:rFonts w:hint="eastAsia" w:asciiTheme="majorEastAsia" w:hAnsiTheme="majorEastAsia" w:eastAsiaTheme="majorEastAsia" w:cstheme="majorEastAsia"/>
          <w:spacing w:val="10"/>
          <w:position w:val="1"/>
          <w:sz w:val="21"/>
          <w:szCs w:val="21"/>
          <w:highlight w:val="none"/>
        </w:rPr>
        <w:t>疏通排水</w:t>
      </w:r>
      <w:r>
        <w:rPr>
          <w:rFonts w:hint="eastAsia" w:asciiTheme="majorEastAsia" w:hAnsiTheme="majorEastAsia" w:eastAsiaTheme="majorEastAsia" w:cstheme="majorEastAsia"/>
          <w:spacing w:val="10"/>
          <w:position w:val="1"/>
          <w:sz w:val="21"/>
          <w:szCs w:val="21"/>
          <w:highlight w:val="none"/>
          <w:lang w:val="en-US" w:eastAsia="zh-CN"/>
        </w:rPr>
        <w:t>存在水过路面的每处扣0.5分</w:t>
      </w:r>
      <w:r>
        <w:rPr>
          <w:rFonts w:hint="eastAsia" w:asciiTheme="majorEastAsia" w:hAnsiTheme="majorEastAsia" w:eastAsiaTheme="majorEastAsia" w:cstheme="majorEastAsia"/>
          <w:spacing w:val="10"/>
          <w:position w:val="1"/>
          <w:sz w:val="21"/>
          <w:szCs w:val="21"/>
          <w:highlight w:val="none"/>
        </w:rPr>
        <w:t>，</w:t>
      </w:r>
      <w:r>
        <w:rPr>
          <w:rFonts w:hint="eastAsia" w:asciiTheme="majorEastAsia" w:hAnsiTheme="majorEastAsia" w:eastAsiaTheme="majorEastAsia" w:cstheme="majorEastAsia"/>
          <w:spacing w:val="10"/>
          <w:position w:val="1"/>
          <w:sz w:val="21"/>
          <w:szCs w:val="21"/>
          <w:highlight w:val="none"/>
          <w:lang w:val="en-US" w:eastAsia="zh-CN"/>
        </w:rPr>
        <w:t>未</w:t>
      </w:r>
      <w:r>
        <w:rPr>
          <w:rFonts w:hint="eastAsia" w:asciiTheme="majorEastAsia" w:hAnsiTheme="majorEastAsia" w:eastAsiaTheme="majorEastAsia" w:cstheme="majorEastAsia"/>
          <w:spacing w:val="10"/>
          <w:position w:val="1"/>
          <w:sz w:val="21"/>
          <w:szCs w:val="21"/>
          <w:highlight w:val="none"/>
        </w:rPr>
        <w:t>清理单处400㎡以内路面洒落物</w:t>
      </w:r>
      <w:r>
        <w:rPr>
          <w:rFonts w:hint="eastAsia" w:asciiTheme="majorEastAsia" w:hAnsiTheme="majorEastAsia" w:eastAsiaTheme="majorEastAsia" w:cstheme="majorEastAsia"/>
          <w:spacing w:val="10"/>
          <w:position w:val="1"/>
          <w:sz w:val="21"/>
          <w:szCs w:val="21"/>
          <w:highlight w:val="none"/>
          <w:lang w:val="en-US" w:eastAsia="zh-CN"/>
        </w:rPr>
        <w:t>的每处扣0.5分</w:t>
      </w:r>
      <w:r>
        <w:rPr>
          <w:rFonts w:hint="eastAsia" w:asciiTheme="majorEastAsia" w:hAnsiTheme="majorEastAsia" w:eastAsiaTheme="majorEastAsia" w:cstheme="majorEastAsia"/>
          <w:spacing w:val="10"/>
          <w:position w:val="1"/>
          <w:sz w:val="21"/>
          <w:szCs w:val="21"/>
          <w:highlight w:val="none"/>
        </w:rPr>
        <w:t>，</w:t>
      </w:r>
      <w:r>
        <w:rPr>
          <w:rFonts w:hint="eastAsia" w:asciiTheme="majorEastAsia" w:hAnsiTheme="majorEastAsia" w:eastAsiaTheme="majorEastAsia" w:cstheme="majorEastAsia"/>
          <w:spacing w:val="10"/>
          <w:position w:val="1"/>
          <w:sz w:val="21"/>
          <w:szCs w:val="21"/>
          <w:highlight w:val="none"/>
          <w:lang w:val="en-US" w:eastAsia="zh-CN"/>
        </w:rPr>
        <w:t>未进行</w:t>
      </w:r>
      <w:r>
        <w:rPr>
          <w:rFonts w:hint="eastAsia" w:asciiTheme="majorEastAsia" w:hAnsiTheme="majorEastAsia" w:eastAsiaTheme="majorEastAsia" w:cstheme="majorEastAsia"/>
          <w:spacing w:val="10"/>
          <w:position w:val="1"/>
          <w:sz w:val="21"/>
          <w:szCs w:val="21"/>
          <w:highlight w:val="none"/>
        </w:rPr>
        <w:t>交通事故清障</w:t>
      </w:r>
      <w:r>
        <w:rPr>
          <w:rFonts w:hint="eastAsia" w:asciiTheme="majorEastAsia" w:hAnsiTheme="majorEastAsia" w:eastAsiaTheme="majorEastAsia" w:cstheme="majorEastAsia"/>
          <w:spacing w:val="10"/>
          <w:position w:val="1"/>
          <w:sz w:val="21"/>
          <w:szCs w:val="21"/>
          <w:highlight w:val="none"/>
          <w:lang w:val="en-US" w:eastAsia="zh-CN"/>
        </w:rPr>
        <w:t>每次扣0.5分。</w:t>
      </w:r>
    </w:p>
    <w:p w14:paraId="1ADCE543">
      <w:pPr>
        <w:pStyle w:val="11"/>
        <w:keepNext w:val="0"/>
        <w:keepLines w:val="0"/>
        <w:pageBreakBefore w:val="0"/>
        <w:numPr>
          <w:ilvl w:val="0"/>
          <w:numId w:val="0"/>
        </w:numPr>
        <w:kinsoku/>
        <w:wordWrap/>
        <w:overflowPunct/>
        <w:topLinePunct w:val="0"/>
        <w:autoSpaceDE/>
        <w:autoSpaceDN/>
        <w:bidi w:val="0"/>
        <w:adjustRightInd/>
        <w:snapToGrid/>
        <w:spacing w:line="360" w:lineRule="auto"/>
        <w:ind w:firstLine="460" w:firstLineChars="200"/>
        <w:textAlignment w:val="auto"/>
        <w:rPr>
          <w:rFonts w:hint="eastAsia" w:asciiTheme="majorEastAsia" w:hAnsiTheme="majorEastAsia" w:eastAsiaTheme="majorEastAsia" w:cstheme="majorEastAsia"/>
          <w:spacing w:val="10"/>
          <w:position w:val="1"/>
          <w:sz w:val="21"/>
          <w:szCs w:val="21"/>
          <w:highlight w:val="none"/>
          <w:lang w:val="en-US" w:eastAsia="zh-CN"/>
        </w:rPr>
      </w:pPr>
      <w:r>
        <w:rPr>
          <w:rFonts w:hint="eastAsia" w:asciiTheme="majorEastAsia" w:hAnsiTheme="majorEastAsia" w:eastAsiaTheme="majorEastAsia" w:cstheme="majorEastAsia"/>
          <w:spacing w:val="10"/>
          <w:position w:val="1"/>
          <w:sz w:val="21"/>
          <w:szCs w:val="21"/>
          <w:highlight w:val="none"/>
          <w:lang w:val="en-US" w:eastAsia="zh-CN"/>
        </w:rPr>
        <w:t xml:space="preserve">交通管制须值守的未安排专人值守的每次扣0.5分，安排了人员但未有效在岗或未履行值守职责的每人次扣0.5分。 </w:t>
      </w:r>
    </w:p>
    <w:p w14:paraId="1F5466EB">
      <w:pPr>
        <w:pStyle w:val="11"/>
        <w:keepNext w:val="0"/>
        <w:keepLines w:val="0"/>
        <w:pageBreakBefore w:val="0"/>
        <w:numPr>
          <w:ilvl w:val="0"/>
          <w:numId w:val="0"/>
        </w:numPr>
        <w:kinsoku/>
        <w:wordWrap/>
        <w:overflowPunct/>
        <w:topLinePunct w:val="0"/>
        <w:autoSpaceDE/>
        <w:autoSpaceDN/>
        <w:bidi w:val="0"/>
        <w:adjustRightInd/>
        <w:snapToGrid/>
        <w:spacing w:line="360" w:lineRule="auto"/>
        <w:ind w:firstLine="460" w:firstLineChars="200"/>
        <w:textAlignment w:val="auto"/>
        <w:rPr>
          <w:rFonts w:hint="eastAsia" w:asciiTheme="majorEastAsia" w:hAnsiTheme="majorEastAsia" w:eastAsiaTheme="majorEastAsia" w:cstheme="majorEastAsia"/>
          <w:spacing w:val="10"/>
          <w:position w:val="1"/>
          <w:sz w:val="21"/>
          <w:szCs w:val="21"/>
          <w:highlight w:val="none"/>
          <w:lang w:val="en-US" w:eastAsia="zh-CN"/>
        </w:rPr>
      </w:pPr>
      <w:r>
        <w:rPr>
          <w:rFonts w:hint="eastAsia" w:asciiTheme="majorEastAsia" w:hAnsiTheme="majorEastAsia" w:eastAsiaTheme="majorEastAsia" w:cstheme="majorEastAsia"/>
          <w:spacing w:val="10"/>
          <w:position w:val="1"/>
          <w:sz w:val="21"/>
          <w:szCs w:val="21"/>
          <w:highlight w:val="none"/>
          <w:lang w:val="en-US" w:eastAsia="zh-CN"/>
        </w:rPr>
        <w:t>交通中断后60分钟内未完成现场管控和设置警示扣0.5分；</w:t>
      </w:r>
    </w:p>
    <w:p w14:paraId="0E0E7D2E">
      <w:pPr>
        <w:pStyle w:val="11"/>
        <w:keepNext w:val="0"/>
        <w:keepLines w:val="0"/>
        <w:pageBreakBefore w:val="0"/>
        <w:numPr>
          <w:ilvl w:val="0"/>
          <w:numId w:val="0"/>
        </w:numPr>
        <w:kinsoku/>
        <w:wordWrap/>
        <w:overflowPunct/>
        <w:topLinePunct w:val="0"/>
        <w:autoSpaceDE/>
        <w:autoSpaceDN/>
        <w:bidi w:val="0"/>
        <w:adjustRightInd/>
        <w:snapToGrid/>
        <w:spacing w:line="360" w:lineRule="auto"/>
        <w:ind w:firstLine="460" w:firstLineChars="200"/>
        <w:textAlignment w:val="auto"/>
        <w:rPr>
          <w:rFonts w:hint="eastAsia" w:asciiTheme="majorEastAsia" w:hAnsiTheme="majorEastAsia" w:eastAsiaTheme="majorEastAsia" w:cstheme="majorEastAsia"/>
          <w:spacing w:val="10"/>
          <w:position w:val="1"/>
          <w:sz w:val="21"/>
          <w:szCs w:val="21"/>
          <w:highlight w:val="none"/>
        </w:rPr>
      </w:pPr>
      <w:r>
        <w:rPr>
          <w:rFonts w:hint="eastAsia" w:asciiTheme="majorEastAsia" w:hAnsiTheme="majorEastAsia" w:eastAsiaTheme="majorEastAsia" w:cstheme="majorEastAsia"/>
          <w:spacing w:val="10"/>
          <w:position w:val="1"/>
          <w:sz w:val="21"/>
          <w:szCs w:val="21"/>
          <w:highlight w:val="none"/>
          <w:lang w:val="en-US" w:eastAsia="zh-CN"/>
        </w:rPr>
        <w:t>应急处置路段未有效警示和管控的每次扣1分，警示标志缺损未更新维护的每次扣0.2分。</w:t>
      </w:r>
    </w:p>
    <w:p w14:paraId="1AD22A12">
      <w:pPr>
        <w:pStyle w:val="11"/>
        <w:keepNext w:val="0"/>
        <w:keepLines w:val="0"/>
        <w:pageBreakBefore w:val="0"/>
        <w:numPr>
          <w:ilvl w:val="0"/>
          <w:numId w:val="0"/>
        </w:numPr>
        <w:kinsoku/>
        <w:wordWrap/>
        <w:overflowPunct/>
        <w:topLinePunct w:val="0"/>
        <w:autoSpaceDE/>
        <w:autoSpaceDN/>
        <w:bidi w:val="0"/>
        <w:adjustRightInd/>
        <w:snapToGrid/>
        <w:spacing w:line="360" w:lineRule="auto"/>
        <w:ind w:firstLine="522" w:firstLineChars="200"/>
        <w:textAlignment w:val="auto"/>
        <w:rPr>
          <w:rFonts w:hint="eastAsia" w:asciiTheme="majorEastAsia" w:hAnsiTheme="majorEastAsia" w:eastAsiaTheme="majorEastAsia" w:cstheme="majorEastAsia"/>
          <w:b/>
          <w:bCs/>
          <w:spacing w:val="10"/>
          <w:position w:val="1"/>
          <w:sz w:val="24"/>
          <w:szCs w:val="24"/>
          <w:highlight w:val="none"/>
        </w:rPr>
      </w:pPr>
      <w:r>
        <w:rPr>
          <w:rFonts w:hint="eastAsia" w:asciiTheme="majorEastAsia" w:hAnsiTheme="majorEastAsia" w:eastAsiaTheme="majorEastAsia" w:cstheme="majorEastAsia"/>
          <w:b/>
          <w:bCs/>
          <w:spacing w:val="10"/>
          <w:position w:val="1"/>
          <w:sz w:val="24"/>
          <w:szCs w:val="24"/>
          <w:highlight w:val="none"/>
          <w:lang w:val="en-US" w:eastAsia="zh-CN"/>
        </w:rPr>
        <w:t>4.</w:t>
      </w:r>
      <w:r>
        <w:rPr>
          <w:rFonts w:hint="eastAsia" w:asciiTheme="majorEastAsia" w:hAnsiTheme="majorEastAsia" w:eastAsiaTheme="majorEastAsia" w:cstheme="majorEastAsia"/>
          <w:b/>
          <w:bCs/>
          <w:spacing w:val="10"/>
          <w:position w:val="1"/>
          <w:sz w:val="24"/>
          <w:szCs w:val="24"/>
          <w:highlight w:val="none"/>
        </w:rPr>
        <w:t>冬季除冰雪</w:t>
      </w:r>
    </w:p>
    <w:p w14:paraId="2D298C7E">
      <w:pPr>
        <w:pStyle w:val="11"/>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spacing w:val="10"/>
          <w:position w:val="1"/>
          <w:sz w:val="21"/>
          <w:szCs w:val="21"/>
          <w:highlight w:val="none"/>
          <w:lang w:val="en-US" w:eastAsia="zh-CN"/>
        </w:rPr>
      </w:pPr>
      <w:r>
        <w:rPr>
          <w:rFonts w:hint="eastAsia" w:asciiTheme="majorEastAsia" w:hAnsiTheme="majorEastAsia" w:eastAsiaTheme="majorEastAsia" w:cstheme="majorEastAsia"/>
          <w:spacing w:val="10"/>
          <w:position w:val="1"/>
          <w:sz w:val="21"/>
          <w:szCs w:val="21"/>
          <w:highlight w:val="none"/>
          <w:lang w:val="en-US" w:eastAsia="zh-CN"/>
        </w:rPr>
        <w:t xml:space="preserve">    4.1工作内容及要求</w:t>
      </w:r>
    </w:p>
    <w:p w14:paraId="4BEF9E70">
      <w:pPr>
        <w:keepNext w:val="0"/>
        <w:keepLines w:val="0"/>
        <w:pageBreakBefore w:val="0"/>
        <w:widowControl/>
        <w:tabs>
          <w:tab w:val="left" w:pos="0"/>
        </w:tabs>
        <w:kinsoku/>
        <w:wordWrap/>
        <w:overflowPunct/>
        <w:topLinePunct w:val="0"/>
        <w:autoSpaceDE/>
        <w:autoSpaceDN/>
        <w:bidi w:val="0"/>
        <w:adjustRightInd/>
        <w:snapToGrid/>
        <w:spacing w:line="360" w:lineRule="auto"/>
        <w:ind w:firstLine="420"/>
        <w:textAlignment w:val="auto"/>
        <w:rPr>
          <w:rFonts w:hint="eastAsia" w:asciiTheme="majorEastAsia" w:hAnsiTheme="majorEastAsia" w:eastAsiaTheme="majorEastAsia" w:cstheme="majorEastAsia"/>
          <w:sz w:val="21"/>
          <w:szCs w:val="21"/>
          <w:highlight w:val="none"/>
          <w:u w:val="none"/>
          <w:lang w:val="en-US" w:eastAsia="zh-CN"/>
        </w:rPr>
      </w:pPr>
      <w:r>
        <w:rPr>
          <w:rFonts w:hint="eastAsia" w:asciiTheme="majorEastAsia" w:hAnsiTheme="majorEastAsia" w:eastAsiaTheme="majorEastAsia" w:cstheme="majorEastAsia"/>
          <w:sz w:val="21"/>
          <w:szCs w:val="21"/>
          <w:highlight w:val="none"/>
          <w:lang w:val="en-US" w:eastAsia="zh-CN"/>
        </w:rPr>
        <w:t>要针对易结冰积雪路段制定具体方案，配备除冰雪的机械、物资和人员，主要做好预防性撒布融雪剂和道路积雪结冰后的铲雪或破冰融冰工作，以及</w:t>
      </w:r>
      <w:r>
        <w:rPr>
          <w:rFonts w:hint="eastAsia"/>
          <w:highlight w:val="none"/>
          <w:lang w:val="en-US" w:eastAsia="zh-CN"/>
        </w:rPr>
        <w:t>除冰雪前后的通行引导、现场警示、管控维护、现场值守等</w:t>
      </w:r>
      <w:r>
        <w:rPr>
          <w:rFonts w:hint="eastAsia" w:asciiTheme="majorEastAsia" w:hAnsiTheme="majorEastAsia" w:eastAsiaTheme="majorEastAsia" w:cstheme="majorEastAsia"/>
          <w:sz w:val="21"/>
          <w:szCs w:val="21"/>
          <w:highlight w:val="none"/>
          <w:lang w:val="en-US" w:eastAsia="zh-CN"/>
        </w:rPr>
        <w:t>。</w:t>
      </w:r>
    </w:p>
    <w:p w14:paraId="198E9858">
      <w:pPr>
        <w:keepNext w:val="0"/>
        <w:keepLines w:val="0"/>
        <w:pageBreakBefore w:val="0"/>
        <w:widowControl/>
        <w:tabs>
          <w:tab w:val="left" w:pos="0"/>
        </w:tabs>
        <w:kinsoku/>
        <w:wordWrap/>
        <w:overflowPunct/>
        <w:topLinePunct w:val="0"/>
        <w:autoSpaceDE/>
        <w:autoSpaceDN/>
        <w:bidi w:val="0"/>
        <w:adjustRightInd/>
        <w:snapToGrid/>
        <w:spacing w:line="360" w:lineRule="auto"/>
        <w:ind w:firstLine="420"/>
        <w:textAlignment w:val="auto"/>
        <w:rPr>
          <w:rFonts w:hint="eastAsia" w:asciiTheme="majorEastAsia" w:hAnsiTheme="majorEastAsia" w:eastAsiaTheme="majorEastAsia" w:cstheme="majorEastAsia"/>
          <w:sz w:val="21"/>
          <w:szCs w:val="21"/>
          <w:highlight w:val="none"/>
          <w:u w:val="none"/>
          <w:lang w:val="en-US" w:eastAsia="zh-CN"/>
        </w:rPr>
      </w:pPr>
      <w:r>
        <w:rPr>
          <w:rFonts w:hint="eastAsia" w:asciiTheme="majorEastAsia" w:hAnsiTheme="majorEastAsia" w:eastAsiaTheme="majorEastAsia" w:cstheme="majorEastAsia"/>
          <w:sz w:val="21"/>
          <w:szCs w:val="21"/>
          <w:highlight w:val="none"/>
          <w:u w:val="none"/>
          <w:lang w:val="en-US" w:eastAsia="zh-CN"/>
        </w:rPr>
        <w:t>4.2考核标准：</w:t>
      </w:r>
    </w:p>
    <w:p w14:paraId="7E1D1E74">
      <w:pPr>
        <w:keepNext w:val="0"/>
        <w:keepLines w:val="0"/>
        <w:pageBreakBefore w:val="0"/>
        <w:widowControl/>
        <w:tabs>
          <w:tab w:val="left" w:pos="0"/>
        </w:tabs>
        <w:kinsoku/>
        <w:wordWrap/>
        <w:overflowPunct/>
        <w:topLinePunct w:val="0"/>
        <w:autoSpaceDE/>
        <w:autoSpaceDN/>
        <w:bidi w:val="0"/>
        <w:adjustRightInd/>
        <w:snapToGrid/>
        <w:spacing w:line="360" w:lineRule="auto"/>
        <w:ind w:firstLine="420"/>
        <w:textAlignment w:val="auto"/>
        <w:rPr>
          <w:rFonts w:hint="eastAsia" w:asciiTheme="majorEastAsia" w:hAnsiTheme="majorEastAsia" w:eastAsiaTheme="majorEastAsia" w:cstheme="majorEastAsia"/>
          <w:sz w:val="21"/>
          <w:szCs w:val="21"/>
          <w:highlight w:val="none"/>
          <w:u w:val="none"/>
          <w:lang w:val="en-US" w:eastAsia="zh-CN"/>
        </w:rPr>
      </w:pPr>
      <w:r>
        <w:rPr>
          <w:rFonts w:hint="eastAsia" w:asciiTheme="majorEastAsia" w:hAnsiTheme="majorEastAsia" w:eastAsiaTheme="majorEastAsia" w:cstheme="majorEastAsia"/>
          <w:sz w:val="21"/>
          <w:szCs w:val="21"/>
          <w:highlight w:val="none"/>
          <w:u w:val="none"/>
          <w:lang w:val="en-US" w:eastAsia="zh-CN"/>
        </w:rPr>
        <w:t>发生冰雪情况时要按应急处置的工作要求开展处置和管控工作。</w:t>
      </w:r>
    </w:p>
    <w:p w14:paraId="76B8D19D">
      <w:pPr>
        <w:pStyle w:val="11"/>
        <w:keepNext w:val="0"/>
        <w:keepLines w:val="0"/>
        <w:pageBreakBefore w:val="0"/>
        <w:numPr>
          <w:ilvl w:val="0"/>
          <w:numId w:val="0"/>
        </w:numPr>
        <w:kinsoku/>
        <w:wordWrap/>
        <w:overflowPunct/>
        <w:topLinePunct w:val="0"/>
        <w:autoSpaceDE/>
        <w:autoSpaceDN/>
        <w:bidi w:val="0"/>
        <w:adjustRightInd/>
        <w:snapToGrid/>
        <w:spacing w:line="360" w:lineRule="auto"/>
        <w:ind w:firstLine="460" w:firstLineChars="200"/>
        <w:textAlignment w:val="auto"/>
        <w:rPr>
          <w:rFonts w:hint="eastAsia" w:asciiTheme="majorEastAsia" w:hAnsiTheme="majorEastAsia" w:eastAsiaTheme="majorEastAsia" w:cstheme="majorEastAsia"/>
          <w:spacing w:val="10"/>
          <w:position w:val="1"/>
          <w:sz w:val="21"/>
          <w:szCs w:val="21"/>
          <w:highlight w:val="none"/>
          <w:lang w:val="en-US" w:eastAsia="zh-CN"/>
        </w:rPr>
      </w:pPr>
      <w:r>
        <w:rPr>
          <w:rFonts w:hint="eastAsia" w:asciiTheme="majorEastAsia" w:hAnsiTheme="majorEastAsia" w:eastAsiaTheme="majorEastAsia" w:cstheme="majorEastAsia"/>
          <w:spacing w:val="10"/>
          <w:position w:val="1"/>
          <w:sz w:val="21"/>
          <w:szCs w:val="21"/>
          <w:highlight w:val="none"/>
          <w:lang w:val="en-US" w:eastAsia="zh-CN"/>
        </w:rPr>
        <w:t>未组织出动</w:t>
      </w:r>
      <w:r>
        <w:rPr>
          <w:rFonts w:hint="eastAsia" w:asciiTheme="majorEastAsia" w:hAnsiTheme="majorEastAsia" w:eastAsiaTheme="majorEastAsia" w:cstheme="majorEastAsia"/>
          <w:spacing w:val="10"/>
          <w:position w:val="1"/>
          <w:sz w:val="21"/>
          <w:szCs w:val="21"/>
          <w:highlight w:val="none"/>
        </w:rPr>
        <w:t>除冰雪</w:t>
      </w:r>
      <w:r>
        <w:rPr>
          <w:rFonts w:hint="eastAsia" w:asciiTheme="majorEastAsia" w:hAnsiTheme="majorEastAsia" w:eastAsiaTheme="majorEastAsia" w:cstheme="majorEastAsia"/>
          <w:spacing w:val="10"/>
          <w:position w:val="1"/>
          <w:sz w:val="21"/>
          <w:szCs w:val="21"/>
          <w:highlight w:val="none"/>
          <w:lang w:val="en-US" w:eastAsia="zh-CN"/>
        </w:rPr>
        <w:t>的扣5分</w:t>
      </w:r>
    </w:p>
    <w:p w14:paraId="5DF098B8">
      <w:pPr>
        <w:pStyle w:val="11"/>
        <w:keepNext w:val="0"/>
        <w:keepLines w:val="0"/>
        <w:pageBreakBefore w:val="0"/>
        <w:numPr>
          <w:ilvl w:val="0"/>
          <w:numId w:val="0"/>
        </w:numPr>
        <w:kinsoku/>
        <w:wordWrap/>
        <w:overflowPunct/>
        <w:topLinePunct w:val="0"/>
        <w:autoSpaceDE/>
        <w:autoSpaceDN/>
        <w:bidi w:val="0"/>
        <w:adjustRightInd/>
        <w:snapToGrid/>
        <w:spacing w:line="360" w:lineRule="auto"/>
        <w:ind w:firstLine="460" w:firstLineChars="200"/>
        <w:textAlignment w:val="auto"/>
        <w:rPr>
          <w:rFonts w:hint="eastAsia" w:asciiTheme="majorEastAsia" w:hAnsiTheme="majorEastAsia" w:eastAsiaTheme="majorEastAsia" w:cstheme="majorEastAsia"/>
          <w:spacing w:val="10"/>
          <w:position w:val="1"/>
          <w:sz w:val="21"/>
          <w:szCs w:val="21"/>
          <w:highlight w:val="none"/>
          <w:lang w:val="en-US" w:eastAsia="zh-CN"/>
        </w:rPr>
      </w:pPr>
      <w:r>
        <w:rPr>
          <w:rFonts w:hint="eastAsia" w:asciiTheme="majorEastAsia" w:hAnsiTheme="majorEastAsia" w:eastAsiaTheme="majorEastAsia" w:cstheme="majorEastAsia"/>
          <w:spacing w:val="10"/>
          <w:position w:val="1"/>
          <w:sz w:val="21"/>
          <w:szCs w:val="21"/>
          <w:highlight w:val="none"/>
          <w:lang w:val="en-US" w:eastAsia="zh-CN"/>
        </w:rPr>
        <w:t>处置不及时、不到位，造成不良影响的，每次扣0.2分；不按规定时间完工，扣0.2分；处置不力被上级通报批评的，每次扣0.5分。</w:t>
      </w:r>
    </w:p>
    <w:p w14:paraId="0A7CC680">
      <w:pPr>
        <w:pStyle w:val="11"/>
        <w:keepNext w:val="0"/>
        <w:keepLines w:val="0"/>
        <w:pageBreakBefore w:val="0"/>
        <w:numPr>
          <w:ilvl w:val="0"/>
          <w:numId w:val="0"/>
        </w:numPr>
        <w:kinsoku/>
        <w:wordWrap/>
        <w:overflowPunct/>
        <w:topLinePunct w:val="0"/>
        <w:autoSpaceDE/>
        <w:autoSpaceDN/>
        <w:bidi w:val="0"/>
        <w:adjustRightInd/>
        <w:snapToGrid/>
        <w:spacing w:line="360" w:lineRule="auto"/>
        <w:ind w:firstLine="460" w:firstLineChars="200"/>
        <w:textAlignment w:val="auto"/>
        <w:rPr>
          <w:rFonts w:hint="eastAsia" w:asciiTheme="majorEastAsia" w:hAnsiTheme="majorEastAsia" w:eastAsiaTheme="majorEastAsia" w:cstheme="majorEastAsia"/>
          <w:spacing w:val="10"/>
          <w:position w:val="1"/>
          <w:sz w:val="21"/>
          <w:szCs w:val="21"/>
          <w:highlight w:val="none"/>
          <w:lang w:val="en-US" w:eastAsia="zh-CN"/>
        </w:rPr>
      </w:pPr>
      <w:r>
        <w:rPr>
          <w:rFonts w:hint="eastAsia" w:asciiTheme="majorEastAsia" w:hAnsiTheme="majorEastAsia" w:eastAsiaTheme="majorEastAsia" w:cstheme="majorEastAsia"/>
          <w:spacing w:val="10"/>
          <w:position w:val="1"/>
          <w:sz w:val="21"/>
          <w:szCs w:val="21"/>
          <w:highlight w:val="none"/>
          <w:lang w:val="en-US" w:eastAsia="zh-CN"/>
        </w:rPr>
        <w:t xml:space="preserve">交通管制须值守的未安排专人值守的每次扣0.5分，安排了人员但未有效在岗或未履行值守职责的每人次扣0.2分。 </w:t>
      </w:r>
    </w:p>
    <w:p w14:paraId="072D3EC1">
      <w:pPr>
        <w:pStyle w:val="11"/>
        <w:keepNext w:val="0"/>
        <w:keepLines w:val="0"/>
        <w:pageBreakBefore w:val="0"/>
        <w:numPr>
          <w:ilvl w:val="0"/>
          <w:numId w:val="0"/>
        </w:numPr>
        <w:kinsoku/>
        <w:wordWrap/>
        <w:overflowPunct/>
        <w:topLinePunct w:val="0"/>
        <w:autoSpaceDE/>
        <w:autoSpaceDN/>
        <w:bidi w:val="0"/>
        <w:adjustRightInd/>
        <w:snapToGrid/>
        <w:spacing w:line="360" w:lineRule="auto"/>
        <w:ind w:firstLine="460" w:firstLineChars="200"/>
        <w:textAlignment w:val="auto"/>
        <w:rPr>
          <w:rFonts w:hint="eastAsia" w:asciiTheme="majorEastAsia" w:hAnsiTheme="majorEastAsia" w:eastAsiaTheme="majorEastAsia" w:cstheme="majorEastAsia"/>
          <w:spacing w:val="10"/>
          <w:position w:val="1"/>
          <w:sz w:val="21"/>
          <w:szCs w:val="21"/>
          <w:highlight w:val="none"/>
          <w:lang w:val="en-US" w:eastAsia="zh-CN"/>
        </w:rPr>
      </w:pPr>
      <w:r>
        <w:rPr>
          <w:rFonts w:hint="eastAsia" w:asciiTheme="majorEastAsia" w:hAnsiTheme="majorEastAsia" w:eastAsiaTheme="majorEastAsia" w:cstheme="majorEastAsia"/>
          <w:spacing w:val="10"/>
          <w:position w:val="1"/>
          <w:sz w:val="21"/>
          <w:szCs w:val="21"/>
          <w:highlight w:val="none"/>
          <w:lang w:val="en-US" w:eastAsia="zh-CN"/>
        </w:rPr>
        <w:t>交通中断后60分钟内未完成现场管控和设置警示扣1分；</w:t>
      </w:r>
    </w:p>
    <w:p w14:paraId="27433719">
      <w:pPr>
        <w:pStyle w:val="11"/>
        <w:keepNext w:val="0"/>
        <w:keepLines w:val="0"/>
        <w:pageBreakBefore w:val="0"/>
        <w:numPr>
          <w:ilvl w:val="0"/>
          <w:numId w:val="0"/>
        </w:numPr>
        <w:kinsoku/>
        <w:wordWrap/>
        <w:overflowPunct/>
        <w:topLinePunct w:val="0"/>
        <w:autoSpaceDE/>
        <w:autoSpaceDN/>
        <w:bidi w:val="0"/>
        <w:adjustRightInd/>
        <w:snapToGrid/>
        <w:spacing w:line="360" w:lineRule="auto"/>
        <w:ind w:firstLine="460" w:firstLineChars="200"/>
        <w:textAlignment w:val="auto"/>
        <w:rPr>
          <w:rFonts w:hint="default" w:ascii="宋体" w:hAnsi="宋体" w:cs="宋体"/>
          <w:szCs w:val="21"/>
          <w:highlight w:val="none"/>
          <w:u w:val="none"/>
          <w:lang w:val="en-US" w:eastAsia="zh-CN"/>
        </w:rPr>
      </w:pPr>
      <w:r>
        <w:rPr>
          <w:rFonts w:hint="eastAsia" w:asciiTheme="majorEastAsia" w:hAnsiTheme="majorEastAsia" w:eastAsiaTheme="majorEastAsia" w:cstheme="majorEastAsia"/>
          <w:spacing w:val="10"/>
          <w:position w:val="1"/>
          <w:sz w:val="21"/>
          <w:szCs w:val="21"/>
          <w:highlight w:val="none"/>
        </w:rPr>
        <w:t>除冰雪</w:t>
      </w:r>
      <w:r>
        <w:rPr>
          <w:rFonts w:hint="eastAsia" w:asciiTheme="majorEastAsia" w:hAnsiTheme="majorEastAsia" w:eastAsiaTheme="majorEastAsia" w:cstheme="majorEastAsia"/>
          <w:spacing w:val="10"/>
          <w:position w:val="1"/>
          <w:sz w:val="21"/>
          <w:szCs w:val="21"/>
          <w:highlight w:val="none"/>
          <w:lang w:val="en-US" w:eastAsia="zh-CN"/>
        </w:rPr>
        <w:t>路段未有效警示和管控的每次扣1分，警示标志缺损未更新维护的每次扣0.2分。</w:t>
      </w:r>
    </w:p>
    <w:p w14:paraId="03778839">
      <w:pPr>
        <w:pStyle w:val="11"/>
        <w:numPr>
          <w:ilvl w:val="0"/>
          <w:numId w:val="0"/>
        </w:numPr>
        <w:spacing w:before="192" w:line="274" w:lineRule="exact"/>
        <w:ind w:firstLine="522" w:firstLineChars="200"/>
        <w:rPr>
          <w:rFonts w:hint="eastAsia" w:ascii="宋体" w:hAnsi="宋体"/>
          <w:b/>
          <w:bCs/>
          <w:spacing w:val="10"/>
          <w:position w:val="1"/>
          <w:sz w:val="24"/>
          <w:szCs w:val="24"/>
          <w:highlight w:val="none"/>
        </w:rPr>
      </w:pPr>
      <w:r>
        <w:rPr>
          <w:rFonts w:hint="eastAsia" w:ascii="宋体" w:hAnsi="宋体"/>
          <w:b/>
          <w:bCs/>
          <w:spacing w:val="10"/>
          <w:position w:val="1"/>
          <w:sz w:val="24"/>
          <w:szCs w:val="24"/>
          <w:highlight w:val="none"/>
          <w:lang w:val="en-US" w:eastAsia="zh-CN"/>
        </w:rPr>
        <w:t>5.</w:t>
      </w:r>
      <w:r>
        <w:rPr>
          <w:rFonts w:hint="eastAsia" w:ascii="宋体" w:hAnsi="宋体"/>
          <w:b/>
          <w:bCs/>
          <w:spacing w:val="10"/>
          <w:position w:val="1"/>
          <w:sz w:val="24"/>
          <w:szCs w:val="24"/>
          <w:highlight w:val="none"/>
        </w:rPr>
        <w:t>数据填报与管理</w:t>
      </w:r>
    </w:p>
    <w:p w14:paraId="6B6F1964">
      <w:pPr>
        <w:pStyle w:val="11"/>
        <w:numPr>
          <w:ilvl w:val="0"/>
          <w:numId w:val="0"/>
        </w:numPr>
        <w:spacing w:before="192" w:line="274" w:lineRule="exact"/>
        <w:ind w:firstLine="500"/>
        <w:rPr>
          <w:rFonts w:hint="eastAsia" w:ascii="宋体" w:hAnsi="宋体"/>
          <w:spacing w:val="10"/>
          <w:position w:val="1"/>
          <w:sz w:val="21"/>
          <w:szCs w:val="21"/>
          <w:highlight w:val="none"/>
          <w:lang w:val="en-US" w:eastAsia="zh-CN"/>
        </w:rPr>
      </w:pPr>
      <w:r>
        <w:rPr>
          <w:rFonts w:hint="eastAsia" w:ascii="宋体" w:hAnsi="宋体"/>
          <w:spacing w:val="10"/>
          <w:position w:val="1"/>
          <w:sz w:val="21"/>
          <w:szCs w:val="21"/>
          <w:highlight w:val="none"/>
          <w:lang w:val="en-US" w:eastAsia="zh-CN"/>
        </w:rPr>
        <w:t>5.1工作内容及要求：</w:t>
      </w:r>
    </w:p>
    <w:p w14:paraId="1CB71092">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sz w:val="21"/>
          <w:szCs w:val="21"/>
          <w:highlight w:val="none"/>
        </w:rPr>
        <w:t>养护资料文件包含：</w:t>
      </w:r>
      <w:r>
        <w:rPr>
          <w:rFonts w:hint="eastAsia" w:ascii="宋体" w:hAnsi="宋体" w:cs="宋体"/>
          <w:sz w:val="21"/>
          <w:szCs w:val="21"/>
          <w:highlight w:val="none"/>
          <w:lang w:val="en-US" w:eastAsia="zh-CN"/>
        </w:rPr>
        <w:t>养</w:t>
      </w:r>
      <w:r>
        <w:rPr>
          <w:rFonts w:hint="eastAsia" w:ascii="宋体" w:hAnsi="宋体" w:eastAsia="宋体" w:cs="宋体"/>
          <w:sz w:val="21"/>
          <w:szCs w:val="21"/>
          <w:highlight w:val="none"/>
        </w:rPr>
        <w:t>护计划、公路养护巡查巡检资料</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日常保养和日常维修施工作业记录</w:t>
      </w:r>
      <w:r>
        <w:rPr>
          <w:rFonts w:hint="eastAsia" w:ascii="宋体" w:hAnsi="宋体" w:eastAsia="宋体" w:cs="宋体"/>
          <w:sz w:val="21"/>
          <w:szCs w:val="21"/>
          <w:highlight w:val="none"/>
          <w:lang w:eastAsia="zh-CN"/>
        </w:rPr>
        <w:t>（</w:t>
      </w:r>
      <w:r>
        <w:rPr>
          <w:rFonts w:hint="eastAsia" w:ascii="宋体" w:hAnsi="宋体" w:eastAsia="宋体" w:cs="宋体"/>
          <w:color w:val="auto"/>
          <w:sz w:val="21"/>
          <w:szCs w:val="21"/>
          <w:highlight w:val="none"/>
          <w:shd w:val="clear" w:color="auto" w:fill="FFFFFF"/>
        </w:rPr>
        <w:t>病害处置记录</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应急</w:t>
      </w:r>
      <w:r>
        <w:rPr>
          <w:rFonts w:hint="eastAsia" w:ascii="宋体" w:hAnsi="宋体" w:eastAsia="宋体" w:cs="宋体"/>
          <w:sz w:val="21"/>
          <w:szCs w:val="21"/>
          <w:highlight w:val="none"/>
        </w:rPr>
        <w:t>处置记录、</w:t>
      </w:r>
      <w:r>
        <w:rPr>
          <w:rFonts w:hint="eastAsia" w:ascii="宋体" w:hAnsi="宋体" w:eastAsia="宋体" w:cs="宋体"/>
          <w:sz w:val="21"/>
          <w:szCs w:val="21"/>
          <w:highlight w:val="none"/>
          <w:lang w:val="en-US" w:eastAsia="zh-CN"/>
        </w:rPr>
        <w:t>冬季除冰雪记录、</w:t>
      </w:r>
      <w:r>
        <w:rPr>
          <w:rFonts w:hint="eastAsia" w:ascii="宋体" w:hAnsi="宋体" w:eastAsia="宋体" w:cs="宋体"/>
          <w:color w:val="auto"/>
          <w:sz w:val="21"/>
          <w:szCs w:val="21"/>
          <w:highlight w:val="none"/>
          <w:shd w:val="clear" w:color="auto" w:fill="FFFFFF"/>
        </w:rPr>
        <w:t>机械化作业记录</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sz w:val="21"/>
          <w:szCs w:val="21"/>
          <w:highlight w:val="none"/>
        </w:rPr>
        <w:t>试验检测、质量合格证明、养护作业安全管理、各项绩效考核</w:t>
      </w:r>
      <w:r>
        <w:rPr>
          <w:rFonts w:hint="eastAsia" w:ascii="宋体" w:hAnsi="宋体" w:eastAsia="宋体" w:cs="宋体"/>
          <w:sz w:val="21"/>
          <w:szCs w:val="21"/>
          <w:highlight w:val="none"/>
          <w:lang w:val="en-US" w:eastAsia="zh-CN"/>
        </w:rPr>
        <w:t>验收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计量支付</w:t>
      </w:r>
      <w:r>
        <w:rPr>
          <w:rFonts w:hint="eastAsia" w:ascii="宋体" w:hAnsi="宋体" w:eastAsia="宋体" w:cs="宋体"/>
          <w:color w:val="auto"/>
          <w:sz w:val="21"/>
          <w:szCs w:val="21"/>
          <w:highlight w:val="none"/>
          <w:shd w:val="clear" w:color="auto" w:fill="FFFFFF"/>
        </w:rPr>
        <w:t>、人员考勤</w:t>
      </w:r>
      <w:r>
        <w:rPr>
          <w:rFonts w:hint="eastAsia" w:ascii="宋体" w:hAnsi="宋体" w:eastAsia="宋体" w:cs="宋体"/>
          <w:color w:val="auto"/>
          <w:sz w:val="21"/>
          <w:szCs w:val="21"/>
          <w:highlight w:val="none"/>
          <w:shd w:val="clear" w:color="auto" w:fill="FFFFFF"/>
          <w:lang w:val="en-US" w:eastAsia="zh-CN"/>
        </w:rPr>
        <w:t>、工资及材料等款项支付</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lang w:val="en-US" w:eastAsia="zh-CN"/>
        </w:rPr>
        <w:t>安全及</w:t>
      </w:r>
      <w:r>
        <w:rPr>
          <w:rFonts w:hint="eastAsia" w:ascii="宋体" w:hAnsi="宋体" w:eastAsia="宋体" w:cs="宋体"/>
          <w:color w:val="auto"/>
          <w:sz w:val="21"/>
          <w:szCs w:val="21"/>
          <w:highlight w:val="none"/>
          <w:shd w:val="clear" w:color="auto" w:fill="FFFFFF"/>
        </w:rPr>
        <w:t>技能培训情况</w:t>
      </w:r>
      <w:r>
        <w:rPr>
          <w:rFonts w:hint="eastAsia" w:ascii="宋体" w:hAnsi="宋体" w:eastAsia="宋体"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养护</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shd w:val="clear" w:color="auto" w:fill="FFFFFF"/>
        </w:rPr>
        <w:t>进度、</w:t>
      </w:r>
      <w:r>
        <w:rPr>
          <w:rFonts w:hint="eastAsia" w:ascii="宋体" w:hAnsi="宋体" w:eastAsia="宋体" w:cs="宋体"/>
          <w:sz w:val="21"/>
          <w:szCs w:val="21"/>
          <w:highlight w:val="none"/>
        </w:rPr>
        <w:t>合同完成情况总结报告、</w:t>
      </w:r>
      <w:r>
        <w:rPr>
          <w:rFonts w:hint="eastAsia" w:ascii="宋体" w:hAnsi="宋体" w:eastAsia="宋体" w:cs="宋体"/>
          <w:sz w:val="21"/>
          <w:szCs w:val="21"/>
          <w:highlight w:val="none"/>
          <w:lang w:val="en-US" w:eastAsia="zh-CN"/>
        </w:rPr>
        <w:t>合同验收书、合同双方来往文件、</w:t>
      </w:r>
      <w:r>
        <w:rPr>
          <w:rFonts w:hint="eastAsia" w:ascii="宋体" w:hAnsi="宋体" w:eastAsia="宋体" w:cs="宋体"/>
          <w:sz w:val="21"/>
          <w:szCs w:val="21"/>
          <w:highlight w:val="none"/>
        </w:rPr>
        <w:t>信息系统</w:t>
      </w:r>
      <w:r>
        <w:rPr>
          <w:rFonts w:hint="eastAsia" w:ascii="宋体" w:hAnsi="宋体" w:eastAsia="宋体" w:cs="宋体"/>
          <w:color w:val="auto"/>
          <w:sz w:val="21"/>
          <w:szCs w:val="21"/>
          <w:highlight w:val="none"/>
          <w:shd w:val="clear" w:color="auto" w:fill="FFFFFF"/>
        </w:rPr>
        <w:t>等</w:t>
      </w:r>
      <w:r>
        <w:rPr>
          <w:rFonts w:hint="eastAsia" w:ascii="宋体" w:hAnsi="宋体" w:eastAsia="宋体" w:cs="宋体"/>
          <w:sz w:val="21"/>
          <w:szCs w:val="21"/>
          <w:highlight w:val="none"/>
        </w:rPr>
        <w:t>合同执行期间的所有档案资料</w:t>
      </w:r>
      <w:r>
        <w:rPr>
          <w:rFonts w:hint="eastAsia" w:ascii="宋体" w:hAnsi="宋体" w:eastAsia="宋体" w:cs="宋体"/>
          <w:color w:val="auto"/>
          <w:sz w:val="21"/>
          <w:szCs w:val="21"/>
          <w:highlight w:val="none"/>
          <w:shd w:val="clear" w:color="auto" w:fill="FFFFFF"/>
        </w:rPr>
        <w:t>。</w:t>
      </w:r>
    </w:p>
    <w:p w14:paraId="149D1F3F">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textAlignment w:val="auto"/>
        <w:rPr>
          <w:rFonts w:hint="eastAsia" w:ascii="宋体" w:hAnsi="宋体"/>
          <w:spacing w:val="10"/>
          <w:position w:val="1"/>
          <w:sz w:val="21"/>
          <w:szCs w:val="21"/>
          <w:highlight w:val="none"/>
          <w:lang w:val="en-US" w:eastAsia="zh-CN"/>
        </w:rPr>
      </w:pPr>
      <w:r>
        <w:rPr>
          <w:rFonts w:hint="eastAsia" w:ascii="宋体" w:hAnsi="宋体"/>
          <w:spacing w:val="10"/>
          <w:position w:val="1"/>
          <w:sz w:val="21"/>
          <w:szCs w:val="21"/>
          <w:highlight w:val="none"/>
          <w:lang w:val="en-US" w:eastAsia="zh-CN"/>
        </w:rPr>
        <w:t>5.2考核标准：</w:t>
      </w:r>
    </w:p>
    <w:p w14:paraId="284E8B3C">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textAlignment w:val="auto"/>
        <w:rPr>
          <w:rFonts w:hint="eastAsia" w:ascii="宋体" w:hAnsi="宋体" w:cs="宋体"/>
          <w:sz w:val="21"/>
          <w:szCs w:val="21"/>
          <w:highlight w:val="none"/>
          <w:lang w:eastAsia="zh-CN"/>
        </w:rPr>
      </w:pPr>
      <w:r>
        <w:rPr>
          <w:rFonts w:hint="default" w:ascii="宋体" w:hAnsi="宋体"/>
          <w:spacing w:val="10"/>
          <w:position w:val="1"/>
          <w:sz w:val="21"/>
          <w:szCs w:val="21"/>
          <w:highlight w:val="none"/>
          <w:lang w:val="en-US" w:eastAsia="zh-CN"/>
        </w:rPr>
        <w:t>资料内容要求准确、真实、齐全（有电子版和映像资料），要分类装订成册。</w:t>
      </w:r>
      <w:r>
        <w:rPr>
          <w:rFonts w:hint="eastAsia" w:ascii="宋体" w:hAnsi="宋体"/>
          <w:spacing w:val="10"/>
          <w:position w:val="1"/>
          <w:sz w:val="21"/>
          <w:szCs w:val="21"/>
          <w:highlight w:val="none"/>
          <w:lang w:val="en-US" w:eastAsia="zh-CN"/>
        </w:rPr>
        <w:t>每月提交巡路检查记录，</w:t>
      </w:r>
      <w:r>
        <w:rPr>
          <w:rFonts w:hint="eastAsia" w:ascii="宋体" w:hAnsi="宋体" w:eastAsia="宋体" w:cs="宋体"/>
          <w:sz w:val="21"/>
          <w:szCs w:val="21"/>
          <w:highlight w:val="none"/>
        </w:rPr>
        <w:t>每年12月移交当年全部公路养护资料文件</w:t>
      </w:r>
      <w:r>
        <w:rPr>
          <w:rFonts w:hint="eastAsia" w:ascii="宋体" w:hAnsi="宋体" w:cs="宋体"/>
          <w:sz w:val="21"/>
          <w:szCs w:val="21"/>
          <w:highlight w:val="none"/>
          <w:lang w:eastAsia="zh-CN"/>
        </w:rPr>
        <w:t>。</w:t>
      </w:r>
    </w:p>
    <w:p w14:paraId="386E43A5">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抽查</w:t>
      </w:r>
      <w:r>
        <w:rPr>
          <w:rFonts w:hint="default" w:ascii="宋体" w:hAnsi="宋体" w:cs="宋体"/>
          <w:sz w:val="21"/>
          <w:szCs w:val="21"/>
          <w:highlight w:val="none"/>
          <w:lang w:val="en-US" w:eastAsia="zh-CN"/>
        </w:rPr>
        <w:t>资料</w:t>
      </w:r>
      <w:r>
        <w:rPr>
          <w:rFonts w:hint="eastAsia" w:ascii="宋体" w:hAnsi="宋体" w:cs="宋体"/>
          <w:sz w:val="21"/>
          <w:szCs w:val="21"/>
          <w:highlight w:val="none"/>
          <w:lang w:val="en-US" w:eastAsia="zh-CN"/>
        </w:rPr>
        <w:t>完整性，</w:t>
      </w:r>
      <w:r>
        <w:rPr>
          <w:rFonts w:hint="default" w:ascii="宋体" w:hAnsi="宋体" w:cs="宋体"/>
          <w:sz w:val="21"/>
          <w:szCs w:val="21"/>
          <w:highlight w:val="none"/>
          <w:lang w:val="en-US" w:eastAsia="zh-CN"/>
        </w:rPr>
        <w:t>每缺1项</w:t>
      </w:r>
      <w:r>
        <w:rPr>
          <w:rFonts w:hint="eastAsia" w:ascii="宋体" w:hAnsi="宋体" w:cs="宋体"/>
          <w:sz w:val="21"/>
          <w:szCs w:val="21"/>
          <w:highlight w:val="none"/>
          <w:lang w:val="en-US" w:eastAsia="zh-CN"/>
        </w:rPr>
        <w:t>内容</w:t>
      </w:r>
      <w:r>
        <w:rPr>
          <w:rFonts w:hint="default" w:ascii="宋体" w:hAnsi="宋体" w:cs="宋体"/>
          <w:sz w:val="21"/>
          <w:szCs w:val="21"/>
          <w:highlight w:val="none"/>
          <w:lang w:val="en-US" w:eastAsia="zh-CN"/>
        </w:rPr>
        <w:t>扣0.5分，</w:t>
      </w:r>
      <w:r>
        <w:rPr>
          <w:rFonts w:hint="eastAsia" w:ascii="宋体" w:hAnsi="宋体" w:cs="宋体"/>
          <w:sz w:val="21"/>
          <w:szCs w:val="21"/>
          <w:highlight w:val="none"/>
          <w:lang w:val="en-US" w:eastAsia="zh-CN"/>
        </w:rPr>
        <w:t>资料未装订每册扣0.1分，</w:t>
      </w:r>
      <w:r>
        <w:rPr>
          <w:rFonts w:hint="default" w:ascii="宋体" w:hAnsi="宋体" w:cs="宋体"/>
          <w:sz w:val="21"/>
          <w:szCs w:val="21"/>
          <w:highlight w:val="none"/>
          <w:lang w:val="en-US" w:eastAsia="zh-CN"/>
        </w:rPr>
        <w:t>资料不准确</w:t>
      </w:r>
      <w:r>
        <w:rPr>
          <w:rFonts w:hint="eastAsia" w:ascii="宋体" w:hAnsi="宋体" w:cs="宋体"/>
          <w:sz w:val="21"/>
          <w:szCs w:val="21"/>
          <w:highlight w:val="none"/>
          <w:lang w:val="en-US" w:eastAsia="zh-CN"/>
        </w:rPr>
        <w:t>不齐全</w:t>
      </w:r>
      <w:r>
        <w:rPr>
          <w:rFonts w:hint="default" w:ascii="宋体" w:hAnsi="宋体" w:cs="宋体"/>
          <w:sz w:val="21"/>
          <w:szCs w:val="21"/>
          <w:highlight w:val="none"/>
          <w:lang w:val="en-US" w:eastAsia="zh-CN"/>
        </w:rPr>
        <w:t>每项扣0.</w:t>
      </w:r>
      <w:r>
        <w:rPr>
          <w:rFonts w:hint="eastAsia" w:ascii="宋体" w:hAnsi="宋体" w:cs="宋体"/>
          <w:sz w:val="21"/>
          <w:szCs w:val="21"/>
          <w:highlight w:val="none"/>
          <w:lang w:val="en-US" w:eastAsia="zh-CN"/>
        </w:rPr>
        <w:t>1</w:t>
      </w:r>
      <w:r>
        <w:rPr>
          <w:rFonts w:hint="default" w:ascii="宋体" w:hAnsi="宋体" w:cs="宋体"/>
          <w:sz w:val="21"/>
          <w:szCs w:val="21"/>
          <w:highlight w:val="none"/>
          <w:lang w:val="en-US" w:eastAsia="zh-CN"/>
        </w:rPr>
        <w:t>分</w:t>
      </w:r>
      <w:r>
        <w:rPr>
          <w:rFonts w:hint="eastAsia" w:ascii="宋体" w:hAnsi="宋体" w:cs="宋体"/>
          <w:sz w:val="21"/>
          <w:szCs w:val="21"/>
          <w:highlight w:val="none"/>
          <w:lang w:val="en-US" w:eastAsia="zh-CN"/>
        </w:rPr>
        <w:t>；</w:t>
      </w:r>
    </w:p>
    <w:p w14:paraId="37A0409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textAlignment w:val="auto"/>
        <w:rPr>
          <w:rFonts w:hint="eastAsia"/>
          <w:sz w:val="20"/>
          <w:szCs w:val="20"/>
          <w:highlight w:val="none"/>
        </w:rPr>
      </w:pPr>
      <w:r>
        <w:rPr>
          <w:rFonts w:hint="eastAsia" w:ascii="宋体" w:hAnsi="宋体" w:cs="宋体"/>
          <w:sz w:val="21"/>
          <w:szCs w:val="21"/>
          <w:highlight w:val="none"/>
          <w:lang w:val="en-US" w:eastAsia="zh-CN"/>
        </w:rPr>
        <w:t>资料未按时提交每延迟1天扣0.1分，拒绝提交资料扣5分；</w:t>
      </w:r>
    </w:p>
    <w:p w14:paraId="5C2F2A5D">
      <w:pPr>
        <w:pStyle w:val="11"/>
        <w:keepNext w:val="0"/>
        <w:keepLines w:val="0"/>
        <w:pageBreakBefore w:val="0"/>
        <w:widowControl w:val="0"/>
        <w:kinsoku/>
        <w:wordWrap/>
        <w:overflowPunct/>
        <w:topLinePunct w:val="0"/>
        <w:autoSpaceDE/>
        <w:autoSpaceDN/>
        <w:bidi w:val="0"/>
        <w:adjustRightInd/>
        <w:snapToGrid/>
        <w:spacing w:line="360" w:lineRule="auto"/>
        <w:ind w:left="10" w:firstLine="510" w:firstLineChars="200"/>
        <w:textAlignment w:val="auto"/>
        <w:rPr>
          <w:rFonts w:hint="eastAsia" w:ascii="宋体" w:hAnsi="宋体" w:eastAsia="宋体" w:cs="宋体"/>
          <w:b/>
          <w:bCs/>
          <w:spacing w:val="7"/>
          <w:sz w:val="24"/>
          <w:szCs w:val="24"/>
          <w:highlight w:val="none"/>
        </w:rPr>
      </w:pPr>
      <w:r>
        <w:rPr>
          <w:rFonts w:hint="eastAsia" w:ascii="宋体" w:hAnsi="宋体" w:eastAsia="宋体" w:cs="宋体"/>
          <w:b/>
          <w:bCs/>
          <w:spacing w:val="7"/>
          <w:sz w:val="24"/>
          <w:szCs w:val="24"/>
          <w:highlight w:val="none"/>
          <w:lang w:val="en-US" w:eastAsia="zh-CN"/>
        </w:rPr>
        <w:t>6.</w:t>
      </w:r>
      <w:r>
        <w:rPr>
          <w:rFonts w:hint="eastAsia" w:ascii="宋体" w:hAnsi="宋体" w:eastAsia="宋体" w:cs="宋体"/>
          <w:b/>
          <w:bCs/>
          <w:spacing w:val="7"/>
          <w:sz w:val="24"/>
          <w:szCs w:val="24"/>
          <w:highlight w:val="none"/>
        </w:rPr>
        <w:t>安全生产管理</w:t>
      </w:r>
    </w:p>
    <w:p w14:paraId="788416DF">
      <w:pPr>
        <w:pStyle w:val="11"/>
        <w:keepNext w:val="0"/>
        <w:keepLines w:val="0"/>
        <w:pageBreakBefore w:val="0"/>
        <w:widowControl w:val="0"/>
        <w:kinsoku/>
        <w:wordWrap/>
        <w:overflowPunct/>
        <w:topLinePunct w:val="0"/>
        <w:autoSpaceDE/>
        <w:autoSpaceDN/>
        <w:bidi w:val="0"/>
        <w:adjustRightInd/>
        <w:snapToGrid/>
        <w:spacing w:line="360" w:lineRule="auto"/>
        <w:ind w:left="10" w:firstLine="432" w:firstLineChars="200"/>
        <w:textAlignment w:val="auto"/>
        <w:rPr>
          <w:rFonts w:hint="eastAsia" w:ascii="宋体" w:hAnsi="宋体" w:eastAsia="宋体" w:cs="宋体"/>
          <w:sz w:val="21"/>
          <w:szCs w:val="21"/>
          <w:highlight w:val="none"/>
        </w:rPr>
      </w:pPr>
      <w:r>
        <w:rPr>
          <w:rFonts w:hint="eastAsia" w:ascii="宋体" w:hAnsi="宋体" w:eastAsia="宋体" w:cs="宋体"/>
          <w:spacing w:val="3"/>
          <w:position w:val="1"/>
          <w:sz w:val="21"/>
          <w:szCs w:val="21"/>
          <w:highlight w:val="none"/>
        </w:rPr>
        <w:t>1.一般要求</w:t>
      </w:r>
    </w:p>
    <w:p w14:paraId="7FFFA342">
      <w:pPr>
        <w:pStyle w:val="11"/>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eastAsia" w:ascii="宋体" w:hAnsi="宋体" w:eastAsia="宋体" w:cs="宋体"/>
          <w:spacing w:val="9"/>
          <w:position w:val="1"/>
          <w:sz w:val="21"/>
          <w:szCs w:val="21"/>
          <w:highlight w:val="none"/>
          <w:lang w:eastAsia="zh-CN"/>
        </w:rPr>
      </w:pPr>
      <w:r>
        <w:rPr>
          <w:rFonts w:hint="eastAsia" w:ascii="宋体" w:hAnsi="宋体" w:eastAsia="宋体" w:cs="宋体"/>
          <w:spacing w:val="9"/>
          <w:position w:val="1"/>
          <w:sz w:val="21"/>
          <w:szCs w:val="21"/>
          <w:highlight w:val="none"/>
        </w:rPr>
        <w:t>（1）承包人要成立以项目经理为负责人的安全管理组织机构，设置项目专职安全员，并报备发包人</w:t>
      </w:r>
      <w:r>
        <w:rPr>
          <w:rFonts w:hint="eastAsia" w:ascii="宋体" w:hAnsi="宋体" w:eastAsia="宋体" w:cs="宋体"/>
          <w:spacing w:val="9"/>
          <w:position w:val="1"/>
          <w:sz w:val="21"/>
          <w:szCs w:val="21"/>
          <w:highlight w:val="none"/>
          <w:lang w:val="en-US" w:eastAsia="zh-CN"/>
        </w:rPr>
        <w:t>；</w:t>
      </w:r>
    </w:p>
    <w:p w14:paraId="3C3E8DFF">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lang w:eastAsia="zh-CN"/>
        </w:rPr>
      </w:pPr>
      <w:r>
        <w:rPr>
          <w:rFonts w:hint="eastAsia" w:ascii="宋体" w:hAnsi="宋体" w:eastAsia="宋体" w:cs="宋体"/>
          <w:spacing w:val="11"/>
          <w:sz w:val="21"/>
          <w:szCs w:val="21"/>
          <w:highlight w:val="none"/>
        </w:rPr>
        <w:t>（2）承包人应组织对养护作业人员开展岗前安全教育培训，涵盖安全法规、操作规程等内容，</w:t>
      </w:r>
      <w:r>
        <w:rPr>
          <w:rFonts w:hint="eastAsia" w:ascii="宋体" w:hAnsi="宋体" w:eastAsia="宋体" w:cs="宋体"/>
          <w:sz w:val="21"/>
          <w:szCs w:val="21"/>
          <w:highlight w:val="none"/>
        </w:rPr>
        <w:t>尤其要加强</w:t>
      </w:r>
      <w:r>
        <w:rPr>
          <w:rFonts w:hint="eastAsia" w:ascii="宋体" w:hAnsi="宋体" w:eastAsia="宋体" w:cs="宋体"/>
          <w:spacing w:val="9"/>
          <w:sz w:val="21"/>
          <w:szCs w:val="21"/>
          <w:highlight w:val="none"/>
        </w:rPr>
        <w:t>“班前五分钟安全生产再学习再教</w:t>
      </w:r>
      <w:r>
        <w:rPr>
          <w:rFonts w:hint="eastAsia" w:ascii="宋体" w:hAnsi="宋体" w:eastAsia="宋体" w:cs="宋体"/>
          <w:spacing w:val="8"/>
          <w:sz w:val="21"/>
          <w:szCs w:val="21"/>
          <w:highlight w:val="none"/>
        </w:rPr>
        <w:t>育</w:t>
      </w:r>
      <w:r>
        <w:rPr>
          <w:rFonts w:hint="eastAsia" w:ascii="宋体" w:hAnsi="宋体" w:eastAsia="宋体" w:cs="宋体"/>
          <w:spacing w:val="-73"/>
          <w:sz w:val="21"/>
          <w:szCs w:val="21"/>
          <w:highlight w:val="none"/>
        </w:rPr>
        <w:t xml:space="preserve"> </w:t>
      </w:r>
      <w:r>
        <w:rPr>
          <w:rFonts w:hint="eastAsia" w:ascii="宋体" w:hAnsi="宋体" w:eastAsia="宋体" w:cs="宋体"/>
          <w:spacing w:val="8"/>
          <w:sz w:val="21"/>
          <w:szCs w:val="21"/>
          <w:highlight w:val="none"/>
        </w:rPr>
        <w:t>”安全技术交底，并做好记录和</w:t>
      </w:r>
      <w:r>
        <w:rPr>
          <w:rFonts w:hint="eastAsia" w:ascii="宋体" w:hAnsi="宋体" w:eastAsia="宋体" w:cs="宋体"/>
          <w:spacing w:val="7"/>
          <w:sz w:val="21"/>
          <w:szCs w:val="21"/>
          <w:highlight w:val="none"/>
        </w:rPr>
        <w:t>影像资料收集</w:t>
      </w:r>
      <w:r>
        <w:rPr>
          <w:rFonts w:hint="eastAsia" w:ascii="宋体" w:hAnsi="宋体" w:eastAsia="宋体" w:cs="宋体"/>
          <w:sz w:val="21"/>
          <w:szCs w:val="21"/>
          <w:highlight w:val="none"/>
          <w:lang w:val="en-US" w:eastAsia="zh-CN"/>
        </w:rPr>
        <w:t>；</w:t>
      </w:r>
    </w:p>
    <w:p w14:paraId="092B2304">
      <w:pPr>
        <w:pStyle w:val="11"/>
        <w:keepNext w:val="0"/>
        <w:keepLines w:val="0"/>
        <w:pageBreakBefore w:val="0"/>
        <w:widowControl w:val="0"/>
        <w:kinsoku/>
        <w:wordWrap/>
        <w:overflowPunct/>
        <w:topLinePunct w:val="0"/>
        <w:autoSpaceDE/>
        <w:autoSpaceDN/>
        <w:bidi w:val="0"/>
        <w:adjustRightInd/>
        <w:snapToGrid/>
        <w:spacing w:line="360" w:lineRule="auto"/>
        <w:ind w:right="73" w:firstLine="464" w:firstLineChars="200"/>
        <w:textAlignment w:val="auto"/>
        <w:rPr>
          <w:rFonts w:hint="eastAsia" w:ascii="宋体" w:hAnsi="宋体" w:eastAsia="宋体" w:cs="宋体"/>
          <w:spacing w:val="6"/>
          <w:sz w:val="21"/>
          <w:szCs w:val="21"/>
          <w:highlight w:val="none"/>
          <w:lang w:val="en-US" w:eastAsia="zh-CN"/>
        </w:rPr>
      </w:pPr>
      <w:r>
        <w:rPr>
          <w:rFonts w:hint="eastAsia" w:ascii="宋体" w:hAnsi="宋体" w:eastAsia="宋体" w:cs="宋体"/>
          <w:spacing w:val="11"/>
          <w:sz w:val="21"/>
          <w:szCs w:val="21"/>
          <w:highlight w:val="none"/>
        </w:rPr>
        <w:t>（3）</w:t>
      </w:r>
      <w:r>
        <w:rPr>
          <w:rFonts w:hint="eastAsia" w:ascii="宋体" w:hAnsi="宋体" w:eastAsia="宋体" w:cs="宋体"/>
          <w:sz w:val="21"/>
          <w:szCs w:val="21"/>
          <w:highlight w:val="none"/>
        </w:rPr>
        <w:t>承包人须严格执行</w:t>
      </w:r>
      <w:r>
        <w:rPr>
          <w:rFonts w:hint="eastAsia" w:ascii="宋体" w:hAnsi="宋体" w:eastAsia="宋体" w:cs="宋体"/>
          <w:spacing w:val="10"/>
          <w:position w:val="1"/>
          <w:sz w:val="21"/>
          <w:szCs w:val="21"/>
          <w:highlight w:val="none"/>
        </w:rPr>
        <w:t>《公路养护安全作业规程》（JTG H30-2015）</w:t>
      </w:r>
      <w:r>
        <w:rPr>
          <w:rFonts w:hint="eastAsia" w:ascii="宋体" w:hAnsi="宋体" w:eastAsia="宋体" w:cs="宋体"/>
          <w:sz w:val="21"/>
          <w:szCs w:val="21"/>
          <w:highlight w:val="none"/>
        </w:rPr>
        <w:t>，设置专职安全员，规范设置养护安全作业区，</w:t>
      </w:r>
      <w:r>
        <w:rPr>
          <w:rFonts w:hint="eastAsia" w:ascii="宋体" w:hAnsi="宋体" w:eastAsia="宋体" w:cs="宋体"/>
          <w:spacing w:val="11"/>
          <w:sz w:val="21"/>
          <w:szCs w:val="21"/>
          <w:highlight w:val="none"/>
        </w:rPr>
        <w:t>现场作业人员作业需佩戴必要的安全防护用品和用具</w:t>
      </w:r>
      <w:r>
        <w:rPr>
          <w:rFonts w:hint="eastAsia" w:ascii="宋体" w:hAnsi="宋体" w:eastAsia="宋体" w:cs="宋体"/>
          <w:spacing w:val="11"/>
          <w:sz w:val="21"/>
          <w:szCs w:val="21"/>
          <w:highlight w:val="none"/>
          <w:lang w:eastAsia="zh-CN"/>
        </w:rPr>
        <w:t>，</w:t>
      </w:r>
      <w:r>
        <w:rPr>
          <w:rFonts w:hint="eastAsia" w:ascii="宋体" w:hAnsi="宋体" w:eastAsia="宋体" w:cs="宋体"/>
          <w:spacing w:val="11"/>
          <w:sz w:val="21"/>
          <w:szCs w:val="21"/>
          <w:highlight w:val="none"/>
        </w:rPr>
        <w:t>如公路部门橘红色反光服、安全帽、防护手</w:t>
      </w:r>
      <w:r>
        <w:rPr>
          <w:rFonts w:hint="eastAsia" w:ascii="宋体" w:hAnsi="宋体" w:eastAsia="宋体" w:cs="宋体"/>
          <w:spacing w:val="6"/>
          <w:sz w:val="21"/>
          <w:szCs w:val="21"/>
          <w:highlight w:val="none"/>
        </w:rPr>
        <w:t>套、护目镜等</w:t>
      </w:r>
      <w:r>
        <w:rPr>
          <w:rFonts w:hint="eastAsia" w:ascii="宋体" w:hAnsi="宋体" w:eastAsia="宋体" w:cs="宋体"/>
          <w:spacing w:val="6"/>
          <w:sz w:val="21"/>
          <w:szCs w:val="21"/>
          <w:highlight w:val="none"/>
          <w:lang w:eastAsia="zh-CN"/>
        </w:rPr>
        <w:t>，</w:t>
      </w:r>
      <w:r>
        <w:rPr>
          <w:rFonts w:hint="eastAsia" w:ascii="宋体" w:hAnsi="宋体" w:eastAsia="宋体" w:cs="宋体"/>
          <w:sz w:val="21"/>
          <w:szCs w:val="21"/>
          <w:highlight w:val="none"/>
        </w:rPr>
        <w:t>养护作业全过程防护措施要满足安全作业规范要求，自行配备安全作业区的物品，对服务从业人员提供</w:t>
      </w:r>
      <w:r>
        <w:rPr>
          <w:rFonts w:hint="eastAsia" w:ascii="宋体" w:hAnsi="宋体" w:eastAsia="宋体" w:cs="宋体"/>
          <w:spacing w:val="9"/>
          <w:sz w:val="21"/>
          <w:szCs w:val="21"/>
          <w:highlight w:val="none"/>
        </w:rPr>
        <w:t>作业工具、劳保用品及</w:t>
      </w:r>
      <w:r>
        <w:rPr>
          <w:rFonts w:hint="eastAsia" w:ascii="宋体" w:hAnsi="宋体" w:eastAsia="宋体" w:cs="宋体"/>
          <w:spacing w:val="8"/>
          <w:sz w:val="21"/>
          <w:szCs w:val="21"/>
          <w:highlight w:val="none"/>
        </w:rPr>
        <w:t>安全锥筒</w:t>
      </w:r>
      <w:r>
        <w:rPr>
          <w:rFonts w:hint="eastAsia" w:ascii="宋体" w:hAnsi="宋体" w:eastAsia="宋体" w:cs="宋体"/>
          <w:spacing w:val="8"/>
          <w:sz w:val="21"/>
          <w:szCs w:val="21"/>
          <w:highlight w:val="none"/>
          <w:lang w:val="en-US" w:eastAsia="zh-CN"/>
        </w:rPr>
        <w:t>等</w:t>
      </w:r>
      <w:r>
        <w:rPr>
          <w:rFonts w:hint="eastAsia" w:ascii="宋体" w:hAnsi="宋体" w:eastAsia="宋体" w:cs="宋体"/>
          <w:sz w:val="21"/>
          <w:szCs w:val="21"/>
          <w:highlight w:val="none"/>
        </w:rPr>
        <w:t>安全劳动保障</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要按照国家的法律、法规要求及时缴纳用工人员的相关社会保险等并对其安全作业负责</w:t>
      </w:r>
      <w:r>
        <w:rPr>
          <w:rFonts w:hint="eastAsia" w:ascii="宋体" w:hAnsi="宋体" w:eastAsia="宋体" w:cs="宋体"/>
          <w:sz w:val="21"/>
          <w:szCs w:val="21"/>
          <w:highlight w:val="none"/>
          <w:lang w:eastAsia="zh-CN"/>
        </w:rPr>
        <w:t>，</w:t>
      </w:r>
      <w:r>
        <w:rPr>
          <w:rFonts w:hint="eastAsia" w:ascii="宋体" w:hAnsi="宋体" w:eastAsia="宋体" w:cs="宋体"/>
          <w:bCs/>
          <w:sz w:val="21"/>
          <w:szCs w:val="21"/>
          <w:highlight w:val="none"/>
        </w:rPr>
        <w:t>严禁违章作业</w:t>
      </w:r>
      <w:r>
        <w:rPr>
          <w:rFonts w:hint="eastAsia" w:ascii="宋体" w:hAnsi="宋体" w:eastAsia="宋体" w:cs="宋体"/>
          <w:bCs/>
          <w:sz w:val="21"/>
          <w:szCs w:val="21"/>
          <w:highlight w:val="none"/>
          <w:lang w:eastAsia="zh-CN"/>
        </w:rPr>
        <w:t>，</w:t>
      </w:r>
      <w:r>
        <w:rPr>
          <w:rFonts w:hint="eastAsia" w:ascii="宋体" w:hAnsi="宋体" w:eastAsia="宋体" w:cs="宋体"/>
          <w:sz w:val="21"/>
          <w:szCs w:val="21"/>
          <w:highlight w:val="none"/>
        </w:rPr>
        <w:t>对养护作业现场安全负责。</w:t>
      </w:r>
    </w:p>
    <w:p w14:paraId="7155D178">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（4）</w:t>
      </w:r>
      <w:r>
        <w:rPr>
          <w:rFonts w:hint="eastAsia" w:ascii="宋体" w:hAnsi="宋体" w:eastAsia="宋体" w:cs="宋体"/>
          <w:spacing w:val="11"/>
          <w:sz w:val="21"/>
          <w:szCs w:val="21"/>
          <w:highlight w:val="none"/>
        </w:rPr>
        <w:t>承包人按要求开展安全隐患排查治理。</w:t>
      </w:r>
      <w:r>
        <w:rPr>
          <w:rFonts w:hint="eastAsia" w:ascii="宋体" w:hAnsi="宋体" w:eastAsia="宋体" w:cs="宋体"/>
          <w:bCs/>
          <w:sz w:val="21"/>
          <w:szCs w:val="21"/>
          <w:highlight w:val="none"/>
        </w:rPr>
        <w:t>发包人的管理人员有权对承包人养护作业进行安全检查、指导、监管，提出整改要求及违规处罚，承包人对发包人提出的安全检查意见及时整改闭环管理。</w:t>
      </w:r>
    </w:p>
    <w:p w14:paraId="061362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承包人未开展班前安全教育、从业人员未规范安全着装、从业人员违章操作、公路养护作业现场未规范设置养护安全作业区等原因发生安全责任事故</w:t>
      </w:r>
      <w:r>
        <w:rPr>
          <w:rFonts w:hint="eastAsia" w:ascii="宋体" w:hAnsi="宋体" w:eastAsia="宋体" w:cs="宋体"/>
          <w:sz w:val="21"/>
          <w:szCs w:val="21"/>
          <w:highlight w:val="none"/>
          <w:lang w:val="en-US" w:eastAsia="zh-CN"/>
        </w:rPr>
        <w:t>的，</w:t>
      </w:r>
      <w:r>
        <w:rPr>
          <w:rFonts w:hint="eastAsia" w:ascii="宋体" w:hAnsi="宋体" w:eastAsia="宋体" w:cs="宋体"/>
          <w:sz w:val="21"/>
          <w:szCs w:val="21"/>
          <w:highlight w:val="none"/>
        </w:rPr>
        <w:t>由承包人承担责任及负责赔偿损失。</w:t>
      </w:r>
    </w:p>
    <w:p w14:paraId="390A15BF">
      <w:pPr>
        <w:pStyle w:val="11"/>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6.2考核标准：</w:t>
      </w:r>
    </w:p>
    <w:p w14:paraId="151101A7">
      <w:pPr>
        <w:pStyle w:val="11"/>
        <w:keepNext w:val="0"/>
        <w:keepLines w:val="0"/>
        <w:pageBreakBefore w:val="0"/>
        <w:widowControl w:val="0"/>
        <w:kinsoku/>
        <w:wordWrap/>
        <w:overflowPunct/>
        <w:topLinePunct w:val="0"/>
        <w:autoSpaceDE/>
        <w:autoSpaceDN/>
        <w:bidi w:val="0"/>
        <w:adjustRightInd/>
        <w:snapToGrid/>
        <w:spacing w:line="360" w:lineRule="auto"/>
        <w:ind w:left="10" w:firstLine="460" w:firstLineChars="200"/>
        <w:textAlignment w:val="auto"/>
        <w:rPr>
          <w:rFonts w:hint="eastAsia" w:ascii="宋体" w:hAnsi="宋体" w:eastAsia="宋体" w:cs="宋体"/>
          <w:b/>
          <w:bCs/>
          <w:spacing w:val="7"/>
          <w:sz w:val="21"/>
          <w:szCs w:val="21"/>
          <w:highlight w:val="none"/>
        </w:rPr>
      </w:pPr>
      <w:r>
        <w:rPr>
          <w:rFonts w:hint="eastAsia" w:ascii="宋体" w:hAnsi="宋体" w:eastAsia="宋体" w:cs="宋体"/>
          <w:spacing w:val="10"/>
          <w:position w:val="1"/>
          <w:sz w:val="21"/>
          <w:szCs w:val="21"/>
          <w:highlight w:val="none"/>
        </w:rPr>
        <w:t>成立安全组织机构、做好公路应急处置准备并建立应急机制；购买安全生产责任保险等</w:t>
      </w:r>
      <w:r>
        <w:rPr>
          <w:rFonts w:hint="eastAsia" w:ascii="宋体" w:hAnsi="宋体" w:eastAsia="宋体" w:cs="宋体"/>
          <w:spacing w:val="10"/>
          <w:position w:val="1"/>
          <w:sz w:val="21"/>
          <w:szCs w:val="21"/>
          <w:highlight w:val="none"/>
          <w:lang w:val="en-US" w:eastAsia="zh-CN"/>
        </w:rPr>
        <w:t>相关保险</w:t>
      </w:r>
      <w:r>
        <w:rPr>
          <w:rFonts w:hint="eastAsia" w:ascii="宋体" w:hAnsi="宋体" w:eastAsia="宋体" w:cs="宋体"/>
          <w:spacing w:val="10"/>
          <w:position w:val="1"/>
          <w:sz w:val="21"/>
          <w:szCs w:val="21"/>
          <w:highlight w:val="none"/>
        </w:rPr>
        <w:t>；按《公路养护安全作业规程》（JTG H30-2015）规范要求和国家现行《安全生产法》、《道路交通安全法》要求开展养护作业，规范公路标志服帽着装，规范设置公路养护安全作业区，涉险作业设置防护设施，开展作业前安全交底和学习教育，规范安全操作，</w:t>
      </w:r>
      <w:r>
        <w:rPr>
          <w:rFonts w:hint="eastAsia" w:ascii="宋体" w:hAnsi="宋体" w:eastAsia="宋体" w:cs="宋体"/>
          <w:spacing w:val="10"/>
          <w:position w:val="1"/>
          <w:sz w:val="21"/>
          <w:szCs w:val="21"/>
          <w:highlight w:val="none"/>
          <w:lang w:val="en-US" w:eastAsia="zh-CN"/>
        </w:rPr>
        <w:t>对不规范作业闭环整改</w:t>
      </w:r>
      <w:r>
        <w:rPr>
          <w:rFonts w:hint="eastAsia" w:ascii="宋体" w:hAnsi="宋体" w:eastAsia="宋体" w:cs="宋体"/>
          <w:spacing w:val="10"/>
          <w:position w:val="1"/>
          <w:sz w:val="21"/>
          <w:szCs w:val="21"/>
          <w:highlight w:val="none"/>
        </w:rPr>
        <w:t>等。</w:t>
      </w:r>
    </w:p>
    <w:p w14:paraId="5A638734">
      <w:pPr>
        <w:pStyle w:val="1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未开展安全教育培训的，每</w:t>
      </w:r>
      <w:r>
        <w:rPr>
          <w:rFonts w:hint="eastAsia" w:ascii="宋体" w:hAnsi="宋体" w:eastAsia="宋体" w:cs="宋体"/>
          <w:sz w:val="21"/>
          <w:szCs w:val="21"/>
          <w:highlight w:val="none"/>
          <w:lang w:val="en-US" w:eastAsia="zh-CN"/>
        </w:rPr>
        <w:t>次</w:t>
      </w:r>
      <w:r>
        <w:rPr>
          <w:rFonts w:hint="eastAsia" w:ascii="宋体" w:hAnsi="宋体" w:eastAsia="宋体" w:cs="宋体"/>
          <w:sz w:val="21"/>
          <w:szCs w:val="21"/>
          <w:highlight w:val="none"/>
        </w:rPr>
        <w:t>扣0.</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val="en-US" w:eastAsia="zh-CN"/>
        </w:rPr>
        <w:t>；</w:t>
      </w:r>
    </w:p>
    <w:p w14:paraId="26675FFE">
      <w:pPr>
        <w:pStyle w:val="1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未开展班前5分钟安全生产在学习再教育技术交底，每次扣0.2分，或开展但针对性不强的每次扣0.1分</w:t>
      </w:r>
      <w:r>
        <w:rPr>
          <w:rFonts w:hint="eastAsia" w:ascii="宋体" w:hAnsi="宋体" w:eastAsia="宋体" w:cs="宋体"/>
          <w:sz w:val="21"/>
          <w:szCs w:val="21"/>
          <w:highlight w:val="none"/>
          <w:lang w:val="en-US" w:eastAsia="zh-CN"/>
        </w:rPr>
        <w:t>；</w:t>
      </w:r>
    </w:p>
    <w:p w14:paraId="438B020A">
      <w:pPr>
        <w:pStyle w:val="1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作业人员未规范安全着装的每人次扣0.2分</w:t>
      </w:r>
      <w:r>
        <w:rPr>
          <w:rFonts w:hint="eastAsia" w:ascii="宋体" w:hAnsi="宋体" w:eastAsia="宋体" w:cs="宋体"/>
          <w:sz w:val="21"/>
          <w:szCs w:val="21"/>
          <w:highlight w:val="none"/>
          <w:lang w:val="en-US" w:eastAsia="zh-CN"/>
        </w:rPr>
        <w:t>；</w:t>
      </w:r>
    </w:p>
    <w:p w14:paraId="04A7FAFA">
      <w:pPr>
        <w:pStyle w:val="1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作业人员违章操作的每次扣0.5分</w:t>
      </w:r>
      <w:r>
        <w:rPr>
          <w:rFonts w:hint="eastAsia" w:ascii="宋体" w:hAnsi="宋体" w:eastAsia="宋体" w:cs="宋体"/>
          <w:sz w:val="21"/>
          <w:szCs w:val="21"/>
          <w:highlight w:val="none"/>
          <w:lang w:val="en-US" w:eastAsia="zh-CN"/>
        </w:rPr>
        <w:t>；</w:t>
      </w:r>
    </w:p>
    <w:p w14:paraId="31B51D11">
      <w:pPr>
        <w:pStyle w:val="1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未规范设置养护安全作业区的每次扣</w:t>
      </w:r>
      <w:r>
        <w:rPr>
          <w:rFonts w:hint="eastAsia" w:ascii="宋体" w:hAnsi="宋体" w:eastAsia="宋体" w:cs="宋体"/>
          <w:sz w:val="21"/>
          <w:szCs w:val="21"/>
          <w:highlight w:val="none"/>
          <w:lang w:val="en-US" w:eastAsia="zh-CN"/>
        </w:rPr>
        <w:t>0.5</w:t>
      </w:r>
      <w:r>
        <w:rPr>
          <w:rFonts w:hint="eastAsia" w:ascii="宋体" w:hAnsi="宋体" w:eastAsia="宋体" w:cs="宋体"/>
          <w:sz w:val="21"/>
          <w:szCs w:val="21"/>
          <w:highlight w:val="none"/>
        </w:rPr>
        <w:t>分。</w:t>
      </w:r>
    </w:p>
    <w:p w14:paraId="287F2A19">
      <w:pPr>
        <w:pStyle w:val="1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需设安全防护设施的未按规定设置的扣</w:t>
      </w:r>
      <w:r>
        <w:rPr>
          <w:rFonts w:hint="eastAsia" w:ascii="宋体" w:hAnsi="宋体" w:eastAsia="宋体" w:cs="宋体"/>
          <w:sz w:val="21"/>
          <w:szCs w:val="21"/>
          <w:highlight w:val="none"/>
          <w:lang w:val="en-US" w:eastAsia="zh-CN"/>
        </w:rPr>
        <w:t>0.5</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val="en-US" w:eastAsia="zh-CN"/>
        </w:rPr>
        <w:t>；</w:t>
      </w:r>
    </w:p>
    <w:p w14:paraId="0B182BDA">
      <w:pPr>
        <w:pStyle w:val="1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未按要求开展安全隐患排查的，每次扣0.2分</w:t>
      </w:r>
    </w:p>
    <w:p w14:paraId="3EEDC428">
      <w:pPr>
        <w:pStyle w:val="1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对安全检查发现的安全作业存在问题未进行闭环整改扣</w:t>
      </w:r>
      <w:r>
        <w:rPr>
          <w:rFonts w:hint="eastAsia" w:ascii="宋体" w:hAnsi="宋体" w:eastAsia="宋体" w:cs="宋体"/>
          <w:sz w:val="21"/>
          <w:szCs w:val="21"/>
          <w:highlight w:val="none"/>
          <w:lang w:val="en-US" w:eastAsia="zh-CN"/>
        </w:rPr>
        <w:t>0.5</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val="en-US" w:eastAsia="zh-CN"/>
        </w:rPr>
        <w:t>；</w:t>
      </w:r>
    </w:p>
    <w:p w14:paraId="1F1534B1">
      <w:pPr>
        <w:pStyle w:val="1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发生</w:t>
      </w:r>
      <w:r>
        <w:rPr>
          <w:rFonts w:hint="eastAsia" w:ascii="宋体" w:hAnsi="宋体" w:eastAsia="宋体" w:cs="宋体"/>
          <w:sz w:val="21"/>
          <w:szCs w:val="21"/>
          <w:highlight w:val="none"/>
          <w:lang w:val="en-US" w:eastAsia="zh-CN"/>
        </w:rPr>
        <w:t>具有</w:t>
      </w:r>
      <w:r>
        <w:rPr>
          <w:rFonts w:hint="eastAsia" w:ascii="宋体" w:hAnsi="宋体" w:eastAsia="宋体" w:cs="宋体"/>
          <w:sz w:val="21"/>
          <w:szCs w:val="21"/>
          <w:highlight w:val="none"/>
        </w:rPr>
        <w:t>责任</w:t>
      </w:r>
      <w:r>
        <w:rPr>
          <w:rFonts w:hint="eastAsia" w:ascii="宋体" w:hAnsi="宋体" w:eastAsia="宋体" w:cs="宋体"/>
          <w:sz w:val="21"/>
          <w:szCs w:val="21"/>
          <w:highlight w:val="none"/>
          <w:lang w:val="en-US" w:eastAsia="zh-CN"/>
        </w:rPr>
        <w:t>的交通</w:t>
      </w:r>
      <w:r>
        <w:rPr>
          <w:rFonts w:hint="eastAsia" w:ascii="宋体" w:hAnsi="宋体" w:eastAsia="宋体" w:cs="宋体"/>
          <w:sz w:val="21"/>
          <w:szCs w:val="21"/>
          <w:highlight w:val="none"/>
        </w:rPr>
        <w:t>事故每起扣</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val="en-US" w:eastAsia="zh-CN"/>
        </w:rPr>
        <w:t>；</w:t>
      </w:r>
    </w:p>
    <w:p w14:paraId="630ECE41">
      <w:pPr>
        <w:pStyle w:val="11"/>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发生无人员死亡的一般安全生产责任事故的，每起扣</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发生有人死亡的一般及以上安全生产责任事，每起扣10分。</w:t>
      </w:r>
    </w:p>
    <w:p w14:paraId="14A6F0BD">
      <w:pPr>
        <w:pStyle w:val="11"/>
        <w:keepNext w:val="0"/>
        <w:keepLines w:val="0"/>
        <w:pageBreakBefore w:val="0"/>
        <w:widowControl w:val="0"/>
        <w:kinsoku/>
        <w:wordWrap/>
        <w:overflowPunct/>
        <w:topLinePunct w:val="0"/>
        <w:autoSpaceDE/>
        <w:autoSpaceDN/>
        <w:bidi w:val="0"/>
        <w:adjustRightInd/>
        <w:snapToGrid/>
        <w:spacing w:line="360" w:lineRule="auto"/>
        <w:ind w:firstLine="514" w:firstLineChars="200"/>
        <w:textAlignment w:val="auto"/>
        <w:rPr>
          <w:rFonts w:hint="eastAsia" w:ascii="宋体" w:hAnsi="宋体" w:eastAsia="宋体" w:cs="宋体"/>
          <w:b/>
          <w:bCs/>
          <w:spacing w:val="10"/>
          <w:position w:val="1"/>
          <w:sz w:val="24"/>
          <w:szCs w:val="24"/>
          <w:highlight w:val="none"/>
        </w:rPr>
      </w:pPr>
      <w:r>
        <w:rPr>
          <w:rFonts w:hint="eastAsia" w:ascii="宋体" w:hAnsi="宋体" w:eastAsia="宋体" w:cs="宋体"/>
          <w:b/>
          <w:bCs/>
          <w:spacing w:val="8"/>
          <w:sz w:val="24"/>
          <w:szCs w:val="24"/>
          <w:highlight w:val="none"/>
          <w:lang w:val="en-US" w:eastAsia="zh-CN"/>
        </w:rPr>
        <w:t>7.</w:t>
      </w:r>
      <w:r>
        <w:rPr>
          <w:rFonts w:hint="eastAsia" w:ascii="宋体" w:hAnsi="宋体" w:eastAsia="宋体" w:cs="宋体"/>
          <w:b/>
          <w:bCs/>
          <w:spacing w:val="10"/>
          <w:position w:val="1"/>
          <w:sz w:val="24"/>
          <w:szCs w:val="24"/>
          <w:highlight w:val="none"/>
        </w:rPr>
        <w:t>不可预见的专项养护</w:t>
      </w:r>
    </w:p>
    <w:p w14:paraId="45F24CBA">
      <w:pPr>
        <w:pStyle w:val="11"/>
        <w:keepNext w:val="0"/>
        <w:keepLines w:val="0"/>
        <w:pageBreakBefore w:val="0"/>
        <w:widowControl w:val="0"/>
        <w:kinsoku/>
        <w:wordWrap/>
        <w:overflowPunct/>
        <w:topLinePunct w:val="0"/>
        <w:autoSpaceDE/>
        <w:autoSpaceDN/>
        <w:bidi w:val="0"/>
        <w:adjustRightInd/>
        <w:snapToGrid/>
        <w:spacing w:line="360" w:lineRule="auto"/>
        <w:ind w:firstLine="460" w:firstLineChars="200"/>
        <w:textAlignment w:val="auto"/>
        <w:rPr>
          <w:rFonts w:hint="eastAsia" w:ascii="宋体" w:hAnsi="宋体" w:eastAsia="宋体" w:cs="宋体"/>
          <w:spacing w:val="8"/>
          <w:sz w:val="21"/>
          <w:szCs w:val="21"/>
          <w:highlight w:val="none"/>
        </w:rPr>
      </w:pPr>
      <w:r>
        <w:rPr>
          <w:rFonts w:hint="eastAsia" w:ascii="宋体" w:hAnsi="宋体" w:eastAsia="宋体" w:cs="宋体"/>
          <w:spacing w:val="10"/>
          <w:position w:val="1"/>
          <w:sz w:val="21"/>
          <w:szCs w:val="21"/>
          <w:highlight w:val="none"/>
          <w:lang w:val="en-US" w:eastAsia="zh-CN"/>
        </w:rPr>
        <w:t>7.1工作内容及要求：</w:t>
      </w:r>
    </w:p>
    <w:p w14:paraId="128BBCD0">
      <w:pPr>
        <w:pStyle w:val="11"/>
        <w:keepNext w:val="0"/>
        <w:keepLines w:val="0"/>
        <w:pageBreakBefore w:val="0"/>
        <w:widowControl w:val="0"/>
        <w:kinsoku/>
        <w:wordWrap/>
        <w:overflowPunct/>
        <w:topLinePunct w:val="0"/>
        <w:autoSpaceDE/>
        <w:autoSpaceDN/>
        <w:bidi w:val="0"/>
        <w:adjustRightInd/>
        <w:snapToGrid/>
        <w:spacing w:line="360" w:lineRule="auto"/>
        <w:ind w:right="70" w:firstLine="460" w:firstLineChars="200"/>
        <w:textAlignment w:val="auto"/>
        <w:rPr>
          <w:rFonts w:hint="eastAsia" w:ascii="宋体" w:hAnsi="宋体" w:eastAsia="宋体" w:cs="宋体"/>
          <w:sz w:val="21"/>
          <w:szCs w:val="21"/>
          <w:highlight w:val="none"/>
        </w:rPr>
      </w:pPr>
      <w:r>
        <w:rPr>
          <w:rFonts w:hint="eastAsia" w:ascii="宋体" w:hAnsi="宋体" w:eastAsia="宋体" w:cs="宋体"/>
          <w:spacing w:val="10"/>
          <w:sz w:val="21"/>
          <w:szCs w:val="21"/>
          <w:highlight w:val="none"/>
          <w:lang w:eastAsia="zh-CN"/>
        </w:rPr>
        <w:t>（</w:t>
      </w:r>
      <w:r>
        <w:rPr>
          <w:rFonts w:hint="eastAsia" w:ascii="宋体" w:hAnsi="宋体" w:eastAsia="宋体" w:cs="宋体"/>
          <w:spacing w:val="10"/>
          <w:sz w:val="21"/>
          <w:szCs w:val="21"/>
          <w:highlight w:val="none"/>
          <w:lang w:val="en-US" w:eastAsia="zh-CN"/>
        </w:rPr>
        <w:t>1</w:t>
      </w:r>
      <w:r>
        <w:rPr>
          <w:rFonts w:hint="eastAsia" w:ascii="宋体" w:hAnsi="宋体" w:eastAsia="宋体" w:cs="宋体"/>
          <w:spacing w:val="10"/>
          <w:sz w:val="21"/>
          <w:szCs w:val="21"/>
          <w:highlight w:val="none"/>
          <w:lang w:eastAsia="zh-CN"/>
        </w:rPr>
        <w:t>）</w:t>
      </w:r>
      <w:r>
        <w:rPr>
          <w:rFonts w:hint="eastAsia" w:ascii="宋体" w:hAnsi="宋体" w:eastAsia="宋体" w:cs="宋体"/>
          <w:spacing w:val="10"/>
          <w:sz w:val="21"/>
          <w:szCs w:val="21"/>
          <w:highlight w:val="none"/>
        </w:rPr>
        <w:t>便民候车亭养护要求和质量验收标准：清理墙壁非法广告、开展日常卫生保洁，</w:t>
      </w:r>
      <w:r>
        <w:rPr>
          <w:rFonts w:hint="eastAsia" w:ascii="宋体" w:hAnsi="宋体" w:eastAsia="宋体" w:cs="宋体"/>
          <w:spacing w:val="9"/>
          <w:sz w:val="21"/>
          <w:szCs w:val="21"/>
          <w:highlight w:val="none"/>
        </w:rPr>
        <w:t>保持停车亭内清洁无杂</w:t>
      </w:r>
      <w:r>
        <w:rPr>
          <w:rFonts w:hint="eastAsia" w:ascii="宋体" w:hAnsi="宋体" w:eastAsia="宋体" w:cs="宋体"/>
          <w:spacing w:val="10"/>
          <w:sz w:val="21"/>
          <w:szCs w:val="21"/>
          <w:highlight w:val="none"/>
        </w:rPr>
        <w:t>物、杂草、垃圾，地面平整、无积水，定期维护，结构外缘</w:t>
      </w:r>
      <w:r>
        <w:rPr>
          <w:rFonts w:hint="eastAsia" w:ascii="宋体" w:hAnsi="宋体" w:eastAsia="宋体" w:cs="宋体"/>
          <w:spacing w:val="-18"/>
          <w:sz w:val="21"/>
          <w:szCs w:val="21"/>
          <w:highlight w:val="none"/>
        </w:rPr>
        <w:t xml:space="preserve"> </w:t>
      </w:r>
      <w:r>
        <w:rPr>
          <w:rFonts w:hint="eastAsia" w:ascii="宋体" w:hAnsi="宋体" w:eastAsia="宋体" w:cs="宋体"/>
          <w:spacing w:val="10"/>
          <w:sz w:val="21"/>
          <w:szCs w:val="21"/>
          <w:highlight w:val="none"/>
        </w:rPr>
        <w:t>1 米内长草不</w:t>
      </w:r>
      <w:r>
        <w:rPr>
          <w:rFonts w:hint="eastAsia" w:ascii="宋体" w:hAnsi="宋体" w:eastAsia="宋体" w:cs="宋体"/>
          <w:spacing w:val="9"/>
          <w:sz w:val="21"/>
          <w:szCs w:val="21"/>
          <w:highlight w:val="none"/>
        </w:rPr>
        <w:t>超过</w:t>
      </w:r>
      <w:r>
        <w:rPr>
          <w:rFonts w:hint="eastAsia" w:ascii="宋体" w:hAnsi="宋体" w:eastAsia="宋体" w:cs="宋体"/>
          <w:spacing w:val="-20"/>
          <w:sz w:val="21"/>
          <w:szCs w:val="21"/>
          <w:highlight w:val="none"/>
        </w:rPr>
        <w:t xml:space="preserve"> </w:t>
      </w:r>
      <w:r>
        <w:rPr>
          <w:rFonts w:hint="eastAsia" w:ascii="宋体" w:hAnsi="宋体" w:eastAsia="宋体" w:cs="宋体"/>
          <w:spacing w:val="9"/>
          <w:sz w:val="21"/>
          <w:szCs w:val="21"/>
          <w:highlight w:val="none"/>
        </w:rPr>
        <w:t>15</w:t>
      </w:r>
      <w:r>
        <w:rPr>
          <w:rFonts w:hint="eastAsia" w:ascii="宋体" w:hAnsi="宋体" w:eastAsia="宋体" w:cs="宋体"/>
          <w:sz w:val="21"/>
          <w:szCs w:val="21"/>
          <w:highlight w:val="none"/>
        </w:rPr>
        <w:t>cm</w:t>
      </w:r>
      <w:r>
        <w:rPr>
          <w:rFonts w:hint="eastAsia" w:ascii="宋体" w:hAnsi="宋体" w:eastAsia="宋体" w:cs="宋体"/>
          <w:spacing w:val="-24"/>
          <w:sz w:val="21"/>
          <w:szCs w:val="21"/>
          <w:highlight w:val="none"/>
        </w:rPr>
        <w:t xml:space="preserve"> </w:t>
      </w:r>
      <w:r>
        <w:rPr>
          <w:rFonts w:hint="eastAsia" w:ascii="宋体" w:hAnsi="宋体" w:eastAsia="宋体" w:cs="宋体"/>
          <w:spacing w:val="9"/>
          <w:sz w:val="21"/>
          <w:szCs w:val="21"/>
          <w:highlight w:val="none"/>
        </w:rPr>
        <w:t>，清除长草杂草，每</w:t>
      </w:r>
      <w:r>
        <w:rPr>
          <w:rFonts w:hint="eastAsia" w:ascii="宋体" w:hAnsi="宋体" w:eastAsia="宋体" w:cs="宋体"/>
          <w:spacing w:val="6"/>
          <w:sz w:val="21"/>
          <w:szCs w:val="21"/>
          <w:highlight w:val="none"/>
        </w:rPr>
        <w:t>月进行一遍。</w:t>
      </w:r>
    </w:p>
    <w:p w14:paraId="074D8810">
      <w:pPr>
        <w:pStyle w:val="11"/>
        <w:keepNext w:val="0"/>
        <w:keepLines w:val="0"/>
        <w:pageBreakBefore w:val="0"/>
        <w:widowControl w:val="0"/>
        <w:kinsoku/>
        <w:wordWrap/>
        <w:overflowPunct/>
        <w:topLinePunct w:val="0"/>
        <w:autoSpaceDE/>
        <w:autoSpaceDN/>
        <w:bidi w:val="0"/>
        <w:adjustRightInd/>
        <w:snapToGrid/>
        <w:spacing w:line="360" w:lineRule="auto"/>
        <w:ind w:right="73" w:firstLine="460" w:firstLineChars="200"/>
        <w:textAlignment w:val="auto"/>
        <w:rPr>
          <w:rFonts w:hint="eastAsia" w:ascii="宋体" w:hAnsi="宋体" w:eastAsia="宋体" w:cs="宋体"/>
          <w:sz w:val="21"/>
          <w:szCs w:val="21"/>
          <w:highlight w:val="none"/>
        </w:rPr>
      </w:pPr>
      <w:r>
        <w:rPr>
          <w:rFonts w:hint="eastAsia" w:ascii="宋体" w:hAnsi="宋体" w:eastAsia="宋体" w:cs="宋体"/>
          <w:spacing w:val="10"/>
          <w:sz w:val="21"/>
          <w:szCs w:val="21"/>
          <w:highlight w:val="none"/>
          <w:lang w:eastAsia="zh-CN"/>
        </w:rPr>
        <w:t>（</w:t>
      </w:r>
      <w:r>
        <w:rPr>
          <w:rFonts w:hint="eastAsia" w:ascii="宋体" w:hAnsi="宋体" w:eastAsia="宋体" w:cs="宋体"/>
          <w:spacing w:val="10"/>
          <w:sz w:val="21"/>
          <w:szCs w:val="21"/>
          <w:highlight w:val="none"/>
          <w:lang w:val="en-US" w:eastAsia="zh-CN"/>
        </w:rPr>
        <w:t>2</w:t>
      </w:r>
      <w:r>
        <w:rPr>
          <w:rFonts w:hint="eastAsia" w:ascii="宋体" w:hAnsi="宋体" w:eastAsia="宋体" w:cs="宋体"/>
          <w:spacing w:val="10"/>
          <w:sz w:val="21"/>
          <w:szCs w:val="21"/>
          <w:highlight w:val="none"/>
          <w:lang w:eastAsia="zh-CN"/>
        </w:rPr>
        <w:t>）</w:t>
      </w:r>
      <w:r>
        <w:rPr>
          <w:rFonts w:hint="eastAsia" w:ascii="宋体" w:hAnsi="宋体" w:eastAsia="宋体" w:cs="宋体"/>
          <w:spacing w:val="10"/>
          <w:sz w:val="21"/>
          <w:szCs w:val="21"/>
          <w:highlight w:val="none"/>
        </w:rPr>
        <w:t>路面防洒落物治理要求和质量验收标准：保持路面清洁、标线清晰，利用扫路车或洒水车对路面进行清</w:t>
      </w:r>
      <w:r>
        <w:rPr>
          <w:rFonts w:hint="eastAsia" w:ascii="宋体" w:hAnsi="宋体" w:eastAsia="宋体" w:cs="宋体"/>
          <w:spacing w:val="11"/>
          <w:sz w:val="21"/>
          <w:szCs w:val="21"/>
          <w:highlight w:val="none"/>
        </w:rPr>
        <w:t>扫或冲洗，每月全路段至少清扫一遍，地方政府有考察检查或专项行动时按政府通知进行专项清扫</w:t>
      </w:r>
      <w:r>
        <w:rPr>
          <w:rFonts w:hint="eastAsia" w:ascii="宋体" w:hAnsi="宋体" w:eastAsia="宋体" w:cs="宋体"/>
          <w:spacing w:val="11"/>
          <w:sz w:val="21"/>
          <w:szCs w:val="21"/>
          <w:highlight w:val="none"/>
          <w:lang w:val="en-US" w:eastAsia="zh-CN"/>
        </w:rPr>
        <w:t>和</w:t>
      </w:r>
      <w:r>
        <w:rPr>
          <w:rFonts w:hint="eastAsia" w:ascii="宋体" w:hAnsi="宋体" w:eastAsia="宋体" w:cs="宋体"/>
          <w:sz w:val="21"/>
          <w:szCs w:val="21"/>
          <w:highlight w:val="none"/>
        </w:rPr>
        <w:t>路容路貌整治</w:t>
      </w:r>
      <w:r>
        <w:rPr>
          <w:rFonts w:hint="eastAsia" w:ascii="宋体" w:hAnsi="宋体" w:eastAsia="宋体" w:cs="宋体"/>
          <w:spacing w:val="11"/>
          <w:sz w:val="21"/>
          <w:szCs w:val="21"/>
          <w:highlight w:val="none"/>
          <w:lang w:eastAsia="zh-CN"/>
        </w:rPr>
        <w:t>。</w:t>
      </w:r>
      <w:r>
        <w:rPr>
          <w:rFonts w:hint="eastAsia" w:ascii="宋体" w:hAnsi="宋体" w:eastAsia="宋体" w:cs="宋体"/>
          <w:spacing w:val="11"/>
          <w:sz w:val="21"/>
          <w:szCs w:val="21"/>
          <w:highlight w:val="none"/>
        </w:rPr>
        <w:t>加强每日巡路，负责</w:t>
      </w:r>
      <w:r>
        <w:rPr>
          <w:rFonts w:hint="eastAsia" w:ascii="宋体" w:hAnsi="宋体" w:eastAsia="宋体" w:cs="宋体"/>
          <w:spacing w:val="9"/>
          <w:sz w:val="21"/>
          <w:szCs w:val="21"/>
          <w:highlight w:val="none"/>
        </w:rPr>
        <w:t>清理临时出现的路面洒落碎石或砂，发生洒落情况后</w:t>
      </w:r>
      <w:r>
        <w:rPr>
          <w:rFonts w:hint="eastAsia" w:ascii="宋体" w:hAnsi="宋体" w:eastAsia="宋体" w:cs="宋体"/>
          <w:spacing w:val="-42"/>
          <w:sz w:val="21"/>
          <w:szCs w:val="21"/>
          <w:highlight w:val="none"/>
        </w:rPr>
        <w:t xml:space="preserve"> </w:t>
      </w:r>
      <w:r>
        <w:rPr>
          <w:rFonts w:hint="eastAsia" w:ascii="宋体" w:hAnsi="宋体" w:eastAsia="宋体" w:cs="宋体"/>
          <w:spacing w:val="9"/>
          <w:sz w:val="21"/>
          <w:szCs w:val="21"/>
          <w:highlight w:val="none"/>
        </w:rPr>
        <w:t>4 小时</w:t>
      </w:r>
      <w:r>
        <w:rPr>
          <w:rFonts w:hint="eastAsia" w:ascii="宋体" w:hAnsi="宋体" w:eastAsia="宋体" w:cs="宋体"/>
          <w:spacing w:val="8"/>
          <w:sz w:val="21"/>
          <w:szCs w:val="21"/>
          <w:highlight w:val="none"/>
        </w:rPr>
        <w:t>内清理完毕。</w:t>
      </w:r>
    </w:p>
    <w:p w14:paraId="16C67086">
      <w:pPr>
        <w:pStyle w:val="11"/>
        <w:keepNext w:val="0"/>
        <w:keepLines w:val="0"/>
        <w:pageBreakBefore w:val="0"/>
        <w:widowControl w:val="0"/>
        <w:kinsoku/>
        <w:wordWrap/>
        <w:overflowPunct/>
        <w:topLinePunct w:val="0"/>
        <w:autoSpaceDE/>
        <w:autoSpaceDN/>
        <w:bidi w:val="0"/>
        <w:adjustRightInd/>
        <w:snapToGrid/>
        <w:spacing w:line="360" w:lineRule="auto"/>
        <w:ind w:right="73" w:firstLine="460" w:firstLineChars="200"/>
        <w:textAlignment w:val="auto"/>
        <w:rPr>
          <w:rFonts w:hint="eastAsia" w:ascii="宋体" w:hAnsi="宋体" w:eastAsia="宋体" w:cs="宋体"/>
          <w:sz w:val="21"/>
          <w:szCs w:val="21"/>
          <w:highlight w:val="none"/>
        </w:rPr>
      </w:pPr>
      <w:r>
        <w:rPr>
          <w:rFonts w:hint="eastAsia" w:ascii="宋体" w:hAnsi="宋体" w:eastAsia="宋体" w:cs="宋体"/>
          <w:spacing w:val="10"/>
          <w:sz w:val="21"/>
          <w:szCs w:val="21"/>
          <w:highlight w:val="none"/>
          <w:lang w:eastAsia="zh-CN"/>
        </w:rPr>
        <w:t>（</w:t>
      </w:r>
      <w:r>
        <w:rPr>
          <w:rFonts w:hint="eastAsia" w:ascii="宋体" w:hAnsi="宋体" w:eastAsia="宋体" w:cs="宋体"/>
          <w:spacing w:val="10"/>
          <w:sz w:val="21"/>
          <w:szCs w:val="21"/>
          <w:highlight w:val="none"/>
          <w:lang w:val="en-US" w:eastAsia="zh-CN"/>
        </w:rPr>
        <w:t>3</w:t>
      </w:r>
      <w:r>
        <w:rPr>
          <w:rFonts w:hint="eastAsia" w:ascii="宋体" w:hAnsi="宋体" w:eastAsia="宋体" w:cs="宋体"/>
          <w:spacing w:val="10"/>
          <w:sz w:val="21"/>
          <w:szCs w:val="21"/>
          <w:highlight w:val="none"/>
          <w:lang w:eastAsia="zh-CN"/>
        </w:rPr>
        <w:t>）</w:t>
      </w:r>
      <w:r>
        <w:rPr>
          <w:rFonts w:hint="eastAsia" w:ascii="宋体" w:hAnsi="宋体" w:eastAsia="宋体" w:cs="宋体"/>
          <w:spacing w:val="10"/>
          <w:sz w:val="21"/>
          <w:szCs w:val="21"/>
          <w:highlight w:val="none"/>
        </w:rPr>
        <w:t>过境路排水系统治理要求和质量验收标准：保持过境路段边沟、截水沟、排水沟、涵洞干净整洁，沟内</w:t>
      </w:r>
      <w:r>
        <w:rPr>
          <w:rFonts w:hint="eastAsia" w:ascii="宋体" w:hAnsi="宋体" w:eastAsia="宋体" w:cs="宋体"/>
          <w:spacing w:val="9"/>
          <w:sz w:val="21"/>
          <w:szCs w:val="21"/>
          <w:highlight w:val="none"/>
        </w:rPr>
        <w:t>无杂草、无淤塞，排水畅通，每月清理一遍。雨季期间全面排通，雨季后专项清理一遍。</w:t>
      </w:r>
    </w:p>
    <w:p w14:paraId="3F28E292">
      <w:pPr>
        <w:keepNext w:val="0"/>
        <w:keepLines w:val="0"/>
        <w:pageBreakBefore w:val="0"/>
        <w:widowControl w:val="0"/>
        <w:kinsoku/>
        <w:wordWrap/>
        <w:overflowPunct/>
        <w:topLinePunct w:val="0"/>
        <w:autoSpaceDE/>
        <w:autoSpaceDN/>
        <w:bidi w:val="0"/>
        <w:adjustRightInd/>
        <w:snapToGrid/>
        <w:spacing w:line="360" w:lineRule="auto"/>
        <w:ind w:firstLine="448" w:firstLineChars="200"/>
        <w:textAlignment w:val="auto"/>
        <w:rPr>
          <w:rFonts w:hint="eastAsia" w:ascii="宋体" w:hAnsi="宋体" w:eastAsia="宋体" w:cs="宋体"/>
          <w:spacing w:val="9"/>
          <w:sz w:val="21"/>
          <w:szCs w:val="21"/>
          <w:highlight w:val="none"/>
        </w:rPr>
      </w:pPr>
      <w:r>
        <w:rPr>
          <w:rFonts w:hint="eastAsia" w:ascii="宋体" w:hAnsi="宋体" w:eastAsia="宋体" w:cs="宋体"/>
          <w:spacing w:val="7"/>
          <w:sz w:val="21"/>
          <w:szCs w:val="21"/>
          <w:highlight w:val="none"/>
          <w:lang w:eastAsia="zh-CN"/>
        </w:rPr>
        <w:t>（</w:t>
      </w:r>
      <w:r>
        <w:rPr>
          <w:rFonts w:hint="eastAsia" w:ascii="宋体" w:hAnsi="宋体" w:eastAsia="宋体" w:cs="宋体"/>
          <w:spacing w:val="7"/>
          <w:sz w:val="21"/>
          <w:szCs w:val="21"/>
          <w:highlight w:val="none"/>
          <w:lang w:val="en-US" w:eastAsia="zh-CN"/>
        </w:rPr>
        <w:t>4</w:t>
      </w:r>
      <w:r>
        <w:rPr>
          <w:rFonts w:hint="eastAsia" w:ascii="宋体" w:hAnsi="宋体" w:eastAsia="宋体" w:cs="宋体"/>
          <w:spacing w:val="7"/>
          <w:sz w:val="21"/>
          <w:szCs w:val="21"/>
          <w:highlight w:val="none"/>
          <w:lang w:eastAsia="zh-CN"/>
        </w:rPr>
        <w:t>）</w:t>
      </w:r>
      <w:r>
        <w:rPr>
          <w:rFonts w:hint="eastAsia" w:ascii="宋体" w:hAnsi="宋体" w:eastAsia="宋体" w:cs="宋体"/>
          <w:spacing w:val="7"/>
          <w:sz w:val="21"/>
          <w:szCs w:val="21"/>
          <w:highlight w:val="none"/>
        </w:rPr>
        <w:t>四类重要节点路段治理要求和质量验收标准：县城</w:t>
      </w:r>
      <w:r>
        <w:rPr>
          <w:rFonts w:hint="eastAsia" w:ascii="宋体" w:hAnsi="宋体" w:eastAsia="宋体" w:cs="宋体"/>
          <w:spacing w:val="6"/>
          <w:sz w:val="21"/>
          <w:szCs w:val="21"/>
          <w:highlight w:val="none"/>
        </w:rPr>
        <w:t>出入口、产业园区、景区出入口、省际交界四类路段，</w:t>
      </w:r>
      <w:r>
        <w:rPr>
          <w:rFonts w:hint="eastAsia" w:ascii="宋体" w:hAnsi="宋体" w:eastAsia="宋体" w:cs="宋体"/>
          <w:spacing w:val="9"/>
          <w:sz w:val="21"/>
          <w:szCs w:val="21"/>
          <w:highlight w:val="none"/>
        </w:rPr>
        <w:t>保持路容路貌整洁、路面平整、排水畅通、交安设施完整有效、公路设施完好、绿化修剪整齐美观、视距良好，</w:t>
      </w:r>
    </w:p>
    <w:p w14:paraId="2947C5FD">
      <w:pPr>
        <w:keepNext w:val="0"/>
        <w:keepLines w:val="0"/>
        <w:pageBreakBefore w:val="0"/>
        <w:widowControl w:val="0"/>
        <w:kinsoku/>
        <w:wordWrap/>
        <w:overflowPunct/>
        <w:topLinePunct w:val="0"/>
        <w:autoSpaceDE/>
        <w:autoSpaceDN/>
        <w:bidi w:val="0"/>
        <w:adjustRightInd/>
        <w:snapToGrid/>
        <w:spacing w:line="360" w:lineRule="auto"/>
        <w:ind w:firstLine="460" w:firstLineChars="200"/>
        <w:textAlignment w:val="auto"/>
        <w:rPr>
          <w:rFonts w:hint="eastAsia" w:ascii="宋体" w:hAnsi="宋体" w:eastAsia="宋体" w:cs="宋体"/>
          <w:sz w:val="21"/>
          <w:szCs w:val="21"/>
          <w:highlight w:val="none"/>
        </w:rPr>
      </w:pPr>
      <w:r>
        <w:rPr>
          <w:rFonts w:hint="eastAsia" w:ascii="宋体" w:hAnsi="宋体" w:eastAsia="宋体" w:cs="宋体"/>
          <w:spacing w:val="10"/>
          <w:position w:val="1"/>
          <w:sz w:val="21"/>
          <w:szCs w:val="21"/>
          <w:highlight w:val="none"/>
          <w:lang w:eastAsia="zh-CN"/>
        </w:rPr>
        <w:t>（</w:t>
      </w:r>
      <w:r>
        <w:rPr>
          <w:rFonts w:hint="eastAsia" w:ascii="宋体" w:hAnsi="宋体" w:eastAsia="宋体" w:cs="宋体"/>
          <w:spacing w:val="10"/>
          <w:position w:val="1"/>
          <w:sz w:val="21"/>
          <w:szCs w:val="21"/>
          <w:highlight w:val="none"/>
          <w:lang w:val="en-US" w:eastAsia="zh-CN"/>
        </w:rPr>
        <w:t>5</w:t>
      </w:r>
      <w:r>
        <w:rPr>
          <w:rFonts w:hint="eastAsia" w:ascii="宋体" w:hAnsi="宋体" w:eastAsia="宋体" w:cs="宋体"/>
          <w:spacing w:val="10"/>
          <w:position w:val="1"/>
          <w:sz w:val="21"/>
          <w:szCs w:val="21"/>
          <w:highlight w:val="none"/>
          <w:lang w:eastAsia="zh-CN"/>
        </w:rPr>
        <w:t>）</w:t>
      </w:r>
      <w:r>
        <w:rPr>
          <w:rFonts w:hint="eastAsia" w:ascii="宋体" w:hAnsi="宋体" w:eastAsia="宋体" w:cs="宋体"/>
          <w:spacing w:val="10"/>
          <w:position w:val="1"/>
          <w:sz w:val="21"/>
          <w:szCs w:val="21"/>
          <w:highlight w:val="none"/>
        </w:rPr>
        <w:t>路域环境整治</w:t>
      </w:r>
      <w:r>
        <w:rPr>
          <w:rFonts w:hint="eastAsia" w:ascii="宋体" w:hAnsi="宋体" w:eastAsia="宋体" w:cs="宋体"/>
          <w:spacing w:val="5"/>
          <w:sz w:val="21"/>
          <w:szCs w:val="21"/>
          <w:highlight w:val="none"/>
        </w:rPr>
        <w:t>要求和质量验收标准</w:t>
      </w:r>
      <w:r>
        <w:rPr>
          <w:rFonts w:hint="eastAsia" w:ascii="宋体" w:hAnsi="宋体" w:eastAsia="宋体" w:cs="宋体"/>
          <w:spacing w:val="10"/>
          <w:position w:val="1"/>
          <w:sz w:val="21"/>
          <w:szCs w:val="21"/>
          <w:highlight w:val="none"/>
          <w:lang w:eastAsia="zh-CN"/>
        </w:rPr>
        <w:t>：</w:t>
      </w:r>
      <w:r>
        <w:rPr>
          <w:rFonts w:hint="eastAsia" w:ascii="宋体" w:hAnsi="宋体" w:eastAsia="宋体" w:cs="宋体"/>
          <w:spacing w:val="9"/>
          <w:sz w:val="21"/>
          <w:szCs w:val="21"/>
          <w:highlight w:val="none"/>
        </w:rPr>
        <w:t>对违法占用公路乱搭乱建或埋设管线及种菜等行为主动制止</w:t>
      </w:r>
      <w:r>
        <w:rPr>
          <w:rFonts w:hint="eastAsia" w:ascii="宋体" w:hAnsi="宋体" w:eastAsia="宋体" w:cs="宋体"/>
          <w:spacing w:val="9"/>
          <w:sz w:val="21"/>
          <w:szCs w:val="21"/>
          <w:highlight w:val="none"/>
          <w:lang w:eastAsia="zh-CN"/>
        </w:rPr>
        <w:t>、</w:t>
      </w:r>
      <w:r>
        <w:rPr>
          <w:rFonts w:hint="eastAsia" w:ascii="宋体" w:hAnsi="宋体" w:eastAsia="宋体" w:cs="宋体"/>
          <w:spacing w:val="9"/>
          <w:sz w:val="21"/>
          <w:szCs w:val="21"/>
          <w:highlight w:val="none"/>
          <w:lang w:val="en-US" w:eastAsia="zh-CN"/>
        </w:rPr>
        <w:t>清理</w:t>
      </w:r>
      <w:r>
        <w:rPr>
          <w:rFonts w:hint="eastAsia" w:ascii="宋体" w:hAnsi="宋体" w:eastAsia="宋体" w:cs="宋体"/>
          <w:spacing w:val="9"/>
          <w:sz w:val="21"/>
          <w:szCs w:val="21"/>
          <w:highlight w:val="none"/>
        </w:rPr>
        <w:t>并及时报告</w:t>
      </w:r>
      <w:r>
        <w:rPr>
          <w:rFonts w:hint="eastAsia" w:ascii="宋体" w:hAnsi="宋体" w:eastAsia="宋体" w:cs="宋体"/>
          <w:sz w:val="21"/>
          <w:szCs w:val="21"/>
          <w:highlight w:val="none"/>
        </w:rPr>
        <w:t>，特别对穿越城镇路段加强清理，保持全线的路容路貌常态化整洁美观。</w:t>
      </w:r>
    </w:p>
    <w:p w14:paraId="1E36D133">
      <w:pPr>
        <w:pStyle w:val="11"/>
        <w:keepNext w:val="0"/>
        <w:keepLines w:val="0"/>
        <w:pageBreakBefore w:val="0"/>
        <w:widowControl w:val="0"/>
        <w:kinsoku/>
        <w:wordWrap/>
        <w:overflowPunct/>
        <w:topLinePunct w:val="0"/>
        <w:autoSpaceDE/>
        <w:autoSpaceDN/>
        <w:bidi w:val="0"/>
        <w:adjustRightInd/>
        <w:snapToGrid/>
        <w:spacing w:line="360" w:lineRule="auto"/>
        <w:ind w:left="6" w:firstLine="440" w:firstLineChars="200"/>
        <w:textAlignment w:val="auto"/>
        <w:rPr>
          <w:rFonts w:hint="eastAsia" w:ascii="宋体" w:hAnsi="宋体" w:eastAsia="宋体" w:cs="宋体"/>
          <w:spacing w:val="8"/>
          <w:sz w:val="21"/>
          <w:szCs w:val="21"/>
          <w:highlight w:val="none"/>
        </w:rPr>
      </w:pP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lang w:val="en-US" w:eastAsia="zh-CN"/>
        </w:rPr>
        <w:t>6</w:t>
      </w:r>
      <w:r>
        <w:rPr>
          <w:rFonts w:hint="eastAsia" w:ascii="宋体" w:hAnsi="宋体" w:eastAsia="宋体" w:cs="宋体"/>
          <w:spacing w:val="5"/>
          <w:sz w:val="21"/>
          <w:szCs w:val="21"/>
          <w:highlight w:val="none"/>
          <w:lang w:eastAsia="zh-CN"/>
        </w:rPr>
        <w:t>）</w:t>
      </w:r>
      <w:r>
        <w:rPr>
          <w:rFonts w:hint="eastAsia" w:ascii="宋体" w:hAnsi="宋体" w:eastAsia="宋体" w:cs="宋体"/>
          <w:spacing w:val="5"/>
          <w:sz w:val="21"/>
          <w:szCs w:val="21"/>
          <w:highlight w:val="none"/>
        </w:rPr>
        <w:t>临水路段河道疏浚要求和质量验收标准：结合每日路况巡查对公</w:t>
      </w:r>
      <w:r>
        <w:rPr>
          <w:rFonts w:hint="eastAsia" w:ascii="宋体" w:hAnsi="宋体" w:eastAsia="宋体" w:cs="宋体"/>
          <w:spacing w:val="4"/>
          <w:sz w:val="21"/>
          <w:szCs w:val="21"/>
          <w:highlight w:val="none"/>
        </w:rPr>
        <w:t>路沿线临水路段河道的下边坡、构造物、</w:t>
      </w:r>
      <w:r>
        <w:rPr>
          <w:rFonts w:hint="eastAsia" w:ascii="宋体" w:hAnsi="宋体" w:eastAsia="宋体" w:cs="宋体"/>
          <w:spacing w:val="9"/>
          <w:sz w:val="21"/>
          <w:szCs w:val="21"/>
          <w:highlight w:val="none"/>
        </w:rPr>
        <w:t>排水设施等进行检查。重点检查边坡有无冲刷、坍塌、填料流失、开裂，护坡、挡土墙等边坡构造物是否变形、受损，急流槽、排水沟、涵洞等排水设施是否破坏或失效，路基路面是否有空洞、裂缝、松动、下</w:t>
      </w:r>
      <w:r>
        <w:rPr>
          <w:rFonts w:hint="eastAsia" w:ascii="宋体" w:hAnsi="宋体" w:eastAsia="宋体" w:cs="宋体"/>
          <w:spacing w:val="6"/>
          <w:sz w:val="21"/>
          <w:szCs w:val="21"/>
          <w:highlight w:val="none"/>
        </w:rPr>
        <w:t>沉、塌方等安全隐患。巡路人员要做好临水路段检查记录，发现问题及时报告发包人，安排维修处置的，</w:t>
      </w:r>
      <w:r>
        <w:rPr>
          <w:rFonts w:hint="eastAsia" w:ascii="宋体" w:hAnsi="宋体" w:eastAsia="宋体" w:cs="宋体"/>
          <w:spacing w:val="8"/>
          <w:sz w:val="21"/>
          <w:szCs w:val="21"/>
          <w:highlight w:val="none"/>
        </w:rPr>
        <w:t>实施后按日常维修另行计量支付。</w:t>
      </w:r>
    </w:p>
    <w:p w14:paraId="2D630F5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护栏提升：加强对公路防护安全检查，对路侧防护缺失、现有护栏完整性不足和规范性不足进行排查记录，制定护栏提升计划并组织实施。</w:t>
      </w:r>
    </w:p>
    <w:p w14:paraId="15BCE4B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7.2考核标准：</w:t>
      </w:r>
    </w:p>
    <w:p w14:paraId="60B77F26">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pacing w:val="10"/>
          <w:position w:val="1"/>
          <w:sz w:val="21"/>
          <w:szCs w:val="21"/>
          <w:highlight w:val="none"/>
        </w:rPr>
      </w:pPr>
      <w:r>
        <w:rPr>
          <w:rFonts w:hint="eastAsia" w:ascii="宋体" w:hAnsi="宋体" w:eastAsia="宋体" w:cs="宋体"/>
          <w:spacing w:val="10"/>
          <w:position w:val="1"/>
          <w:sz w:val="21"/>
          <w:szCs w:val="21"/>
          <w:highlight w:val="none"/>
        </w:rPr>
        <w:t>候车亭整治、重要节点路段提升（县城出入口、产业园区出入口、旅游景区出入口、省际交界路段）、公路路面防洒落治理、过境公路排水系统治堵、路域环境整治、护栏提升等应地方政府及行业主管部门要求开展的各种专项行动中涉及日常保养内容的相关工作</w:t>
      </w:r>
      <w:r>
        <w:rPr>
          <w:rFonts w:hint="eastAsia" w:ascii="宋体" w:hAnsi="宋体" w:eastAsia="宋体" w:cs="宋体"/>
          <w:spacing w:val="10"/>
          <w:position w:val="1"/>
          <w:sz w:val="21"/>
          <w:szCs w:val="21"/>
          <w:highlight w:val="none"/>
          <w:lang w:val="en-US" w:eastAsia="zh-CN"/>
        </w:rPr>
        <w:t>按要求开展及按时完成</w:t>
      </w:r>
      <w:r>
        <w:rPr>
          <w:rFonts w:hint="eastAsia" w:ascii="宋体" w:hAnsi="宋体" w:eastAsia="宋体" w:cs="宋体"/>
          <w:spacing w:val="10"/>
          <w:position w:val="1"/>
          <w:sz w:val="21"/>
          <w:szCs w:val="21"/>
          <w:highlight w:val="none"/>
        </w:rPr>
        <w:t>。</w:t>
      </w:r>
    </w:p>
    <w:p w14:paraId="7234FED7">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pacing w:val="10"/>
          <w:sz w:val="21"/>
          <w:szCs w:val="21"/>
          <w:highlight w:val="none"/>
          <w:lang w:val="en-US" w:eastAsia="zh-CN"/>
        </w:rPr>
      </w:pPr>
      <w:r>
        <w:rPr>
          <w:rFonts w:hint="eastAsia" w:ascii="宋体" w:hAnsi="宋体" w:eastAsia="宋体" w:cs="宋体"/>
          <w:spacing w:val="10"/>
          <w:position w:val="1"/>
          <w:sz w:val="21"/>
          <w:szCs w:val="21"/>
          <w:highlight w:val="none"/>
          <w:lang w:val="en-US" w:eastAsia="zh-CN"/>
        </w:rPr>
        <w:t>未按频率</w:t>
      </w:r>
      <w:r>
        <w:rPr>
          <w:rFonts w:hint="eastAsia" w:ascii="宋体" w:hAnsi="宋体" w:cs="宋体"/>
          <w:spacing w:val="10"/>
          <w:position w:val="1"/>
          <w:sz w:val="21"/>
          <w:szCs w:val="21"/>
          <w:highlight w:val="none"/>
          <w:lang w:val="en-US" w:eastAsia="zh-CN"/>
        </w:rPr>
        <w:t>或指令</w:t>
      </w:r>
      <w:r>
        <w:rPr>
          <w:rFonts w:hint="eastAsia" w:ascii="宋体" w:hAnsi="宋体" w:eastAsia="宋体" w:cs="宋体"/>
          <w:spacing w:val="10"/>
          <w:position w:val="1"/>
          <w:sz w:val="21"/>
          <w:szCs w:val="21"/>
          <w:highlight w:val="none"/>
          <w:lang w:val="en-US" w:eastAsia="zh-CN"/>
        </w:rPr>
        <w:t>开展专项养护</w:t>
      </w:r>
      <w:r>
        <w:rPr>
          <w:rFonts w:hint="eastAsia" w:ascii="宋体" w:hAnsi="宋体" w:eastAsia="宋体" w:cs="宋体"/>
          <w:spacing w:val="10"/>
          <w:sz w:val="21"/>
          <w:szCs w:val="21"/>
          <w:highlight w:val="none"/>
          <w:lang w:val="en-US" w:eastAsia="zh-CN"/>
        </w:rPr>
        <w:t>的每项扣0.2分，</w:t>
      </w:r>
    </w:p>
    <w:p w14:paraId="492CA9C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pacing w:val="10"/>
          <w:sz w:val="21"/>
          <w:szCs w:val="21"/>
          <w:highlight w:val="none"/>
          <w:lang w:val="en-US" w:eastAsia="zh-CN"/>
        </w:rPr>
      </w:pPr>
      <w:r>
        <w:rPr>
          <w:rFonts w:hint="eastAsia" w:ascii="宋体" w:hAnsi="宋体" w:eastAsia="宋体" w:cs="宋体"/>
          <w:spacing w:val="10"/>
          <w:sz w:val="21"/>
          <w:szCs w:val="21"/>
          <w:highlight w:val="none"/>
          <w:lang w:val="en-US" w:eastAsia="zh-CN"/>
        </w:rPr>
        <w:t>路面洒落碎石或砂未按时限清理每超过1小时扣0.</w:t>
      </w:r>
      <w:r>
        <w:rPr>
          <w:rFonts w:hint="eastAsia" w:ascii="宋体" w:hAnsi="宋体" w:cs="宋体"/>
          <w:spacing w:val="10"/>
          <w:sz w:val="21"/>
          <w:szCs w:val="21"/>
          <w:highlight w:val="none"/>
          <w:lang w:val="en-US" w:eastAsia="zh-CN"/>
        </w:rPr>
        <w:t>1</w:t>
      </w:r>
      <w:r>
        <w:rPr>
          <w:rFonts w:hint="eastAsia" w:ascii="宋体" w:hAnsi="宋体" w:eastAsia="宋体" w:cs="宋体"/>
          <w:spacing w:val="10"/>
          <w:sz w:val="21"/>
          <w:szCs w:val="21"/>
          <w:highlight w:val="none"/>
          <w:lang w:val="en-US" w:eastAsia="zh-CN"/>
        </w:rPr>
        <w:t>分；</w:t>
      </w:r>
    </w:p>
    <w:p w14:paraId="715D0D5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pacing w:val="10"/>
          <w:sz w:val="21"/>
          <w:szCs w:val="21"/>
          <w:highlight w:val="none"/>
          <w:lang w:val="en-US" w:eastAsia="zh-CN"/>
        </w:rPr>
      </w:pPr>
      <w:r>
        <w:rPr>
          <w:rFonts w:hint="eastAsia" w:ascii="宋体" w:hAnsi="宋体" w:eastAsia="宋体" w:cs="宋体"/>
          <w:spacing w:val="10"/>
          <w:sz w:val="21"/>
          <w:szCs w:val="21"/>
          <w:highlight w:val="none"/>
          <w:lang w:val="en-US" w:eastAsia="zh-CN"/>
        </w:rPr>
        <w:t>大雨后未进行专项清理</w:t>
      </w:r>
      <w:r>
        <w:rPr>
          <w:rFonts w:hint="eastAsia" w:ascii="宋体" w:hAnsi="宋体" w:eastAsia="宋体" w:cs="宋体"/>
          <w:spacing w:val="10"/>
          <w:sz w:val="21"/>
          <w:szCs w:val="21"/>
          <w:highlight w:val="none"/>
        </w:rPr>
        <w:t>过境路排水系统</w:t>
      </w:r>
      <w:r>
        <w:rPr>
          <w:rFonts w:hint="eastAsia" w:ascii="宋体" w:hAnsi="宋体" w:eastAsia="宋体" w:cs="宋体"/>
          <w:spacing w:val="10"/>
          <w:sz w:val="21"/>
          <w:szCs w:val="21"/>
          <w:highlight w:val="none"/>
          <w:lang w:val="en-US" w:eastAsia="zh-CN"/>
        </w:rPr>
        <w:t>扣</w:t>
      </w:r>
      <w:r>
        <w:rPr>
          <w:rFonts w:hint="eastAsia" w:ascii="宋体" w:hAnsi="宋体" w:cs="宋体"/>
          <w:spacing w:val="10"/>
          <w:sz w:val="21"/>
          <w:szCs w:val="21"/>
          <w:highlight w:val="none"/>
          <w:lang w:val="en-US" w:eastAsia="zh-CN"/>
        </w:rPr>
        <w:t>0.5</w:t>
      </w:r>
      <w:r>
        <w:rPr>
          <w:rFonts w:hint="eastAsia" w:ascii="宋体" w:hAnsi="宋体" w:eastAsia="宋体" w:cs="宋体"/>
          <w:spacing w:val="10"/>
          <w:sz w:val="21"/>
          <w:szCs w:val="21"/>
          <w:highlight w:val="none"/>
          <w:lang w:val="en-US" w:eastAsia="zh-CN"/>
        </w:rPr>
        <w:t>分；</w:t>
      </w:r>
    </w:p>
    <w:p w14:paraId="22051508">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pacing w:val="10"/>
          <w:sz w:val="21"/>
          <w:szCs w:val="21"/>
          <w:highlight w:val="none"/>
          <w:lang w:val="en-US" w:eastAsia="zh-CN"/>
        </w:rPr>
      </w:pPr>
      <w:r>
        <w:rPr>
          <w:rFonts w:hint="eastAsia" w:ascii="宋体" w:hAnsi="宋体" w:eastAsia="宋体" w:cs="宋体"/>
          <w:spacing w:val="7"/>
          <w:sz w:val="21"/>
          <w:szCs w:val="21"/>
          <w:highlight w:val="none"/>
        </w:rPr>
        <w:t>四类重要节点路段</w:t>
      </w:r>
      <w:r>
        <w:rPr>
          <w:rFonts w:hint="eastAsia" w:ascii="宋体" w:hAnsi="宋体" w:eastAsia="宋体" w:cs="宋体"/>
          <w:spacing w:val="10"/>
          <w:sz w:val="21"/>
          <w:szCs w:val="21"/>
          <w:highlight w:val="none"/>
          <w:lang w:val="en-US" w:eastAsia="zh-CN"/>
        </w:rPr>
        <w:t>存在路容路貌脏乱差、绿化未修剪的，每</w:t>
      </w:r>
      <w:r>
        <w:rPr>
          <w:rFonts w:hint="eastAsia" w:ascii="宋体" w:hAnsi="宋体" w:cs="宋体"/>
          <w:spacing w:val="10"/>
          <w:sz w:val="21"/>
          <w:szCs w:val="21"/>
          <w:highlight w:val="none"/>
          <w:lang w:val="en-US" w:eastAsia="zh-CN"/>
        </w:rPr>
        <w:t>10</w:t>
      </w:r>
      <w:r>
        <w:rPr>
          <w:rFonts w:hint="eastAsia" w:ascii="宋体" w:hAnsi="宋体" w:eastAsia="宋体" w:cs="宋体"/>
          <w:spacing w:val="10"/>
          <w:sz w:val="21"/>
          <w:szCs w:val="21"/>
          <w:highlight w:val="none"/>
          <w:lang w:val="en-US" w:eastAsia="zh-CN"/>
        </w:rPr>
        <w:t>0m扣0.2分；</w:t>
      </w:r>
    </w:p>
    <w:p w14:paraId="3F6D9B7F">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pacing w:val="10"/>
          <w:sz w:val="21"/>
          <w:szCs w:val="21"/>
          <w:highlight w:val="none"/>
          <w:lang w:val="en-US" w:eastAsia="zh-CN"/>
        </w:rPr>
      </w:pPr>
      <w:r>
        <w:rPr>
          <w:rFonts w:hint="eastAsia" w:ascii="宋体" w:hAnsi="宋体" w:eastAsia="宋体" w:cs="宋体"/>
          <w:spacing w:val="10"/>
          <w:sz w:val="21"/>
          <w:szCs w:val="21"/>
          <w:highlight w:val="none"/>
          <w:lang w:val="en-US" w:eastAsia="zh-CN"/>
        </w:rPr>
        <w:t>发现对公路侵占行为未制止未报告的每处扣0.</w:t>
      </w:r>
      <w:r>
        <w:rPr>
          <w:rFonts w:hint="eastAsia" w:ascii="宋体" w:hAnsi="宋体" w:cs="宋体"/>
          <w:spacing w:val="10"/>
          <w:sz w:val="21"/>
          <w:szCs w:val="21"/>
          <w:highlight w:val="none"/>
          <w:lang w:val="en-US" w:eastAsia="zh-CN"/>
        </w:rPr>
        <w:t>1</w:t>
      </w:r>
      <w:r>
        <w:rPr>
          <w:rFonts w:hint="eastAsia" w:ascii="宋体" w:hAnsi="宋体" w:eastAsia="宋体" w:cs="宋体"/>
          <w:spacing w:val="10"/>
          <w:sz w:val="21"/>
          <w:szCs w:val="21"/>
          <w:highlight w:val="none"/>
          <w:lang w:val="en-US" w:eastAsia="zh-CN"/>
        </w:rPr>
        <w:t>分；</w:t>
      </w:r>
    </w:p>
    <w:p w14:paraId="53827CE0">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pacing w:val="10"/>
          <w:sz w:val="21"/>
          <w:szCs w:val="21"/>
          <w:highlight w:val="none"/>
          <w:lang w:val="en-US" w:eastAsia="zh-CN"/>
        </w:rPr>
      </w:pPr>
      <w:r>
        <w:rPr>
          <w:rFonts w:hint="eastAsia" w:ascii="宋体" w:hAnsi="宋体" w:eastAsia="宋体" w:cs="宋体"/>
          <w:spacing w:val="10"/>
          <w:sz w:val="21"/>
          <w:szCs w:val="21"/>
          <w:highlight w:val="none"/>
          <w:lang w:val="en-US" w:eastAsia="zh-CN"/>
        </w:rPr>
        <w:t>巡查记录中无临水路段检查情况扣0.</w:t>
      </w:r>
      <w:r>
        <w:rPr>
          <w:rFonts w:hint="eastAsia" w:ascii="宋体" w:hAnsi="宋体" w:cs="宋体"/>
          <w:spacing w:val="10"/>
          <w:sz w:val="21"/>
          <w:szCs w:val="21"/>
          <w:highlight w:val="none"/>
          <w:lang w:val="en-US" w:eastAsia="zh-CN"/>
        </w:rPr>
        <w:t>2</w:t>
      </w:r>
      <w:r>
        <w:rPr>
          <w:rFonts w:hint="eastAsia" w:ascii="宋体" w:hAnsi="宋体" w:eastAsia="宋体" w:cs="宋体"/>
          <w:spacing w:val="10"/>
          <w:sz w:val="21"/>
          <w:szCs w:val="21"/>
          <w:highlight w:val="none"/>
          <w:lang w:val="en-US" w:eastAsia="zh-CN"/>
        </w:rPr>
        <w:t>分，临水设施缺损未报告的每处扣0.2分，未报整治计划扣0.2分；</w:t>
      </w:r>
    </w:p>
    <w:p w14:paraId="55A798BA">
      <w:pPr>
        <w:pStyle w:val="11"/>
        <w:keepNext w:val="0"/>
        <w:keepLines w:val="0"/>
        <w:pageBreakBefore w:val="0"/>
        <w:widowControl w:val="0"/>
        <w:kinsoku/>
        <w:wordWrap/>
        <w:overflowPunct/>
        <w:topLinePunct w:val="0"/>
        <w:autoSpaceDE/>
        <w:autoSpaceDN/>
        <w:bidi w:val="0"/>
        <w:adjustRightInd/>
        <w:snapToGrid/>
        <w:spacing w:line="360" w:lineRule="auto"/>
        <w:ind w:left="17"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路侧防护缺失、</w:t>
      </w:r>
      <w:r>
        <w:rPr>
          <w:rFonts w:hint="eastAsia" w:ascii="宋体" w:hAnsi="宋体" w:eastAsia="宋体" w:cs="宋体"/>
          <w:sz w:val="21"/>
          <w:szCs w:val="21"/>
          <w:highlight w:val="none"/>
          <w:lang w:val="en-US" w:eastAsia="zh-CN"/>
        </w:rPr>
        <w:t>损坏、</w:t>
      </w:r>
      <w:r>
        <w:rPr>
          <w:rFonts w:hint="eastAsia" w:ascii="宋体" w:hAnsi="宋体" w:eastAsia="宋体" w:cs="宋体"/>
          <w:sz w:val="21"/>
          <w:szCs w:val="21"/>
          <w:highlight w:val="none"/>
        </w:rPr>
        <w:t>完整性不足和规范性不足</w:t>
      </w:r>
      <w:r>
        <w:rPr>
          <w:rFonts w:hint="eastAsia" w:ascii="宋体" w:hAnsi="宋体" w:eastAsia="宋体" w:cs="宋体"/>
          <w:sz w:val="21"/>
          <w:szCs w:val="21"/>
          <w:highlight w:val="none"/>
          <w:lang w:val="en-US" w:eastAsia="zh-CN"/>
        </w:rPr>
        <w:t>的，无</w:t>
      </w:r>
      <w:r>
        <w:rPr>
          <w:rFonts w:hint="eastAsia" w:ascii="宋体" w:hAnsi="宋体" w:eastAsia="宋体" w:cs="宋体"/>
          <w:sz w:val="21"/>
          <w:szCs w:val="21"/>
          <w:highlight w:val="none"/>
        </w:rPr>
        <w:t>排查记录</w:t>
      </w:r>
      <w:r>
        <w:rPr>
          <w:rFonts w:hint="eastAsia" w:ascii="宋体" w:hAnsi="宋体" w:eastAsia="宋体" w:cs="宋体"/>
          <w:sz w:val="21"/>
          <w:szCs w:val="21"/>
          <w:highlight w:val="none"/>
          <w:lang w:val="en-US" w:eastAsia="zh-CN"/>
        </w:rPr>
        <w:t>每处扣0.</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无</w:t>
      </w:r>
      <w:r>
        <w:rPr>
          <w:rFonts w:hint="eastAsia" w:ascii="宋体" w:hAnsi="宋体" w:eastAsia="宋体" w:cs="宋体"/>
          <w:sz w:val="21"/>
          <w:szCs w:val="21"/>
          <w:highlight w:val="none"/>
        </w:rPr>
        <w:t>护栏提升计划</w:t>
      </w:r>
      <w:r>
        <w:rPr>
          <w:rFonts w:hint="eastAsia" w:ascii="宋体" w:hAnsi="宋体" w:eastAsia="宋体" w:cs="宋体"/>
          <w:sz w:val="21"/>
          <w:szCs w:val="21"/>
          <w:highlight w:val="none"/>
          <w:lang w:val="en-US" w:eastAsia="zh-CN"/>
        </w:rPr>
        <w:t>每处扣0.</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w:t>
      </w:r>
    </w:p>
    <w:p w14:paraId="7D9EFDA3">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宋体" w:hAnsi="宋体" w:eastAsia="宋体" w:cs="宋体"/>
          <w:spacing w:val="7"/>
          <w:sz w:val="21"/>
          <w:szCs w:val="21"/>
          <w:highlight w:val="none"/>
          <w:lang w:val="en-US" w:eastAsia="zh-CN"/>
        </w:rPr>
      </w:pPr>
      <w:r>
        <w:rPr>
          <w:rFonts w:hint="eastAsia" w:ascii="宋体" w:hAnsi="宋体" w:eastAsia="宋体" w:cs="宋体"/>
          <w:spacing w:val="7"/>
          <w:sz w:val="21"/>
          <w:szCs w:val="21"/>
          <w:highlight w:val="none"/>
          <w:lang w:val="en-US" w:eastAsia="zh-CN"/>
        </w:rPr>
        <w:t>月度内存在连续</w:t>
      </w:r>
      <w:r>
        <w:rPr>
          <w:rFonts w:hint="eastAsia" w:ascii="宋体" w:hAnsi="宋体" w:cs="宋体"/>
          <w:spacing w:val="7"/>
          <w:sz w:val="21"/>
          <w:szCs w:val="21"/>
          <w:highlight w:val="none"/>
          <w:lang w:val="en-US" w:eastAsia="zh-CN"/>
        </w:rPr>
        <w:t>5</w:t>
      </w:r>
      <w:r>
        <w:rPr>
          <w:rFonts w:hint="eastAsia" w:ascii="宋体" w:hAnsi="宋体" w:eastAsia="宋体" w:cs="宋体"/>
          <w:spacing w:val="7"/>
          <w:sz w:val="21"/>
          <w:szCs w:val="21"/>
          <w:highlight w:val="none"/>
          <w:lang w:val="en-US" w:eastAsia="zh-CN"/>
        </w:rPr>
        <w:t>00m以上</w:t>
      </w:r>
      <w:r>
        <w:rPr>
          <w:rFonts w:hint="eastAsia" w:ascii="宋体" w:hAnsi="宋体" w:eastAsia="宋体" w:cs="宋体"/>
          <w:spacing w:val="10"/>
          <w:position w:val="1"/>
          <w:sz w:val="21"/>
          <w:szCs w:val="21"/>
          <w:highlight w:val="none"/>
        </w:rPr>
        <w:t>路域环境</w:t>
      </w:r>
      <w:r>
        <w:rPr>
          <w:rFonts w:hint="eastAsia" w:ascii="宋体" w:hAnsi="宋体" w:eastAsia="宋体" w:cs="宋体"/>
          <w:spacing w:val="7"/>
          <w:sz w:val="21"/>
          <w:szCs w:val="21"/>
          <w:highlight w:val="none"/>
          <w:lang w:val="en-US" w:eastAsia="zh-CN"/>
        </w:rPr>
        <w:t>未清理的，按整公里不合格，每公里扣</w:t>
      </w:r>
      <w:r>
        <w:rPr>
          <w:rFonts w:hint="eastAsia" w:ascii="宋体" w:hAnsi="宋体" w:cs="宋体"/>
          <w:spacing w:val="7"/>
          <w:sz w:val="21"/>
          <w:szCs w:val="21"/>
          <w:highlight w:val="none"/>
          <w:lang w:val="en-US" w:eastAsia="zh-CN"/>
        </w:rPr>
        <w:t>1</w:t>
      </w:r>
      <w:r>
        <w:rPr>
          <w:rFonts w:hint="eastAsia" w:ascii="宋体" w:hAnsi="宋体" w:eastAsia="宋体" w:cs="宋体"/>
          <w:spacing w:val="7"/>
          <w:sz w:val="21"/>
          <w:szCs w:val="21"/>
          <w:highlight w:val="none"/>
          <w:lang w:val="en-US" w:eastAsia="zh-CN"/>
        </w:rPr>
        <w:t>分；</w:t>
      </w:r>
    </w:p>
    <w:p w14:paraId="5B65B169">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宋体" w:hAnsi="宋体" w:eastAsia="宋体" w:cs="宋体"/>
          <w:spacing w:val="7"/>
          <w:sz w:val="21"/>
          <w:szCs w:val="21"/>
          <w:highlight w:val="none"/>
          <w:lang w:val="en-US" w:eastAsia="zh-CN"/>
        </w:rPr>
      </w:pPr>
      <w:r>
        <w:rPr>
          <w:rFonts w:hint="eastAsia" w:ascii="宋体" w:hAnsi="宋体" w:eastAsia="宋体" w:cs="宋体"/>
          <w:spacing w:val="7"/>
          <w:sz w:val="21"/>
          <w:szCs w:val="21"/>
          <w:highlight w:val="none"/>
          <w:lang w:val="en-US" w:eastAsia="zh-CN"/>
        </w:rPr>
        <w:t>下达整改后，未按要求及时整改的，每处扣0.5分；</w:t>
      </w:r>
    </w:p>
    <w:p w14:paraId="2F25D735">
      <w:pPr>
        <w:pStyle w:val="11"/>
        <w:keepNext w:val="0"/>
        <w:keepLines w:val="0"/>
        <w:pageBreakBefore w:val="0"/>
        <w:widowControl w:val="0"/>
        <w:kinsoku/>
        <w:wordWrap/>
        <w:overflowPunct/>
        <w:topLinePunct w:val="0"/>
        <w:autoSpaceDE/>
        <w:autoSpaceDN/>
        <w:bidi w:val="0"/>
        <w:adjustRightInd/>
        <w:snapToGrid/>
        <w:spacing w:line="360" w:lineRule="auto"/>
        <w:ind w:left="17" w:firstLine="448" w:firstLineChars="200"/>
        <w:textAlignment w:val="auto"/>
        <w:rPr>
          <w:rFonts w:hint="eastAsia" w:ascii="宋体" w:hAnsi="宋体" w:eastAsia="宋体" w:cs="宋体"/>
          <w:spacing w:val="7"/>
          <w:sz w:val="21"/>
          <w:szCs w:val="21"/>
          <w:highlight w:val="none"/>
          <w:lang w:val="en-US" w:eastAsia="zh-CN"/>
        </w:rPr>
      </w:pPr>
      <w:r>
        <w:rPr>
          <w:rFonts w:hint="eastAsia" w:ascii="宋体" w:hAnsi="宋体" w:eastAsia="宋体" w:cs="宋体"/>
          <w:spacing w:val="7"/>
          <w:sz w:val="21"/>
          <w:szCs w:val="21"/>
          <w:highlight w:val="none"/>
          <w:lang w:val="en-US" w:eastAsia="zh-CN"/>
        </w:rPr>
        <w:t>未按上级部门检查整改要求整改到位的，每处扣1分。</w:t>
      </w:r>
    </w:p>
    <w:p w14:paraId="2A0FE7B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eastAsiaTheme="minorEastAsia"/>
          <w:sz w:val="28"/>
          <w:szCs w:val="28"/>
          <w:highlight w:val="none"/>
        </w:rPr>
      </w:pPr>
      <w:r>
        <w:rPr>
          <w:rFonts w:hint="eastAsia" w:asciiTheme="minorEastAsia" w:hAnsiTheme="minorEastAsia" w:eastAsiaTheme="minorEastAsia"/>
          <w:b/>
          <w:bCs/>
          <w:sz w:val="28"/>
          <w:szCs w:val="28"/>
          <w:highlight w:val="none"/>
          <w:lang w:val="en-US" w:eastAsia="zh-CN"/>
        </w:rPr>
        <w:t>四、</w:t>
      </w:r>
      <w:r>
        <w:rPr>
          <w:rFonts w:hint="eastAsia" w:asciiTheme="minorEastAsia" w:hAnsiTheme="minorEastAsia" w:eastAsiaTheme="minorEastAsia"/>
          <w:b/>
          <w:bCs/>
          <w:sz w:val="28"/>
          <w:szCs w:val="28"/>
          <w:highlight w:val="none"/>
        </w:rPr>
        <w:t>质量要求</w:t>
      </w:r>
    </w:p>
    <w:p w14:paraId="09B3EE8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cs="宋体"/>
          <w:szCs w:val="21"/>
        </w:rPr>
      </w:pPr>
      <w:r>
        <w:rPr>
          <w:rFonts w:hint="eastAsia" w:asciiTheme="minorEastAsia" w:hAnsiTheme="minorEastAsia" w:eastAsiaTheme="minorEastAsia"/>
          <w:szCs w:val="21"/>
          <w:highlight w:val="none"/>
          <w:lang w:val="en-US" w:eastAsia="zh-CN"/>
        </w:rPr>
        <w:t>养护</w:t>
      </w:r>
      <w:r>
        <w:rPr>
          <w:rFonts w:hint="eastAsia" w:asciiTheme="minorEastAsia" w:hAnsiTheme="minorEastAsia" w:eastAsiaTheme="minorEastAsia"/>
          <w:szCs w:val="21"/>
          <w:highlight w:val="none"/>
        </w:rPr>
        <w:t>质量符合《公路养护技术标准》（</w:t>
      </w:r>
      <w:r>
        <w:rPr>
          <w:rFonts w:asciiTheme="minorEastAsia" w:hAnsiTheme="minorEastAsia" w:eastAsiaTheme="minorEastAsia"/>
          <w:szCs w:val="21"/>
          <w:highlight w:val="none"/>
        </w:rPr>
        <w:t>JTG5110—2023）、《公路路基养护技术规范》（JTG5150-2020)《公路水泥混凝土路面养护技术规范》（JTJ073.1-2001</w:t>
      </w:r>
      <w:r>
        <w:rPr>
          <w:rFonts w:asciiTheme="minorEastAsia" w:hAnsiTheme="minorEastAsia" w:eastAsiaTheme="minorEastAsia"/>
          <w:szCs w:val="21"/>
        </w:rPr>
        <w:t>）《公路沥青路面养护技术规范》（JTG5142-2019）、《公路桥涵养护规范》（JTG5120-2021)、</w:t>
      </w:r>
      <w:r>
        <w:rPr>
          <w:rFonts w:hint="eastAsia" w:asciiTheme="minorEastAsia" w:hAnsiTheme="minorEastAsia" w:eastAsiaTheme="minorEastAsia"/>
          <w:szCs w:val="21"/>
        </w:rPr>
        <w:t>《</w:t>
      </w:r>
      <w:r>
        <w:rPr>
          <w:rFonts w:hint="eastAsia" w:cs="微软雅黑" w:asciiTheme="minorEastAsia" w:hAnsiTheme="minorEastAsia" w:eastAsiaTheme="minorEastAsia"/>
          <w:szCs w:val="21"/>
          <w:shd w:val="clear" w:color="auto" w:fill="FFFFFF"/>
        </w:rPr>
        <w:t>公路隧道养护技术规范</w:t>
      </w:r>
      <w:r>
        <w:rPr>
          <w:rFonts w:hint="eastAsia" w:asciiTheme="minorEastAsia" w:hAnsiTheme="minorEastAsia" w:eastAsiaTheme="minorEastAsia"/>
          <w:szCs w:val="21"/>
        </w:rPr>
        <w:t>》(</w:t>
      </w:r>
      <w:r>
        <w:rPr>
          <w:rFonts w:hint="eastAsia" w:cs="微软雅黑" w:asciiTheme="minorEastAsia" w:hAnsiTheme="minorEastAsia" w:eastAsiaTheme="minorEastAsia"/>
          <w:szCs w:val="21"/>
          <w:shd w:val="clear" w:color="auto" w:fill="FFFFFF"/>
        </w:rPr>
        <w:t>JTG H12-2015)</w:t>
      </w:r>
      <w:r>
        <w:rPr>
          <w:rFonts w:asciiTheme="minorEastAsia" w:hAnsiTheme="minorEastAsia" w:eastAsiaTheme="minorEastAsia"/>
          <w:szCs w:val="21"/>
        </w:rPr>
        <w:t>《公路交通安全设施施工技术规范》（JTG/T3671-2021)《公路养护工</w:t>
      </w:r>
      <w:r>
        <w:rPr>
          <w:rFonts w:asciiTheme="minorEastAsia" w:hAnsiTheme="minorEastAsia" w:eastAsiaTheme="minorEastAsia"/>
          <w:szCs w:val="21"/>
          <w:highlight w:val="none"/>
        </w:rPr>
        <w:t>程质量检验评定标准》（JTG5220-2020）</w:t>
      </w:r>
      <w:r>
        <w:rPr>
          <w:rFonts w:hint="eastAsia" w:asciiTheme="minorEastAsia" w:hAnsiTheme="minorEastAsia" w:eastAsiaTheme="minorEastAsia"/>
          <w:szCs w:val="21"/>
          <w:highlight w:val="none"/>
        </w:rPr>
        <w:t>等国家及行业现行的公路养护标准、规范。以及本</w:t>
      </w:r>
      <w:r>
        <w:rPr>
          <w:rFonts w:hint="eastAsia" w:asciiTheme="minorEastAsia" w:hAnsiTheme="minorEastAsia" w:eastAsiaTheme="minorEastAsia"/>
          <w:szCs w:val="21"/>
          <w:highlight w:val="none"/>
          <w:lang w:val="en-US" w:eastAsia="zh-CN"/>
        </w:rPr>
        <w:t>文件</w:t>
      </w:r>
      <w:r>
        <w:rPr>
          <w:rFonts w:hint="eastAsia"/>
          <w:sz w:val="21"/>
          <w:szCs w:val="21"/>
          <w:highlight w:val="none"/>
          <w:lang w:eastAsia="zh-CN"/>
        </w:rPr>
        <w:t>《广西壮族自治区桂林公路发展中心公路养护</w:t>
      </w:r>
      <w:r>
        <w:rPr>
          <w:rFonts w:hint="eastAsia"/>
          <w:sz w:val="21"/>
          <w:szCs w:val="21"/>
          <w:highlight w:val="none"/>
          <w:lang w:val="en-US" w:eastAsia="zh-CN"/>
        </w:rPr>
        <w:t>服务工作要求</w:t>
      </w:r>
      <w:r>
        <w:rPr>
          <w:rFonts w:hint="eastAsia"/>
          <w:sz w:val="21"/>
          <w:szCs w:val="21"/>
          <w:highlight w:val="none"/>
          <w:lang w:eastAsia="zh-CN"/>
        </w:rPr>
        <w:t>及考核办法》</w:t>
      </w:r>
      <w:r>
        <w:rPr>
          <w:rFonts w:hint="eastAsia" w:asciiTheme="minorEastAsia" w:hAnsiTheme="minorEastAsia" w:eastAsiaTheme="minorEastAsia"/>
          <w:szCs w:val="21"/>
          <w:highlight w:val="none"/>
        </w:rPr>
        <w:t>及相关合同条款</w:t>
      </w:r>
      <w:r>
        <w:rPr>
          <w:rFonts w:hint="eastAsia" w:asciiTheme="minorEastAsia" w:hAnsiTheme="minorEastAsia" w:eastAsiaTheme="minorEastAsia"/>
          <w:szCs w:val="21"/>
        </w:rPr>
        <w:t>和采购人上级主管单位相关文件要求，达到合格标准。</w:t>
      </w:r>
      <w:r>
        <w:rPr>
          <w:rFonts w:hint="eastAsia" w:cs="宋体"/>
          <w:color w:val="000000"/>
          <w:kern w:val="0"/>
          <w:szCs w:val="21"/>
          <w:lang w:val="en-US" w:eastAsia="zh-CN"/>
        </w:rPr>
        <w:t>承包人</w:t>
      </w:r>
      <w:r>
        <w:rPr>
          <w:rFonts w:hint="eastAsia" w:cs="宋体"/>
          <w:color w:val="000000"/>
          <w:kern w:val="0"/>
          <w:szCs w:val="21"/>
        </w:rPr>
        <w:t>承担</w:t>
      </w:r>
      <w:r>
        <w:rPr>
          <w:rFonts w:hint="eastAsia" w:cs="宋体"/>
          <w:color w:val="000000"/>
          <w:kern w:val="0"/>
          <w:szCs w:val="21"/>
          <w:lang w:val="en-US" w:eastAsia="zh-CN"/>
        </w:rPr>
        <w:t>合同履行期限和</w:t>
      </w:r>
      <w:r>
        <w:rPr>
          <w:rFonts w:hint="eastAsia" w:cs="宋体"/>
          <w:szCs w:val="21"/>
        </w:rPr>
        <w:t>质量缺陷责任期</w:t>
      </w:r>
      <w:r>
        <w:rPr>
          <w:rFonts w:hint="eastAsia" w:cs="宋体"/>
          <w:szCs w:val="21"/>
          <w:lang w:val="en-US" w:eastAsia="zh-CN"/>
        </w:rPr>
        <w:t>内所有</w:t>
      </w:r>
      <w:r>
        <w:rPr>
          <w:rFonts w:hint="eastAsia" w:cs="宋体"/>
          <w:szCs w:val="21"/>
        </w:rPr>
        <w:t>养护内容达到质量合格的责任。</w:t>
      </w:r>
    </w:p>
    <w:p w14:paraId="6923F0F5">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549" w:firstLineChars="196"/>
        <w:textAlignment w:val="auto"/>
        <w:rPr>
          <w:rFonts w:cs="宋体"/>
          <w:b/>
          <w:bCs w:val="0"/>
          <w:sz w:val="28"/>
          <w:szCs w:val="28"/>
          <w:highlight w:val="none"/>
        </w:rPr>
      </w:pPr>
      <w:r>
        <w:rPr>
          <w:rFonts w:hint="eastAsia" w:cs="宋体"/>
          <w:b/>
          <w:bCs w:val="0"/>
          <w:sz w:val="28"/>
          <w:szCs w:val="28"/>
          <w:highlight w:val="none"/>
          <w:lang w:val="en-US" w:eastAsia="zh-CN"/>
        </w:rPr>
        <w:t>五</w:t>
      </w:r>
      <w:r>
        <w:rPr>
          <w:rFonts w:hint="eastAsia" w:cs="宋体"/>
          <w:b/>
          <w:bCs w:val="0"/>
          <w:sz w:val="28"/>
          <w:szCs w:val="28"/>
          <w:highlight w:val="none"/>
        </w:rPr>
        <w:t>、检查考核办法</w:t>
      </w:r>
    </w:p>
    <w:p w14:paraId="55411320">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textAlignment w:val="auto"/>
        <w:rPr>
          <w:rFonts w:hint="eastAsia" w:cs="宋体"/>
          <w:b/>
          <w:sz w:val="24"/>
          <w:szCs w:val="24"/>
          <w:highlight w:val="none"/>
        </w:rPr>
      </w:pPr>
      <w:r>
        <w:rPr>
          <w:rFonts w:hint="eastAsia" w:cs="宋体"/>
          <w:b/>
          <w:sz w:val="24"/>
          <w:szCs w:val="24"/>
          <w:highlight w:val="none"/>
        </w:rPr>
        <w:t>（一）</w:t>
      </w:r>
      <w:r>
        <w:rPr>
          <w:rFonts w:hint="eastAsia" w:cs="宋体"/>
          <w:b/>
          <w:sz w:val="24"/>
          <w:szCs w:val="24"/>
          <w:highlight w:val="none"/>
          <w:lang w:val="en-US" w:eastAsia="zh-CN"/>
        </w:rPr>
        <w:t>检查</w:t>
      </w:r>
      <w:r>
        <w:rPr>
          <w:rFonts w:hint="eastAsia" w:cs="宋体"/>
          <w:b/>
          <w:sz w:val="24"/>
          <w:szCs w:val="24"/>
          <w:highlight w:val="none"/>
        </w:rPr>
        <w:t>考核办法</w:t>
      </w:r>
    </w:p>
    <w:p w14:paraId="4B0AFC9E">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default" w:cs="宋体"/>
          <w:sz w:val="21"/>
          <w:szCs w:val="21"/>
          <w:highlight w:val="none"/>
          <w:lang w:val="en-US" w:eastAsia="zh-CN"/>
        </w:rPr>
      </w:pPr>
      <w:r>
        <w:rPr>
          <w:rFonts w:hint="eastAsia" w:cs="宋体"/>
          <w:szCs w:val="21"/>
          <w:highlight w:val="none"/>
        </w:rPr>
        <w:t>每月初</w:t>
      </w:r>
      <w:r>
        <w:rPr>
          <w:rFonts w:hint="eastAsia" w:eastAsia="宋体" w:cs="宋体"/>
          <w:szCs w:val="21"/>
          <w:highlight w:val="none"/>
          <w:lang w:val="en-US" w:eastAsia="zh-CN"/>
        </w:rPr>
        <w:t>或上月末</w:t>
      </w:r>
      <w:r>
        <w:rPr>
          <w:rFonts w:hint="eastAsia" w:cs="宋体"/>
          <w:szCs w:val="21"/>
          <w:highlight w:val="none"/>
        </w:rPr>
        <w:t>由承包人上报月度工作计划审批或发包人</w:t>
      </w:r>
      <w:r>
        <w:rPr>
          <w:rFonts w:hint="eastAsia" w:eastAsia="宋体" w:cs="宋体"/>
          <w:szCs w:val="21"/>
          <w:highlight w:val="none"/>
          <w:lang w:val="en-US" w:eastAsia="zh-CN"/>
        </w:rPr>
        <w:t>直接</w:t>
      </w:r>
      <w:r>
        <w:rPr>
          <w:rFonts w:hint="eastAsia" w:cs="宋体"/>
          <w:szCs w:val="21"/>
          <w:highlight w:val="none"/>
        </w:rPr>
        <w:t>下达月度工作</w:t>
      </w:r>
      <w:r>
        <w:rPr>
          <w:rFonts w:hint="eastAsia" w:eastAsia="宋体" w:cs="宋体"/>
          <w:szCs w:val="21"/>
          <w:highlight w:val="none"/>
          <w:lang w:val="en-US" w:eastAsia="zh-CN"/>
        </w:rPr>
        <w:t>计划</w:t>
      </w:r>
      <w:r>
        <w:rPr>
          <w:rFonts w:hint="eastAsia" w:cs="宋体"/>
          <w:szCs w:val="21"/>
          <w:highlight w:val="none"/>
        </w:rPr>
        <w:t>，由承包人执行</w:t>
      </w:r>
      <w:r>
        <w:rPr>
          <w:rFonts w:hint="eastAsia" w:cs="宋体"/>
          <w:szCs w:val="21"/>
          <w:highlight w:val="none"/>
          <w:lang w:val="en-US" w:eastAsia="zh-CN"/>
        </w:rPr>
        <w:t>月度作业计划</w:t>
      </w:r>
      <w:r>
        <w:rPr>
          <w:rFonts w:hint="eastAsia" w:cs="宋体"/>
          <w:szCs w:val="21"/>
          <w:highlight w:val="none"/>
        </w:rPr>
        <w:t>，</w:t>
      </w:r>
      <w:r>
        <w:rPr>
          <w:rFonts w:hint="eastAsia" w:eastAsia="宋体" w:cs="宋体"/>
          <w:szCs w:val="21"/>
          <w:highlight w:val="none"/>
          <w:lang w:val="en-US" w:eastAsia="zh-CN"/>
        </w:rPr>
        <w:t>发包人</w:t>
      </w:r>
      <w:r>
        <w:rPr>
          <w:rFonts w:hint="eastAsia" w:cs="宋体"/>
          <w:szCs w:val="21"/>
          <w:highlight w:val="none"/>
          <w:lang w:val="en-US" w:eastAsia="zh-CN"/>
        </w:rPr>
        <w:t>在作业过程和月度考核</w:t>
      </w:r>
      <w:r>
        <w:rPr>
          <w:rFonts w:hint="eastAsia" w:cs="宋体"/>
          <w:sz w:val="21"/>
          <w:szCs w:val="21"/>
          <w:highlight w:val="none"/>
          <w:lang w:val="en-US" w:eastAsia="zh-CN"/>
        </w:rPr>
        <w:t>前对养护现场进行检查，对不符合要求的养护作业（包括进度）</w:t>
      </w:r>
      <w:r>
        <w:rPr>
          <w:rFonts w:hint="eastAsia" w:cs="宋体"/>
          <w:sz w:val="21"/>
          <w:szCs w:val="21"/>
          <w:highlight w:val="none"/>
        </w:rPr>
        <w:t>下发整改通知书</w:t>
      </w:r>
      <w:r>
        <w:rPr>
          <w:rFonts w:hint="eastAsia" w:eastAsia="宋体" w:cs="宋体"/>
          <w:sz w:val="21"/>
          <w:szCs w:val="21"/>
          <w:highlight w:val="none"/>
          <w:lang w:val="en-US" w:eastAsia="zh-CN"/>
        </w:rPr>
        <w:t>或书面工作指令</w:t>
      </w:r>
      <w:r>
        <w:rPr>
          <w:rFonts w:hint="eastAsia" w:cs="宋体"/>
          <w:sz w:val="21"/>
          <w:szCs w:val="21"/>
          <w:highlight w:val="none"/>
        </w:rPr>
        <w:t>，</w:t>
      </w:r>
      <w:r>
        <w:rPr>
          <w:rFonts w:hint="eastAsia" w:eastAsia="宋体" w:cs="宋体"/>
          <w:sz w:val="21"/>
          <w:szCs w:val="21"/>
          <w:highlight w:val="none"/>
          <w:lang w:val="en-US" w:eastAsia="zh-CN"/>
        </w:rPr>
        <w:t>指定整改</w:t>
      </w:r>
      <w:r>
        <w:rPr>
          <w:rFonts w:hint="eastAsia" w:cs="宋体"/>
          <w:sz w:val="21"/>
          <w:szCs w:val="21"/>
          <w:highlight w:val="none"/>
        </w:rPr>
        <w:t>期限，</w:t>
      </w:r>
      <w:r>
        <w:rPr>
          <w:rFonts w:hint="eastAsia" w:eastAsia="宋体" w:cs="宋体"/>
          <w:sz w:val="21"/>
          <w:szCs w:val="21"/>
          <w:highlight w:val="none"/>
          <w:lang w:val="en-US" w:eastAsia="zh-CN"/>
        </w:rPr>
        <w:t>整改期限原则上不超过一周</w:t>
      </w:r>
      <w:r>
        <w:rPr>
          <w:rFonts w:hint="eastAsia" w:cs="宋体"/>
          <w:sz w:val="21"/>
          <w:szCs w:val="21"/>
          <w:highlight w:val="none"/>
          <w:lang w:eastAsia="zh-CN"/>
        </w:rPr>
        <w:t>，</w:t>
      </w:r>
      <w:r>
        <w:rPr>
          <w:rFonts w:hint="eastAsia" w:eastAsia="宋体" w:cs="宋体"/>
          <w:sz w:val="21"/>
          <w:szCs w:val="21"/>
          <w:highlight w:val="none"/>
          <w:lang w:val="en-US" w:eastAsia="zh-CN"/>
        </w:rPr>
        <w:t>承包人未能按期完成整改的，在月度考核中应按</w:t>
      </w: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广西壮族自治区桂林公路发展中心公路养护服务月度绩效考核评分细则</w:t>
      </w:r>
      <w:r>
        <w:rPr>
          <w:rFonts w:hint="eastAsia" w:ascii="宋体" w:hAnsi="宋体" w:eastAsia="宋体" w:cs="宋体"/>
          <w:sz w:val="21"/>
          <w:szCs w:val="21"/>
          <w:highlight w:val="none"/>
          <w:lang w:val="en-US" w:eastAsia="zh-CN"/>
        </w:rPr>
        <w:t>》进行对应扣分，同时对</w:t>
      </w:r>
      <w:r>
        <w:rPr>
          <w:rFonts w:hint="eastAsia" w:cs="宋体"/>
          <w:sz w:val="21"/>
          <w:szCs w:val="21"/>
          <w:highlight w:val="none"/>
        </w:rPr>
        <w:t>未完成整改</w:t>
      </w:r>
      <w:r>
        <w:rPr>
          <w:rFonts w:hint="eastAsia" w:eastAsia="宋体" w:cs="宋体"/>
          <w:sz w:val="21"/>
          <w:szCs w:val="21"/>
          <w:highlight w:val="none"/>
          <w:lang w:val="en-US" w:eastAsia="zh-CN"/>
        </w:rPr>
        <w:t>的事项</w:t>
      </w:r>
      <w:r>
        <w:rPr>
          <w:rFonts w:hint="eastAsia" w:cs="宋体"/>
          <w:sz w:val="21"/>
          <w:szCs w:val="21"/>
          <w:highlight w:val="none"/>
        </w:rPr>
        <w:t>按</w:t>
      </w:r>
      <w:r>
        <w:rPr>
          <w:rFonts w:hint="eastAsia" w:cs="宋体"/>
          <w:sz w:val="21"/>
          <w:szCs w:val="21"/>
          <w:highlight w:val="none"/>
          <w:lang w:val="en-US" w:eastAsia="zh-CN"/>
        </w:rPr>
        <w:t>相关</w:t>
      </w:r>
      <w:r>
        <w:rPr>
          <w:rFonts w:hint="eastAsia" w:cs="宋体"/>
          <w:sz w:val="21"/>
          <w:szCs w:val="21"/>
          <w:highlight w:val="none"/>
        </w:rPr>
        <w:t>违约</w:t>
      </w:r>
      <w:r>
        <w:rPr>
          <w:rFonts w:hint="eastAsia" w:cs="宋体"/>
          <w:sz w:val="21"/>
          <w:szCs w:val="21"/>
          <w:highlight w:val="none"/>
          <w:lang w:val="en-US" w:eastAsia="zh-CN"/>
        </w:rPr>
        <w:t>条款</w:t>
      </w:r>
      <w:r>
        <w:rPr>
          <w:rFonts w:hint="eastAsia" w:cs="宋体"/>
          <w:sz w:val="21"/>
          <w:szCs w:val="21"/>
          <w:highlight w:val="none"/>
        </w:rPr>
        <w:t>处理</w:t>
      </w:r>
      <w:r>
        <w:rPr>
          <w:rFonts w:hint="eastAsia" w:cs="宋体"/>
          <w:sz w:val="21"/>
          <w:szCs w:val="21"/>
          <w:highlight w:val="none"/>
          <w:lang w:eastAsia="zh-CN"/>
        </w:rPr>
        <w:t>。</w:t>
      </w:r>
    </w:p>
    <w:p w14:paraId="2116C052">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cs="宋体"/>
          <w:szCs w:val="21"/>
          <w:highlight w:val="none"/>
          <w:lang w:val="en-US" w:eastAsia="zh-CN"/>
        </w:rPr>
      </w:pPr>
      <w:r>
        <w:rPr>
          <w:rFonts w:hint="eastAsia" w:cs="宋体"/>
          <w:szCs w:val="21"/>
          <w:highlight w:val="none"/>
          <w:lang w:val="en-US" w:eastAsia="zh-CN"/>
        </w:rPr>
        <w:t>1.计量模式的养护工作内容包含</w:t>
      </w:r>
      <w:r>
        <w:rPr>
          <w:rFonts w:hint="eastAsia" w:cs="宋体"/>
          <w:spacing w:val="-4"/>
          <w:szCs w:val="21"/>
          <w:highlight w:val="none"/>
          <w:lang w:val="en-US" w:eastAsia="zh-CN"/>
        </w:rPr>
        <w:t>日常维修、应急处置恢复或维修、冬季除冰雪、不可预见的专项养护维修等。</w:t>
      </w:r>
      <w:r>
        <w:rPr>
          <w:rFonts w:hint="eastAsia" w:cs="宋体"/>
          <w:szCs w:val="21"/>
          <w:highlight w:val="none"/>
          <w:lang w:val="en-US" w:eastAsia="zh-CN"/>
        </w:rPr>
        <w:t>按月度作业计划在平时和当月末现场检查，主要对执行月度计划进度数量和完成质量进行检查验收，不符合要求的按相应的违约条款进行处理。</w:t>
      </w:r>
    </w:p>
    <w:p w14:paraId="14962696">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cs="宋体"/>
          <w:szCs w:val="21"/>
          <w:highlight w:val="none"/>
        </w:rPr>
      </w:pPr>
      <w:r>
        <w:rPr>
          <w:rFonts w:hint="eastAsia" w:cs="宋体"/>
          <w:szCs w:val="21"/>
          <w:highlight w:val="none"/>
          <w:lang w:val="en-US" w:eastAsia="zh-CN"/>
        </w:rPr>
        <w:t>2.绩效模式的养护工作内容包含巡查检查、日常保养（含绿化）、应急处置现场管理、冬季除冰雪现场管理、数据填报与管理、安全生产管理、不可预见的专项养护等内容。月度进行绩效考核，以现场检查的形式进行，以平时检查与月度检查结合的方式开展</w:t>
      </w:r>
      <w:r>
        <w:rPr>
          <w:rFonts w:hint="eastAsia" w:cs="宋体"/>
          <w:szCs w:val="21"/>
          <w:highlight w:val="none"/>
        </w:rPr>
        <w:t>。月度考核得分按</w:t>
      </w:r>
      <w:r>
        <w:rPr>
          <w:rFonts w:hint="eastAsia" w:eastAsia="宋体" w:cs="宋体"/>
          <w:szCs w:val="21"/>
          <w:highlight w:val="none"/>
          <w:lang w:val="en-US" w:eastAsia="zh-CN"/>
        </w:rPr>
        <w:t>四</w:t>
      </w:r>
      <w:r>
        <w:rPr>
          <w:rFonts w:hint="eastAsia" w:cs="宋体"/>
          <w:szCs w:val="21"/>
          <w:highlight w:val="none"/>
        </w:rPr>
        <w:t xml:space="preserve">个档次进行评定：A档 </w:t>
      </w:r>
      <w:r>
        <w:rPr>
          <w:rFonts w:hint="eastAsia" w:eastAsia="宋体" w:cs="宋体"/>
          <w:szCs w:val="21"/>
          <w:highlight w:val="none"/>
          <w:lang w:val="en-US" w:eastAsia="zh-CN"/>
        </w:rPr>
        <w:t>90</w:t>
      </w:r>
      <w:r>
        <w:rPr>
          <w:rFonts w:hint="eastAsia" w:cs="宋体"/>
          <w:szCs w:val="21"/>
          <w:highlight w:val="none"/>
        </w:rPr>
        <w:t>-</w:t>
      </w:r>
      <w:r>
        <w:rPr>
          <w:rFonts w:hint="eastAsia" w:eastAsia="宋体" w:cs="宋体"/>
          <w:szCs w:val="21"/>
          <w:highlight w:val="none"/>
          <w:lang w:val="en-US" w:eastAsia="zh-CN"/>
        </w:rPr>
        <w:t>100</w:t>
      </w:r>
      <w:r>
        <w:rPr>
          <w:rFonts w:hint="eastAsia" w:cs="宋体"/>
          <w:szCs w:val="21"/>
          <w:highlight w:val="none"/>
        </w:rPr>
        <w:t xml:space="preserve"> 分、B档 </w:t>
      </w:r>
      <w:r>
        <w:rPr>
          <w:rFonts w:hint="eastAsia" w:eastAsia="宋体" w:cs="宋体"/>
          <w:szCs w:val="21"/>
          <w:highlight w:val="none"/>
          <w:lang w:val="en-US" w:eastAsia="zh-CN"/>
        </w:rPr>
        <w:t>80</w:t>
      </w:r>
      <w:r>
        <w:rPr>
          <w:rFonts w:hint="eastAsia" w:cs="宋体"/>
          <w:szCs w:val="21"/>
          <w:highlight w:val="none"/>
        </w:rPr>
        <w:t>-</w:t>
      </w:r>
      <w:r>
        <w:rPr>
          <w:rFonts w:hint="eastAsia" w:eastAsia="宋体" w:cs="宋体"/>
          <w:szCs w:val="21"/>
          <w:highlight w:val="none"/>
          <w:lang w:val="en-US" w:eastAsia="zh-CN"/>
        </w:rPr>
        <w:t>89</w:t>
      </w:r>
      <w:r>
        <w:rPr>
          <w:rFonts w:hint="eastAsia" w:cs="宋体"/>
          <w:szCs w:val="21"/>
          <w:highlight w:val="none"/>
        </w:rPr>
        <w:t xml:space="preserve">分、C档 </w:t>
      </w:r>
      <w:r>
        <w:rPr>
          <w:rFonts w:hint="eastAsia" w:eastAsia="宋体" w:cs="宋体"/>
          <w:szCs w:val="21"/>
          <w:highlight w:val="none"/>
          <w:lang w:val="en-US" w:eastAsia="zh-CN"/>
        </w:rPr>
        <w:t>70</w:t>
      </w:r>
      <w:r>
        <w:rPr>
          <w:rFonts w:hint="eastAsia" w:cs="宋体"/>
          <w:szCs w:val="21"/>
          <w:highlight w:val="none"/>
        </w:rPr>
        <w:t>-</w:t>
      </w:r>
      <w:r>
        <w:rPr>
          <w:rFonts w:hint="eastAsia" w:eastAsia="宋体" w:cs="宋体"/>
          <w:szCs w:val="21"/>
          <w:highlight w:val="none"/>
          <w:lang w:val="en-US" w:eastAsia="zh-CN"/>
        </w:rPr>
        <w:t>79</w:t>
      </w:r>
      <w:r>
        <w:rPr>
          <w:rFonts w:hint="eastAsia" w:cs="宋体"/>
          <w:szCs w:val="21"/>
          <w:highlight w:val="none"/>
        </w:rPr>
        <w:t xml:space="preserve"> 分、D档低于</w:t>
      </w:r>
      <w:r>
        <w:rPr>
          <w:rFonts w:hint="eastAsia" w:eastAsia="宋体" w:cs="宋体"/>
          <w:szCs w:val="21"/>
          <w:highlight w:val="none"/>
          <w:lang w:val="en-US" w:eastAsia="zh-CN"/>
        </w:rPr>
        <w:t>7</w:t>
      </w:r>
      <w:r>
        <w:rPr>
          <w:rFonts w:hint="eastAsia" w:cs="宋体"/>
          <w:szCs w:val="21"/>
          <w:highlight w:val="none"/>
        </w:rPr>
        <w:t>0分。各档次支付比例：A档支付</w:t>
      </w:r>
      <w:r>
        <w:rPr>
          <w:rFonts w:hint="eastAsia" w:eastAsia="宋体" w:cs="宋体"/>
          <w:szCs w:val="21"/>
          <w:highlight w:val="none"/>
          <w:lang w:val="en-US" w:eastAsia="zh-CN"/>
        </w:rPr>
        <w:t>100</w:t>
      </w:r>
      <w:r>
        <w:rPr>
          <w:rFonts w:hint="eastAsia" w:cs="宋体"/>
          <w:szCs w:val="21"/>
          <w:highlight w:val="none"/>
        </w:rPr>
        <w:t>%费用，B档支付</w:t>
      </w:r>
      <w:r>
        <w:rPr>
          <w:rFonts w:hint="eastAsia" w:eastAsia="宋体" w:cs="宋体"/>
          <w:szCs w:val="21"/>
          <w:highlight w:val="none"/>
          <w:lang w:val="en-US" w:eastAsia="zh-CN"/>
        </w:rPr>
        <w:t>90</w:t>
      </w:r>
      <w:r>
        <w:rPr>
          <w:rFonts w:hint="eastAsia" w:cs="宋体"/>
          <w:szCs w:val="21"/>
          <w:highlight w:val="none"/>
        </w:rPr>
        <w:t>%费用，C档支付</w:t>
      </w:r>
      <w:r>
        <w:rPr>
          <w:rFonts w:hint="eastAsia" w:eastAsia="宋体" w:cs="宋体"/>
          <w:szCs w:val="21"/>
          <w:highlight w:val="none"/>
          <w:lang w:val="en-US" w:eastAsia="zh-CN"/>
        </w:rPr>
        <w:t>80</w:t>
      </w:r>
      <w:r>
        <w:rPr>
          <w:rFonts w:hint="eastAsia" w:cs="宋体"/>
          <w:szCs w:val="21"/>
          <w:highlight w:val="none"/>
        </w:rPr>
        <w:t>%费用，D档暂停支付并要求承包人整改，整改合格后按 70% 支付。日常保养视得分档次比例进行结算支付，A档以下剩余费用由</w:t>
      </w:r>
      <w:r>
        <w:rPr>
          <w:rFonts w:hint="eastAsia" w:eastAsia="宋体" w:cs="宋体"/>
          <w:szCs w:val="21"/>
          <w:highlight w:val="none"/>
          <w:lang w:val="en-US" w:eastAsia="zh-CN"/>
        </w:rPr>
        <w:t>发包</w:t>
      </w:r>
      <w:r>
        <w:rPr>
          <w:rFonts w:hint="eastAsia" w:cs="宋体"/>
          <w:szCs w:val="21"/>
          <w:highlight w:val="none"/>
        </w:rPr>
        <w:t>人统筹使用于增加日常维修</w:t>
      </w:r>
      <w:r>
        <w:rPr>
          <w:rFonts w:hint="eastAsia" w:eastAsia="宋体" w:cs="宋体"/>
          <w:szCs w:val="21"/>
          <w:highlight w:val="none"/>
          <w:lang w:val="en-US" w:eastAsia="zh-CN"/>
        </w:rPr>
        <w:t>或</w:t>
      </w:r>
      <w:r>
        <w:rPr>
          <w:rFonts w:hint="eastAsia" w:cs="宋体"/>
          <w:szCs w:val="21"/>
          <w:highlight w:val="none"/>
          <w:lang w:val="en-US" w:eastAsia="zh-CN"/>
        </w:rPr>
        <w:t>养护智能化</w:t>
      </w:r>
      <w:r>
        <w:rPr>
          <w:rFonts w:hint="eastAsia" w:cs="宋体"/>
          <w:szCs w:val="21"/>
          <w:highlight w:val="none"/>
        </w:rPr>
        <w:t>工作</w:t>
      </w:r>
      <w:r>
        <w:rPr>
          <w:rFonts w:hint="eastAsia" w:eastAsia="宋体" w:cs="宋体"/>
          <w:szCs w:val="21"/>
          <w:highlight w:val="none"/>
          <w:lang w:eastAsia="zh-CN"/>
        </w:rPr>
        <w:t>，</w:t>
      </w:r>
      <w:r>
        <w:rPr>
          <w:rFonts w:hint="eastAsia" w:eastAsia="宋体" w:cs="宋体"/>
          <w:szCs w:val="21"/>
          <w:highlight w:val="none"/>
          <w:lang w:val="en-US" w:eastAsia="zh-CN"/>
        </w:rPr>
        <w:t>发包人对该项费用安排的工作可以指定第三方实施</w:t>
      </w:r>
      <w:r>
        <w:rPr>
          <w:rFonts w:hint="eastAsia" w:cs="宋体"/>
          <w:szCs w:val="21"/>
          <w:highlight w:val="none"/>
        </w:rPr>
        <w:t>。</w:t>
      </w:r>
    </w:p>
    <w:p w14:paraId="40D6E8F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textAlignment w:val="auto"/>
        <w:rPr>
          <w:rFonts w:hint="eastAsia" w:cs="宋体"/>
          <w:sz w:val="24"/>
          <w:szCs w:val="24"/>
          <w:highlight w:val="none"/>
        </w:rPr>
      </w:pPr>
      <w:r>
        <w:rPr>
          <w:rFonts w:hint="eastAsia" w:cs="宋体"/>
          <w:b/>
          <w:sz w:val="24"/>
          <w:szCs w:val="24"/>
          <w:highlight w:val="none"/>
          <w:lang w:eastAsia="zh-CN"/>
        </w:rPr>
        <w:t>（</w:t>
      </w:r>
      <w:r>
        <w:rPr>
          <w:rFonts w:hint="eastAsia" w:cs="宋体"/>
          <w:b/>
          <w:sz w:val="24"/>
          <w:szCs w:val="24"/>
          <w:highlight w:val="none"/>
          <w:lang w:val="en-US" w:eastAsia="zh-CN"/>
        </w:rPr>
        <w:t>二</w:t>
      </w:r>
      <w:r>
        <w:rPr>
          <w:rFonts w:hint="eastAsia" w:cs="宋体"/>
          <w:b/>
          <w:sz w:val="24"/>
          <w:szCs w:val="24"/>
          <w:highlight w:val="none"/>
          <w:lang w:eastAsia="zh-CN"/>
        </w:rPr>
        <w:t>）</w:t>
      </w:r>
      <w:r>
        <w:rPr>
          <w:rFonts w:hint="eastAsia" w:cs="宋体"/>
          <w:b/>
          <w:sz w:val="24"/>
          <w:szCs w:val="24"/>
          <w:highlight w:val="none"/>
        </w:rPr>
        <w:t>检查考核依据</w:t>
      </w:r>
    </w:p>
    <w:p w14:paraId="53C79A9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20" w:firstLineChars="200"/>
        <w:textAlignment w:val="auto"/>
        <w:rPr>
          <w:rFonts w:hint="eastAsia" w:cs="宋体"/>
          <w:szCs w:val="21"/>
          <w:highlight w:val="none"/>
        </w:rPr>
      </w:pPr>
      <w:r>
        <w:rPr>
          <w:rFonts w:hint="eastAsia" w:cs="宋体"/>
          <w:szCs w:val="21"/>
          <w:highlight w:val="none"/>
        </w:rPr>
        <w:t>项目招标文件、双方签定的合同协议、《公路养护技术标准》（JTG5110-2023）、《公路养护工程质量检验评定标准》（JTG 5220-2020）、</w:t>
      </w:r>
      <w:r>
        <w:rPr>
          <w:rFonts w:hint="eastAsia" w:cs="宋体"/>
          <w:szCs w:val="21"/>
          <w:highlight w:val="none"/>
          <w:lang w:eastAsia="zh-CN"/>
        </w:rPr>
        <w:t>《广西壮族自治区桂林公路发展中心公路养护服务</w:t>
      </w:r>
      <w:r>
        <w:rPr>
          <w:rFonts w:hint="eastAsia" w:cs="宋体"/>
          <w:szCs w:val="21"/>
          <w:highlight w:val="none"/>
          <w:lang w:val="en-US" w:eastAsia="zh-CN"/>
        </w:rPr>
        <w:t>工作要求</w:t>
      </w:r>
      <w:r>
        <w:rPr>
          <w:rFonts w:hint="eastAsia" w:cs="宋体"/>
          <w:szCs w:val="21"/>
          <w:highlight w:val="none"/>
          <w:lang w:eastAsia="zh-CN"/>
        </w:rPr>
        <w:t>及考核办法》、</w:t>
      </w:r>
      <w:r>
        <w:rPr>
          <w:rFonts w:hint="eastAsia" w:cs="宋体"/>
          <w:szCs w:val="21"/>
          <w:highlight w:val="none"/>
        </w:rPr>
        <w:t>双方认定的月度工作计划。</w:t>
      </w:r>
    </w:p>
    <w:p w14:paraId="56F7AC9F">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textAlignment w:val="auto"/>
        <w:rPr>
          <w:rFonts w:cs="宋体"/>
          <w:b/>
          <w:szCs w:val="21"/>
          <w:highlight w:val="none"/>
        </w:rPr>
      </w:pPr>
      <w:r>
        <w:rPr>
          <w:rFonts w:hint="eastAsia" w:cs="宋体"/>
          <w:b/>
          <w:sz w:val="28"/>
          <w:szCs w:val="28"/>
          <w:highlight w:val="none"/>
          <w:lang w:val="en-US" w:eastAsia="zh-CN"/>
        </w:rPr>
        <w:t>六</w:t>
      </w:r>
      <w:r>
        <w:rPr>
          <w:rFonts w:hint="eastAsia" w:cs="宋体"/>
          <w:b/>
          <w:sz w:val="28"/>
          <w:szCs w:val="28"/>
          <w:highlight w:val="none"/>
        </w:rPr>
        <w:t>、计量与支付方式</w:t>
      </w:r>
    </w:p>
    <w:p w14:paraId="4EA263EC">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default" w:eastAsia="宋体" w:cs="宋体"/>
          <w:szCs w:val="21"/>
          <w:highlight w:val="none"/>
          <w:lang w:val="en-US" w:eastAsia="zh-CN"/>
        </w:rPr>
      </w:pPr>
      <w:r>
        <w:rPr>
          <w:rFonts w:hint="eastAsia" w:cs="宋体"/>
          <w:b/>
          <w:bCs/>
          <w:sz w:val="24"/>
          <w:szCs w:val="24"/>
          <w:highlight w:val="none"/>
        </w:rPr>
        <w:t>（一）计量周期</w:t>
      </w:r>
      <w:r>
        <w:rPr>
          <w:rFonts w:hint="eastAsia" w:cs="宋体"/>
          <w:b/>
          <w:bCs/>
          <w:sz w:val="24"/>
          <w:szCs w:val="24"/>
          <w:highlight w:val="none"/>
          <w:lang w:eastAsia="zh-CN"/>
        </w:rPr>
        <w:t>：</w:t>
      </w:r>
      <w:r>
        <w:rPr>
          <w:rFonts w:hint="eastAsia" w:cs="宋体"/>
          <w:szCs w:val="21"/>
          <w:highlight w:val="none"/>
          <w:lang w:val="en-US" w:eastAsia="zh-CN"/>
        </w:rPr>
        <w:t>计量模式和绩效模式的养护服务都以月度为一个计量周期。</w:t>
      </w:r>
    </w:p>
    <w:p w14:paraId="2974C925">
      <w:pPr>
        <w:keepNext w:val="0"/>
        <w:keepLines w:val="0"/>
        <w:pageBreakBefore w:val="0"/>
        <w:widowControl w:val="0"/>
        <w:tabs>
          <w:tab w:val="left" w:pos="0"/>
          <w:tab w:val="center" w:pos="4818"/>
        </w:tabs>
        <w:kinsoku/>
        <w:wordWrap/>
        <w:overflowPunct/>
        <w:topLinePunct w:val="0"/>
        <w:autoSpaceDE/>
        <w:autoSpaceDN/>
        <w:bidi w:val="0"/>
        <w:adjustRightInd/>
        <w:snapToGrid/>
        <w:spacing w:line="360" w:lineRule="auto"/>
        <w:ind w:firstLine="420"/>
        <w:textAlignment w:val="auto"/>
        <w:rPr>
          <w:rFonts w:hint="eastAsia" w:cs="宋体"/>
          <w:b/>
          <w:bCs/>
          <w:sz w:val="24"/>
          <w:szCs w:val="24"/>
          <w:highlight w:val="none"/>
          <w:lang w:eastAsia="zh-CN"/>
        </w:rPr>
      </w:pPr>
      <w:r>
        <w:rPr>
          <w:rFonts w:hint="eastAsia" w:cs="宋体"/>
          <w:b/>
          <w:bCs/>
          <w:sz w:val="24"/>
          <w:szCs w:val="24"/>
          <w:highlight w:val="none"/>
          <w:lang w:eastAsia="zh-CN"/>
        </w:rPr>
        <w:t>（</w:t>
      </w:r>
      <w:r>
        <w:rPr>
          <w:rFonts w:hint="eastAsia" w:cs="宋体"/>
          <w:b/>
          <w:bCs/>
          <w:sz w:val="24"/>
          <w:szCs w:val="24"/>
          <w:highlight w:val="none"/>
          <w:lang w:val="en-US" w:eastAsia="zh-CN"/>
        </w:rPr>
        <w:t>二</w:t>
      </w:r>
      <w:r>
        <w:rPr>
          <w:rFonts w:hint="eastAsia" w:cs="宋体"/>
          <w:b/>
          <w:bCs/>
          <w:sz w:val="24"/>
          <w:szCs w:val="24"/>
          <w:highlight w:val="none"/>
          <w:lang w:eastAsia="zh-CN"/>
        </w:rPr>
        <w:t>）</w:t>
      </w:r>
      <w:r>
        <w:rPr>
          <w:rFonts w:hint="eastAsia" w:cs="宋体"/>
          <w:b/>
          <w:bCs/>
          <w:sz w:val="24"/>
          <w:szCs w:val="24"/>
          <w:highlight w:val="none"/>
        </w:rPr>
        <w:t>计量计算方</w:t>
      </w:r>
      <w:r>
        <w:rPr>
          <w:rFonts w:hint="eastAsia" w:cs="宋体"/>
          <w:b/>
          <w:bCs/>
          <w:sz w:val="24"/>
          <w:szCs w:val="24"/>
          <w:highlight w:val="none"/>
          <w:lang w:val="en-US" w:eastAsia="zh-CN"/>
        </w:rPr>
        <w:t>法</w:t>
      </w:r>
      <w:r>
        <w:rPr>
          <w:rFonts w:hint="eastAsia" w:cs="宋体"/>
          <w:b/>
          <w:bCs/>
          <w:sz w:val="24"/>
          <w:szCs w:val="24"/>
          <w:highlight w:val="none"/>
          <w:lang w:eastAsia="zh-CN"/>
        </w:rPr>
        <w:t>：</w:t>
      </w:r>
      <w:r>
        <w:rPr>
          <w:rFonts w:hint="eastAsia" w:cs="宋体"/>
          <w:b/>
          <w:bCs/>
          <w:sz w:val="24"/>
          <w:szCs w:val="24"/>
          <w:highlight w:val="none"/>
          <w:lang w:eastAsia="zh-CN"/>
        </w:rPr>
        <w:tab/>
      </w:r>
    </w:p>
    <w:p w14:paraId="0B20EFBE">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cs="仿宋" w:asciiTheme="minorEastAsia" w:hAnsiTheme="minorEastAsia" w:eastAsiaTheme="minorEastAsia"/>
          <w:szCs w:val="21"/>
          <w:highlight w:val="none"/>
        </w:rPr>
      </w:pPr>
      <w:r>
        <w:rPr>
          <w:rFonts w:hint="eastAsia" w:cs="宋体"/>
          <w:szCs w:val="21"/>
          <w:highlight w:val="none"/>
          <w:lang w:val="en-US" w:eastAsia="zh-CN"/>
        </w:rPr>
        <w:t>1.计量模式的养护工作</w:t>
      </w:r>
      <w:r>
        <w:rPr>
          <w:rFonts w:hint="eastAsia" w:cs="宋体"/>
          <w:spacing w:val="-4"/>
          <w:szCs w:val="21"/>
          <w:highlight w:val="none"/>
          <w:lang w:val="en-US" w:eastAsia="zh-CN"/>
        </w:rPr>
        <w:t>：</w:t>
      </w:r>
      <w:r>
        <w:rPr>
          <w:rFonts w:hint="eastAsia" w:cs="华文楷体" w:asciiTheme="minorEastAsia" w:hAnsiTheme="minorEastAsia" w:eastAsiaTheme="minorEastAsia"/>
          <w:szCs w:val="21"/>
          <w:highlight w:val="none"/>
        </w:rPr>
        <w:t>月度计量款＝</w:t>
      </w:r>
      <w:r>
        <w:rPr>
          <w:rFonts w:hint="eastAsia" w:cs="仿宋" w:asciiTheme="minorEastAsia" w:hAnsiTheme="minorEastAsia" w:eastAsiaTheme="minorEastAsia"/>
          <w:szCs w:val="21"/>
          <w:highlight w:val="none"/>
        </w:rPr>
        <w:t>合格工程数量×工程</w:t>
      </w:r>
      <w:r>
        <w:rPr>
          <w:rFonts w:hint="eastAsia" w:cs="仿宋" w:asciiTheme="minorEastAsia" w:hAnsiTheme="minorEastAsia" w:eastAsiaTheme="minorEastAsia"/>
          <w:szCs w:val="21"/>
          <w:highlight w:val="none"/>
          <w:lang w:val="en-US" w:eastAsia="zh-CN"/>
        </w:rPr>
        <w:t>量清单</w:t>
      </w:r>
      <w:r>
        <w:rPr>
          <w:rFonts w:hint="eastAsia" w:cs="仿宋" w:asciiTheme="minorEastAsia" w:hAnsiTheme="minorEastAsia" w:eastAsiaTheme="minorEastAsia"/>
          <w:szCs w:val="21"/>
          <w:highlight w:val="none"/>
        </w:rPr>
        <w:t>对应</w:t>
      </w:r>
      <w:r>
        <w:rPr>
          <w:rFonts w:hint="eastAsia" w:cs="仿宋" w:asciiTheme="minorEastAsia" w:hAnsiTheme="minorEastAsia" w:eastAsiaTheme="minorEastAsia"/>
          <w:szCs w:val="21"/>
          <w:highlight w:val="none"/>
          <w:lang w:val="en-US" w:eastAsia="zh-CN"/>
        </w:rPr>
        <w:t>子目报</w:t>
      </w:r>
      <w:r>
        <w:rPr>
          <w:rFonts w:hint="eastAsia" w:cs="仿宋" w:asciiTheme="minorEastAsia" w:hAnsiTheme="minorEastAsia" w:eastAsiaTheme="minorEastAsia"/>
          <w:szCs w:val="21"/>
          <w:highlight w:val="none"/>
        </w:rPr>
        <w:t>价</w:t>
      </w:r>
      <w:r>
        <w:rPr>
          <w:rFonts w:hint="eastAsia" w:cs="仿宋" w:asciiTheme="minorEastAsia" w:hAnsiTheme="minorEastAsia" w:eastAsiaTheme="minorEastAsia"/>
          <w:szCs w:val="21"/>
          <w:highlight w:val="none"/>
          <w:lang w:eastAsia="zh-CN"/>
        </w:rPr>
        <w:t>，</w:t>
      </w:r>
      <w:r>
        <w:rPr>
          <w:rFonts w:hint="eastAsia" w:cs="仿宋" w:asciiTheme="minorEastAsia" w:hAnsiTheme="minorEastAsia" w:eastAsiaTheme="minorEastAsia"/>
          <w:szCs w:val="21"/>
          <w:highlight w:val="none"/>
          <w:lang w:val="en-US" w:eastAsia="zh-CN"/>
        </w:rPr>
        <w:t>各子目合计</w:t>
      </w:r>
      <w:r>
        <w:rPr>
          <w:rFonts w:hint="eastAsia" w:cs="仿宋" w:asciiTheme="minorEastAsia" w:hAnsiTheme="minorEastAsia" w:eastAsiaTheme="minorEastAsia"/>
          <w:szCs w:val="21"/>
          <w:highlight w:val="none"/>
        </w:rPr>
        <w:t>。</w:t>
      </w:r>
    </w:p>
    <w:p w14:paraId="467C0120">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cs="仿宋" w:asciiTheme="minorEastAsia" w:hAnsiTheme="minorEastAsia" w:eastAsiaTheme="minorEastAsia"/>
          <w:szCs w:val="21"/>
          <w:highlight w:val="none"/>
          <w:lang w:eastAsia="zh-CN"/>
        </w:rPr>
      </w:pPr>
      <w:r>
        <w:rPr>
          <w:rFonts w:hint="eastAsia" w:cs="仿宋" w:asciiTheme="minorEastAsia" w:hAnsiTheme="minorEastAsia" w:eastAsiaTheme="minorEastAsia"/>
          <w:szCs w:val="21"/>
          <w:highlight w:val="none"/>
          <w:lang w:val="en-US" w:eastAsia="zh-CN"/>
        </w:rPr>
        <w:t>2.绩效模式的养护工作：</w:t>
      </w:r>
      <w:r>
        <w:rPr>
          <w:rFonts w:hint="eastAsia" w:cs="仿宋" w:asciiTheme="minorEastAsia" w:hAnsiTheme="minorEastAsia" w:eastAsiaTheme="minorEastAsia"/>
          <w:szCs w:val="21"/>
          <w:highlight w:val="none"/>
        </w:rPr>
        <w:t>月度计量款=日常保养</w:t>
      </w:r>
      <w:r>
        <w:rPr>
          <w:rFonts w:hint="eastAsia" w:cs="仿宋" w:asciiTheme="minorEastAsia" w:hAnsiTheme="minorEastAsia" w:eastAsiaTheme="minorEastAsia"/>
          <w:szCs w:val="21"/>
          <w:highlight w:val="none"/>
          <w:lang w:val="en-US" w:eastAsia="zh-CN"/>
        </w:rPr>
        <w:t>绩效</w:t>
      </w:r>
      <w:r>
        <w:rPr>
          <w:rFonts w:hint="eastAsia" w:cs="仿宋" w:asciiTheme="minorEastAsia" w:hAnsiTheme="minorEastAsia" w:eastAsiaTheme="minorEastAsia"/>
          <w:szCs w:val="21"/>
          <w:highlight w:val="none"/>
        </w:rPr>
        <w:t>清单报价÷36×月度考核得分档次支付比例</w:t>
      </w:r>
      <w:r>
        <w:rPr>
          <w:rFonts w:hint="eastAsia" w:cs="仿宋" w:asciiTheme="minorEastAsia" w:hAnsiTheme="minorEastAsia" w:eastAsiaTheme="minorEastAsia"/>
          <w:szCs w:val="21"/>
          <w:highlight w:val="none"/>
          <w:lang w:eastAsia="zh-CN"/>
        </w:rPr>
        <w:t>。</w:t>
      </w:r>
    </w:p>
    <w:p w14:paraId="51C5ADDA">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cs="仿宋" w:asciiTheme="minorEastAsia" w:hAnsiTheme="minorEastAsia" w:eastAsiaTheme="minorEastAsia"/>
          <w:szCs w:val="21"/>
          <w:highlight w:val="none"/>
          <w:lang w:val="en-US" w:eastAsia="zh-CN"/>
        </w:rPr>
      </w:pPr>
      <w:r>
        <w:rPr>
          <w:rFonts w:hint="eastAsia" w:cs="仿宋" w:asciiTheme="minorEastAsia" w:hAnsiTheme="minorEastAsia" w:eastAsiaTheme="minorEastAsia"/>
          <w:szCs w:val="21"/>
          <w:highlight w:val="none"/>
          <w:lang w:val="en-US" w:eastAsia="zh-CN"/>
        </w:rPr>
        <w:t>3.计量支付应符合招标文件中工程量清单计量规则和绩效管理规则有关规定。</w:t>
      </w:r>
    </w:p>
    <w:p w14:paraId="67D4E5BA">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default" w:cs="仿宋" w:asciiTheme="minorEastAsia" w:hAnsiTheme="minorEastAsia" w:eastAsiaTheme="minorEastAsia"/>
          <w:szCs w:val="21"/>
          <w:highlight w:val="none"/>
          <w:lang w:val="en-US" w:eastAsia="zh-CN"/>
        </w:rPr>
      </w:pPr>
      <w:r>
        <w:rPr>
          <w:rFonts w:hint="eastAsia" w:cs="仿宋" w:asciiTheme="minorEastAsia" w:hAnsiTheme="minorEastAsia" w:eastAsiaTheme="minorEastAsia"/>
          <w:szCs w:val="21"/>
          <w:highlight w:val="none"/>
          <w:lang w:val="en-US" w:eastAsia="zh-CN"/>
        </w:rPr>
        <w:t>4.发生变更计量支付的，按合同条款约定进行变更确定后进行计量支付。</w:t>
      </w:r>
    </w:p>
    <w:p w14:paraId="4EB9BD8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仿宋" w:asciiTheme="minorEastAsia" w:hAnsiTheme="minorEastAsia" w:eastAsiaTheme="minorEastAsia"/>
          <w:szCs w:val="21"/>
          <w:highlight w:val="none"/>
          <w:lang w:val="en-US" w:eastAsia="zh-CN"/>
        </w:rPr>
      </w:pPr>
      <w:r>
        <w:rPr>
          <w:rFonts w:hint="eastAsia" w:cs="仿宋" w:asciiTheme="minorEastAsia" w:hAnsiTheme="minorEastAsia" w:eastAsiaTheme="minorEastAsia"/>
          <w:b/>
          <w:bCs/>
          <w:sz w:val="24"/>
          <w:szCs w:val="24"/>
          <w:highlight w:val="none"/>
          <w:lang w:val="en-US" w:eastAsia="zh-CN"/>
        </w:rPr>
        <w:t>（三）</w:t>
      </w:r>
      <w:r>
        <w:rPr>
          <w:rFonts w:hint="eastAsia" w:ascii="宋体" w:hAnsi="宋体" w:cs="宋体"/>
          <w:b/>
          <w:bCs/>
          <w:color w:val="auto"/>
          <w:sz w:val="24"/>
          <w:szCs w:val="24"/>
          <w:highlight w:val="none"/>
        </w:rPr>
        <w:t>支付方式：</w:t>
      </w:r>
      <w:r>
        <w:rPr>
          <w:rFonts w:hint="eastAsia" w:ascii="宋体" w:hAnsi="宋体" w:eastAsia="宋体" w:cs="宋体"/>
          <w:color w:val="auto"/>
          <w:szCs w:val="21"/>
          <w:highlight w:val="none"/>
          <w:lang w:val="en-US" w:eastAsia="zh-CN"/>
        </w:rPr>
        <w:t>发包</w:t>
      </w:r>
      <w:r>
        <w:rPr>
          <w:rFonts w:hint="eastAsia" w:ascii="宋体" w:hAnsi="宋体" w:cs="宋体"/>
          <w:color w:val="auto"/>
          <w:szCs w:val="21"/>
          <w:highlight w:val="none"/>
        </w:rPr>
        <w:t>人根据计算出的月度计量款，开具验收结算单，承包方根据验收结算单开具发票，采购人收到发票及承包人当月用工人员工资支付凭据后</w:t>
      </w:r>
      <w:r>
        <w:rPr>
          <w:rFonts w:hint="eastAsia" w:ascii="宋体" w:hAnsi="宋体" w:cs="宋体"/>
          <w:color w:val="auto"/>
          <w:szCs w:val="21"/>
          <w:highlight w:val="none"/>
          <w:lang w:val="en-US" w:eastAsia="zh-CN"/>
        </w:rPr>
        <w:t>在</w:t>
      </w:r>
      <w:r>
        <w:rPr>
          <w:rFonts w:hint="eastAsia" w:ascii="宋体" w:hAnsi="宋体" w:cs="宋体"/>
          <w:color w:val="auto"/>
          <w:szCs w:val="21"/>
          <w:highlight w:val="none"/>
        </w:rPr>
        <w:t>10</w:t>
      </w:r>
      <w:r>
        <w:rPr>
          <w:rFonts w:hint="eastAsia" w:ascii="宋体" w:hAnsi="宋体" w:cs="宋体"/>
          <w:color w:val="auto"/>
          <w:szCs w:val="21"/>
          <w:highlight w:val="none"/>
          <w:lang w:val="en-US" w:eastAsia="zh-CN"/>
        </w:rPr>
        <w:t>天内</w:t>
      </w:r>
      <w:r>
        <w:rPr>
          <w:rFonts w:hint="eastAsia" w:ascii="宋体" w:hAnsi="宋体" w:cs="宋体"/>
          <w:color w:val="auto"/>
          <w:szCs w:val="21"/>
          <w:highlight w:val="none"/>
        </w:rPr>
        <w:t>按发票金额进行支付。</w:t>
      </w:r>
    </w:p>
    <w:p w14:paraId="7429E542">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cs="宋体"/>
          <w:szCs w:val="21"/>
          <w:highlight w:val="none"/>
        </w:rPr>
      </w:pPr>
      <w:r>
        <w:rPr>
          <w:rFonts w:hint="eastAsia" w:cs="宋体"/>
          <w:b/>
          <w:bCs/>
          <w:sz w:val="24"/>
          <w:szCs w:val="24"/>
          <w:highlight w:val="none"/>
        </w:rPr>
        <w:t>（</w:t>
      </w:r>
      <w:r>
        <w:rPr>
          <w:rFonts w:hint="eastAsia" w:cs="宋体"/>
          <w:b/>
          <w:bCs/>
          <w:sz w:val="24"/>
          <w:szCs w:val="24"/>
          <w:highlight w:val="none"/>
          <w:lang w:val="en-US" w:eastAsia="zh-CN"/>
        </w:rPr>
        <w:t>四</w:t>
      </w:r>
      <w:r>
        <w:rPr>
          <w:rFonts w:hint="eastAsia" w:cs="宋体"/>
          <w:b/>
          <w:bCs/>
          <w:sz w:val="24"/>
          <w:szCs w:val="24"/>
          <w:highlight w:val="none"/>
        </w:rPr>
        <w:t>）农民工工资保障方式：</w:t>
      </w:r>
      <w:r>
        <w:rPr>
          <w:rFonts w:hint="eastAsia" w:cs="宋体"/>
          <w:szCs w:val="21"/>
          <w:highlight w:val="none"/>
        </w:rPr>
        <w:t>根据《广西壮族自治区人力资源和社会保障厅等8部门关于印发广西壮族自治区工程建设领域农民工工资专用账户管理暂行办法实施细则的通知》（桂人社规〔2022〕5号文）规定，</w:t>
      </w:r>
      <w:r>
        <w:rPr>
          <w:rFonts w:hint="eastAsia" w:cs="宋体"/>
          <w:szCs w:val="21"/>
          <w:highlight w:val="none"/>
          <w:lang w:val="en-US" w:eastAsia="zh-CN"/>
        </w:rPr>
        <w:t>养护服务</w:t>
      </w:r>
      <w:r>
        <w:rPr>
          <w:rFonts w:hint="eastAsia" w:cs="宋体"/>
          <w:szCs w:val="21"/>
          <w:highlight w:val="none"/>
        </w:rPr>
        <w:t>项目须开立农民工工资专用账户。为确保用工人员工资支付到位，承包人须每月按期正常全额支付用工人员工资，除开立专用账户外，发包人每月检查并获得当月用工人员工资支付凭据后，才会给予承包人进行计量支付。</w:t>
      </w:r>
    </w:p>
    <w:p w14:paraId="2C28694B">
      <w:pPr>
        <w:keepNext w:val="0"/>
        <w:keepLines w:val="0"/>
        <w:pageBreakBefore w:val="0"/>
        <w:widowControl w:val="0"/>
        <w:kinsoku/>
        <w:wordWrap/>
        <w:overflowPunct/>
        <w:topLinePunct w:val="0"/>
        <w:autoSpaceDE/>
        <w:autoSpaceDN/>
        <w:bidi w:val="0"/>
        <w:adjustRightInd/>
        <w:snapToGrid/>
        <w:spacing w:line="360" w:lineRule="auto"/>
        <w:ind w:left="477"/>
        <w:textAlignment w:val="auto"/>
        <w:outlineLvl w:val="3"/>
        <w:rPr>
          <w:rFonts w:hint="default" w:ascii="宋体" w:hAnsi="宋体" w:eastAsia="宋体" w:cs="宋体"/>
          <w:sz w:val="28"/>
          <w:szCs w:val="28"/>
          <w:highlight w:val="none"/>
          <w:lang w:val="en-US" w:eastAsia="zh-CN"/>
        </w:rPr>
      </w:pPr>
      <w:r>
        <w:rPr>
          <w:rFonts w:hint="eastAsia" w:eastAsia="Times New Roman" w:cs="Times New Roman"/>
          <w:b/>
          <w:bCs/>
          <w:spacing w:val="-2"/>
          <w:sz w:val="28"/>
          <w:szCs w:val="28"/>
          <w:highlight w:val="none"/>
          <w:lang w:val="en-US" w:eastAsia="zh-CN"/>
        </w:rPr>
        <w:t>七、</w:t>
      </w:r>
      <w:r>
        <w:rPr>
          <w:rFonts w:ascii="宋体" w:hAnsi="宋体" w:eastAsia="宋体" w:cs="宋体"/>
          <w:b/>
          <w:bCs/>
          <w:spacing w:val="-2"/>
          <w:sz w:val="28"/>
          <w:szCs w:val="28"/>
          <w:highlight w:val="none"/>
          <w:lang w:eastAsia="zh-CN"/>
        </w:rPr>
        <w:t>承包人违约</w:t>
      </w:r>
      <w:r>
        <w:rPr>
          <w:rFonts w:hint="eastAsia" w:ascii="宋体" w:hAnsi="宋体" w:cs="宋体"/>
          <w:b/>
          <w:bCs/>
          <w:spacing w:val="-2"/>
          <w:sz w:val="28"/>
          <w:szCs w:val="28"/>
          <w:highlight w:val="none"/>
          <w:lang w:val="en-US" w:eastAsia="zh-CN"/>
        </w:rPr>
        <w:t>及处理</w:t>
      </w:r>
    </w:p>
    <w:p w14:paraId="35954E5B">
      <w:pPr>
        <w:keepNext w:val="0"/>
        <w:keepLines w:val="0"/>
        <w:pageBreakBefore w:val="0"/>
        <w:widowControl w:val="0"/>
        <w:kinsoku/>
        <w:wordWrap/>
        <w:overflowPunct/>
        <w:topLinePunct w:val="0"/>
        <w:autoSpaceDE/>
        <w:autoSpaceDN/>
        <w:bidi w:val="0"/>
        <w:adjustRightInd/>
        <w:snapToGrid/>
        <w:spacing w:line="360" w:lineRule="auto"/>
        <w:ind w:left="476"/>
        <w:textAlignment w:val="auto"/>
        <w:rPr>
          <w:rFonts w:hint="eastAsia" w:ascii="宋体" w:hAnsi="宋体" w:eastAsia="宋体" w:cs="宋体"/>
          <w:b/>
          <w:bCs/>
          <w:sz w:val="24"/>
          <w:szCs w:val="24"/>
          <w:highlight w:val="none"/>
          <w:lang w:eastAsia="zh-CN"/>
        </w:rPr>
      </w:pPr>
      <w:r>
        <w:rPr>
          <w:rFonts w:hint="eastAsia" w:ascii="宋体" w:hAnsi="宋体" w:eastAsia="宋体" w:cs="宋体"/>
          <w:b/>
          <w:bCs/>
          <w:spacing w:val="-1"/>
          <w:sz w:val="24"/>
          <w:szCs w:val="24"/>
          <w:highlight w:val="none"/>
          <w:lang w:val="en-US" w:eastAsia="zh-CN"/>
        </w:rPr>
        <w:t>（一）</w:t>
      </w:r>
      <w:r>
        <w:rPr>
          <w:rFonts w:hint="eastAsia" w:ascii="宋体" w:hAnsi="宋体" w:eastAsia="宋体" w:cs="宋体"/>
          <w:b/>
          <w:bCs/>
          <w:spacing w:val="-1"/>
          <w:sz w:val="24"/>
          <w:szCs w:val="24"/>
          <w:highlight w:val="none"/>
          <w:lang w:eastAsia="zh-CN"/>
        </w:rPr>
        <w:t>承包人违约的情形</w:t>
      </w:r>
    </w:p>
    <w:p w14:paraId="189B98AA">
      <w:pPr>
        <w:keepNext w:val="0"/>
        <w:keepLines w:val="0"/>
        <w:pageBreakBefore w:val="0"/>
        <w:kinsoku/>
        <w:wordWrap/>
        <w:overflowPunct/>
        <w:topLinePunct w:val="0"/>
        <w:autoSpaceDE/>
        <w:autoSpaceDN/>
        <w:bidi w:val="0"/>
        <w:adjustRightInd/>
        <w:snapToGrid/>
        <w:spacing w:line="360" w:lineRule="auto"/>
        <w:ind w:left="480"/>
        <w:textAlignment w:val="auto"/>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eastAsia="zh-CN"/>
        </w:rPr>
        <w:t>在履行合同过程中发生的下列情况属承包人违约：</w:t>
      </w:r>
    </w:p>
    <w:p w14:paraId="4E3432EE">
      <w:pPr>
        <w:keepNext w:val="0"/>
        <w:keepLines w:val="0"/>
        <w:pageBreakBefore w:val="0"/>
        <w:kinsoku/>
        <w:wordWrap/>
        <w:overflowPunct/>
        <w:topLinePunct w:val="0"/>
        <w:autoSpaceDE/>
        <w:autoSpaceDN/>
        <w:bidi w:val="0"/>
        <w:adjustRightInd/>
        <w:snapToGrid/>
        <w:spacing w:line="360" w:lineRule="auto"/>
        <w:ind w:left="2" w:right="2" w:firstLine="489"/>
        <w:textAlignment w:val="auto"/>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val="en-US" w:eastAsia="zh-CN"/>
        </w:rPr>
        <w:t>1.</w:t>
      </w:r>
      <w:r>
        <w:rPr>
          <w:rFonts w:hint="eastAsia" w:ascii="宋体" w:hAnsi="宋体" w:eastAsia="宋体" w:cs="宋体"/>
          <w:spacing w:val="-1"/>
          <w:sz w:val="21"/>
          <w:szCs w:val="21"/>
          <w:highlight w:val="none"/>
          <w:lang w:eastAsia="zh-CN"/>
        </w:rPr>
        <w:t>承包人违反</w:t>
      </w:r>
      <w:r>
        <w:rPr>
          <w:rFonts w:hint="eastAsia" w:ascii="宋体" w:hAnsi="宋体" w:eastAsia="宋体" w:cs="宋体"/>
          <w:spacing w:val="-1"/>
          <w:sz w:val="21"/>
          <w:szCs w:val="21"/>
          <w:highlight w:val="none"/>
          <w:lang w:val="en-US" w:eastAsia="zh-CN"/>
        </w:rPr>
        <w:t>法律规定或合同条款中转让、转包</w:t>
      </w:r>
      <w:r>
        <w:rPr>
          <w:rFonts w:hint="eastAsia" w:ascii="宋体" w:hAnsi="宋体" w:eastAsia="宋体" w:cs="宋体"/>
          <w:spacing w:val="-1"/>
          <w:sz w:val="21"/>
          <w:szCs w:val="21"/>
          <w:highlight w:val="none"/>
          <w:lang w:eastAsia="zh-CN"/>
        </w:rPr>
        <w:t>的约定，私自将合同的全部或部分权利转让给其他人，或私自将合同的全部或部分义务转移给其他人，</w:t>
      </w:r>
      <w:r>
        <w:rPr>
          <w:rFonts w:hint="eastAsia" w:ascii="宋体" w:hAnsi="宋体" w:eastAsia="宋体" w:cs="宋体"/>
          <w:spacing w:val="-1"/>
          <w:sz w:val="21"/>
          <w:szCs w:val="21"/>
          <w:highlight w:val="none"/>
          <w:lang w:val="en-US" w:eastAsia="zh-CN"/>
        </w:rPr>
        <w:t>违法转包的</w:t>
      </w:r>
      <w:r>
        <w:rPr>
          <w:rFonts w:hint="eastAsia" w:ascii="宋体" w:hAnsi="宋体" w:eastAsia="宋体" w:cs="宋体"/>
          <w:spacing w:val="-1"/>
          <w:sz w:val="21"/>
          <w:szCs w:val="21"/>
          <w:highlight w:val="none"/>
          <w:lang w:eastAsia="zh-CN"/>
        </w:rPr>
        <w:t>；</w:t>
      </w:r>
    </w:p>
    <w:p w14:paraId="3A67D71F">
      <w:pPr>
        <w:keepNext w:val="0"/>
        <w:keepLines w:val="0"/>
        <w:pageBreakBefore w:val="0"/>
        <w:kinsoku/>
        <w:wordWrap/>
        <w:overflowPunct/>
        <w:topLinePunct w:val="0"/>
        <w:autoSpaceDE/>
        <w:autoSpaceDN/>
        <w:bidi w:val="0"/>
        <w:adjustRightInd/>
        <w:snapToGrid/>
        <w:spacing w:line="360" w:lineRule="auto"/>
        <w:ind w:firstLine="492"/>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承包人违反</w:t>
      </w:r>
      <w:r>
        <w:rPr>
          <w:rFonts w:hint="eastAsia" w:ascii="宋体" w:hAnsi="宋体" w:eastAsia="宋体" w:cs="宋体"/>
          <w:sz w:val="21"/>
          <w:szCs w:val="21"/>
          <w:highlight w:val="none"/>
          <w:lang w:val="en-US" w:eastAsia="zh-CN"/>
        </w:rPr>
        <w:t>合同条款</w:t>
      </w:r>
      <w:r>
        <w:rPr>
          <w:rFonts w:hint="eastAsia" w:ascii="宋体" w:hAnsi="宋体" w:eastAsia="宋体" w:cs="宋体"/>
          <w:spacing w:val="-1"/>
          <w:sz w:val="21"/>
          <w:szCs w:val="21"/>
          <w:highlight w:val="none"/>
          <w:lang w:eastAsia="zh-CN"/>
        </w:rPr>
        <w:t>，私自将已按合</w:t>
      </w:r>
      <w:r>
        <w:rPr>
          <w:rFonts w:hint="eastAsia" w:ascii="宋体" w:hAnsi="宋体" w:eastAsia="宋体" w:cs="宋体"/>
          <w:spacing w:val="1"/>
          <w:sz w:val="21"/>
          <w:szCs w:val="21"/>
          <w:highlight w:val="none"/>
          <w:lang w:eastAsia="zh-CN"/>
        </w:rPr>
        <w:t>同约定进入养护作业场地的养护作业设备、临时设施、材料</w:t>
      </w:r>
      <w:r>
        <w:rPr>
          <w:rFonts w:hint="eastAsia" w:ascii="宋体" w:hAnsi="宋体" w:eastAsia="宋体" w:cs="宋体"/>
          <w:sz w:val="21"/>
          <w:szCs w:val="21"/>
          <w:highlight w:val="none"/>
          <w:lang w:eastAsia="zh-CN"/>
        </w:rPr>
        <w:t>或工程设备撤离养护作</w:t>
      </w:r>
      <w:r>
        <w:rPr>
          <w:rFonts w:hint="eastAsia" w:ascii="宋体" w:hAnsi="宋体" w:eastAsia="宋体" w:cs="宋体"/>
          <w:spacing w:val="-3"/>
          <w:sz w:val="21"/>
          <w:szCs w:val="21"/>
          <w:highlight w:val="none"/>
          <w:lang w:eastAsia="zh-CN"/>
        </w:rPr>
        <w:t>业场地；</w:t>
      </w:r>
    </w:p>
    <w:p w14:paraId="6EF55684">
      <w:pPr>
        <w:keepNext w:val="0"/>
        <w:keepLines w:val="0"/>
        <w:pageBreakBefore w:val="0"/>
        <w:kinsoku/>
        <w:wordWrap/>
        <w:overflowPunct/>
        <w:topLinePunct w:val="0"/>
        <w:autoSpaceDE/>
        <w:autoSpaceDN/>
        <w:bidi w:val="0"/>
        <w:adjustRightInd/>
        <w:snapToGrid/>
        <w:spacing w:line="360" w:lineRule="auto"/>
        <w:ind w:left="4" w:firstLine="487"/>
        <w:textAlignment w:val="auto"/>
        <w:rPr>
          <w:rFonts w:hint="eastAsia" w:ascii="宋体" w:hAnsi="宋体" w:eastAsia="宋体" w:cs="宋体"/>
          <w:sz w:val="21"/>
          <w:szCs w:val="21"/>
          <w:highlight w:val="none"/>
          <w:lang w:eastAsia="zh-CN"/>
        </w:rPr>
      </w:pPr>
      <w:r>
        <w:rPr>
          <w:rFonts w:hint="eastAsia" w:ascii="宋体" w:hAnsi="宋体" w:eastAsia="宋体" w:cs="宋体"/>
          <w:spacing w:val="4"/>
          <w:sz w:val="21"/>
          <w:szCs w:val="21"/>
          <w:highlight w:val="none"/>
          <w:lang w:val="en-US" w:eastAsia="zh-CN"/>
        </w:rPr>
        <w:t>3.</w:t>
      </w:r>
      <w:r>
        <w:rPr>
          <w:rFonts w:hint="eastAsia" w:ascii="宋体" w:hAnsi="宋体" w:eastAsia="宋体" w:cs="宋体"/>
          <w:spacing w:val="4"/>
          <w:sz w:val="21"/>
          <w:szCs w:val="21"/>
          <w:highlight w:val="none"/>
          <w:lang w:eastAsia="zh-CN"/>
        </w:rPr>
        <w:t>承包人违反</w:t>
      </w:r>
      <w:r>
        <w:rPr>
          <w:rFonts w:hint="eastAsia" w:ascii="宋体" w:hAnsi="宋体" w:eastAsia="宋体" w:cs="宋体"/>
          <w:spacing w:val="4"/>
          <w:sz w:val="21"/>
          <w:szCs w:val="21"/>
          <w:highlight w:val="none"/>
          <w:lang w:val="en-US" w:eastAsia="zh-CN"/>
        </w:rPr>
        <w:t>合同条款</w:t>
      </w:r>
      <w:r>
        <w:rPr>
          <w:rFonts w:hint="eastAsia" w:ascii="宋体" w:hAnsi="宋体" w:eastAsia="宋体" w:cs="宋体"/>
          <w:spacing w:val="4"/>
          <w:sz w:val="21"/>
          <w:szCs w:val="21"/>
          <w:highlight w:val="none"/>
          <w:lang w:eastAsia="zh-CN"/>
        </w:rPr>
        <w:t>的约定使用了不合格材料或工程设备，养护质量达</w:t>
      </w:r>
      <w:r>
        <w:rPr>
          <w:rFonts w:hint="eastAsia" w:ascii="宋体" w:hAnsi="宋体" w:eastAsia="宋体" w:cs="宋体"/>
          <w:spacing w:val="-1"/>
          <w:sz w:val="21"/>
          <w:szCs w:val="21"/>
          <w:highlight w:val="none"/>
          <w:lang w:eastAsia="zh-CN"/>
        </w:rPr>
        <w:t>不到标准要求，又拒绝清除不合格养护工程；</w:t>
      </w:r>
    </w:p>
    <w:p w14:paraId="639219A7">
      <w:pPr>
        <w:keepNext w:val="0"/>
        <w:keepLines w:val="0"/>
        <w:pageBreakBefore w:val="0"/>
        <w:kinsoku/>
        <w:wordWrap/>
        <w:overflowPunct/>
        <w:topLinePunct w:val="0"/>
        <w:autoSpaceDE/>
        <w:autoSpaceDN/>
        <w:bidi w:val="0"/>
        <w:adjustRightInd/>
        <w:snapToGrid/>
        <w:spacing w:line="360" w:lineRule="auto"/>
        <w:ind w:left="2" w:firstLine="489"/>
        <w:textAlignment w:val="auto"/>
        <w:rPr>
          <w:rFonts w:hint="eastAsia" w:ascii="宋体" w:hAnsi="宋体" w:eastAsia="宋体" w:cs="宋体"/>
          <w:sz w:val="21"/>
          <w:szCs w:val="21"/>
          <w:highlight w:val="none"/>
          <w:lang w:eastAsia="zh-CN"/>
        </w:rPr>
      </w:pPr>
      <w:r>
        <w:rPr>
          <w:rFonts w:hint="eastAsia" w:ascii="宋体" w:hAnsi="宋体" w:eastAsia="宋体" w:cs="宋体"/>
          <w:spacing w:val="4"/>
          <w:sz w:val="21"/>
          <w:szCs w:val="21"/>
          <w:highlight w:val="none"/>
          <w:lang w:val="en-US" w:eastAsia="zh-CN"/>
        </w:rPr>
        <w:t>4.</w:t>
      </w:r>
      <w:r>
        <w:rPr>
          <w:rFonts w:hint="eastAsia" w:ascii="宋体" w:hAnsi="宋体" w:eastAsia="宋体" w:cs="宋体"/>
          <w:spacing w:val="4"/>
          <w:sz w:val="21"/>
          <w:szCs w:val="21"/>
          <w:highlight w:val="none"/>
          <w:lang w:eastAsia="zh-CN"/>
        </w:rPr>
        <w:t>承包人未能按合同进度计划及时完成合同约定的工作，已造成或预</w:t>
      </w:r>
      <w:r>
        <w:rPr>
          <w:rFonts w:hint="eastAsia" w:ascii="宋体" w:hAnsi="宋体" w:eastAsia="宋体" w:cs="宋体"/>
          <w:spacing w:val="3"/>
          <w:sz w:val="21"/>
          <w:szCs w:val="21"/>
          <w:highlight w:val="none"/>
          <w:lang w:eastAsia="zh-CN"/>
        </w:rPr>
        <w:t>期造</w:t>
      </w:r>
      <w:r>
        <w:rPr>
          <w:rFonts w:hint="eastAsia" w:ascii="宋体" w:hAnsi="宋体" w:eastAsia="宋体" w:cs="宋体"/>
          <w:spacing w:val="-2"/>
          <w:sz w:val="21"/>
          <w:szCs w:val="21"/>
          <w:highlight w:val="none"/>
          <w:lang w:eastAsia="zh-CN"/>
        </w:rPr>
        <w:t>成工期延误；</w:t>
      </w:r>
    </w:p>
    <w:p w14:paraId="31548776">
      <w:pPr>
        <w:keepNext w:val="0"/>
        <w:keepLines w:val="0"/>
        <w:pageBreakBefore w:val="0"/>
        <w:kinsoku/>
        <w:wordWrap/>
        <w:overflowPunct/>
        <w:topLinePunct w:val="0"/>
        <w:autoSpaceDE/>
        <w:autoSpaceDN/>
        <w:bidi w:val="0"/>
        <w:adjustRightInd/>
        <w:snapToGrid/>
        <w:spacing w:line="360" w:lineRule="auto"/>
        <w:ind w:firstLine="491"/>
        <w:textAlignment w:val="auto"/>
        <w:rPr>
          <w:rFonts w:hint="eastAsia" w:ascii="宋体" w:hAnsi="宋体" w:eastAsia="宋体" w:cs="宋体"/>
          <w:sz w:val="21"/>
          <w:szCs w:val="21"/>
          <w:highlight w:val="none"/>
          <w:lang w:eastAsia="zh-CN"/>
        </w:rPr>
      </w:pPr>
      <w:r>
        <w:rPr>
          <w:rFonts w:hint="eastAsia" w:ascii="宋体" w:hAnsi="宋体" w:eastAsia="宋体" w:cs="宋体"/>
          <w:spacing w:val="4"/>
          <w:sz w:val="21"/>
          <w:szCs w:val="21"/>
          <w:highlight w:val="none"/>
          <w:lang w:val="en-US" w:eastAsia="zh-CN"/>
        </w:rPr>
        <w:t>5.</w:t>
      </w:r>
      <w:r>
        <w:rPr>
          <w:rFonts w:hint="eastAsia" w:ascii="宋体" w:hAnsi="宋体" w:eastAsia="宋体" w:cs="宋体"/>
          <w:spacing w:val="4"/>
          <w:sz w:val="21"/>
          <w:szCs w:val="21"/>
          <w:highlight w:val="none"/>
          <w:lang w:eastAsia="zh-CN"/>
        </w:rPr>
        <w:t>承包人在缺陷责任期内，未能对交工验收证书所列的缺陷清单的内</w:t>
      </w:r>
      <w:r>
        <w:rPr>
          <w:rFonts w:hint="eastAsia" w:ascii="宋体" w:hAnsi="宋体" w:eastAsia="宋体" w:cs="宋体"/>
          <w:spacing w:val="3"/>
          <w:sz w:val="21"/>
          <w:szCs w:val="21"/>
          <w:highlight w:val="none"/>
          <w:lang w:eastAsia="zh-CN"/>
        </w:rPr>
        <w:t>容或</w:t>
      </w:r>
      <w:r>
        <w:rPr>
          <w:rFonts w:hint="eastAsia" w:ascii="宋体" w:hAnsi="宋体" w:eastAsia="宋体" w:cs="宋体"/>
          <w:sz w:val="21"/>
          <w:szCs w:val="21"/>
          <w:highlight w:val="none"/>
          <w:lang w:eastAsia="zh-CN"/>
        </w:rPr>
        <w:t>缺陷责任期内发生的缺陷进行修复，而又拒绝按</w:t>
      </w:r>
      <w:r>
        <w:rPr>
          <w:rFonts w:hint="eastAsia" w:ascii="宋体" w:hAnsi="宋体" w:eastAsia="宋体" w:cs="宋体"/>
          <w:spacing w:val="-1"/>
          <w:sz w:val="21"/>
          <w:szCs w:val="21"/>
          <w:highlight w:val="none"/>
          <w:lang w:val="en-US" w:eastAsia="zh-CN"/>
        </w:rPr>
        <w:t>发包人</w:t>
      </w:r>
      <w:r>
        <w:rPr>
          <w:rFonts w:hint="eastAsia" w:ascii="宋体" w:hAnsi="宋体" w:eastAsia="宋体" w:cs="宋体"/>
          <w:spacing w:val="-1"/>
          <w:sz w:val="21"/>
          <w:szCs w:val="21"/>
          <w:highlight w:val="none"/>
          <w:lang w:eastAsia="zh-CN"/>
        </w:rPr>
        <w:t>指示再进行修补；</w:t>
      </w:r>
    </w:p>
    <w:p w14:paraId="4B19FAB8">
      <w:pPr>
        <w:keepNext w:val="0"/>
        <w:keepLines w:val="0"/>
        <w:pageBreakBefore w:val="0"/>
        <w:kinsoku/>
        <w:wordWrap/>
        <w:overflowPunct/>
        <w:topLinePunct w:val="0"/>
        <w:autoSpaceDE/>
        <w:autoSpaceDN/>
        <w:bidi w:val="0"/>
        <w:adjustRightInd/>
        <w:snapToGrid/>
        <w:spacing w:line="360" w:lineRule="auto"/>
        <w:ind w:left="492"/>
        <w:textAlignment w:val="auto"/>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val="en-US" w:eastAsia="zh-CN"/>
        </w:rPr>
        <w:t>6.</w:t>
      </w:r>
      <w:r>
        <w:rPr>
          <w:rFonts w:hint="eastAsia" w:ascii="宋体" w:hAnsi="宋体" w:eastAsia="宋体" w:cs="宋体"/>
          <w:spacing w:val="-1"/>
          <w:sz w:val="21"/>
          <w:szCs w:val="21"/>
          <w:highlight w:val="none"/>
          <w:lang w:eastAsia="zh-CN"/>
        </w:rPr>
        <w:t>承包人无法继续履行或明确表示不履行或实质上已停止履行合同；</w:t>
      </w:r>
    </w:p>
    <w:p w14:paraId="17946A03">
      <w:pPr>
        <w:keepNext w:val="0"/>
        <w:keepLines w:val="0"/>
        <w:pageBreakBefore w:val="0"/>
        <w:kinsoku/>
        <w:wordWrap/>
        <w:overflowPunct/>
        <w:topLinePunct w:val="0"/>
        <w:autoSpaceDE/>
        <w:autoSpaceDN/>
        <w:bidi w:val="0"/>
        <w:adjustRightInd/>
        <w:snapToGrid/>
        <w:spacing w:line="360" w:lineRule="auto"/>
        <w:ind w:left="492"/>
        <w:textAlignment w:val="auto"/>
        <w:rPr>
          <w:rFonts w:hint="eastAsia" w:ascii="宋体" w:hAnsi="宋体" w:eastAsia="宋体" w:cs="宋体"/>
          <w:sz w:val="21"/>
          <w:szCs w:val="21"/>
          <w:highlight w:val="none"/>
          <w:lang w:eastAsia="zh-CN"/>
        </w:rPr>
      </w:pPr>
      <w:r>
        <w:rPr>
          <w:rFonts w:hint="eastAsia" w:ascii="宋体" w:hAnsi="宋体" w:eastAsia="宋体" w:cs="宋体"/>
          <w:spacing w:val="-2"/>
          <w:sz w:val="21"/>
          <w:szCs w:val="21"/>
          <w:highlight w:val="none"/>
          <w:lang w:val="en-US" w:eastAsia="zh-CN"/>
        </w:rPr>
        <w:t>7.</w:t>
      </w:r>
      <w:r>
        <w:rPr>
          <w:rFonts w:hint="eastAsia" w:ascii="宋体" w:hAnsi="宋体" w:eastAsia="宋体" w:cs="宋体"/>
          <w:spacing w:val="-2"/>
          <w:sz w:val="21"/>
          <w:szCs w:val="21"/>
          <w:highlight w:val="none"/>
          <w:lang w:eastAsia="zh-CN"/>
        </w:rPr>
        <w:t>承包人未能按期开工；</w:t>
      </w:r>
    </w:p>
    <w:p w14:paraId="3E70E5FF">
      <w:pPr>
        <w:keepNext w:val="0"/>
        <w:keepLines w:val="0"/>
        <w:pageBreakBefore w:val="0"/>
        <w:kinsoku/>
        <w:wordWrap/>
        <w:overflowPunct/>
        <w:topLinePunct w:val="0"/>
        <w:autoSpaceDE/>
        <w:autoSpaceDN/>
        <w:bidi w:val="0"/>
        <w:adjustRightInd/>
        <w:snapToGrid/>
        <w:spacing w:line="360" w:lineRule="auto"/>
        <w:ind w:left="7" w:firstLine="488"/>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承包人违反</w:t>
      </w:r>
      <w:r>
        <w:rPr>
          <w:rFonts w:hint="eastAsia" w:ascii="宋体" w:hAnsi="宋体" w:eastAsia="宋体" w:cs="宋体"/>
          <w:sz w:val="21"/>
          <w:szCs w:val="21"/>
          <w:highlight w:val="none"/>
          <w:lang w:val="en-US" w:eastAsia="zh-CN"/>
        </w:rPr>
        <w:t>合同条</w:t>
      </w:r>
      <w:r>
        <w:rPr>
          <w:rFonts w:hint="eastAsia" w:ascii="宋体" w:hAnsi="宋体" w:eastAsia="宋体" w:cs="宋体"/>
          <w:sz w:val="21"/>
          <w:szCs w:val="21"/>
          <w:highlight w:val="none"/>
          <w:lang w:eastAsia="zh-CN"/>
        </w:rPr>
        <w:t>款的规定，未按承诺或未按</w:t>
      </w:r>
      <w:r>
        <w:rPr>
          <w:rFonts w:hint="eastAsia" w:ascii="宋体" w:hAnsi="宋体" w:eastAsia="宋体" w:cs="宋体"/>
          <w:sz w:val="21"/>
          <w:szCs w:val="21"/>
          <w:highlight w:val="none"/>
          <w:lang w:val="en-US" w:eastAsia="zh-CN"/>
        </w:rPr>
        <w:t>发包</w:t>
      </w:r>
      <w:r>
        <w:rPr>
          <w:rFonts w:hint="eastAsia" w:ascii="宋体" w:hAnsi="宋体" w:eastAsia="宋体" w:cs="宋体"/>
          <w:spacing w:val="-1"/>
          <w:sz w:val="21"/>
          <w:szCs w:val="21"/>
          <w:highlight w:val="none"/>
          <w:lang w:eastAsia="zh-CN"/>
        </w:rPr>
        <w:t>人的要求及</w:t>
      </w:r>
      <w:r>
        <w:rPr>
          <w:rFonts w:hint="eastAsia" w:ascii="宋体" w:hAnsi="宋体" w:eastAsia="宋体" w:cs="宋体"/>
          <w:spacing w:val="1"/>
          <w:sz w:val="21"/>
          <w:szCs w:val="21"/>
          <w:highlight w:val="none"/>
          <w:lang w:eastAsia="zh-CN"/>
        </w:rPr>
        <w:t>时配备称职的主要管理人员、技术骨干、专职安全</w:t>
      </w:r>
      <w:r>
        <w:rPr>
          <w:rFonts w:hint="eastAsia" w:ascii="宋体" w:hAnsi="宋体" w:eastAsia="宋体" w:cs="宋体"/>
          <w:sz w:val="21"/>
          <w:szCs w:val="21"/>
          <w:highlight w:val="none"/>
          <w:lang w:eastAsia="zh-CN"/>
        </w:rPr>
        <w:t>生产管理人员或关键养护作业设</w:t>
      </w:r>
      <w:r>
        <w:rPr>
          <w:rFonts w:hint="eastAsia" w:ascii="宋体" w:hAnsi="宋体" w:eastAsia="宋体" w:cs="宋体"/>
          <w:spacing w:val="-7"/>
          <w:sz w:val="21"/>
          <w:szCs w:val="21"/>
          <w:highlight w:val="none"/>
          <w:lang w:eastAsia="zh-CN"/>
        </w:rPr>
        <w:t>备；</w:t>
      </w:r>
    </w:p>
    <w:p w14:paraId="6A7FA815">
      <w:pPr>
        <w:keepNext w:val="0"/>
        <w:keepLines w:val="0"/>
        <w:pageBreakBefore w:val="0"/>
        <w:kinsoku/>
        <w:wordWrap/>
        <w:overflowPunct/>
        <w:topLinePunct w:val="0"/>
        <w:autoSpaceDE/>
        <w:autoSpaceDN/>
        <w:bidi w:val="0"/>
        <w:adjustRightInd/>
        <w:snapToGrid/>
        <w:spacing w:line="360" w:lineRule="auto"/>
        <w:ind w:left="5" w:firstLine="490"/>
        <w:textAlignment w:val="auto"/>
        <w:rPr>
          <w:rFonts w:hint="eastAsia" w:ascii="宋体" w:hAnsi="宋体" w:eastAsia="宋体" w:cs="宋体"/>
          <w:sz w:val="21"/>
          <w:szCs w:val="21"/>
          <w:highlight w:val="none"/>
          <w:lang w:eastAsia="zh-CN"/>
        </w:rPr>
      </w:pPr>
      <w:r>
        <w:rPr>
          <w:rFonts w:hint="eastAsia" w:ascii="宋体" w:hAnsi="宋体" w:eastAsia="宋体" w:cs="宋体"/>
          <w:spacing w:val="4"/>
          <w:sz w:val="21"/>
          <w:szCs w:val="21"/>
          <w:highlight w:val="none"/>
          <w:lang w:val="en-US" w:eastAsia="zh-CN"/>
        </w:rPr>
        <w:t>9.</w:t>
      </w:r>
      <w:r>
        <w:rPr>
          <w:rFonts w:hint="eastAsia" w:ascii="宋体" w:hAnsi="宋体" w:eastAsia="宋体" w:cs="宋体"/>
          <w:spacing w:val="4"/>
          <w:sz w:val="21"/>
          <w:szCs w:val="21"/>
          <w:highlight w:val="none"/>
          <w:lang w:eastAsia="zh-CN"/>
        </w:rPr>
        <w:t>经发包人检查，发现承包人有安全问题或有违反安全管理</w:t>
      </w:r>
      <w:r>
        <w:rPr>
          <w:rFonts w:hint="eastAsia" w:ascii="宋体" w:hAnsi="宋体" w:eastAsia="宋体" w:cs="宋体"/>
          <w:spacing w:val="3"/>
          <w:sz w:val="21"/>
          <w:szCs w:val="21"/>
          <w:highlight w:val="none"/>
          <w:lang w:eastAsia="zh-CN"/>
        </w:rPr>
        <w:t>规章</w:t>
      </w:r>
      <w:r>
        <w:rPr>
          <w:rFonts w:hint="eastAsia" w:ascii="宋体" w:hAnsi="宋体" w:eastAsia="宋体" w:cs="宋体"/>
          <w:spacing w:val="-2"/>
          <w:sz w:val="21"/>
          <w:szCs w:val="21"/>
          <w:highlight w:val="none"/>
          <w:lang w:eastAsia="zh-CN"/>
        </w:rPr>
        <w:t>制度的情况；</w:t>
      </w:r>
    </w:p>
    <w:p w14:paraId="570D3D69">
      <w:pPr>
        <w:keepNext w:val="0"/>
        <w:keepLines w:val="0"/>
        <w:pageBreakBefore w:val="0"/>
        <w:kinsoku/>
        <w:wordWrap/>
        <w:overflowPunct/>
        <w:topLinePunct w:val="0"/>
        <w:autoSpaceDE/>
        <w:autoSpaceDN/>
        <w:bidi w:val="0"/>
        <w:adjustRightInd/>
        <w:snapToGrid/>
        <w:spacing w:line="360" w:lineRule="auto"/>
        <w:ind w:left="495"/>
        <w:textAlignment w:val="auto"/>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lang w:val="en-US" w:eastAsia="zh-CN"/>
        </w:rPr>
        <w:t>10.</w:t>
      </w:r>
      <w:r>
        <w:rPr>
          <w:rFonts w:hint="eastAsia" w:ascii="宋体" w:hAnsi="宋体" w:eastAsia="宋体" w:cs="宋体"/>
          <w:spacing w:val="-1"/>
          <w:sz w:val="21"/>
          <w:szCs w:val="21"/>
          <w:highlight w:val="none"/>
          <w:lang w:eastAsia="zh-CN"/>
        </w:rPr>
        <w:t>承包人</w:t>
      </w:r>
      <w:r>
        <w:rPr>
          <w:rFonts w:hint="eastAsia" w:ascii="宋体" w:hAnsi="宋体" w:eastAsia="宋体" w:cs="宋体"/>
          <w:color w:val="000000"/>
          <w:kern w:val="0"/>
          <w:sz w:val="21"/>
          <w:szCs w:val="21"/>
          <w:highlight w:val="none"/>
        </w:rPr>
        <w:t>拖欠农民工工资的</w:t>
      </w:r>
      <w:r>
        <w:rPr>
          <w:rFonts w:hint="eastAsia" w:ascii="宋体" w:hAnsi="宋体" w:eastAsia="宋体" w:cs="宋体"/>
          <w:color w:val="000000"/>
          <w:kern w:val="0"/>
          <w:sz w:val="21"/>
          <w:szCs w:val="21"/>
          <w:highlight w:val="none"/>
          <w:lang w:eastAsia="zh-CN"/>
        </w:rPr>
        <w:t>。</w:t>
      </w:r>
    </w:p>
    <w:p w14:paraId="31ABCAF2">
      <w:pPr>
        <w:keepNext w:val="0"/>
        <w:keepLines w:val="0"/>
        <w:pageBreakBefore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pacing w:val="4"/>
          <w:sz w:val="21"/>
          <w:szCs w:val="21"/>
          <w:highlight w:val="none"/>
          <w:lang w:val="en-US" w:eastAsia="zh-CN"/>
        </w:rPr>
        <w:t>11.</w:t>
      </w:r>
      <w:r>
        <w:rPr>
          <w:rFonts w:hint="eastAsia" w:ascii="宋体" w:hAnsi="宋体" w:eastAsia="宋体" w:cs="宋体"/>
          <w:spacing w:val="4"/>
          <w:sz w:val="21"/>
          <w:szCs w:val="21"/>
          <w:highlight w:val="none"/>
          <w:lang w:eastAsia="zh-CN"/>
        </w:rPr>
        <w:t>承包人未达到约定的绩效服务水平</w:t>
      </w:r>
      <w:r>
        <w:rPr>
          <w:rFonts w:hint="eastAsia" w:ascii="宋体" w:hAnsi="宋体" w:eastAsia="宋体" w:cs="宋体"/>
          <w:spacing w:val="3"/>
          <w:sz w:val="21"/>
          <w:szCs w:val="21"/>
          <w:highlight w:val="none"/>
          <w:lang w:eastAsia="zh-CN"/>
        </w:rPr>
        <w:t>，承包人所收到的</w:t>
      </w:r>
      <w:r>
        <w:rPr>
          <w:rFonts w:hint="eastAsia" w:ascii="宋体" w:hAnsi="宋体" w:eastAsia="宋体" w:cs="宋体"/>
          <w:spacing w:val="-116"/>
          <w:sz w:val="21"/>
          <w:szCs w:val="21"/>
          <w:highlight w:val="none"/>
          <w:lang w:eastAsia="zh-CN"/>
        </w:rPr>
        <w:t xml:space="preserve"> </w:t>
      </w:r>
      <w:r>
        <w:rPr>
          <w:rFonts w:hint="eastAsia" w:ascii="宋体" w:hAnsi="宋体" w:eastAsia="宋体" w:cs="宋体"/>
          <w:spacing w:val="3"/>
          <w:sz w:val="21"/>
          <w:szCs w:val="21"/>
          <w:highlight w:val="none"/>
          <w:u w:val="none"/>
          <w:lang w:val="en-US" w:eastAsia="zh-CN"/>
        </w:rPr>
        <w:t>月度</w:t>
      </w:r>
      <w:r>
        <w:rPr>
          <w:rFonts w:hint="eastAsia" w:ascii="宋体" w:hAnsi="宋体" w:eastAsia="宋体" w:cs="宋体"/>
          <w:spacing w:val="1"/>
          <w:sz w:val="21"/>
          <w:szCs w:val="21"/>
          <w:highlight w:val="none"/>
          <w:lang w:eastAsia="zh-CN"/>
        </w:rPr>
        <w:t>付款减少，该情形视为违约，付款的减少</w:t>
      </w:r>
      <w:r>
        <w:rPr>
          <w:rFonts w:hint="eastAsia" w:ascii="宋体" w:hAnsi="宋体" w:eastAsia="宋体" w:cs="宋体"/>
          <w:sz w:val="21"/>
          <w:szCs w:val="21"/>
          <w:highlight w:val="none"/>
          <w:lang w:eastAsia="zh-CN"/>
        </w:rPr>
        <w:t>不解除承包人完成约定</w:t>
      </w:r>
      <w:r>
        <w:rPr>
          <w:rFonts w:hint="eastAsia" w:ascii="宋体" w:hAnsi="宋体" w:eastAsia="宋体" w:cs="宋体"/>
          <w:spacing w:val="-1"/>
          <w:sz w:val="21"/>
          <w:szCs w:val="21"/>
          <w:highlight w:val="none"/>
          <w:lang w:eastAsia="zh-CN"/>
        </w:rPr>
        <w:t>的绩效服务水平的义务或承包人根据本合同应承担的所有责任；</w:t>
      </w:r>
    </w:p>
    <w:p w14:paraId="7C1B0D04">
      <w:pPr>
        <w:keepNext w:val="0"/>
        <w:keepLines w:val="0"/>
        <w:pageBreakBefore w:val="0"/>
        <w:kinsoku/>
        <w:wordWrap/>
        <w:overflowPunct/>
        <w:topLinePunct w:val="0"/>
        <w:autoSpaceDE/>
        <w:autoSpaceDN/>
        <w:bidi w:val="0"/>
        <w:adjustRightInd/>
        <w:snapToGrid/>
        <w:spacing w:line="360" w:lineRule="auto"/>
        <w:ind w:firstLine="492"/>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lang w:eastAsia="zh-CN"/>
        </w:rPr>
        <w:t>承包人未能在约定的工期内完成发包人指定实施的养护工程，或者未能</w:t>
      </w:r>
      <w:r>
        <w:rPr>
          <w:rFonts w:hint="eastAsia" w:ascii="宋体" w:hAnsi="宋体" w:eastAsia="宋体" w:cs="宋体"/>
          <w:spacing w:val="-1"/>
          <w:sz w:val="21"/>
          <w:szCs w:val="21"/>
          <w:highlight w:val="none"/>
          <w:lang w:eastAsia="zh-CN"/>
        </w:rPr>
        <w:t>在向发包人承诺的工期内完成自主实施的养护工程；</w:t>
      </w:r>
    </w:p>
    <w:p w14:paraId="5C90C1FD">
      <w:pPr>
        <w:keepNext w:val="0"/>
        <w:keepLines w:val="0"/>
        <w:pageBreakBefore w:val="0"/>
        <w:kinsoku/>
        <w:wordWrap/>
        <w:overflowPunct/>
        <w:topLinePunct w:val="0"/>
        <w:autoSpaceDE/>
        <w:autoSpaceDN/>
        <w:bidi w:val="0"/>
        <w:adjustRightInd/>
        <w:snapToGrid/>
        <w:spacing w:line="360" w:lineRule="auto"/>
        <w:ind w:left="1" w:firstLine="49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13.</w:t>
      </w:r>
      <w:r>
        <w:rPr>
          <w:rFonts w:hint="eastAsia" w:ascii="宋体" w:hAnsi="宋体" w:eastAsia="宋体" w:cs="宋体"/>
          <w:sz w:val="21"/>
          <w:szCs w:val="21"/>
          <w:highlight w:val="none"/>
          <w:lang w:eastAsia="zh-CN"/>
        </w:rPr>
        <w:t>承包人未能按发包人要求及时处置、实施、完成应急和不可预见的专项</w:t>
      </w:r>
      <w:r>
        <w:rPr>
          <w:rFonts w:hint="eastAsia" w:ascii="宋体" w:hAnsi="宋体" w:eastAsia="宋体" w:cs="宋体"/>
          <w:spacing w:val="-11"/>
          <w:sz w:val="21"/>
          <w:szCs w:val="21"/>
          <w:highlight w:val="none"/>
          <w:lang w:eastAsia="zh-CN"/>
        </w:rPr>
        <w:t>养护工程（工作）。</w:t>
      </w:r>
    </w:p>
    <w:p w14:paraId="70171415">
      <w:pPr>
        <w:keepNext w:val="0"/>
        <w:keepLines w:val="0"/>
        <w:pageBreakBefore w:val="0"/>
        <w:kinsoku/>
        <w:wordWrap/>
        <w:overflowPunct/>
        <w:topLinePunct w:val="0"/>
        <w:autoSpaceDE/>
        <w:autoSpaceDN/>
        <w:bidi w:val="0"/>
        <w:adjustRightInd/>
        <w:snapToGrid/>
        <w:spacing w:line="360" w:lineRule="auto"/>
        <w:ind w:left="480" w:firstLine="0"/>
        <w:textAlignment w:val="auto"/>
        <w:rPr>
          <w:rFonts w:hint="eastAsia" w:ascii="宋体" w:hAnsi="宋体" w:eastAsia="宋体" w:cs="宋体"/>
          <w:sz w:val="21"/>
          <w:szCs w:val="21"/>
          <w:highlight w:val="none"/>
        </w:rPr>
      </w:pPr>
      <w:r>
        <w:rPr>
          <w:rFonts w:hint="eastAsia" w:ascii="宋体" w:hAnsi="宋体" w:eastAsia="宋体" w:cs="宋体"/>
          <w:spacing w:val="-1"/>
          <w:sz w:val="21"/>
          <w:szCs w:val="21"/>
          <w:highlight w:val="none"/>
          <w:lang w:val="en-US" w:eastAsia="zh-CN"/>
        </w:rPr>
        <w:t>14.</w:t>
      </w:r>
      <w:r>
        <w:rPr>
          <w:rFonts w:hint="eastAsia" w:ascii="宋体" w:hAnsi="宋体" w:eastAsia="宋体" w:cs="宋体"/>
          <w:spacing w:val="-1"/>
          <w:sz w:val="21"/>
          <w:szCs w:val="21"/>
          <w:highlight w:val="none"/>
        </w:rPr>
        <w:t>未经发包人批准，承包人自行暂停养护作业</w:t>
      </w:r>
      <w:r>
        <w:rPr>
          <w:rFonts w:hint="eastAsia" w:ascii="宋体" w:hAnsi="宋体" w:eastAsia="宋体" w:cs="宋体"/>
          <w:spacing w:val="-1"/>
          <w:sz w:val="21"/>
          <w:szCs w:val="21"/>
          <w:highlight w:val="none"/>
          <w:lang w:val="en-US" w:eastAsia="zh-CN"/>
        </w:rPr>
        <w:t>的</w:t>
      </w:r>
      <w:r>
        <w:rPr>
          <w:rFonts w:hint="eastAsia" w:ascii="宋体" w:hAnsi="宋体" w:eastAsia="宋体" w:cs="宋体"/>
          <w:spacing w:val="-1"/>
          <w:sz w:val="21"/>
          <w:szCs w:val="21"/>
          <w:highlight w:val="none"/>
          <w:lang w:eastAsia="zh-CN"/>
        </w:rPr>
        <w:t>；</w:t>
      </w:r>
    </w:p>
    <w:p w14:paraId="1B03AAFB">
      <w:pPr>
        <w:keepNext w:val="0"/>
        <w:keepLines w:val="0"/>
        <w:pageBreakBefore w:val="0"/>
        <w:kinsoku/>
        <w:wordWrap/>
        <w:overflowPunct/>
        <w:topLinePunct w:val="0"/>
        <w:autoSpaceDE/>
        <w:autoSpaceDN/>
        <w:bidi w:val="0"/>
        <w:adjustRightInd/>
        <w:snapToGrid/>
        <w:spacing w:line="360" w:lineRule="auto"/>
        <w:ind w:left="5" w:firstLine="490"/>
        <w:textAlignment w:val="auto"/>
        <w:rPr>
          <w:rFonts w:hint="eastAsia" w:ascii="宋体" w:hAnsi="宋体" w:eastAsia="宋体" w:cs="宋体"/>
          <w:spacing w:val="4"/>
          <w:sz w:val="21"/>
          <w:szCs w:val="21"/>
          <w:highlight w:val="none"/>
        </w:rPr>
      </w:pPr>
      <w:r>
        <w:rPr>
          <w:rFonts w:hint="eastAsia" w:ascii="宋体" w:hAnsi="宋体" w:eastAsia="宋体" w:cs="宋体"/>
          <w:spacing w:val="-1"/>
          <w:sz w:val="21"/>
          <w:szCs w:val="21"/>
          <w:highlight w:val="none"/>
          <w:lang w:val="en-US" w:eastAsia="zh-CN"/>
        </w:rPr>
        <w:t>15.</w:t>
      </w:r>
      <w:r>
        <w:rPr>
          <w:rFonts w:hint="eastAsia" w:ascii="宋体" w:hAnsi="宋体" w:eastAsia="宋体" w:cs="宋体"/>
          <w:spacing w:val="4"/>
          <w:sz w:val="21"/>
          <w:szCs w:val="21"/>
          <w:highlight w:val="none"/>
        </w:rPr>
        <w:t>承包人在合同期限内企业解散、破产、承包人违法经营违法被相关部门停业3个月以上难以履行合同的；</w:t>
      </w:r>
    </w:p>
    <w:p w14:paraId="011DF380">
      <w:pPr>
        <w:keepNext w:val="0"/>
        <w:keepLines w:val="0"/>
        <w:pageBreakBefore w:val="0"/>
        <w:widowControl/>
        <w:numPr>
          <w:ilvl w:val="-1"/>
          <w:numId w:val="0"/>
        </w:numPr>
        <w:kinsoku/>
        <w:wordWrap/>
        <w:overflowPunct/>
        <w:topLinePunct w:val="0"/>
        <w:autoSpaceDE/>
        <w:autoSpaceDN/>
        <w:bidi w:val="0"/>
        <w:adjustRightInd/>
        <w:snapToGrid/>
        <w:spacing w:line="360" w:lineRule="auto"/>
        <w:ind w:left="5" w:firstLine="490"/>
        <w:textAlignment w:val="auto"/>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lang w:val="en-US" w:eastAsia="zh-CN"/>
        </w:rPr>
        <w:t>16.</w:t>
      </w:r>
      <w:r>
        <w:rPr>
          <w:rFonts w:hint="eastAsia" w:ascii="宋体" w:hAnsi="宋体" w:eastAsia="宋体" w:cs="宋体"/>
          <w:spacing w:val="4"/>
          <w:sz w:val="21"/>
          <w:szCs w:val="21"/>
          <w:highlight w:val="none"/>
        </w:rPr>
        <w:t>未</w:t>
      </w:r>
      <w:r>
        <w:rPr>
          <w:rFonts w:hint="eastAsia" w:ascii="宋体" w:hAnsi="宋体" w:eastAsia="宋体" w:cs="宋体"/>
          <w:spacing w:val="4"/>
          <w:sz w:val="21"/>
          <w:szCs w:val="21"/>
          <w:highlight w:val="none"/>
          <w:lang w:val="en-US" w:eastAsia="zh-CN"/>
        </w:rPr>
        <w:t>能</w:t>
      </w:r>
      <w:r>
        <w:rPr>
          <w:rFonts w:hint="eastAsia" w:ascii="宋体" w:hAnsi="宋体" w:eastAsia="宋体" w:cs="宋体"/>
          <w:spacing w:val="4"/>
          <w:sz w:val="21"/>
          <w:szCs w:val="21"/>
          <w:highlight w:val="none"/>
        </w:rPr>
        <w:t>按下达的月度</w:t>
      </w:r>
      <w:r>
        <w:rPr>
          <w:rFonts w:hint="eastAsia" w:ascii="宋体" w:hAnsi="宋体" w:eastAsia="宋体" w:cs="宋体"/>
          <w:spacing w:val="4"/>
          <w:sz w:val="21"/>
          <w:szCs w:val="21"/>
          <w:highlight w:val="none"/>
          <w:lang w:val="en-US" w:eastAsia="zh-CN"/>
        </w:rPr>
        <w:t>日常维修</w:t>
      </w:r>
      <w:r>
        <w:rPr>
          <w:rFonts w:hint="eastAsia" w:ascii="宋体" w:hAnsi="宋体" w:eastAsia="宋体" w:cs="宋体"/>
          <w:spacing w:val="4"/>
          <w:sz w:val="21"/>
          <w:szCs w:val="21"/>
          <w:highlight w:val="none"/>
        </w:rPr>
        <w:t>作业计划或工作</w:t>
      </w:r>
      <w:r>
        <w:rPr>
          <w:rFonts w:hint="eastAsia" w:ascii="宋体" w:hAnsi="宋体" w:eastAsia="宋体" w:cs="宋体"/>
          <w:spacing w:val="4"/>
          <w:sz w:val="21"/>
          <w:szCs w:val="21"/>
          <w:highlight w:val="none"/>
          <w:lang w:val="en-US" w:eastAsia="zh-CN"/>
        </w:rPr>
        <w:t>任务</w:t>
      </w:r>
      <w:r>
        <w:rPr>
          <w:rFonts w:hint="eastAsia" w:ascii="宋体" w:hAnsi="宋体" w:eastAsia="宋体" w:cs="宋体"/>
          <w:spacing w:val="4"/>
          <w:sz w:val="21"/>
          <w:szCs w:val="21"/>
          <w:highlight w:val="none"/>
        </w:rPr>
        <w:t>指令完成的；</w:t>
      </w:r>
    </w:p>
    <w:p w14:paraId="73A3771C">
      <w:pPr>
        <w:keepNext w:val="0"/>
        <w:keepLines w:val="0"/>
        <w:pageBreakBefore w:val="0"/>
        <w:widowControl/>
        <w:numPr>
          <w:ilvl w:val="-1"/>
          <w:numId w:val="0"/>
        </w:numPr>
        <w:kinsoku/>
        <w:wordWrap/>
        <w:overflowPunct/>
        <w:topLinePunct w:val="0"/>
        <w:autoSpaceDE/>
        <w:autoSpaceDN/>
        <w:bidi w:val="0"/>
        <w:adjustRightInd/>
        <w:snapToGrid/>
        <w:spacing w:line="360" w:lineRule="auto"/>
        <w:ind w:left="5" w:firstLine="490"/>
        <w:textAlignment w:val="auto"/>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lang w:val="en-US" w:eastAsia="zh-CN"/>
        </w:rPr>
        <w:t>17.因日常维修</w:t>
      </w:r>
      <w:r>
        <w:rPr>
          <w:rFonts w:hint="eastAsia" w:ascii="宋体" w:hAnsi="宋体" w:eastAsia="宋体" w:cs="宋体"/>
          <w:spacing w:val="4"/>
          <w:sz w:val="21"/>
          <w:szCs w:val="21"/>
          <w:highlight w:val="none"/>
        </w:rPr>
        <w:t>质量</w:t>
      </w:r>
      <w:r>
        <w:rPr>
          <w:rFonts w:hint="eastAsia" w:ascii="宋体" w:hAnsi="宋体" w:eastAsia="宋体" w:cs="宋体"/>
          <w:spacing w:val="4"/>
          <w:sz w:val="21"/>
          <w:szCs w:val="21"/>
          <w:highlight w:val="none"/>
          <w:lang w:val="en-US" w:eastAsia="zh-CN"/>
        </w:rPr>
        <w:t>问题造成损失，导致社会不良影响的；</w:t>
      </w:r>
    </w:p>
    <w:p w14:paraId="7D89AC2B">
      <w:pPr>
        <w:keepNext w:val="0"/>
        <w:keepLines w:val="0"/>
        <w:pageBreakBefore w:val="0"/>
        <w:widowControl/>
        <w:numPr>
          <w:ilvl w:val="-1"/>
          <w:numId w:val="0"/>
        </w:numPr>
        <w:kinsoku/>
        <w:wordWrap/>
        <w:overflowPunct/>
        <w:topLinePunct w:val="0"/>
        <w:autoSpaceDE/>
        <w:autoSpaceDN/>
        <w:bidi w:val="0"/>
        <w:adjustRightInd/>
        <w:snapToGrid/>
        <w:spacing w:line="360" w:lineRule="auto"/>
        <w:ind w:left="5" w:firstLine="490"/>
        <w:textAlignment w:val="auto"/>
        <w:rPr>
          <w:rFonts w:hint="eastAsia" w:ascii="宋体" w:hAnsi="宋体" w:eastAsia="宋体" w:cs="宋体"/>
          <w:spacing w:val="4"/>
          <w:sz w:val="21"/>
          <w:szCs w:val="21"/>
          <w:highlight w:val="none"/>
          <w:lang w:val="en-US" w:eastAsia="zh-CN"/>
        </w:rPr>
      </w:pPr>
      <w:r>
        <w:rPr>
          <w:rFonts w:hint="eastAsia" w:ascii="宋体" w:hAnsi="宋体" w:eastAsia="宋体" w:cs="宋体"/>
          <w:spacing w:val="4"/>
          <w:sz w:val="21"/>
          <w:szCs w:val="21"/>
          <w:highlight w:val="none"/>
          <w:lang w:val="en-US" w:eastAsia="zh-CN"/>
        </w:rPr>
        <w:t>18.</w:t>
      </w:r>
      <w:r>
        <w:rPr>
          <w:rFonts w:hint="eastAsia" w:ascii="宋体" w:hAnsi="宋体" w:eastAsia="宋体" w:cs="宋体"/>
          <w:spacing w:val="4"/>
          <w:sz w:val="21"/>
          <w:szCs w:val="21"/>
          <w:highlight w:val="none"/>
        </w:rPr>
        <w:t>因日常</w:t>
      </w:r>
      <w:r>
        <w:rPr>
          <w:rFonts w:hint="eastAsia" w:ascii="宋体" w:hAnsi="宋体" w:eastAsia="宋体" w:cs="宋体"/>
          <w:spacing w:val="4"/>
          <w:sz w:val="21"/>
          <w:szCs w:val="21"/>
          <w:highlight w:val="none"/>
          <w:lang w:val="en-US" w:eastAsia="zh-CN"/>
        </w:rPr>
        <w:t>维修</w:t>
      </w:r>
      <w:r>
        <w:rPr>
          <w:rFonts w:hint="eastAsia" w:ascii="宋体" w:hAnsi="宋体" w:eastAsia="宋体" w:cs="宋体"/>
          <w:spacing w:val="4"/>
          <w:sz w:val="21"/>
          <w:szCs w:val="21"/>
          <w:highlight w:val="none"/>
        </w:rPr>
        <w:t>工作受到</w:t>
      </w:r>
      <w:r>
        <w:rPr>
          <w:rFonts w:hint="eastAsia" w:ascii="宋体" w:hAnsi="宋体" w:eastAsia="宋体" w:cs="宋体"/>
          <w:spacing w:val="4"/>
          <w:sz w:val="21"/>
          <w:szCs w:val="21"/>
          <w:highlight w:val="none"/>
          <w:lang w:val="en-US" w:eastAsia="zh-CN"/>
        </w:rPr>
        <w:t>行业主管部门或上级公路管理机构下发</w:t>
      </w:r>
      <w:r>
        <w:rPr>
          <w:rFonts w:hint="eastAsia" w:ascii="宋体" w:hAnsi="宋体" w:eastAsia="宋体" w:cs="宋体"/>
          <w:spacing w:val="4"/>
          <w:sz w:val="21"/>
          <w:szCs w:val="21"/>
          <w:highlight w:val="none"/>
        </w:rPr>
        <w:t>整改通知、警告、通报的；</w:t>
      </w:r>
    </w:p>
    <w:p w14:paraId="4C5E96FB">
      <w:pPr>
        <w:keepNext w:val="0"/>
        <w:keepLines w:val="0"/>
        <w:pageBreakBefore w:val="0"/>
        <w:widowControl/>
        <w:numPr>
          <w:ilvl w:val="0"/>
          <w:numId w:val="0"/>
        </w:numPr>
        <w:kinsoku/>
        <w:wordWrap/>
        <w:overflowPunct/>
        <w:topLinePunct w:val="0"/>
        <w:autoSpaceDE/>
        <w:autoSpaceDN/>
        <w:bidi w:val="0"/>
        <w:adjustRightInd/>
        <w:snapToGrid/>
        <w:spacing w:line="360" w:lineRule="auto"/>
        <w:ind w:left="5" w:firstLine="490"/>
        <w:textAlignment w:val="auto"/>
        <w:rPr>
          <w:rFonts w:hint="eastAsia" w:ascii="宋体" w:hAnsi="宋体" w:eastAsia="宋体" w:cs="宋体"/>
          <w:sz w:val="21"/>
          <w:szCs w:val="21"/>
          <w:highlight w:val="yellow"/>
          <w:lang w:eastAsia="zh-CN"/>
        </w:rPr>
      </w:pPr>
      <w:r>
        <w:rPr>
          <w:rFonts w:hint="eastAsia" w:ascii="宋体" w:hAnsi="宋体" w:eastAsia="宋体" w:cs="宋体"/>
          <w:spacing w:val="4"/>
          <w:sz w:val="21"/>
          <w:szCs w:val="21"/>
          <w:highlight w:val="none"/>
          <w:lang w:val="en-US" w:eastAsia="zh-CN"/>
        </w:rPr>
        <w:t>19.因承包人原因，日常维修作业造成安全生产责任事故的</w:t>
      </w:r>
      <w:r>
        <w:rPr>
          <w:rFonts w:hint="eastAsia" w:ascii="宋体" w:hAnsi="宋体" w:eastAsia="宋体" w:cs="宋体"/>
          <w:spacing w:val="4"/>
          <w:sz w:val="21"/>
          <w:szCs w:val="21"/>
          <w:highlight w:val="none"/>
        </w:rPr>
        <w:t>；</w:t>
      </w:r>
    </w:p>
    <w:p w14:paraId="1BB4A2B2">
      <w:pPr>
        <w:keepNext w:val="0"/>
        <w:keepLines w:val="0"/>
        <w:pageBreakBefore w:val="0"/>
        <w:widowControl/>
        <w:numPr>
          <w:ilvl w:val="-1"/>
          <w:numId w:val="0"/>
        </w:numPr>
        <w:kinsoku/>
        <w:wordWrap/>
        <w:overflowPunct/>
        <w:topLinePunct w:val="0"/>
        <w:autoSpaceDE/>
        <w:autoSpaceDN/>
        <w:bidi w:val="0"/>
        <w:adjustRightInd/>
        <w:snapToGrid/>
        <w:spacing w:line="360" w:lineRule="auto"/>
        <w:ind w:left="5" w:firstLine="490"/>
        <w:textAlignment w:val="auto"/>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lang w:val="en-US" w:eastAsia="zh-CN"/>
        </w:rPr>
        <w:t>20.</w:t>
      </w:r>
      <w:r>
        <w:rPr>
          <w:rFonts w:hint="eastAsia" w:ascii="宋体" w:hAnsi="宋体" w:eastAsia="宋体" w:cs="宋体"/>
          <w:spacing w:val="4"/>
          <w:sz w:val="21"/>
          <w:szCs w:val="21"/>
          <w:highlight w:val="none"/>
        </w:rPr>
        <w:t>一个合同年度内连续2个月或累计3个月日常养护考核评分为差（评分小于</w:t>
      </w:r>
      <w:r>
        <w:rPr>
          <w:rFonts w:hint="eastAsia" w:ascii="宋体" w:hAnsi="宋体" w:eastAsia="宋体" w:cs="宋体"/>
          <w:spacing w:val="4"/>
          <w:sz w:val="21"/>
          <w:szCs w:val="21"/>
          <w:highlight w:val="none"/>
          <w:lang w:val="en-US" w:eastAsia="zh-CN"/>
        </w:rPr>
        <w:t>70</w:t>
      </w:r>
      <w:r>
        <w:rPr>
          <w:rFonts w:hint="eastAsia" w:ascii="宋体" w:hAnsi="宋体" w:eastAsia="宋体" w:cs="宋体"/>
          <w:spacing w:val="4"/>
          <w:sz w:val="21"/>
          <w:szCs w:val="21"/>
          <w:highlight w:val="none"/>
        </w:rPr>
        <w:t>分）</w:t>
      </w:r>
      <w:r>
        <w:rPr>
          <w:rFonts w:hint="eastAsia" w:ascii="宋体" w:hAnsi="宋体" w:eastAsia="宋体" w:cs="宋体"/>
          <w:spacing w:val="4"/>
          <w:sz w:val="21"/>
          <w:szCs w:val="21"/>
          <w:highlight w:val="none"/>
          <w:lang w:val="en-US" w:eastAsia="zh-CN"/>
        </w:rPr>
        <w:t>的</w:t>
      </w:r>
      <w:r>
        <w:rPr>
          <w:rFonts w:hint="eastAsia" w:ascii="宋体" w:hAnsi="宋体" w:eastAsia="宋体" w:cs="宋体"/>
          <w:spacing w:val="4"/>
          <w:sz w:val="21"/>
          <w:szCs w:val="21"/>
          <w:highlight w:val="none"/>
        </w:rPr>
        <w:t>；</w:t>
      </w:r>
    </w:p>
    <w:p w14:paraId="4079E0CA">
      <w:pPr>
        <w:keepNext w:val="0"/>
        <w:keepLines w:val="0"/>
        <w:pageBreakBefore w:val="0"/>
        <w:widowControl/>
        <w:numPr>
          <w:ilvl w:val="-1"/>
          <w:numId w:val="0"/>
        </w:numPr>
        <w:kinsoku/>
        <w:wordWrap/>
        <w:overflowPunct/>
        <w:topLinePunct w:val="0"/>
        <w:autoSpaceDE/>
        <w:autoSpaceDN/>
        <w:bidi w:val="0"/>
        <w:adjustRightInd/>
        <w:snapToGrid/>
        <w:spacing w:line="360" w:lineRule="auto"/>
        <w:ind w:left="5" w:firstLine="490"/>
        <w:textAlignment w:val="auto"/>
        <w:rPr>
          <w:rFonts w:hint="eastAsia" w:ascii="宋体" w:hAnsi="宋体" w:eastAsia="宋体" w:cs="宋体"/>
          <w:b w:val="0"/>
          <w:sz w:val="21"/>
          <w:szCs w:val="21"/>
          <w:highlight w:val="none"/>
          <w:lang w:val="en-US" w:eastAsia="zh-CN"/>
        </w:rPr>
      </w:pPr>
      <w:r>
        <w:rPr>
          <w:rFonts w:hint="eastAsia" w:ascii="宋体" w:hAnsi="宋体" w:eastAsia="宋体" w:cs="宋体"/>
          <w:spacing w:val="4"/>
          <w:sz w:val="21"/>
          <w:szCs w:val="21"/>
          <w:highlight w:val="none"/>
          <w:lang w:val="en-US" w:eastAsia="zh-CN"/>
        </w:rPr>
        <w:t>21.不能按合同约定开展巡查巡检、日常保养（含绿化）、</w:t>
      </w:r>
      <w:r>
        <w:rPr>
          <w:rFonts w:hint="eastAsia" w:ascii="宋体" w:hAnsi="宋体" w:eastAsia="宋体" w:cs="宋体"/>
          <w:spacing w:val="4"/>
          <w:sz w:val="21"/>
          <w:szCs w:val="21"/>
          <w:highlight w:val="none"/>
        </w:rPr>
        <w:t>应急处置</w:t>
      </w:r>
      <w:r>
        <w:rPr>
          <w:rFonts w:hint="eastAsia" w:ascii="宋体" w:hAnsi="宋体" w:eastAsia="宋体" w:cs="宋体"/>
          <w:spacing w:val="4"/>
          <w:sz w:val="21"/>
          <w:szCs w:val="21"/>
          <w:highlight w:val="none"/>
          <w:lang w:eastAsia="zh-CN"/>
        </w:rPr>
        <w:t>、</w:t>
      </w:r>
      <w:r>
        <w:rPr>
          <w:rFonts w:hint="eastAsia" w:ascii="宋体" w:hAnsi="宋体" w:eastAsia="宋体" w:cs="宋体"/>
          <w:sz w:val="21"/>
          <w:szCs w:val="21"/>
          <w:highlight w:val="none"/>
          <w:lang w:eastAsia="zh-CN"/>
        </w:rPr>
        <w:t>冬季除冰雪、数据填报与管理、</w:t>
      </w:r>
      <w:r>
        <w:rPr>
          <w:rFonts w:hint="eastAsia" w:ascii="宋体" w:hAnsi="宋体" w:eastAsia="宋体" w:cs="宋体"/>
          <w:sz w:val="21"/>
          <w:szCs w:val="21"/>
          <w:highlight w:val="none"/>
          <w:lang w:val="en-US" w:eastAsia="zh-CN"/>
        </w:rPr>
        <w:t>安全管理、不可预见的专项养护</w:t>
      </w:r>
      <w:r>
        <w:rPr>
          <w:rFonts w:hint="eastAsia" w:ascii="宋体" w:hAnsi="宋体" w:eastAsia="宋体" w:cs="宋体"/>
          <w:b w:val="0"/>
          <w:sz w:val="21"/>
          <w:szCs w:val="21"/>
          <w:highlight w:val="none"/>
          <w:lang w:val="en-US" w:eastAsia="zh-CN"/>
        </w:rPr>
        <w:t>等工作的；</w:t>
      </w:r>
    </w:p>
    <w:p w14:paraId="3B3F2416">
      <w:pPr>
        <w:keepNext w:val="0"/>
        <w:keepLines w:val="0"/>
        <w:pageBreakBefore w:val="0"/>
        <w:widowControl/>
        <w:numPr>
          <w:ilvl w:val="-1"/>
          <w:numId w:val="0"/>
        </w:numPr>
        <w:kinsoku/>
        <w:wordWrap/>
        <w:overflowPunct/>
        <w:topLinePunct w:val="0"/>
        <w:autoSpaceDE/>
        <w:autoSpaceDN/>
        <w:bidi w:val="0"/>
        <w:adjustRightInd/>
        <w:snapToGrid/>
        <w:spacing w:line="360" w:lineRule="auto"/>
        <w:ind w:left="5" w:firstLine="490"/>
        <w:textAlignment w:val="auto"/>
        <w:rPr>
          <w:rFonts w:hint="eastAsia" w:ascii="宋体" w:hAnsi="宋体" w:eastAsia="宋体" w:cs="宋体"/>
          <w:spacing w:val="4"/>
          <w:kern w:val="2"/>
          <w:sz w:val="21"/>
          <w:szCs w:val="21"/>
          <w:highlight w:val="none"/>
        </w:rPr>
      </w:pPr>
      <w:r>
        <w:rPr>
          <w:rFonts w:hint="eastAsia" w:ascii="宋体" w:hAnsi="宋体" w:eastAsia="宋体" w:cs="宋体"/>
          <w:spacing w:val="4"/>
          <w:sz w:val="21"/>
          <w:szCs w:val="21"/>
          <w:highlight w:val="none"/>
          <w:lang w:val="en-US" w:eastAsia="zh-CN"/>
        </w:rPr>
        <w:t>22.</w:t>
      </w:r>
      <w:r>
        <w:rPr>
          <w:rFonts w:hint="eastAsia" w:ascii="宋体" w:hAnsi="宋体" w:eastAsia="宋体" w:cs="宋体"/>
          <w:spacing w:val="4"/>
          <w:sz w:val="21"/>
          <w:szCs w:val="21"/>
          <w:highlight w:val="none"/>
        </w:rPr>
        <w:t>应急响应及处置</w:t>
      </w:r>
      <w:r>
        <w:rPr>
          <w:rFonts w:hint="eastAsia" w:ascii="宋体" w:hAnsi="宋体" w:eastAsia="宋体" w:cs="宋体"/>
          <w:spacing w:val="4"/>
          <w:sz w:val="21"/>
          <w:szCs w:val="21"/>
          <w:highlight w:val="none"/>
          <w:lang w:val="en-US" w:eastAsia="zh-CN"/>
        </w:rPr>
        <w:t>时间</w:t>
      </w:r>
      <w:r>
        <w:rPr>
          <w:rFonts w:hint="eastAsia" w:ascii="宋体" w:hAnsi="宋体" w:eastAsia="宋体" w:cs="宋体"/>
          <w:spacing w:val="4"/>
          <w:sz w:val="21"/>
          <w:szCs w:val="21"/>
          <w:highlight w:val="none"/>
        </w:rPr>
        <w:t>超出合同约定的</w:t>
      </w:r>
      <w:r>
        <w:rPr>
          <w:rFonts w:hint="eastAsia" w:ascii="宋体" w:hAnsi="宋体" w:eastAsia="宋体" w:cs="宋体"/>
          <w:spacing w:val="4"/>
          <w:sz w:val="21"/>
          <w:szCs w:val="21"/>
          <w:highlight w:val="none"/>
          <w:lang w:eastAsia="zh-CN"/>
        </w:rPr>
        <w:t>；</w:t>
      </w:r>
    </w:p>
    <w:p w14:paraId="65A3F5B0">
      <w:pPr>
        <w:keepNext w:val="0"/>
        <w:keepLines w:val="0"/>
        <w:pageBreakBefore w:val="0"/>
        <w:widowControl/>
        <w:numPr>
          <w:ilvl w:val="-1"/>
          <w:numId w:val="0"/>
        </w:numPr>
        <w:kinsoku/>
        <w:wordWrap/>
        <w:overflowPunct/>
        <w:topLinePunct w:val="0"/>
        <w:autoSpaceDE/>
        <w:autoSpaceDN/>
        <w:bidi w:val="0"/>
        <w:adjustRightInd/>
        <w:snapToGrid/>
        <w:spacing w:line="360" w:lineRule="auto"/>
        <w:ind w:left="5" w:firstLine="490"/>
        <w:textAlignment w:val="auto"/>
        <w:rPr>
          <w:rFonts w:hint="eastAsia" w:ascii="宋体" w:hAnsi="宋体" w:eastAsia="宋体" w:cs="宋体"/>
          <w:spacing w:val="4"/>
          <w:kern w:val="2"/>
          <w:sz w:val="21"/>
          <w:szCs w:val="21"/>
          <w:highlight w:val="none"/>
        </w:rPr>
      </w:pPr>
      <w:r>
        <w:rPr>
          <w:rFonts w:hint="eastAsia" w:ascii="宋体" w:hAnsi="宋体" w:eastAsia="宋体" w:cs="宋体"/>
          <w:b w:val="0"/>
          <w:bCs w:val="0"/>
          <w:spacing w:val="4"/>
          <w:sz w:val="21"/>
          <w:szCs w:val="21"/>
          <w:highlight w:val="none"/>
          <w:shd w:val="clear"/>
          <w:lang w:val="en-US" w:eastAsia="zh-CN"/>
        </w:rPr>
        <w:t>23.</w:t>
      </w:r>
      <w:r>
        <w:rPr>
          <w:rFonts w:hint="eastAsia" w:ascii="宋体" w:hAnsi="宋体" w:eastAsia="宋体" w:cs="宋体"/>
          <w:b w:val="0"/>
          <w:bCs w:val="0"/>
          <w:spacing w:val="4"/>
          <w:sz w:val="21"/>
          <w:szCs w:val="21"/>
          <w:highlight w:val="none"/>
          <w:shd w:val="clear"/>
        </w:rPr>
        <w:t>路面出现坑槽后，承包人在 24小时内未及时修补处置的；</w:t>
      </w:r>
    </w:p>
    <w:p w14:paraId="2CD818C0">
      <w:pPr>
        <w:keepNext w:val="0"/>
        <w:keepLines w:val="0"/>
        <w:pageBreakBefore w:val="0"/>
        <w:kinsoku/>
        <w:wordWrap/>
        <w:overflowPunct/>
        <w:topLinePunct w:val="0"/>
        <w:autoSpaceDE/>
        <w:autoSpaceDN/>
        <w:bidi w:val="0"/>
        <w:adjustRightInd/>
        <w:snapToGrid/>
        <w:spacing w:line="360" w:lineRule="auto"/>
        <w:ind w:left="1" w:firstLine="490"/>
        <w:textAlignment w:val="auto"/>
        <w:rPr>
          <w:rFonts w:hint="eastAsia" w:ascii="宋体" w:hAnsi="宋体" w:eastAsia="宋体" w:cs="宋体"/>
          <w:sz w:val="21"/>
          <w:szCs w:val="21"/>
          <w:highlight w:val="none"/>
          <w:lang w:eastAsia="zh-CN"/>
        </w:rPr>
      </w:pPr>
      <w:r>
        <w:rPr>
          <w:rFonts w:hint="eastAsia" w:ascii="宋体" w:hAnsi="宋体" w:eastAsia="宋体" w:cs="宋体"/>
          <w:spacing w:val="4"/>
          <w:sz w:val="21"/>
          <w:szCs w:val="21"/>
          <w:highlight w:val="none"/>
          <w:lang w:val="en-US" w:eastAsia="zh-CN"/>
        </w:rPr>
        <w:t>24.因</w:t>
      </w:r>
      <w:r>
        <w:rPr>
          <w:rFonts w:hint="eastAsia" w:ascii="宋体" w:hAnsi="宋体" w:eastAsia="宋体" w:cs="宋体"/>
          <w:spacing w:val="4"/>
          <w:sz w:val="21"/>
          <w:szCs w:val="21"/>
          <w:highlight w:val="none"/>
        </w:rPr>
        <w:t>承包人不履行合同责任</w:t>
      </w:r>
      <w:r>
        <w:rPr>
          <w:rFonts w:hint="eastAsia" w:ascii="宋体" w:hAnsi="宋体" w:eastAsia="宋体" w:cs="宋体"/>
          <w:spacing w:val="4"/>
          <w:sz w:val="21"/>
          <w:szCs w:val="21"/>
          <w:highlight w:val="none"/>
          <w:lang w:eastAsia="zh-CN"/>
        </w:rPr>
        <w:t>，</w:t>
      </w:r>
      <w:r>
        <w:rPr>
          <w:rFonts w:hint="eastAsia" w:ascii="宋体" w:hAnsi="宋体" w:eastAsia="宋体" w:cs="宋体"/>
          <w:spacing w:val="4"/>
          <w:sz w:val="21"/>
          <w:szCs w:val="21"/>
          <w:highlight w:val="none"/>
          <w:lang w:val="en-US" w:eastAsia="zh-CN"/>
        </w:rPr>
        <w:t>引起群众投诉，造成</w:t>
      </w:r>
      <w:r>
        <w:rPr>
          <w:rFonts w:hint="eastAsia" w:ascii="宋体" w:hAnsi="宋体" w:eastAsia="宋体" w:cs="宋体"/>
          <w:spacing w:val="4"/>
          <w:sz w:val="21"/>
          <w:szCs w:val="21"/>
          <w:highlight w:val="none"/>
        </w:rPr>
        <w:t>不良社会影响</w:t>
      </w:r>
      <w:r>
        <w:rPr>
          <w:rFonts w:hint="eastAsia" w:ascii="宋体" w:hAnsi="宋体" w:eastAsia="宋体" w:cs="宋体"/>
          <w:spacing w:val="4"/>
          <w:sz w:val="21"/>
          <w:szCs w:val="21"/>
          <w:highlight w:val="none"/>
          <w:lang w:val="en-US" w:eastAsia="zh-CN"/>
        </w:rPr>
        <w:t>的；</w:t>
      </w:r>
    </w:p>
    <w:p w14:paraId="0F5495DE">
      <w:pPr>
        <w:keepNext w:val="0"/>
        <w:keepLines w:val="0"/>
        <w:pageBreakBefore w:val="0"/>
        <w:kinsoku/>
        <w:wordWrap/>
        <w:overflowPunct/>
        <w:topLinePunct w:val="0"/>
        <w:autoSpaceDE/>
        <w:autoSpaceDN/>
        <w:bidi w:val="0"/>
        <w:adjustRightInd/>
        <w:snapToGrid/>
        <w:spacing w:line="360" w:lineRule="auto"/>
        <w:ind w:left="1" w:firstLine="49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25.因承包人原因，造成安全生产责任事故的</w:t>
      </w:r>
      <w:r>
        <w:rPr>
          <w:rFonts w:hint="eastAsia" w:ascii="宋体" w:hAnsi="宋体" w:eastAsia="宋体" w:cs="宋体"/>
          <w:sz w:val="21"/>
          <w:szCs w:val="21"/>
          <w:highlight w:val="none"/>
          <w:lang w:eastAsia="zh-CN"/>
        </w:rPr>
        <w:t>；</w:t>
      </w:r>
    </w:p>
    <w:p w14:paraId="68BF8E5E">
      <w:pPr>
        <w:keepNext w:val="0"/>
        <w:keepLines w:val="0"/>
        <w:pageBreakBefore w:val="0"/>
        <w:kinsoku/>
        <w:wordWrap/>
        <w:overflowPunct/>
        <w:topLinePunct w:val="0"/>
        <w:autoSpaceDE/>
        <w:autoSpaceDN/>
        <w:bidi w:val="0"/>
        <w:adjustRightInd/>
        <w:snapToGrid/>
        <w:spacing w:line="360" w:lineRule="auto"/>
        <w:ind w:left="1" w:firstLine="49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26.</w:t>
      </w:r>
      <w:r>
        <w:rPr>
          <w:rFonts w:hint="eastAsia" w:ascii="宋体" w:hAnsi="宋体" w:eastAsia="宋体" w:cs="宋体"/>
          <w:color w:val="auto"/>
          <w:sz w:val="21"/>
          <w:szCs w:val="21"/>
          <w:highlight w:val="none"/>
          <w:lang w:val="en-US" w:eastAsia="zh-CN"/>
        </w:rPr>
        <w:t>承包人未按文明施工要求开展作业，</w:t>
      </w:r>
      <w:r>
        <w:rPr>
          <w:rFonts w:hint="eastAsia" w:ascii="宋体" w:hAnsi="宋体" w:eastAsia="宋体" w:cs="宋体"/>
          <w:color w:val="auto"/>
          <w:sz w:val="21"/>
          <w:szCs w:val="21"/>
          <w:highlight w:val="none"/>
        </w:rPr>
        <w:t>由于承包人原因养护作业管理混乱、未设置安全作业区、</w:t>
      </w:r>
      <w:r>
        <w:rPr>
          <w:rFonts w:hint="eastAsia" w:ascii="宋体" w:hAnsi="宋体" w:eastAsia="宋体" w:cs="宋体"/>
          <w:color w:val="auto"/>
          <w:sz w:val="21"/>
          <w:szCs w:val="21"/>
          <w:highlight w:val="none"/>
          <w:lang w:val="en-US" w:eastAsia="zh-CN"/>
        </w:rPr>
        <w:t>占路作业</w:t>
      </w:r>
      <w:r>
        <w:rPr>
          <w:rFonts w:hint="eastAsia" w:ascii="宋体" w:hAnsi="宋体" w:eastAsia="宋体" w:cs="宋体"/>
          <w:color w:val="auto"/>
          <w:sz w:val="21"/>
          <w:szCs w:val="21"/>
          <w:highlight w:val="none"/>
        </w:rPr>
        <w:t>未</w:t>
      </w:r>
      <w:r>
        <w:rPr>
          <w:rFonts w:hint="eastAsia" w:ascii="宋体" w:hAnsi="宋体" w:eastAsia="宋体" w:cs="宋体"/>
          <w:color w:val="auto"/>
          <w:sz w:val="21"/>
          <w:szCs w:val="21"/>
          <w:highlight w:val="none"/>
          <w:lang w:val="en-US" w:eastAsia="zh-CN"/>
        </w:rPr>
        <w:t>进行</w:t>
      </w:r>
      <w:r>
        <w:rPr>
          <w:rFonts w:hint="eastAsia" w:ascii="宋体" w:hAnsi="宋体" w:eastAsia="宋体" w:cs="宋体"/>
          <w:color w:val="auto"/>
          <w:sz w:val="21"/>
          <w:szCs w:val="21"/>
          <w:highlight w:val="none"/>
        </w:rPr>
        <w:t>现场交通指挥，造成交通堵塞</w:t>
      </w:r>
      <w:r>
        <w:rPr>
          <w:rFonts w:hint="eastAsia" w:ascii="宋体" w:hAnsi="宋体" w:eastAsia="宋体" w:cs="宋体"/>
          <w:color w:val="auto"/>
          <w:sz w:val="21"/>
          <w:szCs w:val="21"/>
          <w:highlight w:val="none"/>
          <w:lang w:eastAsia="zh-CN"/>
        </w:rPr>
        <w:t>。</w:t>
      </w:r>
    </w:p>
    <w:p w14:paraId="12E5200D">
      <w:pPr>
        <w:keepNext w:val="0"/>
        <w:keepLines w:val="0"/>
        <w:pageBreakBefore w:val="0"/>
        <w:kinsoku/>
        <w:wordWrap/>
        <w:overflowPunct/>
        <w:topLinePunct w:val="0"/>
        <w:autoSpaceDE/>
        <w:autoSpaceDN/>
        <w:bidi w:val="0"/>
        <w:adjustRightInd/>
        <w:snapToGrid/>
        <w:spacing w:line="360" w:lineRule="auto"/>
        <w:ind w:left="1" w:firstLine="49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27.</w:t>
      </w:r>
      <w:r>
        <w:rPr>
          <w:rFonts w:hint="eastAsia" w:ascii="宋体" w:hAnsi="宋体" w:eastAsia="宋体" w:cs="宋体"/>
          <w:sz w:val="21"/>
          <w:szCs w:val="21"/>
          <w:highlight w:val="none"/>
          <w:lang w:eastAsia="zh-CN"/>
        </w:rPr>
        <w:t>未按下达的</w:t>
      </w:r>
      <w:r>
        <w:rPr>
          <w:rFonts w:hint="eastAsia" w:ascii="宋体" w:hAnsi="宋体" w:eastAsia="宋体" w:cs="宋体"/>
          <w:sz w:val="21"/>
          <w:szCs w:val="21"/>
          <w:highlight w:val="none"/>
          <w:lang w:val="en-US" w:eastAsia="zh-CN"/>
        </w:rPr>
        <w:t>日常保养（含绿化）</w:t>
      </w:r>
      <w:r>
        <w:rPr>
          <w:rFonts w:hint="eastAsia" w:ascii="宋体" w:hAnsi="宋体" w:eastAsia="宋体" w:cs="宋体"/>
          <w:sz w:val="21"/>
          <w:szCs w:val="21"/>
          <w:highlight w:val="none"/>
          <w:lang w:eastAsia="zh-CN"/>
        </w:rPr>
        <w:t>月度</w:t>
      </w:r>
      <w:r>
        <w:rPr>
          <w:rFonts w:hint="eastAsia" w:ascii="宋体" w:hAnsi="宋体" w:eastAsia="宋体" w:cs="宋体"/>
          <w:sz w:val="21"/>
          <w:szCs w:val="21"/>
          <w:highlight w:val="none"/>
          <w:lang w:val="en-US" w:eastAsia="zh-CN"/>
        </w:rPr>
        <w:t>养护</w:t>
      </w:r>
      <w:r>
        <w:rPr>
          <w:rFonts w:hint="eastAsia" w:ascii="宋体" w:hAnsi="宋体" w:eastAsia="宋体" w:cs="宋体"/>
          <w:sz w:val="21"/>
          <w:szCs w:val="21"/>
          <w:highlight w:val="none"/>
          <w:lang w:eastAsia="zh-CN"/>
        </w:rPr>
        <w:t>作业计划或工作</w:t>
      </w:r>
      <w:r>
        <w:rPr>
          <w:rFonts w:hint="eastAsia" w:ascii="宋体" w:hAnsi="宋体" w:eastAsia="宋体" w:cs="宋体"/>
          <w:sz w:val="21"/>
          <w:szCs w:val="21"/>
          <w:highlight w:val="none"/>
          <w:lang w:val="en-US" w:eastAsia="zh-CN"/>
        </w:rPr>
        <w:t>任务</w:t>
      </w:r>
      <w:r>
        <w:rPr>
          <w:rFonts w:hint="eastAsia" w:ascii="宋体" w:hAnsi="宋体" w:eastAsia="宋体" w:cs="宋体"/>
          <w:sz w:val="21"/>
          <w:szCs w:val="21"/>
          <w:highlight w:val="none"/>
          <w:lang w:eastAsia="zh-CN"/>
        </w:rPr>
        <w:t>指令完成的；</w:t>
      </w:r>
    </w:p>
    <w:p w14:paraId="1D768BEC">
      <w:pPr>
        <w:keepNext w:val="0"/>
        <w:keepLines w:val="0"/>
        <w:pageBreakBefore w:val="0"/>
        <w:kinsoku/>
        <w:wordWrap/>
        <w:overflowPunct/>
        <w:topLinePunct w:val="0"/>
        <w:autoSpaceDE/>
        <w:autoSpaceDN/>
        <w:bidi w:val="0"/>
        <w:adjustRightInd/>
        <w:snapToGrid/>
        <w:spacing w:line="360" w:lineRule="auto"/>
        <w:ind w:left="1" w:firstLine="49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28.</w:t>
      </w:r>
      <w:r>
        <w:rPr>
          <w:rFonts w:hint="eastAsia" w:ascii="宋体" w:hAnsi="宋体" w:eastAsia="宋体" w:cs="宋体"/>
          <w:sz w:val="21"/>
          <w:szCs w:val="21"/>
          <w:highlight w:val="none"/>
          <w:lang w:eastAsia="zh-CN"/>
        </w:rPr>
        <w:t>因日常养护工作受到</w:t>
      </w:r>
      <w:r>
        <w:rPr>
          <w:rFonts w:hint="eastAsia" w:ascii="宋体" w:hAnsi="宋体" w:eastAsia="宋体" w:cs="宋体"/>
          <w:sz w:val="21"/>
          <w:szCs w:val="21"/>
          <w:highlight w:val="none"/>
          <w:lang w:val="en-US" w:eastAsia="zh-CN"/>
        </w:rPr>
        <w:t>上级主管部门下发</w:t>
      </w:r>
      <w:r>
        <w:rPr>
          <w:rFonts w:hint="eastAsia" w:ascii="宋体" w:hAnsi="宋体" w:eastAsia="宋体" w:cs="宋体"/>
          <w:sz w:val="21"/>
          <w:szCs w:val="21"/>
          <w:highlight w:val="none"/>
          <w:lang w:eastAsia="zh-CN"/>
        </w:rPr>
        <w:t>整改通知、警告、通报的；</w:t>
      </w:r>
    </w:p>
    <w:p w14:paraId="17B3E54E">
      <w:pPr>
        <w:keepNext w:val="0"/>
        <w:keepLines w:val="0"/>
        <w:pageBreakBefore w:val="0"/>
        <w:kinsoku/>
        <w:wordWrap/>
        <w:overflowPunct/>
        <w:topLinePunct w:val="0"/>
        <w:autoSpaceDE/>
        <w:autoSpaceDN/>
        <w:bidi w:val="0"/>
        <w:adjustRightInd/>
        <w:snapToGrid/>
        <w:spacing w:line="360" w:lineRule="auto"/>
        <w:ind w:left="1" w:firstLine="49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lang w:val="en-US" w:eastAsia="zh-CN"/>
        </w:rPr>
        <w:t>29.</w:t>
      </w:r>
      <w:r>
        <w:rPr>
          <w:rFonts w:hint="eastAsia" w:ascii="宋体" w:hAnsi="宋体" w:eastAsia="宋体" w:cs="宋体"/>
          <w:color w:val="auto"/>
          <w:sz w:val="21"/>
          <w:szCs w:val="21"/>
          <w:highlight w:val="none"/>
          <w:lang w:val="en-US" w:eastAsia="zh-CN"/>
        </w:rPr>
        <w:t>承包人违反环保规定，</w:t>
      </w:r>
      <w:r>
        <w:rPr>
          <w:rFonts w:hint="eastAsia" w:ascii="宋体" w:hAnsi="宋体" w:eastAsia="宋体" w:cs="宋体"/>
          <w:color w:val="auto"/>
          <w:sz w:val="21"/>
          <w:szCs w:val="21"/>
          <w:highlight w:val="none"/>
        </w:rPr>
        <w:t>由于施工原因造成污染、破坏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被群众</w:t>
      </w:r>
      <w:r>
        <w:rPr>
          <w:rFonts w:hint="eastAsia" w:ascii="宋体" w:hAnsi="宋体" w:eastAsia="宋体" w:cs="宋体"/>
          <w:color w:val="auto"/>
          <w:sz w:val="21"/>
          <w:szCs w:val="21"/>
          <w:highlight w:val="none"/>
          <w:lang w:val="en-US" w:eastAsia="zh-CN"/>
        </w:rPr>
        <w:t>投诉或受到政府有关部门</w:t>
      </w:r>
      <w:r>
        <w:rPr>
          <w:rFonts w:hint="eastAsia" w:ascii="宋体" w:hAnsi="宋体" w:eastAsia="宋体" w:cs="宋体"/>
          <w:color w:val="auto"/>
          <w:sz w:val="21"/>
          <w:szCs w:val="21"/>
          <w:highlight w:val="none"/>
        </w:rPr>
        <w:t>责令整改的</w:t>
      </w:r>
      <w:r>
        <w:rPr>
          <w:rFonts w:hint="eastAsia" w:ascii="宋体" w:hAnsi="宋体" w:eastAsia="宋体" w:cs="宋体"/>
          <w:color w:val="auto"/>
          <w:sz w:val="21"/>
          <w:szCs w:val="21"/>
          <w:highlight w:val="none"/>
          <w:lang w:val="en-US" w:eastAsia="zh-CN"/>
        </w:rPr>
        <w:t>。</w:t>
      </w:r>
    </w:p>
    <w:p w14:paraId="7AFD8D71">
      <w:pPr>
        <w:keepNext w:val="0"/>
        <w:keepLines w:val="0"/>
        <w:pageBreakBefore w:val="0"/>
        <w:widowControl w:val="0"/>
        <w:kinsoku/>
        <w:wordWrap/>
        <w:overflowPunct/>
        <w:topLinePunct w:val="0"/>
        <w:autoSpaceDE/>
        <w:autoSpaceDN/>
        <w:bidi w:val="0"/>
        <w:adjustRightInd/>
        <w:snapToGrid/>
        <w:spacing w:line="360" w:lineRule="auto"/>
        <w:ind w:left="485"/>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（二）</w:t>
      </w:r>
      <w:r>
        <w:rPr>
          <w:rFonts w:hint="eastAsia" w:ascii="宋体" w:hAnsi="宋体" w:eastAsia="宋体" w:cs="宋体"/>
          <w:b/>
          <w:bCs/>
          <w:spacing w:val="-1"/>
          <w:sz w:val="24"/>
          <w:szCs w:val="24"/>
          <w:highlight w:val="none"/>
        </w:rPr>
        <w:t>对承包人违约的处理</w:t>
      </w:r>
    </w:p>
    <w:p w14:paraId="3F14C1F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2"/>
          <w:sz w:val="21"/>
          <w:szCs w:val="21"/>
          <w:highlight w:val="green"/>
          <w:lang w:val="en-US" w:eastAsia="zh-CN"/>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承包人发生</w:t>
      </w:r>
      <w:r>
        <w:rPr>
          <w:rFonts w:hint="eastAsia" w:ascii="宋体" w:hAnsi="宋体" w:eastAsia="宋体" w:cs="宋体"/>
          <w:sz w:val="21"/>
          <w:szCs w:val="21"/>
          <w:highlight w:val="none"/>
          <w:lang w:val="en-US" w:eastAsia="zh-CN"/>
        </w:rPr>
        <w:t>上述</w:t>
      </w:r>
      <w:r>
        <w:rPr>
          <w:rFonts w:hint="eastAsia" w:ascii="宋体" w:hAnsi="宋体" w:eastAsia="宋体" w:cs="宋体"/>
          <w:spacing w:val="-2"/>
          <w:sz w:val="21"/>
          <w:szCs w:val="21"/>
          <w:highlight w:val="none"/>
          <w:lang w:val="en-US" w:eastAsia="zh-CN"/>
        </w:rPr>
        <w:t>1、6、7、15、20</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情形</w:t>
      </w:r>
      <w:r>
        <w:rPr>
          <w:rFonts w:hint="eastAsia" w:ascii="宋体" w:hAnsi="宋体" w:eastAsia="宋体" w:cs="宋体"/>
          <w:sz w:val="21"/>
          <w:szCs w:val="21"/>
          <w:highlight w:val="none"/>
        </w:rPr>
        <w:t>时，发包人可通知承包人立</w:t>
      </w:r>
      <w:r>
        <w:rPr>
          <w:rFonts w:hint="eastAsia" w:ascii="宋体" w:hAnsi="宋体" w:eastAsia="宋体" w:cs="宋体"/>
          <w:spacing w:val="-2"/>
          <w:sz w:val="21"/>
          <w:szCs w:val="21"/>
          <w:highlight w:val="none"/>
        </w:rPr>
        <w:t>即解除合同，</w:t>
      </w:r>
      <w:r>
        <w:rPr>
          <w:rFonts w:hint="eastAsia" w:ascii="宋体" w:hAnsi="宋体" w:eastAsia="宋体" w:cs="宋体"/>
          <w:spacing w:val="-2"/>
          <w:sz w:val="21"/>
          <w:szCs w:val="21"/>
          <w:highlight w:val="none"/>
          <w:lang w:val="en-US" w:eastAsia="zh-CN"/>
        </w:rPr>
        <w:t>没收承包人全部履约金，</w:t>
      </w:r>
      <w:r>
        <w:rPr>
          <w:rFonts w:hint="eastAsia" w:ascii="宋体" w:hAnsi="宋体" w:eastAsia="宋体" w:cs="宋体"/>
          <w:spacing w:val="-2"/>
          <w:sz w:val="21"/>
          <w:szCs w:val="21"/>
          <w:highlight w:val="none"/>
        </w:rPr>
        <w:t>并按有关法律处理</w:t>
      </w:r>
      <w:r>
        <w:rPr>
          <w:rFonts w:hint="eastAsia" w:ascii="宋体" w:hAnsi="宋体" w:eastAsia="宋体" w:cs="宋体"/>
          <w:spacing w:val="-2"/>
          <w:sz w:val="21"/>
          <w:szCs w:val="21"/>
          <w:highlight w:val="none"/>
          <w:lang w:eastAsia="zh-CN"/>
        </w:rPr>
        <w:t>。</w:t>
      </w:r>
    </w:p>
    <w:p w14:paraId="072A5B20">
      <w:pPr>
        <w:keepNext w:val="0"/>
        <w:keepLines w:val="0"/>
        <w:pageBreakBefore w:val="0"/>
        <w:kinsoku/>
        <w:wordWrap/>
        <w:overflowPunct/>
        <w:topLinePunct w:val="0"/>
        <w:autoSpaceDE/>
        <w:autoSpaceDN/>
        <w:bidi w:val="0"/>
        <w:adjustRightInd/>
        <w:snapToGrid/>
        <w:spacing w:line="360" w:lineRule="auto"/>
        <w:ind w:firstLine="412" w:firstLineChars="200"/>
        <w:textAlignment w:val="auto"/>
        <w:rPr>
          <w:rFonts w:hint="eastAsia" w:ascii="宋体" w:hAnsi="宋体" w:eastAsia="宋体" w:cs="宋体"/>
          <w:spacing w:val="-1"/>
          <w:sz w:val="21"/>
          <w:szCs w:val="21"/>
          <w:highlight w:val="none"/>
          <w:lang w:eastAsia="zh-CN"/>
        </w:rPr>
      </w:pPr>
      <w:r>
        <w:rPr>
          <w:rFonts w:hint="eastAsia" w:ascii="宋体" w:hAnsi="宋体" w:eastAsia="宋体" w:cs="宋体"/>
          <w:spacing w:val="-2"/>
          <w:sz w:val="21"/>
          <w:szCs w:val="21"/>
          <w:highlight w:val="none"/>
          <w:lang w:eastAsia="zh-CN"/>
        </w:rPr>
        <w:t>（</w:t>
      </w:r>
      <w:r>
        <w:rPr>
          <w:rFonts w:hint="eastAsia" w:ascii="宋体" w:hAnsi="宋体" w:eastAsia="宋体" w:cs="宋体"/>
          <w:spacing w:val="-2"/>
          <w:sz w:val="21"/>
          <w:szCs w:val="21"/>
          <w:highlight w:val="none"/>
          <w:lang w:val="en-US" w:eastAsia="zh-CN"/>
        </w:rPr>
        <w:t>1</w:t>
      </w:r>
      <w:r>
        <w:rPr>
          <w:rFonts w:hint="eastAsia" w:ascii="宋体" w:hAnsi="宋体" w:eastAsia="宋体" w:cs="宋体"/>
          <w:spacing w:val="-2"/>
          <w:sz w:val="21"/>
          <w:szCs w:val="21"/>
          <w:highlight w:val="none"/>
          <w:lang w:eastAsia="zh-CN"/>
        </w:rPr>
        <w:t>）</w:t>
      </w:r>
      <w:r>
        <w:rPr>
          <w:rFonts w:hint="eastAsia" w:ascii="宋体" w:hAnsi="宋体" w:eastAsia="宋体" w:cs="宋体"/>
          <w:spacing w:val="-1"/>
          <w:sz w:val="21"/>
          <w:szCs w:val="21"/>
          <w:highlight w:val="none"/>
          <w:lang w:eastAsia="zh-CN"/>
        </w:rPr>
        <w:t>承包人违反</w:t>
      </w:r>
      <w:r>
        <w:rPr>
          <w:rFonts w:hint="eastAsia" w:ascii="宋体" w:hAnsi="宋体" w:eastAsia="宋体" w:cs="宋体"/>
          <w:spacing w:val="-1"/>
          <w:sz w:val="21"/>
          <w:szCs w:val="21"/>
          <w:highlight w:val="none"/>
          <w:lang w:val="en-US" w:eastAsia="zh-CN"/>
        </w:rPr>
        <w:t>法律规定或合同条款中转让、转包</w:t>
      </w:r>
      <w:r>
        <w:rPr>
          <w:rFonts w:hint="eastAsia" w:ascii="宋体" w:hAnsi="宋体" w:eastAsia="宋体" w:cs="宋体"/>
          <w:spacing w:val="-1"/>
          <w:sz w:val="21"/>
          <w:szCs w:val="21"/>
          <w:highlight w:val="none"/>
          <w:lang w:eastAsia="zh-CN"/>
        </w:rPr>
        <w:t>的约定，私自将合同的全部或部分权利转让给其他人，或私自将合同的全部或部分义务转移给其他人，</w:t>
      </w:r>
      <w:r>
        <w:rPr>
          <w:rFonts w:hint="eastAsia" w:ascii="宋体" w:hAnsi="宋体" w:eastAsia="宋体" w:cs="宋体"/>
          <w:spacing w:val="-1"/>
          <w:sz w:val="21"/>
          <w:szCs w:val="21"/>
          <w:highlight w:val="none"/>
          <w:lang w:val="en-US" w:eastAsia="zh-CN"/>
        </w:rPr>
        <w:t>违法转包的</w:t>
      </w:r>
      <w:r>
        <w:rPr>
          <w:rFonts w:hint="eastAsia" w:ascii="宋体" w:hAnsi="宋体" w:eastAsia="宋体" w:cs="宋体"/>
          <w:spacing w:val="-1"/>
          <w:sz w:val="21"/>
          <w:szCs w:val="21"/>
          <w:highlight w:val="none"/>
          <w:lang w:eastAsia="zh-CN"/>
        </w:rPr>
        <w:t>；</w:t>
      </w:r>
    </w:p>
    <w:p w14:paraId="0C2FD493">
      <w:pPr>
        <w:keepNext w:val="0"/>
        <w:keepLines w:val="0"/>
        <w:pageBreakBefore w:val="0"/>
        <w:kinsoku/>
        <w:wordWrap/>
        <w:overflowPunct/>
        <w:topLinePunct w:val="0"/>
        <w:autoSpaceDE/>
        <w:autoSpaceDN/>
        <w:bidi w:val="0"/>
        <w:adjustRightInd/>
        <w:snapToGrid/>
        <w:spacing w:line="360" w:lineRule="auto"/>
        <w:ind w:firstLine="416" w:firstLineChars="200"/>
        <w:textAlignment w:val="auto"/>
        <w:rPr>
          <w:rFonts w:hint="eastAsia" w:ascii="宋体" w:hAnsi="宋体" w:eastAsia="宋体" w:cs="宋体"/>
          <w:spacing w:val="-1"/>
          <w:sz w:val="21"/>
          <w:szCs w:val="21"/>
          <w:highlight w:val="none"/>
          <w:lang w:val="en-US" w:eastAsia="zh-CN"/>
        </w:rPr>
      </w:pPr>
      <w:r>
        <w:rPr>
          <w:rFonts w:hint="eastAsia" w:ascii="宋体" w:hAnsi="宋体" w:eastAsia="宋体" w:cs="宋体"/>
          <w:spacing w:val="-1"/>
          <w:sz w:val="21"/>
          <w:szCs w:val="21"/>
          <w:highlight w:val="none"/>
          <w:lang w:eastAsia="zh-CN"/>
        </w:rPr>
        <w:t>（</w:t>
      </w:r>
      <w:r>
        <w:rPr>
          <w:rFonts w:hint="eastAsia" w:ascii="宋体" w:hAnsi="宋体" w:eastAsia="宋体" w:cs="宋体"/>
          <w:spacing w:val="-1"/>
          <w:sz w:val="21"/>
          <w:szCs w:val="21"/>
          <w:highlight w:val="none"/>
          <w:lang w:val="en-US" w:eastAsia="zh-CN"/>
        </w:rPr>
        <w:t>2</w:t>
      </w:r>
      <w:r>
        <w:rPr>
          <w:rFonts w:hint="eastAsia" w:ascii="宋体" w:hAnsi="宋体" w:eastAsia="宋体" w:cs="宋体"/>
          <w:spacing w:val="-1"/>
          <w:sz w:val="21"/>
          <w:szCs w:val="21"/>
          <w:highlight w:val="none"/>
          <w:lang w:eastAsia="zh-CN"/>
        </w:rPr>
        <w:t>）承包人无法继续履行或明确表示不履行或实质上已停止履行合同</w:t>
      </w:r>
      <w:r>
        <w:rPr>
          <w:rFonts w:hint="eastAsia" w:ascii="宋体" w:hAnsi="宋体" w:eastAsia="宋体" w:cs="宋体"/>
          <w:spacing w:val="-1"/>
          <w:sz w:val="21"/>
          <w:szCs w:val="21"/>
          <w:highlight w:val="none"/>
          <w:lang w:val="en-US" w:eastAsia="zh-CN"/>
        </w:rPr>
        <w:t>；</w:t>
      </w:r>
    </w:p>
    <w:p w14:paraId="1871C9A1">
      <w:pPr>
        <w:keepNext w:val="0"/>
        <w:keepLines w:val="0"/>
        <w:pageBreakBefore w:val="0"/>
        <w:kinsoku/>
        <w:wordWrap/>
        <w:overflowPunct/>
        <w:topLinePunct w:val="0"/>
        <w:autoSpaceDE/>
        <w:autoSpaceDN/>
        <w:bidi w:val="0"/>
        <w:adjustRightInd/>
        <w:snapToGrid/>
        <w:spacing w:line="360" w:lineRule="auto"/>
        <w:ind w:firstLine="416" w:firstLineChars="200"/>
        <w:textAlignment w:val="auto"/>
        <w:rPr>
          <w:rFonts w:hint="eastAsia" w:ascii="宋体" w:hAnsi="宋体" w:eastAsia="宋体" w:cs="宋体"/>
          <w:spacing w:val="-2"/>
          <w:sz w:val="21"/>
          <w:szCs w:val="21"/>
          <w:highlight w:val="none"/>
          <w:lang w:val="en-US" w:eastAsia="zh-CN"/>
        </w:rPr>
      </w:pPr>
      <w:r>
        <w:rPr>
          <w:rFonts w:hint="eastAsia" w:ascii="宋体" w:hAnsi="宋体" w:eastAsia="宋体" w:cs="宋体"/>
          <w:spacing w:val="-1"/>
          <w:sz w:val="21"/>
          <w:szCs w:val="21"/>
          <w:highlight w:val="none"/>
          <w:lang w:val="en-US" w:eastAsia="zh-CN"/>
        </w:rPr>
        <w:t>（3）</w:t>
      </w:r>
      <w:r>
        <w:rPr>
          <w:rFonts w:hint="eastAsia" w:ascii="宋体" w:hAnsi="宋体" w:eastAsia="宋体" w:cs="宋体"/>
          <w:spacing w:val="-2"/>
          <w:sz w:val="21"/>
          <w:szCs w:val="21"/>
          <w:highlight w:val="none"/>
          <w:lang w:eastAsia="zh-CN"/>
        </w:rPr>
        <w:t>承包人未能按期开工</w:t>
      </w:r>
      <w:r>
        <w:rPr>
          <w:rFonts w:hint="eastAsia" w:ascii="宋体" w:hAnsi="宋体" w:eastAsia="宋体" w:cs="宋体"/>
          <w:spacing w:val="-2"/>
          <w:sz w:val="21"/>
          <w:szCs w:val="21"/>
          <w:highlight w:val="none"/>
          <w:lang w:val="en-US" w:eastAsia="zh-CN"/>
        </w:rPr>
        <w:t>；</w:t>
      </w:r>
    </w:p>
    <w:p w14:paraId="28DAFBD2">
      <w:pPr>
        <w:keepNext w:val="0"/>
        <w:keepLines w:val="0"/>
        <w:pageBreakBefore w:val="0"/>
        <w:kinsoku/>
        <w:wordWrap/>
        <w:overflowPunct/>
        <w:topLinePunct w:val="0"/>
        <w:autoSpaceDE/>
        <w:autoSpaceDN/>
        <w:bidi w:val="0"/>
        <w:adjustRightInd/>
        <w:snapToGrid/>
        <w:spacing w:line="360" w:lineRule="auto"/>
        <w:ind w:firstLine="412"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spacing w:val="-2"/>
          <w:sz w:val="21"/>
          <w:szCs w:val="21"/>
          <w:highlight w:val="none"/>
          <w:lang w:val="en-US" w:eastAsia="zh-CN"/>
        </w:rPr>
        <w:t>（4）</w:t>
      </w:r>
      <w:r>
        <w:rPr>
          <w:rFonts w:hint="eastAsia" w:ascii="宋体" w:hAnsi="宋体" w:eastAsia="宋体" w:cs="宋体"/>
          <w:b w:val="0"/>
          <w:bCs w:val="0"/>
          <w:color w:val="auto"/>
          <w:sz w:val="21"/>
          <w:szCs w:val="21"/>
          <w:highlight w:val="none"/>
        </w:rPr>
        <w:t>承包人在合同期限内企业解散、破产、承包人违法经营违法被相关部门停业3个月以上难以履行合同的；</w:t>
      </w:r>
    </w:p>
    <w:p w14:paraId="647FF4E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一个合同年度内连续2个月或累计3个月日常养护考核评分为差的（评分小于</w:t>
      </w:r>
      <w:r>
        <w:rPr>
          <w:rFonts w:hint="eastAsia" w:ascii="宋体" w:hAnsi="宋体" w:eastAsia="宋体" w:cs="宋体"/>
          <w:b w:val="0"/>
          <w:bCs w:val="0"/>
          <w:color w:val="auto"/>
          <w:sz w:val="21"/>
          <w:szCs w:val="21"/>
          <w:highlight w:val="none"/>
          <w:lang w:val="en-US" w:eastAsia="zh-CN"/>
        </w:rPr>
        <w:t>70</w:t>
      </w:r>
      <w:r>
        <w:rPr>
          <w:rFonts w:hint="eastAsia" w:ascii="宋体" w:hAnsi="宋体" w:eastAsia="宋体" w:cs="宋体"/>
          <w:b w:val="0"/>
          <w:bCs w:val="0"/>
          <w:color w:val="auto"/>
          <w:sz w:val="21"/>
          <w:szCs w:val="21"/>
          <w:highlight w:val="none"/>
        </w:rPr>
        <w:t>分）</w:t>
      </w:r>
    </w:p>
    <w:p w14:paraId="6D62CED8">
      <w:pPr>
        <w:keepNext w:val="0"/>
        <w:keepLines w:val="0"/>
        <w:pageBreakBefore w:val="0"/>
        <w:widowControl/>
        <w:numPr>
          <w:ilvl w:val="0"/>
          <w:numId w:val="0"/>
        </w:numPr>
        <w:tabs>
          <w:tab w:val="left" w:pos="0"/>
        </w:tabs>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pacing w:val="-1"/>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承包人发生</w:t>
      </w:r>
      <w:r>
        <w:rPr>
          <w:rFonts w:hint="eastAsia" w:ascii="宋体" w:hAnsi="宋体" w:eastAsia="宋体" w:cs="宋体"/>
          <w:sz w:val="21"/>
          <w:szCs w:val="21"/>
          <w:highlight w:val="none"/>
          <w:lang w:val="en-US" w:eastAsia="zh-CN"/>
        </w:rPr>
        <w:t>上述</w:t>
      </w:r>
      <w:r>
        <w:rPr>
          <w:rFonts w:hint="eastAsia" w:ascii="宋体" w:hAnsi="宋体" w:eastAsia="宋体" w:cs="宋体"/>
          <w:spacing w:val="-2"/>
          <w:sz w:val="21"/>
          <w:szCs w:val="21"/>
          <w:highlight w:val="none"/>
          <w:lang w:val="en-US" w:eastAsia="zh-CN"/>
        </w:rPr>
        <w:t>2</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情形</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eastAsia="zh-CN"/>
        </w:rPr>
        <w:t>，承包人违反</w:t>
      </w:r>
      <w:r>
        <w:rPr>
          <w:rFonts w:hint="eastAsia" w:ascii="宋体" w:hAnsi="宋体" w:eastAsia="宋体" w:cs="宋体"/>
          <w:sz w:val="21"/>
          <w:szCs w:val="21"/>
          <w:highlight w:val="none"/>
          <w:lang w:val="en-US" w:eastAsia="zh-CN"/>
        </w:rPr>
        <w:t>合同条</w:t>
      </w:r>
      <w:r>
        <w:rPr>
          <w:rFonts w:hint="eastAsia" w:ascii="宋体" w:hAnsi="宋体" w:eastAsia="宋体" w:cs="宋体"/>
          <w:sz w:val="21"/>
          <w:szCs w:val="21"/>
          <w:highlight w:val="none"/>
          <w:lang w:eastAsia="zh-CN"/>
        </w:rPr>
        <w:t>款的约定，</w:t>
      </w:r>
      <w:r>
        <w:rPr>
          <w:rFonts w:hint="eastAsia" w:ascii="宋体" w:hAnsi="宋体" w:eastAsia="宋体" w:cs="宋体"/>
          <w:spacing w:val="-1"/>
          <w:sz w:val="21"/>
          <w:szCs w:val="21"/>
          <w:highlight w:val="none"/>
          <w:lang w:eastAsia="zh-CN"/>
        </w:rPr>
        <w:t>私自将已按合</w:t>
      </w:r>
      <w:r>
        <w:rPr>
          <w:rFonts w:hint="eastAsia" w:ascii="宋体" w:hAnsi="宋体" w:eastAsia="宋体" w:cs="宋体"/>
          <w:spacing w:val="1"/>
          <w:sz w:val="21"/>
          <w:szCs w:val="21"/>
          <w:highlight w:val="none"/>
          <w:lang w:eastAsia="zh-CN"/>
        </w:rPr>
        <w:t>同约定进入养护作业场地的养护作业设备、临时设施、材料</w:t>
      </w:r>
      <w:r>
        <w:rPr>
          <w:rFonts w:hint="eastAsia" w:ascii="宋体" w:hAnsi="宋体" w:eastAsia="宋体" w:cs="宋体"/>
          <w:sz w:val="21"/>
          <w:szCs w:val="21"/>
          <w:highlight w:val="none"/>
          <w:lang w:eastAsia="zh-CN"/>
        </w:rPr>
        <w:t>或工程设备撤离养护作</w:t>
      </w:r>
      <w:r>
        <w:rPr>
          <w:rFonts w:hint="eastAsia" w:ascii="宋体" w:hAnsi="宋体" w:eastAsia="宋体" w:cs="宋体"/>
          <w:spacing w:val="-3"/>
          <w:sz w:val="21"/>
          <w:szCs w:val="21"/>
          <w:highlight w:val="none"/>
          <w:lang w:eastAsia="zh-CN"/>
        </w:rPr>
        <w:t>业场地。</w:t>
      </w:r>
      <w:r>
        <w:rPr>
          <w:rFonts w:hint="eastAsia" w:ascii="宋体" w:hAnsi="宋体" w:eastAsia="宋体" w:cs="宋体"/>
          <w:sz w:val="21"/>
          <w:szCs w:val="21"/>
          <w:highlight w:val="none"/>
        </w:rPr>
        <w:t>发包人可向</w:t>
      </w:r>
      <w:r>
        <w:rPr>
          <w:rFonts w:hint="eastAsia" w:ascii="宋体" w:hAnsi="宋体" w:eastAsia="宋体" w:cs="宋体"/>
          <w:spacing w:val="1"/>
          <w:sz w:val="21"/>
          <w:szCs w:val="21"/>
          <w:highlight w:val="none"/>
        </w:rPr>
        <w:t>承包人发出整改通知，要求其在指定的期限内改正。承包</w:t>
      </w:r>
      <w:r>
        <w:rPr>
          <w:rFonts w:hint="eastAsia" w:ascii="宋体" w:hAnsi="宋体" w:eastAsia="宋体" w:cs="宋体"/>
          <w:sz w:val="21"/>
          <w:szCs w:val="21"/>
          <w:highlight w:val="none"/>
        </w:rPr>
        <w:t>人应承担其违约所引起的</w:t>
      </w:r>
      <w:r>
        <w:rPr>
          <w:rFonts w:hint="eastAsia" w:ascii="宋体" w:hAnsi="宋体" w:eastAsia="宋体" w:cs="宋体"/>
          <w:spacing w:val="-1"/>
          <w:sz w:val="21"/>
          <w:szCs w:val="21"/>
          <w:highlight w:val="none"/>
        </w:rPr>
        <w:t>费用增加和（或）工期延误。</w:t>
      </w:r>
      <w:r>
        <w:rPr>
          <w:rFonts w:hint="eastAsia" w:ascii="宋体" w:hAnsi="宋体" w:eastAsia="宋体" w:cs="宋体"/>
          <w:spacing w:val="2"/>
          <w:sz w:val="21"/>
          <w:szCs w:val="21"/>
          <w:highlight w:val="none"/>
        </w:rPr>
        <w:t>发包人发出整改通知后</w:t>
      </w:r>
      <w:r>
        <w:rPr>
          <w:rFonts w:hint="eastAsia" w:ascii="宋体" w:hAnsi="宋体" w:eastAsia="宋体" w:cs="宋体"/>
          <w:spacing w:val="-14"/>
          <w:sz w:val="21"/>
          <w:szCs w:val="21"/>
          <w:highlight w:val="none"/>
        </w:rPr>
        <w:t xml:space="preserve"> </w:t>
      </w:r>
      <w:r>
        <w:rPr>
          <w:rFonts w:hint="eastAsia" w:ascii="宋体" w:hAnsi="宋体" w:eastAsia="宋体" w:cs="宋体"/>
          <w:spacing w:val="2"/>
          <w:sz w:val="21"/>
          <w:szCs w:val="21"/>
          <w:highlight w:val="none"/>
        </w:rPr>
        <w:t>14</w:t>
      </w:r>
      <w:r>
        <w:rPr>
          <w:rFonts w:hint="eastAsia" w:ascii="宋体" w:hAnsi="宋体" w:eastAsia="宋体" w:cs="宋体"/>
          <w:spacing w:val="19"/>
          <w:w w:val="101"/>
          <w:sz w:val="21"/>
          <w:szCs w:val="21"/>
          <w:highlight w:val="none"/>
        </w:rPr>
        <w:t xml:space="preserve"> </w:t>
      </w:r>
      <w:r>
        <w:rPr>
          <w:rFonts w:hint="eastAsia" w:ascii="宋体" w:hAnsi="宋体" w:eastAsia="宋体" w:cs="宋体"/>
          <w:spacing w:val="2"/>
          <w:sz w:val="21"/>
          <w:szCs w:val="21"/>
          <w:highlight w:val="none"/>
        </w:rPr>
        <w:t>天内，承包人仍不纠正违约行为的，发包人有权可向承</w:t>
      </w:r>
      <w:r>
        <w:rPr>
          <w:rFonts w:hint="eastAsia" w:ascii="宋体" w:hAnsi="宋体" w:eastAsia="宋体" w:cs="宋体"/>
          <w:spacing w:val="1"/>
          <w:sz w:val="21"/>
          <w:szCs w:val="21"/>
          <w:highlight w:val="none"/>
        </w:rPr>
        <w:t>包人发出解除合同通知。合同解除后，发包人可派员进驻</w:t>
      </w:r>
      <w:r>
        <w:rPr>
          <w:rFonts w:hint="eastAsia" w:ascii="宋体" w:hAnsi="宋体" w:eastAsia="宋体" w:cs="宋体"/>
          <w:sz w:val="21"/>
          <w:szCs w:val="21"/>
          <w:highlight w:val="none"/>
        </w:rPr>
        <w:t>养护作业场地，另行组织</w:t>
      </w:r>
      <w:r>
        <w:rPr>
          <w:rFonts w:hint="eastAsia" w:ascii="宋体" w:hAnsi="宋体" w:eastAsia="宋体" w:cs="宋体"/>
          <w:spacing w:val="1"/>
          <w:sz w:val="21"/>
          <w:szCs w:val="21"/>
          <w:highlight w:val="none"/>
        </w:rPr>
        <w:t>人员或委托其他承包人实施养护作业。发包人因继续完成</w:t>
      </w:r>
      <w:r>
        <w:rPr>
          <w:rFonts w:hint="eastAsia" w:ascii="宋体" w:hAnsi="宋体" w:eastAsia="宋体" w:cs="宋体"/>
          <w:sz w:val="21"/>
          <w:szCs w:val="21"/>
          <w:highlight w:val="none"/>
        </w:rPr>
        <w:t>该养护项目的需要，有权</w:t>
      </w:r>
      <w:r>
        <w:rPr>
          <w:rFonts w:hint="eastAsia" w:ascii="宋体" w:hAnsi="宋体" w:eastAsia="宋体" w:cs="宋体"/>
          <w:spacing w:val="1"/>
          <w:sz w:val="21"/>
          <w:szCs w:val="21"/>
          <w:highlight w:val="none"/>
        </w:rPr>
        <w:t>扣留使用承包人在现场的材料、设备和临时设施。但发包</w:t>
      </w:r>
      <w:r>
        <w:rPr>
          <w:rFonts w:hint="eastAsia" w:ascii="宋体" w:hAnsi="宋体" w:eastAsia="宋体" w:cs="宋体"/>
          <w:sz w:val="21"/>
          <w:szCs w:val="21"/>
          <w:highlight w:val="none"/>
        </w:rPr>
        <w:t>人的这一行动不免除承包人应承担的违约责任，也不影响发包人根据合</w:t>
      </w:r>
      <w:r>
        <w:rPr>
          <w:rFonts w:hint="eastAsia" w:ascii="宋体" w:hAnsi="宋体" w:eastAsia="宋体" w:cs="宋体"/>
          <w:spacing w:val="-1"/>
          <w:sz w:val="21"/>
          <w:szCs w:val="21"/>
          <w:highlight w:val="none"/>
        </w:rPr>
        <w:t>同约定享有的索赔权利。</w:t>
      </w:r>
    </w:p>
    <w:p w14:paraId="42D5017C">
      <w:pPr>
        <w:pStyle w:val="35"/>
        <w:keepNext w:val="0"/>
        <w:keepLines w:val="0"/>
        <w:pageBreakBefore w:val="0"/>
        <w:widowControl w:val="0"/>
        <w:tabs>
          <w:tab w:val="left" w:pos="108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承包人发生</w:t>
      </w:r>
      <w:r>
        <w:rPr>
          <w:rFonts w:hint="eastAsia" w:ascii="宋体" w:hAnsi="宋体" w:eastAsia="宋体" w:cs="宋体"/>
          <w:sz w:val="21"/>
          <w:szCs w:val="21"/>
          <w:highlight w:val="none"/>
          <w:lang w:val="en-US" w:eastAsia="zh-CN"/>
        </w:rPr>
        <w:t>上述</w:t>
      </w:r>
      <w:r>
        <w:rPr>
          <w:rFonts w:hint="eastAsia" w:ascii="宋体" w:hAnsi="宋体" w:cs="宋体"/>
          <w:spacing w:val="-2"/>
          <w:sz w:val="21"/>
          <w:szCs w:val="21"/>
          <w:highlight w:val="none"/>
          <w:lang w:val="en-US" w:eastAsia="zh-CN"/>
        </w:rPr>
        <w:t>3</w:t>
      </w:r>
      <w:r>
        <w:rPr>
          <w:rFonts w:hint="eastAsia" w:ascii="宋体" w:hAnsi="宋体" w:eastAsia="宋体" w:cs="宋体"/>
          <w:spacing w:val="-2"/>
          <w:sz w:val="21"/>
          <w:szCs w:val="21"/>
          <w:highlight w:val="none"/>
          <w:lang w:val="en-US" w:eastAsia="zh-CN"/>
        </w:rPr>
        <w:t>、1</w:t>
      </w:r>
      <w:r>
        <w:rPr>
          <w:rFonts w:hint="eastAsia" w:ascii="宋体" w:hAnsi="宋体" w:cs="宋体"/>
          <w:spacing w:val="-2"/>
          <w:sz w:val="21"/>
          <w:szCs w:val="21"/>
          <w:highlight w:val="none"/>
          <w:lang w:val="en-US" w:eastAsia="zh-CN"/>
        </w:rPr>
        <w:t>7</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情形</w:t>
      </w:r>
      <w:r>
        <w:rPr>
          <w:rFonts w:hint="eastAsia" w:ascii="宋体" w:hAnsi="宋体" w:eastAsia="宋体" w:cs="宋体"/>
          <w:sz w:val="21"/>
          <w:szCs w:val="21"/>
          <w:highlight w:val="none"/>
        </w:rPr>
        <w:t>时</w:t>
      </w:r>
      <w:r>
        <w:rPr>
          <w:rFonts w:hint="eastAsia" w:ascii="宋体" w:hAnsi="宋体" w:cs="宋体"/>
          <w:sz w:val="21"/>
          <w:szCs w:val="21"/>
          <w:highlight w:val="none"/>
          <w:lang w:eastAsia="zh-CN"/>
        </w:rPr>
        <w:t>，</w:t>
      </w:r>
      <w:r>
        <w:rPr>
          <w:rFonts w:hint="eastAsia" w:ascii="宋体" w:hAnsi="宋体" w:eastAsia="宋体" w:cs="宋体"/>
          <w:spacing w:val="4"/>
          <w:sz w:val="21"/>
          <w:szCs w:val="21"/>
          <w:highlight w:val="none"/>
          <w:lang w:eastAsia="zh-CN"/>
        </w:rPr>
        <w:t>承包人违反</w:t>
      </w:r>
      <w:r>
        <w:rPr>
          <w:rFonts w:hint="eastAsia" w:ascii="宋体" w:hAnsi="宋体" w:eastAsia="宋体" w:cs="宋体"/>
          <w:spacing w:val="4"/>
          <w:sz w:val="21"/>
          <w:szCs w:val="21"/>
          <w:highlight w:val="none"/>
          <w:lang w:val="en-US" w:eastAsia="zh-CN"/>
        </w:rPr>
        <w:t>合同条</w:t>
      </w:r>
      <w:r>
        <w:rPr>
          <w:rFonts w:hint="eastAsia" w:ascii="宋体" w:hAnsi="宋体" w:eastAsia="宋体" w:cs="宋体"/>
          <w:spacing w:val="4"/>
          <w:sz w:val="21"/>
          <w:szCs w:val="21"/>
          <w:highlight w:val="none"/>
          <w:lang w:eastAsia="zh-CN"/>
        </w:rPr>
        <w:t>款的约定使用了不合格材料或工程设备，养护质量达</w:t>
      </w:r>
      <w:r>
        <w:rPr>
          <w:rFonts w:hint="eastAsia" w:ascii="宋体" w:hAnsi="宋体" w:eastAsia="宋体" w:cs="宋体"/>
          <w:spacing w:val="-1"/>
          <w:sz w:val="21"/>
          <w:szCs w:val="21"/>
          <w:highlight w:val="none"/>
          <w:lang w:eastAsia="zh-CN"/>
        </w:rPr>
        <w:t>不到标准要求，又拒绝清除不合格养护工程</w:t>
      </w:r>
      <w:r>
        <w:rPr>
          <w:rFonts w:hint="eastAsia" w:ascii="宋体" w:hAnsi="宋体" w:eastAsia="宋体" w:cs="宋体"/>
          <w:spacing w:val="-1"/>
          <w:sz w:val="21"/>
          <w:szCs w:val="21"/>
          <w:highlight w:val="none"/>
          <w:lang w:val="en-US" w:eastAsia="zh-CN"/>
        </w:rPr>
        <w:t>；</w:t>
      </w:r>
      <w:r>
        <w:rPr>
          <w:rFonts w:hint="eastAsia" w:ascii="宋体" w:hAnsi="宋体" w:eastAsia="宋体" w:cs="宋体"/>
          <w:spacing w:val="4"/>
          <w:sz w:val="21"/>
          <w:szCs w:val="21"/>
          <w:highlight w:val="none"/>
          <w:lang w:val="en-US" w:eastAsia="zh-CN"/>
        </w:rPr>
        <w:t>因日常维修</w:t>
      </w:r>
      <w:r>
        <w:rPr>
          <w:rFonts w:hint="eastAsia" w:ascii="宋体" w:hAnsi="宋体" w:eastAsia="宋体" w:cs="宋体"/>
          <w:spacing w:val="4"/>
          <w:sz w:val="21"/>
          <w:szCs w:val="21"/>
          <w:highlight w:val="none"/>
        </w:rPr>
        <w:t>质量</w:t>
      </w:r>
      <w:r>
        <w:rPr>
          <w:rFonts w:hint="eastAsia" w:ascii="宋体" w:hAnsi="宋体" w:eastAsia="宋体" w:cs="宋体"/>
          <w:spacing w:val="4"/>
          <w:sz w:val="21"/>
          <w:szCs w:val="21"/>
          <w:highlight w:val="none"/>
          <w:lang w:val="en-US" w:eastAsia="zh-CN"/>
        </w:rPr>
        <w:t>问题造成损失，导致社会不良影响的。</w:t>
      </w:r>
      <w:r>
        <w:rPr>
          <w:rFonts w:hint="eastAsia" w:ascii="宋体" w:hAnsi="宋体" w:eastAsia="宋体" w:cs="宋体"/>
          <w:sz w:val="21"/>
          <w:szCs w:val="21"/>
          <w:highlight w:val="none"/>
        </w:rPr>
        <w:t>发包人发出整改通知</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承包人未能在要求</w:t>
      </w:r>
      <w:r>
        <w:rPr>
          <w:rFonts w:hint="eastAsia" w:ascii="宋体" w:hAnsi="宋体" w:eastAsia="宋体" w:cs="宋体"/>
          <w:sz w:val="21"/>
          <w:szCs w:val="21"/>
          <w:highlight w:val="none"/>
        </w:rPr>
        <w:t>的期限内完成整改</w:t>
      </w:r>
      <w:r>
        <w:rPr>
          <w:rFonts w:hint="eastAsia" w:ascii="宋体" w:hAnsi="宋体" w:eastAsia="宋体" w:cs="宋体"/>
          <w:sz w:val="21"/>
          <w:szCs w:val="21"/>
          <w:highlight w:val="none"/>
          <w:lang w:eastAsia="zh-CN"/>
        </w:rPr>
        <w:t>，</w:t>
      </w:r>
      <w:r>
        <w:rPr>
          <w:rFonts w:hint="eastAsia" w:ascii="宋体" w:hAnsi="宋体" w:eastAsia="宋体" w:cs="宋体"/>
          <w:spacing w:val="-1"/>
          <w:sz w:val="21"/>
          <w:szCs w:val="21"/>
          <w:highlight w:val="none"/>
        </w:rPr>
        <w:t>发包人可另行组织合格材料或工程设备进场</w:t>
      </w:r>
      <w:r>
        <w:rPr>
          <w:rFonts w:hint="eastAsia" w:ascii="宋体" w:hAnsi="宋体" w:eastAsia="宋体" w:cs="宋体"/>
          <w:spacing w:val="-1"/>
          <w:sz w:val="21"/>
          <w:szCs w:val="21"/>
          <w:highlight w:val="none"/>
          <w:lang w:val="en-US" w:eastAsia="zh-CN"/>
        </w:rPr>
        <w:t>且可以安排第三方实施该项养护工作至合格</w:t>
      </w:r>
      <w:r>
        <w:rPr>
          <w:rFonts w:hint="eastAsia" w:ascii="宋体" w:hAnsi="宋体" w:eastAsia="宋体" w:cs="宋体"/>
          <w:spacing w:val="-1"/>
          <w:sz w:val="21"/>
          <w:szCs w:val="21"/>
          <w:highlight w:val="none"/>
        </w:rPr>
        <w:t>，相关费用由承包人负责，并</w:t>
      </w:r>
      <w:r>
        <w:rPr>
          <w:rFonts w:hint="eastAsia" w:ascii="宋体" w:hAnsi="宋体" w:eastAsia="宋体" w:cs="宋体"/>
          <w:spacing w:val="-1"/>
          <w:sz w:val="21"/>
          <w:szCs w:val="21"/>
          <w:highlight w:val="none"/>
          <w:lang w:val="en-US" w:eastAsia="zh-CN"/>
        </w:rPr>
        <w:t>按每处每次</w:t>
      </w:r>
      <w:r>
        <w:rPr>
          <w:rFonts w:hint="eastAsia" w:ascii="宋体" w:hAnsi="宋体" w:eastAsia="宋体" w:cs="宋体"/>
          <w:sz w:val="21"/>
          <w:szCs w:val="21"/>
          <w:highlight w:val="none"/>
        </w:rPr>
        <w:t>处以违约金 1000 元/次，</w:t>
      </w:r>
      <w:r>
        <w:rPr>
          <w:rFonts w:hint="eastAsia" w:ascii="宋体" w:hAnsi="宋体" w:eastAsia="宋体" w:cs="宋体"/>
          <w:sz w:val="21"/>
          <w:szCs w:val="21"/>
          <w:highlight w:val="none"/>
          <w:lang w:val="en-US" w:eastAsia="zh-CN"/>
        </w:rPr>
        <w:t>影响严重的</w:t>
      </w:r>
      <w:r>
        <w:rPr>
          <w:rFonts w:hint="eastAsia" w:ascii="宋体" w:hAnsi="宋体" w:eastAsia="宋体" w:cs="宋体"/>
          <w:sz w:val="21"/>
          <w:szCs w:val="21"/>
          <w:highlight w:val="none"/>
        </w:rPr>
        <w:t>按</w:t>
      </w:r>
      <w:r>
        <w:rPr>
          <w:rFonts w:hint="eastAsia" w:ascii="宋体" w:hAnsi="宋体" w:eastAsia="宋体" w:cs="宋体"/>
          <w:spacing w:val="-1"/>
          <w:sz w:val="21"/>
          <w:szCs w:val="21"/>
          <w:highlight w:val="none"/>
          <w:lang w:val="en-US" w:eastAsia="zh-CN"/>
        </w:rPr>
        <w:t>该项养护工作</w:t>
      </w:r>
      <w:r>
        <w:rPr>
          <w:rFonts w:hint="eastAsia" w:ascii="宋体" w:hAnsi="宋体" w:eastAsia="宋体" w:cs="宋体"/>
          <w:sz w:val="21"/>
          <w:szCs w:val="21"/>
          <w:highlight w:val="none"/>
          <w:lang w:val="en-US" w:eastAsia="zh-CN"/>
        </w:rPr>
        <w:t>清单子目</w:t>
      </w:r>
      <w:r>
        <w:rPr>
          <w:rFonts w:hint="eastAsia" w:ascii="宋体" w:hAnsi="宋体" w:eastAsia="宋体" w:cs="宋体"/>
          <w:sz w:val="21"/>
          <w:szCs w:val="21"/>
          <w:highlight w:val="none"/>
        </w:rPr>
        <w:t>费用的30%</w:t>
      </w:r>
      <w:r>
        <w:rPr>
          <w:rFonts w:hint="eastAsia" w:ascii="宋体" w:hAnsi="宋体" w:eastAsia="宋体" w:cs="宋体"/>
          <w:sz w:val="21"/>
          <w:szCs w:val="21"/>
          <w:highlight w:val="none"/>
          <w:lang w:val="en-US" w:eastAsia="zh-CN"/>
        </w:rPr>
        <w:t>金额</w:t>
      </w:r>
      <w:r>
        <w:rPr>
          <w:rFonts w:hint="eastAsia" w:ascii="宋体" w:hAnsi="宋体" w:eastAsia="宋体" w:cs="宋体"/>
          <w:sz w:val="21"/>
          <w:szCs w:val="21"/>
          <w:highlight w:val="none"/>
        </w:rPr>
        <w:t>处以违约金。</w:t>
      </w:r>
    </w:p>
    <w:p w14:paraId="432B36A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承包人发生</w:t>
      </w:r>
      <w:r>
        <w:rPr>
          <w:rFonts w:hint="eastAsia" w:ascii="宋体" w:hAnsi="宋体" w:eastAsia="宋体" w:cs="宋体"/>
          <w:sz w:val="21"/>
          <w:szCs w:val="21"/>
          <w:highlight w:val="none"/>
          <w:lang w:val="en-US" w:eastAsia="zh-CN"/>
        </w:rPr>
        <w:t>上述</w:t>
      </w:r>
      <w:r>
        <w:rPr>
          <w:rFonts w:hint="eastAsia" w:ascii="宋体" w:hAnsi="宋体" w:eastAsia="宋体" w:cs="宋体"/>
          <w:spacing w:val="-2"/>
          <w:sz w:val="21"/>
          <w:szCs w:val="21"/>
          <w:highlight w:val="none"/>
          <w:lang w:val="en-US" w:eastAsia="zh-CN"/>
        </w:rPr>
        <w:t>4、12、14、16</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情形</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eastAsia="zh-CN"/>
        </w:rPr>
        <w:t>，</w:t>
      </w:r>
      <w:r>
        <w:rPr>
          <w:rFonts w:hint="eastAsia" w:ascii="宋体" w:hAnsi="宋体" w:eastAsia="宋体" w:cs="宋体"/>
          <w:spacing w:val="4"/>
          <w:sz w:val="21"/>
          <w:szCs w:val="21"/>
          <w:highlight w:val="none"/>
          <w:lang w:eastAsia="zh-CN"/>
        </w:rPr>
        <w:t>承包人未能按合同进度计划及时完成合同约定的工作，已造成或预</w:t>
      </w:r>
      <w:r>
        <w:rPr>
          <w:rFonts w:hint="eastAsia" w:ascii="宋体" w:hAnsi="宋体" w:eastAsia="宋体" w:cs="宋体"/>
          <w:spacing w:val="3"/>
          <w:sz w:val="21"/>
          <w:szCs w:val="21"/>
          <w:highlight w:val="none"/>
          <w:lang w:eastAsia="zh-CN"/>
        </w:rPr>
        <w:t>期造</w:t>
      </w:r>
      <w:r>
        <w:rPr>
          <w:rFonts w:hint="eastAsia" w:ascii="宋体" w:hAnsi="宋体" w:eastAsia="宋体" w:cs="宋体"/>
          <w:spacing w:val="-2"/>
          <w:sz w:val="21"/>
          <w:szCs w:val="21"/>
          <w:highlight w:val="none"/>
          <w:lang w:eastAsia="zh-CN"/>
        </w:rPr>
        <w:t>成工期延误</w:t>
      </w:r>
      <w:r>
        <w:rPr>
          <w:rFonts w:hint="eastAsia" w:ascii="宋体" w:hAnsi="宋体" w:eastAsia="宋体" w:cs="宋体"/>
          <w:spacing w:val="-2"/>
          <w:sz w:val="21"/>
          <w:szCs w:val="21"/>
          <w:highlight w:val="none"/>
          <w:lang w:val="en-US" w:eastAsia="zh-CN"/>
        </w:rPr>
        <w:t>；</w:t>
      </w:r>
      <w:r>
        <w:rPr>
          <w:rFonts w:hint="eastAsia" w:ascii="宋体" w:hAnsi="宋体" w:eastAsia="宋体" w:cs="宋体"/>
          <w:sz w:val="21"/>
          <w:szCs w:val="21"/>
          <w:highlight w:val="none"/>
          <w:lang w:eastAsia="zh-CN"/>
        </w:rPr>
        <w:t>承包人未能在约定的工期内完成发包人指定实施的养护工程，或者未能</w:t>
      </w:r>
      <w:r>
        <w:rPr>
          <w:rFonts w:hint="eastAsia" w:ascii="宋体" w:hAnsi="宋体" w:eastAsia="宋体" w:cs="宋体"/>
          <w:spacing w:val="-1"/>
          <w:sz w:val="21"/>
          <w:szCs w:val="21"/>
          <w:highlight w:val="none"/>
          <w:lang w:eastAsia="zh-CN"/>
        </w:rPr>
        <w:t>在向发包人承诺的工期内完成自主实施的养护工程；</w:t>
      </w:r>
      <w:r>
        <w:rPr>
          <w:rFonts w:hint="eastAsia" w:ascii="宋体" w:hAnsi="宋体" w:eastAsia="宋体" w:cs="宋体"/>
          <w:spacing w:val="-1"/>
          <w:sz w:val="21"/>
          <w:szCs w:val="21"/>
          <w:highlight w:val="none"/>
        </w:rPr>
        <w:t>未经发包人批准，承包人自行暂停养护作业</w:t>
      </w:r>
      <w:r>
        <w:rPr>
          <w:rFonts w:hint="eastAsia" w:ascii="宋体" w:hAnsi="宋体" w:eastAsia="宋体" w:cs="宋体"/>
          <w:spacing w:val="-1"/>
          <w:sz w:val="21"/>
          <w:szCs w:val="21"/>
          <w:highlight w:val="none"/>
          <w:lang w:val="en-US" w:eastAsia="zh-CN"/>
        </w:rPr>
        <w:t>的；</w:t>
      </w:r>
      <w:r>
        <w:rPr>
          <w:rFonts w:hint="eastAsia" w:ascii="宋体" w:hAnsi="宋体" w:eastAsia="宋体" w:cs="宋体"/>
          <w:spacing w:val="4"/>
          <w:sz w:val="21"/>
          <w:szCs w:val="21"/>
          <w:highlight w:val="none"/>
        </w:rPr>
        <w:t>未</w:t>
      </w:r>
      <w:r>
        <w:rPr>
          <w:rFonts w:hint="eastAsia" w:ascii="宋体" w:hAnsi="宋体" w:eastAsia="宋体" w:cs="宋体"/>
          <w:spacing w:val="4"/>
          <w:sz w:val="21"/>
          <w:szCs w:val="21"/>
          <w:highlight w:val="none"/>
          <w:lang w:val="en-US" w:eastAsia="zh-CN"/>
        </w:rPr>
        <w:t>能</w:t>
      </w:r>
      <w:r>
        <w:rPr>
          <w:rFonts w:hint="eastAsia" w:ascii="宋体" w:hAnsi="宋体" w:eastAsia="宋体" w:cs="宋体"/>
          <w:spacing w:val="4"/>
          <w:sz w:val="21"/>
          <w:szCs w:val="21"/>
          <w:highlight w:val="none"/>
        </w:rPr>
        <w:t>按下达的月度</w:t>
      </w:r>
      <w:r>
        <w:rPr>
          <w:rFonts w:hint="eastAsia" w:ascii="宋体" w:hAnsi="宋体" w:eastAsia="宋体" w:cs="宋体"/>
          <w:spacing w:val="4"/>
          <w:sz w:val="21"/>
          <w:szCs w:val="21"/>
          <w:highlight w:val="none"/>
          <w:lang w:val="en-US" w:eastAsia="zh-CN"/>
        </w:rPr>
        <w:t>日常维修</w:t>
      </w:r>
      <w:r>
        <w:rPr>
          <w:rFonts w:hint="eastAsia" w:ascii="宋体" w:hAnsi="宋体" w:eastAsia="宋体" w:cs="宋体"/>
          <w:spacing w:val="4"/>
          <w:sz w:val="21"/>
          <w:szCs w:val="21"/>
          <w:highlight w:val="none"/>
        </w:rPr>
        <w:t>作业计划或工作</w:t>
      </w:r>
      <w:r>
        <w:rPr>
          <w:rFonts w:hint="eastAsia" w:ascii="宋体" w:hAnsi="宋体" w:eastAsia="宋体" w:cs="宋体"/>
          <w:spacing w:val="4"/>
          <w:sz w:val="21"/>
          <w:szCs w:val="21"/>
          <w:highlight w:val="none"/>
          <w:lang w:val="en-US" w:eastAsia="zh-CN"/>
        </w:rPr>
        <w:t>任务</w:t>
      </w:r>
      <w:r>
        <w:rPr>
          <w:rFonts w:hint="eastAsia" w:ascii="宋体" w:hAnsi="宋体" w:eastAsia="宋体" w:cs="宋体"/>
          <w:spacing w:val="4"/>
          <w:sz w:val="21"/>
          <w:szCs w:val="21"/>
          <w:highlight w:val="none"/>
        </w:rPr>
        <w:t>指令完成的</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发包人发出整改通知</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承包人未能在要求</w:t>
      </w:r>
      <w:r>
        <w:rPr>
          <w:rFonts w:hint="eastAsia" w:ascii="宋体" w:hAnsi="宋体" w:eastAsia="宋体" w:cs="宋体"/>
          <w:sz w:val="21"/>
          <w:szCs w:val="21"/>
          <w:highlight w:val="none"/>
        </w:rPr>
        <w:t>的期限内完成整改</w:t>
      </w:r>
      <w:r>
        <w:rPr>
          <w:rFonts w:hint="eastAsia" w:ascii="宋体" w:hAnsi="宋体" w:eastAsia="宋体" w:cs="宋体"/>
          <w:sz w:val="21"/>
          <w:szCs w:val="21"/>
          <w:highlight w:val="none"/>
          <w:lang w:eastAsia="zh-CN"/>
        </w:rPr>
        <w:t>，</w:t>
      </w:r>
      <w:r>
        <w:rPr>
          <w:rFonts w:hint="eastAsia" w:ascii="宋体" w:hAnsi="宋体" w:eastAsia="宋体" w:cs="宋体"/>
          <w:spacing w:val="-1"/>
          <w:sz w:val="21"/>
          <w:szCs w:val="21"/>
          <w:highlight w:val="none"/>
        </w:rPr>
        <w:t>发包人可另行</w:t>
      </w:r>
      <w:r>
        <w:rPr>
          <w:rFonts w:hint="eastAsia" w:ascii="宋体" w:hAnsi="宋体" w:eastAsia="宋体" w:cs="宋体"/>
          <w:spacing w:val="-1"/>
          <w:sz w:val="21"/>
          <w:szCs w:val="21"/>
          <w:highlight w:val="none"/>
          <w:lang w:val="en-US" w:eastAsia="zh-CN"/>
        </w:rPr>
        <w:t>组织第三方实施至满足进度计划要求</w:t>
      </w:r>
      <w:r>
        <w:rPr>
          <w:rFonts w:hint="eastAsia" w:ascii="宋体" w:hAnsi="宋体" w:eastAsia="宋体" w:cs="宋体"/>
          <w:spacing w:val="-1"/>
          <w:sz w:val="21"/>
          <w:szCs w:val="21"/>
          <w:highlight w:val="none"/>
        </w:rPr>
        <w:t>，相关费用由承包人负责，并</w:t>
      </w:r>
      <w:r>
        <w:rPr>
          <w:rFonts w:hint="eastAsia" w:ascii="宋体" w:hAnsi="宋体" w:eastAsia="宋体" w:cs="宋体"/>
          <w:spacing w:val="-1"/>
          <w:sz w:val="21"/>
          <w:szCs w:val="21"/>
          <w:highlight w:val="none"/>
          <w:lang w:val="en-US" w:eastAsia="zh-CN"/>
        </w:rPr>
        <w:t>按日常维修</w:t>
      </w:r>
      <w:r>
        <w:rPr>
          <w:rFonts w:hint="eastAsia" w:ascii="宋体" w:hAnsi="宋体" w:eastAsia="宋体" w:cs="宋体"/>
          <w:spacing w:val="-1"/>
          <w:sz w:val="21"/>
          <w:szCs w:val="21"/>
          <w:highlight w:val="none"/>
        </w:rPr>
        <w:t>每欠产1%</w:t>
      </w:r>
      <w:r>
        <w:rPr>
          <w:rFonts w:hint="eastAsia" w:ascii="宋体" w:hAnsi="宋体" w:eastAsia="宋体" w:cs="宋体"/>
          <w:spacing w:val="-1"/>
          <w:sz w:val="21"/>
          <w:szCs w:val="21"/>
          <w:highlight w:val="none"/>
          <w:lang w:val="en-US" w:eastAsia="zh-CN"/>
        </w:rPr>
        <w:t>扣</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000元</w:t>
      </w:r>
      <w:r>
        <w:rPr>
          <w:rFonts w:hint="eastAsia" w:ascii="宋体" w:hAnsi="宋体" w:eastAsia="宋体" w:cs="宋体"/>
          <w:sz w:val="21"/>
          <w:szCs w:val="21"/>
          <w:highlight w:val="none"/>
          <w:lang w:val="en-US" w:eastAsia="zh-CN"/>
        </w:rPr>
        <w:t>的方式累计计算及</w:t>
      </w:r>
      <w:r>
        <w:rPr>
          <w:rFonts w:hint="eastAsia" w:ascii="宋体" w:hAnsi="宋体" w:eastAsia="宋体" w:cs="宋体"/>
          <w:sz w:val="21"/>
          <w:szCs w:val="21"/>
          <w:highlight w:val="none"/>
        </w:rPr>
        <w:t>处以违约金</w:t>
      </w:r>
      <w:r>
        <w:rPr>
          <w:rFonts w:hint="eastAsia" w:ascii="宋体" w:hAnsi="宋体" w:eastAsia="宋体" w:cs="宋体"/>
          <w:sz w:val="21"/>
          <w:szCs w:val="21"/>
          <w:highlight w:val="none"/>
          <w:lang w:eastAsia="zh-CN"/>
        </w:rPr>
        <w:t>。</w:t>
      </w:r>
    </w:p>
    <w:p w14:paraId="6D3827DD">
      <w:pPr>
        <w:keepNext w:val="0"/>
        <w:keepLines w:val="0"/>
        <w:pageBreakBefore w:val="0"/>
        <w:widowControl/>
        <w:numPr>
          <w:ilvl w:val="-1"/>
          <w:numId w:val="0"/>
        </w:numPr>
        <w:kinsoku/>
        <w:wordWrap/>
        <w:overflowPunct/>
        <w:topLinePunct w:val="0"/>
        <w:autoSpaceDE/>
        <w:autoSpaceDN/>
        <w:bidi w:val="0"/>
        <w:adjustRightInd/>
        <w:snapToGrid/>
        <w:spacing w:line="360" w:lineRule="auto"/>
        <w:ind w:left="5" w:firstLine="490"/>
        <w:textAlignment w:val="auto"/>
        <w:rPr>
          <w:rFonts w:hint="eastAsia" w:ascii="宋体" w:hAnsi="宋体" w:eastAsia="宋体" w:cs="宋体"/>
          <w:sz w:val="21"/>
          <w:szCs w:val="21"/>
          <w:highlight w:val="none"/>
        </w:rPr>
      </w:pPr>
      <w:r>
        <w:rPr>
          <w:rFonts w:hint="eastAsia" w:ascii="宋体" w:hAnsi="宋体" w:eastAsia="宋体" w:cs="宋体"/>
          <w:spacing w:val="4"/>
          <w:sz w:val="21"/>
          <w:szCs w:val="21"/>
          <w:highlight w:val="none"/>
          <w:lang w:val="en-US" w:eastAsia="zh-CN"/>
        </w:rPr>
        <w:t>5.</w:t>
      </w:r>
      <w:r>
        <w:rPr>
          <w:rFonts w:hint="eastAsia" w:ascii="宋体" w:hAnsi="宋体" w:eastAsia="宋体" w:cs="宋体"/>
          <w:sz w:val="21"/>
          <w:szCs w:val="21"/>
          <w:highlight w:val="none"/>
        </w:rPr>
        <w:t>承包人发生</w:t>
      </w:r>
      <w:r>
        <w:rPr>
          <w:rFonts w:hint="eastAsia" w:ascii="宋体" w:hAnsi="宋体" w:eastAsia="宋体" w:cs="宋体"/>
          <w:sz w:val="21"/>
          <w:szCs w:val="21"/>
          <w:highlight w:val="none"/>
          <w:lang w:val="en-US" w:eastAsia="zh-CN"/>
        </w:rPr>
        <w:t>上述</w:t>
      </w:r>
      <w:r>
        <w:rPr>
          <w:rFonts w:hint="eastAsia" w:ascii="宋体" w:hAnsi="宋体" w:eastAsia="宋体" w:cs="宋体"/>
          <w:spacing w:val="-2"/>
          <w:sz w:val="21"/>
          <w:szCs w:val="21"/>
          <w:highlight w:val="none"/>
          <w:lang w:val="en-US" w:eastAsia="zh-CN"/>
        </w:rPr>
        <w:t>5</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情形</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eastAsia="zh-CN"/>
        </w:rPr>
        <w:t>，</w:t>
      </w:r>
      <w:r>
        <w:rPr>
          <w:rFonts w:hint="eastAsia" w:ascii="宋体" w:hAnsi="宋体" w:eastAsia="宋体" w:cs="宋体"/>
          <w:spacing w:val="4"/>
          <w:sz w:val="21"/>
          <w:szCs w:val="21"/>
          <w:highlight w:val="none"/>
          <w:lang w:eastAsia="zh-CN"/>
        </w:rPr>
        <w:t>承包人在缺陷责任期内，未能对交工验收证书所列的缺陷清单的内</w:t>
      </w:r>
      <w:r>
        <w:rPr>
          <w:rFonts w:hint="eastAsia" w:ascii="宋体" w:hAnsi="宋体" w:eastAsia="宋体" w:cs="宋体"/>
          <w:spacing w:val="3"/>
          <w:sz w:val="21"/>
          <w:szCs w:val="21"/>
          <w:highlight w:val="none"/>
          <w:lang w:eastAsia="zh-CN"/>
        </w:rPr>
        <w:t>容或</w:t>
      </w:r>
      <w:r>
        <w:rPr>
          <w:rFonts w:hint="eastAsia" w:ascii="宋体" w:hAnsi="宋体" w:eastAsia="宋体" w:cs="宋体"/>
          <w:sz w:val="21"/>
          <w:szCs w:val="21"/>
          <w:highlight w:val="none"/>
          <w:lang w:eastAsia="zh-CN"/>
        </w:rPr>
        <w:t>缺陷责任期内发生的缺陷进行修复，而又拒绝按</w:t>
      </w:r>
      <w:r>
        <w:rPr>
          <w:rFonts w:hint="eastAsia" w:ascii="宋体" w:hAnsi="宋体" w:eastAsia="宋体" w:cs="宋体"/>
          <w:spacing w:val="-1"/>
          <w:sz w:val="21"/>
          <w:szCs w:val="21"/>
          <w:highlight w:val="none"/>
          <w:lang w:val="en-US" w:eastAsia="zh-CN"/>
        </w:rPr>
        <w:t>发包</w:t>
      </w:r>
      <w:r>
        <w:rPr>
          <w:rFonts w:hint="eastAsia" w:ascii="宋体" w:hAnsi="宋体" w:eastAsia="宋体" w:cs="宋体"/>
          <w:spacing w:val="-1"/>
          <w:sz w:val="21"/>
          <w:szCs w:val="21"/>
          <w:highlight w:val="none"/>
          <w:lang w:eastAsia="zh-CN"/>
        </w:rPr>
        <w:t>人指示再进行修补</w:t>
      </w:r>
      <w:r>
        <w:rPr>
          <w:rFonts w:hint="eastAsia" w:ascii="宋体" w:hAnsi="宋体" w:eastAsia="宋体" w:cs="宋体"/>
          <w:spacing w:val="-1"/>
          <w:sz w:val="21"/>
          <w:szCs w:val="21"/>
          <w:highlight w:val="none"/>
          <w:lang w:val="en-US" w:eastAsia="zh-CN"/>
        </w:rPr>
        <w:t>；</w:t>
      </w:r>
      <w:r>
        <w:rPr>
          <w:rFonts w:hint="eastAsia" w:ascii="宋体" w:hAnsi="宋体" w:eastAsia="宋体" w:cs="宋体"/>
          <w:spacing w:val="4"/>
          <w:sz w:val="21"/>
          <w:szCs w:val="21"/>
          <w:highlight w:val="none"/>
          <w:lang w:val="en-US" w:eastAsia="zh-CN"/>
        </w:rPr>
        <w:t>因日常维修</w:t>
      </w:r>
      <w:r>
        <w:rPr>
          <w:rFonts w:hint="eastAsia" w:ascii="宋体" w:hAnsi="宋体" w:eastAsia="宋体" w:cs="宋体"/>
          <w:spacing w:val="4"/>
          <w:sz w:val="21"/>
          <w:szCs w:val="21"/>
          <w:highlight w:val="none"/>
        </w:rPr>
        <w:t>质量</w:t>
      </w:r>
      <w:r>
        <w:rPr>
          <w:rFonts w:hint="eastAsia" w:ascii="宋体" w:hAnsi="宋体" w:eastAsia="宋体" w:cs="宋体"/>
          <w:spacing w:val="4"/>
          <w:sz w:val="21"/>
          <w:szCs w:val="21"/>
          <w:highlight w:val="none"/>
          <w:lang w:val="en-US" w:eastAsia="zh-CN"/>
        </w:rPr>
        <w:t>问题造成损失，导致社会不良影响的</w:t>
      </w:r>
      <w:r>
        <w:rPr>
          <w:rFonts w:hint="eastAsia" w:ascii="宋体" w:hAnsi="宋体" w:eastAsia="宋体" w:cs="宋体"/>
          <w:spacing w:val="-1"/>
          <w:sz w:val="21"/>
          <w:szCs w:val="21"/>
          <w:highlight w:val="none"/>
          <w:lang w:eastAsia="zh-CN"/>
        </w:rPr>
        <w:t>。</w:t>
      </w:r>
      <w:r>
        <w:rPr>
          <w:rFonts w:hint="eastAsia" w:ascii="宋体" w:hAnsi="宋体" w:eastAsia="宋体" w:cs="宋体"/>
          <w:spacing w:val="-1"/>
          <w:sz w:val="21"/>
          <w:szCs w:val="21"/>
          <w:highlight w:val="none"/>
        </w:rPr>
        <w:t>发包人可另行</w:t>
      </w:r>
      <w:r>
        <w:rPr>
          <w:rFonts w:hint="eastAsia" w:ascii="宋体" w:hAnsi="宋体" w:eastAsia="宋体" w:cs="宋体"/>
          <w:spacing w:val="-1"/>
          <w:sz w:val="21"/>
          <w:szCs w:val="21"/>
          <w:highlight w:val="none"/>
          <w:lang w:val="en-US" w:eastAsia="zh-CN"/>
        </w:rPr>
        <w:t>组织第三方对</w:t>
      </w:r>
      <w:r>
        <w:rPr>
          <w:rFonts w:hint="eastAsia" w:ascii="宋体" w:hAnsi="宋体" w:eastAsia="宋体" w:cs="宋体"/>
          <w:spacing w:val="4"/>
          <w:sz w:val="21"/>
          <w:szCs w:val="21"/>
          <w:highlight w:val="none"/>
        </w:rPr>
        <w:t>缺陷清单的内</w:t>
      </w:r>
      <w:r>
        <w:rPr>
          <w:rFonts w:hint="eastAsia" w:ascii="宋体" w:hAnsi="宋体" w:eastAsia="宋体" w:cs="宋体"/>
          <w:spacing w:val="3"/>
          <w:sz w:val="21"/>
          <w:szCs w:val="21"/>
          <w:highlight w:val="none"/>
        </w:rPr>
        <w:t>容或</w:t>
      </w:r>
      <w:r>
        <w:rPr>
          <w:rFonts w:hint="eastAsia" w:ascii="宋体" w:hAnsi="宋体" w:eastAsia="宋体" w:cs="宋体"/>
          <w:sz w:val="21"/>
          <w:szCs w:val="21"/>
          <w:highlight w:val="none"/>
        </w:rPr>
        <w:t>缺陷责任期内发生的缺陷进行修复</w:t>
      </w:r>
      <w:r>
        <w:rPr>
          <w:rFonts w:hint="eastAsia" w:ascii="宋体" w:hAnsi="宋体" w:eastAsia="宋体" w:cs="宋体"/>
          <w:sz w:val="21"/>
          <w:szCs w:val="21"/>
          <w:highlight w:val="none"/>
          <w:lang w:val="en-US" w:eastAsia="zh-CN"/>
        </w:rPr>
        <w:t>至合格</w:t>
      </w:r>
      <w:r>
        <w:rPr>
          <w:rFonts w:hint="eastAsia" w:ascii="宋体" w:hAnsi="宋体" w:eastAsia="宋体" w:cs="宋体"/>
          <w:spacing w:val="-1"/>
          <w:sz w:val="21"/>
          <w:szCs w:val="21"/>
          <w:highlight w:val="none"/>
        </w:rPr>
        <w:t>，相关费用由承包人负责，并</w:t>
      </w:r>
      <w:r>
        <w:rPr>
          <w:rFonts w:hint="eastAsia" w:ascii="宋体" w:hAnsi="宋体" w:eastAsia="宋体" w:cs="宋体"/>
          <w:spacing w:val="-1"/>
          <w:sz w:val="21"/>
          <w:szCs w:val="21"/>
          <w:highlight w:val="none"/>
          <w:lang w:val="en-US" w:eastAsia="zh-CN"/>
        </w:rPr>
        <w:t>按</w:t>
      </w:r>
      <w:r>
        <w:rPr>
          <w:rFonts w:hint="eastAsia" w:ascii="宋体" w:hAnsi="宋体" w:eastAsia="宋体" w:cs="宋体"/>
          <w:spacing w:val="-1"/>
          <w:sz w:val="21"/>
          <w:szCs w:val="21"/>
          <w:highlight w:val="none"/>
        </w:rPr>
        <w:t>每</w:t>
      </w:r>
      <w:r>
        <w:rPr>
          <w:rFonts w:hint="eastAsia" w:ascii="宋体" w:hAnsi="宋体" w:eastAsia="宋体" w:cs="宋体"/>
          <w:spacing w:val="-1"/>
          <w:sz w:val="21"/>
          <w:szCs w:val="21"/>
          <w:highlight w:val="none"/>
          <w:lang w:val="en-US" w:eastAsia="zh-CN"/>
        </w:rPr>
        <w:t>项缺陷修复费用的50%金额</w:t>
      </w:r>
      <w:r>
        <w:rPr>
          <w:rFonts w:hint="eastAsia" w:ascii="宋体" w:hAnsi="宋体" w:eastAsia="宋体" w:cs="宋体"/>
          <w:sz w:val="21"/>
          <w:szCs w:val="21"/>
          <w:highlight w:val="none"/>
        </w:rPr>
        <w:t>处以违约金。</w:t>
      </w:r>
    </w:p>
    <w:p w14:paraId="461B4CB7">
      <w:pPr>
        <w:keepNext w:val="0"/>
        <w:keepLines w:val="0"/>
        <w:pageBreakBefore w:val="0"/>
        <w:kinsoku/>
        <w:wordWrap/>
        <w:overflowPunct/>
        <w:topLinePunct w:val="0"/>
        <w:autoSpaceDE/>
        <w:autoSpaceDN/>
        <w:bidi w:val="0"/>
        <w:adjustRightInd/>
        <w:snapToGrid/>
        <w:spacing w:line="360" w:lineRule="auto"/>
        <w:ind w:left="7" w:firstLine="488"/>
        <w:textAlignment w:val="auto"/>
        <w:rPr>
          <w:rFonts w:hint="eastAsia" w:ascii="宋体" w:hAnsi="宋体" w:eastAsia="宋体" w:cs="宋体"/>
          <w:color w:val="auto"/>
          <w:sz w:val="21"/>
          <w:szCs w:val="21"/>
          <w:highlight w:val="none"/>
          <w:lang w:eastAsia="zh-CN"/>
        </w:rPr>
      </w:pP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承包人发生上述8违约情形时，</w:t>
      </w:r>
      <w:r>
        <w:rPr>
          <w:rFonts w:hint="eastAsia" w:ascii="宋体" w:hAnsi="宋体" w:eastAsia="宋体" w:cs="宋体"/>
          <w:sz w:val="21"/>
          <w:szCs w:val="21"/>
          <w:highlight w:val="none"/>
        </w:rPr>
        <w:t>承包人违反合同条款的规定，未按承诺或未按咨询人的要求及时配备称职的主要管理人员、技术骨干、专职安全生产管理人员或关键养护作业设备。合同约定的承包人项目主要管理人员在养护作业场地的驻场要求是工作日正常驻场，每月不少于22天，承包人项目经理和项目总工不能在其他项目上任职，未按约定配备或未征得发包人批准无故缺勤的，按项目经理1000元/天、项目总工800元/天、现场负责人600元/天、专职安全员500元/天、资料员300元/天的标准处以违约金；承包人对项目主要管理人员的更换需发包人批准，未经批准的按项目经理10万元、项目总工8万元的标准处以违约金；承包人应满足合同约定的机械设备数量要求，每少1台处以违约金500元/台.日</w:t>
      </w:r>
      <w:r>
        <w:rPr>
          <w:rFonts w:hint="eastAsia" w:ascii="宋体" w:hAnsi="宋体" w:eastAsia="宋体" w:cs="宋体"/>
          <w:color w:val="auto"/>
          <w:sz w:val="21"/>
          <w:szCs w:val="21"/>
          <w:highlight w:val="none"/>
          <w:lang w:eastAsia="zh-CN"/>
        </w:rPr>
        <w:t>。</w:t>
      </w:r>
    </w:p>
    <w:p w14:paraId="59EF5EEB">
      <w:pPr>
        <w:keepNext w:val="0"/>
        <w:keepLines w:val="0"/>
        <w:pageBreakBefore w:val="0"/>
        <w:widowControl/>
        <w:numPr>
          <w:ilvl w:val="0"/>
          <w:numId w:val="0"/>
        </w:numPr>
        <w:tabs>
          <w:tab w:val="left" w:pos="0"/>
        </w:tabs>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承包人发生</w:t>
      </w:r>
      <w:r>
        <w:rPr>
          <w:rFonts w:hint="eastAsia" w:ascii="宋体" w:hAnsi="宋体" w:eastAsia="宋体" w:cs="宋体"/>
          <w:sz w:val="21"/>
          <w:szCs w:val="21"/>
          <w:highlight w:val="none"/>
          <w:lang w:val="en-US" w:eastAsia="zh-CN"/>
        </w:rPr>
        <w:t>上述9、19、25</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情形</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eastAsia="zh-CN"/>
        </w:rPr>
        <w:t>，</w:t>
      </w:r>
      <w:r>
        <w:rPr>
          <w:rFonts w:hint="eastAsia" w:ascii="宋体" w:hAnsi="宋体" w:eastAsia="宋体" w:cs="宋体"/>
          <w:spacing w:val="4"/>
          <w:sz w:val="21"/>
          <w:szCs w:val="21"/>
          <w:highlight w:val="none"/>
          <w:lang w:eastAsia="zh-CN"/>
        </w:rPr>
        <w:t>经发包人检查，发现承包人有安全问题或有违反安全管理</w:t>
      </w:r>
      <w:r>
        <w:rPr>
          <w:rFonts w:hint="eastAsia" w:ascii="宋体" w:hAnsi="宋体" w:eastAsia="宋体" w:cs="宋体"/>
          <w:spacing w:val="3"/>
          <w:sz w:val="21"/>
          <w:szCs w:val="21"/>
          <w:highlight w:val="none"/>
          <w:lang w:eastAsia="zh-CN"/>
        </w:rPr>
        <w:t>规章</w:t>
      </w:r>
      <w:r>
        <w:rPr>
          <w:rFonts w:hint="eastAsia" w:ascii="宋体" w:hAnsi="宋体" w:eastAsia="宋体" w:cs="宋体"/>
          <w:spacing w:val="-2"/>
          <w:sz w:val="21"/>
          <w:szCs w:val="21"/>
          <w:highlight w:val="none"/>
          <w:lang w:eastAsia="zh-CN"/>
        </w:rPr>
        <w:t>制度的情况；</w:t>
      </w:r>
      <w:r>
        <w:rPr>
          <w:rFonts w:hint="eastAsia" w:ascii="宋体" w:hAnsi="宋体" w:eastAsia="宋体" w:cs="宋体"/>
          <w:spacing w:val="4"/>
          <w:sz w:val="21"/>
          <w:szCs w:val="21"/>
          <w:highlight w:val="none"/>
          <w:lang w:val="en-US" w:eastAsia="zh-CN"/>
        </w:rPr>
        <w:t>因承包人原因，日常维修作业造成安全生产责任事故的；</w:t>
      </w:r>
      <w:r>
        <w:rPr>
          <w:rFonts w:hint="eastAsia" w:ascii="宋体" w:hAnsi="宋体" w:eastAsia="宋体" w:cs="宋体"/>
          <w:b w:val="0"/>
          <w:bCs w:val="0"/>
          <w:color w:val="auto"/>
          <w:sz w:val="21"/>
          <w:szCs w:val="21"/>
          <w:highlight w:val="none"/>
        </w:rPr>
        <w:t>出现较大以上安全责任事故</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highlight w:val="none"/>
          <w:lang w:val="en-US" w:eastAsia="zh-CN"/>
        </w:rPr>
        <w:t>发包人具体处以违约金情形：</w:t>
      </w:r>
      <w:r>
        <w:rPr>
          <w:rFonts w:hint="eastAsia" w:ascii="宋体" w:hAnsi="宋体" w:eastAsia="宋体" w:cs="宋体"/>
          <w:sz w:val="21"/>
          <w:szCs w:val="21"/>
          <w:highlight w:val="none"/>
        </w:rPr>
        <w:t>未开展班前安全教育每次处以违约金</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00 元</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作业人员未规范安全着装的每人次处以违约金200元</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作业人员违章操作的每次处以违约金500元</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临时、短期、长期</w:t>
      </w:r>
      <w:r>
        <w:rPr>
          <w:rFonts w:hint="eastAsia" w:ascii="宋体" w:hAnsi="宋体" w:eastAsia="宋体" w:cs="宋体"/>
          <w:sz w:val="21"/>
          <w:szCs w:val="21"/>
          <w:highlight w:val="none"/>
          <w:lang w:val="en-US" w:eastAsia="zh-CN"/>
        </w:rPr>
        <w:t>的占路作业应</w:t>
      </w:r>
      <w:r>
        <w:rPr>
          <w:rFonts w:hint="eastAsia" w:ascii="宋体" w:hAnsi="宋体" w:eastAsia="宋体" w:cs="宋体"/>
          <w:sz w:val="21"/>
          <w:szCs w:val="21"/>
          <w:highlight w:val="none"/>
        </w:rPr>
        <w:t>规范设置养护安全作业区</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不规范的</w:t>
      </w:r>
      <w:r>
        <w:rPr>
          <w:rFonts w:hint="eastAsia" w:ascii="宋体" w:hAnsi="宋体" w:eastAsia="宋体" w:cs="宋体"/>
          <w:sz w:val="21"/>
          <w:szCs w:val="21"/>
          <w:highlight w:val="none"/>
        </w:rPr>
        <w:t>每次处以违约金</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00元</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未设置</w:t>
      </w:r>
      <w:r>
        <w:rPr>
          <w:rFonts w:hint="eastAsia" w:ascii="宋体" w:hAnsi="宋体" w:eastAsia="宋体" w:cs="宋体"/>
          <w:sz w:val="21"/>
          <w:szCs w:val="21"/>
          <w:highlight w:val="none"/>
        </w:rPr>
        <w:t>的每次处以违约金2000元</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临时、短期、长期</w:t>
      </w:r>
      <w:r>
        <w:rPr>
          <w:rFonts w:hint="eastAsia" w:ascii="宋体" w:hAnsi="宋体" w:eastAsia="宋体" w:cs="宋体"/>
          <w:sz w:val="21"/>
          <w:szCs w:val="21"/>
          <w:highlight w:val="none"/>
          <w:lang w:val="en-US" w:eastAsia="zh-CN"/>
        </w:rPr>
        <w:t>的占路作业</w:t>
      </w:r>
      <w:r>
        <w:rPr>
          <w:rFonts w:hint="eastAsia" w:ascii="宋体" w:hAnsi="宋体" w:eastAsia="宋体" w:cs="宋体"/>
          <w:sz w:val="21"/>
          <w:szCs w:val="21"/>
          <w:highlight w:val="none"/>
        </w:rPr>
        <w:t>未设置</w:t>
      </w:r>
      <w:r>
        <w:rPr>
          <w:rFonts w:hint="eastAsia" w:ascii="宋体" w:hAnsi="宋体" w:eastAsia="宋体" w:cs="宋体"/>
          <w:sz w:val="21"/>
          <w:szCs w:val="21"/>
          <w:highlight w:val="none"/>
          <w:lang w:val="en-US" w:eastAsia="zh-CN"/>
        </w:rPr>
        <w:t>现场</w:t>
      </w:r>
      <w:r>
        <w:rPr>
          <w:rFonts w:hint="eastAsia" w:ascii="宋体" w:hAnsi="宋体" w:eastAsia="宋体" w:cs="宋体"/>
          <w:sz w:val="21"/>
          <w:szCs w:val="21"/>
          <w:highlight w:val="none"/>
        </w:rPr>
        <w:t>专职安全员，每处每次处以违约金500元;</w:t>
      </w:r>
      <w:r>
        <w:rPr>
          <w:rFonts w:hint="eastAsia" w:ascii="宋体" w:hAnsi="宋体" w:eastAsia="宋体" w:cs="宋体"/>
          <w:sz w:val="21"/>
          <w:szCs w:val="21"/>
          <w:highlight w:val="none"/>
          <w:lang w:val="en-US" w:eastAsia="zh-CN"/>
        </w:rPr>
        <w:t>高空等涉险作业</w:t>
      </w:r>
      <w:r>
        <w:rPr>
          <w:rFonts w:hint="eastAsia" w:ascii="宋体" w:hAnsi="宋体" w:eastAsia="宋体" w:cs="宋体"/>
          <w:sz w:val="21"/>
          <w:szCs w:val="21"/>
          <w:highlight w:val="none"/>
        </w:rPr>
        <w:t>需设安全防护设施的未按规定设置的，停工整改并每次处以违约金3000元；发生安全事故不按规定报告的，每次处以违约金2000元;</w:t>
      </w:r>
      <w:r>
        <w:rPr>
          <w:rFonts w:hint="eastAsia" w:ascii="宋体" w:hAnsi="宋体" w:eastAsia="宋体" w:cs="宋体"/>
          <w:sz w:val="21"/>
          <w:szCs w:val="21"/>
          <w:highlight w:val="none"/>
          <w:lang w:val="en-US" w:eastAsia="zh-CN"/>
        </w:rPr>
        <w:t>因承包人原因，</w:t>
      </w:r>
      <w:r>
        <w:rPr>
          <w:rFonts w:hint="eastAsia" w:ascii="宋体" w:hAnsi="宋体" w:eastAsia="宋体" w:cs="宋体"/>
          <w:sz w:val="21"/>
          <w:szCs w:val="21"/>
          <w:highlight w:val="none"/>
        </w:rPr>
        <w:t>出现一般安全生责任事故处以违约金10000元，出现较大安全生产责任事故处以违约金20000元，出现重大安全生产责任事故处以违约金30000元，出现特别重大安全生产责任事故处以违约金50000元</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受到</w:t>
      </w:r>
      <w:r>
        <w:rPr>
          <w:rFonts w:hint="eastAsia" w:ascii="宋体" w:hAnsi="宋体" w:eastAsia="宋体" w:cs="宋体"/>
          <w:sz w:val="21"/>
          <w:szCs w:val="21"/>
          <w:highlight w:val="none"/>
        </w:rPr>
        <w:t>安</w:t>
      </w:r>
      <w:r>
        <w:rPr>
          <w:rFonts w:hint="eastAsia" w:ascii="宋体" w:hAnsi="宋体" w:eastAsia="宋体" w:cs="宋体"/>
          <w:sz w:val="21"/>
          <w:szCs w:val="21"/>
          <w:highlight w:val="none"/>
          <w:lang w:val="en-US" w:eastAsia="zh-CN"/>
        </w:rPr>
        <w:t>全</w:t>
      </w:r>
      <w:r>
        <w:rPr>
          <w:rFonts w:hint="eastAsia" w:ascii="宋体" w:hAnsi="宋体" w:eastAsia="宋体" w:cs="宋体"/>
          <w:sz w:val="21"/>
          <w:szCs w:val="21"/>
          <w:highlight w:val="none"/>
        </w:rPr>
        <w:t>监</w:t>
      </w:r>
      <w:r>
        <w:rPr>
          <w:rFonts w:hint="eastAsia" w:ascii="宋体" w:hAnsi="宋体" w:eastAsia="宋体" w:cs="宋体"/>
          <w:sz w:val="21"/>
          <w:szCs w:val="21"/>
          <w:highlight w:val="none"/>
          <w:lang w:val="en-US" w:eastAsia="zh-CN"/>
        </w:rPr>
        <w:t>督</w:t>
      </w:r>
      <w:r>
        <w:rPr>
          <w:rFonts w:hint="eastAsia" w:ascii="宋体" w:hAnsi="宋体" w:eastAsia="宋体" w:cs="宋体"/>
          <w:sz w:val="21"/>
          <w:szCs w:val="21"/>
          <w:highlight w:val="none"/>
        </w:rPr>
        <w:t>部门依法</w:t>
      </w:r>
      <w:r>
        <w:rPr>
          <w:rFonts w:hint="eastAsia" w:ascii="宋体" w:hAnsi="宋体" w:eastAsia="宋体" w:cs="宋体"/>
          <w:sz w:val="21"/>
          <w:szCs w:val="21"/>
          <w:highlight w:val="none"/>
          <w:lang w:val="en-US" w:eastAsia="zh-CN"/>
        </w:rPr>
        <w:t>处罚</w:t>
      </w:r>
      <w:r>
        <w:rPr>
          <w:rFonts w:hint="eastAsia" w:ascii="宋体" w:hAnsi="宋体" w:eastAsia="宋体" w:cs="宋体"/>
          <w:sz w:val="21"/>
          <w:szCs w:val="21"/>
          <w:highlight w:val="none"/>
        </w:rPr>
        <w:t>处理</w:t>
      </w:r>
      <w:r>
        <w:rPr>
          <w:rFonts w:hint="eastAsia" w:ascii="宋体" w:hAnsi="宋体" w:eastAsia="宋体" w:cs="宋体"/>
          <w:sz w:val="21"/>
          <w:szCs w:val="21"/>
          <w:highlight w:val="none"/>
          <w:lang w:val="en-US" w:eastAsia="zh-CN"/>
        </w:rPr>
        <w:t>的</w:t>
      </w:r>
      <w:r>
        <w:rPr>
          <w:rFonts w:hint="eastAsia" w:ascii="宋体" w:hAnsi="宋体" w:eastAsia="宋体" w:cs="宋体"/>
          <w:sz w:val="21"/>
          <w:szCs w:val="21"/>
          <w:highlight w:val="none"/>
        </w:rPr>
        <w:t>，由承包人承担。</w:t>
      </w:r>
    </w:p>
    <w:p w14:paraId="5CEE5E34">
      <w:pPr>
        <w:keepNext w:val="0"/>
        <w:keepLines w:val="0"/>
        <w:pageBreakBefore w:val="0"/>
        <w:widowControl/>
        <w:numPr>
          <w:ilvl w:val="0"/>
          <w:numId w:val="0"/>
        </w:numPr>
        <w:tabs>
          <w:tab w:val="left" w:pos="0"/>
        </w:tabs>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承包人发生</w:t>
      </w:r>
      <w:r>
        <w:rPr>
          <w:rFonts w:hint="eastAsia" w:ascii="宋体" w:hAnsi="宋体" w:eastAsia="宋体" w:cs="宋体"/>
          <w:sz w:val="21"/>
          <w:szCs w:val="21"/>
          <w:highlight w:val="none"/>
          <w:lang w:val="en-US" w:eastAsia="zh-CN"/>
        </w:rPr>
        <w:t>上述</w:t>
      </w:r>
      <w:r>
        <w:rPr>
          <w:rFonts w:hint="eastAsia" w:ascii="宋体" w:hAnsi="宋体" w:eastAsia="宋体" w:cs="宋体"/>
          <w:spacing w:val="-2"/>
          <w:sz w:val="21"/>
          <w:szCs w:val="21"/>
          <w:highlight w:val="none"/>
          <w:lang w:val="en-US" w:eastAsia="zh-CN"/>
        </w:rPr>
        <w:t>10</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情形</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eastAsia="zh-CN"/>
        </w:rPr>
        <w:t>，</w:t>
      </w:r>
      <w:r>
        <w:rPr>
          <w:rFonts w:hint="eastAsia" w:ascii="宋体" w:hAnsi="宋体" w:eastAsia="宋体" w:cs="宋体"/>
          <w:color w:val="auto"/>
          <w:kern w:val="0"/>
          <w:sz w:val="21"/>
          <w:szCs w:val="21"/>
          <w:highlight w:val="none"/>
        </w:rPr>
        <w:t>拖欠农民工工资，</w:t>
      </w:r>
      <w:r>
        <w:rPr>
          <w:rFonts w:hint="eastAsia" w:ascii="宋体" w:hAnsi="宋体" w:eastAsia="宋体" w:cs="宋体"/>
          <w:color w:val="auto"/>
          <w:sz w:val="21"/>
          <w:szCs w:val="21"/>
          <w:highlight w:val="none"/>
        </w:rPr>
        <w:t>按被拖欠工资</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双倍数额在合同款中扣除</w:t>
      </w:r>
      <w:r>
        <w:rPr>
          <w:rFonts w:hint="eastAsia" w:ascii="宋体" w:hAnsi="宋体" w:eastAsia="宋体" w:cs="宋体"/>
          <w:b w:val="0"/>
          <w:bCs w:val="0"/>
          <w:color w:val="auto"/>
          <w:sz w:val="21"/>
          <w:szCs w:val="21"/>
          <w:highlight w:val="none"/>
          <w:lang w:val="en-US" w:eastAsia="zh-CN"/>
        </w:rPr>
        <w:t>处以违约金。</w:t>
      </w:r>
    </w:p>
    <w:p w14:paraId="050E4223">
      <w:pPr>
        <w:keepNext w:val="0"/>
        <w:keepLines w:val="0"/>
        <w:pageBreakBefore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spacing w:val="4"/>
          <w:sz w:val="21"/>
          <w:szCs w:val="21"/>
          <w:highlight w:val="none"/>
          <w:lang w:val="en-US" w:eastAsia="zh-CN"/>
        </w:rPr>
        <w:t>9.</w:t>
      </w:r>
      <w:r>
        <w:rPr>
          <w:rFonts w:hint="eastAsia" w:ascii="宋体" w:hAnsi="宋体" w:eastAsia="宋体" w:cs="宋体"/>
          <w:sz w:val="21"/>
          <w:szCs w:val="21"/>
          <w:highlight w:val="none"/>
        </w:rPr>
        <w:t>承包人发生</w:t>
      </w:r>
      <w:r>
        <w:rPr>
          <w:rFonts w:hint="eastAsia" w:ascii="宋体" w:hAnsi="宋体" w:eastAsia="宋体" w:cs="宋体"/>
          <w:sz w:val="21"/>
          <w:szCs w:val="21"/>
          <w:highlight w:val="none"/>
          <w:lang w:val="en-US" w:eastAsia="zh-CN"/>
        </w:rPr>
        <w:t>上述</w:t>
      </w:r>
      <w:r>
        <w:rPr>
          <w:rFonts w:hint="eastAsia" w:ascii="宋体" w:hAnsi="宋体" w:eastAsia="宋体" w:cs="宋体"/>
          <w:spacing w:val="-2"/>
          <w:sz w:val="21"/>
          <w:szCs w:val="21"/>
          <w:highlight w:val="none"/>
          <w:lang w:val="en-US" w:eastAsia="zh-CN"/>
        </w:rPr>
        <w:t>11、13、21、27</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情形</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eastAsia="zh-CN"/>
        </w:rPr>
        <w:t>，</w:t>
      </w:r>
      <w:r>
        <w:rPr>
          <w:rFonts w:hint="eastAsia" w:ascii="宋体" w:hAnsi="宋体" w:eastAsia="宋体" w:cs="宋体"/>
          <w:spacing w:val="4"/>
          <w:sz w:val="21"/>
          <w:szCs w:val="21"/>
          <w:highlight w:val="none"/>
          <w:lang w:eastAsia="zh-CN"/>
        </w:rPr>
        <w:t>承包人未达到约定的绩效服务水平</w:t>
      </w:r>
      <w:r>
        <w:rPr>
          <w:rFonts w:hint="eastAsia" w:ascii="宋体" w:hAnsi="宋体" w:eastAsia="宋体" w:cs="宋体"/>
          <w:spacing w:val="3"/>
          <w:sz w:val="21"/>
          <w:szCs w:val="21"/>
          <w:highlight w:val="none"/>
          <w:lang w:eastAsia="zh-CN"/>
        </w:rPr>
        <w:t>，承包人所收到的</w:t>
      </w:r>
      <w:r>
        <w:rPr>
          <w:rFonts w:hint="eastAsia" w:ascii="宋体" w:hAnsi="宋体" w:eastAsia="宋体" w:cs="宋体"/>
          <w:spacing w:val="-116"/>
          <w:sz w:val="21"/>
          <w:szCs w:val="21"/>
          <w:highlight w:val="none"/>
          <w:lang w:eastAsia="zh-CN"/>
        </w:rPr>
        <w:t xml:space="preserve"> </w:t>
      </w:r>
      <w:r>
        <w:rPr>
          <w:rFonts w:hint="eastAsia" w:ascii="宋体" w:hAnsi="宋体" w:eastAsia="宋体" w:cs="宋体"/>
          <w:spacing w:val="3"/>
          <w:sz w:val="21"/>
          <w:szCs w:val="21"/>
          <w:highlight w:val="none"/>
          <w:u w:val="none"/>
          <w:lang w:val="en-US" w:eastAsia="zh-CN"/>
        </w:rPr>
        <w:t>月度</w:t>
      </w:r>
      <w:r>
        <w:rPr>
          <w:rFonts w:hint="eastAsia" w:ascii="宋体" w:hAnsi="宋体" w:eastAsia="宋体" w:cs="宋体"/>
          <w:spacing w:val="1"/>
          <w:sz w:val="21"/>
          <w:szCs w:val="21"/>
          <w:highlight w:val="none"/>
          <w:lang w:eastAsia="zh-CN"/>
        </w:rPr>
        <w:t>付款减少，该情形视为违约，付款的减少</w:t>
      </w:r>
      <w:r>
        <w:rPr>
          <w:rFonts w:hint="eastAsia" w:ascii="宋体" w:hAnsi="宋体" w:eastAsia="宋体" w:cs="宋体"/>
          <w:sz w:val="21"/>
          <w:szCs w:val="21"/>
          <w:highlight w:val="none"/>
          <w:lang w:eastAsia="zh-CN"/>
        </w:rPr>
        <w:t>不解除承包人完成约定</w:t>
      </w:r>
      <w:r>
        <w:rPr>
          <w:rFonts w:hint="eastAsia" w:ascii="宋体" w:hAnsi="宋体" w:eastAsia="宋体" w:cs="宋体"/>
          <w:spacing w:val="-1"/>
          <w:sz w:val="21"/>
          <w:szCs w:val="21"/>
          <w:highlight w:val="none"/>
          <w:lang w:eastAsia="zh-CN"/>
        </w:rPr>
        <w:t>的绩效服务水平的义务或承包人根据本合同应承担的所有责任；</w:t>
      </w:r>
      <w:r>
        <w:rPr>
          <w:rFonts w:hint="eastAsia" w:ascii="宋体" w:hAnsi="宋体" w:eastAsia="宋体" w:cs="宋体"/>
          <w:sz w:val="21"/>
          <w:szCs w:val="21"/>
          <w:highlight w:val="none"/>
          <w:lang w:eastAsia="zh-CN"/>
        </w:rPr>
        <w:t>承包人未能按发包人要求及时处置、实施、完成应急和不可预见的专项</w:t>
      </w:r>
      <w:r>
        <w:rPr>
          <w:rFonts w:hint="eastAsia" w:ascii="宋体" w:hAnsi="宋体" w:eastAsia="宋体" w:cs="宋体"/>
          <w:spacing w:val="-11"/>
          <w:sz w:val="21"/>
          <w:szCs w:val="21"/>
          <w:highlight w:val="none"/>
          <w:lang w:eastAsia="zh-CN"/>
        </w:rPr>
        <w:t>养护工程（工作）</w:t>
      </w:r>
      <w:r>
        <w:rPr>
          <w:rFonts w:hint="eastAsia" w:ascii="宋体" w:hAnsi="宋体" w:eastAsia="宋体" w:cs="宋体"/>
          <w:spacing w:val="-11"/>
          <w:sz w:val="21"/>
          <w:szCs w:val="21"/>
          <w:highlight w:val="none"/>
          <w:lang w:val="en-US" w:eastAsia="zh-CN"/>
        </w:rPr>
        <w:t>；</w:t>
      </w:r>
      <w:r>
        <w:rPr>
          <w:rFonts w:hint="eastAsia" w:ascii="宋体" w:hAnsi="宋体" w:eastAsia="宋体" w:cs="宋体"/>
          <w:spacing w:val="4"/>
          <w:sz w:val="21"/>
          <w:szCs w:val="21"/>
          <w:highlight w:val="none"/>
          <w:lang w:val="en-US" w:eastAsia="zh-CN"/>
        </w:rPr>
        <w:t>不能按合同约定开展巡查巡检、日常保养（含绿化）、</w:t>
      </w:r>
      <w:r>
        <w:rPr>
          <w:rFonts w:hint="eastAsia" w:ascii="宋体" w:hAnsi="宋体" w:eastAsia="宋体" w:cs="宋体"/>
          <w:spacing w:val="4"/>
          <w:sz w:val="21"/>
          <w:szCs w:val="21"/>
          <w:highlight w:val="none"/>
        </w:rPr>
        <w:t>应急处置</w:t>
      </w:r>
      <w:r>
        <w:rPr>
          <w:rFonts w:hint="eastAsia" w:ascii="宋体" w:hAnsi="宋体" w:eastAsia="宋体" w:cs="宋体"/>
          <w:spacing w:val="4"/>
          <w:sz w:val="21"/>
          <w:szCs w:val="21"/>
          <w:highlight w:val="none"/>
          <w:lang w:eastAsia="zh-CN"/>
        </w:rPr>
        <w:t>、</w:t>
      </w:r>
      <w:r>
        <w:rPr>
          <w:rFonts w:hint="eastAsia" w:ascii="宋体" w:hAnsi="宋体" w:eastAsia="宋体" w:cs="宋体"/>
          <w:sz w:val="21"/>
          <w:szCs w:val="21"/>
          <w:highlight w:val="none"/>
          <w:lang w:eastAsia="zh-CN"/>
        </w:rPr>
        <w:t>冬季除冰雪、数据填报与管理、</w:t>
      </w:r>
      <w:r>
        <w:rPr>
          <w:rFonts w:hint="eastAsia" w:ascii="宋体" w:hAnsi="宋体" w:eastAsia="宋体" w:cs="宋体"/>
          <w:sz w:val="21"/>
          <w:szCs w:val="21"/>
          <w:highlight w:val="none"/>
          <w:lang w:val="en-US" w:eastAsia="zh-CN"/>
        </w:rPr>
        <w:t>安全管理、不可预见的专项养护</w:t>
      </w:r>
      <w:r>
        <w:rPr>
          <w:rFonts w:hint="eastAsia" w:ascii="宋体" w:hAnsi="宋体" w:eastAsia="宋体" w:cs="宋体"/>
          <w:b w:val="0"/>
          <w:sz w:val="21"/>
          <w:szCs w:val="21"/>
          <w:highlight w:val="none"/>
          <w:lang w:val="en-US" w:eastAsia="zh-CN"/>
        </w:rPr>
        <w:t>等工作的；</w:t>
      </w:r>
      <w:r>
        <w:rPr>
          <w:rFonts w:hint="eastAsia" w:ascii="宋体" w:hAnsi="宋体" w:eastAsia="宋体" w:cs="宋体"/>
          <w:sz w:val="21"/>
          <w:szCs w:val="21"/>
          <w:highlight w:val="none"/>
          <w:lang w:eastAsia="zh-CN"/>
        </w:rPr>
        <w:t>未按下达的</w:t>
      </w:r>
      <w:r>
        <w:rPr>
          <w:rFonts w:hint="eastAsia" w:ascii="宋体" w:hAnsi="宋体" w:eastAsia="宋体" w:cs="宋体"/>
          <w:sz w:val="21"/>
          <w:szCs w:val="21"/>
          <w:highlight w:val="none"/>
          <w:lang w:val="en-US" w:eastAsia="zh-CN"/>
        </w:rPr>
        <w:t>日常保养（含绿化）</w:t>
      </w:r>
      <w:r>
        <w:rPr>
          <w:rFonts w:hint="eastAsia" w:ascii="宋体" w:hAnsi="宋体" w:eastAsia="宋体" w:cs="宋体"/>
          <w:sz w:val="21"/>
          <w:szCs w:val="21"/>
          <w:highlight w:val="none"/>
          <w:lang w:eastAsia="zh-CN"/>
        </w:rPr>
        <w:t>月度</w:t>
      </w:r>
      <w:r>
        <w:rPr>
          <w:rFonts w:hint="eastAsia" w:ascii="宋体" w:hAnsi="宋体" w:eastAsia="宋体" w:cs="宋体"/>
          <w:sz w:val="21"/>
          <w:szCs w:val="21"/>
          <w:highlight w:val="none"/>
          <w:lang w:val="en-US" w:eastAsia="zh-CN"/>
        </w:rPr>
        <w:t>养护</w:t>
      </w:r>
      <w:r>
        <w:rPr>
          <w:rFonts w:hint="eastAsia" w:ascii="宋体" w:hAnsi="宋体" w:eastAsia="宋体" w:cs="宋体"/>
          <w:sz w:val="21"/>
          <w:szCs w:val="21"/>
          <w:highlight w:val="none"/>
          <w:lang w:eastAsia="zh-CN"/>
        </w:rPr>
        <w:t>作业计划或工作</w:t>
      </w:r>
      <w:r>
        <w:rPr>
          <w:rFonts w:hint="eastAsia" w:ascii="宋体" w:hAnsi="宋体" w:eastAsia="宋体" w:cs="宋体"/>
          <w:sz w:val="21"/>
          <w:szCs w:val="21"/>
          <w:highlight w:val="none"/>
          <w:lang w:val="en-US" w:eastAsia="zh-CN"/>
        </w:rPr>
        <w:t>任务</w:t>
      </w:r>
      <w:r>
        <w:rPr>
          <w:rFonts w:hint="eastAsia" w:ascii="宋体" w:hAnsi="宋体" w:eastAsia="宋体" w:cs="宋体"/>
          <w:sz w:val="21"/>
          <w:szCs w:val="21"/>
          <w:highlight w:val="none"/>
          <w:lang w:eastAsia="zh-CN"/>
        </w:rPr>
        <w:t>指令完成的</w:t>
      </w:r>
      <w:r>
        <w:rPr>
          <w:rFonts w:hint="eastAsia" w:ascii="宋体" w:hAnsi="宋体" w:eastAsia="宋体" w:cs="宋体"/>
          <w:b w:val="0"/>
          <w:sz w:val="21"/>
          <w:szCs w:val="21"/>
          <w:highlight w:val="none"/>
          <w:lang w:val="en-US" w:eastAsia="zh-CN"/>
        </w:rPr>
        <w:t>。</w:t>
      </w:r>
      <w:r>
        <w:rPr>
          <w:rFonts w:hint="eastAsia" w:ascii="宋体" w:hAnsi="宋体" w:eastAsia="宋体" w:cs="宋体"/>
          <w:sz w:val="21"/>
          <w:szCs w:val="21"/>
          <w:highlight w:val="none"/>
        </w:rPr>
        <w:t>发包人发出整改通知</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承包人未能在要求</w:t>
      </w:r>
      <w:r>
        <w:rPr>
          <w:rFonts w:hint="eastAsia" w:ascii="宋体" w:hAnsi="宋体" w:eastAsia="宋体" w:cs="宋体"/>
          <w:sz w:val="21"/>
          <w:szCs w:val="21"/>
          <w:highlight w:val="none"/>
        </w:rPr>
        <w:t>的期限内完成整改</w:t>
      </w:r>
      <w:r>
        <w:rPr>
          <w:rFonts w:hint="eastAsia" w:ascii="宋体" w:hAnsi="宋体" w:eastAsia="宋体" w:cs="宋体"/>
          <w:sz w:val="21"/>
          <w:szCs w:val="21"/>
          <w:highlight w:val="none"/>
          <w:lang w:eastAsia="zh-CN"/>
        </w:rPr>
        <w:t>，</w:t>
      </w:r>
      <w:r>
        <w:rPr>
          <w:rFonts w:hint="eastAsia" w:ascii="宋体" w:hAnsi="宋体" w:eastAsia="宋体" w:cs="宋体"/>
          <w:spacing w:val="-1"/>
          <w:sz w:val="21"/>
          <w:szCs w:val="21"/>
          <w:highlight w:val="none"/>
        </w:rPr>
        <w:t>发包人可另行</w:t>
      </w:r>
      <w:r>
        <w:rPr>
          <w:rFonts w:hint="eastAsia" w:ascii="宋体" w:hAnsi="宋体" w:eastAsia="宋体" w:cs="宋体"/>
          <w:spacing w:val="-1"/>
          <w:sz w:val="21"/>
          <w:szCs w:val="21"/>
          <w:highlight w:val="none"/>
          <w:lang w:val="en-US" w:eastAsia="zh-CN"/>
        </w:rPr>
        <w:t>组织第三方实施至满足进度计划要求</w:t>
      </w:r>
      <w:r>
        <w:rPr>
          <w:rFonts w:hint="eastAsia" w:ascii="宋体" w:hAnsi="宋体" w:eastAsia="宋体" w:cs="宋体"/>
          <w:spacing w:val="-1"/>
          <w:sz w:val="21"/>
          <w:szCs w:val="21"/>
          <w:highlight w:val="none"/>
        </w:rPr>
        <w:t>，相关费用由承包人负责</w:t>
      </w:r>
      <w:r>
        <w:rPr>
          <w:rFonts w:hint="eastAsia" w:ascii="宋体" w:hAnsi="宋体" w:eastAsia="宋体" w:cs="宋体"/>
          <w:spacing w:val="-1"/>
          <w:sz w:val="21"/>
          <w:szCs w:val="21"/>
          <w:highlight w:val="none"/>
          <w:lang w:eastAsia="zh-CN"/>
        </w:rPr>
        <w:t>。</w:t>
      </w:r>
      <w:r>
        <w:rPr>
          <w:rFonts w:hint="eastAsia" w:ascii="宋体" w:hAnsi="宋体" w:eastAsia="宋体" w:cs="宋体"/>
          <w:spacing w:val="-1"/>
          <w:sz w:val="21"/>
          <w:szCs w:val="21"/>
          <w:highlight w:val="none"/>
          <w:lang w:val="en-US" w:eastAsia="zh-CN"/>
        </w:rPr>
        <w:t>未开展巡查检查每天处以违约金400元，</w:t>
      </w:r>
      <w:r>
        <w:rPr>
          <w:rFonts w:hint="eastAsia" w:ascii="宋体" w:hAnsi="宋体" w:eastAsia="宋体" w:cs="宋体"/>
          <w:sz w:val="21"/>
          <w:szCs w:val="21"/>
          <w:highlight w:val="none"/>
          <w:lang w:val="en-US" w:eastAsia="zh-CN"/>
        </w:rPr>
        <w:t>日常保养未完成</w:t>
      </w:r>
      <w:r>
        <w:rPr>
          <w:rFonts w:hint="eastAsia" w:ascii="宋体" w:hAnsi="宋体" w:eastAsia="宋体" w:cs="宋体"/>
          <w:color w:val="auto"/>
          <w:sz w:val="21"/>
          <w:szCs w:val="21"/>
          <w:highlight w:val="none"/>
          <w:lang w:val="en-US" w:eastAsia="zh-CN"/>
        </w:rPr>
        <w:t>月计划</w:t>
      </w:r>
      <w:r>
        <w:rPr>
          <w:rFonts w:hint="eastAsia" w:ascii="宋体" w:hAnsi="宋体" w:eastAsia="宋体" w:cs="宋体"/>
          <w:color w:val="auto"/>
          <w:sz w:val="21"/>
          <w:szCs w:val="21"/>
        </w:rPr>
        <w:t>按</w:t>
      </w:r>
      <w:r>
        <w:rPr>
          <w:rFonts w:hint="eastAsia" w:ascii="宋体" w:hAnsi="宋体" w:eastAsia="宋体" w:cs="宋体"/>
          <w:color w:val="auto"/>
          <w:sz w:val="21"/>
          <w:szCs w:val="21"/>
          <w:lang w:val="en-US" w:eastAsia="zh-CN"/>
        </w:rPr>
        <w:t>路基1000元/500延米、路面1000元/500延米、桥梁2000元/座、</w:t>
      </w:r>
      <w:r>
        <w:rPr>
          <w:rFonts w:hint="eastAsia" w:ascii="宋体" w:hAnsi="宋体" w:eastAsia="宋体" w:cs="宋体"/>
          <w:color w:val="auto"/>
          <w:sz w:val="21"/>
          <w:szCs w:val="21"/>
        </w:rPr>
        <w:t>涵洞</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000元/座、</w:t>
      </w:r>
      <w:r>
        <w:rPr>
          <w:rFonts w:hint="eastAsia" w:ascii="宋体" w:hAnsi="宋体" w:eastAsia="宋体" w:cs="宋体"/>
          <w:color w:val="auto"/>
          <w:sz w:val="21"/>
          <w:szCs w:val="21"/>
          <w:lang w:val="en-US" w:eastAsia="zh-CN"/>
        </w:rPr>
        <w:t>隧道2000元/座、交通安全设施1000元/500延米、候车亭200元/个、路肩10</w:t>
      </w:r>
      <w:r>
        <w:rPr>
          <w:rFonts w:hint="eastAsia" w:ascii="宋体" w:hAnsi="宋体" w:eastAsia="宋体" w:cs="宋体"/>
          <w:color w:val="auto"/>
          <w:sz w:val="21"/>
          <w:szCs w:val="21"/>
        </w:rPr>
        <w:t>00元/</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00</w:t>
      </w:r>
      <w:r>
        <w:rPr>
          <w:rFonts w:hint="eastAsia" w:ascii="宋体" w:hAnsi="宋体" w:eastAsia="宋体" w:cs="宋体"/>
          <w:color w:val="auto"/>
          <w:sz w:val="21"/>
          <w:szCs w:val="21"/>
          <w:lang w:val="en-US" w:eastAsia="zh-CN"/>
        </w:rPr>
        <w:t>延</w:t>
      </w:r>
      <w:r>
        <w:rPr>
          <w:rFonts w:hint="eastAsia" w:ascii="宋体" w:hAnsi="宋体" w:eastAsia="宋体" w:cs="宋体"/>
          <w:color w:val="auto"/>
          <w:sz w:val="21"/>
          <w:szCs w:val="21"/>
        </w:rPr>
        <w:t>米、水沟200</w:t>
      </w:r>
      <w:r>
        <w:rPr>
          <w:rFonts w:hint="eastAsia" w:ascii="宋体" w:hAnsi="宋体" w:eastAsia="宋体" w:cs="宋体"/>
          <w:color w:val="auto"/>
          <w:sz w:val="21"/>
          <w:szCs w:val="21"/>
          <w:lang w:val="en-US" w:eastAsia="zh-CN"/>
        </w:rPr>
        <w:t>0</w:t>
      </w:r>
      <w:r>
        <w:rPr>
          <w:rFonts w:hint="eastAsia" w:ascii="宋体" w:hAnsi="宋体" w:eastAsia="宋体" w:cs="宋体"/>
          <w:color w:val="auto"/>
          <w:sz w:val="21"/>
          <w:szCs w:val="21"/>
        </w:rPr>
        <w:t>元/</w:t>
      </w:r>
      <w:r>
        <w:rPr>
          <w:rFonts w:hint="eastAsia" w:ascii="宋体" w:hAnsi="宋体" w:eastAsia="宋体" w:cs="宋体"/>
          <w:color w:val="auto"/>
          <w:sz w:val="21"/>
          <w:szCs w:val="21"/>
          <w:lang w:val="en-US" w:eastAsia="zh-CN"/>
        </w:rPr>
        <w:t>50</w:t>
      </w:r>
      <w:r>
        <w:rPr>
          <w:rFonts w:hint="eastAsia" w:ascii="宋体" w:hAnsi="宋体" w:eastAsia="宋体" w:cs="宋体"/>
          <w:color w:val="auto"/>
          <w:sz w:val="21"/>
          <w:szCs w:val="21"/>
        </w:rPr>
        <w:t>0</w:t>
      </w:r>
      <w:r>
        <w:rPr>
          <w:rFonts w:hint="eastAsia" w:ascii="宋体" w:hAnsi="宋体" w:eastAsia="宋体" w:cs="宋体"/>
          <w:color w:val="auto"/>
          <w:sz w:val="21"/>
          <w:szCs w:val="21"/>
          <w:lang w:val="en-US" w:eastAsia="zh-CN"/>
        </w:rPr>
        <w:t>延</w:t>
      </w:r>
      <w:r>
        <w:rPr>
          <w:rFonts w:hint="eastAsia" w:ascii="宋体" w:hAnsi="宋体" w:eastAsia="宋体" w:cs="宋体"/>
          <w:color w:val="auto"/>
          <w:sz w:val="21"/>
          <w:szCs w:val="21"/>
        </w:rPr>
        <w:t>米标准处</w:t>
      </w:r>
      <w:r>
        <w:rPr>
          <w:rFonts w:hint="eastAsia" w:ascii="宋体" w:hAnsi="宋体" w:eastAsia="宋体" w:cs="宋体"/>
          <w:color w:val="auto"/>
          <w:sz w:val="21"/>
          <w:szCs w:val="21"/>
          <w:lang w:val="en-US" w:eastAsia="zh-CN"/>
        </w:rPr>
        <w:t>以违约金</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未出动应急处置的每次处以违约金3000元，</w:t>
      </w:r>
      <w:r>
        <w:rPr>
          <w:rFonts w:hint="eastAsia" w:ascii="宋体" w:hAnsi="宋体" w:eastAsia="宋体" w:cs="宋体"/>
          <w:color w:val="auto"/>
          <w:sz w:val="21"/>
          <w:szCs w:val="21"/>
          <w:highlight w:val="none"/>
          <w:lang w:val="en-US" w:eastAsia="zh-CN"/>
        </w:rPr>
        <w:t>承包人未提交符合要求的养护资料文件，</w:t>
      </w:r>
      <w:r>
        <w:rPr>
          <w:rFonts w:hint="eastAsia" w:ascii="宋体" w:hAnsi="宋体" w:eastAsia="宋体" w:cs="宋体"/>
          <w:sz w:val="21"/>
          <w:szCs w:val="21"/>
          <w:highlight w:val="none"/>
        </w:rPr>
        <w:t>每缺少1项处以违约金500元</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未按月度要求提交的处以违约金1000元，不按年度要求提交或拒绝提交的将处以10000元违约金，并将承包人列入失信企业，未按指令开展专项养护工作的每项处以违约金2000元</w:t>
      </w:r>
      <w:r>
        <w:rPr>
          <w:rFonts w:hint="eastAsia" w:ascii="宋体" w:hAnsi="宋体" w:eastAsia="宋体" w:cs="宋体"/>
          <w:sz w:val="21"/>
          <w:szCs w:val="21"/>
          <w:highlight w:val="none"/>
          <w:lang w:eastAsia="zh-CN"/>
        </w:rPr>
        <w:t>。</w:t>
      </w:r>
    </w:p>
    <w:p w14:paraId="389DA122">
      <w:pPr>
        <w:keepNext w:val="0"/>
        <w:keepLines w:val="0"/>
        <w:pageBreakBefore w:val="0"/>
        <w:widowControl/>
        <w:numPr>
          <w:ilvl w:val="0"/>
          <w:numId w:val="0"/>
        </w:numPr>
        <w:tabs>
          <w:tab w:val="left" w:pos="0"/>
        </w:tabs>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sz w:val="21"/>
          <w:szCs w:val="21"/>
          <w:highlight w:val="none"/>
        </w:rPr>
        <w:t>承包人发生</w:t>
      </w:r>
      <w:r>
        <w:rPr>
          <w:rFonts w:hint="eastAsia" w:ascii="宋体" w:hAnsi="宋体" w:eastAsia="宋体" w:cs="宋体"/>
          <w:sz w:val="21"/>
          <w:szCs w:val="21"/>
          <w:highlight w:val="none"/>
          <w:lang w:val="en-US" w:eastAsia="zh-CN"/>
        </w:rPr>
        <w:t>上述</w:t>
      </w:r>
      <w:r>
        <w:rPr>
          <w:rFonts w:hint="eastAsia" w:ascii="宋体" w:hAnsi="宋体" w:eastAsia="宋体" w:cs="宋体"/>
          <w:spacing w:val="-2"/>
          <w:sz w:val="21"/>
          <w:szCs w:val="21"/>
          <w:highlight w:val="none"/>
          <w:lang w:val="en-US" w:eastAsia="zh-CN"/>
        </w:rPr>
        <w:t>22</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情形</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eastAsia="zh-CN"/>
        </w:rPr>
        <w:t>，</w:t>
      </w:r>
      <w:r>
        <w:rPr>
          <w:rFonts w:hint="eastAsia" w:ascii="宋体" w:hAnsi="宋体" w:eastAsia="宋体" w:cs="宋体"/>
          <w:b w:val="0"/>
          <w:bCs w:val="0"/>
          <w:color w:val="auto"/>
          <w:sz w:val="21"/>
          <w:szCs w:val="21"/>
          <w:highlight w:val="none"/>
        </w:rPr>
        <w:t>应急响应及处置超出合同约定的时间的，或无故拒绝未出动应急处置的；</w:t>
      </w:r>
      <w:r>
        <w:rPr>
          <w:rFonts w:hint="eastAsia" w:ascii="宋体" w:hAnsi="宋体" w:eastAsia="宋体" w:cs="宋体"/>
          <w:b w:val="0"/>
          <w:bCs w:val="0"/>
          <w:color w:val="auto"/>
          <w:kern w:val="0"/>
          <w:sz w:val="21"/>
          <w:szCs w:val="21"/>
          <w:highlight w:val="none"/>
          <w:lang w:val="en-US" w:eastAsia="zh-CN" w:bidi="ar-SA"/>
        </w:rPr>
        <w:t>发生应急处置</w:t>
      </w:r>
      <w:r>
        <w:rPr>
          <w:rFonts w:hint="eastAsia" w:ascii="宋体" w:hAnsi="宋体" w:eastAsia="宋体" w:cs="宋体"/>
          <w:b w:val="0"/>
          <w:bCs w:val="0"/>
          <w:color w:val="auto"/>
          <w:sz w:val="21"/>
          <w:szCs w:val="21"/>
          <w:highlight w:val="none"/>
          <w:lang w:val="en-US" w:eastAsia="zh-CN"/>
        </w:rPr>
        <w:t>的</w:t>
      </w:r>
      <w:r>
        <w:rPr>
          <w:rFonts w:hint="eastAsia" w:ascii="宋体" w:hAnsi="宋体" w:eastAsia="宋体" w:cs="宋体"/>
          <w:b w:val="0"/>
          <w:bCs w:val="0"/>
          <w:color w:val="auto"/>
          <w:sz w:val="21"/>
          <w:szCs w:val="21"/>
          <w:highlight w:val="none"/>
        </w:rPr>
        <w:t>路段未有效警示或管控，造成安全责任产生10万元以上较大损失</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z w:val="21"/>
          <w:szCs w:val="21"/>
          <w:highlight w:val="none"/>
          <w:lang w:val="en-US" w:eastAsia="zh-CN"/>
        </w:rPr>
        <w:t>应急响应超时的每次处以违约金1000元，</w:t>
      </w:r>
      <w:r>
        <w:rPr>
          <w:rFonts w:hint="eastAsia" w:ascii="宋体" w:hAnsi="宋体" w:eastAsia="宋体" w:cs="宋体"/>
          <w:b w:val="0"/>
          <w:bCs w:val="0"/>
          <w:color w:val="auto"/>
          <w:sz w:val="21"/>
          <w:szCs w:val="21"/>
          <w:highlight w:val="none"/>
        </w:rPr>
        <w:t>无故拒绝出动应急处置</w:t>
      </w:r>
      <w:r>
        <w:rPr>
          <w:rFonts w:hint="eastAsia" w:ascii="宋体" w:hAnsi="宋体" w:eastAsia="宋体" w:cs="宋体"/>
          <w:sz w:val="21"/>
          <w:szCs w:val="21"/>
          <w:highlight w:val="none"/>
          <w:lang w:val="en-US" w:eastAsia="zh-CN"/>
        </w:rPr>
        <w:t>每次处以违约金10000元；</w:t>
      </w:r>
      <w:r>
        <w:rPr>
          <w:rFonts w:hint="eastAsia" w:ascii="宋体" w:hAnsi="宋体" w:eastAsia="宋体" w:cs="宋体"/>
          <w:b w:val="0"/>
          <w:bCs w:val="0"/>
          <w:color w:val="auto"/>
          <w:kern w:val="0"/>
          <w:sz w:val="21"/>
          <w:szCs w:val="21"/>
          <w:highlight w:val="none"/>
          <w:lang w:val="en-US" w:eastAsia="zh-CN" w:bidi="ar-SA"/>
        </w:rPr>
        <w:t>发生应急处置</w:t>
      </w:r>
      <w:r>
        <w:rPr>
          <w:rFonts w:hint="eastAsia" w:ascii="宋体" w:hAnsi="宋体" w:eastAsia="宋体" w:cs="宋体"/>
          <w:b w:val="0"/>
          <w:bCs w:val="0"/>
          <w:color w:val="auto"/>
          <w:sz w:val="21"/>
          <w:szCs w:val="21"/>
          <w:highlight w:val="none"/>
          <w:lang w:val="en-US" w:eastAsia="zh-CN"/>
        </w:rPr>
        <w:t>的</w:t>
      </w:r>
      <w:r>
        <w:rPr>
          <w:rFonts w:hint="eastAsia" w:ascii="宋体" w:hAnsi="宋体" w:eastAsia="宋体" w:cs="宋体"/>
          <w:b w:val="0"/>
          <w:bCs w:val="0"/>
          <w:color w:val="auto"/>
          <w:sz w:val="21"/>
          <w:szCs w:val="21"/>
          <w:highlight w:val="none"/>
        </w:rPr>
        <w:t>路段</w:t>
      </w:r>
      <w:r>
        <w:rPr>
          <w:rFonts w:hint="eastAsia" w:ascii="宋体" w:hAnsi="宋体" w:eastAsia="宋体" w:cs="宋体"/>
          <w:b w:val="0"/>
          <w:bCs w:val="0"/>
          <w:color w:val="auto"/>
          <w:sz w:val="21"/>
          <w:szCs w:val="21"/>
          <w:highlight w:val="none"/>
          <w:lang w:val="en-US" w:eastAsia="zh-CN"/>
        </w:rPr>
        <w:t>应</w:t>
      </w:r>
      <w:r>
        <w:rPr>
          <w:rFonts w:hint="eastAsia" w:ascii="宋体" w:hAnsi="宋体" w:eastAsia="宋体" w:cs="宋体"/>
          <w:b w:val="0"/>
          <w:bCs w:val="0"/>
          <w:color w:val="auto"/>
          <w:sz w:val="21"/>
          <w:szCs w:val="21"/>
          <w:highlight w:val="none"/>
        </w:rPr>
        <w:t>有效警示或管控</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包括在临时处置后但安全隐患未消除前</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未</w:t>
      </w:r>
      <w:r>
        <w:rPr>
          <w:rFonts w:hint="eastAsia" w:ascii="宋体" w:hAnsi="宋体" w:eastAsia="宋体" w:cs="宋体"/>
          <w:b w:val="0"/>
          <w:bCs w:val="0"/>
          <w:color w:val="auto"/>
          <w:sz w:val="21"/>
          <w:szCs w:val="21"/>
          <w:highlight w:val="none"/>
        </w:rPr>
        <w:t>警示或管控</w:t>
      </w:r>
      <w:r>
        <w:rPr>
          <w:rFonts w:hint="eastAsia" w:ascii="宋体" w:hAnsi="宋体" w:eastAsia="宋体" w:cs="宋体"/>
          <w:b w:val="0"/>
          <w:bCs w:val="0"/>
          <w:color w:val="auto"/>
          <w:sz w:val="21"/>
          <w:szCs w:val="21"/>
          <w:highlight w:val="none"/>
          <w:lang w:val="en-US" w:eastAsia="zh-CN"/>
        </w:rPr>
        <w:t>每次处以违约金1000元，因此</w:t>
      </w:r>
      <w:r>
        <w:rPr>
          <w:rFonts w:hint="eastAsia" w:ascii="宋体" w:hAnsi="宋体" w:eastAsia="宋体" w:cs="宋体"/>
          <w:b w:val="0"/>
          <w:bCs w:val="0"/>
          <w:color w:val="auto"/>
          <w:sz w:val="21"/>
          <w:szCs w:val="21"/>
          <w:highlight w:val="none"/>
        </w:rPr>
        <w:t>造成安全责任产生10万元以上较大损失</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每处处以违约金10000元。承包人</w:t>
      </w:r>
      <w:r>
        <w:rPr>
          <w:rFonts w:hint="eastAsia" w:ascii="宋体" w:hAnsi="宋体" w:eastAsia="宋体" w:cs="宋体"/>
          <w:b w:val="0"/>
          <w:bCs w:val="0"/>
          <w:color w:val="auto"/>
          <w:sz w:val="21"/>
          <w:szCs w:val="21"/>
          <w:highlight w:val="none"/>
        </w:rPr>
        <w:t>无故拒绝出动应急处置</w:t>
      </w:r>
      <w:r>
        <w:rPr>
          <w:rFonts w:hint="eastAsia" w:ascii="宋体" w:hAnsi="宋体" w:eastAsia="宋体" w:cs="宋体"/>
          <w:b w:val="0"/>
          <w:bCs w:val="0"/>
          <w:color w:val="auto"/>
          <w:sz w:val="21"/>
          <w:szCs w:val="21"/>
          <w:highlight w:val="none"/>
          <w:lang w:val="en-US" w:eastAsia="zh-CN"/>
        </w:rPr>
        <w:t>时或未能对</w:t>
      </w:r>
      <w:r>
        <w:rPr>
          <w:rFonts w:hint="eastAsia" w:ascii="宋体" w:hAnsi="宋体" w:eastAsia="宋体" w:cs="宋体"/>
          <w:b w:val="0"/>
          <w:bCs w:val="0"/>
          <w:color w:val="auto"/>
          <w:kern w:val="0"/>
          <w:sz w:val="21"/>
          <w:szCs w:val="21"/>
          <w:highlight w:val="none"/>
          <w:lang w:val="en-US" w:eastAsia="zh-CN" w:bidi="ar-SA"/>
        </w:rPr>
        <w:t>发生应急处置</w:t>
      </w:r>
      <w:r>
        <w:rPr>
          <w:rFonts w:hint="eastAsia" w:ascii="宋体" w:hAnsi="宋体" w:eastAsia="宋体" w:cs="宋体"/>
          <w:b w:val="0"/>
          <w:bCs w:val="0"/>
          <w:color w:val="auto"/>
          <w:sz w:val="21"/>
          <w:szCs w:val="21"/>
          <w:highlight w:val="none"/>
          <w:lang w:val="en-US" w:eastAsia="zh-CN"/>
        </w:rPr>
        <w:t>的</w:t>
      </w:r>
      <w:r>
        <w:rPr>
          <w:rFonts w:hint="eastAsia" w:ascii="宋体" w:hAnsi="宋体" w:eastAsia="宋体" w:cs="宋体"/>
          <w:b w:val="0"/>
          <w:bCs w:val="0"/>
          <w:color w:val="auto"/>
          <w:sz w:val="21"/>
          <w:szCs w:val="21"/>
          <w:highlight w:val="none"/>
        </w:rPr>
        <w:t>路段</w:t>
      </w:r>
      <w:r>
        <w:rPr>
          <w:rFonts w:hint="eastAsia" w:ascii="宋体" w:hAnsi="宋体" w:eastAsia="宋体" w:cs="宋体"/>
          <w:b w:val="0"/>
          <w:bCs w:val="0"/>
          <w:color w:val="auto"/>
          <w:sz w:val="21"/>
          <w:szCs w:val="21"/>
          <w:highlight w:val="none"/>
          <w:lang w:val="en-US" w:eastAsia="zh-CN"/>
        </w:rPr>
        <w:t>采取</w:t>
      </w:r>
      <w:r>
        <w:rPr>
          <w:rFonts w:hint="eastAsia" w:ascii="宋体" w:hAnsi="宋体" w:eastAsia="宋体" w:cs="宋体"/>
          <w:b w:val="0"/>
          <w:bCs w:val="0"/>
          <w:color w:val="auto"/>
          <w:sz w:val="21"/>
          <w:szCs w:val="21"/>
          <w:highlight w:val="none"/>
        </w:rPr>
        <w:t>有效警示或管控</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spacing w:val="-1"/>
          <w:sz w:val="21"/>
          <w:szCs w:val="21"/>
          <w:highlight w:val="none"/>
        </w:rPr>
        <w:t>发包人</w:t>
      </w:r>
      <w:r>
        <w:rPr>
          <w:rFonts w:hint="eastAsia" w:ascii="宋体" w:hAnsi="宋体" w:eastAsia="宋体" w:cs="宋体"/>
          <w:spacing w:val="-1"/>
          <w:sz w:val="21"/>
          <w:szCs w:val="21"/>
          <w:highlight w:val="none"/>
          <w:lang w:val="en-US" w:eastAsia="zh-CN"/>
        </w:rPr>
        <w:t>有权</w:t>
      </w:r>
      <w:r>
        <w:rPr>
          <w:rFonts w:hint="eastAsia" w:ascii="宋体" w:hAnsi="宋体" w:eastAsia="宋体" w:cs="宋体"/>
          <w:spacing w:val="-1"/>
          <w:sz w:val="21"/>
          <w:szCs w:val="21"/>
          <w:highlight w:val="none"/>
        </w:rPr>
        <w:t>另行组织</w:t>
      </w:r>
      <w:r>
        <w:rPr>
          <w:rFonts w:hint="eastAsia" w:ascii="宋体" w:hAnsi="宋体" w:eastAsia="宋体" w:cs="宋体"/>
          <w:spacing w:val="-1"/>
          <w:sz w:val="21"/>
          <w:szCs w:val="21"/>
          <w:highlight w:val="none"/>
          <w:lang w:val="en-US" w:eastAsia="zh-CN"/>
        </w:rPr>
        <w:t>第三方实施应急处置工作</w:t>
      </w:r>
      <w:r>
        <w:rPr>
          <w:rFonts w:hint="eastAsia" w:ascii="宋体" w:hAnsi="宋体" w:eastAsia="宋体" w:cs="宋体"/>
          <w:spacing w:val="-1"/>
          <w:sz w:val="21"/>
          <w:szCs w:val="21"/>
          <w:highlight w:val="none"/>
        </w:rPr>
        <w:t>，相关费用由承包人负责，</w:t>
      </w:r>
      <w:r>
        <w:rPr>
          <w:rFonts w:hint="eastAsia" w:ascii="宋体" w:hAnsi="宋体" w:eastAsia="宋体" w:cs="宋体"/>
          <w:spacing w:val="-1"/>
          <w:sz w:val="21"/>
          <w:szCs w:val="21"/>
          <w:highlight w:val="none"/>
          <w:lang w:val="en-US" w:eastAsia="zh-CN"/>
        </w:rPr>
        <w:t>承包人将被发包人按失信企业上报上级主管部门。</w:t>
      </w:r>
    </w:p>
    <w:p w14:paraId="74CED905">
      <w:pPr>
        <w:pStyle w:val="35"/>
        <w:keepNext w:val="0"/>
        <w:keepLines w:val="0"/>
        <w:pageBreakBefore w:val="0"/>
        <w:tabs>
          <w:tab w:val="left" w:pos="108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w:t>
      </w:r>
      <w:r>
        <w:rPr>
          <w:rFonts w:hint="eastAsia" w:ascii="宋体" w:hAnsi="宋体" w:eastAsia="宋体" w:cs="宋体"/>
          <w:sz w:val="21"/>
          <w:szCs w:val="21"/>
          <w:highlight w:val="none"/>
        </w:rPr>
        <w:t>承包人发生</w:t>
      </w:r>
      <w:r>
        <w:rPr>
          <w:rFonts w:hint="eastAsia" w:ascii="宋体" w:hAnsi="宋体" w:eastAsia="宋体" w:cs="宋体"/>
          <w:sz w:val="21"/>
          <w:szCs w:val="21"/>
          <w:highlight w:val="none"/>
          <w:lang w:val="en-US" w:eastAsia="zh-CN"/>
        </w:rPr>
        <w:t>上述</w:t>
      </w:r>
      <w:r>
        <w:rPr>
          <w:rFonts w:hint="eastAsia" w:ascii="宋体" w:hAnsi="宋体" w:eastAsia="宋体" w:cs="宋体"/>
          <w:spacing w:val="-2"/>
          <w:sz w:val="21"/>
          <w:szCs w:val="21"/>
          <w:highlight w:val="none"/>
          <w:lang w:val="en-US" w:eastAsia="zh-CN"/>
        </w:rPr>
        <w:t>2</w:t>
      </w:r>
      <w:r>
        <w:rPr>
          <w:rFonts w:hint="eastAsia" w:ascii="宋体" w:hAnsi="宋体" w:cs="宋体"/>
          <w:spacing w:val="-2"/>
          <w:sz w:val="21"/>
          <w:szCs w:val="21"/>
          <w:highlight w:val="none"/>
          <w:lang w:val="en-US" w:eastAsia="zh-CN"/>
        </w:rPr>
        <w:t>3</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情形</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eastAsia="zh-CN"/>
        </w:rPr>
        <w:t>，</w:t>
      </w:r>
      <w:r>
        <w:rPr>
          <w:rFonts w:hint="eastAsia" w:ascii="宋体" w:hAnsi="宋体" w:eastAsia="宋体" w:cs="宋体"/>
          <w:b w:val="0"/>
          <w:bCs w:val="0"/>
          <w:color w:val="auto"/>
          <w:sz w:val="21"/>
          <w:szCs w:val="21"/>
          <w:highlight w:val="none"/>
          <w:shd w:val="clear" w:color="auto" w:fill="FFFFFF"/>
        </w:rPr>
        <w:t>路面出现坑槽后，承包人在 24小时内未及时修补处置的</w:t>
      </w:r>
      <w:r>
        <w:rPr>
          <w:rFonts w:hint="eastAsia" w:ascii="宋体" w:hAnsi="宋体" w:eastAsia="宋体" w:cs="宋体"/>
          <w:b w:val="0"/>
          <w:bCs w:val="0"/>
          <w:color w:val="auto"/>
          <w:sz w:val="21"/>
          <w:szCs w:val="21"/>
          <w:highlight w:val="none"/>
          <w:shd w:val="clear" w:color="auto" w:fill="FFFFFF"/>
          <w:lang w:eastAsia="zh-CN"/>
        </w:rPr>
        <w:t>。</w:t>
      </w:r>
      <w:r>
        <w:rPr>
          <w:rFonts w:hint="eastAsia" w:ascii="宋体" w:hAnsi="宋体" w:eastAsia="宋体" w:cs="宋体"/>
          <w:sz w:val="21"/>
          <w:szCs w:val="21"/>
          <w:highlight w:val="none"/>
          <w:lang w:val="en-US" w:eastAsia="zh-CN"/>
        </w:rPr>
        <w:t>每存在1个24小时内未修补的路面坑槽处以违约金500元/个，未按时修补的按延时每天累计违约处理。</w:t>
      </w:r>
    </w:p>
    <w:p w14:paraId="6417C021">
      <w:pPr>
        <w:keepNext w:val="0"/>
        <w:keepLines w:val="0"/>
        <w:pageBreakBefore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承包人发生</w:t>
      </w:r>
      <w:r>
        <w:rPr>
          <w:rFonts w:hint="eastAsia" w:ascii="宋体" w:hAnsi="宋体" w:eastAsia="宋体" w:cs="宋体"/>
          <w:sz w:val="21"/>
          <w:szCs w:val="21"/>
          <w:highlight w:val="none"/>
          <w:lang w:val="en-US" w:eastAsia="zh-CN"/>
        </w:rPr>
        <w:t>上述</w:t>
      </w:r>
      <w:r>
        <w:rPr>
          <w:rFonts w:hint="eastAsia" w:ascii="宋体" w:hAnsi="宋体" w:eastAsia="宋体" w:cs="宋体"/>
          <w:spacing w:val="-2"/>
          <w:sz w:val="21"/>
          <w:szCs w:val="21"/>
          <w:highlight w:val="none"/>
          <w:lang w:val="en-US" w:eastAsia="zh-CN"/>
        </w:rPr>
        <w:t>24</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情形</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eastAsia="zh-CN"/>
        </w:rPr>
        <w:t>，</w:t>
      </w:r>
      <w:r>
        <w:rPr>
          <w:rFonts w:hint="eastAsia" w:ascii="宋体" w:hAnsi="宋体" w:eastAsia="宋体" w:cs="宋体"/>
          <w:b w:val="0"/>
          <w:bCs w:val="0"/>
          <w:color w:val="auto"/>
          <w:sz w:val="21"/>
          <w:szCs w:val="21"/>
          <w:highlight w:val="none"/>
        </w:rPr>
        <w:t>承包人不履行合同约定责任、义务或养护作业不规范造成对第三方侵权损害并形成重大损失或严重不良社会影响或投诉</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造成对第三方侵权损害</w:t>
      </w:r>
      <w:r>
        <w:rPr>
          <w:rFonts w:hint="eastAsia" w:ascii="宋体" w:hAnsi="宋体" w:eastAsia="宋体" w:cs="宋体"/>
          <w:b w:val="0"/>
          <w:bCs w:val="0"/>
          <w:color w:val="auto"/>
          <w:sz w:val="21"/>
          <w:szCs w:val="21"/>
          <w:highlight w:val="none"/>
          <w:lang w:val="en-US" w:eastAsia="zh-CN"/>
        </w:rPr>
        <w:t>和损失的，由承包人负责赔偿，并处以违约金1000元次；形成</w:t>
      </w:r>
      <w:r>
        <w:rPr>
          <w:rFonts w:hint="eastAsia" w:ascii="宋体" w:hAnsi="宋体" w:eastAsia="宋体" w:cs="宋体"/>
          <w:b w:val="0"/>
          <w:bCs w:val="0"/>
          <w:color w:val="auto"/>
          <w:sz w:val="21"/>
          <w:szCs w:val="21"/>
          <w:highlight w:val="none"/>
        </w:rPr>
        <w:t>不良社会影响或投诉</w:t>
      </w:r>
      <w:r>
        <w:rPr>
          <w:rFonts w:hint="eastAsia" w:ascii="宋体" w:hAnsi="宋体" w:eastAsia="宋体" w:cs="宋体"/>
          <w:b w:val="0"/>
          <w:bCs w:val="0"/>
          <w:color w:val="auto"/>
          <w:sz w:val="21"/>
          <w:szCs w:val="21"/>
          <w:highlight w:val="none"/>
          <w:lang w:val="en-US" w:eastAsia="zh-CN"/>
        </w:rPr>
        <w:t>的每次处以违约金2000元</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因承包人养护作业人员非必要野外用电用火用剧毒药物等违规作业，造成路产损失或第三方损失的，由承包人自费承担修复或赔偿损失，否则发包人按修复实价或赔偿金额双倍扣除承包人承包费用</w:t>
      </w:r>
      <w:r>
        <w:rPr>
          <w:rFonts w:hint="eastAsia" w:ascii="宋体" w:hAnsi="宋体" w:eastAsia="宋体" w:cs="宋体"/>
          <w:sz w:val="21"/>
          <w:szCs w:val="21"/>
          <w:highlight w:val="none"/>
          <w:lang w:eastAsia="zh-CN"/>
        </w:rPr>
        <w:t>。</w:t>
      </w:r>
    </w:p>
    <w:p w14:paraId="26D01409">
      <w:pPr>
        <w:pStyle w:val="35"/>
        <w:keepNext w:val="0"/>
        <w:keepLines w:val="0"/>
        <w:pageBreakBefore w:val="0"/>
        <w:tabs>
          <w:tab w:val="left" w:pos="108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13.</w:t>
      </w:r>
      <w:r>
        <w:rPr>
          <w:rFonts w:hint="eastAsia" w:ascii="宋体" w:hAnsi="宋体" w:eastAsia="宋体" w:cs="宋体"/>
          <w:sz w:val="21"/>
          <w:szCs w:val="21"/>
          <w:highlight w:val="none"/>
        </w:rPr>
        <w:t>承包人发生</w:t>
      </w:r>
      <w:r>
        <w:rPr>
          <w:rFonts w:hint="eastAsia" w:ascii="宋体" w:hAnsi="宋体" w:eastAsia="宋体" w:cs="宋体"/>
          <w:sz w:val="21"/>
          <w:szCs w:val="21"/>
          <w:highlight w:val="none"/>
          <w:lang w:val="en-US" w:eastAsia="zh-CN"/>
        </w:rPr>
        <w:t>上述</w:t>
      </w:r>
      <w:r>
        <w:rPr>
          <w:rFonts w:hint="eastAsia" w:ascii="宋体" w:hAnsi="宋体" w:cs="宋体"/>
          <w:spacing w:val="-2"/>
          <w:sz w:val="21"/>
          <w:szCs w:val="21"/>
          <w:highlight w:val="none"/>
          <w:lang w:val="en-US" w:eastAsia="zh-CN"/>
        </w:rPr>
        <w:t>18、28</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情形</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发包人的上级检查考核，因日常养护工作不到位而受到整改通知、警告、通报的；日常养护工作受到整改通报，每发生一次</w:t>
      </w:r>
      <w:r>
        <w:rPr>
          <w:rFonts w:hint="eastAsia" w:ascii="宋体" w:hAnsi="宋体" w:eastAsia="宋体" w:cs="宋体"/>
          <w:sz w:val="21"/>
          <w:szCs w:val="21"/>
          <w:highlight w:val="none"/>
          <w:lang w:val="en-US" w:eastAsia="zh-CN"/>
        </w:rPr>
        <w:t>处以违约金1</w:t>
      </w:r>
      <w:r>
        <w:rPr>
          <w:rFonts w:hint="eastAsia" w:ascii="宋体" w:hAnsi="宋体" w:eastAsia="宋体" w:cs="宋体"/>
          <w:sz w:val="21"/>
          <w:szCs w:val="21"/>
          <w:highlight w:val="none"/>
        </w:rPr>
        <w:t>000元</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被发“黄牌”警告的处以违约金</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000元/张、被发“红牌”警告处以违约金 5000元/张</w:t>
      </w:r>
      <w:r>
        <w:rPr>
          <w:rFonts w:hint="eastAsia" w:ascii="宋体" w:hAnsi="宋体" w:eastAsia="宋体" w:cs="宋体"/>
          <w:sz w:val="21"/>
          <w:szCs w:val="21"/>
          <w:highlight w:val="none"/>
          <w:lang w:eastAsia="zh-CN"/>
        </w:rPr>
        <w:t>。</w:t>
      </w:r>
    </w:p>
    <w:p w14:paraId="1C22EACD">
      <w:pPr>
        <w:pStyle w:val="35"/>
        <w:keepNext w:val="0"/>
        <w:keepLines w:val="0"/>
        <w:pageBreakBefore w:val="0"/>
        <w:tabs>
          <w:tab w:val="left" w:pos="108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w:t>
      </w:r>
      <w:r>
        <w:rPr>
          <w:rFonts w:hint="eastAsia" w:ascii="宋体" w:hAnsi="宋体" w:eastAsia="宋体" w:cs="宋体"/>
          <w:sz w:val="21"/>
          <w:szCs w:val="21"/>
          <w:highlight w:val="none"/>
        </w:rPr>
        <w:t>承包人发生</w:t>
      </w:r>
      <w:r>
        <w:rPr>
          <w:rFonts w:hint="eastAsia" w:ascii="宋体" w:hAnsi="宋体" w:eastAsia="宋体" w:cs="宋体"/>
          <w:sz w:val="21"/>
          <w:szCs w:val="21"/>
          <w:highlight w:val="none"/>
          <w:lang w:val="en-US" w:eastAsia="zh-CN"/>
        </w:rPr>
        <w:t>上述</w:t>
      </w:r>
      <w:r>
        <w:rPr>
          <w:rFonts w:hint="eastAsia" w:ascii="宋体" w:hAnsi="宋体" w:cs="宋体"/>
          <w:spacing w:val="-2"/>
          <w:sz w:val="21"/>
          <w:szCs w:val="21"/>
          <w:highlight w:val="none"/>
          <w:lang w:val="en-US" w:eastAsia="zh-CN"/>
        </w:rPr>
        <w:t>26</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情形</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eastAsia="zh-CN"/>
        </w:rPr>
        <w:t>，</w:t>
      </w:r>
      <w:r>
        <w:rPr>
          <w:rFonts w:hint="eastAsia" w:ascii="宋体" w:hAnsi="宋体" w:eastAsia="宋体" w:cs="宋体"/>
          <w:color w:val="auto"/>
          <w:sz w:val="21"/>
          <w:szCs w:val="21"/>
          <w:highlight w:val="none"/>
          <w:lang w:val="en-US" w:eastAsia="zh-CN"/>
        </w:rPr>
        <w:t>承包人未按文明施工要求开展作业，</w:t>
      </w:r>
      <w:r>
        <w:rPr>
          <w:rFonts w:hint="eastAsia" w:ascii="宋体" w:hAnsi="宋体" w:eastAsia="宋体" w:cs="宋体"/>
          <w:color w:val="auto"/>
          <w:sz w:val="21"/>
          <w:szCs w:val="21"/>
          <w:highlight w:val="none"/>
        </w:rPr>
        <w:t>由于承包人原因养护作业管理混乱、未设置安全作业区、</w:t>
      </w:r>
      <w:r>
        <w:rPr>
          <w:rFonts w:hint="eastAsia" w:ascii="宋体" w:hAnsi="宋体" w:eastAsia="宋体" w:cs="宋体"/>
          <w:color w:val="auto"/>
          <w:sz w:val="21"/>
          <w:szCs w:val="21"/>
          <w:highlight w:val="none"/>
          <w:lang w:val="en-US" w:eastAsia="zh-CN"/>
        </w:rPr>
        <w:t>占路作业</w:t>
      </w:r>
      <w:r>
        <w:rPr>
          <w:rFonts w:hint="eastAsia" w:ascii="宋体" w:hAnsi="宋体" w:eastAsia="宋体" w:cs="宋体"/>
          <w:color w:val="auto"/>
          <w:sz w:val="21"/>
          <w:szCs w:val="21"/>
          <w:highlight w:val="none"/>
        </w:rPr>
        <w:t>未</w:t>
      </w:r>
      <w:r>
        <w:rPr>
          <w:rFonts w:hint="eastAsia" w:ascii="宋体" w:hAnsi="宋体" w:eastAsia="宋体" w:cs="宋体"/>
          <w:color w:val="auto"/>
          <w:sz w:val="21"/>
          <w:szCs w:val="21"/>
          <w:highlight w:val="none"/>
          <w:lang w:val="en-US" w:eastAsia="zh-CN"/>
        </w:rPr>
        <w:t>进行</w:t>
      </w:r>
      <w:r>
        <w:rPr>
          <w:rFonts w:hint="eastAsia" w:ascii="宋体" w:hAnsi="宋体" w:eastAsia="宋体" w:cs="宋体"/>
          <w:color w:val="auto"/>
          <w:sz w:val="21"/>
          <w:szCs w:val="21"/>
          <w:highlight w:val="none"/>
        </w:rPr>
        <w:t>现场交通指挥，造成交通堵塞</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堵车超过30分钟的处以违约金3000元/次，堵车超过二小时的处以违约金5000元/次，堵车超过</w:t>
      </w:r>
      <w:r>
        <w:rPr>
          <w:rFonts w:hint="eastAsia" w:ascii="宋体" w:hAnsi="宋体" w:eastAsia="宋体" w:cs="宋体"/>
          <w:color w:val="auto"/>
          <w:sz w:val="21"/>
          <w:szCs w:val="21"/>
          <w:highlight w:val="none"/>
          <w:lang w:val="en-US" w:eastAsia="zh-CN"/>
        </w:rPr>
        <w:t>24小时</w:t>
      </w:r>
      <w:r>
        <w:rPr>
          <w:rFonts w:hint="eastAsia" w:ascii="宋体" w:hAnsi="宋体" w:eastAsia="宋体" w:cs="宋体"/>
          <w:color w:val="auto"/>
          <w:sz w:val="21"/>
          <w:szCs w:val="21"/>
          <w:highlight w:val="none"/>
        </w:rPr>
        <w:t>的处以违约金2万元/次，严重的上报上级主管单位进行通报</w:t>
      </w:r>
      <w:r>
        <w:rPr>
          <w:rFonts w:hint="eastAsia" w:ascii="宋体" w:hAnsi="宋体" w:eastAsia="宋体" w:cs="宋体"/>
          <w:color w:val="auto"/>
          <w:sz w:val="21"/>
          <w:szCs w:val="21"/>
          <w:highlight w:val="none"/>
          <w:lang w:eastAsia="zh-CN"/>
        </w:rPr>
        <w:t>。</w:t>
      </w:r>
    </w:p>
    <w:p w14:paraId="2F84FEA6">
      <w:pPr>
        <w:keepNext w:val="0"/>
        <w:keepLines w:val="0"/>
        <w:pageBreakBefore w:val="0"/>
        <w:widowControl/>
        <w:numPr>
          <w:ilvl w:val="0"/>
          <w:numId w:val="0"/>
        </w:numPr>
        <w:tabs>
          <w:tab w:val="left" w:pos="0"/>
        </w:tabs>
        <w:kinsoku/>
        <w:wordWrap/>
        <w:overflowPunct/>
        <w:topLinePunct w:val="0"/>
        <w:autoSpaceDE/>
        <w:autoSpaceDN/>
        <w:bidi w:val="0"/>
        <w:adjustRightInd/>
        <w:snapToGrid/>
        <w:spacing w:line="360" w:lineRule="auto"/>
        <w:ind w:firstLine="420" w:firstLineChars="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w:t>
      </w:r>
      <w:r>
        <w:rPr>
          <w:rFonts w:hint="eastAsia" w:ascii="宋体" w:hAnsi="宋体" w:eastAsia="宋体" w:cs="宋体"/>
          <w:sz w:val="21"/>
          <w:szCs w:val="21"/>
          <w:highlight w:val="none"/>
        </w:rPr>
        <w:t>承包人发生</w:t>
      </w:r>
      <w:r>
        <w:rPr>
          <w:rFonts w:hint="eastAsia" w:ascii="宋体" w:hAnsi="宋体" w:eastAsia="宋体" w:cs="宋体"/>
          <w:sz w:val="21"/>
          <w:szCs w:val="21"/>
          <w:highlight w:val="none"/>
          <w:lang w:val="en-US" w:eastAsia="zh-CN"/>
        </w:rPr>
        <w:t>上述</w:t>
      </w:r>
      <w:r>
        <w:rPr>
          <w:rFonts w:hint="eastAsia" w:ascii="宋体" w:hAnsi="宋体" w:eastAsia="宋体" w:cs="宋体"/>
          <w:spacing w:val="-2"/>
          <w:sz w:val="21"/>
          <w:szCs w:val="21"/>
          <w:highlight w:val="none"/>
          <w:lang w:val="en-US" w:eastAsia="zh-CN"/>
        </w:rPr>
        <w:t>29</w:t>
      </w:r>
      <w:r>
        <w:rPr>
          <w:rFonts w:hint="eastAsia" w:ascii="宋体" w:hAnsi="宋体" w:eastAsia="宋体" w:cs="宋体"/>
          <w:sz w:val="21"/>
          <w:szCs w:val="21"/>
          <w:highlight w:val="none"/>
        </w:rPr>
        <w:t>违约</w:t>
      </w:r>
      <w:r>
        <w:rPr>
          <w:rFonts w:hint="eastAsia" w:ascii="宋体" w:hAnsi="宋体" w:eastAsia="宋体" w:cs="宋体"/>
          <w:sz w:val="21"/>
          <w:szCs w:val="21"/>
          <w:highlight w:val="none"/>
          <w:lang w:val="en-US" w:eastAsia="zh-CN"/>
        </w:rPr>
        <w:t>情形</w:t>
      </w:r>
      <w:r>
        <w:rPr>
          <w:rFonts w:hint="eastAsia" w:ascii="宋体" w:hAnsi="宋体" w:eastAsia="宋体" w:cs="宋体"/>
          <w:sz w:val="21"/>
          <w:szCs w:val="21"/>
          <w:highlight w:val="none"/>
        </w:rPr>
        <w:t>时</w:t>
      </w:r>
      <w:r>
        <w:rPr>
          <w:rFonts w:hint="eastAsia" w:ascii="宋体" w:hAnsi="宋体" w:eastAsia="宋体" w:cs="宋体"/>
          <w:sz w:val="21"/>
          <w:szCs w:val="21"/>
          <w:highlight w:val="none"/>
          <w:lang w:eastAsia="zh-CN"/>
        </w:rPr>
        <w:t>，</w:t>
      </w:r>
      <w:r>
        <w:rPr>
          <w:rFonts w:hint="eastAsia" w:ascii="宋体" w:hAnsi="宋体" w:eastAsia="宋体" w:cs="宋体"/>
          <w:color w:val="auto"/>
          <w:sz w:val="21"/>
          <w:szCs w:val="21"/>
          <w:highlight w:val="none"/>
          <w:lang w:val="en-US" w:eastAsia="zh-CN"/>
        </w:rPr>
        <w:t>承包人违反环保规定，</w:t>
      </w:r>
      <w:r>
        <w:rPr>
          <w:rFonts w:hint="eastAsia" w:ascii="宋体" w:hAnsi="宋体" w:eastAsia="宋体" w:cs="宋体"/>
          <w:color w:val="auto"/>
          <w:sz w:val="21"/>
          <w:szCs w:val="21"/>
          <w:highlight w:val="none"/>
        </w:rPr>
        <w:t>由于施工原因造成污染、破坏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被群众</w:t>
      </w:r>
      <w:r>
        <w:rPr>
          <w:rFonts w:hint="eastAsia" w:ascii="宋体" w:hAnsi="宋体" w:eastAsia="宋体" w:cs="宋体"/>
          <w:color w:val="auto"/>
          <w:sz w:val="21"/>
          <w:szCs w:val="21"/>
          <w:highlight w:val="none"/>
          <w:lang w:val="en-US" w:eastAsia="zh-CN"/>
        </w:rPr>
        <w:t>投诉或受到政府有关部门</w:t>
      </w:r>
      <w:r>
        <w:rPr>
          <w:rFonts w:hint="eastAsia" w:ascii="宋体" w:hAnsi="宋体" w:eastAsia="宋体" w:cs="宋体"/>
          <w:color w:val="auto"/>
          <w:sz w:val="21"/>
          <w:szCs w:val="21"/>
          <w:highlight w:val="none"/>
        </w:rPr>
        <w:t>责令整改的</w:t>
      </w:r>
      <w:r>
        <w:rPr>
          <w:rFonts w:hint="eastAsia" w:ascii="宋体" w:hAnsi="宋体" w:eastAsia="宋体" w:cs="宋体"/>
          <w:color w:val="auto"/>
          <w:sz w:val="21"/>
          <w:szCs w:val="21"/>
          <w:highlight w:val="none"/>
          <w:lang w:val="en-US" w:eastAsia="zh-CN"/>
        </w:rPr>
        <w:t>；</w:t>
      </w:r>
      <w:r>
        <w:rPr>
          <w:rFonts w:hint="eastAsia" w:ascii="宋体" w:hAnsi="宋体" w:eastAsia="宋体" w:cs="宋体"/>
          <w:sz w:val="21"/>
          <w:szCs w:val="21"/>
          <w:highlight w:val="none"/>
        </w:rPr>
        <w:t>承包人承担整改费用并处以违约金</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000元/次</w:t>
      </w:r>
      <w:r>
        <w:rPr>
          <w:rFonts w:hint="eastAsia" w:ascii="宋体" w:hAnsi="宋体" w:eastAsia="宋体" w:cs="宋体"/>
          <w:sz w:val="21"/>
          <w:szCs w:val="21"/>
          <w:highlight w:val="none"/>
          <w:lang w:eastAsia="zh-CN"/>
        </w:rPr>
        <w:t>。</w:t>
      </w:r>
    </w:p>
    <w:p w14:paraId="15B79F1B">
      <w:pPr>
        <w:keepNext w:val="0"/>
        <w:keepLines w:val="0"/>
        <w:pageBreakBefore w:val="0"/>
        <w:widowControl/>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发生上述情形被处以违约金的费用在履约保证金中扣除或在计量支付时从计量款中扣除</w:t>
      </w:r>
      <w:r>
        <w:rPr>
          <w:rFonts w:hint="eastAsia" w:ascii="宋体" w:hAnsi="宋体" w:eastAsia="宋体" w:cs="宋体"/>
          <w:sz w:val="21"/>
          <w:szCs w:val="21"/>
          <w:highlight w:val="none"/>
          <w:lang w:val="en-US" w:eastAsia="zh-CN"/>
        </w:rPr>
        <w:t>且</w:t>
      </w:r>
      <w:r>
        <w:rPr>
          <w:rFonts w:hint="eastAsia" w:ascii="宋体" w:hAnsi="宋体" w:eastAsia="宋体" w:cs="宋体"/>
          <w:color w:val="auto"/>
          <w:sz w:val="21"/>
          <w:szCs w:val="21"/>
          <w:highlight w:val="none"/>
        </w:rPr>
        <w:t>承包人当月被扣除的履约保证金需在次月末前自行补齐合同规定的履保证金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该</w:t>
      </w:r>
      <w:r>
        <w:rPr>
          <w:rFonts w:hint="eastAsia" w:ascii="宋体" w:hAnsi="宋体" w:eastAsia="宋体" w:cs="宋体"/>
          <w:color w:val="auto"/>
          <w:sz w:val="21"/>
          <w:szCs w:val="21"/>
          <w:highlight w:val="none"/>
          <w:lang w:val="en-US" w:eastAsia="zh-CN"/>
        </w:rPr>
        <w:t>违约金</w:t>
      </w:r>
      <w:r>
        <w:rPr>
          <w:rFonts w:hint="eastAsia" w:ascii="宋体" w:hAnsi="宋体" w:eastAsia="宋体" w:cs="宋体"/>
          <w:color w:val="auto"/>
          <w:sz w:val="21"/>
          <w:szCs w:val="21"/>
          <w:highlight w:val="none"/>
        </w:rPr>
        <w:t>款项可由发包人自行安排使用</w:t>
      </w:r>
      <w:r>
        <w:rPr>
          <w:rFonts w:hint="eastAsia" w:ascii="宋体" w:hAnsi="宋体" w:eastAsia="宋体" w:cs="宋体"/>
          <w:color w:val="auto"/>
          <w:sz w:val="21"/>
          <w:szCs w:val="21"/>
          <w:highlight w:val="none"/>
          <w:lang w:val="en-US" w:eastAsia="zh-CN"/>
        </w:rPr>
        <w:t>于增加日常维修数量或智能化养护资金</w:t>
      </w:r>
      <w:r>
        <w:rPr>
          <w:rFonts w:hint="eastAsia" w:ascii="宋体" w:hAnsi="宋体" w:eastAsia="宋体" w:cs="宋体"/>
          <w:color w:val="auto"/>
          <w:sz w:val="21"/>
          <w:szCs w:val="21"/>
          <w:highlight w:val="none"/>
        </w:rPr>
        <w:t>。发包人按合同进行违约处理后，并不解除承包人按照国家法规与合同应承担的责任与义务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承包人对上述违约情形未按时整改或拒绝整改的，发包人应按</w:t>
      </w:r>
      <w:r>
        <w:rPr>
          <w:rFonts w:hint="eastAsia" w:ascii="宋体" w:hAnsi="宋体" w:eastAsia="宋体" w:cs="宋体"/>
          <w:color w:val="auto"/>
          <w:spacing w:val="-1"/>
          <w:sz w:val="21"/>
          <w:szCs w:val="21"/>
          <w:highlight w:val="none"/>
          <w:lang w:eastAsia="zh-CN"/>
        </w:rPr>
        <w:t>承包人违约解除合同</w:t>
      </w:r>
      <w:r>
        <w:rPr>
          <w:rFonts w:hint="eastAsia" w:ascii="宋体" w:hAnsi="宋体" w:eastAsia="宋体" w:cs="宋体"/>
          <w:color w:val="auto"/>
          <w:sz w:val="21"/>
          <w:szCs w:val="21"/>
          <w:highlight w:val="none"/>
        </w:rPr>
        <w:t>处理。</w:t>
      </w:r>
    </w:p>
    <w:p w14:paraId="38BC9628">
      <w:pPr>
        <w:spacing w:line="219" w:lineRule="auto"/>
        <w:rPr>
          <w:rFonts w:hint="default" w:ascii="宋体" w:hAnsi="宋体" w:eastAsia="宋体" w:cs="宋体"/>
          <w:sz w:val="24"/>
          <w:szCs w:val="24"/>
          <w:highlight w:val="none"/>
          <w:lang w:val="en-US" w:eastAsia="zh-CN"/>
        </w:rPr>
      </w:pPr>
    </w:p>
    <w:p w14:paraId="02E170DD">
      <w:pPr>
        <w:spacing w:line="219" w:lineRule="auto"/>
        <w:rPr>
          <w:rFonts w:hint="default" w:ascii="宋体" w:hAnsi="宋体" w:eastAsia="宋体" w:cs="宋体"/>
          <w:sz w:val="24"/>
          <w:szCs w:val="24"/>
          <w:highlight w:val="none"/>
          <w:lang w:val="en-US" w:eastAsia="zh-CN"/>
        </w:rPr>
      </w:pPr>
    </w:p>
    <w:p w14:paraId="6E06F66C">
      <w:pPr>
        <w:spacing w:line="219" w:lineRule="auto"/>
        <w:rPr>
          <w:rFonts w:hint="default" w:ascii="宋体" w:hAnsi="宋体" w:eastAsia="宋体" w:cs="宋体"/>
          <w:sz w:val="24"/>
          <w:szCs w:val="24"/>
          <w:highlight w:val="none"/>
          <w:lang w:val="en-US" w:eastAsia="zh-CN"/>
        </w:rPr>
        <w:sectPr>
          <w:headerReference r:id="rId6" w:type="default"/>
          <w:footerReference r:id="rId7" w:type="default"/>
          <w:pgSz w:w="11905" w:h="16838"/>
          <w:pgMar w:top="1440" w:right="1134" w:bottom="1440" w:left="1134" w:header="0" w:footer="720" w:gutter="0"/>
          <w:pgNumType w:fmt="decimal" w:start="1"/>
          <w:cols w:space="0" w:num="1"/>
          <w:rtlGutter w:val="0"/>
          <w:docGrid w:linePitch="0" w:charSpace="0"/>
        </w:sectPr>
      </w:pPr>
      <w:r>
        <w:rPr>
          <w:rFonts w:hint="eastAsia" w:ascii="宋体" w:hAnsi="宋体" w:cs="宋体"/>
          <w:sz w:val="24"/>
          <w:szCs w:val="24"/>
          <w:highlight w:val="none"/>
          <w:lang w:val="en-US" w:eastAsia="zh-CN"/>
        </w:rPr>
        <w:t>附表1：广西壮族自治区桂林公路发展中心公路养护服务月度绩效考核评分细则</w:t>
      </w:r>
    </w:p>
    <w:tbl>
      <w:tblPr>
        <w:tblStyle w:val="25"/>
        <w:tblW w:w="99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8"/>
        <w:gridCol w:w="461"/>
        <w:gridCol w:w="739"/>
        <w:gridCol w:w="489"/>
        <w:gridCol w:w="3092"/>
        <w:gridCol w:w="3692"/>
        <w:gridCol w:w="730"/>
      </w:tblGrid>
      <w:tr w14:paraId="65A20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9941" w:type="dxa"/>
            <w:gridSpan w:val="7"/>
            <w:tcBorders>
              <w:top w:val="nil"/>
              <w:left w:val="nil"/>
              <w:bottom w:val="nil"/>
              <w:right w:val="nil"/>
            </w:tcBorders>
            <w:shd w:val="clear" w:color="auto" w:fill="auto"/>
            <w:noWrap/>
            <w:vAlign w:val="center"/>
          </w:tcPr>
          <w:p w14:paraId="56A0B4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广西壮族自治区桂林公路发展中心公路养护服务月度绩效考核评分细则</w:t>
            </w:r>
          </w:p>
        </w:tc>
      </w:tr>
      <w:tr w14:paraId="16343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trPr>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90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类型</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542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序号</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1CC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检查考核项目</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01B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分值</w:t>
            </w:r>
          </w:p>
        </w:tc>
        <w:tc>
          <w:tcPr>
            <w:tcW w:w="3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11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考核内容</w:t>
            </w:r>
          </w:p>
        </w:tc>
        <w:tc>
          <w:tcPr>
            <w:tcW w:w="3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4C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评分标准</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1C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考核方式</w:t>
            </w:r>
          </w:p>
        </w:tc>
      </w:tr>
      <w:tr w14:paraId="259E5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46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巡查检查</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F5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1</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7C3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日常巡查</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51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5</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5BE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1.日常巡查：按照《公路养护技术规范》（JTG5110-2023)规定的巡查内容、频率开展公路日间巡查和夜间巡查，包含节假日巡查。</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2.发现危及公路安全的病害、损毁、侵占及其他异常情况和公路险情突发应急事件时，应现场临时处置和设置警示标志并上报，引导通行，在应急处置和抢修人员到场前应进行现场监视。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3.汛期加强巡查，对因水沟阻塞形成水过路面的路段立即进行人工疏通或排水引水，人工不能解决的，要马上组织机械作业，消除水过路面情况，防止水过路面冲刷路基边坡造成路基路面塌陷。</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5B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1.检查频率不符合要求，每少1天扣0.1分；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2.巡查未同步清理零星落石、倒树、倒枝、吊枝、倒竹、抛洒物等路障的，每处扣0.2分；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3.未维护既有的施工标志或危险点警示标志每处每次扣0.2分，桥涵排水孔阻塞未当场立即清通每次扣0.2分，水沟或涵洞阻塞形成水过路面未当场组织处置每次扣1分；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4.巡查遭遇突发应急事件，现场未警示的每处扣0.2分，未管控的每处扣0.2分，未及时报告的每处扣0.2分；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5.巡查范围未全路段覆盖，每缺少1公里扣0.2分；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6.发现涉路侵权的，未及时制止或报告的每次扣0.1分；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7.未开展节假日巡查的，每天扣0.5分；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8.巡查记录资料不全每项扣0.1分，资料未归档装订每月扣0.2分，未按时提交每次扣0.2分。</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43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平时检查+月度检查</w:t>
            </w:r>
          </w:p>
        </w:tc>
      </w:tr>
      <w:tr w14:paraId="1E5A1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E77F0">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68B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2</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D7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经常检查</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EC7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3</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79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巡查频率符合按照《公路养护技术规范》（JTG5110-2023)规定的规定，检查对象包含全路段内路基、路面、交通工程及沿线设施、涵洞，对新增破损情况或原有病害发展情况记录并报告发包人，对使用功能进行安全评估，对设施病害编制月度或年度修复计划报备发包人。</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F7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1.检查频率不符合要求得，每少1次扣0.5分；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2.检查范围不全面，每少一处设施扣0.1分；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3.未报告设施异常情况或新增损坏情况每处扣0.2分；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4.对设施病害无处置计划每处扣0.2分；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5.检查记录资料不全每项扣0.1分，资料未归档装订扣0.5分，未按时提交每次扣0.2分。</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1C5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w:t>
            </w:r>
          </w:p>
        </w:tc>
      </w:tr>
      <w:tr w14:paraId="6EA4C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BEC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日常保养</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71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3</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88B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保洁</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14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5</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1F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1.人工每周进行清捡白色垃圾1遍。</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保持公路路基边缘以内可视范围的干净整洁，清理边坡、水沟、涵洞进出水口、路肩、路面、桥面、桥梁锥坡及踏步、支挡结构、路树、护栏、标志等范围内的白色垃圾（包含饮料瓶罐、塑料袋、果皮纸屑、烟盒烟头、食品盒、纤维物品、金属或陶制物品、竹木条、生活废弃物等）、抛洒物等。</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AF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1.公路沿线以每100m为1处，每处不合格扣0.1分；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2.未按频率进行清理的每公里扣0.1分；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3.月度内存在连续500m以上未清理的，按整公里不合格，每公里扣1分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4.下达整改后，未按要求及时整改的，每处扣0.2分；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未按上级部门检查整改要求整改到位的，每处扣0.5分。</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9C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平时检查+月度检查</w:t>
            </w:r>
          </w:p>
        </w:tc>
      </w:tr>
      <w:tr w14:paraId="01850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09EB8">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AC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4</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EC0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路基</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0F3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10</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D1B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按每月为一周期安排完成路基日常保养任务，保持路基边坡、路肩、排水设施、支挡结构等干净整洁，无长草、杂物、无零星塌方或落石，排水系统通畅，行车视线无遮挡。</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1F1D">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1.路肩以每100m为1处，护坡、支挡结构物等以每个为1处，塌方落石以每处为1处，排水设施以每100m为1处。每项每处存在不符合要求的扣0.1分；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2.未按频率进行清理的每项每公里扣0.2分；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3.月度内存在连续500m以上未清理的，按整公里不合格，每公里扣2分；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4.雨季后未进行水沟专项清理每处扣0.2分；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5.出现水过路面未解决的扣1分，造成塌陷的扣5分；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6.下达整改后，未按要求及时整改的，每处扣0.5分；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7.未按上级部门检查整改要求整改到位的，每处扣1分。</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FEC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月度检查+平时检查</w:t>
            </w:r>
          </w:p>
        </w:tc>
      </w:tr>
      <w:tr w14:paraId="61E94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39CD">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3A5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5</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F7D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路面</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7C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10</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081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以每月为一个周期进行清理，保持机械化清理。路面和平交道口无垃圾、无积泥、无积沙、无洒落物等杂物，经常性保持路面干净、标线清晰。影响交通安全各类洒落物要及时处理，做好警示和管控，当天须清理完毕，确保公路安全畅通。</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F4C7">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1.路面以每100m或400m2为1处，平交道口以每个为1处。每项每处存在不符合要求的扣0.2分；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2.未按频率进行清理的缍项每公里扣0.2分；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3.未保持机械化清理的，每天扣0.1分；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4.未按时清理洒落物每处扣0.2分，当天未清理完毕的每次扣0.4分；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5.月度内存在连续500m以上未清理的，按整公里不合格，每公里扣2分；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6.下达整改后，未按要求及时整改的，每处扣0.5分；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7.未按上级部门检查整改要求整改到位的，每处扣1分。</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D2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月度检查+平时检查</w:t>
            </w:r>
          </w:p>
        </w:tc>
      </w:tr>
      <w:tr w14:paraId="0DA0F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4BEE">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BBB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6</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72C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桥梁、涵洞</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6A6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10</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DA6E">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以每月为一个周期进行清理。保持桥面及护栏清洁，附着式轮廓标清晰反光有效，锥坡、检查步道及桥体结构干净整洁无植物杂草，伸缩缝干净无沉积杂物、无堵塞，泄水孔长期保持畅通，无积水，桥梁限重标志牌、信息标志牌长期保持干净整洁，桥下无垃圾无高大树木，桥墩、桥台、锥坡、伸缩缝等无异杂物。经常性保持涵洞进出水口、洞内及墙体清洁无杂物、杂草，保持涵洞排水畅通，无冲积物、淤泥、杂物等堆积堵塞。</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721B">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1.桥梁以每座为1处，涵洞以每座为1处。每处局部存在不符合要求的扣0.1分；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2.未按频率进行清理的每处桥梁扣0.2分，每个涵洞扣0.2分；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3.月度内存在整座桥梁或整座涵洞未清理的，按每座扣1分；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4.大雨后未进行涵洞专项检查清理每处扣0.5分。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5.出现水过路面未解决的扣1分，造成塌陷或涵洞崩塌的扣5分；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6.下达整改后，未按要求及时整改的，每处扣0.5分；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7.未按上级部门检查整改要求整改到位的，每处扣1分。</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8E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月度检查+平时检查</w:t>
            </w:r>
          </w:p>
        </w:tc>
      </w:tr>
      <w:tr w14:paraId="579F9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D1D9B">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42B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7</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DC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隧道</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4C7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3</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0F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以每月为一个周期进行清理，保持隧道路面无杂物、无积水积冰、无明显油污，路面标线清晰可辨;墙面或拱顶无浮尘、无非法张贴或喷涂、无悬挂杂物，反光标识清洁、反光效果良好，照明/监控:灯具、探头无积尘遮挡，亮度/拍摄视野达标;消防箱无遮挡、箱内清洁，器材完好可取用;通风设施的风道、风口无堵塞，风机进风无阻碍;进出口无落石、杂草、杂物堆积，视线通透，边沟、集水井、截水沟无堵塞，排水通畅，无淤泥堵塞;整体环境:隧道内无明显异味、无扬尘。</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74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1.隧道以每100延米为1处。每处局部存在不符合要求的扣0.1分；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2.未按频率进行清理的每处扣0.2分；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3.月度内存在整座隧道未清理的，按每座扣1分；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4.下达整改后，未按要求及时整改的，每处扣0.5分；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5.未按上级部门检查整改要求整改到位的，每处扣1分。</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C45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w:t>
            </w:r>
          </w:p>
        </w:tc>
      </w:tr>
      <w:tr w14:paraId="0EE72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677C6">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909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8</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A7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交通安全设施</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265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10</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609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1保持沿线交通标志版面内容整洁、清晰、反光有效，无标志歪斜倒伏现象，保持沿线轮廓桩和附着式轮廓标清晰及反光有效，保持沿线道口标柱清晰及反光有效，及时清除沿线标志的泥污尘污油污, 对道口桩、轮廓桩上反光膜进行清洗；</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2.保持交通标线整洁、清晰、反光有效。清除泥污尘污油污；</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3.保持钢护栏和已刷漆的墙式护栏干净整洁、附着式轮廓标清晰反光有效，缆索护栏立柱干净、反光膜清晰有效。用护栏清洗机清除泥污尘污油污；</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4.轮廓标、示警桩、示警墩、立面标记、附着式反光标和道口标柱等视线诱导设施保洁：每一季度不少于一次保洁，污染严重路段要增加清洗频率；</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5.标志牌、轮廓标、示警桩、道口桩、里程碑、百米桩等交安设施等发现歪斜及时矫正。</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22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1.标志以每个为1处，标线以每100m为1处，护栏以每50m为1处，沿线设施以每10个为1处。每项每处存在不符合要求的扣0.1分；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2.未按频率进行清理的每处扣0.2分；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3.未按时限要求完成的每处扣0.2分；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4.月度内存在连续500m以上未清理的，按整公里不合格，每公里扣2分；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5.下达整改后，未按要求及时整改的，每处扣0.5分；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6.未按上级部门检查整改要求整改到位的，每处扣1分。</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290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月度检查+平时检查</w:t>
            </w:r>
          </w:p>
        </w:tc>
      </w:tr>
      <w:tr w14:paraId="404B2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D271B">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C7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9</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BA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沿线管理及服务设施</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B20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3</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667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以每月为一个周期进行清理。对沿线管理和服务设施保养，养护站内干净整洁，监控监测不被树枝等杂物遮挡；管养线路公路便民候车厅、服务区、临时停车区等公路服务设施地面、墙体干净，无垃圾、广告、堆积物、无杂草等，按要求报告设施受损或被侵害行为。</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96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1.养护站、候车亭、服务区、停车区以每个为1处，监测设备以每个为1处。每项每处存在不符合要求的扣0.1分；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2.未按频率进行清理的每处扣0.2分；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3.月度内存在全部管理和服务设施未清理的，按每个扣0.5分；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4.下达整改后，未按要求及时整改的，每处扣0.5分；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5.未按上级部门检查整改要求整改到位的，每处扣1分。</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4BA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w:t>
            </w:r>
          </w:p>
        </w:tc>
      </w:tr>
      <w:tr w14:paraId="6EB0E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DBA4">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2E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10</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9D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绿化与环境保护设施</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DF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5</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E13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路树修剪：保持公路路树修剪、整形，对路肩外边缘路面以上高5米范围内树枝要清除，不能伸入路面，对遮挡标志牌、遮挡平交道口会车视线、弯道内侧遮挡行车视距等胸径小于20cm路树或树枝要清除，及时清理公路两侧危树枯树。每半年清理一遍，9月底前完成。</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路树刷白+设施刷漆：保持对公路路树的健康美观、加强病虫害防治，保持里程碑、百米桩、道口桩、轮廓桩的清洁和辨识清晰。利用石灰粉对路树进行从路肩以上1.5米高范围刷白，形成高度平齐顺适的刷白线，用白油漆对里程碑、百米桩、轮廓桩进行刷白，对里程碑、百米桩用油漆描字（国道红色、省道蓝色），同时对百米桩进行地面数字喷涂标识。每年进行一遍，11月份完成。</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25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1.路树以每100m为1处，设施刷漆以每10个为1处。每项每处存在不符合要求的扣0.1分；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2.未按频率进行清理保养的每处扣0.2分；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3.未按时限要求完成的每处扣0.2分；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4.枯树危树未清除的，每株扣0.5分；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5.月度内存在连续500m以上未清理保养的，按整公里不合格，每公里扣1分；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6.下达整改后，未按要求及时整改的，每处扣0.5分；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7.未按上级部门检查整改要求整改到位的，每处扣1分。</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ED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w:t>
            </w:r>
          </w:p>
        </w:tc>
      </w:tr>
      <w:tr w14:paraId="7E426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3B1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应急处置</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3F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11</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78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公路应急处置（应急抢险）</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0E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10</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115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从承包人知道或应该知道时间算起，60分钟内承包人的应急处置人员到达现场和开始处理，处置措施规范有效，及时抢通。清理所有单处5m³以内塌方、落石和上边坡危石，清理所有胸径小于10cm以内倒伏路树，防汛疏通排水，清理所有单处400㎡以内路面洒落物，交通事故清障，防汛临时排水，涉路管线倒伏隐患清理，路侧护栏损坏临时防护警示，桥梁涵洞垮塌、隧道坍塌临时警示处置，以及突发事件或灾害事件的现场警示、管控、维护、值守等。出现交通管制后，安排专人值守至恢复通车或临时道路开通。存在安全隐患的在消除隐患前保持警示和管控。</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AD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1.未组织出动处置险情的扣5分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2.处置不及时、不到位，造成不良影响的，每次扣0.2分；不按规定时间完工，扣0.2分；处置不力被上级通报批评的，每次扣0.5分。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未清理单处5m³以内塌方、落石的每处扣0.5分，未清理胸径小于10cm以内倒伏路树每处扣0.5分，未疏通排水存在水过路面的每处扣0.5分，未清理单处400㎡以内路面洒落物的每处扣0.5分，4.未进行交通事故清障每次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 xml:space="preserve">5.交通管制须值守的未安排专人值守的每次扣0.5分，安排了人员但未有效在岗或未履行值守职责的每人次扣0.5分。 </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6.交通中断后60分钟内未完成现场管控和设置警示扣0.5分；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7.应急处置路段未有效警示和管控的每次扣1分，警示标志缺损未更新维护的每次扣0.2分。</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C0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月度检查+平时检查</w:t>
            </w:r>
          </w:p>
        </w:tc>
      </w:tr>
      <w:tr w14:paraId="2718C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7B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公路除冰雪</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BDB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12</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492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冬季除冰雪</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1E1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3</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945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要针对易结冰积雪路段制定具体方案，配备除冰雪的机械、物资和人员，主要做好预防性撒布融雪剂和道路积雪结冰后的铲雪或破冰融冰工作，以及除冰雪前后的通行引导、现场警示、管控维护、现场值守等。发生冰雪情况时要按应急处置的工作要求开展处置和管控工作。</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DE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1.未组织出动除冰雪的扣5分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2.处置不及时、不到位，造成不良影响的，每次扣0.2分；不按规定时间完工，扣0.2分；处置不力被上级通报批评的，每次扣0.5分。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 xml:space="preserve">3.交通管制须值守的未安排专人值守的每次扣0.5分，安排了人员但未有效在岗或未履行值守职责的每人次扣0.2分。 </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4.交通中断后60分钟内未完成现场管控和设置警示扣1分；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5.除冰雪路段未有效警示和管控的每次扣1分，警示标志缺损未更新维护的每次扣0.2分。</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22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冬季冰雪时检查</w:t>
            </w:r>
          </w:p>
        </w:tc>
      </w:tr>
      <w:tr w14:paraId="4D7A3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549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数据填报与管理</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95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13</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B20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养护资料</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34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3</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FDD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资料内容要求准确、真实、齐全（有电子版和映像资料），要分类装订成册。每月提交巡路检查记录，每年12月移交当年全部公路养护资料文件。</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9E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1.抽查资料完整性，每缺1项内容扣0.5分，资料未装订每册扣0.1分，资料不准确不齐全每项扣0.1分；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2.资料未按时提交每延迟1天扣0.1分，拒绝提交资料扣5分。</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29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w:t>
            </w:r>
          </w:p>
        </w:tc>
      </w:tr>
      <w:tr w14:paraId="51815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226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安全生产管理</w:t>
            </w:r>
          </w:p>
        </w:tc>
        <w:tc>
          <w:tcPr>
            <w:tcW w:w="4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99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14</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E2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人员教育培训</w:t>
            </w:r>
          </w:p>
        </w:tc>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E8B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10</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757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1.组织管理人员、养护工工开展公路养护知识、施工技术、安全生产等方面理论或实操培训，每月不少一次。</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2.每天针对当天养护工作开展“班前五分钟安全生产再学习再教育 ”安全技术交底，并做好记录。</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855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1.未开展安全教育培训的，每次扣0.2分；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2.未开展班前5分钟安全生产再学习再教育技术交底，每次扣0.2分，或开展但针对性不强的每次扣0.1分。</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EAD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w:t>
            </w:r>
          </w:p>
        </w:tc>
      </w:tr>
      <w:tr w14:paraId="3698A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2E361">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8EB3">
            <w:pPr>
              <w:snapToGrid w:val="0"/>
              <w:ind w:left="0" w:leftChars="0" w:right="0" w:rightChars="0" w:firstLine="0" w:firstLineChars="0"/>
              <w:jc w:val="left"/>
              <w:rPr>
                <w:rFonts w:hint="eastAsia" w:ascii="宋体" w:hAnsi="宋体" w:eastAsia="宋体" w:cs="宋体"/>
                <w:i w:val="0"/>
                <w:iCs w:val="0"/>
                <w:color w:val="000000"/>
                <w:sz w:val="22"/>
                <w:szCs w:val="22"/>
                <w:u w:val="none"/>
              </w:rPr>
            </w:pP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89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公路养护作业安全</w:t>
            </w: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0B905">
            <w:pPr>
              <w:snapToGrid w:val="0"/>
              <w:ind w:left="0" w:leftChars="0" w:right="0" w:rightChars="0" w:firstLine="0" w:firstLineChars="0"/>
              <w:jc w:val="left"/>
              <w:rPr>
                <w:rFonts w:hint="eastAsia" w:ascii="宋体" w:hAnsi="宋体" w:eastAsia="宋体" w:cs="宋体"/>
                <w:b/>
                <w:bCs/>
                <w:i w:val="0"/>
                <w:iCs w:val="0"/>
                <w:color w:val="000000"/>
                <w:sz w:val="22"/>
                <w:szCs w:val="22"/>
                <w:u w:val="none"/>
              </w:rPr>
            </w:pP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4B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1.日常养护需占路作业时须规范设置养护作业控制区。配置必要的警示标志标牌、警示爆闪灯、水马、防撞桶等完全防护设备、设施，确保养护安全生需要。</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2.配备劳动防护用品，日常保养作业人员作业按规定穿戴安全服帽，配置防护用品和用具；</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3.养护作业车辆和设备符合安全要求，操作人员有相应的操作证。</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AF7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1.作业人员未规范安全着装的每人次扣0.1分；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2.作业人员违章操作的每次扣0.5分；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3.未规范设置养护安全作业区的每次扣0.5分。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4.需设安全防护设施的未按规定设置的扣0.5分；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5.未按要求开展安全隐患排查的，每次扣0.2分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6.对安全检查发现的安全作业存在问题未进行闭环整改的扣0.5分。</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45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平时检查+月度检查</w:t>
            </w:r>
          </w:p>
        </w:tc>
      </w:tr>
      <w:tr w14:paraId="1A188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6A162">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E493">
            <w:pPr>
              <w:snapToGrid w:val="0"/>
              <w:ind w:left="0" w:leftChars="0" w:right="0" w:rightChars="0" w:firstLine="0" w:firstLineChars="0"/>
              <w:jc w:val="left"/>
              <w:rPr>
                <w:rFonts w:hint="eastAsia" w:ascii="宋体" w:hAnsi="宋体" w:eastAsia="宋体" w:cs="宋体"/>
                <w:i w:val="0"/>
                <w:iCs w:val="0"/>
                <w:color w:val="000000"/>
                <w:sz w:val="22"/>
                <w:szCs w:val="22"/>
                <w:u w:val="none"/>
              </w:rPr>
            </w:pP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97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安全事故</w:t>
            </w: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97676">
            <w:pPr>
              <w:snapToGrid w:val="0"/>
              <w:ind w:left="0" w:leftChars="0" w:right="0" w:rightChars="0" w:firstLine="0" w:firstLineChars="0"/>
              <w:jc w:val="left"/>
              <w:rPr>
                <w:rFonts w:hint="eastAsia" w:ascii="宋体" w:hAnsi="宋体" w:eastAsia="宋体" w:cs="宋体"/>
                <w:b/>
                <w:bCs/>
                <w:i w:val="0"/>
                <w:iCs w:val="0"/>
                <w:color w:val="000000"/>
                <w:sz w:val="22"/>
                <w:szCs w:val="22"/>
                <w:u w:val="none"/>
              </w:rPr>
            </w:pP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14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管理不到位，发生安全生产事故事故。</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52E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1.发生具有责任的交通事故每起扣2分；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2.发生无人员死亡的一般安全生产责任事故的，每起扣3分，发生有人死亡的一般及以上安全生产责任事，每起扣10分。</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AB0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w:t>
            </w:r>
          </w:p>
        </w:tc>
      </w:tr>
      <w:tr w14:paraId="47E46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95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不可预见的专项养护</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01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15</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B6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专项养护行动</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C79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5</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B0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候车亭整治、重要节点路段提升（县城出入口、产业园区出入口、旅游景区出入口、省际交界路段）、公路路面防洒落治理、过境公路排水系统治堵、路域环境整治、护栏提升等应地方政府及行业主管部门要求开展的各种专项行动中涉及日常保养内容的相关工作按要求开展及按时完成。</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DA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1.未按频率或指令开展专项养护的每项扣0.2分，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2.路面洒落碎石或砂未按时限清理每超过1小时扣0.1分；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3.大雨后未进行专项清理过境路排水系统扣0.5分；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4.四类重要节点路段存在路容路貌脏乱差、绿化未修剪的，每100m扣0.2分；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5.发现对公路侵占行为未制止未报告的每处扣0.1分；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6.巡查记录中无临水路段检查情况扣0.2分，临水设施缺损未报告的每处扣0.2分，未报整治计划扣0.2分；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7.路侧防护缺失、损坏、完整性不足和规范性不足的，无排查记录每处扣0.1分，无护栏提升计划每处扣0.1分；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8.月度内存在连续500m以上路域环境未清理的，按整公里不合格，每公里扣1分；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9.下达整改后，未按要求及时整改的，每处扣0.5分；</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10.未按上级部门检查整改要求整改到位的，每处扣1分。</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1A4D">
            <w:pPr>
              <w:snapToGrid w:val="0"/>
              <w:ind w:left="0" w:leftChars="0" w:right="0" w:rightChars="0" w:firstLine="0" w:firstLineChars="0"/>
              <w:jc w:val="left"/>
              <w:rPr>
                <w:rFonts w:hint="eastAsia" w:ascii="宋体" w:hAnsi="宋体" w:eastAsia="宋体" w:cs="宋体"/>
                <w:b/>
                <w:bCs/>
                <w:i w:val="0"/>
                <w:iCs w:val="0"/>
                <w:color w:val="000000"/>
                <w:sz w:val="22"/>
                <w:szCs w:val="22"/>
                <w:u w:val="none"/>
              </w:rPr>
            </w:pPr>
          </w:p>
        </w:tc>
      </w:tr>
      <w:tr w14:paraId="371D8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3CD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综合管理</w:t>
            </w:r>
          </w:p>
        </w:tc>
        <w:tc>
          <w:tcPr>
            <w:tcW w:w="4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6A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16</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16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人员机械履约</w:t>
            </w:r>
          </w:p>
        </w:tc>
        <w:tc>
          <w:tcPr>
            <w:tcW w:w="4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F73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5</w:t>
            </w: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53F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1.主要管理人员：按合同要求配备主要管理人员，主要管理人员按合同约定驻场规定在岗；</w:t>
            </w:r>
            <w:r>
              <w:rPr>
                <w:rFonts w:hint="eastAsia" w:ascii="宋体" w:hAnsi="宋体" w:eastAsia="宋体" w:cs="宋体"/>
                <w:b/>
                <w:bCs/>
                <w:i w:val="0"/>
                <w:iCs w:val="0"/>
                <w:snapToGrid w:val="0"/>
                <w:color w:val="000000"/>
                <w:kern w:val="0"/>
                <w:sz w:val="21"/>
                <w:szCs w:val="21"/>
                <w:u w:val="none"/>
                <w:lang w:val="en-US" w:eastAsia="zh-CN" w:bidi="ar"/>
              </w:rPr>
              <w:br w:type="textWrapping"/>
            </w:r>
            <w:r>
              <w:rPr>
                <w:rFonts w:hint="eastAsia" w:ascii="宋体" w:hAnsi="宋体" w:eastAsia="宋体" w:cs="宋体"/>
                <w:b/>
                <w:bCs/>
                <w:i w:val="0"/>
                <w:iCs w:val="0"/>
                <w:snapToGrid w:val="0"/>
                <w:color w:val="000000"/>
                <w:kern w:val="0"/>
                <w:sz w:val="21"/>
                <w:szCs w:val="21"/>
                <w:u w:val="none"/>
                <w:lang w:val="en-US" w:eastAsia="zh-CN" w:bidi="ar"/>
              </w:rPr>
              <w:t>2.养护车辆、机具设备：按照合同规定数量和型号配备车况良好的车辆和机具设备且投入使用。</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3D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highlight w:val="none"/>
                <w:u w:val="none"/>
                <w:lang w:val="en-US" w:eastAsia="zh-CN" w:bidi="ar"/>
              </w:rPr>
              <w:t>不符合要求，每缺勤1人扣0.2分，每少1台机械设备扣1分。</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1C2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平时检查</w:t>
            </w:r>
          </w:p>
        </w:tc>
      </w:tr>
      <w:tr w14:paraId="3CCAF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BBFDC">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00AD">
            <w:pPr>
              <w:snapToGrid w:val="0"/>
              <w:ind w:left="0" w:leftChars="0" w:right="0" w:rightChars="0" w:firstLine="0" w:firstLineChars="0"/>
              <w:jc w:val="left"/>
              <w:rPr>
                <w:rFonts w:hint="eastAsia" w:ascii="宋体" w:hAnsi="宋体" w:eastAsia="宋体" w:cs="宋体"/>
                <w:b/>
                <w:bCs/>
                <w:i w:val="0"/>
                <w:iCs w:val="0"/>
                <w:color w:val="000000"/>
                <w:sz w:val="22"/>
                <w:szCs w:val="22"/>
                <w:u w:val="none"/>
              </w:rPr>
            </w:pP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44F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农民工工资管理</w:t>
            </w: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84456">
            <w:pPr>
              <w:snapToGrid w:val="0"/>
              <w:ind w:left="0" w:leftChars="0" w:right="0" w:rightChars="0" w:firstLine="0" w:firstLineChars="0"/>
              <w:jc w:val="left"/>
              <w:rPr>
                <w:rFonts w:hint="eastAsia" w:ascii="宋体" w:hAnsi="宋体" w:eastAsia="宋体" w:cs="宋体"/>
                <w:b/>
                <w:bCs/>
                <w:i w:val="0"/>
                <w:iCs w:val="0"/>
                <w:color w:val="000000"/>
                <w:sz w:val="22"/>
                <w:szCs w:val="22"/>
                <w:u w:val="none"/>
              </w:rPr>
            </w:pP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ED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不出现拖欠农民工工资的情况。</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CE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出现拖欠农民工工资反映或投诉，每次扣0.5分。</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7E3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w:t>
            </w:r>
          </w:p>
        </w:tc>
      </w:tr>
      <w:tr w14:paraId="50BB4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C3DC">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912D2">
            <w:pPr>
              <w:snapToGrid w:val="0"/>
              <w:ind w:left="0" w:leftChars="0" w:right="0" w:rightChars="0" w:firstLine="0" w:firstLineChars="0"/>
              <w:jc w:val="left"/>
              <w:rPr>
                <w:rFonts w:hint="eastAsia" w:ascii="宋体" w:hAnsi="宋体" w:eastAsia="宋体" w:cs="宋体"/>
                <w:b/>
                <w:bCs/>
                <w:i w:val="0"/>
                <w:iCs w:val="0"/>
                <w:color w:val="000000"/>
                <w:sz w:val="22"/>
                <w:szCs w:val="22"/>
                <w:u w:val="none"/>
              </w:rPr>
            </w:pP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BC5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社会满意度</w:t>
            </w: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C4747">
            <w:pPr>
              <w:snapToGrid w:val="0"/>
              <w:ind w:left="0" w:leftChars="0" w:right="0" w:rightChars="0" w:firstLine="0" w:firstLineChars="0"/>
              <w:jc w:val="left"/>
              <w:rPr>
                <w:rFonts w:hint="eastAsia" w:ascii="宋体" w:hAnsi="宋体" w:eastAsia="宋体" w:cs="宋体"/>
                <w:b/>
                <w:bCs/>
                <w:i w:val="0"/>
                <w:iCs w:val="0"/>
                <w:color w:val="000000"/>
                <w:sz w:val="22"/>
                <w:szCs w:val="22"/>
                <w:u w:val="none"/>
              </w:rPr>
            </w:pP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C3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因日常养护不到位或发生对第三方侵害导致受到社会投诉。</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23D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每投诉1次扣0.5分</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251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w:t>
            </w:r>
          </w:p>
        </w:tc>
      </w:tr>
      <w:tr w14:paraId="4EFD3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DEBF">
            <w:pPr>
              <w:snapToGrid w:val="0"/>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4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7B50">
            <w:pPr>
              <w:snapToGrid w:val="0"/>
              <w:ind w:left="0" w:leftChars="0" w:right="0" w:rightChars="0" w:firstLine="0" w:firstLineChars="0"/>
              <w:jc w:val="left"/>
              <w:rPr>
                <w:rFonts w:hint="eastAsia" w:ascii="宋体" w:hAnsi="宋体" w:eastAsia="宋体" w:cs="宋体"/>
                <w:b/>
                <w:bCs/>
                <w:i w:val="0"/>
                <w:iCs w:val="0"/>
                <w:color w:val="000000"/>
                <w:sz w:val="22"/>
                <w:szCs w:val="22"/>
                <w:u w:val="none"/>
              </w:rPr>
            </w:pP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0BB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问题整改</w:t>
            </w:r>
          </w:p>
        </w:tc>
        <w:tc>
          <w:tcPr>
            <w:tcW w:w="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05634">
            <w:pPr>
              <w:snapToGrid w:val="0"/>
              <w:ind w:left="0" w:leftChars="0" w:right="0" w:rightChars="0" w:firstLine="0" w:firstLineChars="0"/>
              <w:jc w:val="left"/>
              <w:rPr>
                <w:rFonts w:hint="eastAsia" w:ascii="宋体" w:hAnsi="宋体" w:eastAsia="宋体" w:cs="宋体"/>
                <w:b/>
                <w:bCs/>
                <w:i w:val="0"/>
                <w:iCs w:val="0"/>
                <w:color w:val="000000"/>
                <w:sz w:val="22"/>
                <w:szCs w:val="22"/>
                <w:u w:val="none"/>
              </w:rPr>
            </w:pP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F0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1.上级检查时，因承包人日常养护不到位导致发包人被上级通报、要求整改或扣分。</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47E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每通报或发牌警告1次扣0.5分</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BAE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snapToGrid w:val="0"/>
                <w:color w:val="000000"/>
                <w:kern w:val="0"/>
                <w:sz w:val="22"/>
                <w:szCs w:val="22"/>
                <w:u w:val="none"/>
                <w:lang w:val="en-US" w:eastAsia="zh-CN" w:bidi="ar"/>
              </w:rPr>
              <w:t>月度检查</w:t>
            </w:r>
          </w:p>
        </w:tc>
      </w:tr>
      <w:tr w14:paraId="6AFD2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193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BCD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snapToGrid w:val="0"/>
                <w:color w:val="000000"/>
                <w:kern w:val="0"/>
                <w:sz w:val="22"/>
                <w:szCs w:val="22"/>
                <w:u w:val="none"/>
                <w:lang w:val="en-US" w:eastAsia="zh-CN" w:bidi="ar"/>
              </w:rPr>
              <w:t>合计</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0C9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snapToGrid w:val="0"/>
                <w:color w:val="000000"/>
                <w:kern w:val="0"/>
                <w:sz w:val="22"/>
                <w:szCs w:val="22"/>
                <w:u w:val="none"/>
                <w:lang w:val="en-US" w:eastAsia="zh-CN" w:bidi="ar"/>
              </w:rPr>
              <w:t>100</w:t>
            </w:r>
          </w:p>
        </w:tc>
        <w:tc>
          <w:tcPr>
            <w:tcW w:w="3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39068">
            <w:pPr>
              <w:snapToGrid w:val="0"/>
              <w:ind w:left="0" w:leftChars="0" w:right="0" w:rightChars="0" w:firstLine="0" w:firstLineChars="0"/>
              <w:jc w:val="left"/>
              <w:rPr>
                <w:rFonts w:hint="eastAsia" w:ascii="宋体" w:hAnsi="宋体" w:eastAsia="宋体" w:cs="宋体"/>
                <w:b/>
                <w:i w:val="0"/>
                <w:iCs w:val="0"/>
                <w:color w:val="000000"/>
                <w:sz w:val="22"/>
                <w:szCs w:val="22"/>
                <w:u w:val="none"/>
              </w:rPr>
            </w:pPr>
          </w:p>
        </w:tc>
        <w:tc>
          <w:tcPr>
            <w:tcW w:w="36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F556D">
            <w:pPr>
              <w:snapToGrid w:val="0"/>
              <w:ind w:left="0" w:leftChars="0" w:right="0" w:rightChars="0" w:firstLine="0" w:firstLineChars="0"/>
              <w:jc w:val="left"/>
              <w:rPr>
                <w:rFonts w:hint="eastAsia" w:ascii="宋体" w:hAnsi="宋体" w:eastAsia="宋体" w:cs="宋体"/>
                <w:b/>
                <w:i w:val="0"/>
                <w:iCs w:val="0"/>
                <w:color w:val="000000"/>
                <w:sz w:val="21"/>
                <w:szCs w:val="21"/>
                <w:u w:val="none"/>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96755">
            <w:pPr>
              <w:snapToGrid w:val="0"/>
              <w:ind w:left="0" w:leftChars="0" w:right="0" w:rightChars="0" w:firstLine="0" w:firstLineChars="0"/>
              <w:jc w:val="left"/>
              <w:rPr>
                <w:rFonts w:hint="eastAsia" w:ascii="宋体" w:hAnsi="宋体" w:eastAsia="宋体" w:cs="宋体"/>
                <w:b/>
                <w:i w:val="0"/>
                <w:iCs w:val="0"/>
                <w:color w:val="000000"/>
                <w:sz w:val="22"/>
                <w:szCs w:val="22"/>
                <w:u w:val="none"/>
              </w:rPr>
            </w:pPr>
          </w:p>
        </w:tc>
      </w:tr>
      <w:tr w14:paraId="4D991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9FC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加分项</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C5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1</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483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四新技术应用</w:t>
            </w:r>
          </w:p>
        </w:tc>
        <w:tc>
          <w:tcPr>
            <w:tcW w:w="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BFA33">
            <w:pPr>
              <w:snapToGrid w:val="0"/>
              <w:ind w:left="0" w:leftChars="0" w:right="0" w:rightChars="0" w:firstLine="0" w:firstLineChars="0"/>
              <w:jc w:val="left"/>
              <w:rPr>
                <w:rFonts w:hint="eastAsia" w:ascii="宋体" w:hAnsi="宋体" w:eastAsia="宋体" w:cs="宋体"/>
                <w:b/>
                <w:bCs/>
                <w:i w:val="0"/>
                <w:iCs w:val="0"/>
                <w:color w:val="000000"/>
                <w:sz w:val="22"/>
                <w:szCs w:val="22"/>
                <w:highlight w:val="none"/>
                <w:u w:val="none"/>
              </w:rPr>
            </w:pP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CE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承包人每成功实施一项“四新”创新技术研发或应用投入日常养护，有较全的实施经验总结、具有降本增效特征、具有推广价值。</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767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发包人上级单位对该项创新工作应用给予认定后给予加分，每一项加1分,最高加分4分。在实施月度加分。</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5AD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月度检查</w:t>
            </w:r>
          </w:p>
        </w:tc>
      </w:tr>
      <w:tr w14:paraId="071B6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1E5A">
            <w:pPr>
              <w:snapToGrid w:val="0"/>
              <w:ind w:left="0" w:leftChars="0" w:right="0" w:rightChars="0" w:firstLine="0" w:firstLineChars="0"/>
              <w:jc w:val="center"/>
              <w:rPr>
                <w:rFonts w:hint="eastAsia" w:ascii="宋体" w:hAnsi="宋体" w:eastAsia="宋体" w:cs="宋体"/>
                <w:b/>
                <w:bCs/>
                <w:i w:val="0"/>
                <w:iCs w:val="0"/>
                <w:color w:val="000000"/>
                <w:sz w:val="22"/>
                <w:szCs w:val="22"/>
                <w:highlight w:val="none"/>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50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snapToGrid w:val="0"/>
                <w:color w:val="000000"/>
                <w:kern w:val="0"/>
                <w:sz w:val="22"/>
                <w:szCs w:val="22"/>
                <w:highlight w:val="none"/>
                <w:u w:val="none"/>
                <w:lang w:val="en-US" w:eastAsia="zh-CN" w:bidi="ar"/>
              </w:rPr>
            </w:pPr>
            <w:r>
              <w:rPr>
                <w:rFonts w:hint="eastAsia" w:ascii="宋体" w:hAnsi="宋体" w:eastAsia="宋体" w:cs="宋体"/>
                <w:b/>
                <w:bCs/>
                <w:i w:val="0"/>
                <w:iCs w:val="0"/>
                <w:snapToGrid w:val="0"/>
                <w:color w:val="000000"/>
                <w:kern w:val="0"/>
                <w:sz w:val="22"/>
                <w:szCs w:val="22"/>
                <w:highlight w:val="none"/>
                <w:u w:val="none"/>
                <w:lang w:val="en-US" w:eastAsia="zh-CN" w:bidi="ar"/>
              </w:rPr>
              <w:t>2</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6F1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snapToGrid w:val="0"/>
                <w:color w:val="000000"/>
                <w:kern w:val="0"/>
                <w:sz w:val="22"/>
                <w:szCs w:val="22"/>
                <w:highlight w:val="none"/>
                <w:u w:val="none"/>
                <w:lang w:val="en-US" w:eastAsia="zh-CN" w:bidi="ar"/>
              </w:rPr>
            </w:pPr>
            <w:r>
              <w:rPr>
                <w:rFonts w:hint="eastAsia" w:ascii="宋体" w:hAnsi="宋体" w:eastAsia="宋体" w:cs="宋体"/>
                <w:b/>
                <w:bCs/>
                <w:i w:val="0"/>
                <w:iCs w:val="0"/>
                <w:snapToGrid w:val="0"/>
                <w:color w:val="000000"/>
                <w:kern w:val="0"/>
                <w:sz w:val="22"/>
                <w:szCs w:val="22"/>
                <w:highlight w:val="none"/>
                <w:u w:val="none"/>
                <w:lang w:val="en-US" w:eastAsia="zh-CN" w:bidi="ar"/>
              </w:rPr>
              <w:t>养护机械化应用</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9CB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snapToGrid w:val="0"/>
                <w:color w:val="000000"/>
                <w:kern w:val="0"/>
                <w:sz w:val="22"/>
                <w:szCs w:val="22"/>
                <w:highlight w:val="none"/>
                <w:u w:val="none"/>
                <w:lang w:val="en-US" w:eastAsia="zh-CN" w:bidi="ar"/>
              </w:rPr>
            </w:pP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78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snapToGrid w:val="0"/>
                <w:color w:val="000000"/>
                <w:kern w:val="0"/>
                <w:sz w:val="22"/>
                <w:szCs w:val="22"/>
                <w:highlight w:val="none"/>
                <w:u w:val="none"/>
                <w:lang w:val="en-US" w:eastAsia="zh-CN" w:bidi="ar"/>
              </w:rPr>
            </w:pPr>
            <w:r>
              <w:rPr>
                <w:rFonts w:hint="eastAsia" w:ascii="宋体" w:hAnsi="宋体" w:eastAsia="宋体" w:cs="宋体"/>
                <w:b/>
                <w:bCs/>
                <w:i w:val="0"/>
                <w:iCs w:val="0"/>
                <w:snapToGrid w:val="0"/>
                <w:color w:val="000000"/>
                <w:kern w:val="0"/>
                <w:sz w:val="22"/>
                <w:szCs w:val="22"/>
                <w:highlight w:val="none"/>
                <w:u w:val="none"/>
                <w:lang w:val="en-US" w:eastAsia="zh-CN" w:bidi="ar"/>
              </w:rPr>
              <w:t>承包人在日常养护工作中，积极推进养护机械化应用，对路面日常保洁清洗、路树修剪、公路边沟清理、道路护栏清洗、标志标线清洗等进行机械化作业，有效代替人工，降低人工作业安全风险。</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2EF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snapToGrid w:val="0"/>
                <w:color w:val="000000"/>
                <w:kern w:val="0"/>
                <w:sz w:val="22"/>
                <w:szCs w:val="22"/>
                <w:highlight w:val="none"/>
                <w:u w:val="none"/>
                <w:lang w:val="en-US" w:eastAsia="zh-CN" w:bidi="ar"/>
              </w:rPr>
            </w:pPr>
            <w:r>
              <w:rPr>
                <w:rFonts w:hint="eastAsia" w:ascii="宋体" w:hAnsi="宋体" w:eastAsia="宋体" w:cs="宋体"/>
                <w:b/>
                <w:bCs/>
                <w:i w:val="0"/>
                <w:iCs w:val="0"/>
                <w:snapToGrid w:val="0"/>
                <w:color w:val="000000"/>
                <w:kern w:val="0"/>
                <w:sz w:val="22"/>
                <w:szCs w:val="22"/>
                <w:highlight w:val="none"/>
                <w:u w:val="none"/>
                <w:lang w:val="en-US" w:eastAsia="zh-CN" w:bidi="ar"/>
              </w:rPr>
              <w:t>各项作业机械化覆盖率达到采购需求中要求的，每项作业机械化覆盖率达到50%后，经发包人上级单位认定，覆盖率每增加10%加0.5分，每增加一项养护类型机械化的加0.5分，最多加4分。在实施月度加分。</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23A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snapToGrid w:val="0"/>
                <w:color w:val="000000"/>
                <w:kern w:val="0"/>
                <w:sz w:val="22"/>
                <w:szCs w:val="22"/>
                <w:highlight w:val="none"/>
                <w:u w:val="none"/>
                <w:lang w:val="en-US" w:eastAsia="zh-CN" w:bidi="ar"/>
              </w:rPr>
            </w:pPr>
          </w:p>
        </w:tc>
      </w:tr>
      <w:tr w14:paraId="0D78D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7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74DCE">
            <w:pPr>
              <w:snapToGrid w:val="0"/>
              <w:ind w:left="0" w:leftChars="0" w:right="0" w:rightChars="0" w:firstLine="0" w:firstLineChars="0"/>
              <w:jc w:val="center"/>
              <w:rPr>
                <w:rFonts w:hint="eastAsia" w:ascii="宋体" w:hAnsi="宋体" w:eastAsia="宋体" w:cs="宋体"/>
                <w:b/>
                <w:bCs/>
                <w:i w:val="0"/>
                <w:iCs w:val="0"/>
                <w:color w:val="000000"/>
                <w:sz w:val="22"/>
                <w:szCs w:val="22"/>
                <w:highlight w:val="none"/>
                <w:u w:val="none"/>
              </w:rPr>
            </w:pP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117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snapToGrid w:val="0"/>
                <w:color w:val="000000"/>
                <w:kern w:val="0"/>
                <w:sz w:val="22"/>
                <w:szCs w:val="22"/>
                <w:highlight w:val="none"/>
                <w:u w:val="none"/>
                <w:lang w:val="en-US" w:eastAsia="zh-CN" w:bidi="ar"/>
              </w:rPr>
            </w:pPr>
            <w:r>
              <w:rPr>
                <w:rFonts w:hint="eastAsia" w:ascii="宋体" w:hAnsi="宋体" w:eastAsia="宋体" w:cs="宋体"/>
                <w:b/>
                <w:bCs/>
                <w:i w:val="0"/>
                <w:iCs w:val="0"/>
                <w:snapToGrid w:val="0"/>
                <w:color w:val="000000"/>
                <w:kern w:val="0"/>
                <w:sz w:val="22"/>
                <w:szCs w:val="22"/>
                <w:highlight w:val="none"/>
                <w:u w:val="none"/>
                <w:lang w:val="en-US" w:eastAsia="zh-CN" w:bidi="ar"/>
              </w:rPr>
              <w:t>3</w:t>
            </w:r>
          </w:p>
        </w:tc>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20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snapToGrid w:val="0"/>
                <w:color w:val="000000"/>
                <w:kern w:val="0"/>
                <w:sz w:val="22"/>
                <w:szCs w:val="22"/>
                <w:highlight w:val="none"/>
                <w:u w:val="none"/>
                <w:lang w:val="en-US" w:eastAsia="zh-CN" w:bidi="ar"/>
              </w:rPr>
            </w:pPr>
            <w:r>
              <w:rPr>
                <w:rFonts w:hint="eastAsia" w:ascii="宋体" w:hAnsi="宋体" w:eastAsia="宋体" w:cs="宋体"/>
                <w:b/>
                <w:bCs/>
                <w:i w:val="0"/>
                <w:iCs w:val="0"/>
                <w:snapToGrid w:val="0"/>
                <w:color w:val="000000"/>
                <w:kern w:val="0"/>
                <w:sz w:val="22"/>
                <w:szCs w:val="22"/>
                <w:highlight w:val="none"/>
                <w:u w:val="none"/>
                <w:lang w:val="en-US" w:eastAsia="zh-CN" w:bidi="ar"/>
              </w:rPr>
              <w:t>养护智能化</w:t>
            </w:r>
          </w:p>
        </w:tc>
        <w:tc>
          <w:tcPr>
            <w:tcW w:w="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358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snapToGrid w:val="0"/>
                <w:color w:val="000000"/>
                <w:kern w:val="0"/>
                <w:sz w:val="22"/>
                <w:szCs w:val="22"/>
                <w:highlight w:val="none"/>
                <w:u w:val="none"/>
                <w:lang w:val="en-US" w:eastAsia="zh-CN" w:bidi="ar"/>
              </w:rPr>
            </w:pPr>
          </w:p>
        </w:tc>
        <w:tc>
          <w:tcPr>
            <w:tcW w:w="3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88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snapToGrid w:val="0"/>
                <w:color w:val="000000"/>
                <w:kern w:val="0"/>
                <w:sz w:val="22"/>
                <w:szCs w:val="22"/>
                <w:highlight w:val="none"/>
                <w:u w:val="none"/>
                <w:lang w:val="en-US" w:eastAsia="zh-CN" w:bidi="ar"/>
              </w:rPr>
            </w:pPr>
            <w:r>
              <w:rPr>
                <w:rFonts w:hint="eastAsia" w:ascii="宋体" w:hAnsi="宋体" w:eastAsia="宋体" w:cs="宋体"/>
                <w:b/>
                <w:bCs/>
                <w:i w:val="0"/>
                <w:iCs w:val="0"/>
                <w:snapToGrid w:val="0"/>
                <w:color w:val="000000"/>
                <w:kern w:val="0"/>
                <w:sz w:val="22"/>
                <w:szCs w:val="22"/>
                <w:highlight w:val="none"/>
                <w:u w:val="none"/>
                <w:lang w:val="en-US" w:eastAsia="zh-CN" w:bidi="ar"/>
              </w:rPr>
              <w:t>积极研究和开展养护智能化，完成发包人指定或审批的智能化方案。取得成效，有较全的实施经验总结、具有推广价值。</w:t>
            </w:r>
          </w:p>
        </w:tc>
        <w:tc>
          <w:tcPr>
            <w:tcW w:w="3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C8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snapToGrid w:val="0"/>
                <w:color w:val="000000"/>
                <w:kern w:val="0"/>
                <w:sz w:val="22"/>
                <w:szCs w:val="22"/>
                <w:highlight w:val="none"/>
                <w:u w:val="none"/>
                <w:lang w:val="en-US" w:eastAsia="zh-CN" w:bidi="ar"/>
              </w:rPr>
            </w:pPr>
            <w:r>
              <w:rPr>
                <w:rFonts w:hint="eastAsia" w:ascii="宋体" w:hAnsi="宋体" w:eastAsia="宋体" w:cs="宋体"/>
                <w:b/>
                <w:bCs/>
                <w:i w:val="0"/>
                <w:iCs w:val="0"/>
                <w:snapToGrid w:val="0"/>
                <w:color w:val="000000"/>
                <w:kern w:val="0"/>
                <w:sz w:val="22"/>
                <w:szCs w:val="22"/>
                <w:highlight w:val="none"/>
                <w:u w:val="none"/>
                <w:lang w:val="en-US" w:eastAsia="zh-CN" w:bidi="ar"/>
              </w:rPr>
              <w:t>经过发包人上级单位认定的智能化应用给予加分，每一项加1分,最高加分4分。在实施月度加分。</w:t>
            </w:r>
          </w:p>
        </w:tc>
        <w:tc>
          <w:tcPr>
            <w:tcW w:w="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89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b/>
                <w:bCs/>
                <w:i w:val="0"/>
                <w:iCs w:val="0"/>
                <w:snapToGrid w:val="0"/>
                <w:color w:val="000000"/>
                <w:kern w:val="0"/>
                <w:sz w:val="22"/>
                <w:szCs w:val="22"/>
                <w:highlight w:val="none"/>
                <w:u w:val="none"/>
                <w:lang w:val="en-US" w:eastAsia="zh-CN" w:bidi="ar"/>
              </w:rPr>
            </w:pPr>
          </w:p>
        </w:tc>
      </w:tr>
    </w:tbl>
    <w:p w14:paraId="0CD8F0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10"/>
          <w:sz w:val="21"/>
          <w:szCs w:val="21"/>
          <w:lang w:val="en-US" w:eastAsia="zh-CN"/>
        </w:rPr>
      </w:pPr>
    </w:p>
    <w:p w14:paraId="2921DE7B">
      <w:pPr>
        <w:rPr>
          <w:rFonts w:hint="eastAsia" w:ascii="宋体" w:hAnsi="宋体" w:cs="宋体"/>
          <w:b/>
          <w:bCs/>
          <w:spacing w:val="10"/>
          <w:position w:val="1"/>
          <w:sz w:val="21"/>
          <w:szCs w:val="21"/>
          <w:lang w:eastAsia="zh-CN"/>
        </w:rPr>
      </w:pPr>
      <w:r>
        <w:rPr>
          <w:rFonts w:hint="eastAsia" w:ascii="宋体" w:hAnsi="宋体" w:cs="宋体"/>
          <w:b/>
          <w:bCs/>
          <w:spacing w:val="10"/>
          <w:position w:val="1"/>
          <w:sz w:val="21"/>
          <w:szCs w:val="21"/>
          <w:lang w:eastAsia="zh-CN"/>
        </w:rPr>
        <w:br w:type="page"/>
      </w:r>
    </w:p>
    <w:p w14:paraId="7724A79A">
      <w:pPr>
        <w:pStyle w:val="2"/>
        <w:bidi w:val="0"/>
      </w:pPr>
      <w:bookmarkStart w:id="40" w:name="_Toc23981"/>
      <w:r>
        <w:t>第三章  投标人须知</w:t>
      </w:r>
      <w:bookmarkEnd w:id="40"/>
    </w:p>
    <w:p w14:paraId="4C0143DC">
      <w:pPr>
        <w:spacing w:line="262" w:lineRule="auto"/>
        <w:rPr>
          <w:rFonts w:ascii="Arial"/>
          <w:sz w:val="21"/>
        </w:rPr>
      </w:pPr>
    </w:p>
    <w:p w14:paraId="67E4A6F9">
      <w:pPr>
        <w:spacing w:line="262" w:lineRule="auto"/>
        <w:rPr>
          <w:rFonts w:ascii="Arial"/>
          <w:sz w:val="21"/>
        </w:rPr>
      </w:pPr>
    </w:p>
    <w:p w14:paraId="782C07DA">
      <w:pPr>
        <w:pStyle w:val="3"/>
        <w:bidi w:val="0"/>
      </w:pPr>
      <w:bookmarkStart w:id="41" w:name="_Toc16752"/>
      <w:bookmarkStart w:id="42" w:name="_Toc4748"/>
      <w:r>
        <w:t>投标人须知前附表</w:t>
      </w:r>
      <w:bookmarkEnd w:id="41"/>
      <w:bookmarkEnd w:id="42"/>
    </w:p>
    <w:tbl>
      <w:tblPr>
        <w:tblStyle w:val="30"/>
        <w:tblW w:w="96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9"/>
        <w:gridCol w:w="8708"/>
      </w:tblGrid>
      <w:tr w14:paraId="63FAC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top"/>
          </w:tcPr>
          <w:p w14:paraId="5D513535">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jc w:val="center"/>
              <w:textAlignment w:val="baseline"/>
              <w:rPr>
                <w:b/>
                <w:bCs/>
                <w:sz w:val="24"/>
                <w:szCs w:val="24"/>
              </w:rPr>
            </w:pPr>
            <w:r>
              <w:rPr>
                <w:b/>
                <w:bCs/>
                <w:sz w:val="24"/>
                <w:szCs w:val="24"/>
              </w:rPr>
              <w:t>条款号</w:t>
            </w:r>
          </w:p>
        </w:tc>
        <w:tc>
          <w:tcPr>
            <w:tcW w:w="8708" w:type="dxa"/>
            <w:vAlign w:val="top"/>
          </w:tcPr>
          <w:p w14:paraId="1AAA40C2">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jc w:val="center"/>
              <w:textAlignment w:val="baseline"/>
              <w:rPr>
                <w:b/>
                <w:bCs/>
                <w:sz w:val="24"/>
                <w:szCs w:val="24"/>
              </w:rPr>
            </w:pPr>
            <w:r>
              <w:rPr>
                <w:b/>
                <w:bCs/>
                <w:sz w:val="24"/>
                <w:szCs w:val="24"/>
              </w:rPr>
              <w:t>编列内容</w:t>
            </w:r>
          </w:p>
        </w:tc>
      </w:tr>
      <w:tr w14:paraId="274AF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5F1D6727">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3</w:t>
            </w:r>
          </w:p>
        </w:tc>
        <w:tc>
          <w:tcPr>
            <w:tcW w:w="8708" w:type="dxa"/>
            <w:vAlign w:val="top"/>
          </w:tcPr>
          <w:p w14:paraId="69B22940">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textAlignment w:val="baseline"/>
              <w:rPr>
                <w:sz w:val="24"/>
                <w:szCs w:val="24"/>
              </w:rPr>
            </w:pPr>
            <w:r>
              <w:rPr>
                <w:sz w:val="24"/>
                <w:szCs w:val="24"/>
              </w:rPr>
              <w:t>投标人的资格要求：详见招标公告。</w:t>
            </w:r>
          </w:p>
        </w:tc>
      </w:tr>
      <w:tr w14:paraId="12C1B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61591A25">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6.1</w:t>
            </w:r>
          </w:p>
        </w:tc>
        <w:tc>
          <w:tcPr>
            <w:tcW w:w="8708" w:type="dxa"/>
            <w:vAlign w:val="top"/>
          </w:tcPr>
          <w:p w14:paraId="44979D75">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textAlignment w:val="baseline"/>
              <w:rPr>
                <w:sz w:val="24"/>
                <w:szCs w:val="24"/>
              </w:rPr>
            </w:pPr>
            <w:r>
              <w:rPr>
                <w:sz w:val="24"/>
                <w:szCs w:val="24"/>
              </w:rPr>
              <w:t>本项目是否接受联合体投标（</w:t>
            </w:r>
            <w:r>
              <w:rPr>
                <w:rFonts w:hint="eastAsia" w:eastAsia="宋体"/>
                <w:sz w:val="24"/>
                <w:szCs w:val="24"/>
                <w:lang w:val="en-US" w:eastAsia="zh-CN"/>
              </w:rPr>
              <w:t>否</w:t>
            </w:r>
            <w:r>
              <w:rPr>
                <w:sz w:val="24"/>
                <w:szCs w:val="24"/>
              </w:rPr>
              <w:t>）。</w:t>
            </w:r>
          </w:p>
        </w:tc>
      </w:tr>
      <w:tr w14:paraId="5A096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0560EE50">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color w:val="auto"/>
                <w:sz w:val="24"/>
                <w:szCs w:val="24"/>
              </w:rPr>
            </w:pPr>
            <w:r>
              <w:rPr>
                <w:color w:val="auto"/>
                <w:sz w:val="24"/>
                <w:szCs w:val="24"/>
              </w:rPr>
              <w:t>7.2</w:t>
            </w:r>
          </w:p>
        </w:tc>
        <w:tc>
          <w:tcPr>
            <w:tcW w:w="8708" w:type="dxa"/>
            <w:vAlign w:val="top"/>
          </w:tcPr>
          <w:p w14:paraId="19E2A832">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textAlignment w:val="baseline"/>
              <w:rPr>
                <w:color w:val="auto"/>
                <w:sz w:val="24"/>
                <w:szCs w:val="24"/>
              </w:rPr>
            </w:pPr>
            <w:r>
              <w:rPr>
                <w:rFonts w:hint="eastAsia" w:ascii="宋体" w:hAnsi="宋体" w:eastAsia="宋体" w:cs="宋体"/>
                <w:snapToGrid w:val="0"/>
                <w:color w:val="auto"/>
                <w:spacing w:val="0"/>
                <w:w w:val="100"/>
                <w:kern w:val="0"/>
                <w:position w:val="0"/>
                <w:sz w:val="24"/>
                <w:szCs w:val="24"/>
                <w:lang w:val="en-US" w:eastAsia="en-US" w:bidi="ar-SA"/>
              </w:rPr>
              <w:t>□不允许分包 ☑允许分包 分包内容：非主体、非关键性工作。</w:t>
            </w:r>
            <w:r>
              <w:rPr>
                <w:rFonts w:hint="eastAsia" w:ascii="宋体"/>
                <w:color w:val="auto"/>
                <w:sz w:val="24"/>
                <w:szCs w:val="24"/>
                <w:lang w:eastAsia="zh-CN"/>
              </w:rPr>
              <w:t>接受分包的第三人资格要求：分包人的资格能力应与其分包内容的标准和规模相适应，</w:t>
            </w:r>
            <w:r>
              <w:rPr>
                <w:rFonts w:hint="eastAsia" w:ascii="宋体" w:hAnsi="宋体" w:cs="宋体"/>
                <w:b/>
                <w:bCs/>
                <w:color w:val="auto"/>
                <w:sz w:val="24"/>
                <w:szCs w:val="24"/>
                <w:lang w:eastAsia="zh-CN"/>
              </w:rPr>
              <w:t>且具备满足招标文件中关于投标人资质要求的相应资质。</w:t>
            </w:r>
          </w:p>
        </w:tc>
      </w:tr>
      <w:tr w14:paraId="4B127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Merge w:val="restart"/>
            <w:tcBorders>
              <w:bottom w:val="nil"/>
            </w:tcBorders>
            <w:vAlign w:val="center"/>
          </w:tcPr>
          <w:p w14:paraId="6CCD80CE">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11.5</w:t>
            </w:r>
          </w:p>
        </w:tc>
        <w:tc>
          <w:tcPr>
            <w:tcW w:w="8708" w:type="dxa"/>
            <w:vAlign w:val="top"/>
          </w:tcPr>
          <w:p w14:paraId="1FD58FE9">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textAlignment w:val="baseline"/>
              <w:rPr>
                <w:sz w:val="24"/>
                <w:szCs w:val="24"/>
              </w:rPr>
            </w:pPr>
            <w:r>
              <w:rPr>
                <w:sz w:val="24"/>
                <w:szCs w:val="24"/>
              </w:rPr>
              <w:t>本项目不组织现场考察。</w:t>
            </w:r>
          </w:p>
        </w:tc>
      </w:tr>
      <w:tr w14:paraId="0D94C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Merge w:val="continue"/>
            <w:tcBorders>
              <w:top w:val="nil"/>
            </w:tcBorders>
            <w:vAlign w:val="center"/>
          </w:tcPr>
          <w:p w14:paraId="542BC122">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jc w:val="center"/>
              <w:textAlignment w:val="baseline"/>
              <w:rPr>
                <w:sz w:val="24"/>
                <w:szCs w:val="24"/>
              </w:rPr>
            </w:pPr>
          </w:p>
        </w:tc>
        <w:tc>
          <w:tcPr>
            <w:tcW w:w="8708" w:type="dxa"/>
            <w:vAlign w:val="top"/>
          </w:tcPr>
          <w:p w14:paraId="1FB74ADD">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textAlignment w:val="baseline"/>
              <w:rPr>
                <w:sz w:val="24"/>
                <w:szCs w:val="24"/>
              </w:rPr>
            </w:pPr>
            <w:r>
              <w:rPr>
                <w:sz w:val="24"/>
                <w:szCs w:val="24"/>
              </w:rPr>
              <w:t>本项目不组织召开开标前答疑会</w:t>
            </w:r>
          </w:p>
        </w:tc>
      </w:tr>
      <w:tr w14:paraId="4A1B4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Merge w:val="restart"/>
            <w:vAlign w:val="center"/>
          </w:tcPr>
          <w:p w14:paraId="6E44C508">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13.1</w:t>
            </w:r>
          </w:p>
        </w:tc>
        <w:tc>
          <w:tcPr>
            <w:tcW w:w="8708" w:type="dxa"/>
            <w:vAlign w:val="top"/>
          </w:tcPr>
          <w:p w14:paraId="2ECE4D3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sz w:val="24"/>
                <w:szCs w:val="24"/>
              </w:rPr>
            </w:pPr>
            <w:r>
              <w:rPr>
                <w:rFonts w:hint="eastAsia" w:ascii="宋体" w:hAnsi="宋体" w:cs="宋体"/>
                <w:b/>
                <w:sz w:val="24"/>
                <w:szCs w:val="24"/>
              </w:rPr>
              <w:t>报价文件:</w:t>
            </w:r>
          </w:p>
          <w:p w14:paraId="6C07725E">
            <w:pPr>
              <w:keepNext w:val="0"/>
              <w:keepLines w:val="0"/>
              <w:pageBreakBefore w:val="0"/>
              <w:widowControl w:val="0"/>
              <w:tabs>
                <w:tab w:val="left" w:pos="459"/>
              </w:tabs>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1、投标函（格式后附）；</w:t>
            </w:r>
            <w:r>
              <w:rPr>
                <w:rFonts w:hint="eastAsia" w:ascii="宋体" w:hAnsi="宋体" w:cs="宋体"/>
                <w:b/>
                <w:sz w:val="24"/>
                <w:szCs w:val="24"/>
              </w:rPr>
              <w:t>（必须提供，否则按无效投标处理）</w:t>
            </w:r>
          </w:p>
          <w:p w14:paraId="69D455A6">
            <w:pPr>
              <w:keepNext w:val="0"/>
              <w:keepLines w:val="0"/>
              <w:pageBreakBefore w:val="0"/>
              <w:widowControl w:val="0"/>
              <w:tabs>
                <w:tab w:val="left" w:pos="459"/>
              </w:tabs>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bookmarkStart w:id="43" w:name="_Hlk71299233"/>
            <w:r>
              <w:rPr>
                <w:rFonts w:hint="eastAsia" w:ascii="宋体" w:hAnsi="宋体" w:cs="宋体"/>
                <w:sz w:val="24"/>
                <w:szCs w:val="24"/>
              </w:rPr>
              <w:t>2、开标一览表</w:t>
            </w:r>
            <w:bookmarkEnd w:id="43"/>
            <w:r>
              <w:rPr>
                <w:rFonts w:hint="eastAsia" w:ascii="宋体" w:hAnsi="宋体" w:cs="宋体"/>
                <w:sz w:val="24"/>
                <w:szCs w:val="24"/>
              </w:rPr>
              <w:t>及已标价的养护</w:t>
            </w:r>
            <w:r>
              <w:rPr>
                <w:rFonts w:hint="eastAsia" w:ascii="宋体" w:hAnsi="宋体" w:cs="宋体"/>
                <w:sz w:val="24"/>
                <w:szCs w:val="24"/>
                <w:highlight w:val="none"/>
              </w:rPr>
              <w:t>服务绩效清单和工程</w:t>
            </w:r>
            <w:r>
              <w:rPr>
                <w:rFonts w:hint="eastAsia" w:ascii="宋体" w:hAnsi="宋体" w:cs="宋体"/>
                <w:sz w:val="24"/>
                <w:szCs w:val="24"/>
              </w:rPr>
              <w:t>量清单（格式后附）；（</w:t>
            </w:r>
            <w:r>
              <w:rPr>
                <w:rFonts w:hint="eastAsia" w:ascii="宋体" w:hAnsi="宋体" w:cs="宋体"/>
                <w:b/>
                <w:sz w:val="24"/>
                <w:szCs w:val="24"/>
              </w:rPr>
              <w:t>必须提供，否则按无效投标处理</w:t>
            </w:r>
            <w:r>
              <w:rPr>
                <w:rFonts w:hint="eastAsia" w:ascii="宋体" w:hAnsi="宋体" w:cs="宋体"/>
                <w:sz w:val="24"/>
                <w:szCs w:val="24"/>
              </w:rPr>
              <w:t>）</w:t>
            </w:r>
          </w:p>
          <w:p w14:paraId="6A26745F">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rPr>
            </w:pPr>
            <w:r>
              <w:rPr>
                <w:rFonts w:hint="eastAsia" w:ascii="宋体" w:hAnsi="宋体" w:cs="宋体"/>
                <w:sz w:val="24"/>
                <w:szCs w:val="24"/>
              </w:rPr>
              <w:t>3、投标人针对报价需要说明的其他文件和说明（格式自拟）。</w:t>
            </w:r>
          </w:p>
          <w:p w14:paraId="360D8C03">
            <w:pPr>
              <w:keepNext w:val="0"/>
              <w:keepLines w:val="0"/>
              <w:pageBreakBefore w:val="0"/>
              <w:widowControl w:val="0"/>
              <w:tabs>
                <w:tab w:val="left" w:pos="459"/>
              </w:tabs>
              <w:kinsoku/>
              <w:wordWrap w:val="0"/>
              <w:overflowPunct/>
              <w:topLinePunct w:val="0"/>
              <w:autoSpaceDE w:val="0"/>
              <w:autoSpaceDN w:val="0"/>
              <w:bidi w:val="0"/>
              <w:adjustRightInd w:val="0"/>
              <w:snapToGrid w:val="0"/>
              <w:spacing w:line="360" w:lineRule="auto"/>
              <w:jc w:val="left"/>
              <w:textAlignment w:val="baseline"/>
              <w:rPr>
                <w:rFonts w:hint="eastAsia"/>
                <w:b/>
                <w:bCs/>
                <w:spacing w:val="7"/>
                <w:sz w:val="24"/>
                <w:szCs w:val="24"/>
                <w:lang w:eastAsia="zh-CN"/>
              </w:rPr>
            </w:pPr>
            <w:r>
              <w:rPr>
                <w:rFonts w:hint="eastAsia" w:ascii="宋体" w:hAnsi="宋体" w:cs="宋体"/>
                <w:b/>
                <w:bCs/>
                <w:sz w:val="24"/>
                <w:szCs w:val="24"/>
              </w:rPr>
              <w:t>注：投标函、开标一览表必须由法定代表人或者委托代理人在规定签章处逐一签字并加盖投标人公章，否则按无效投标</w:t>
            </w:r>
            <w:r>
              <w:rPr>
                <w:rFonts w:hint="eastAsia" w:ascii="宋体" w:hAnsi="宋体" w:cs="宋体"/>
                <w:b/>
                <w:sz w:val="24"/>
                <w:szCs w:val="24"/>
              </w:rPr>
              <w:t>处理</w:t>
            </w:r>
            <w:r>
              <w:rPr>
                <w:rFonts w:hint="eastAsia" w:ascii="宋体" w:hAnsi="宋体" w:cs="宋体"/>
                <w:b/>
                <w:bCs/>
                <w:sz w:val="24"/>
                <w:szCs w:val="24"/>
              </w:rPr>
              <w:t>。</w:t>
            </w:r>
          </w:p>
        </w:tc>
      </w:tr>
      <w:tr w14:paraId="1FE51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Merge w:val="continue"/>
            <w:vAlign w:val="center"/>
          </w:tcPr>
          <w:p w14:paraId="79CAC793">
            <w:pPr>
              <w:keepNext w:val="0"/>
              <w:keepLines w:val="0"/>
              <w:pageBreakBefore w:val="0"/>
              <w:widowControl w:val="0"/>
              <w:kinsoku/>
              <w:wordWrap w:val="0"/>
              <w:overflowPunct/>
              <w:topLinePunct w:val="0"/>
              <w:autoSpaceDE w:val="0"/>
              <w:autoSpaceDN w:val="0"/>
              <w:bidi w:val="0"/>
              <w:adjustRightInd w:val="0"/>
              <w:snapToGrid w:val="0"/>
              <w:spacing w:line="360" w:lineRule="auto"/>
              <w:jc w:val="center"/>
              <w:textAlignment w:val="baseline"/>
              <w:rPr>
                <w:rFonts w:ascii="Arial"/>
                <w:sz w:val="24"/>
                <w:szCs w:val="24"/>
              </w:rPr>
            </w:pPr>
          </w:p>
        </w:tc>
        <w:tc>
          <w:tcPr>
            <w:tcW w:w="8708" w:type="dxa"/>
            <w:vAlign w:val="top"/>
          </w:tcPr>
          <w:p w14:paraId="1AB9DD5F">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sz w:val="24"/>
                <w:szCs w:val="24"/>
              </w:rPr>
            </w:pPr>
            <w:r>
              <w:rPr>
                <w:rFonts w:hint="eastAsia" w:ascii="宋体" w:hAnsi="宋体" w:cs="宋体"/>
                <w:b/>
                <w:sz w:val="24"/>
                <w:szCs w:val="24"/>
              </w:rPr>
              <w:t>资格证明文件:</w:t>
            </w:r>
          </w:p>
          <w:p w14:paraId="64B7365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sz w:val="24"/>
                <w:szCs w:val="24"/>
              </w:rPr>
            </w:pPr>
            <w:r>
              <w:rPr>
                <w:rFonts w:hint="eastAsia" w:ascii="宋体" w:hAnsi="宋体" w:cs="宋体"/>
                <w:sz w:val="24"/>
                <w:szCs w:val="24"/>
              </w:rPr>
              <w:t>1、投标人为法人或者其他组织的，提供营业执照等证明文件（如营业执照或者事业单位法人证书或者</w:t>
            </w:r>
            <w:r>
              <w:rPr>
                <w:rStyle w:val="36"/>
                <w:sz w:val="24"/>
                <w:szCs w:val="24"/>
              </w:rPr>
              <w:t>执业许可证</w:t>
            </w:r>
            <w:r>
              <w:rPr>
                <w:rFonts w:hint="eastAsia" w:ascii="宋体" w:hAnsi="宋体" w:cs="宋体"/>
                <w:sz w:val="24"/>
                <w:szCs w:val="24"/>
              </w:rPr>
              <w:t>等），投标人为自然人的，提供身份证；（</w:t>
            </w:r>
            <w:r>
              <w:rPr>
                <w:rFonts w:hint="eastAsia" w:ascii="宋体" w:hAnsi="宋体" w:cs="宋体"/>
                <w:b/>
                <w:sz w:val="24"/>
                <w:szCs w:val="24"/>
              </w:rPr>
              <w:t>必须提供，否则作无效投标处理</w:t>
            </w:r>
            <w:r>
              <w:rPr>
                <w:rFonts w:hint="eastAsia" w:ascii="宋体" w:hAnsi="宋体" w:cs="宋体"/>
                <w:sz w:val="24"/>
                <w:szCs w:val="24"/>
              </w:rPr>
              <w:t>）</w:t>
            </w:r>
          </w:p>
          <w:p w14:paraId="3B4C4F0A">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b/>
                <w:bCs/>
                <w:sz w:val="24"/>
                <w:szCs w:val="24"/>
              </w:rPr>
            </w:pPr>
            <w:r>
              <w:rPr>
                <w:rFonts w:hint="eastAsia" w:ascii="宋体" w:hAnsi="宋体" w:cs="宋体"/>
                <w:sz w:val="24"/>
                <w:szCs w:val="24"/>
              </w:rPr>
              <w:t>2、投标人具有有效的资质证书等证明文件；</w:t>
            </w:r>
            <w:r>
              <w:rPr>
                <w:rFonts w:hint="eastAsia" w:ascii="宋体" w:hAnsi="宋体" w:cs="宋体"/>
                <w:b/>
                <w:bCs/>
                <w:sz w:val="24"/>
                <w:szCs w:val="24"/>
              </w:rPr>
              <w:t>（必须提供，否则投标文件按无效响应处理）</w:t>
            </w:r>
          </w:p>
          <w:p w14:paraId="6363B11C">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b/>
                <w:bCs/>
                <w:sz w:val="24"/>
                <w:szCs w:val="24"/>
              </w:rPr>
            </w:pPr>
            <w:r>
              <w:rPr>
                <w:rFonts w:hint="eastAsia" w:ascii="宋体" w:hAnsi="宋体" w:cs="宋体"/>
                <w:b/>
                <w:bCs/>
                <w:sz w:val="24"/>
                <w:szCs w:val="24"/>
              </w:rPr>
              <w:t>3</w:t>
            </w:r>
            <w:r>
              <w:rPr>
                <w:rFonts w:hint="eastAsia" w:ascii="宋体" w:hAnsi="宋体" w:cs="宋体"/>
                <w:sz w:val="24"/>
                <w:szCs w:val="24"/>
              </w:rPr>
              <w:t>、</w:t>
            </w:r>
            <w:r>
              <w:rPr>
                <w:rFonts w:hint="eastAsia" w:ascii="宋体" w:hAnsi="宋体" w:cs="宋体"/>
                <w:b w:val="0"/>
                <w:bCs w:val="0"/>
                <w:sz w:val="24"/>
                <w:szCs w:val="24"/>
              </w:rPr>
              <w:t>拟派项目负责人具有有效的</w:t>
            </w:r>
            <w:r>
              <w:rPr>
                <w:rFonts w:hint="eastAsia" w:ascii="宋体" w:hAnsi="宋体" w:eastAsia="宋体" w:cs="宋体"/>
                <w:b w:val="0"/>
                <w:bCs w:val="0"/>
                <w:sz w:val="24"/>
                <w:szCs w:val="24"/>
                <w:lang w:eastAsia="zh-CN"/>
              </w:rPr>
              <w:t>公路工程专业二级注册建造师</w:t>
            </w:r>
            <w:r>
              <w:rPr>
                <w:rFonts w:hint="eastAsia" w:ascii="宋体" w:hAnsi="宋体" w:cs="宋体"/>
                <w:b w:val="0"/>
                <w:bCs w:val="0"/>
                <w:sz w:val="24"/>
                <w:szCs w:val="24"/>
              </w:rPr>
              <w:t>执业资格</w:t>
            </w:r>
            <w:r>
              <w:rPr>
                <w:rFonts w:hint="eastAsia" w:ascii="宋体" w:hAnsi="宋体" w:eastAsia="宋体" w:cs="宋体"/>
                <w:b w:val="0"/>
                <w:bCs w:val="0"/>
                <w:sz w:val="24"/>
                <w:szCs w:val="24"/>
                <w:lang w:val="en-US" w:eastAsia="zh-CN"/>
              </w:rPr>
              <w:t>和</w:t>
            </w:r>
            <w:r>
              <w:rPr>
                <w:rFonts w:hint="eastAsia" w:ascii="宋体" w:hAnsi="宋体" w:cs="宋体"/>
                <w:b w:val="0"/>
                <w:bCs w:val="0"/>
                <w:sz w:val="24"/>
                <w:szCs w:val="24"/>
              </w:rPr>
              <w:t>路桥类中级职称（或以上）及具备有效的安全生产考核合格证(B类)等相关证书材料</w:t>
            </w:r>
            <w:r>
              <w:rPr>
                <w:rFonts w:hint="eastAsia" w:ascii="宋体" w:hAnsi="宋体" w:cs="宋体"/>
                <w:b/>
                <w:bCs/>
                <w:sz w:val="24"/>
                <w:szCs w:val="24"/>
              </w:rPr>
              <w:t>（必须提供，否则响应文件按无效响应处理）</w:t>
            </w:r>
          </w:p>
          <w:p w14:paraId="0936DC3B">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sz w:val="24"/>
                <w:szCs w:val="24"/>
              </w:rPr>
            </w:pPr>
            <w:r>
              <w:rPr>
                <w:rFonts w:hint="eastAsia" w:ascii="宋体" w:hAnsi="宋体" w:eastAsia="宋体" w:cs="宋体"/>
                <w:sz w:val="24"/>
                <w:szCs w:val="24"/>
                <w:lang w:val="en-US" w:eastAsia="zh-CN"/>
              </w:rPr>
              <w:t>4</w:t>
            </w:r>
            <w:r>
              <w:rPr>
                <w:rFonts w:hint="eastAsia" w:ascii="宋体" w:hAnsi="宋体" w:cs="宋体"/>
                <w:sz w:val="24"/>
                <w:szCs w:val="24"/>
              </w:rPr>
              <w:t>、投标人依法缴纳税收的相关材料（投标截止之日前半年内</w:t>
            </w:r>
            <w:r>
              <w:rPr>
                <w:rFonts w:hint="eastAsia" w:ascii="宋体" w:hAnsi="宋体" w:eastAsia="宋体" w:cs="宋体"/>
                <w:sz w:val="24"/>
                <w:szCs w:val="24"/>
                <w:highlight w:val="none"/>
                <w:lang w:val="en-US" w:eastAsia="zh-CN"/>
              </w:rPr>
              <w:t>任意</w:t>
            </w:r>
            <w:r>
              <w:rPr>
                <w:rFonts w:hint="eastAsia" w:ascii="宋体" w:hAnsi="宋体" w:cs="宋体"/>
                <w:szCs w:val="21"/>
                <w:highlight w:val="none"/>
                <w:lang w:eastAsia="zh-CN"/>
              </w:rPr>
              <w:t>一</w:t>
            </w:r>
            <w:r>
              <w:rPr>
                <w:rFonts w:hint="eastAsia" w:ascii="宋体" w:hAnsi="宋体" w:cs="宋体"/>
                <w:szCs w:val="21"/>
                <w:lang w:eastAsia="zh-CN"/>
              </w:rPr>
              <w:t>个月</w:t>
            </w:r>
            <w:r>
              <w:rPr>
                <w:rFonts w:hint="eastAsia" w:ascii="宋体" w:hAnsi="宋体" w:cs="宋体"/>
                <w:sz w:val="24"/>
                <w:szCs w:val="24"/>
              </w:rPr>
              <w:t>的依法缴纳税收的凭据复印件；依法免税的供应商，必须提供相应文件证明其依法免税。从成立之日起到投标文件提交截止时间止不足要求月数的，只需提供从成立之日起的依法缴纳税收相应证明文件）；</w:t>
            </w:r>
            <w:r>
              <w:rPr>
                <w:rFonts w:hint="eastAsia" w:ascii="宋体" w:hAnsi="宋体" w:cs="宋体"/>
                <w:b/>
                <w:sz w:val="24"/>
                <w:szCs w:val="24"/>
              </w:rPr>
              <w:t>（必须提供，否则按无效投标处理）</w:t>
            </w:r>
          </w:p>
          <w:p w14:paraId="1C3FC41E">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lang w:eastAsia="zh-CN"/>
              </w:rPr>
            </w:pPr>
            <w:r>
              <w:rPr>
                <w:rFonts w:hint="eastAsia" w:ascii="宋体" w:hAnsi="宋体" w:eastAsia="宋体" w:cs="宋体"/>
                <w:sz w:val="24"/>
                <w:szCs w:val="24"/>
                <w:lang w:val="en-US" w:eastAsia="zh-CN"/>
              </w:rPr>
              <w:t>5</w:t>
            </w:r>
            <w:r>
              <w:rPr>
                <w:rFonts w:hint="eastAsia" w:ascii="宋体" w:hAnsi="宋体" w:cs="宋体"/>
                <w:sz w:val="24"/>
                <w:szCs w:val="24"/>
              </w:rPr>
              <w:t>、</w:t>
            </w:r>
            <w:r>
              <w:rPr>
                <w:rFonts w:hint="eastAsia" w:ascii="宋体" w:hAnsi="宋体" w:cs="宋体"/>
                <w:sz w:val="24"/>
                <w:szCs w:val="24"/>
                <w:lang w:eastAsia="zh-CN"/>
              </w:rPr>
              <w:t>投标人依法缴纳社会保障资金的相关材料[</w:t>
            </w:r>
            <w:r>
              <w:rPr>
                <w:rFonts w:hint="eastAsia"/>
                <w:sz w:val="24"/>
                <w:szCs w:val="24"/>
                <w:lang w:eastAsia="zh-CN"/>
              </w:rPr>
              <w:t>投标截止前半年内任意</w:t>
            </w:r>
            <w:r>
              <w:rPr>
                <w:rFonts w:hint="eastAsia" w:ascii="宋体" w:hAnsi="宋体" w:cs="宋体"/>
                <w:sz w:val="24"/>
                <w:szCs w:val="24"/>
                <w:lang w:eastAsia="zh-CN"/>
              </w:rPr>
              <w:t>一个月的依法缴纳社会保障资金的缴费凭证（完税证明或专用收据或者社会保险缴纳清单等相关证明材料）；</w:t>
            </w:r>
            <w:r>
              <w:rPr>
                <w:rFonts w:hint="eastAsia" w:ascii="宋体" w:hAnsi="宋体"/>
                <w:sz w:val="24"/>
                <w:szCs w:val="24"/>
                <w:lang w:eastAsia="zh-CN"/>
              </w:rPr>
              <w:t>依法不需要缴纳社会保障资金的投标人，必须提供相应文件证明不需要缴纳社会保障资金；</w:t>
            </w:r>
            <w:r>
              <w:rPr>
                <w:rFonts w:hint="eastAsia" w:ascii="宋体" w:hAnsi="宋体" w:cs="宋体"/>
                <w:sz w:val="24"/>
                <w:szCs w:val="24"/>
                <w:lang w:eastAsia="zh-CN"/>
              </w:rPr>
              <w:t>或提供依法缴纳社会保障资金的承诺函（格式自拟]；（</w:t>
            </w:r>
            <w:r>
              <w:rPr>
                <w:rFonts w:hint="eastAsia" w:ascii="宋体" w:hAnsi="宋体" w:cs="宋体"/>
                <w:b/>
                <w:sz w:val="24"/>
                <w:szCs w:val="24"/>
                <w:lang w:eastAsia="zh-CN"/>
              </w:rPr>
              <w:t>必须提供，否则投标文件按无效响应处理</w:t>
            </w:r>
            <w:r>
              <w:rPr>
                <w:rFonts w:hint="eastAsia" w:ascii="宋体" w:hAnsi="宋体" w:cs="宋体"/>
                <w:sz w:val="24"/>
                <w:szCs w:val="24"/>
                <w:lang w:eastAsia="zh-CN"/>
              </w:rPr>
              <w:t>）</w:t>
            </w:r>
          </w:p>
          <w:p w14:paraId="228ADF0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sz w:val="24"/>
                <w:szCs w:val="24"/>
              </w:rPr>
            </w:pPr>
            <w:r>
              <w:rPr>
                <w:rFonts w:hint="eastAsia" w:ascii="宋体" w:hAnsi="宋体" w:eastAsia="宋体" w:cs="宋体"/>
                <w:sz w:val="24"/>
                <w:szCs w:val="24"/>
                <w:lang w:val="en-US" w:eastAsia="zh-CN"/>
              </w:rPr>
              <w:t>6</w:t>
            </w:r>
            <w:r>
              <w:rPr>
                <w:rFonts w:hint="eastAsia" w:ascii="宋体" w:hAnsi="宋体" w:cs="宋体"/>
                <w:sz w:val="24"/>
                <w:szCs w:val="24"/>
              </w:rPr>
              <w:t>、</w:t>
            </w:r>
            <w:r>
              <w:rPr>
                <w:rFonts w:hint="eastAsia" w:ascii="宋体" w:hAnsi="宋体" w:eastAsia="宋体" w:cs="宋体"/>
                <w:sz w:val="24"/>
                <w:szCs w:val="24"/>
                <w:lang w:val="en-US" w:eastAsia="zh-CN"/>
              </w:rPr>
              <w:t>2022、2023、2024年度经会计师事务所或审计机构审计的财务报告和财务会计报表，包括财务审计报告和资产负债表、现金流量表、利润表以及财务情况说明书（报表附注）等，否则所提交的财务会计报表不予认可（对于从取得营业执照时间起到投标截止时间为止不足要求年数的企业，只需提交企业取得营业执照年份至所要求最近年份经审计的财务会计报表，若是投标当年成立的企业，其财务会计报表不要求经审计）。</w:t>
            </w:r>
            <w:r>
              <w:rPr>
                <w:rFonts w:ascii="宋体" w:hAnsi="宋体" w:cs="宋体"/>
                <w:b/>
                <w:bCs/>
                <w:sz w:val="24"/>
                <w:szCs w:val="24"/>
                <w:lang w:eastAsia="zh-CN"/>
              </w:rPr>
              <w:t>（必须提供，否则</w:t>
            </w:r>
            <w:r>
              <w:rPr>
                <w:rFonts w:hint="eastAsia" w:ascii="宋体" w:hAnsi="宋体" w:cs="宋体"/>
                <w:b/>
                <w:bCs/>
                <w:sz w:val="24"/>
                <w:szCs w:val="24"/>
                <w:lang w:eastAsia="zh-CN"/>
              </w:rPr>
              <w:t>投标文件</w:t>
            </w:r>
            <w:r>
              <w:rPr>
                <w:rFonts w:ascii="宋体" w:hAnsi="宋体" w:cs="宋体"/>
                <w:b/>
                <w:bCs/>
                <w:sz w:val="24"/>
                <w:szCs w:val="24"/>
                <w:lang w:eastAsia="zh-CN"/>
              </w:rPr>
              <w:t>按无效响应处理）</w:t>
            </w:r>
          </w:p>
          <w:p w14:paraId="0FED27D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sz w:val="24"/>
                <w:szCs w:val="24"/>
              </w:rPr>
            </w:pPr>
            <w:r>
              <w:rPr>
                <w:rFonts w:hint="eastAsia" w:ascii="宋体" w:hAnsi="宋体" w:eastAsia="宋体" w:cs="宋体"/>
                <w:sz w:val="24"/>
                <w:szCs w:val="24"/>
                <w:lang w:val="en-US" w:eastAsia="zh-CN"/>
              </w:rPr>
              <w:t>7</w:t>
            </w:r>
            <w:r>
              <w:rPr>
                <w:rFonts w:hint="eastAsia" w:ascii="宋体" w:hAnsi="宋体" w:cs="宋体"/>
                <w:sz w:val="24"/>
                <w:szCs w:val="24"/>
              </w:rPr>
              <w:t>、投标人直接控股、管理关系信息表（格式后附）；</w:t>
            </w:r>
            <w:r>
              <w:rPr>
                <w:rFonts w:hint="eastAsia" w:ascii="宋体" w:hAnsi="宋体" w:cs="宋体"/>
                <w:b/>
                <w:sz w:val="24"/>
                <w:szCs w:val="24"/>
              </w:rPr>
              <w:t>（必须提供，否则按无效投标处理）</w:t>
            </w:r>
          </w:p>
          <w:p w14:paraId="57BE768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eastAsia="宋体" w:cs="宋体"/>
                <w:sz w:val="24"/>
                <w:szCs w:val="24"/>
                <w:lang w:val="en-US" w:eastAsia="zh-CN"/>
              </w:rPr>
              <w:t>8</w:t>
            </w:r>
            <w:r>
              <w:rPr>
                <w:rFonts w:hint="eastAsia" w:ascii="宋体" w:hAnsi="宋体" w:cs="宋体"/>
                <w:sz w:val="24"/>
                <w:szCs w:val="24"/>
              </w:rPr>
              <w:t>、投标声明（格式后附）；</w:t>
            </w:r>
            <w:r>
              <w:rPr>
                <w:rFonts w:hint="eastAsia" w:ascii="宋体" w:hAnsi="宋体" w:cs="宋体"/>
                <w:b/>
                <w:bCs/>
                <w:sz w:val="24"/>
                <w:szCs w:val="24"/>
              </w:rPr>
              <w:t>（必须提供，否则按无效投标处理）</w:t>
            </w:r>
          </w:p>
          <w:p w14:paraId="2C5A1999">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rPr>
            </w:pPr>
            <w:r>
              <w:rPr>
                <w:rFonts w:hint="eastAsia" w:ascii="宋体" w:hAnsi="宋体" w:cs="宋体"/>
                <w:sz w:val="24"/>
                <w:szCs w:val="24"/>
              </w:rPr>
              <w:t>9、中小企业声明函（格式后附，监狱企业或残疾人福利性单位视同中小企业）；</w:t>
            </w:r>
            <w:r>
              <w:rPr>
                <w:rFonts w:hint="eastAsia" w:ascii="宋体" w:hAnsi="宋体" w:cs="宋体"/>
                <w:b/>
                <w:sz w:val="24"/>
                <w:szCs w:val="24"/>
              </w:rPr>
              <w:t>（如有请提供）</w:t>
            </w:r>
          </w:p>
          <w:p w14:paraId="4BDFB94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bCs/>
                <w:sz w:val="24"/>
                <w:szCs w:val="24"/>
              </w:rPr>
            </w:pPr>
            <w:r>
              <w:rPr>
                <w:rFonts w:hint="eastAsia" w:ascii="宋体" w:hAnsi="宋体" w:eastAsia="宋体" w:cs="宋体"/>
                <w:sz w:val="24"/>
                <w:szCs w:val="24"/>
                <w:lang w:val="en-US" w:eastAsia="zh-CN"/>
              </w:rPr>
              <w:t>10</w:t>
            </w:r>
            <w:r>
              <w:rPr>
                <w:rFonts w:hint="eastAsia" w:ascii="宋体" w:hAnsi="宋体" w:cs="宋体"/>
                <w:sz w:val="24"/>
                <w:szCs w:val="24"/>
              </w:rPr>
              <w:t>、投标人根据招标公告对应的特定资格要求设置投标人提供的资格证明材料；</w:t>
            </w:r>
            <w:r>
              <w:rPr>
                <w:rFonts w:hint="eastAsia" w:ascii="宋体" w:hAnsi="宋体" w:cs="宋体"/>
                <w:b/>
                <w:bCs/>
                <w:sz w:val="24"/>
                <w:szCs w:val="24"/>
              </w:rPr>
              <w:t>（</w:t>
            </w:r>
            <w:r>
              <w:rPr>
                <w:rFonts w:hint="eastAsia" w:ascii="宋体" w:hAnsi="宋体" w:cs="宋体"/>
                <w:b/>
                <w:sz w:val="24"/>
                <w:szCs w:val="24"/>
              </w:rPr>
              <w:t>如有请提供</w:t>
            </w:r>
            <w:r>
              <w:rPr>
                <w:rFonts w:hint="eastAsia" w:ascii="宋体" w:hAnsi="宋体" w:cs="宋体"/>
                <w:b/>
                <w:bCs/>
                <w:sz w:val="24"/>
                <w:szCs w:val="24"/>
              </w:rPr>
              <w:t>）</w:t>
            </w:r>
          </w:p>
          <w:p w14:paraId="197BA29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rPr>
            </w:pPr>
            <w:r>
              <w:rPr>
                <w:rFonts w:hint="eastAsia" w:ascii="宋体" w:hAnsi="宋体" w:eastAsia="宋体" w:cs="宋体"/>
                <w:sz w:val="24"/>
                <w:szCs w:val="24"/>
                <w:lang w:val="en-US" w:eastAsia="zh-CN"/>
              </w:rPr>
              <w:t>11</w:t>
            </w:r>
            <w:r>
              <w:rPr>
                <w:rFonts w:hint="eastAsia" w:ascii="宋体" w:hAnsi="宋体" w:cs="宋体"/>
                <w:sz w:val="24"/>
                <w:szCs w:val="24"/>
              </w:rPr>
              <w:t>、除招标文件规定必须提供以外，投标人认为需要提供的其他证明材料。</w:t>
            </w:r>
          </w:p>
          <w:p w14:paraId="1AAE7EEA">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rPr>
            </w:pPr>
            <w:r>
              <w:rPr>
                <w:rFonts w:hint="eastAsia" w:ascii="宋体" w:hAnsi="宋体" w:cs="宋体"/>
                <w:sz w:val="24"/>
                <w:szCs w:val="24"/>
              </w:rPr>
              <w:t>12、拟派项目经理无在岗项目承诺书或随时撤离承诺书</w:t>
            </w:r>
            <w:r>
              <w:rPr>
                <w:rFonts w:hint="eastAsia" w:ascii="宋体" w:hAnsi="宋体" w:cs="宋体"/>
                <w:b/>
                <w:bCs/>
                <w:sz w:val="24"/>
                <w:szCs w:val="24"/>
              </w:rPr>
              <w:t>(</w:t>
            </w:r>
            <w:r>
              <w:rPr>
                <w:rFonts w:hint="eastAsia" w:ascii="宋体" w:hAnsi="宋体" w:eastAsia="宋体" w:cs="宋体"/>
                <w:b/>
                <w:bCs/>
                <w:sz w:val="24"/>
                <w:szCs w:val="24"/>
                <w:lang w:eastAsia="zh-CN"/>
              </w:rPr>
              <w:t>必须提供</w:t>
            </w:r>
            <w:r>
              <w:rPr>
                <w:rFonts w:hint="eastAsia" w:ascii="宋体" w:hAnsi="宋体" w:cs="宋体"/>
                <w:b/>
                <w:bCs/>
                <w:sz w:val="24"/>
                <w:szCs w:val="24"/>
              </w:rPr>
              <w:t>)</w:t>
            </w:r>
            <w:r>
              <w:rPr>
                <w:rFonts w:hint="eastAsia" w:ascii="宋体" w:hAnsi="宋体" w:cs="宋体"/>
                <w:sz w:val="24"/>
                <w:szCs w:val="24"/>
              </w:rPr>
              <w:t>(格式自拟)</w:t>
            </w:r>
          </w:p>
          <w:p w14:paraId="0124090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w:t>
            </w:r>
            <w:r>
              <w:rPr>
                <w:rFonts w:hint="eastAsia" w:ascii="宋体" w:hAnsi="宋体" w:cs="宋体"/>
                <w:b w:val="0"/>
                <w:bCs w:val="0"/>
                <w:sz w:val="24"/>
                <w:szCs w:val="24"/>
              </w:rPr>
              <w:t>其它承诺书(</w:t>
            </w:r>
            <w:r>
              <w:rPr>
                <w:rFonts w:hint="eastAsia" w:ascii="宋体" w:hAnsi="宋体" w:eastAsia="宋体" w:cs="宋体"/>
                <w:b w:val="0"/>
                <w:bCs w:val="0"/>
                <w:sz w:val="24"/>
                <w:szCs w:val="24"/>
                <w:lang w:val="en-US" w:eastAsia="zh-CN"/>
              </w:rPr>
              <w:t>如有请</w:t>
            </w:r>
            <w:r>
              <w:rPr>
                <w:rFonts w:hint="eastAsia" w:ascii="宋体" w:hAnsi="宋体" w:eastAsia="宋体" w:cs="宋体"/>
                <w:b w:val="0"/>
                <w:bCs w:val="0"/>
                <w:sz w:val="24"/>
                <w:szCs w:val="24"/>
                <w:lang w:eastAsia="zh-CN"/>
              </w:rPr>
              <w:t>提供</w:t>
            </w:r>
            <w:r>
              <w:rPr>
                <w:rFonts w:hint="eastAsia" w:ascii="宋体" w:hAnsi="宋体" w:cs="宋体"/>
                <w:b w:val="0"/>
                <w:bCs w:val="0"/>
                <w:sz w:val="24"/>
                <w:szCs w:val="24"/>
              </w:rPr>
              <w:t>)(格式自拟)</w:t>
            </w:r>
          </w:p>
          <w:p w14:paraId="45C438A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bCs/>
                <w:sz w:val="24"/>
                <w:szCs w:val="24"/>
              </w:rPr>
            </w:pPr>
            <w:r>
              <w:rPr>
                <w:rFonts w:hint="eastAsia" w:ascii="宋体" w:hAnsi="宋体" w:cs="宋体"/>
                <w:b/>
                <w:bCs/>
                <w:sz w:val="24"/>
                <w:szCs w:val="24"/>
              </w:rPr>
              <w:t>注：</w:t>
            </w:r>
          </w:p>
          <w:p w14:paraId="625DD8A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sz w:val="24"/>
                <w:szCs w:val="24"/>
              </w:rPr>
            </w:pPr>
            <w:r>
              <w:rPr>
                <w:rFonts w:hint="eastAsia" w:ascii="宋体" w:hAnsi="宋体" w:cs="宋体"/>
                <w:b/>
                <w:bCs/>
                <w:sz w:val="24"/>
                <w:szCs w:val="24"/>
              </w:rPr>
              <w:t>1、以上标明“必须提供”的材料属于复印件的，必须加盖投标人公章，否则按无效投标</w:t>
            </w:r>
            <w:r>
              <w:rPr>
                <w:rFonts w:hint="eastAsia" w:ascii="宋体" w:hAnsi="宋体" w:cs="宋体"/>
                <w:b/>
                <w:sz w:val="24"/>
                <w:szCs w:val="24"/>
              </w:rPr>
              <w:t>处理。</w:t>
            </w:r>
          </w:p>
          <w:p w14:paraId="44F33289">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bCs/>
                <w:sz w:val="24"/>
                <w:szCs w:val="24"/>
              </w:rPr>
            </w:pPr>
            <w:r>
              <w:rPr>
                <w:rFonts w:hint="eastAsia" w:ascii="宋体" w:hAnsi="宋体" w:cs="宋体"/>
                <w:b/>
                <w:sz w:val="24"/>
                <w:szCs w:val="24"/>
              </w:rPr>
              <w:t>2、</w:t>
            </w:r>
            <w:r>
              <w:rPr>
                <w:rFonts w:hint="eastAsia" w:ascii="宋体" w:hAnsi="宋体" w:cs="宋体"/>
                <w:b/>
                <w:bCs/>
                <w:sz w:val="24"/>
                <w:szCs w:val="24"/>
              </w:rPr>
              <w:t>投标声明必须由法定代表人在规定签章处签章并加盖投标人公章，否则按无效投标处理。</w:t>
            </w:r>
          </w:p>
          <w:p w14:paraId="34F95E6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sz w:val="24"/>
                <w:szCs w:val="24"/>
              </w:rPr>
            </w:pPr>
            <w:r>
              <w:rPr>
                <w:rFonts w:hint="eastAsia" w:ascii="宋体" w:hAnsi="宋体" w:cs="宋体"/>
                <w:b/>
                <w:bCs/>
                <w:sz w:val="24"/>
                <w:szCs w:val="24"/>
              </w:rPr>
              <w:t>3、投标人直接控股、管理关系信息表必须由法定代表人或者委托代理人在规定签章处签字并加盖投标人公章，否则按无效投标</w:t>
            </w:r>
            <w:r>
              <w:rPr>
                <w:rFonts w:hint="eastAsia" w:ascii="宋体" w:hAnsi="宋体" w:cs="宋体"/>
                <w:b/>
                <w:sz w:val="24"/>
                <w:szCs w:val="24"/>
              </w:rPr>
              <w:t>处理</w:t>
            </w:r>
            <w:r>
              <w:rPr>
                <w:rFonts w:hint="eastAsia" w:ascii="宋体" w:hAnsi="宋体" w:cs="宋体"/>
                <w:b/>
                <w:bCs/>
                <w:sz w:val="24"/>
                <w:szCs w:val="24"/>
              </w:rPr>
              <w:t>。</w:t>
            </w:r>
          </w:p>
        </w:tc>
      </w:tr>
      <w:tr w14:paraId="555C7C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Merge w:val="continue"/>
            <w:vAlign w:val="center"/>
          </w:tcPr>
          <w:p w14:paraId="466D79EC">
            <w:pPr>
              <w:keepNext w:val="0"/>
              <w:keepLines w:val="0"/>
              <w:pageBreakBefore w:val="0"/>
              <w:widowControl w:val="0"/>
              <w:kinsoku/>
              <w:wordWrap w:val="0"/>
              <w:overflowPunct/>
              <w:topLinePunct w:val="0"/>
              <w:autoSpaceDE w:val="0"/>
              <w:autoSpaceDN w:val="0"/>
              <w:bidi w:val="0"/>
              <w:adjustRightInd w:val="0"/>
              <w:snapToGrid w:val="0"/>
              <w:spacing w:line="360" w:lineRule="auto"/>
              <w:jc w:val="center"/>
              <w:textAlignment w:val="baseline"/>
              <w:rPr>
                <w:rFonts w:ascii="Arial"/>
                <w:sz w:val="24"/>
                <w:szCs w:val="24"/>
              </w:rPr>
            </w:pPr>
          </w:p>
        </w:tc>
        <w:tc>
          <w:tcPr>
            <w:tcW w:w="8708" w:type="dxa"/>
            <w:vAlign w:val="top"/>
          </w:tcPr>
          <w:p w14:paraId="47A51B9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sz w:val="24"/>
                <w:szCs w:val="24"/>
              </w:rPr>
            </w:pPr>
            <w:r>
              <w:rPr>
                <w:rFonts w:hint="eastAsia" w:ascii="宋体" w:hAnsi="宋体" w:cs="宋体"/>
                <w:b/>
                <w:sz w:val="24"/>
                <w:szCs w:val="24"/>
              </w:rPr>
              <w:t>商务文件：</w:t>
            </w:r>
          </w:p>
          <w:p w14:paraId="652458AA">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1、无串通投标行为的承诺函（格式后附）；（</w:t>
            </w:r>
            <w:r>
              <w:rPr>
                <w:rFonts w:hint="eastAsia" w:ascii="宋体" w:hAnsi="宋体" w:cs="宋体"/>
                <w:b/>
                <w:sz w:val="24"/>
                <w:szCs w:val="24"/>
              </w:rPr>
              <w:t>必须提供，否则按无效投标处理</w:t>
            </w:r>
            <w:r>
              <w:rPr>
                <w:rFonts w:hint="eastAsia" w:ascii="宋体" w:hAnsi="宋体" w:cs="宋体"/>
                <w:sz w:val="24"/>
                <w:szCs w:val="24"/>
              </w:rPr>
              <w:t>）</w:t>
            </w:r>
          </w:p>
          <w:p w14:paraId="2F856902">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2、投标保证金提交凭证；（</w:t>
            </w:r>
            <w:r>
              <w:rPr>
                <w:rFonts w:hint="eastAsia" w:ascii="宋体" w:hAnsi="宋体" w:cs="宋体"/>
                <w:b/>
                <w:bCs/>
                <w:sz w:val="24"/>
                <w:szCs w:val="24"/>
              </w:rPr>
              <w:t>必须提供</w:t>
            </w:r>
            <w:r>
              <w:rPr>
                <w:rFonts w:hint="eastAsia" w:ascii="宋体" w:hAnsi="宋体" w:cs="宋体"/>
                <w:b/>
                <w:sz w:val="24"/>
                <w:szCs w:val="24"/>
              </w:rPr>
              <w:t>，否则按无效投标处理</w:t>
            </w:r>
            <w:r>
              <w:rPr>
                <w:rFonts w:hint="eastAsia" w:ascii="宋体" w:hAnsi="宋体" w:cs="宋体"/>
                <w:sz w:val="24"/>
                <w:szCs w:val="24"/>
              </w:rPr>
              <w:t>）</w:t>
            </w:r>
          </w:p>
          <w:p w14:paraId="26DC679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3、法定代表人身份证明及法定代表人有效身份证正反面复印件（格式后附）；（</w:t>
            </w:r>
            <w:r>
              <w:rPr>
                <w:rFonts w:hint="eastAsia" w:ascii="宋体" w:hAnsi="宋体" w:cs="宋体"/>
                <w:b/>
                <w:bCs/>
                <w:sz w:val="24"/>
                <w:szCs w:val="24"/>
              </w:rPr>
              <w:t>除自然人投标外</w:t>
            </w:r>
            <w:r>
              <w:rPr>
                <w:rFonts w:hint="eastAsia" w:ascii="宋体" w:hAnsi="宋体" w:cs="宋体"/>
                <w:b/>
                <w:sz w:val="24"/>
                <w:szCs w:val="24"/>
              </w:rPr>
              <w:t>必须提供，否则按无效投标处理</w:t>
            </w:r>
            <w:r>
              <w:rPr>
                <w:rFonts w:hint="eastAsia" w:ascii="宋体" w:hAnsi="宋体" w:cs="宋体"/>
                <w:sz w:val="24"/>
                <w:szCs w:val="24"/>
              </w:rPr>
              <w:t>）</w:t>
            </w:r>
          </w:p>
          <w:p w14:paraId="20253EF9">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4、授权委托书及委托代理人有效身份证正反面复印件（格式后附）；（</w:t>
            </w:r>
            <w:r>
              <w:rPr>
                <w:rFonts w:hint="eastAsia" w:ascii="宋体" w:hAnsi="宋体" w:cs="宋体"/>
                <w:b/>
                <w:sz w:val="24"/>
                <w:szCs w:val="24"/>
              </w:rPr>
              <w:t>委托时必须提供，否则按无效投标处理</w:t>
            </w:r>
            <w:r>
              <w:rPr>
                <w:rFonts w:hint="eastAsia" w:ascii="宋体" w:hAnsi="宋体" w:cs="宋体"/>
                <w:sz w:val="24"/>
                <w:szCs w:val="24"/>
              </w:rPr>
              <w:t>）</w:t>
            </w:r>
          </w:p>
          <w:p w14:paraId="345A24AA">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5、商务要求偏离表（格式后附）；（</w:t>
            </w:r>
            <w:r>
              <w:rPr>
                <w:rFonts w:hint="eastAsia" w:ascii="宋体" w:hAnsi="宋体" w:cs="宋体"/>
                <w:b/>
                <w:sz w:val="24"/>
                <w:szCs w:val="24"/>
              </w:rPr>
              <w:t>必须提供，否则按无效投标处理</w:t>
            </w:r>
            <w:r>
              <w:rPr>
                <w:rFonts w:hint="eastAsia" w:ascii="宋体" w:hAnsi="宋体" w:cs="宋体"/>
                <w:sz w:val="24"/>
                <w:szCs w:val="24"/>
              </w:rPr>
              <w:t>）</w:t>
            </w:r>
          </w:p>
          <w:p w14:paraId="65E6257B">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eastAsia="宋体" w:cs="宋体"/>
                <w:sz w:val="24"/>
                <w:szCs w:val="24"/>
                <w:lang w:val="en-US" w:eastAsia="zh-CN"/>
              </w:rPr>
              <w:t>6</w:t>
            </w:r>
            <w:r>
              <w:rPr>
                <w:rFonts w:hint="eastAsia" w:ascii="宋体" w:hAnsi="宋体" w:cs="宋体"/>
                <w:sz w:val="24"/>
                <w:szCs w:val="24"/>
              </w:rPr>
              <w:t>、投标人情况介绍（格式自拟）；</w:t>
            </w:r>
          </w:p>
          <w:p w14:paraId="74A308C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r>
              <w:rPr>
                <w:rFonts w:hint="eastAsia" w:ascii="宋体" w:hAnsi="宋体" w:cs="宋体"/>
                <w:sz w:val="24"/>
                <w:szCs w:val="24"/>
              </w:rPr>
              <w:t>、投标人业绩证明材料</w:t>
            </w:r>
            <w:r>
              <w:rPr>
                <w:rFonts w:hint="eastAsia" w:ascii="宋体" w:hAnsi="宋体" w:eastAsia="宋体" w:cs="宋体"/>
                <w:sz w:val="24"/>
                <w:szCs w:val="24"/>
                <w:lang w:eastAsia="zh-CN"/>
              </w:rPr>
              <w:t>；</w:t>
            </w:r>
          </w:p>
          <w:p w14:paraId="4157DCFB">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rPr>
            </w:pPr>
            <w:r>
              <w:rPr>
                <w:rFonts w:hint="eastAsia" w:ascii="宋体" w:hAnsi="宋体" w:eastAsia="宋体" w:cs="宋体"/>
                <w:sz w:val="24"/>
                <w:szCs w:val="24"/>
                <w:lang w:val="en-US" w:eastAsia="zh-CN"/>
              </w:rPr>
              <w:t>8、</w:t>
            </w:r>
            <w:r>
              <w:rPr>
                <w:rFonts w:hint="eastAsia" w:ascii="宋体" w:hAnsi="宋体" w:cs="宋体"/>
                <w:sz w:val="24"/>
                <w:szCs w:val="24"/>
              </w:rPr>
              <w:t>除招标文件规定必须提供以外，投标人认为需要提供的其他证明材料（格式自拟）。</w:t>
            </w:r>
          </w:p>
          <w:p w14:paraId="48D68B0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b/>
                <w:bCs/>
                <w:sz w:val="24"/>
                <w:szCs w:val="24"/>
              </w:rPr>
            </w:pPr>
            <w:r>
              <w:rPr>
                <w:rFonts w:hint="eastAsia" w:ascii="宋体" w:hAnsi="宋体" w:cs="宋体"/>
                <w:b/>
                <w:bCs/>
                <w:sz w:val="24"/>
                <w:szCs w:val="24"/>
              </w:rPr>
              <w:t>注：以上标明“必须提供”的材料属于复印件的，必须加盖投标人公章，否则按无效投标</w:t>
            </w:r>
            <w:r>
              <w:rPr>
                <w:rFonts w:hint="eastAsia" w:ascii="宋体" w:hAnsi="宋体" w:cs="宋体"/>
                <w:b/>
                <w:sz w:val="24"/>
                <w:szCs w:val="24"/>
              </w:rPr>
              <w:t>处理</w:t>
            </w:r>
            <w:r>
              <w:rPr>
                <w:rFonts w:hint="eastAsia" w:ascii="宋体" w:hAnsi="宋体" w:cs="宋体"/>
                <w:b/>
                <w:bCs/>
                <w:sz w:val="24"/>
                <w:szCs w:val="24"/>
              </w:rPr>
              <w:t>。</w:t>
            </w:r>
          </w:p>
        </w:tc>
      </w:tr>
      <w:tr w14:paraId="7F868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Merge w:val="continue"/>
            <w:vAlign w:val="center"/>
          </w:tcPr>
          <w:p w14:paraId="1836A2B1">
            <w:pPr>
              <w:keepNext w:val="0"/>
              <w:keepLines w:val="0"/>
              <w:pageBreakBefore w:val="0"/>
              <w:widowControl w:val="0"/>
              <w:kinsoku/>
              <w:wordWrap w:val="0"/>
              <w:overflowPunct/>
              <w:topLinePunct w:val="0"/>
              <w:autoSpaceDE w:val="0"/>
              <w:autoSpaceDN w:val="0"/>
              <w:bidi w:val="0"/>
              <w:adjustRightInd w:val="0"/>
              <w:snapToGrid w:val="0"/>
              <w:spacing w:line="360" w:lineRule="auto"/>
              <w:jc w:val="center"/>
              <w:textAlignment w:val="baseline"/>
              <w:rPr>
                <w:rFonts w:ascii="Arial"/>
                <w:sz w:val="24"/>
                <w:szCs w:val="24"/>
              </w:rPr>
            </w:pPr>
          </w:p>
        </w:tc>
        <w:tc>
          <w:tcPr>
            <w:tcW w:w="8708" w:type="dxa"/>
            <w:vAlign w:val="top"/>
          </w:tcPr>
          <w:p w14:paraId="31BAD2B9">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sz w:val="24"/>
                <w:szCs w:val="24"/>
              </w:rPr>
            </w:pPr>
            <w:r>
              <w:rPr>
                <w:rFonts w:hint="eastAsia" w:ascii="宋体" w:hAnsi="宋体" w:cs="宋体"/>
                <w:b/>
                <w:sz w:val="24"/>
                <w:szCs w:val="24"/>
              </w:rPr>
              <w:t>技术文件：</w:t>
            </w:r>
          </w:p>
          <w:p w14:paraId="0574ABC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bCs/>
                <w:sz w:val="24"/>
                <w:szCs w:val="24"/>
              </w:rPr>
            </w:pPr>
            <w:r>
              <w:rPr>
                <w:rFonts w:hint="eastAsia" w:ascii="宋体" w:hAnsi="宋体" w:cs="宋体"/>
                <w:sz w:val="24"/>
                <w:szCs w:val="24"/>
              </w:rPr>
              <w:t>1、</w:t>
            </w:r>
            <w:r>
              <w:rPr>
                <w:rFonts w:hint="eastAsia" w:ascii="宋体" w:hAnsi="宋体" w:eastAsia="宋体" w:cs="宋体"/>
                <w:sz w:val="24"/>
                <w:szCs w:val="24"/>
                <w:lang w:val="en-US" w:eastAsia="zh-CN"/>
              </w:rPr>
              <w:t>主要技术需求和服务要求</w:t>
            </w:r>
            <w:r>
              <w:rPr>
                <w:rFonts w:hint="eastAsia" w:ascii="宋体" w:hAnsi="宋体" w:cs="宋体"/>
                <w:sz w:val="24"/>
                <w:szCs w:val="24"/>
              </w:rPr>
              <w:t>偏离表（格式后附）；</w:t>
            </w:r>
            <w:r>
              <w:rPr>
                <w:rFonts w:hint="eastAsia" w:ascii="宋体" w:hAnsi="宋体" w:cs="宋体"/>
                <w:b/>
                <w:bCs/>
                <w:sz w:val="24"/>
                <w:szCs w:val="24"/>
              </w:rPr>
              <w:t>（必须提供，否则按无效投标处理）</w:t>
            </w:r>
          </w:p>
          <w:p w14:paraId="04F184F8">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bCs/>
                <w:sz w:val="24"/>
                <w:szCs w:val="24"/>
              </w:rPr>
            </w:pPr>
            <w:r>
              <w:rPr>
                <w:rFonts w:hint="eastAsia" w:ascii="宋体" w:hAnsi="宋体" w:cs="宋体"/>
                <w:sz w:val="24"/>
                <w:szCs w:val="24"/>
              </w:rPr>
              <w:t>2、农民工工资保证金承诺书（格式附后）；</w:t>
            </w:r>
            <w:r>
              <w:rPr>
                <w:rFonts w:hint="eastAsia" w:ascii="宋体" w:hAnsi="宋体" w:cs="宋体"/>
                <w:b/>
                <w:bCs/>
                <w:sz w:val="24"/>
                <w:szCs w:val="24"/>
              </w:rPr>
              <w:t>（必须提供，投标人必须按投标文件格式“农民工工资保证金承诺书”对农民工工资保障金的问题作出承诺，承诺内容与承诺书格式内容不符或者未作承诺的，作否决投标处理）</w:t>
            </w:r>
          </w:p>
          <w:p w14:paraId="3ECF64F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3、关于投标人中标后优先使用本地农民工的承诺函（格式自拟）；</w:t>
            </w:r>
            <w:r>
              <w:rPr>
                <w:rFonts w:hint="eastAsia" w:ascii="宋体" w:hAnsi="宋体" w:cs="宋体"/>
                <w:b/>
                <w:bCs/>
                <w:sz w:val="24"/>
                <w:szCs w:val="24"/>
              </w:rPr>
              <w:t>（必须提供，否则按无效投标处理）</w:t>
            </w:r>
            <w:r>
              <w:rPr>
                <w:rFonts w:hint="eastAsia" w:ascii="宋体" w:hAnsi="宋体" w:cs="宋体"/>
                <w:sz w:val="24"/>
                <w:szCs w:val="24"/>
              </w:rPr>
              <w:t>（为响应国家富农、强农、惠农、兴农、助农及“乡村振兴”等，推动农村富余劳动力转移就业，增加当地农民劳务收入，改善当地农民经济生活，中标人须承诺中标后现场养护工人在同等基础条件下优先使用本地农民工，未作承诺的，作否决投标处理。）</w:t>
            </w:r>
          </w:p>
          <w:p w14:paraId="68CD371C">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4、投入</w:t>
            </w:r>
            <w:r>
              <w:rPr>
                <w:rFonts w:hint="eastAsia" w:ascii="宋体"/>
                <w:sz w:val="24"/>
                <w:szCs w:val="24"/>
              </w:rPr>
              <w:t>主要机械设备和试验检测设备承诺函；</w:t>
            </w:r>
            <w:r>
              <w:rPr>
                <w:rFonts w:hint="eastAsia" w:ascii="宋体" w:hAnsi="宋体" w:cs="宋体"/>
                <w:b/>
                <w:bCs/>
                <w:sz w:val="24"/>
                <w:szCs w:val="24"/>
              </w:rPr>
              <w:t>（必须提供，否则按无效投标处理）</w:t>
            </w:r>
            <w:r>
              <w:rPr>
                <w:rFonts w:hint="eastAsia" w:ascii="宋体" w:hAnsi="宋体" w:cs="宋体"/>
                <w:sz w:val="24"/>
                <w:szCs w:val="24"/>
              </w:rPr>
              <w:t>（投标人应按公开招标文件采购需求人员及设备要求提供承诺函予以响应，未作承诺的，作否决投标处理。）</w:t>
            </w:r>
          </w:p>
          <w:p w14:paraId="6015EEAF">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5、服务方案（格式自拟）；</w:t>
            </w:r>
          </w:p>
          <w:p w14:paraId="7B1BFE8F">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highlight w:val="none"/>
              </w:rPr>
            </w:pPr>
            <w:r>
              <w:rPr>
                <w:rFonts w:hint="eastAsia" w:ascii="宋体" w:hAnsi="宋体" w:cs="宋体"/>
                <w:sz w:val="24"/>
                <w:szCs w:val="24"/>
              </w:rPr>
              <w:t>6、项目实施人员一览表（格式附</w:t>
            </w:r>
            <w:r>
              <w:rPr>
                <w:rFonts w:hint="eastAsia" w:ascii="宋体" w:hAnsi="宋体" w:eastAsia="宋体" w:cs="宋体"/>
                <w:sz w:val="24"/>
                <w:szCs w:val="24"/>
                <w:lang w:val="en-US" w:eastAsia="zh-CN"/>
              </w:rPr>
              <w:t>后</w:t>
            </w:r>
            <w:r>
              <w:rPr>
                <w:rFonts w:hint="eastAsia" w:ascii="宋体" w:hAnsi="宋体" w:cs="宋体"/>
                <w:sz w:val="24"/>
                <w:szCs w:val="24"/>
              </w:rPr>
              <w:t>，投标人应</w:t>
            </w:r>
            <w:r>
              <w:rPr>
                <w:rFonts w:hint="eastAsia" w:ascii="宋体" w:hAnsi="宋体" w:eastAsia="宋体" w:cs="宋体"/>
                <w:sz w:val="24"/>
                <w:szCs w:val="24"/>
                <w:lang w:val="en-US" w:eastAsia="zh-CN"/>
              </w:rPr>
              <w:t>满足</w:t>
            </w:r>
            <w:r>
              <w:rPr>
                <w:rFonts w:hint="eastAsia" w:ascii="宋体" w:hAnsi="宋体" w:cs="宋体"/>
                <w:sz w:val="24"/>
                <w:szCs w:val="24"/>
              </w:rPr>
              <w:t>公开招标文件采购需求</w:t>
            </w:r>
            <w:r>
              <w:rPr>
                <w:rFonts w:hint="eastAsia" w:ascii="宋体" w:hAnsi="宋体" w:eastAsia="宋体" w:cs="宋体"/>
                <w:sz w:val="24"/>
                <w:szCs w:val="24"/>
                <w:lang w:val="en-US" w:eastAsia="zh-CN"/>
              </w:rPr>
              <w:t>中</w:t>
            </w:r>
            <w:r>
              <w:rPr>
                <w:rFonts w:hint="eastAsia" w:ascii="宋体"/>
                <w:sz w:val="24"/>
                <w:szCs w:val="24"/>
                <w:highlight w:val="none"/>
              </w:rPr>
              <w:t>主要管理</w:t>
            </w:r>
            <w:r>
              <w:rPr>
                <w:rFonts w:hint="eastAsia" w:ascii="宋体" w:eastAsia="宋体"/>
                <w:sz w:val="24"/>
                <w:szCs w:val="24"/>
                <w:highlight w:val="none"/>
                <w:lang w:val="en-US" w:eastAsia="zh-CN"/>
              </w:rPr>
              <w:t>人员</w:t>
            </w:r>
            <w:r>
              <w:rPr>
                <w:rFonts w:hint="eastAsia" w:ascii="宋体"/>
                <w:sz w:val="24"/>
                <w:szCs w:val="24"/>
                <w:highlight w:val="none"/>
              </w:rPr>
              <w:t>和技术人员</w:t>
            </w:r>
            <w:r>
              <w:rPr>
                <w:rFonts w:hint="eastAsia" w:ascii="宋体" w:eastAsia="宋体"/>
                <w:sz w:val="24"/>
                <w:szCs w:val="24"/>
                <w:highlight w:val="none"/>
                <w:lang w:val="en-US" w:eastAsia="zh-CN"/>
              </w:rPr>
              <w:t>配置</w:t>
            </w:r>
            <w:r>
              <w:rPr>
                <w:rFonts w:hint="eastAsia" w:ascii="宋体"/>
                <w:sz w:val="24"/>
                <w:szCs w:val="24"/>
                <w:highlight w:val="none"/>
              </w:rPr>
              <w:t>最低要求，</w:t>
            </w:r>
            <w:r>
              <w:rPr>
                <w:rFonts w:hint="eastAsia" w:ascii="宋体" w:hAnsi="宋体" w:cs="宋体"/>
                <w:b/>
                <w:bCs/>
                <w:sz w:val="24"/>
                <w:szCs w:val="24"/>
                <w:highlight w:val="none"/>
              </w:rPr>
              <w:t>必须提供，否则按无效投标处理</w:t>
            </w:r>
            <w:r>
              <w:rPr>
                <w:rFonts w:hint="eastAsia" w:ascii="宋体" w:hAnsi="宋体" w:cs="宋体"/>
                <w:sz w:val="24"/>
                <w:szCs w:val="24"/>
                <w:highlight w:val="none"/>
              </w:rPr>
              <w:t>）；</w:t>
            </w:r>
          </w:p>
          <w:p w14:paraId="3DFFF09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7、投入满足应急抢险需要的人员承诺函</w:t>
            </w:r>
            <w:r>
              <w:rPr>
                <w:rFonts w:hint="eastAsia" w:ascii="宋体"/>
                <w:sz w:val="24"/>
                <w:szCs w:val="24"/>
              </w:rPr>
              <w:t>（格式自拟）；</w:t>
            </w:r>
            <w:r>
              <w:rPr>
                <w:rFonts w:hint="eastAsia" w:ascii="宋体" w:hAnsi="宋体" w:cs="宋体"/>
                <w:b/>
                <w:bCs/>
                <w:sz w:val="24"/>
                <w:szCs w:val="24"/>
              </w:rPr>
              <w:t>（必须提供，否则按无效投标处理）</w:t>
            </w:r>
            <w:r>
              <w:rPr>
                <w:rFonts w:hint="eastAsia" w:ascii="宋体" w:hAnsi="宋体" w:cs="宋体"/>
                <w:sz w:val="24"/>
                <w:szCs w:val="24"/>
              </w:rPr>
              <w:t>（投标人应按公开招标文件第二章采购需求中的</w:t>
            </w:r>
            <w:r>
              <w:rPr>
                <w:rFonts w:hint="eastAsia" w:cs="宋体"/>
                <w:sz w:val="24"/>
                <w:szCs w:val="24"/>
                <w:lang w:eastAsia="zh-CN"/>
              </w:rPr>
              <w:t>“</w:t>
            </w:r>
            <w:r>
              <w:rPr>
                <w:rFonts w:hint="eastAsia" w:ascii="宋体" w:hAnsi="宋体" w:eastAsia="宋体" w:cs="宋体"/>
                <w:b/>
                <w:bCs/>
                <w:spacing w:val="0"/>
                <w:w w:val="100"/>
                <w:position w:val="0"/>
                <w:sz w:val="24"/>
                <w:szCs w:val="24"/>
              </w:rPr>
              <w:t>三、服务</w:t>
            </w:r>
            <w:r>
              <w:rPr>
                <w:rFonts w:hint="eastAsia" w:ascii="宋体" w:hAnsi="宋体" w:eastAsia="宋体" w:cs="宋体"/>
                <w:b/>
                <w:bCs/>
                <w:spacing w:val="0"/>
                <w:w w:val="100"/>
                <w:position w:val="0"/>
                <w:sz w:val="24"/>
                <w:szCs w:val="24"/>
                <w:lang w:val="en-US" w:eastAsia="zh-CN"/>
              </w:rPr>
              <w:t>内容</w:t>
            </w:r>
            <w:r>
              <w:rPr>
                <w:rFonts w:hint="eastAsia" w:ascii="宋体" w:hAnsi="宋体" w:eastAsia="宋体" w:cs="宋体"/>
                <w:b/>
                <w:bCs/>
                <w:spacing w:val="0"/>
                <w:w w:val="100"/>
                <w:position w:val="0"/>
                <w:sz w:val="24"/>
                <w:szCs w:val="24"/>
              </w:rPr>
              <w:t>要求和技术需求</w:t>
            </w:r>
            <w:r>
              <w:rPr>
                <w:rFonts w:hint="eastAsia" w:ascii="宋体" w:hAnsi="宋体" w:eastAsia="宋体" w:cs="宋体"/>
                <w:b/>
                <w:bCs/>
                <w:spacing w:val="0"/>
                <w:w w:val="100"/>
                <w:position w:val="0"/>
                <w:sz w:val="24"/>
                <w:szCs w:val="24"/>
                <w:lang w:eastAsia="zh-CN"/>
              </w:rPr>
              <w:t>”第</w:t>
            </w:r>
            <w:r>
              <w:rPr>
                <w:rFonts w:hint="eastAsia" w:ascii="宋体" w:hAnsi="宋体" w:eastAsia="宋体" w:cs="宋体"/>
                <w:b/>
                <w:bCs/>
                <w:spacing w:val="0"/>
                <w:w w:val="100"/>
                <w:position w:val="0"/>
                <w:sz w:val="24"/>
                <w:szCs w:val="24"/>
                <w:lang w:val="en-US" w:eastAsia="zh-CN"/>
              </w:rPr>
              <w:t>2点</w:t>
            </w:r>
            <w:r>
              <w:rPr>
                <w:rFonts w:hint="eastAsia" w:ascii="宋体" w:hAnsi="宋体" w:cs="宋体"/>
                <w:sz w:val="24"/>
                <w:szCs w:val="24"/>
              </w:rPr>
              <w:t>应急抢险要求</w:t>
            </w:r>
            <w:r>
              <w:rPr>
                <w:rFonts w:hint="eastAsia" w:cs="宋体"/>
                <w:sz w:val="24"/>
                <w:szCs w:val="24"/>
                <w:lang w:eastAsia="zh-CN"/>
              </w:rPr>
              <w:t>：</w:t>
            </w:r>
            <w:r>
              <w:rPr>
                <w:rFonts w:hint="eastAsia" w:ascii="宋体" w:hAnsi="宋体" w:cs="宋体"/>
                <w:sz w:val="24"/>
                <w:szCs w:val="24"/>
              </w:rPr>
              <w:t>提供承诺函予以响应，未作承诺的，作否决投标处理。）</w:t>
            </w:r>
          </w:p>
          <w:p w14:paraId="17115C08">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8、投标人对本项目的合理化建议和改进措施（格式自拟）；</w:t>
            </w:r>
          </w:p>
          <w:p w14:paraId="09A8452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rPr>
            </w:pPr>
            <w:r>
              <w:rPr>
                <w:rFonts w:hint="eastAsia" w:ascii="宋体" w:hAnsi="宋体" w:cs="宋体"/>
                <w:sz w:val="24"/>
                <w:szCs w:val="24"/>
              </w:rPr>
              <w:t>9、除招标文件规定必须提供以外，投标人需要说明的其他文件和说明（格式自拟）。</w:t>
            </w:r>
          </w:p>
          <w:p w14:paraId="6E961C62">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sz w:val="24"/>
                <w:szCs w:val="24"/>
              </w:rPr>
            </w:pPr>
            <w:r>
              <w:rPr>
                <w:rFonts w:hint="eastAsia" w:ascii="宋体" w:hAnsi="宋体" w:cs="宋体"/>
                <w:b/>
                <w:bCs/>
                <w:sz w:val="24"/>
                <w:szCs w:val="24"/>
              </w:rPr>
              <w:t>注：以上标明“必须提供”的材料属于复印件的，必须加盖投标人公章，否则按无效投标</w:t>
            </w:r>
            <w:r>
              <w:rPr>
                <w:rFonts w:hint="eastAsia" w:ascii="宋体" w:hAnsi="宋体" w:cs="宋体"/>
                <w:b/>
                <w:sz w:val="24"/>
                <w:szCs w:val="24"/>
              </w:rPr>
              <w:t>处理</w:t>
            </w:r>
            <w:r>
              <w:rPr>
                <w:rFonts w:hint="eastAsia" w:ascii="宋体" w:hAnsi="宋体" w:cs="宋体"/>
                <w:b/>
                <w:bCs/>
                <w:sz w:val="24"/>
                <w:szCs w:val="24"/>
              </w:rPr>
              <w:t>。</w:t>
            </w:r>
          </w:p>
        </w:tc>
      </w:tr>
      <w:tr w14:paraId="2B022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729A6EE0">
            <w:pPr>
              <w:pStyle w:val="29"/>
              <w:keepNext w:val="0"/>
              <w:keepLines w:val="0"/>
              <w:pageBreakBefore w:val="0"/>
              <w:widowControl w:val="0"/>
              <w:kinsoku/>
              <w:wordWrap w:val="0"/>
              <w:overflowPunct/>
              <w:topLinePunct w:val="0"/>
              <w:autoSpaceDE w:val="0"/>
              <w:autoSpaceDN w:val="0"/>
              <w:bidi w:val="0"/>
              <w:adjustRightInd w:val="0"/>
              <w:snapToGrid w:val="0"/>
              <w:spacing w:before="65" w:line="360" w:lineRule="auto"/>
              <w:ind w:left="0" w:leftChars="0" w:firstLine="0" w:firstLineChars="0"/>
              <w:jc w:val="center"/>
              <w:textAlignment w:val="baseline"/>
              <w:rPr>
                <w:sz w:val="24"/>
                <w:szCs w:val="24"/>
              </w:rPr>
            </w:pPr>
            <w:r>
              <w:rPr>
                <w:spacing w:val="-1"/>
                <w:position w:val="1"/>
                <w:sz w:val="24"/>
                <w:szCs w:val="24"/>
              </w:rPr>
              <w:t>16.2</w:t>
            </w:r>
          </w:p>
        </w:tc>
        <w:tc>
          <w:tcPr>
            <w:tcW w:w="8708" w:type="dxa"/>
            <w:vAlign w:val="top"/>
          </w:tcPr>
          <w:p w14:paraId="632EBED0">
            <w:pPr>
              <w:pStyle w:val="29"/>
              <w:keepNext w:val="0"/>
              <w:keepLines w:val="0"/>
              <w:pageBreakBefore w:val="0"/>
              <w:widowControl w:val="0"/>
              <w:kinsoku/>
              <w:wordWrap w:val="0"/>
              <w:overflowPunct/>
              <w:topLinePunct w:val="0"/>
              <w:autoSpaceDE w:val="0"/>
              <w:autoSpaceDN w:val="0"/>
              <w:bidi w:val="0"/>
              <w:adjustRightInd w:val="0"/>
              <w:snapToGrid w:val="0"/>
              <w:spacing w:before="2" w:line="360" w:lineRule="auto"/>
              <w:ind w:left="112" w:right="110"/>
              <w:jc w:val="both"/>
              <w:textAlignment w:val="baseline"/>
              <w:rPr>
                <w:rFonts w:hint="eastAsia" w:eastAsia="宋体"/>
                <w:sz w:val="24"/>
                <w:szCs w:val="24"/>
                <w:lang w:eastAsia="zh-CN"/>
              </w:rPr>
            </w:pPr>
            <w:r>
              <w:rPr>
                <w:b/>
                <w:bCs/>
                <w:spacing w:val="10"/>
                <w:sz w:val="24"/>
                <w:szCs w:val="24"/>
                <w:highlight w:val="none"/>
              </w:rPr>
              <w:t>本项目投标报价采用养护</w:t>
            </w:r>
            <w:r>
              <w:rPr>
                <w:rFonts w:hint="eastAsia"/>
                <w:b/>
                <w:bCs/>
                <w:spacing w:val="10"/>
                <w:sz w:val="24"/>
                <w:szCs w:val="24"/>
                <w:highlight w:val="none"/>
                <w:lang w:val="en-US" w:eastAsia="zh-CN"/>
              </w:rPr>
              <w:t>服务工程量</w:t>
            </w:r>
            <w:r>
              <w:rPr>
                <w:b/>
                <w:bCs/>
                <w:spacing w:val="10"/>
                <w:sz w:val="24"/>
                <w:szCs w:val="24"/>
                <w:highlight w:val="none"/>
              </w:rPr>
              <w:t>清单报价。投标人应就采购人提供的养护服务</w:t>
            </w:r>
            <w:r>
              <w:rPr>
                <w:rFonts w:hint="eastAsia"/>
                <w:b/>
                <w:bCs/>
                <w:spacing w:val="10"/>
                <w:sz w:val="24"/>
                <w:szCs w:val="24"/>
                <w:highlight w:val="none"/>
                <w:lang w:val="en-US" w:eastAsia="zh-CN"/>
              </w:rPr>
              <w:t>工程量</w:t>
            </w:r>
            <w:r>
              <w:rPr>
                <w:b/>
                <w:bCs/>
                <w:spacing w:val="10"/>
                <w:sz w:val="24"/>
                <w:szCs w:val="24"/>
                <w:highlight w:val="none"/>
              </w:rPr>
              <w:t>清单</w:t>
            </w:r>
            <w:r>
              <w:rPr>
                <w:b/>
                <w:bCs/>
                <w:spacing w:val="9"/>
                <w:sz w:val="24"/>
                <w:szCs w:val="24"/>
                <w:highlight w:val="none"/>
              </w:rPr>
              <w:t>作</w:t>
            </w:r>
            <w:r>
              <w:rPr>
                <w:b/>
                <w:bCs/>
                <w:spacing w:val="10"/>
                <w:sz w:val="24"/>
                <w:szCs w:val="24"/>
                <w:highlight w:val="none"/>
              </w:rPr>
              <w:t>完整唯一报价，漏项报价的或有选择的或有条件的报价，其投标将视为无效</w:t>
            </w:r>
            <w:r>
              <w:rPr>
                <w:b/>
                <w:bCs/>
                <w:spacing w:val="9"/>
                <w:sz w:val="24"/>
                <w:szCs w:val="24"/>
                <w:highlight w:val="none"/>
              </w:rPr>
              <w:t>；投标</w:t>
            </w:r>
            <w:r>
              <w:rPr>
                <w:rFonts w:hint="eastAsia"/>
                <w:b/>
                <w:bCs/>
                <w:spacing w:val="9"/>
                <w:sz w:val="24"/>
                <w:szCs w:val="24"/>
                <w:highlight w:val="none"/>
                <w:lang w:val="en-US" w:eastAsia="zh-CN"/>
              </w:rPr>
              <w:t>总</w:t>
            </w:r>
            <w:r>
              <w:rPr>
                <w:b/>
                <w:bCs/>
                <w:spacing w:val="9"/>
                <w:sz w:val="24"/>
                <w:szCs w:val="24"/>
                <w:highlight w:val="none"/>
              </w:rPr>
              <w:t>报价</w:t>
            </w:r>
            <w:r>
              <w:rPr>
                <w:rFonts w:hint="eastAsia"/>
                <w:b/>
                <w:bCs/>
                <w:spacing w:val="9"/>
                <w:sz w:val="24"/>
                <w:szCs w:val="24"/>
                <w:highlight w:val="none"/>
                <w:lang w:val="en-US" w:eastAsia="zh-CN"/>
              </w:rPr>
              <w:t>及清单各子目报价</w:t>
            </w:r>
            <w:r>
              <w:rPr>
                <w:b/>
                <w:bCs/>
                <w:spacing w:val="9"/>
                <w:sz w:val="24"/>
                <w:szCs w:val="24"/>
                <w:highlight w:val="none"/>
              </w:rPr>
              <w:t>超过</w:t>
            </w:r>
            <w:r>
              <w:rPr>
                <w:rFonts w:hint="eastAsia"/>
                <w:b/>
                <w:bCs/>
                <w:spacing w:val="9"/>
                <w:sz w:val="24"/>
                <w:szCs w:val="24"/>
                <w:highlight w:val="none"/>
                <w:lang w:val="en-US" w:eastAsia="zh-CN"/>
              </w:rPr>
              <w:t>公布的最高限价和清单子目限价</w:t>
            </w:r>
            <w:r>
              <w:rPr>
                <w:rFonts w:hint="eastAsia" w:cs="宋体"/>
                <w:color w:val="auto"/>
                <w:spacing w:val="0"/>
                <w:w w:val="100"/>
                <w:position w:val="0"/>
                <w:sz w:val="24"/>
                <w:szCs w:val="24"/>
                <w:highlight w:val="none"/>
                <w:lang w:val="en-US" w:eastAsia="zh-CN"/>
              </w:rPr>
              <w:t>，</w:t>
            </w:r>
            <w:r>
              <w:rPr>
                <w:b/>
                <w:bCs/>
                <w:spacing w:val="10"/>
                <w:sz w:val="24"/>
                <w:szCs w:val="24"/>
                <w:highlight w:val="none"/>
              </w:rPr>
              <w:t>其投标将视为无效</w:t>
            </w:r>
            <w:r>
              <w:rPr>
                <w:b/>
                <w:bCs/>
                <w:spacing w:val="7"/>
                <w:sz w:val="24"/>
                <w:szCs w:val="24"/>
                <w:highlight w:val="none"/>
              </w:rPr>
              <w:t>。</w:t>
            </w:r>
          </w:p>
        </w:tc>
      </w:tr>
      <w:tr w14:paraId="7EC9B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52CFE2CC">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17.2</w:t>
            </w:r>
          </w:p>
        </w:tc>
        <w:tc>
          <w:tcPr>
            <w:tcW w:w="8708" w:type="dxa"/>
            <w:vAlign w:val="top"/>
          </w:tcPr>
          <w:p w14:paraId="501BB27F">
            <w:pPr>
              <w:pStyle w:val="29"/>
              <w:keepNext w:val="0"/>
              <w:keepLines w:val="0"/>
              <w:pageBreakBefore w:val="0"/>
              <w:widowControl w:val="0"/>
              <w:kinsoku/>
              <w:wordWrap w:val="0"/>
              <w:overflowPunct/>
              <w:topLinePunct w:val="0"/>
              <w:autoSpaceDE w:val="0"/>
              <w:autoSpaceDN w:val="0"/>
              <w:bidi w:val="0"/>
              <w:adjustRightInd w:val="0"/>
              <w:snapToGrid w:val="0"/>
              <w:spacing w:before="34" w:line="360" w:lineRule="auto"/>
              <w:ind w:left="114"/>
              <w:textAlignment w:val="baseline"/>
              <w:rPr>
                <w:sz w:val="24"/>
                <w:szCs w:val="24"/>
              </w:rPr>
            </w:pPr>
            <w:r>
              <w:rPr>
                <w:spacing w:val="10"/>
                <w:sz w:val="24"/>
                <w:szCs w:val="24"/>
              </w:rPr>
              <w:t>投标有效期：投标截止之日起</w:t>
            </w:r>
            <w:r>
              <w:rPr>
                <w:rFonts w:hint="eastAsia"/>
                <w:spacing w:val="10"/>
                <w:sz w:val="24"/>
                <w:szCs w:val="24"/>
                <w:lang w:val="en-US" w:eastAsia="zh-CN"/>
              </w:rPr>
              <w:t>90</w:t>
            </w:r>
            <w:r>
              <w:rPr>
                <w:spacing w:val="10"/>
                <w:sz w:val="24"/>
                <w:szCs w:val="24"/>
              </w:rPr>
              <w:t>天内。</w:t>
            </w:r>
          </w:p>
        </w:tc>
      </w:tr>
      <w:tr w14:paraId="51F66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01A56E07">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18.1</w:t>
            </w:r>
          </w:p>
        </w:tc>
        <w:tc>
          <w:tcPr>
            <w:tcW w:w="8708" w:type="dxa"/>
            <w:shd w:val="clear" w:color="auto" w:fill="auto"/>
            <w:vAlign w:val="center"/>
          </w:tcPr>
          <w:p w14:paraId="0262718C">
            <w:pPr>
              <w:autoSpaceDE w:val="0"/>
              <w:autoSpaceDN w:val="0"/>
              <w:spacing w:line="360" w:lineRule="auto"/>
              <w:jc w:val="left"/>
              <w:rPr>
                <w:rFonts w:hint="eastAsia" w:ascii="宋体" w:hAnsi="宋体" w:eastAsia="宋体" w:cs="宋体"/>
                <w:sz w:val="24"/>
                <w:szCs w:val="24"/>
              </w:rPr>
            </w:pPr>
            <w:r>
              <w:rPr>
                <w:rFonts w:hint="eastAsia" w:ascii="宋体" w:hAnsi="宋体" w:eastAsia="宋体" w:cs="宋体"/>
                <w:sz w:val="24"/>
                <w:szCs w:val="24"/>
              </w:rPr>
              <w:t>□本项目不收取投标保证金。</w:t>
            </w:r>
          </w:p>
          <w:p w14:paraId="2979BF82">
            <w:pPr>
              <w:spacing w:line="360" w:lineRule="auto"/>
              <w:jc w:val="left"/>
              <w:rPr>
                <w:rFonts w:hint="eastAsia" w:ascii="宋体" w:hAnsi="宋体" w:eastAsia="宋体" w:cs="宋体"/>
                <w:sz w:val="24"/>
                <w:szCs w:val="24"/>
              </w:rPr>
            </w:pPr>
            <w:r>
              <w:rPr>
                <w:rFonts w:hint="eastAsia" w:ascii="宋体" w:hAnsi="宋体" w:eastAsia="宋体" w:cs="宋体"/>
                <w:sz w:val="24"/>
                <w:szCs w:val="24"/>
              </w:rPr>
              <w:t>☑本项目收取投标保证金，具体规定如下：</w:t>
            </w:r>
          </w:p>
          <w:p w14:paraId="31AA83A9">
            <w:pPr>
              <w:spacing w:line="360" w:lineRule="auto"/>
              <w:jc w:val="left"/>
              <w:rPr>
                <w:rFonts w:hint="eastAsia" w:ascii="宋体" w:hAnsi="宋体" w:eastAsia="宋体" w:cs="宋体"/>
                <w:sz w:val="24"/>
                <w:szCs w:val="24"/>
                <w:lang w:eastAsia="zh-CN"/>
              </w:rPr>
            </w:pPr>
            <w:r>
              <w:rPr>
                <w:rFonts w:hint="eastAsia" w:ascii="宋体" w:hAnsi="宋体" w:eastAsia="宋体" w:cs="宋体"/>
                <w:kern w:val="0"/>
                <w:sz w:val="24"/>
                <w:szCs w:val="24"/>
              </w:rPr>
              <w:t>投标保证金（人民币）：</w:t>
            </w:r>
            <w:r>
              <w:rPr>
                <w:rFonts w:hint="eastAsia" w:ascii="宋体" w:hAnsi="宋体" w:eastAsia="宋体" w:cs="宋体"/>
                <w:b/>
                <w:bCs/>
                <w:kern w:val="0"/>
                <w:sz w:val="24"/>
                <w:szCs w:val="24"/>
                <w:highlight w:val="none"/>
                <w:lang w:val="en-US" w:eastAsia="zh-CN"/>
              </w:rPr>
              <w:t>4</w:t>
            </w:r>
            <w:r>
              <w:rPr>
                <w:rFonts w:hint="eastAsia" w:ascii="宋体" w:hAnsi="宋体" w:eastAsia="宋体" w:cs="宋体"/>
                <w:b/>
                <w:bCs/>
                <w:kern w:val="0"/>
                <w:sz w:val="24"/>
                <w:szCs w:val="24"/>
                <w:highlight w:val="none"/>
              </w:rPr>
              <w:t>00000.00元</w:t>
            </w:r>
            <w:r>
              <w:rPr>
                <w:rFonts w:hint="eastAsia" w:ascii="宋体" w:hAnsi="宋体" w:eastAsia="宋体" w:cs="宋体"/>
                <w:kern w:val="0"/>
                <w:sz w:val="24"/>
                <w:szCs w:val="24"/>
                <w:highlight w:val="none"/>
              </w:rPr>
              <w:t>。</w:t>
            </w:r>
          </w:p>
          <w:p w14:paraId="2495782E">
            <w:pPr>
              <w:widowControl/>
              <w:spacing w:line="360" w:lineRule="auto"/>
              <w:ind w:firstLine="420"/>
              <w:rPr>
                <w:rFonts w:hint="eastAsia" w:ascii="宋体" w:hAnsi="宋体" w:eastAsia="宋体" w:cs="宋体"/>
                <w:color w:val="FF0000"/>
                <w:sz w:val="24"/>
                <w:szCs w:val="24"/>
                <w:highlight w:val="yellow"/>
              </w:rPr>
            </w:pPr>
            <w:r>
              <w:rPr>
                <w:rFonts w:hint="eastAsia" w:ascii="宋体" w:hAnsi="宋体" w:eastAsia="宋体" w:cs="宋体"/>
                <w:kern w:val="0"/>
                <w:sz w:val="24"/>
                <w:szCs w:val="24"/>
              </w:rPr>
              <w:t>投标保证金的交纳方式：银行转账、支票、汇票、本票或者金融、担保机构出具的保函，禁止采用现钞方式。采用银行转账方式的，在投标截止时间前交至指定账户并且到账</w:t>
            </w:r>
            <w:r>
              <w:rPr>
                <w:rFonts w:hint="eastAsia" w:ascii="宋体" w:hAnsi="宋体" w:eastAsia="宋体" w:cs="宋体"/>
                <w:kern w:val="0"/>
                <w:sz w:val="24"/>
                <w:szCs w:val="24"/>
                <w:highlight w:val="none"/>
              </w:rPr>
              <w:t>（</w:t>
            </w:r>
            <w:r>
              <w:rPr>
                <w:rFonts w:hint="eastAsia" w:ascii="宋体" w:hAnsi="宋体" w:eastAsia="宋体" w:cs="宋体"/>
                <w:color w:val="FF0000"/>
                <w:sz w:val="24"/>
                <w:szCs w:val="24"/>
                <w:highlight w:val="none"/>
              </w:rPr>
              <w:t>账户名称：广西壮族自治区公共资源交易中心，开户银行：中国农业银行南宁市万象支行，银行账号：200173010400147820000001807</w:t>
            </w:r>
            <w:r>
              <w:rPr>
                <w:rFonts w:hint="eastAsia" w:ascii="宋体" w:hAnsi="宋体" w:eastAsia="宋体" w:cs="宋体"/>
                <w:kern w:val="0"/>
                <w:sz w:val="24"/>
                <w:szCs w:val="24"/>
                <w:highlight w:val="none"/>
              </w:rPr>
              <w:t>）</w:t>
            </w:r>
            <w:r>
              <w:rPr>
                <w:rFonts w:hint="eastAsia" w:ascii="宋体" w:hAnsi="宋体" w:eastAsia="宋体" w:cs="宋体"/>
                <w:kern w:val="0"/>
                <w:sz w:val="24"/>
                <w:szCs w:val="24"/>
              </w:rPr>
              <w:t>；采用支票、汇票、本票或者保函等方式的，在投标截止时间前，投标人必须递交支票、汇票、本票或者保函原件。否则视为无效投标保证金。</w:t>
            </w:r>
          </w:p>
          <w:p w14:paraId="07AB982B">
            <w:pPr>
              <w:spacing w:line="360" w:lineRule="auto"/>
              <w:jc w:val="left"/>
              <w:rPr>
                <w:rFonts w:hint="eastAsia" w:ascii="宋体" w:hAnsi="宋体" w:eastAsia="宋体" w:cs="宋体"/>
                <w:sz w:val="24"/>
                <w:szCs w:val="24"/>
              </w:rPr>
            </w:pPr>
            <w:r>
              <w:rPr>
                <w:rFonts w:hint="eastAsia" w:ascii="宋体" w:hAnsi="宋体" w:eastAsia="宋体" w:cs="宋体"/>
                <w:sz w:val="24"/>
                <w:szCs w:val="24"/>
              </w:rPr>
              <w:t>相关要求：</w:t>
            </w:r>
          </w:p>
          <w:p w14:paraId="278FB22A">
            <w:pPr>
              <w:pStyle w:val="9"/>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1、投标保证金采用银行转账交纳方式的，在投标截止时间前交至指定账户并且到账，投标人应将银行转账底单的复印件作为投标保证金提交凭证，放置于商务文件中，</w:t>
            </w:r>
            <w:r>
              <w:rPr>
                <w:rFonts w:hint="eastAsia" w:ascii="宋体" w:hAnsi="宋体" w:eastAsia="宋体" w:cs="宋体"/>
                <w:b/>
                <w:sz w:val="24"/>
                <w:szCs w:val="24"/>
                <w:lang w:eastAsia="zh-CN"/>
              </w:rPr>
              <w:t>否则投标无效</w:t>
            </w:r>
            <w:r>
              <w:rPr>
                <w:rFonts w:hint="eastAsia" w:ascii="宋体" w:hAnsi="宋体" w:eastAsia="宋体" w:cs="宋体"/>
                <w:sz w:val="24"/>
                <w:szCs w:val="24"/>
                <w:lang w:eastAsia="zh-CN"/>
              </w:rPr>
              <w:t>。</w:t>
            </w:r>
          </w:p>
          <w:p w14:paraId="66BC92C5">
            <w:pPr>
              <w:pStyle w:val="39"/>
              <w:tabs>
                <w:tab w:val="left" w:pos="0"/>
              </w:tabs>
              <w:spacing w:line="360" w:lineRule="auto"/>
              <w:rPr>
                <w:rFonts w:hint="eastAsia" w:ascii="宋体" w:hAnsi="宋体" w:eastAsia="宋体" w:cs="宋体"/>
                <w:color w:val="00B0F0"/>
                <w:sz w:val="24"/>
                <w:szCs w:val="28"/>
                <w:lang w:eastAsia="zh-CN"/>
              </w:rPr>
            </w:pPr>
            <w:r>
              <w:rPr>
                <w:rFonts w:hint="eastAsia" w:ascii="宋体" w:hAnsi="宋体" w:eastAsia="宋体" w:cs="宋体"/>
                <w:sz w:val="24"/>
                <w:szCs w:val="24"/>
                <w:lang w:eastAsia="zh-CN"/>
              </w:rPr>
              <w:t>2、投标保证金采用支票、汇票、本票或者金融、担保机构出具的保函交纳方式的，投标人应将支票、汇票、本票或者金融、担保机构出具的保函的复印件作为投标保证金提交凭证，放置于商务文件中，</w:t>
            </w:r>
            <w:r>
              <w:rPr>
                <w:rFonts w:hint="eastAsia" w:ascii="宋体" w:hAnsi="宋体" w:eastAsia="宋体" w:cs="宋体"/>
                <w:b/>
                <w:color w:val="auto"/>
                <w:sz w:val="24"/>
                <w:szCs w:val="24"/>
                <w:lang w:eastAsia="zh-CN"/>
              </w:rPr>
              <w:t>否则投标无效</w:t>
            </w:r>
            <w:r>
              <w:rPr>
                <w:rFonts w:hint="eastAsia" w:ascii="宋体" w:hAnsi="宋体" w:eastAsia="宋体" w:cs="宋体"/>
                <w:color w:val="auto"/>
                <w:sz w:val="24"/>
                <w:szCs w:val="24"/>
                <w:lang w:eastAsia="zh-CN"/>
              </w:rPr>
              <w:t>。</w:t>
            </w:r>
          </w:p>
          <w:p w14:paraId="1FDA5DB5">
            <w:pPr>
              <w:spacing w:line="360" w:lineRule="auto"/>
              <w:jc w:val="left"/>
              <w:rPr>
                <w:rFonts w:hint="eastAsia" w:ascii="宋体" w:hAnsi="宋体" w:eastAsia="宋体" w:cs="宋体"/>
                <w:b/>
                <w:sz w:val="24"/>
                <w:szCs w:val="24"/>
              </w:rPr>
            </w:pPr>
            <w:r>
              <w:rPr>
                <w:rFonts w:hint="eastAsia" w:ascii="宋体" w:hAnsi="宋体" w:eastAsia="宋体" w:cs="宋体"/>
                <w:b/>
                <w:sz w:val="24"/>
                <w:szCs w:val="24"/>
              </w:rPr>
              <w:t xml:space="preserve">备注： </w:t>
            </w:r>
          </w:p>
          <w:p w14:paraId="271BBB1B">
            <w:pPr>
              <w:spacing w:line="360" w:lineRule="auto"/>
              <w:jc w:val="left"/>
              <w:rPr>
                <w:rFonts w:hint="eastAsia" w:ascii="宋体" w:hAnsi="宋体" w:eastAsia="宋体" w:cs="宋体"/>
                <w:b/>
                <w:sz w:val="24"/>
                <w:szCs w:val="24"/>
              </w:rPr>
            </w:pPr>
            <w:r>
              <w:rPr>
                <w:rFonts w:hint="eastAsia" w:ascii="宋体" w:hAnsi="宋体" w:eastAsia="宋体" w:cs="宋体"/>
                <w:b/>
                <w:sz w:val="24"/>
                <w:szCs w:val="24"/>
              </w:rPr>
              <w:t>1、投标保证金在投标截止时间后提交的，或者不按规定交纳方式交纳的，或者未足额交纳的（包含保函额度不足的），视为无效投标保证金。</w:t>
            </w:r>
          </w:p>
          <w:p w14:paraId="1C7A4E07">
            <w:pPr>
              <w:spacing w:line="360" w:lineRule="auto"/>
              <w:jc w:val="left"/>
              <w:rPr>
                <w:rFonts w:hint="eastAsia" w:ascii="宋体" w:hAnsi="宋体" w:eastAsia="宋体" w:cs="宋体"/>
                <w:b/>
                <w:sz w:val="24"/>
                <w:szCs w:val="24"/>
              </w:rPr>
            </w:pPr>
            <w:r>
              <w:rPr>
                <w:rFonts w:hint="eastAsia" w:ascii="宋体" w:hAnsi="宋体" w:eastAsia="宋体" w:cs="宋体"/>
                <w:b/>
                <w:sz w:val="24"/>
                <w:szCs w:val="24"/>
              </w:rPr>
              <w:t>2、投标人采用现钞方式或者从个人账户（自然人投标除外）转出的投标保证金，视为无效投标保证金。</w:t>
            </w:r>
          </w:p>
          <w:p w14:paraId="4F8DEDC4">
            <w:pPr>
              <w:spacing w:line="360" w:lineRule="auto"/>
              <w:jc w:val="left"/>
              <w:rPr>
                <w:rFonts w:hint="eastAsia" w:ascii="宋体" w:hAnsi="宋体" w:eastAsia="宋体" w:cs="宋体"/>
                <w:b/>
                <w:sz w:val="24"/>
                <w:szCs w:val="24"/>
              </w:rPr>
            </w:pPr>
            <w:r>
              <w:rPr>
                <w:rFonts w:hint="eastAsia" w:ascii="宋体" w:hAnsi="宋体" w:eastAsia="宋体" w:cs="宋体"/>
                <w:b/>
                <w:sz w:val="24"/>
                <w:szCs w:val="24"/>
              </w:rPr>
              <w:t>3、支票、汇票或者本票出现无效或者背书情形的，视为无效投标保证金。</w:t>
            </w:r>
          </w:p>
          <w:p w14:paraId="6BD33BDC">
            <w:pPr>
              <w:spacing w:line="360" w:lineRule="auto"/>
              <w:jc w:val="left"/>
              <w:rPr>
                <w:rFonts w:hint="eastAsia" w:ascii="宋体" w:hAnsi="宋体" w:eastAsia="宋体" w:cs="宋体"/>
                <w:b/>
                <w:sz w:val="24"/>
                <w:szCs w:val="24"/>
              </w:rPr>
            </w:pPr>
            <w:r>
              <w:rPr>
                <w:rFonts w:hint="eastAsia" w:ascii="宋体" w:hAnsi="宋体" w:eastAsia="宋体" w:cs="宋体"/>
                <w:b/>
                <w:sz w:val="24"/>
                <w:szCs w:val="24"/>
              </w:rPr>
              <w:t>4、保函有效期低于投标有效期的，视为无效投标保证金。</w:t>
            </w:r>
          </w:p>
          <w:p w14:paraId="0EE671D9">
            <w:pPr>
              <w:spacing w:line="360" w:lineRule="auto"/>
              <w:jc w:val="left"/>
              <w:rPr>
                <w:rFonts w:hint="eastAsia" w:ascii="宋体" w:hAnsi="宋体" w:eastAsia="宋体" w:cs="宋体"/>
                <w:b/>
                <w:snapToGrid w:val="0"/>
                <w:color w:val="000000"/>
                <w:kern w:val="0"/>
                <w:sz w:val="24"/>
                <w:szCs w:val="24"/>
                <w:lang w:val="en-US" w:eastAsia="en-US" w:bidi="ar-SA"/>
              </w:rPr>
            </w:pPr>
            <w:r>
              <w:rPr>
                <w:rFonts w:hint="eastAsia" w:ascii="宋体" w:hAnsi="宋体" w:eastAsia="宋体" w:cs="宋体"/>
                <w:b/>
                <w:sz w:val="24"/>
                <w:szCs w:val="24"/>
              </w:rPr>
              <w:t>5、采用金融、担保机构出具保函的，必须为无条件保函，否则视为无效投标保证金。</w:t>
            </w:r>
          </w:p>
        </w:tc>
      </w:tr>
      <w:tr w14:paraId="09DB3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6E3BF417">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19.2</w:t>
            </w:r>
          </w:p>
        </w:tc>
        <w:tc>
          <w:tcPr>
            <w:tcW w:w="8708" w:type="dxa"/>
            <w:vAlign w:val="top"/>
          </w:tcPr>
          <w:p w14:paraId="21BB3B0A">
            <w:pPr>
              <w:pStyle w:val="29"/>
              <w:keepNext w:val="0"/>
              <w:keepLines w:val="0"/>
              <w:pageBreakBefore w:val="0"/>
              <w:widowControl w:val="0"/>
              <w:kinsoku/>
              <w:wordWrap w:val="0"/>
              <w:overflowPunct/>
              <w:topLinePunct w:val="0"/>
              <w:autoSpaceDE w:val="0"/>
              <w:autoSpaceDN w:val="0"/>
              <w:bidi w:val="0"/>
              <w:adjustRightInd w:val="0"/>
              <w:snapToGrid w:val="0"/>
              <w:spacing w:before="34" w:line="360" w:lineRule="auto"/>
              <w:ind w:left="117" w:right="110" w:hanging="3"/>
              <w:textAlignment w:val="baseline"/>
              <w:rPr>
                <w:sz w:val="24"/>
                <w:szCs w:val="24"/>
              </w:rPr>
            </w:pPr>
            <w:r>
              <w:rPr>
                <w:spacing w:val="12"/>
                <w:sz w:val="24"/>
                <w:szCs w:val="24"/>
              </w:rPr>
              <w:t>投标文件应按报价文件、资格证明文件、商务文件、技术文件分别编制，并按广西政</w:t>
            </w:r>
            <w:r>
              <w:rPr>
                <w:spacing w:val="11"/>
                <w:sz w:val="24"/>
                <w:szCs w:val="24"/>
              </w:rPr>
              <w:t>府采购</w:t>
            </w:r>
            <w:r>
              <w:rPr>
                <w:spacing w:val="8"/>
                <w:sz w:val="24"/>
                <w:szCs w:val="24"/>
              </w:rPr>
              <w:t>云平台的要求编制、加密、上传。</w:t>
            </w:r>
          </w:p>
        </w:tc>
      </w:tr>
      <w:tr w14:paraId="1BDA1D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4B73C832">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20.1</w:t>
            </w:r>
          </w:p>
        </w:tc>
        <w:tc>
          <w:tcPr>
            <w:tcW w:w="8708" w:type="dxa"/>
            <w:vAlign w:val="top"/>
          </w:tcPr>
          <w:p w14:paraId="17BFBCDD">
            <w:pPr>
              <w:pStyle w:val="29"/>
              <w:keepNext w:val="0"/>
              <w:keepLines w:val="0"/>
              <w:pageBreakBefore w:val="0"/>
              <w:widowControl w:val="0"/>
              <w:kinsoku/>
              <w:wordWrap w:val="0"/>
              <w:overflowPunct/>
              <w:topLinePunct w:val="0"/>
              <w:autoSpaceDE w:val="0"/>
              <w:autoSpaceDN w:val="0"/>
              <w:bidi w:val="0"/>
              <w:adjustRightInd w:val="0"/>
              <w:snapToGrid w:val="0"/>
              <w:spacing w:before="31" w:line="360" w:lineRule="auto"/>
              <w:ind w:left="121" w:right="108" w:firstLine="14"/>
              <w:textAlignment w:val="baseline"/>
              <w:rPr>
                <w:sz w:val="24"/>
                <w:szCs w:val="24"/>
              </w:rPr>
            </w:pPr>
            <w:r>
              <w:rPr>
                <w:spacing w:val="11"/>
                <w:sz w:val="24"/>
                <w:szCs w:val="24"/>
              </w:rPr>
              <w:t>电子投标文件应在制作完成后，投标人应按广西政府采购云平台的要求进行加密，并在规定</w:t>
            </w:r>
            <w:r>
              <w:rPr>
                <w:spacing w:val="8"/>
                <w:sz w:val="24"/>
                <w:szCs w:val="24"/>
              </w:rPr>
              <w:t>时间内解密，否则，由此产生的后果由投标人自行负责。</w:t>
            </w:r>
          </w:p>
        </w:tc>
      </w:tr>
      <w:tr w14:paraId="19608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17E18B84">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21.1</w:t>
            </w:r>
          </w:p>
        </w:tc>
        <w:tc>
          <w:tcPr>
            <w:tcW w:w="8708" w:type="dxa"/>
            <w:vAlign w:val="top"/>
          </w:tcPr>
          <w:p w14:paraId="0CB486E0">
            <w:pPr>
              <w:pStyle w:val="29"/>
              <w:keepNext w:val="0"/>
              <w:keepLines w:val="0"/>
              <w:pageBreakBefore w:val="0"/>
              <w:widowControl w:val="0"/>
              <w:kinsoku/>
              <w:wordWrap w:val="0"/>
              <w:overflowPunct/>
              <w:topLinePunct w:val="0"/>
              <w:autoSpaceDE w:val="0"/>
              <w:autoSpaceDN w:val="0"/>
              <w:bidi w:val="0"/>
              <w:adjustRightInd w:val="0"/>
              <w:snapToGrid w:val="0"/>
              <w:spacing w:before="33" w:line="360" w:lineRule="auto"/>
              <w:ind w:left="127"/>
              <w:textAlignment w:val="baseline"/>
              <w:rPr>
                <w:sz w:val="24"/>
                <w:szCs w:val="24"/>
              </w:rPr>
            </w:pPr>
            <w:r>
              <w:rPr>
                <w:spacing w:val="7"/>
                <w:sz w:val="24"/>
                <w:szCs w:val="24"/>
              </w:rPr>
              <w:t>1、投标截止时间：详见招标公告</w:t>
            </w:r>
          </w:p>
          <w:p w14:paraId="689E8816">
            <w:pPr>
              <w:pStyle w:val="29"/>
              <w:keepNext w:val="0"/>
              <w:keepLines w:val="0"/>
              <w:pageBreakBefore w:val="0"/>
              <w:widowControl w:val="0"/>
              <w:kinsoku/>
              <w:wordWrap w:val="0"/>
              <w:overflowPunct/>
              <w:topLinePunct w:val="0"/>
              <w:autoSpaceDE w:val="0"/>
              <w:autoSpaceDN w:val="0"/>
              <w:bidi w:val="0"/>
              <w:adjustRightInd w:val="0"/>
              <w:snapToGrid w:val="0"/>
              <w:spacing w:before="163" w:line="360" w:lineRule="auto"/>
              <w:ind w:left="114"/>
              <w:textAlignment w:val="baseline"/>
              <w:rPr>
                <w:sz w:val="24"/>
                <w:szCs w:val="24"/>
              </w:rPr>
            </w:pPr>
            <w:r>
              <w:rPr>
                <w:spacing w:val="8"/>
                <w:sz w:val="24"/>
                <w:szCs w:val="24"/>
              </w:rPr>
              <w:t>2、投标地点：详见招标公告</w:t>
            </w:r>
          </w:p>
        </w:tc>
      </w:tr>
      <w:tr w14:paraId="0E52E5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42B6C1ED">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23</w:t>
            </w:r>
          </w:p>
        </w:tc>
        <w:tc>
          <w:tcPr>
            <w:tcW w:w="8708" w:type="dxa"/>
            <w:vAlign w:val="top"/>
          </w:tcPr>
          <w:p w14:paraId="22892057">
            <w:pPr>
              <w:pStyle w:val="29"/>
              <w:keepNext w:val="0"/>
              <w:keepLines w:val="0"/>
              <w:pageBreakBefore w:val="0"/>
              <w:widowControl w:val="0"/>
              <w:kinsoku/>
              <w:wordWrap w:val="0"/>
              <w:overflowPunct/>
              <w:topLinePunct w:val="0"/>
              <w:autoSpaceDE w:val="0"/>
              <w:autoSpaceDN w:val="0"/>
              <w:bidi w:val="0"/>
              <w:adjustRightInd w:val="0"/>
              <w:snapToGrid w:val="0"/>
              <w:spacing w:before="34" w:line="360" w:lineRule="auto"/>
              <w:ind w:left="127"/>
              <w:textAlignment w:val="baseline"/>
              <w:rPr>
                <w:sz w:val="24"/>
                <w:szCs w:val="24"/>
              </w:rPr>
            </w:pPr>
            <w:r>
              <w:rPr>
                <w:spacing w:val="7"/>
                <w:sz w:val="24"/>
                <w:szCs w:val="24"/>
              </w:rPr>
              <w:t>1、开标时间：详见招标公告</w:t>
            </w:r>
          </w:p>
          <w:p w14:paraId="0DA3A5E9">
            <w:pPr>
              <w:pStyle w:val="29"/>
              <w:keepNext w:val="0"/>
              <w:keepLines w:val="0"/>
              <w:pageBreakBefore w:val="0"/>
              <w:widowControl w:val="0"/>
              <w:kinsoku/>
              <w:wordWrap w:val="0"/>
              <w:overflowPunct/>
              <w:topLinePunct w:val="0"/>
              <w:autoSpaceDE w:val="0"/>
              <w:autoSpaceDN w:val="0"/>
              <w:bidi w:val="0"/>
              <w:adjustRightInd w:val="0"/>
              <w:snapToGrid w:val="0"/>
              <w:spacing w:before="163" w:line="360" w:lineRule="auto"/>
              <w:ind w:left="114"/>
              <w:textAlignment w:val="baseline"/>
              <w:rPr>
                <w:sz w:val="24"/>
                <w:szCs w:val="24"/>
              </w:rPr>
            </w:pPr>
            <w:r>
              <w:rPr>
                <w:spacing w:val="8"/>
                <w:sz w:val="24"/>
                <w:szCs w:val="24"/>
              </w:rPr>
              <w:t>2、开标地点：详见招标公告</w:t>
            </w:r>
          </w:p>
        </w:tc>
      </w:tr>
      <w:tr w14:paraId="2BA6E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0B337A79">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24.2</w:t>
            </w:r>
          </w:p>
        </w:tc>
        <w:tc>
          <w:tcPr>
            <w:tcW w:w="8708" w:type="dxa"/>
            <w:vAlign w:val="top"/>
          </w:tcPr>
          <w:p w14:paraId="290DE5F7">
            <w:pPr>
              <w:pStyle w:val="29"/>
              <w:keepNext w:val="0"/>
              <w:keepLines w:val="0"/>
              <w:pageBreakBefore w:val="0"/>
              <w:widowControl w:val="0"/>
              <w:kinsoku/>
              <w:wordWrap w:val="0"/>
              <w:overflowPunct/>
              <w:topLinePunct w:val="0"/>
              <w:autoSpaceDE w:val="0"/>
              <w:autoSpaceDN w:val="0"/>
              <w:bidi w:val="0"/>
              <w:adjustRightInd w:val="0"/>
              <w:snapToGrid w:val="0"/>
              <w:spacing w:before="32" w:line="360" w:lineRule="auto"/>
              <w:ind w:left="111" w:right="108"/>
              <w:jc w:val="both"/>
              <w:textAlignment w:val="baseline"/>
              <w:rPr>
                <w:sz w:val="24"/>
                <w:szCs w:val="24"/>
              </w:rPr>
            </w:pPr>
            <w:r>
              <w:rPr>
                <w:spacing w:val="12"/>
                <w:sz w:val="24"/>
                <w:szCs w:val="24"/>
              </w:rPr>
              <w:t>广西政府采购云平台按开标时间自动提取所有投标文件。采购代理机构依托广西政府采购云</w:t>
            </w:r>
            <w:r>
              <w:rPr>
                <w:spacing w:val="11"/>
                <w:sz w:val="24"/>
                <w:szCs w:val="24"/>
              </w:rPr>
              <w:t>平台向各投标人发出电子加密投标文件【开始解密】通知，</w:t>
            </w:r>
            <w:r>
              <w:rPr>
                <w:spacing w:val="-58"/>
                <w:sz w:val="24"/>
                <w:szCs w:val="24"/>
              </w:rPr>
              <w:t xml:space="preserve"> </w:t>
            </w:r>
            <w:r>
              <w:rPr>
                <w:spacing w:val="11"/>
                <w:sz w:val="24"/>
                <w:szCs w:val="24"/>
              </w:rPr>
              <w:t>由投标人进行投标文件</w:t>
            </w:r>
            <w:r>
              <w:rPr>
                <w:spacing w:val="10"/>
                <w:sz w:val="24"/>
                <w:szCs w:val="24"/>
              </w:rPr>
              <w:t>解密。</w:t>
            </w:r>
            <w:r>
              <w:rPr>
                <w:b/>
                <w:bCs/>
                <w:spacing w:val="10"/>
                <w:sz w:val="24"/>
                <w:szCs w:val="24"/>
              </w:rPr>
              <w:t>投标人的法定代表人或其委托代理人须携带加密时所用的</w:t>
            </w:r>
            <w:r>
              <w:rPr>
                <w:b/>
                <w:bCs/>
                <w:sz w:val="24"/>
                <w:szCs w:val="24"/>
              </w:rPr>
              <w:t>CA</w:t>
            </w:r>
            <w:r>
              <w:rPr>
                <w:b/>
                <w:bCs/>
                <w:spacing w:val="10"/>
                <w:sz w:val="24"/>
                <w:szCs w:val="24"/>
              </w:rPr>
              <w:t>锁准时登录到广西政府采购云平台</w:t>
            </w:r>
            <w:r>
              <w:rPr>
                <w:b/>
                <w:bCs/>
                <w:spacing w:val="6"/>
                <w:sz w:val="24"/>
                <w:szCs w:val="24"/>
              </w:rPr>
              <w:t>电子开标大厅签到并在发起解密通知之时起</w:t>
            </w:r>
            <w:r>
              <w:rPr>
                <w:spacing w:val="-17"/>
                <w:sz w:val="24"/>
                <w:szCs w:val="24"/>
              </w:rPr>
              <w:t xml:space="preserve"> </w:t>
            </w:r>
            <w:r>
              <w:rPr>
                <w:b/>
                <w:bCs/>
                <w:spacing w:val="6"/>
                <w:sz w:val="24"/>
                <w:szCs w:val="24"/>
              </w:rPr>
              <w:t>30</w:t>
            </w:r>
            <w:r>
              <w:rPr>
                <w:spacing w:val="-35"/>
                <w:sz w:val="24"/>
                <w:szCs w:val="24"/>
              </w:rPr>
              <w:t xml:space="preserve"> </w:t>
            </w:r>
            <w:r>
              <w:rPr>
                <w:b/>
                <w:bCs/>
                <w:spacing w:val="6"/>
                <w:sz w:val="24"/>
                <w:szCs w:val="24"/>
              </w:rPr>
              <w:t>分钟内完成对电子投标文件解密。投标文件未</w:t>
            </w:r>
            <w:r>
              <w:rPr>
                <w:b/>
                <w:bCs/>
                <w:spacing w:val="7"/>
                <w:sz w:val="24"/>
                <w:szCs w:val="24"/>
              </w:rPr>
              <w:t>按时解密的，视为无效投标。</w:t>
            </w:r>
          </w:p>
        </w:tc>
      </w:tr>
      <w:tr w14:paraId="00CC0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shd w:val="clear" w:color="auto" w:fill="auto"/>
            <w:vAlign w:val="center"/>
          </w:tcPr>
          <w:p w14:paraId="7905E4FF">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rFonts w:ascii="宋体" w:hAnsi="宋体" w:eastAsia="宋体" w:cs="宋体"/>
                <w:snapToGrid w:val="0"/>
                <w:color w:val="000000"/>
                <w:spacing w:val="6"/>
                <w:kern w:val="0"/>
                <w:sz w:val="24"/>
                <w:szCs w:val="24"/>
                <w:lang w:val="en-US" w:eastAsia="en-US" w:bidi="ar-SA"/>
              </w:rPr>
            </w:pPr>
            <w:r>
              <w:rPr>
                <w:sz w:val="24"/>
                <w:szCs w:val="24"/>
              </w:rPr>
              <w:t>25.3（3）</w:t>
            </w:r>
          </w:p>
        </w:tc>
        <w:tc>
          <w:tcPr>
            <w:tcW w:w="8708" w:type="dxa"/>
            <w:shd w:val="clear" w:color="auto" w:fill="auto"/>
            <w:vAlign w:val="top"/>
          </w:tcPr>
          <w:p w14:paraId="1AB4DEFA">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textAlignment w:val="baseline"/>
              <w:rPr>
                <w:spacing w:val="9"/>
                <w:sz w:val="24"/>
                <w:szCs w:val="24"/>
              </w:rPr>
            </w:pPr>
            <w:r>
              <w:rPr>
                <w:spacing w:val="9"/>
                <w:sz w:val="24"/>
                <w:szCs w:val="24"/>
              </w:rPr>
              <w:t>采购人或者采购代理机构在资格审查结束前，对投标人进行信用查询。</w:t>
            </w:r>
          </w:p>
          <w:p w14:paraId="5DCD7D63">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textAlignment w:val="baseline"/>
              <w:rPr>
                <w:spacing w:val="9"/>
                <w:sz w:val="24"/>
                <w:szCs w:val="24"/>
              </w:rPr>
            </w:pPr>
            <w:r>
              <w:rPr>
                <w:spacing w:val="9"/>
                <w:sz w:val="24"/>
                <w:szCs w:val="24"/>
              </w:rPr>
              <w:t>查询渠道：“信用中国”网站（</w:t>
            </w:r>
            <w:r>
              <w:rPr>
                <w:spacing w:val="9"/>
                <w:sz w:val="24"/>
                <w:szCs w:val="24"/>
              </w:rPr>
              <w:fldChar w:fldCharType="begin"/>
            </w:r>
            <w:r>
              <w:rPr>
                <w:spacing w:val="9"/>
                <w:sz w:val="24"/>
                <w:szCs w:val="24"/>
              </w:rPr>
              <w:instrText xml:space="preserve"> HYPERLINK "https://www.creditchina.gov.cn" </w:instrText>
            </w:r>
            <w:r>
              <w:rPr>
                <w:spacing w:val="9"/>
                <w:sz w:val="24"/>
                <w:szCs w:val="24"/>
              </w:rPr>
              <w:fldChar w:fldCharType="separate"/>
            </w:r>
            <w:r>
              <w:rPr>
                <w:spacing w:val="9"/>
                <w:sz w:val="24"/>
                <w:szCs w:val="24"/>
              </w:rPr>
              <w:t>www.creditchina.gov.cn</w:t>
            </w:r>
            <w:r>
              <w:rPr>
                <w:spacing w:val="9"/>
                <w:sz w:val="24"/>
                <w:szCs w:val="24"/>
              </w:rPr>
              <w:fldChar w:fldCharType="end"/>
            </w:r>
            <w:r>
              <w:rPr>
                <w:spacing w:val="9"/>
                <w:sz w:val="24"/>
                <w:szCs w:val="24"/>
              </w:rPr>
              <w:t>）、中国政府采购网（</w:t>
            </w:r>
            <w:r>
              <w:rPr>
                <w:spacing w:val="9"/>
                <w:sz w:val="24"/>
                <w:szCs w:val="24"/>
              </w:rPr>
              <w:fldChar w:fldCharType="begin"/>
            </w:r>
            <w:r>
              <w:rPr>
                <w:spacing w:val="9"/>
                <w:sz w:val="24"/>
                <w:szCs w:val="24"/>
              </w:rPr>
              <w:instrText xml:space="preserve"> HYPERLINK "http://www.ccgp.gov.cn" </w:instrText>
            </w:r>
            <w:r>
              <w:rPr>
                <w:spacing w:val="9"/>
                <w:sz w:val="24"/>
                <w:szCs w:val="24"/>
              </w:rPr>
              <w:fldChar w:fldCharType="separate"/>
            </w:r>
            <w:r>
              <w:rPr>
                <w:spacing w:val="9"/>
                <w:sz w:val="24"/>
                <w:szCs w:val="24"/>
              </w:rPr>
              <w:t>www.ccgp.gov.cn</w:t>
            </w:r>
            <w:r>
              <w:rPr>
                <w:spacing w:val="9"/>
                <w:sz w:val="24"/>
                <w:szCs w:val="24"/>
              </w:rPr>
              <w:fldChar w:fldCharType="end"/>
            </w:r>
            <w:r>
              <w:rPr>
                <w:spacing w:val="9"/>
                <w:sz w:val="24"/>
                <w:szCs w:val="24"/>
              </w:rPr>
              <w:t>）。</w:t>
            </w:r>
          </w:p>
          <w:p w14:paraId="09F59B0B">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textAlignment w:val="baseline"/>
              <w:rPr>
                <w:spacing w:val="9"/>
                <w:sz w:val="24"/>
                <w:szCs w:val="24"/>
              </w:rPr>
            </w:pPr>
            <w:r>
              <w:rPr>
                <w:spacing w:val="9"/>
                <w:sz w:val="24"/>
                <w:szCs w:val="24"/>
              </w:rPr>
              <w:t>信用查询截止时点：资格审查结束前。</w:t>
            </w:r>
          </w:p>
          <w:p w14:paraId="459C0472">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textAlignment w:val="baseline"/>
              <w:rPr>
                <w:spacing w:val="9"/>
                <w:sz w:val="24"/>
                <w:szCs w:val="24"/>
              </w:rPr>
            </w:pPr>
            <w:r>
              <w:rPr>
                <w:spacing w:val="9"/>
                <w:sz w:val="24"/>
                <w:szCs w:val="24"/>
              </w:rPr>
              <w:t>查询记录和证据留存方式：将查询网站中的查询记录截图并作为评审资料保存。</w:t>
            </w:r>
          </w:p>
          <w:p w14:paraId="1D9D53C1">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rightChars="0"/>
              <w:textAlignment w:val="baseline"/>
              <w:rPr>
                <w:rFonts w:ascii="宋体" w:hAnsi="宋体" w:eastAsia="宋体" w:cs="宋体"/>
                <w:snapToGrid w:val="0"/>
                <w:color w:val="000000"/>
                <w:kern w:val="0"/>
                <w:sz w:val="24"/>
                <w:szCs w:val="24"/>
                <w:lang w:val="en-US" w:eastAsia="en-US" w:bidi="ar-SA"/>
              </w:rPr>
            </w:pPr>
            <w:r>
              <w:rPr>
                <w:spacing w:val="12"/>
                <w:sz w:val="24"/>
                <w:szCs w:val="24"/>
              </w:rPr>
              <w:t>信用信息使用规则：根据财政部《关于在政府采购活动中查询及使用信用记录有关问题的通</w:t>
            </w:r>
            <w:r>
              <w:rPr>
                <w:spacing w:val="11"/>
                <w:sz w:val="24"/>
                <w:szCs w:val="24"/>
              </w:rPr>
              <w:t>知》（财库〔2016〕125</w:t>
            </w:r>
            <w:r>
              <w:rPr>
                <w:spacing w:val="-25"/>
                <w:sz w:val="24"/>
                <w:szCs w:val="24"/>
              </w:rPr>
              <w:t xml:space="preserve"> </w:t>
            </w:r>
            <w:r>
              <w:rPr>
                <w:spacing w:val="11"/>
                <w:sz w:val="24"/>
                <w:szCs w:val="24"/>
              </w:rPr>
              <w:t>号）的规定，对在“信用中国”网站(</w:t>
            </w:r>
            <w:r>
              <w:rPr>
                <w:sz w:val="24"/>
                <w:szCs w:val="24"/>
              </w:rPr>
              <w:fldChar w:fldCharType="begin"/>
            </w:r>
            <w:r>
              <w:rPr>
                <w:sz w:val="24"/>
                <w:szCs w:val="24"/>
              </w:rPr>
              <w:instrText xml:space="preserve"> HYPERLINK "https://www.creditchina.gov.cn" </w:instrText>
            </w:r>
            <w:r>
              <w:rPr>
                <w:sz w:val="24"/>
                <w:szCs w:val="24"/>
              </w:rPr>
              <w:fldChar w:fldCharType="separate"/>
            </w:r>
            <w:r>
              <w:rPr>
                <w:sz w:val="24"/>
                <w:szCs w:val="24"/>
              </w:rPr>
              <w:t>www</w:t>
            </w:r>
            <w:r>
              <w:rPr>
                <w:spacing w:val="11"/>
                <w:sz w:val="24"/>
                <w:szCs w:val="24"/>
              </w:rPr>
              <w:t>.</w:t>
            </w:r>
            <w:r>
              <w:rPr>
                <w:sz w:val="24"/>
                <w:szCs w:val="24"/>
              </w:rPr>
              <w:t>creditchina</w:t>
            </w:r>
            <w:r>
              <w:rPr>
                <w:spacing w:val="11"/>
                <w:sz w:val="24"/>
                <w:szCs w:val="24"/>
              </w:rPr>
              <w:t>.</w:t>
            </w:r>
            <w:r>
              <w:rPr>
                <w:sz w:val="24"/>
                <w:szCs w:val="24"/>
              </w:rPr>
              <w:t>gov</w:t>
            </w:r>
            <w:r>
              <w:rPr>
                <w:spacing w:val="11"/>
                <w:sz w:val="24"/>
                <w:szCs w:val="24"/>
              </w:rPr>
              <w:t>.</w:t>
            </w:r>
            <w:r>
              <w:rPr>
                <w:sz w:val="24"/>
                <w:szCs w:val="24"/>
              </w:rPr>
              <w:t>cn</w:t>
            </w:r>
            <w:r>
              <w:rPr>
                <w:sz w:val="24"/>
                <w:szCs w:val="24"/>
              </w:rPr>
              <w:fldChar w:fldCharType="end"/>
            </w:r>
            <w:r>
              <w:rPr>
                <w:spacing w:val="11"/>
                <w:sz w:val="24"/>
                <w:szCs w:val="24"/>
              </w:rPr>
              <w:t>) 、</w:t>
            </w:r>
            <w:r>
              <w:rPr>
                <w:spacing w:val="10"/>
                <w:sz w:val="24"/>
                <w:szCs w:val="24"/>
              </w:rPr>
              <w:t>中国政府采购网(</w:t>
            </w:r>
            <w:r>
              <w:rPr>
                <w:sz w:val="24"/>
                <w:szCs w:val="24"/>
              </w:rPr>
              <w:fldChar w:fldCharType="begin"/>
            </w:r>
            <w:r>
              <w:rPr>
                <w:sz w:val="24"/>
                <w:szCs w:val="24"/>
              </w:rPr>
              <w:instrText xml:space="preserve"> HYPERLINK "https://www.ccgp.gov.cn" </w:instrText>
            </w:r>
            <w:r>
              <w:rPr>
                <w:sz w:val="24"/>
                <w:szCs w:val="24"/>
              </w:rPr>
              <w:fldChar w:fldCharType="separate"/>
            </w:r>
            <w:r>
              <w:rPr>
                <w:sz w:val="24"/>
                <w:szCs w:val="24"/>
              </w:rPr>
              <w:t>www</w:t>
            </w:r>
            <w:r>
              <w:rPr>
                <w:spacing w:val="10"/>
                <w:sz w:val="24"/>
                <w:szCs w:val="24"/>
              </w:rPr>
              <w:t>.</w:t>
            </w:r>
            <w:r>
              <w:rPr>
                <w:sz w:val="24"/>
                <w:szCs w:val="24"/>
              </w:rPr>
              <w:t>ccgp</w:t>
            </w:r>
            <w:r>
              <w:rPr>
                <w:spacing w:val="10"/>
                <w:sz w:val="24"/>
                <w:szCs w:val="24"/>
              </w:rPr>
              <w:t>.</w:t>
            </w:r>
            <w:r>
              <w:rPr>
                <w:sz w:val="24"/>
                <w:szCs w:val="24"/>
              </w:rPr>
              <w:t>gov</w:t>
            </w:r>
            <w:r>
              <w:rPr>
                <w:spacing w:val="10"/>
                <w:sz w:val="24"/>
                <w:szCs w:val="24"/>
              </w:rPr>
              <w:t>.</w:t>
            </w:r>
            <w:r>
              <w:rPr>
                <w:sz w:val="24"/>
                <w:szCs w:val="24"/>
              </w:rPr>
              <w:t>cn</w:t>
            </w:r>
            <w:r>
              <w:rPr>
                <w:sz w:val="24"/>
                <w:szCs w:val="24"/>
              </w:rPr>
              <w:fldChar w:fldCharType="end"/>
            </w:r>
            <w:r>
              <w:rPr>
                <w:spacing w:val="10"/>
                <w:sz w:val="24"/>
                <w:szCs w:val="24"/>
              </w:rPr>
              <w:t>)被列入失信被执行人、重大税收违法失信主体名单、政府</w:t>
            </w:r>
            <w:r>
              <w:rPr>
                <w:spacing w:val="12"/>
                <w:sz w:val="24"/>
                <w:szCs w:val="24"/>
              </w:rPr>
              <w:t>采购严重违法失信行为记录名单及其他不符合《中华人民共和国政府采购法》第二十二条规</w:t>
            </w:r>
            <w:r>
              <w:rPr>
                <w:spacing w:val="8"/>
                <w:sz w:val="24"/>
                <w:szCs w:val="24"/>
              </w:rPr>
              <w:t>定条件的供应商，不得参与政府采购活动。</w:t>
            </w:r>
          </w:p>
        </w:tc>
      </w:tr>
      <w:tr w14:paraId="6C933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shd w:val="clear" w:color="auto" w:fill="auto"/>
            <w:vAlign w:val="center"/>
          </w:tcPr>
          <w:p w14:paraId="29EDD971">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rFonts w:ascii="宋体" w:hAnsi="宋体" w:eastAsia="宋体" w:cs="宋体"/>
                <w:snapToGrid w:val="0"/>
                <w:color w:val="000000"/>
                <w:spacing w:val="6"/>
                <w:kern w:val="0"/>
                <w:sz w:val="24"/>
                <w:szCs w:val="24"/>
                <w:lang w:val="en-US" w:eastAsia="en-US" w:bidi="ar-SA"/>
              </w:rPr>
            </w:pPr>
            <w:r>
              <w:rPr>
                <w:sz w:val="24"/>
                <w:szCs w:val="24"/>
              </w:rPr>
              <w:t>26</w:t>
            </w:r>
          </w:p>
        </w:tc>
        <w:tc>
          <w:tcPr>
            <w:tcW w:w="8708" w:type="dxa"/>
            <w:shd w:val="clear" w:color="auto" w:fill="auto"/>
            <w:vAlign w:val="top"/>
          </w:tcPr>
          <w:p w14:paraId="588707D7">
            <w:pPr>
              <w:pStyle w:val="29"/>
              <w:keepNext w:val="0"/>
              <w:keepLines w:val="0"/>
              <w:pageBreakBefore w:val="0"/>
              <w:widowControl w:val="0"/>
              <w:kinsoku/>
              <w:wordWrap w:val="0"/>
              <w:overflowPunct/>
              <w:topLinePunct w:val="0"/>
              <w:autoSpaceDE w:val="0"/>
              <w:autoSpaceDN w:val="0"/>
              <w:bidi w:val="0"/>
              <w:adjustRightInd w:val="0"/>
              <w:snapToGrid w:val="0"/>
              <w:spacing w:before="35" w:line="360" w:lineRule="auto"/>
              <w:textAlignment w:val="baseline"/>
              <w:rPr>
                <w:rFonts w:ascii="宋体" w:hAnsi="宋体" w:eastAsia="宋体" w:cs="宋体"/>
                <w:snapToGrid w:val="0"/>
                <w:color w:val="000000"/>
                <w:kern w:val="0"/>
                <w:sz w:val="24"/>
                <w:szCs w:val="24"/>
                <w:lang w:val="en-US" w:eastAsia="en-US" w:bidi="ar-SA"/>
              </w:rPr>
            </w:pPr>
            <w:r>
              <w:rPr>
                <w:spacing w:val="9"/>
                <w:sz w:val="24"/>
                <w:szCs w:val="24"/>
              </w:rPr>
              <w:t>评标委员会的人数：7人，其中采购人代表2人，评</w:t>
            </w:r>
            <w:r>
              <w:rPr>
                <w:spacing w:val="8"/>
                <w:sz w:val="24"/>
                <w:szCs w:val="24"/>
              </w:rPr>
              <w:t>审专家5人。</w:t>
            </w:r>
          </w:p>
        </w:tc>
      </w:tr>
      <w:tr w14:paraId="6795E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shd w:val="clear" w:color="auto" w:fill="auto"/>
            <w:vAlign w:val="center"/>
          </w:tcPr>
          <w:p w14:paraId="01E59DE2">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rFonts w:ascii="宋体" w:hAnsi="宋体" w:eastAsia="宋体" w:cs="宋体"/>
                <w:snapToGrid w:val="0"/>
                <w:color w:val="000000"/>
                <w:spacing w:val="6"/>
                <w:kern w:val="0"/>
                <w:sz w:val="24"/>
                <w:szCs w:val="24"/>
                <w:lang w:val="en-US" w:eastAsia="en-US" w:bidi="ar-SA"/>
              </w:rPr>
            </w:pPr>
            <w:r>
              <w:rPr>
                <w:sz w:val="24"/>
                <w:szCs w:val="24"/>
              </w:rPr>
              <w:t>27</w:t>
            </w:r>
          </w:p>
        </w:tc>
        <w:tc>
          <w:tcPr>
            <w:tcW w:w="8708" w:type="dxa"/>
            <w:shd w:val="clear" w:color="auto" w:fill="auto"/>
            <w:vAlign w:val="top"/>
          </w:tcPr>
          <w:p w14:paraId="735B0B21">
            <w:pPr>
              <w:pStyle w:val="29"/>
              <w:keepNext w:val="0"/>
              <w:keepLines w:val="0"/>
              <w:pageBreakBefore w:val="0"/>
              <w:widowControl w:val="0"/>
              <w:kinsoku/>
              <w:wordWrap w:val="0"/>
              <w:overflowPunct/>
              <w:topLinePunct w:val="0"/>
              <w:autoSpaceDE w:val="0"/>
              <w:autoSpaceDN w:val="0"/>
              <w:bidi w:val="0"/>
              <w:adjustRightInd w:val="0"/>
              <w:snapToGrid w:val="0"/>
              <w:spacing w:before="36" w:line="360" w:lineRule="auto"/>
              <w:textAlignment w:val="baseline"/>
              <w:rPr>
                <w:sz w:val="24"/>
                <w:szCs w:val="24"/>
              </w:rPr>
            </w:pPr>
            <w:r>
              <w:rPr>
                <w:spacing w:val="8"/>
                <w:sz w:val="24"/>
                <w:szCs w:val="24"/>
              </w:rPr>
              <w:t>商务要求评审中允许负偏离的条款数为</w:t>
            </w:r>
            <w:r>
              <w:rPr>
                <w:spacing w:val="8"/>
                <w:sz w:val="24"/>
                <w:szCs w:val="24"/>
                <w:u w:val="single" w:color="auto"/>
              </w:rPr>
              <w:t xml:space="preserve"> 0 </w:t>
            </w:r>
            <w:r>
              <w:rPr>
                <w:spacing w:val="8"/>
                <w:sz w:val="24"/>
                <w:szCs w:val="24"/>
              </w:rPr>
              <w:t>项。</w:t>
            </w:r>
          </w:p>
          <w:p w14:paraId="4D80E849">
            <w:pPr>
              <w:pStyle w:val="29"/>
              <w:keepNext w:val="0"/>
              <w:keepLines w:val="0"/>
              <w:pageBreakBefore w:val="0"/>
              <w:widowControl w:val="0"/>
              <w:kinsoku/>
              <w:wordWrap w:val="0"/>
              <w:overflowPunct/>
              <w:topLinePunct w:val="0"/>
              <w:autoSpaceDE w:val="0"/>
              <w:autoSpaceDN w:val="0"/>
              <w:bidi w:val="0"/>
              <w:adjustRightInd w:val="0"/>
              <w:snapToGrid w:val="0"/>
              <w:spacing w:before="160" w:line="360" w:lineRule="auto"/>
              <w:textAlignment w:val="baseline"/>
              <w:rPr>
                <w:rFonts w:ascii="宋体" w:hAnsi="宋体" w:eastAsia="宋体" w:cs="宋体"/>
                <w:snapToGrid w:val="0"/>
                <w:color w:val="000000"/>
                <w:kern w:val="0"/>
                <w:sz w:val="24"/>
                <w:szCs w:val="24"/>
                <w:lang w:val="en-US" w:eastAsia="en-US" w:bidi="ar-SA"/>
              </w:rPr>
            </w:pPr>
            <w:r>
              <w:rPr>
                <w:spacing w:val="8"/>
                <w:sz w:val="24"/>
                <w:szCs w:val="24"/>
              </w:rPr>
              <w:t>技术要求评审中允许负偏离的条款数为</w:t>
            </w:r>
            <w:r>
              <w:rPr>
                <w:spacing w:val="8"/>
                <w:sz w:val="24"/>
                <w:szCs w:val="24"/>
                <w:u w:val="single" w:color="auto"/>
              </w:rPr>
              <w:t xml:space="preserve"> 0 </w:t>
            </w:r>
            <w:r>
              <w:rPr>
                <w:spacing w:val="8"/>
                <w:sz w:val="24"/>
                <w:szCs w:val="24"/>
              </w:rPr>
              <w:t>项。</w:t>
            </w:r>
          </w:p>
        </w:tc>
      </w:tr>
      <w:tr w14:paraId="31A592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shd w:val="clear" w:color="auto" w:fill="auto"/>
            <w:vAlign w:val="center"/>
          </w:tcPr>
          <w:p w14:paraId="0B339FC6">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lang w:val="en-US" w:eastAsia="en-US"/>
              </w:rPr>
            </w:pPr>
            <w:r>
              <w:rPr>
                <w:sz w:val="24"/>
                <w:szCs w:val="24"/>
              </w:rPr>
              <w:t>29.1</w:t>
            </w:r>
          </w:p>
        </w:tc>
        <w:tc>
          <w:tcPr>
            <w:tcW w:w="8708" w:type="dxa"/>
            <w:shd w:val="clear" w:color="auto" w:fill="auto"/>
            <w:vAlign w:val="top"/>
          </w:tcPr>
          <w:p w14:paraId="4A5F2687">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textAlignment w:val="baseline"/>
              <w:rPr>
                <w:sz w:val="24"/>
                <w:szCs w:val="24"/>
                <w:lang w:val="en-US" w:eastAsia="en-US"/>
              </w:rPr>
            </w:pPr>
            <w:r>
              <w:rPr>
                <w:sz w:val="24"/>
                <w:szCs w:val="24"/>
              </w:rPr>
              <w:t>评标方法：综合评分法</w:t>
            </w:r>
          </w:p>
        </w:tc>
      </w:tr>
      <w:tr w14:paraId="51403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5F19E1C2">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29.2</w:t>
            </w:r>
          </w:p>
        </w:tc>
        <w:tc>
          <w:tcPr>
            <w:tcW w:w="8708" w:type="dxa"/>
            <w:vAlign w:val="top"/>
          </w:tcPr>
          <w:p w14:paraId="64D03E6B">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textAlignment w:val="baseline"/>
              <w:rPr>
                <w:sz w:val="24"/>
                <w:szCs w:val="24"/>
              </w:rPr>
            </w:pPr>
            <w:r>
              <w:rPr>
                <w:sz w:val="24"/>
                <w:szCs w:val="24"/>
              </w:rPr>
              <w:t>中标候选人推荐数量：3 家</w:t>
            </w:r>
          </w:p>
        </w:tc>
      </w:tr>
      <w:tr w14:paraId="6A0A8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1519803F">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30.1</w:t>
            </w:r>
          </w:p>
        </w:tc>
        <w:tc>
          <w:tcPr>
            <w:tcW w:w="8708" w:type="dxa"/>
            <w:vAlign w:val="top"/>
          </w:tcPr>
          <w:p w14:paraId="62DA6010">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textAlignment w:val="baseline"/>
              <w:rPr>
                <w:sz w:val="24"/>
                <w:szCs w:val="24"/>
              </w:rPr>
            </w:pPr>
            <w:r>
              <w:rPr>
                <w:sz w:val="24"/>
                <w:szCs w:val="24"/>
              </w:rPr>
              <w:t>采用综合评分法的采购项目，采购人确定中标人时，出现中标候选人并列的情形，采购人按以下的方式确定中标人：</w:t>
            </w:r>
            <w:r>
              <w:rPr>
                <w:sz w:val="24"/>
                <w:szCs w:val="24"/>
                <w:highlight w:val="none"/>
              </w:rPr>
              <w:t>按综合评分中项目</w:t>
            </w:r>
            <w:r>
              <w:rPr>
                <w:rFonts w:hint="eastAsia" w:eastAsia="宋体"/>
                <w:sz w:val="24"/>
                <w:szCs w:val="24"/>
                <w:highlight w:val="none"/>
                <w:lang w:val="en-US" w:eastAsia="zh-CN"/>
              </w:rPr>
              <w:t>报价低的优先、</w:t>
            </w:r>
            <w:r>
              <w:rPr>
                <w:sz w:val="24"/>
                <w:szCs w:val="24"/>
                <w:highlight w:val="none"/>
              </w:rPr>
              <w:t>技术评分高的优先、商务评分高的优先、故障响应时间短优先的顺序依次确定。</w:t>
            </w:r>
          </w:p>
        </w:tc>
      </w:tr>
      <w:tr w14:paraId="6543C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6E08171A">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pacing w:val="2"/>
                <w:position w:val="1"/>
                <w:sz w:val="24"/>
                <w:szCs w:val="24"/>
              </w:rPr>
              <w:t>35.1</w:t>
            </w:r>
          </w:p>
        </w:tc>
        <w:tc>
          <w:tcPr>
            <w:tcW w:w="8708" w:type="dxa"/>
            <w:vAlign w:val="top"/>
          </w:tcPr>
          <w:p w14:paraId="022937BD">
            <w:pPr>
              <w:pStyle w:val="29"/>
              <w:keepNext w:val="0"/>
              <w:keepLines w:val="0"/>
              <w:pageBreakBefore w:val="0"/>
              <w:widowControl w:val="0"/>
              <w:kinsoku/>
              <w:wordWrap w:val="0"/>
              <w:overflowPunct/>
              <w:topLinePunct w:val="0"/>
              <w:autoSpaceDE w:val="0"/>
              <w:autoSpaceDN w:val="0"/>
              <w:bidi w:val="0"/>
              <w:adjustRightInd w:val="0"/>
              <w:snapToGrid w:val="0"/>
              <w:spacing w:before="32" w:line="360" w:lineRule="auto"/>
              <w:ind w:left="133"/>
              <w:textAlignment w:val="baseline"/>
              <w:rPr>
                <w:sz w:val="24"/>
                <w:szCs w:val="24"/>
              </w:rPr>
            </w:pPr>
            <w:r>
              <w:rPr>
                <w:spacing w:val="6"/>
                <w:sz w:val="24"/>
                <w:szCs w:val="24"/>
              </w:rPr>
              <w:t>□本项目不收取履约保证金。</w:t>
            </w:r>
          </w:p>
          <w:p w14:paraId="4C7C0C6A">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120"/>
              <w:textAlignment w:val="baseline"/>
              <w:rPr>
                <w:sz w:val="24"/>
                <w:szCs w:val="24"/>
              </w:rPr>
            </w:pPr>
            <w:r>
              <w:rPr>
                <w:rFonts w:ascii="MS Gothic" w:hAnsi="MS Gothic" w:eastAsia="MS Gothic" w:cs="MS Gothic"/>
                <w:spacing w:val="8"/>
                <w:sz w:val="24"/>
                <w:szCs w:val="24"/>
              </w:rPr>
              <w:t>☑</w:t>
            </w:r>
            <w:r>
              <w:rPr>
                <w:spacing w:val="8"/>
                <w:sz w:val="24"/>
                <w:szCs w:val="24"/>
              </w:rPr>
              <w:t>本项目收取履约保证金，具体规定如下：</w:t>
            </w:r>
          </w:p>
          <w:p w14:paraId="41B601EE">
            <w:pPr>
              <w:pStyle w:val="29"/>
              <w:keepNext w:val="0"/>
              <w:keepLines w:val="0"/>
              <w:pageBreakBefore w:val="0"/>
              <w:widowControl w:val="0"/>
              <w:kinsoku/>
              <w:wordWrap w:val="0"/>
              <w:overflowPunct/>
              <w:topLinePunct w:val="0"/>
              <w:autoSpaceDE w:val="0"/>
              <w:autoSpaceDN w:val="0"/>
              <w:bidi w:val="0"/>
              <w:adjustRightInd w:val="0"/>
              <w:snapToGrid w:val="0"/>
              <w:spacing w:before="161" w:line="360" w:lineRule="auto"/>
              <w:ind w:left="115"/>
              <w:textAlignment w:val="baseline"/>
              <w:rPr>
                <w:sz w:val="24"/>
                <w:szCs w:val="24"/>
              </w:rPr>
            </w:pPr>
            <w:r>
              <w:rPr>
                <w:spacing w:val="7"/>
                <w:sz w:val="24"/>
                <w:szCs w:val="24"/>
              </w:rPr>
              <w:t>履约保证金金额：按中标金额的</w:t>
            </w:r>
            <w:r>
              <w:rPr>
                <w:spacing w:val="7"/>
                <w:sz w:val="24"/>
                <w:szCs w:val="24"/>
                <w:u w:val="single" w:color="auto"/>
              </w:rPr>
              <w:t xml:space="preserve">  2  %</w:t>
            </w:r>
            <w:r>
              <w:rPr>
                <w:spacing w:val="7"/>
                <w:sz w:val="24"/>
                <w:szCs w:val="24"/>
              </w:rPr>
              <w:t>。</w:t>
            </w:r>
          </w:p>
          <w:p w14:paraId="03C459DC">
            <w:pPr>
              <w:pStyle w:val="29"/>
              <w:keepNext w:val="0"/>
              <w:keepLines w:val="0"/>
              <w:pageBreakBefore w:val="0"/>
              <w:widowControl w:val="0"/>
              <w:kinsoku/>
              <w:wordWrap w:val="0"/>
              <w:overflowPunct/>
              <w:topLinePunct w:val="0"/>
              <w:autoSpaceDE w:val="0"/>
              <w:autoSpaceDN w:val="0"/>
              <w:bidi w:val="0"/>
              <w:adjustRightInd w:val="0"/>
              <w:snapToGrid w:val="0"/>
              <w:spacing w:before="160" w:line="360" w:lineRule="auto"/>
              <w:ind w:left="113" w:right="108" w:firstLine="1"/>
              <w:textAlignment w:val="baseline"/>
              <w:rPr>
                <w:sz w:val="24"/>
                <w:szCs w:val="24"/>
              </w:rPr>
            </w:pPr>
            <w:r>
              <w:rPr>
                <w:spacing w:val="12"/>
                <w:sz w:val="24"/>
                <w:szCs w:val="24"/>
              </w:rPr>
              <w:t>履约保证金递交方式：银行转账、支票、汇票、本票或者金融、担保机构出具的保函等</w:t>
            </w:r>
            <w:r>
              <w:rPr>
                <w:spacing w:val="11"/>
                <w:sz w:val="24"/>
                <w:szCs w:val="24"/>
              </w:rPr>
              <w:t>非现</w:t>
            </w:r>
            <w:r>
              <w:rPr>
                <w:spacing w:val="7"/>
                <w:sz w:val="24"/>
                <w:szCs w:val="24"/>
              </w:rPr>
              <w:t>金方式（参照投标保证金）。</w:t>
            </w:r>
          </w:p>
          <w:p w14:paraId="4BBA1804">
            <w:pPr>
              <w:pStyle w:val="29"/>
              <w:keepNext w:val="0"/>
              <w:keepLines w:val="0"/>
              <w:pageBreakBefore w:val="0"/>
              <w:widowControl w:val="0"/>
              <w:kinsoku/>
              <w:wordWrap w:val="0"/>
              <w:overflowPunct/>
              <w:topLinePunct w:val="0"/>
              <w:autoSpaceDE w:val="0"/>
              <w:autoSpaceDN w:val="0"/>
              <w:bidi w:val="0"/>
              <w:adjustRightInd w:val="0"/>
              <w:snapToGrid w:val="0"/>
              <w:spacing w:before="1" w:line="360" w:lineRule="auto"/>
              <w:ind w:left="111" w:right="110" w:firstLine="4"/>
              <w:textAlignment w:val="baseline"/>
              <w:rPr>
                <w:sz w:val="24"/>
                <w:szCs w:val="24"/>
              </w:rPr>
            </w:pPr>
            <w:r>
              <w:rPr>
                <w:spacing w:val="9"/>
                <w:sz w:val="24"/>
                <w:szCs w:val="24"/>
              </w:rPr>
              <w:t>履约保证金退付方式、时间及条件：</w:t>
            </w:r>
            <w:r>
              <w:rPr>
                <w:spacing w:val="-35"/>
                <w:sz w:val="24"/>
                <w:szCs w:val="24"/>
              </w:rPr>
              <w:t xml:space="preserve"> </w:t>
            </w:r>
            <w:r>
              <w:rPr>
                <w:b/>
                <w:bCs/>
                <w:spacing w:val="9"/>
                <w:sz w:val="24"/>
                <w:szCs w:val="24"/>
                <w:u w:val="single" w:color="auto"/>
              </w:rPr>
              <w:t>由中标人向履约保证金收取单位提供《广西壮族自治区</w:t>
            </w:r>
            <w:r>
              <w:rPr>
                <w:b/>
                <w:bCs/>
                <w:spacing w:val="8"/>
                <w:sz w:val="24"/>
                <w:szCs w:val="24"/>
                <w:u w:val="single" w:color="auto"/>
              </w:rPr>
              <w:t>政府采购项目合同验收书》</w:t>
            </w:r>
            <w:r>
              <w:rPr>
                <w:spacing w:val="-79"/>
                <w:sz w:val="24"/>
                <w:szCs w:val="24"/>
                <w:u w:val="single" w:color="auto"/>
              </w:rPr>
              <w:t xml:space="preserve"> </w:t>
            </w:r>
            <w:r>
              <w:rPr>
                <w:b/>
                <w:bCs/>
                <w:spacing w:val="8"/>
                <w:sz w:val="24"/>
                <w:szCs w:val="24"/>
                <w:u w:val="single" w:color="auto"/>
              </w:rPr>
              <w:t>（详见桂财采〔2015〕22号</w:t>
            </w:r>
            <w:r>
              <w:rPr>
                <w:b/>
                <w:bCs/>
                <w:sz w:val="24"/>
                <w:szCs w:val="24"/>
                <w:u w:val="single" w:color="auto"/>
              </w:rPr>
              <w:t>）</w:t>
            </w:r>
            <w:r>
              <w:rPr>
                <w:spacing w:val="-59"/>
                <w:sz w:val="24"/>
                <w:szCs w:val="24"/>
                <w:u w:val="single" w:color="auto"/>
              </w:rPr>
              <w:t xml:space="preserve"> </w:t>
            </w:r>
            <w:r>
              <w:rPr>
                <w:b/>
                <w:bCs/>
                <w:sz w:val="24"/>
                <w:szCs w:val="24"/>
                <w:u w:val="single" w:color="auto"/>
              </w:rPr>
              <w:t>，</w:t>
            </w:r>
            <w:r>
              <w:rPr>
                <w:b/>
                <w:bCs/>
                <w:spacing w:val="8"/>
                <w:sz w:val="24"/>
                <w:szCs w:val="24"/>
                <w:u w:val="single" w:color="auto"/>
              </w:rPr>
              <w:t>保证金收取单位在收到合格材料</w:t>
            </w:r>
            <w:r>
              <w:rPr>
                <w:b/>
                <w:bCs/>
                <w:spacing w:val="7"/>
                <w:sz w:val="24"/>
                <w:szCs w:val="24"/>
                <w:u w:val="single" w:color="auto"/>
              </w:rPr>
              <w:t>后5个工作日内办理退还手续（不计利息）</w:t>
            </w:r>
            <w:r>
              <w:rPr>
                <w:spacing w:val="7"/>
                <w:sz w:val="24"/>
                <w:szCs w:val="24"/>
              </w:rPr>
              <w:t>。</w:t>
            </w:r>
          </w:p>
          <w:p w14:paraId="260F2255">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left="115"/>
              <w:textAlignment w:val="baseline"/>
              <w:rPr>
                <w:sz w:val="24"/>
                <w:szCs w:val="24"/>
              </w:rPr>
            </w:pPr>
            <w:r>
              <w:rPr>
                <w:spacing w:val="7"/>
                <w:sz w:val="24"/>
                <w:szCs w:val="24"/>
              </w:rPr>
              <w:t>履约保证金指定账户：</w:t>
            </w:r>
          </w:p>
          <w:p w14:paraId="5A93F5FB">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sz w:val="24"/>
                <w:szCs w:val="24"/>
                <w:highlight w:val="none"/>
              </w:rPr>
            </w:pPr>
            <w:r>
              <w:rPr>
                <w:rFonts w:hint="eastAsia"/>
                <w:sz w:val="24"/>
                <w:szCs w:val="24"/>
                <w:highlight w:val="none"/>
              </w:rPr>
              <w:t>广西壮族自治区恭城公路养护中心</w:t>
            </w:r>
          </w:p>
          <w:p w14:paraId="1DED2CBB">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sz w:val="24"/>
                <w:szCs w:val="24"/>
                <w:highlight w:val="none"/>
              </w:rPr>
            </w:pPr>
            <w:r>
              <w:rPr>
                <w:rFonts w:hint="eastAsia"/>
                <w:sz w:val="24"/>
                <w:szCs w:val="24"/>
                <w:highlight w:val="none"/>
              </w:rPr>
              <w:t>开户名称：广西壮族自治区恭城公路养护中心</w:t>
            </w:r>
          </w:p>
          <w:p w14:paraId="7EABCD37">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sz w:val="24"/>
                <w:szCs w:val="24"/>
                <w:highlight w:val="none"/>
              </w:rPr>
            </w:pPr>
            <w:r>
              <w:rPr>
                <w:rFonts w:hint="eastAsia"/>
                <w:sz w:val="24"/>
                <w:szCs w:val="24"/>
                <w:highlight w:val="none"/>
              </w:rPr>
              <w:t>开户银行：广西农商行恭城营业部</w:t>
            </w:r>
          </w:p>
          <w:p w14:paraId="6A66293B">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sz w:val="24"/>
                <w:szCs w:val="24"/>
                <w:highlight w:val="none"/>
              </w:rPr>
            </w:pPr>
            <w:r>
              <w:rPr>
                <w:rFonts w:hint="eastAsia"/>
                <w:sz w:val="24"/>
                <w:szCs w:val="24"/>
                <w:highlight w:val="none"/>
              </w:rPr>
              <w:t>银行账号：3280012040000449</w:t>
            </w:r>
          </w:p>
          <w:p w14:paraId="2320D0C4">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sz w:val="24"/>
                <w:szCs w:val="24"/>
                <w:highlight w:val="none"/>
              </w:rPr>
            </w:pPr>
          </w:p>
          <w:p w14:paraId="2C2DAB69">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广西壮族自治区平乐公路养护中心</w:t>
            </w:r>
          </w:p>
          <w:p w14:paraId="32C5493D">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开户名称：广西壮族自治区平乐公路养护中心</w:t>
            </w:r>
          </w:p>
          <w:p w14:paraId="7EBC741D">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sz w:val="24"/>
                <w:szCs w:val="24"/>
                <w:highlight w:val="none"/>
              </w:rPr>
            </w:pPr>
            <w:r>
              <w:rPr>
                <w:rFonts w:hint="eastAsia"/>
                <w:sz w:val="24"/>
                <w:szCs w:val="24"/>
                <w:highlight w:val="none"/>
              </w:rPr>
              <w:t>开户银行：广西平乐农村合作银行新安支行</w:t>
            </w:r>
          </w:p>
          <w:p w14:paraId="23E3D3A9">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sz w:val="24"/>
                <w:szCs w:val="24"/>
                <w:highlight w:val="none"/>
              </w:rPr>
            </w:pPr>
            <w:r>
              <w:rPr>
                <w:rFonts w:hint="eastAsia"/>
                <w:sz w:val="24"/>
                <w:szCs w:val="24"/>
                <w:highlight w:val="none"/>
              </w:rPr>
              <w:t>银行账号：3339012040000159</w:t>
            </w:r>
          </w:p>
          <w:p w14:paraId="6E8A69F2">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sz w:val="24"/>
                <w:szCs w:val="24"/>
                <w:highlight w:val="none"/>
              </w:rPr>
            </w:pPr>
          </w:p>
          <w:p w14:paraId="1BF0AF20">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sz w:val="24"/>
                <w:szCs w:val="24"/>
                <w:highlight w:val="none"/>
              </w:rPr>
            </w:pPr>
            <w:r>
              <w:rPr>
                <w:rFonts w:hint="eastAsia"/>
                <w:sz w:val="24"/>
                <w:szCs w:val="24"/>
                <w:highlight w:val="none"/>
              </w:rPr>
              <w:t>广西壮族自治区阳朔公路养护中心</w:t>
            </w:r>
          </w:p>
          <w:p w14:paraId="5E015F68">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color w:val="auto"/>
                <w:sz w:val="24"/>
                <w:szCs w:val="24"/>
                <w:highlight w:val="none"/>
              </w:rPr>
            </w:pPr>
            <w:r>
              <w:rPr>
                <w:rFonts w:hint="eastAsia"/>
                <w:color w:val="auto"/>
                <w:sz w:val="24"/>
                <w:szCs w:val="24"/>
                <w:highlight w:val="none"/>
              </w:rPr>
              <w:t>开户名称：广西壮族自治区阳朔公路养护中心</w:t>
            </w:r>
          </w:p>
          <w:p w14:paraId="6F6B0B23">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color w:val="auto"/>
                <w:sz w:val="24"/>
                <w:szCs w:val="24"/>
                <w:highlight w:val="none"/>
              </w:rPr>
            </w:pPr>
            <w:r>
              <w:rPr>
                <w:rFonts w:hint="eastAsia"/>
                <w:color w:val="auto"/>
                <w:sz w:val="24"/>
                <w:szCs w:val="24"/>
                <w:highlight w:val="none"/>
              </w:rPr>
              <w:t>开户银行：中国工商银行阳朔县支行</w:t>
            </w:r>
          </w:p>
          <w:p w14:paraId="08882FC1">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color w:val="auto"/>
                <w:sz w:val="24"/>
                <w:szCs w:val="24"/>
                <w:highlight w:val="none"/>
              </w:rPr>
            </w:pPr>
            <w:r>
              <w:rPr>
                <w:rFonts w:hint="eastAsia"/>
                <w:color w:val="auto"/>
                <w:sz w:val="24"/>
                <w:szCs w:val="24"/>
                <w:highlight w:val="none"/>
              </w:rPr>
              <w:t>银行账号：2103227109264023782</w:t>
            </w:r>
          </w:p>
          <w:p w14:paraId="61DC0B04">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color w:val="auto"/>
                <w:sz w:val="24"/>
                <w:szCs w:val="24"/>
                <w:highlight w:val="none"/>
              </w:rPr>
            </w:pPr>
          </w:p>
          <w:p w14:paraId="44E4D275">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color w:val="auto"/>
                <w:sz w:val="24"/>
                <w:szCs w:val="24"/>
                <w:highlight w:val="none"/>
              </w:rPr>
            </w:pPr>
            <w:r>
              <w:rPr>
                <w:rFonts w:hint="eastAsia"/>
                <w:color w:val="auto"/>
                <w:sz w:val="24"/>
                <w:szCs w:val="24"/>
                <w:highlight w:val="none"/>
              </w:rPr>
              <w:t>广西壮族自治区灌阳公路养护中心</w:t>
            </w:r>
          </w:p>
          <w:p w14:paraId="3C234EB2">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color w:val="auto"/>
                <w:sz w:val="24"/>
                <w:szCs w:val="24"/>
                <w:highlight w:val="none"/>
              </w:rPr>
            </w:pPr>
            <w:r>
              <w:rPr>
                <w:rFonts w:hint="eastAsia"/>
                <w:color w:val="auto"/>
                <w:sz w:val="24"/>
                <w:szCs w:val="24"/>
                <w:highlight w:val="none"/>
              </w:rPr>
              <w:t>开户名称：广西壮族自治区阳朔公路养护中心</w:t>
            </w:r>
          </w:p>
          <w:p w14:paraId="5B1E2BCF">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color w:val="auto"/>
                <w:sz w:val="24"/>
                <w:szCs w:val="24"/>
                <w:highlight w:val="none"/>
              </w:rPr>
            </w:pPr>
            <w:r>
              <w:rPr>
                <w:rFonts w:hint="eastAsia"/>
                <w:color w:val="auto"/>
                <w:sz w:val="24"/>
                <w:szCs w:val="24"/>
                <w:highlight w:val="none"/>
              </w:rPr>
              <w:t>开户银行：广西灌阳农村商业银行灌阳镇支行</w:t>
            </w:r>
          </w:p>
          <w:p w14:paraId="49A59AE6">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532"/>
              <w:textAlignment w:val="baseline"/>
              <w:rPr>
                <w:rFonts w:hint="eastAsia"/>
                <w:color w:val="auto"/>
                <w:sz w:val="24"/>
                <w:szCs w:val="24"/>
                <w:highlight w:val="none"/>
              </w:rPr>
            </w:pPr>
            <w:r>
              <w:rPr>
                <w:rFonts w:hint="eastAsia"/>
                <w:color w:val="auto"/>
                <w:sz w:val="24"/>
                <w:szCs w:val="24"/>
                <w:highlight w:val="none"/>
              </w:rPr>
              <w:t>银行账号：3241012040000343</w:t>
            </w:r>
          </w:p>
          <w:p w14:paraId="63C09BB1">
            <w:pPr>
              <w:pStyle w:val="29"/>
              <w:keepNext w:val="0"/>
              <w:keepLines w:val="0"/>
              <w:pageBreakBefore w:val="0"/>
              <w:widowControl w:val="0"/>
              <w:kinsoku/>
              <w:wordWrap w:val="0"/>
              <w:overflowPunct/>
              <w:topLinePunct w:val="0"/>
              <w:autoSpaceDE w:val="0"/>
              <w:autoSpaceDN w:val="0"/>
              <w:bidi w:val="0"/>
              <w:adjustRightInd w:val="0"/>
              <w:snapToGrid w:val="0"/>
              <w:spacing w:before="161" w:line="360" w:lineRule="auto"/>
              <w:ind w:left="114"/>
              <w:textAlignment w:val="baseline"/>
              <w:rPr>
                <w:sz w:val="24"/>
                <w:szCs w:val="24"/>
              </w:rPr>
            </w:pPr>
            <w:r>
              <w:rPr>
                <w:spacing w:val="2"/>
                <w:sz w:val="24"/>
                <w:szCs w:val="24"/>
              </w:rPr>
              <w:t>备注：</w:t>
            </w:r>
          </w:p>
          <w:p w14:paraId="71C7E122">
            <w:pPr>
              <w:pStyle w:val="29"/>
              <w:keepNext w:val="0"/>
              <w:keepLines w:val="0"/>
              <w:pageBreakBefore w:val="0"/>
              <w:widowControl w:val="0"/>
              <w:kinsoku/>
              <w:wordWrap w:val="0"/>
              <w:overflowPunct/>
              <w:topLinePunct w:val="0"/>
              <w:autoSpaceDE w:val="0"/>
              <w:autoSpaceDN w:val="0"/>
              <w:bidi w:val="0"/>
              <w:adjustRightInd w:val="0"/>
              <w:snapToGrid w:val="0"/>
              <w:spacing w:before="159" w:line="360" w:lineRule="auto"/>
              <w:ind w:left="112" w:right="110" w:firstLine="14"/>
              <w:textAlignment w:val="baseline"/>
              <w:rPr>
                <w:sz w:val="24"/>
                <w:szCs w:val="24"/>
              </w:rPr>
            </w:pPr>
            <w:r>
              <w:rPr>
                <w:b/>
                <w:bCs/>
                <w:spacing w:val="4"/>
                <w:sz w:val="24"/>
                <w:szCs w:val="24"/>
              </w:rPr>
              <w:t>1.根据《广西壮族自治区财政厅关于持续优化政府采购营商环境推动高质量发展的通知》（桂</w:t>
            </w:r>
            <w:r>
              <w:rPr>
                <w:b/>
                <w:bCs/>
                <w:spacing w:val="7"/>
                <w:sz w:val="24"/>
                <w:szCs w:val="24"/>
              </w:rPr>
              <w:t>财采〔2024〕55</w:t>
            </w:r>
            <w:r>
              <w:rPr>
                <w:spacing w:val="-34"/>
                <w:sz w:val="24"/>
                <w:szCs w:val="24"/>
              </w:rPr>
              <w:t xml:space="preserve"> </w:t>
            </w:r>
            <w:r>
              <w:rPr>
                <w:b/>
                <w:bCs/>
                <w:spacing w:val="7"/>
                <w:sz w:val="24"/>
                <w:szCs w:val="24"/>
              </w:rPr>
              <w:t>号</w:t>
            </w:r>
            <w:r>
              <w:rPr>
                <w:b/>
                <w:bCs/>
                <w:spacing w:val="15"/>
                <w:sz w:val="24"/>
                <w:szCs w:val="24"/>
              </w:rPr>
              <w:t>），</w:t>
            </w:r>
            <w:r>
              <w:rPr>
                <w:b/>
                <w:bCs/>
                <w:spacing w:val="7"/>
                <w:sz w:val="24"/>
                <w:szCs w:val="24"/>
              </w:rPr>
              <w:t>采购人在采购文件中要求提交履约保证金的，履约保证金数额不得超</w:t>
            </w:r>
            <w:r>
              <w:rPr>
                <w:b/>
                <w:bCs/>
                <w:spacing w:val="8"/>
                <w:sz w:val="24"/>
                <w:szCs w:val="24"/>
              </w:rPr>
              <w:t>过政府采购合同金额的</w:t>
            </w:r>
            <w:r>
              <w:rPr>
                <w:spacing w:val="-35"/>
                <w:sz w:val="24"/>
                <w:szCs w:val="24"/>
              </w:rPr>
              <w:t xml:space="preserve"> </w:t>
            </w:r>
            <w:r>
              <w:rPr>
                <w:b/>
                <w:bCs/>
                <w:spacing w:val="8"/>
                <w:sz w:val="24"/>
                <w:szCs w:val="24"/>
              </w:rPr>
              <w:t>5%；政府采购要加大对中小企业发展的扶持力度，对中</w:t>
            </w:r>
            <w:r>
              <w:rPr>
                <w:b/>
                <w:bCs/>
                <w:spacing w:val="7"/>
                <w:sz w:val="24"/>
                <w:szCs w:val="24"/>
              </w:rPr>
              <w:t>小企业收取的履约保证金数额不得超过政府采购合同金额</w:t>
            </w:r>
            <w:r>
              <w:rPr>
                <w:b/>
                <w:bCs/>
                <w:spacing w:val="6"/>
                <w:sz w:val="24"/>
                <w:szCs w:val="24"/>
              </w:rPr>
              <w:t>的</w:t>
            </w:r>
            <w:r>
              <w:rPr>
                <w:spacing w:val="-36"/>
                <w:sz w:val="24"/>
                <w:szCs w:val="24"/>
              </w:rPr>
              <w:t xml:space="preserve"> </w:t>
            </w:r>
            <w:r>
              <w:rPr>
                <w:b/>
                <w:bCs/>
                <w:spacing w:val="6"/>
                <w:sz w:val="24"/>
                <w:szCs w:val="24"/>
              </w:rPr>
              <w:t>2%。</w:t>
            </w:r>
          </w:p>
          <w:p w14:paraId="50A60AB6">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112" w:right="168" w:firstLine="1"/>
              <w:textAlignment w:val="baseline"/>
              <w:rPr>
                <w:sz w:val="24"/>
                <w:szCs w:val="24"/>
              </w:rPr>
            </w:pPr>
            <w:r>
              <w:rPr>
                <w:b/>
                <w:bCs/>
                <w:spacing w:val="8"/>
                <w:sz w:val="24"/>
                <w:szCs w:val="24"/>
              </w:rPr>
              <w:t>2.履约保证金不足额缴纳的（包含保函额度不足的</w:t>
            </w:r>
            <w:r>
              <w:rPr>
                <w:b/>
                <w:bCs/>
                <w:spacing w:val="14"/>
                <w:sz w:val="24"/>
                <w:szCs w:val="24"/>
              </w:rPr>
              <w:t>），</w:t>
            </w:r>
            <w:r>
              <w:rPr>
                <w:b/>
                <w:bCs/>
                <w:spacing w:val="8"/>
                <w:sz w:val="24"/>
                <w:szCs w:val="24"/>
              </w:rPr>
              <w:t>或者不按规定提交</w:t>
            </w:r>
            <w:r>
              <w:rPr>
                <w:b/>
                <w:bCs/>
                <w:spacing w:val="7"/>
                <w:sz w:val="24"/>
                <w:szCs w:val="24"/>
              </w:rPr>
              <w:t>方式提交的，或者</w:t>
            </w:r>
            <w:r>
              <w:rPr>
                <w:b/>
                <w:bCs/>
                <w:spacing w:val="8"/>
                <w:sz w:val="24"/>
                <w:szCs w:val="24"/>
              </w:rPr>
              <w:t>保函有效期低于合同履行期限（即合同中规定的当事人履行自己的义务，如交付标的物、价款或者报酬，履行劳务、完成工作的时间界限）的，不予签订合同。</w:t>
            </w:r>
          </w:p>
          <w:p w14:paraId="61B5E41F">
            <w:pPr>
              <w:pStyle w:val="29"/>
              <w:keepNext w:val="0"/>
              <w:keepLines w:val="0"/>
              <w:pageBreakBefore w:val="0"/>
              <w:widowControl w:val="0"/>
              <w:kinsoku/>
              <w:wordWrap w:val="0"/>
              <w:overflowPunct/>
              <w:topLinePunct w:val="0"/>
              <w:autoSpaceDE w:val="0"/>
              <w:autoSpaceDN w:val="0"/>
              <w:bidi w:val="0"/>
              <w:adjustRightInd w:val="0"/>
              <w:snapToGrid w:val="0"/>
              <w:spacing w:before="163" w:line="360" w:lineRule="auto"/>
              <w:ind w:left="116"/>
              <w:textAlignment w:val="baseline"/>
              <w:rPr>
                <w:sz w:val="24"/>
                <w:szCs w:val="24"/>
              </w:rPr>
            </w:pPr>
            <w:r>
              <w:rPr>
                <w:b/>
                <w:bCs/>
                <w:spacing w:val="8"/>
                <w:sz w:val="24"/>
                <w:szCs w:val="24"/>
              </w:rPr>
              <w:t>3.采用金融、担保机构出具的保函的，必须为无条件保</w:t>
            </w:r>
            <w:r>
              <w:rPr>
                <w:b/>
                <w:bCs/>
                <w:spacing w:val="7"/>
                <w:sz w:val="24"/>
                <w:szCs w:val="24"/>
              </w:rPr>
              <w:t>函，否则不予签订合同。</w:t>
            </w:r>
          </w:p>
          <w:p w14:paraId="02A5142A">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textAlignment w:val="baseline"/>
              <w:rPr>
                <w:sz w:val="24"/>
                <w:szCs w:val="24"/>
              </w:rPr>
            </w:pPr>
            <w:r>
              <w:rPr>
                <w:rFonts w:hint="eastAsia" w:eastAsia="宋体"/>
                <w:b/>
                <w:bCs/>
                <w:spacing w:val="7"/>
                <w:sz w:val="24"/>
                <w:szCs w:val="24"/>
                <w:lang w:val="en-US" w:eastAsia="zh-CN"/>
              </w:rPr>
              <w:t>4</w:t>
            </w:r>
            <w:r>
              <w:rPr>
                <w:b/>
                <w:bCs/>
                <w:spacing w:val="7"/>
                <w:sz w:val="24"/>
                <w:szCs w:val="24"/>
              </w:rPr>
              <w:t>.采用银行保函等非现金形式时，出具银行保函等的银行级</w:t>
            </w:r>
            <w:r>
              <w:rPr>
                <w:b/>
                <w:bCs/>
                <w:spacing w:val="6"/>
                <w:sz w:val="24"/>
                <w:szCs w:val="24"/>
              </w:rPr>
              <w:t>别:地市级分行(支行)及以上级别</w:t>
            </w:r>
            <w:r>
              <w:rPr>
                <w:b/>
                <w:bCs/>
                <w:spacing w:val="7"/>
                <w:sz w:val="24"/>
                <w:szCs w:val="24"/>
              </w:rPr>
              <w:t>银行，且开具前须报发包人核准。</w:t>
            </w:r>
            <w:r>
              <w:rPr>
                <w:spacing w:val="-49"/>
                <w:sz w:val="24"/>
                <w:szCs w:val="24"/>
              </w:rPr>
              <w:t xml:space="preserve"> </w:t>
            </w:r>
            <w:r>
              <w:rPr>
                <w:b/>
                <w:bCs/>
                <w:spacing w:val="7"/>
                <w:sz w:val="24"/>
                <w:szCs w:val="24"/>
              </w:rPr>
              <w:t>(履约保证金必须以中标人设立的基本账户的银行机构开</w:t>
            </w:r>
            <w:r>
              <w:rPr>
                <w:b/>
                <w:bCs/>
                <w:spacing w:val="4"/>
                <w:sz w:val="24"/>
                <w:szCs w:val="24"/>
              </w:rPr>
              <w:t>出。)</w:t>
            </w:r>
          </w:p>
        </w:tc>
      </w:tr>
      <w:tr w14:paraId="402EE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748AC24B">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36.1</w:t>
            </w:r>
          </w:p>
        </w:tc>
        <w:tc>
          <w:tcPr>
            <w:tcW w:w="8708" w:type="dxa"/>
            <w:vAlign w:val="top"/>
          </w:tcPr>
          <w:p w14:paraId="2F2835D5">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textAlignment w:val="baseline"/>
              <w:rPr>
                <w:sz w:val="24"/>
                <w:szCs w:val="24"/>
              </w:rPr>
            </w:pPr>
            <w:r>
              <w:rPr>
                <w:sz w:val="24"/>
                <w:szCs w:val="24"/>
              </w:rPr>
              <w:t>签订合同携带的证明材料：</w:t>
            </w:r>
          </w:p>
          <w:p w14:paraId="44D0AFE3">
            <w:pPr>
              <w:pStyle w:val="29"/>
              <w:keepNext w:val="0"/>
              <w:keepLines w:val="0"/>
              <w:pageBreakBefore w:val="0"/>
              <w:widowControl w:val="0"/>
              <w:numPr>
                <w:ilvl w:val="0"/>
                <w:numId w:val="5"/>
              </w:numPr>
              <w:kinsoku/>
              <w:wordWrap w:val="0"/>
              <w:overflowPunct/>
              <w:topLinePunct w:val="0"/>
              <w:autoSpaceDE w:val="0"/>
              <w:autoSpaceDN w:val="0"/>
              <w:bidi w:val="0"/>
              <w:adjustRightInd w:val="0"/>
              <w:snapToGrid w:val="0"/>
              <w:spacing w:line="360" w:lineRule="auto"/>
              <w:textAlignment w:val="baseline"/>
              <w:rPr>
                <w:spacing w:val="6"/>
                <w:sz w:val="24"/>
                <w:szCs w:val="24"/>
              </w:rPr>
            </w:pPr>
            <w:r>
              <w:rPr>
                <w:spacing w:val="6"/>
                <w:sz w:val="24"/>
                <w:szCs w:val="24"/>
              </w:rPr>
              <w:t>委托代理人负责签订合同的，须携带授权委托书及委托代理人身份证原件等其他资格证件。</w:t>
            </w:r>
          </w:p>
          <w:p w14:paraId="78E559C5">
            <w:pPr>
              <w:pStyle w:val="29"/>
              <w:keepNext w:val="0"/>
              <w:keepLines w:val="0"/>
              <w:pageBreakBefore w:val="0"/>
              <w:widowControl w:val="0"/>
              <w:numPr>
                <w:ilvl w:val="0"/>
                <w:numId w:val="5"/>
              </w:numPr>
              <w:kinsoku/>
              <w:wordWrap w:val="0"/>
              <w:overflowPunct/>
              <w:topLinePunct w:val="0"/>
              <w:autoSpaceDE w:val="0"/>
              <w:autoSpaceDN w:val="0"/>
              <w:bidi w:val="0"/>
              <w:adjustRightInd w:val="0"/>
              <w:snapToGrid w:val="0"/>
              <w:spacing w:line="360" w:lineRule="auto"/>
              <w:textAlignment w:val="baseline"/>
              <w:rPr>
                <w:sz w:val="24"/>
                <w:szCs w:val="24"/>
              </w:rPr>
            </w:pPr>
            <w:r>
              <w:rPr>
                <w:spacing w:val="9"/>
                <w:sz w:val="24"/>
                <w:szCs w:val="24"/>
              </w:rPr>
              <w:t>法定代表人负责签订合同的，须携带法定代表人身份证明原件及身份证原件等其他证明材</w:t>
            </w:r>
            <w:r>
              <w:rPr>
                <w:sz w:val="24"/>
                <w:szCs w:val="24"/>
              </w:rPr>
              <w:t>料。</w:t>
            </w:r>
          </w:p>
        </w:tc>
      </w:tr>
      <w:tr w14:paraId="464E9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2B2C353F">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38.2</w:t>
            </w:r>
          </w:p>
        </w:tc>
        <w:tc>
          <w:tcPr>
            <w:tcW w:w="8708" w:type="dxa"/>
            <w:vAlign w:val="top"/>
          </w:tcPr>
          <w:p w14:paraId="427A6FCB">
            <w:pPr>
              <w:pStyle w:val="29"/>
              <w:keepNext w:val="0"/>
              <w:keepLines w:val="0"/>
              <w:pageBreakBefore w:val="0"/>
              <w:widowControl w:val="0"/>
              <w:kinsoku/>
              <w:wordWrap w:val="0"/>
              <w:overflowPunct/>
              <w:topLinePunct w:val="0"/>
              <w:autoSpaceDE w:val="0"/>
              <w:autoSpaceDN w:val="0"/>
              <w:bidi w:val="0"/>
              <w:adjustRightInd w:val="0"/>
              <w:snapToGrid w:val="0"/>
              <w:spacing w:before="33" w:line="360" w:lineRule="auto"/>
              <w:ind w:left="111"/>
              <w:textAlignment w:val="baseline"/>
              <w:rPr>
                <w:sz w:val="24"/>
                <w:szCs w:val="24"/>
              </w:rPr>
            </w:pPr>
            <w:r>
              <w:rPr>
                <w:spacing w:val="6"/>
                <w:sz w:val="24"/>
                <w:szCs w:val="24"/>
              </w:rPr>
              <w:t>接收质疑函方式：</w:t>
            </w:r>
            <w:r>
              <w:rPr>
                <w:spacing w:val="-50"/>
                <w:sz w:val="24"/>
                <w:szCs w:val="24"/>
              </w:rPr>
              <w:t xml:space="preserve"> </w:t>
            </w:r>
            <w:r>
              <w:rPr>
                <w:spacing w:val="6"/>
                <w:sz w:val="24"/>
                <w:szCs w:val="24"/>
              </w:rPr>
              <w:t>以纸质书面形式</w:t>
            </w:r>
          </w:p>
          <w:p w14:paraId="41DBEBBF">
            <w:pPr>
              <w:pStyle w:val="29"/>
              <w:keepNext w:val="0"/>
              <w:keepLines w:val="0"/>
              <w:pageBreakBefore w:val="0"/>
              <w:widowControl w:val="0"/>
              <w:kinsoku/>
              <w:wordWrap w:val="0"/>
              <w:overflowPunct/>
              <w:topLinePunct w:val="0"/>
              <w:autoSpaceDE w:val="0"/>
              <w:autoSpaceDN w:val="0"/>
              <w:bidi w:val="0"/>
              <w:adjustRightInd w:val="0"/>
              <w:snapToGrid w:val="0"/>
              <w:spacing w:before="161" w:line="360" w:lineRule="auto"/>
              <w:ind w:left="112"/>
              <w:textAlignment w:val="baseline"/>
              <w:rPr>
                <w:rFonts w:hint="default"/>
                <w:sz w:val="24"/>
                <w:szCs w:val="24"/>
                <w:highlight w:val="yellow"/>
                <w:lang w:val="en-US"/>
              </w:rPr>
            </w:pPr>
            <w:r>
              <w:rPr>
                <w:spacing w:val="8"/>
                <w:sz w:val="24"/>
                <w:szCs w:val="24"/>
              </w:rPr>
              <w:t>质疑联系部门及联系方式</w:t>
            </w:r>
            <w:r>
              <w:rPr>
                <w:spacing w:val="15"/>
                <w:sz w:val="24"/>
                <w:szCs w:val="24"/>
                <w:highlight w:val="none"/>
              </w:rPr>
              <w:t>：</w:t>
            </w:r>
            <w:r>
              <w:rPr>
                <w:rFonts w:hint="eastAsia"/>
                <w:spacing w:val="15"/>
                <w:sz w:val="24"/>
                <w:szCs w:val="24"/>
                <w:lang w:eastAsia="zh-CN"/>
              </w:rPr>
              <w:t>广西五衡建设咨询有限公司，</w:t>
            </w:r>
            <w:r>
              <w:rPr>
                <w:rFonts w:hint="eastAsia"/>
                <w:spacing w:val="15"/>
                <w:sz w:val="24"/>
                <w:szCs w:val="24"/>
                <w:highlight w:val="none"/>
                <w:lang w:val="en-US" w:eastAsia="zh-CN"/>
              </w:rPr>
              <w:t>0773-8101393</w:t>
            </w:r>
            <w:r>
              <w:rPr>
                <w:spacing w:val="15"/>
                <w:sz w:val="24"/>
                <w:szCs w:val="24"/>
                <w:highlight w:val="none"/>
              </w:rPr>
              <w:t>，</w:t>
            </w:r>
            <w:r>
              <w:rPr>
                <w:spacing w:val="8"/>
                <w:sz w:val="24"/>
                <w:szCs w:val="24"/>
                <w:highlight w:val="none"/>
              </w:rPr>
              <w:t>质疑联系人：</w:t>
            </w:r>
            <w:r>
              <w:rPr>
                <w:rFonts w:hint="eastAsia"/>
                <w:spacing w:val="15"/>
                <w:sz w:val="24"/>
                <w:szCs w:val="24"/>
                <w:highlight w:val="none"/>
                <w:lang w:val="en-US" w:eastAsia="zh-CN"/>
              </w:rPr>
              <w:t>赵一蔓</w:t>
            </w:r>
            <w:r>
              <w:rPr>
                <w:spacing w:val="8"/>
                <w:sz w:val="24"/>
                <w:szCs w:val="24"/>
                <w:highlight w:val="none"/>
              </w:rPr>
              <w:t xml:space="preserve">  联系电话</w:t>
            </w:r>
            <w:r>
              <w:rPr>
                <w:spacing w:val="15"/>
                <w:sz w:val="24"/>
                <w:szCs w:val="24"/>
                <w:highlight w:val="none"/>
              </w:rPr>
              <w:t>：</w:t>
            </w:r>
            <w:r>
              <w:rPr>
                <w:rFonts w:hint="eastAsia"/>
                <w:spacing w:val="15"/>
                <w:sz w:val="24"/>
                <w:szCs w:val="24"/>
                <w:highlight w:val="none"/>
                <w:lang w:val="en-US" w:eastAsia="zh-CN"/>
              </w:rPr>
              <w:t>0773-8101393</w:t>
            </w:r>
            <w:r>
              <w:rPr>
                <w:spacing w:val="15"/>
                <w:sz w:val="24"/>
                <w:szCs w:val="24"/>
                <w:highlight w:val="none"/>
              </w:rPr>
              <w:t>，</w:t>
            </w:r>
            <w:r>
              <w:rPr>
                <w:spacing w:val="8"/>
                <w:sz w:val="24"/>
                <w:szCs w:val="24"/>
                <w:highlight w:val="none"/>
              </w:rPr>
              <w:t>通讯地址：</w:t>
            </w:r>
            <w:r>
              <w:rPr>
                <w:rFonts w:hint="eastAsia"/>
                <w:spacing w:val="8"/>
                <w:sz w:val="24"/>
                <w:szCs w:val="24"/>
                <w:highlight w:val="none"/>
              </w:rPr>
              <w:t>南宁市青秀区望园路7号卓恒.紫光阁1号楼7层702号房</w:t>
            </w:r>
          </w:p>
          <w:p w14:paraId="5A7EB995">
            <w:pPr>
              <w:pStyle w:val="29"/>
              <w:keepNext w:val="0"/>
              <w:keepLines w:val="0"/>
              <w:pageBreakBefore w:val="0"/>
              <w:widowControl w:val="0"/>
              <w:kinsoku/>
              <w:wordWrap w:val="0"/>
              <w:overflowPunct/>
              <w:topLinePunct w:val="0"/>
              <w:autoSpaceDE w:val="0"/>
              <w:autoSpaceDN w:val="0"/>
              <w:bidi w:val="0"/>
              <w:adjustRightInd w:val="0"/>
              <w:snapToGrid w:val="0"/>
              <w:spacing w:before="161" w:line="360" w:lineRule="auto"/>
              <w:ind w:left="113"/>
              <w:textAlignment w:val="baseline"/>
              <w:rPr>
                <w:sz w:val="24"/>
                <w:szCs w:val="24"/>
              </w:rPr>
            </w:pPr>
            <w:r>
              <w:rPr>
                <w:spacing w:val="7"/>
                <w:sz w:val="24"/>
                <w:szCs w:val="24"/>
              </w:rPr>
              <w:t>现场提交质疑办理业务时间：工作日，上午08:00-12:00；下午15:00-18:00（北京时间）</w:t>
            </w:r>
          </w:p>
        </w:tc>
      </w:tr>
      <w:tr w14:paraId="3793E0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0A551072">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39.1</w:t>
            </w:r>
          </w:p>
        </w:tc>
        <w:tc>
          <w:tcPr>
            <w:tcW w:w="8708" w:type="dxa"/>
            <w:vAlign w:val="top"/>
          </w:tcPr>
          <w:p w14:paraId="3E40685F">
            <w:pPr>
              <w:tabs>
                <w:tab w:val="left" w:pos="0"/>
              </w:tabs>
              <w:spacing w:line="360" w:lineRule="auto"/>
              <w:jc w:val="left"/>
              <w:rPr>
                <w:rFonts w:hint="eastAsia" w:ascii="宋体" w:hAnsi="宋体" w:eastAsia="宋体" w:cs="宋体"/>
                <w:spacing w:val="-7"/>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eq \o\ac(</w:instrText>
            </w:r>
            <w:r>
              <w:rPr>
                <w:rFonts w:hint="eastAsia" w:ascii="宋体" w:hAnsi="宋体" w:eastAsia="宋体" w:cs="宋体"/>
                <w:position w:val="-4"/>
                <w:sz w:val="36"/>
                <w:szCs w:val="24"/>
              </w:rPr>
              <w:instrText xml:space="preserve">□</w:instrText>
            </w:r>
            <w:r>
              <w:rPr>
                <w:rFonts w:hint="eastAsia" w:ascii="宋体" w:hAnsi="宋体" w:eastAsia="宋体" w:cs="宋体"/>
                <w:position w:val="0"/>
                <w:sz w:val="24"/>
                <w:szCs w:val="24"/>
              </w:rPr>
              <w:instrText xml:space="preserve">,√)</w:instrText>
            </w:r>
            <w:r>
              <w:rPr>
                <w:rFonts w:hint="eastAsia" w:ascii="宋体" w:hAnsi="宋体" w:eastAsia="宋体" w:cs="宋体"/>
                <w:sz w:val="24"/>
                <w:szCs w:val="24"/>
              </w:rPr>
              <w:fldChar w:fldCharType="end"/>
            </w:r>
            <w:r>
              <w:rPr>
                <w:rFonts w:hint="eastAsia" w:ascii="宋体" w:hAnsi="宋体" w:eastAsia="宋体" w:cs="宋体"/>
                <w:sz w:val="24"/>
                <w:szCs w:val="24"/>
              </w:rPr>
              <w:t>采购</w:t>
            </w:r>
            <w:r>
              <w:rPr>
                <w:rFonts w:hint="eastAsia" w:ascii="宋体" w:hAnsi="宋体" w:eastAsia="宋体" w:cs="宋体"/>
                <w:spacing w:val="-7"/>
                <w:sz w:val="24"/>
                <w:szCs w:val="24"/>
              </w:rPr>
              <w:t>人支付。招标代理机构提交招标成果文件后3天内，由各段采购人按合同约定金额一次性向招标代理机构支付。</w:t>
            </w:r>
          </w:p>
          <w:p w14:paraId="5637035D">
            <w:pPr>
              <w:pStyle w:val="15"/>
              <w:spacing w:line="360" w:lineRule="auto"/>
              <w:jc w:val="left"/>
              <w:rPr>
                <w:sz w:val="24"/>
                <w:szCs w:val="24"/>
              </w:rPr>
            </w:pPr>
            <w:r>
              <w:rPr>
                <w:rFonts w:hint="eastAsia" w:hAnsi="宋体" w:eastAsia="宋体" w:cs="宋体"/>
                <w:spacing w:val="-7"/>
                <w:sz w:val="24"/>
                <w:szCs w:val="24"/>
                <w:lang w:eastAsia="zh-CN"/>
              </w:rPr>
              <w:t>□</w:t>
            </w:r>
            <w:r>
              <w:rPr>
                <w:rFonts w:hint="eastAsia" w:ascii="宋体" w:hAnsi="宋体" w:eastAsia="宋体" w:cs="宋体"/>
                <w:spacing w:val="-7"/>
                <w:sz w:val="24"/>
                <w:szCs w:val="24"/>
                <w:lang w:eastAsia="zh-CN"/>
              </w:rPr>
              <w:t>中标人支付。</w:t>
            </w:r>
          </w:p>
        </w:tc>
      </w:tr>
      <w:tr w14:paraId="76011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33E5055C">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40.1</w:t>
            </w:r>
          </w:p>
        </w:tc>
        <w:tc>
          <w:tcPr>
            <w:tcW w:w="8708" w:type="dxa"/>
            <w:vAlign w:val="top"/>
          </w:tcPr>
          <w:p w14:paraId="2E2D010C">
            <w:pPr>
              <w:pStyle w:val="29"/>
              <w:keepNext w:val="0"/>
              <w:keepLines w:val="0"/>
              <w:pageBreakBefore w:val="0"/>
              <w:widowControl w:val="0"/>
              <w:kinsoku/>
              <w:wordWrap w:val="0"/>
              <w:overflowPunct/>
              <w:topLinePunct w:val="0"/>
              <w:autoSpaceDE w:val="0"/>
              <w:autoSpaceDN w:val="0"/>
              <w:bidi w:val="0"/>
              <w:adjustRightInd w:val="0"/>
              <w:snapToGrid w:val="0"/>
              <w:spacing w:before="33" w:line="360" w:lineRule="auto"/>
              <w:ind w:left="110" w:right="53"/>
              <w:jc w:val="both"/>
              <w:textAlignment w:val="baseline"/>
              <w:rPr>
                <w:sz w:val="24"/>
                <w:szCs w:val="24"/>
              </w:rPr>
            </w:pPr>
            <w:r>
              <w:rPr>
                <w:spacing w:val="8"/>
                <w:sz w:val="24"/>
                <w:szCs w:val="24"/>
              </w:rPr>
              <w:t>解释：构成本招标文件的各个组成文件应互为解释，互为说明；除招标文件中有特别规定外，</w:t>
            </w:r>
            <w:r>
              <w:rPr>
                <w:spacing w:val="12"/>
                <w:sz w:val="24"/>
                <w:szCs w:val="24"/>
              </w:rPr>
              <w:t>仅适用于招标投标阶段的规定，按更正公告（澄清公告）、招标公告、采购需求、投标人须</w:t>
            </w:r>
            <w:r>
              <w:rPr>
                <w:spacing w:val="11"/>
                <w:sz w:val="24"/>
                <w:szCs w:val="24"/>
              </w:rPr>
              <w:t>知、评标方法及评标标准、拟签订的合同文本、投标文件格式的先后顺序解释；</w:t>
            </w:r>
            <w:r>
              <w:rPr>
                <w:spacing w:val="-56"/>
                <w:sz w:val="24"/>
                <w:szCs w:val="24"/>
              </w:rPr>
              <w:t xml:space="preserve"> </w:t>
            </w:r>
            <w:r>
              <w:rPr>
                <w:spacing w:val="11"/>
                <w:sz w:val="24"/>
                <w:szCs w:val="24"/>
              </w:rPr>
              <w:t>同一组成文</w:t>
            </w:r>
            <w:r>
              <w:rPr>
                <w:spacing w:val="10"/>
                <w:sz w:val="24"/>
                <w:szCs w:val="24"/>
              </w:rPr>
              <w:t>件中就同一事项的规定或者约定不一致的，</w:t>
            </w:r>
            <w:r>
              <w:rPr>
                <w:spacing w:val="-59"/>
                <w:sz w:val="24"/>
                <w:szCs w:val="24"/>
              </w:rPr>
              <w:t xml:space="preserve"> </w:t>
            </w:r>
            <w:r>
              <w:rPr>
                <w:spacing w:val="10"/>
                <w:sz w:val="24"/>
                <w:szCs w:val="24"/>
              </w:rPr>
              <w:t>以编排顺序在后者为准；</w:t>
            </w:r>
            <w:r>
              <w:rPr>
                <w:spacing w:val="-58"/>
                <w:sz w:val="24"/>
                <w:szCs w:val="24"/>
              </w:rPr>
              <w:t xml:space="preserve"> </w:t>
            </w:r>
            <w:r>
              <w:rPr>
                <w:spacing w:val="10"/>
                <w:sz w:val="24"/>
                <w:szCs w:val="24"/>
              </w:rPr>
              <w:t>同一组成文件不同版本</w:t>
            </w:r>
            <w:r>
              <w:rPr>
                <w:spacing w:val="11"/>
                <w:sz w:val="24"/>
                <w:szCs w:val="24"/>
              </w:rPr>
              <w:t>之间有不一致的，</w:t>
            </w:r>
            <w:r>
              <w:rPr>
                <w:spacing w:val="-57"/>
                <w:sz w:val="24"/>
                <w:szCs w:val="24"/>
              </w:rPr>
              <w:t xml:space="preserve"> </w:t>
            </w:r>
            <w:r>
              <w:rPr>
                <w:spacing w:val="11"/>
                <w:sz w:val="24"/>
                <w:szCs w:val="24"/>
              </w:rPr>
              <w:t>以形成时间在后者为准；更正公告（澄清公告）与同步更新的招标文件不一致时以更正公告（澄清公告）为准。按本款前述规定仍不能形成结论的，</w:t>
            </w:r>
            <w:r>
              <w:rPr>
                <w:spacing w:val="-55"/>
                <w:sz w:val="24"/>
                <w:szCs w:val="24"/>
              </w:rPr>
              <w:t xml:space="preserve"> </w:t>
            </w:r>
            <w:r>
              <w:rPr>
                <w:spacing w:val="11"/>
                <w:sz w:val="24"/>
                <w:szCs w:val="24"/>
              </w:rPr>
              <w:t>由采购人或</w:t>
            </w:r>
            <w:r>
              <w:rPr>
                <w:spacing w:val="10"/>
                <w:sz w:val="24"/>
                <w:szCs w:val="24"/>
              </w:rPr>
              <w:t>者采</w:t>
            </w:r>
            <w:r>
              <w:rPr>
                <w:spacing w:val="8"/>
                <w:sz w:val="24"/>
                <w:szCs w:val="24"/>
              </w:rPr>
              <w:t>购代理机构负责解释。</w:t>
            </w:r>
          </w:p>
        </w:tc>
      </w:tr>
      <w:tr w14:paraId="34884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479852E9">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40.2</w:t>
            </w:r>
          </w:p>
        </w:tc>
        <w:tc>
          <w:tcPr>
            <w:tcW w:w="8708" w:type="dxa"/>
            <w:vAlign w:val="top"/>
          </w:tcPr>
          <w:p w14:paraId="5B617809">
            <w:pPr>
              <w:pStyle w:val="29"/>
              <w:keepNext w:val="0"/>
              <w:keepLines w:val="0"/>
              <w:pageBreakBefore w:val="0"/>
              <w:widowControl w:val="0"/>
              <w:kinsoku/>
              <w:wordWrap w:val="0"/>
              <w:overflowPunct/>
              <w:topLinePunct w:val="0"/>
              <w:autoSpaceDE w:val="0"/>
              <w:autoSpaceDN w:val="0"/>
              <w:bidi w:val="0"/>
              <w:adjustRightInd w:val="0"/>
              <w:snapToGrid w:val="0"/>
              <w:spacing w:before="34" w:line="360" w:lineRule="auto"/>
              <w:ind w:left="113" w:right="110" w:firstLine="13"/>
              <w:textAlignment w:val="baseline"/>
              <w:rPr>
                <w:sz w:val="24"/>
                <w:szCs w:val="24"/>
              </w:rPr>
            </w:pPr>
            <w:r>
              <w:rPr>
                <w:spacing w:val="8"/>
                <w:sz w:val="24"/>
                <w:szCs w:val="24"/>
              </w:rPr>
              <w:t>1、本招标文件中描述投标人的“公章</w:t>
            </w:r>
            <w:r>
              <w:rPr>
                <w:spacing w:val="-64"/>
                <w:sz w:val="24"/>
                <w:szCs w:val="24"/>
              </w:rPr>
              <w:t xml:space="preserve"> </w:t>
            </w:r>
            <w:r>
              <w:rPr>
                <w:spacing w:val="8"/>
                <w:sz w:val="24"/>
                <w:szCs w:val="24"/>
              </w:rPr>
              <w:t>”是指根据我国对公章的管理规定，用投标人法定主体</w:t>
            </w:r>
            <w:r>
              <w:rPr>
                <w:spacing w:val="11"/>
                <w:sz w:val="24"/>
                <w:szCs w:val="24"/>
              </w:rPr>
              <w:t>行为名称制作的印章（含电子印章</w:t>
            </w:r>
            <w:r>
              <w:rPr>
                <w:spacing w:val="9"/>
                <w:sz w:val="24"/>
                <w:szCs w:val="24"/>
              </w:rPr>
              <w:t>）</w:t>
            </w:r>
            <w:r>
              <w:rPr>
                <w:spacing w:val="-59"/>
                <w:sz w:val="24"/>
                <w:szCs w:val="24"/>
              </w:rPr>
              <w:t xml:space="preserve"> </w:t>
            </w:r>
            <w:r>
              <w:rPr>
                <w:spacing w:val="9"/>
                <w:sz w:val="24"/>
                <w:szCs w:val="24"/>
              </w:rPr>
              <w:t>，</w:t>
            </w:r>
            <w:r>
              <w:rPr>
                <w:spacing w:val="11"/>
                <w:sz w:val="24"/>
                <w:szCs w:val="24"/>
              </w:rPr>
              <w:t>除本招标文件有特殊规定外，投标人的财务章、部门</w:t>
            </w:r>
            <w:r>
              <w:rPr>
                <w:spacing w:val="12"/>
                <w:sz w:val="24"/>
                <w:szCs w:val="24"/>
              </w:rPr>
              <w:t>章、分公司章、工会章、合同章、投标专用章、业务专用章及银行的转账章、现金收讫</w:t>
            </w:r>
            <w:r>
              <w:rPr>
                <w:spacing w:val="11"/>
                <w:sz w:val="24"/>
                <w:szCs w:val="24"/>
              </w:rPr>
              <w:t>章、</w:t>
            </w:r>
            <w:r>
              <w:rPr>
                <w:spacing w:val="8"/>
                <w:sz w:val="24"/>
                <w:szCs w:val="24"/>
              </w:rPr>
              <w:t>现金付讫章等其他形式印章均不能代替公章。</w:t>
            </w:r>
          </w:p>
          <w:p w14:paraId="72C9FEF3">
            <w:pPr>
              <w:pStyle w:val="29"/>
              <w:keepNext w:val="0"/>
              <w:keepLines w:val="0"/>
              <w:pageBreakBefore w:val="0"/>
              <w:widowControl w:val="0"/>
              <w:kinsoku/>
              <w:wordWrap w:val="0"/>
              <w:overflowPunct/>
              <w:topLinePunct w:val="0"/>
              <w:autoSpaceDE w:val="0"/>
              <w:autoSpaceDN w:val="0"/>
              <w:bidi w:val="0"/>
              <w:adjustRightInd w:val="0"/>
              <w:snapToGrid w:val="0"/>
              <w:spacing w:before="165" w:line="360" w:lineRule="auto"/>
              <w:ind w:left="111" w:right="107" w:firstLine="2"/>
              <w:textAlignment w:val="baseline"/>
              <w:rPr>
                <w:sz w:val="24"/>
                <w:szCs w:val="24"/>
              </w:rPr>
            </w:pPr>
            <w:r>
              <w:rPr>
                <w:spacing w:val="9"/>
                <w:sz w:val="24"/>
                <w:szCs w:val="24"/>
              </w:rPr>
              <w:t>2、投标人为其他组织或者自然人时，本招标文件规定的法定代表人指负责人或者自然人。本</w:t>
            </w:r>
            <w:r>
              <w:rPr>
                <w:spacing w:val="12"/>
                <w:sz w:val="24"/>
                <w:szCs w:val="24"/>
              </w:rPr>
              <w:t>招标文件所称负责人是指参加投标的其他组织营业执照或者执业许可证等证照上的负责人，</w:t>
            </w:r>
            <w:r>
              <w:rPr>
                <w:spacing w:val="11"/>
                <w:sz w:val="24"/>
                <w:szCs w:val="24"/>
              </w:rPr>
              <w:t>本招标文件所称自然人指参与投标的自然人本人，且应具备独立</w:t>
            </w:r>
            <w:r>
              <w:rPr>
                <w:spacing w:val="10"/>
                <w:sz w:val="24"/>
                <w:szCs w:val="24"/>
              </w:rPr>
              <w:t>承担民事责任能力，</w:t>
            </w:r>
            <w:r>
              <w:rPr>
                <w:spacing w:val="-47"/>
                <w:sz w:val="24"/>
                <w:szCs w:val="24"/>
              </w:rPr>
              <w:t xml:space="preserve"> </w:t>
            </w:r>
            <w:r>
              <w:rPr>
                <w:spacing w:val="10"/>
                <w:sz w:val="24"/>
                <w:szCs w:val="24"/>
              </w:rPr>
              <w:t>自然人</w:t>
            </w:r>
            <w:r>
              <w:rPr>
                <w:spacing w:val="8"/>
                <w:sz w:val="24"/>
                <w:szCs w:val="24"/>
              </w:rPr>
              <w:t>应当为年满</w:t>
            </w:r>
            <w:r>
              <w:rPr>
                <w:spacing w:val="-16"/>
                <w:sz w:val="24"/>
                <w:szCs w:val="24"/>
              </w:rPr>
              <w:t xml:space="preserve"> </w:t>
            </w:r>
            <w:r>
              <w:rPr>
                <w:spacing w:val="8"/>
                <w:sz w:val="24"/>
                <w:szCs w:val="24"/>
              </w:rPr>
              <w:t>18</w:t>
            </w:r>
            <w:r>
              <w:rPr>
                <w:spacing w:val="-30"/>
                <w:sz w:val="24"/>
                <w:szCs w:val="24"/>
              </w:rPr>
              <w:t xml:space="preserve"> </w:t>
            </w:r>
            <w:r>
              <w:rPr>
                <w:spacing w:val="8"/>
                <w:sz w:val="24"/>
                <w:szCs w:val="24"/>
              </w:rPr>
              <w:t>岁以上成年人（十六周岁以上的未成年人，以自己的劳动收入为主要生活来源的，视为完全民事行为能力人）。</w:t>
            </w:r>
          </w:p>
          <w:p w14:paraId="04C6CCF9">
            <w:pPr>
              <w:pStyle w:val="29"/>
              <w:keepNext w:val="0"/>
              <w:keepLines w:val="0"/>
              <w:pageBreakBefore w:val="0"/>
              <w:widowControl w:val="0"/>
              <w:kinsoku/>
              <w:wordWrap w:val="0"/>
              <w:overflowPunct/>
              <w:topLinePunct w:val="0"/>
              <w:autoSpaceDE w:val="0"/>
              <w:autoSpaceDN w:val="0"/>
              <w:bidi w:val="0"/>
              <w:adjustRightInd w:val="0"/>
              <w:snapToGrid w:val="0"/>
              <w:spacing w:before="160" w:line="360" w:lineRule="auto"/>
              <w:ind w:left="111" w:right="107" w:firstLine="4"/>
              <w:textAlignment w:val="baseline"/>
              <w:rPr>
                <w:sz w:val="24"/>
                <w:szCs w:val="24"/>
              </w:rPr>
            </w:pPr>
            <w:r>
              <w:rPr>
                <w:spacing w:val="9"/>
                <w:sz w:val="24"/>
                <w:szCs w:val="24"/>
              </w:rPr>
              <w:t>3、本招标文件中描述投标人的“签字</w:t>
            </w:r>
            <w:r>
              <w:rPr>
                <w:spacing w:val="-70"/>
                <w:sz w:val="24"/>
                <w:szCs w:val="24"/>
              </w:rPr>
              <w:t xml:space="preserve"> </w:t>
            </w:r>
            <w:r>
              <w:rPr>
                <w:spacing w:val="9"/>
                <w:sz w:val="24"/>
                <w:szCs w:val="24"/>
              </w:rPr>
              <w:t>”是指</w:t>
            </w:r>
            <w:r>
              <w:rPr>
                <w:spacing w:val="8"/>
                <w:sz w:val="24"/>
                <w:szCs w:val="24"/>
              </w:rPr>
              <w:t>投标人的法定代表人或者委托代理人在文件规定</w:t>
            </w:r>
            <w:r>
              <w:rPr>
                <w:spacing w:val="9"/>
                <w:sz w:val="24"/>
                <w:szCs w:val="24"/>
              </w:rPr>
              <w:t>签署处签名（含电子签名）的行为，私章、印鉴等其他形式均不能代替签字。</w:t>
            </w:r>
          </w:p>
          <w:p w14:paraId="2F405C41">
            <w:pPr>
              <w:pStyle w:val="29"/>
              <w:keepNext w:val="0"/>
              <w:keepLines w:val="0"/>
              <w:pageBreakBefore w:val="0"/>
              <w:widowControl w:val="0"/>
              <w:kinsoku/>
              <w:wordWrap w:val="0"/>
              <w:overflowPunct/>
              <w:topLinePunct w:val="0"/>
              <w:autoSpaceDE w:val="0"/>
              <w:autoSpaceDN w:val="0"/>
              <w:bidi w:val="0"/>
              <w:adjustRightInd w:val="0"/>
              <w:snapToGrid w:val="0"/>
              <w:spacing w:before="162" w:line="360" w:lineRule="auto"/>
              <w:ind w:left="111"/>
              <w:textAlignment w:val="baseline"/>
              <w:rPr>
                <w:sz w:val="24"/>
                <w:szCs w:val="24"/>
              </w:rPr>
            </w:pPr>
            <w:r>
              <w:rPr>
                <w:spacing w:val="7"/>
                <w:sz w:val="24"/>
                <w:szCs w:val="24"/>
              </w:rPr>
              <w:t>4、</w:t>
            </w:r>
            <w:r>
              <w:rPr>
                <w:spacing w:val="-37"/>
                <w:sz w:val="24"/>
                <w:szCs w:val="24"/>
              </w:rPr>
              <w:t xml:space="preserve"> </w:t>
            </w:r>
            <w:r>
              <w:rPr>
                <w:spacing w:val="7"/>
                <w:sz w:val="24"/>
                <w:szCs w:val="24"/>
              </w:rPr>
              <w:t>自然人投标的，招标文件规定盖公章处由自然人摁手指指印。</w:t>
            </w:r>
          </w:p>
          <w:p w14:paraId="32572C2F">
            <w:pPr>
              <w:pStyle w:val="29"/>
              <w:keepNext w:val="0"/>
              <w:keepLines w:val="0"/>
              <w:pageBreakBefore w:val="0"/>
              <w:widowControl w:val="0"/>
              <w:kinsoku/>
              <w:wordWrap w:val="0"/>
              <w:overflowPunct/>
              <w:topLinePunct w:val="0"/>
              <w:autoSpaceDE w:val="0"/>
              <w:autoSpaceDN w:val="0"/>
              <w:bidi w:val="0"/>
              <w:adjustRightInd w:val="0"/>
              <w:snapToGrid w:val="0"/>
              <w:spacing w:before="161" w:line="360" w:lineRule="auto"/>
              <w:ind w:left="112" w:right="110" w:firstLine="3"/>
              <w:textAlignment w:val="baseline"/>
              <w:rPr>
                <w:sz w:val="24"/>
                <w:szCs w:val="24"/>
              </w:rPr>
            </w:pPr>
            <w:r>
              <w:rPr>
                <w:spacing w:val="3"/>
                <w:sz w:val="24"/>
                <w:szCs w:val="24"/>
              </w:rPr>
              <w:t>5、本招标文件所称的“</w:t>
            </w:r>
            <w:r>
              <w:rPr>
                <w:spacing w:val="-61"/>
                <w:sz w:val="24"/>
                <w:szCs w:val="24"/>
              </w:rPr>
              <w:t xml:space="preserve"> </w:t>
            </w:r>
            <w:r>
              <w:rPr>
                <w:spacing w:val="3"/>
                <w:sz w:val="24"/>
                <w:szCs w:val="24"/>
              </w:rPr>
              <w:t>以上</w:t>
            </w:r>
            <w:r>
              <w:rPr>
                <w:spacing w:val="-70"/>
                <w:sz w:val="24"/>
                <w:szCs w:val="24"/>
              </w:rPr>
              <w:t xml:space="preserve"> </w:t>
            </w:r>
            <w:r>
              <w:rPr>
                <w:spacing w:val="3"/>
                <w:sz w:val="24"/>
                <w:szCs w:val="24"/>
              </w:rPr>
              <w:t>”“</w:t>
            </w:r>
            <w:r>
              <w:rPr>
                <w:spacing w:val="-68"/>
                <w:sz w:val="24"/>
                <w:szCs w:val="24"/>
              </w:rPr>
              <w:t xml:space="preserve"> </w:t>
            </w:r>
            <w:r>
              <w:rPr>
                <w:spacing w:val="3"/>
                <w:sz w:val="24"/>
                <w:szCs w:val="24"/>
              </w:rPr>
              <w:t>以下</w:t>
            </w:r>
            <w:r>
              <w:rPr>
                <w:spacing w:val="-70"/>
                <w:sz w:val="24"/>
                <w:szCs w:val="24"/>
              </w:rPr>
              <w:t xml:space="preserve"> </w:t>
            </w:r>
            <w:r>
              <w:rPr>
                <w:spacing w:val="3"/>
                <w:sz w:val="24"/>
                <w:szCs w:val="24"/>
              </w:rPr>
              <w:t>”“</w:t>
            </w:r>
            <w:r>
              <w:rPr>
                <w:spacing w:val="-69"/>
                <w:sz w:val="24"/>
                <w:szCs w:val="24"/>
              </w:rPr>
              <w:t xml:space="preserve"> </w:t>
            </w:r>
            <w:r>
              <w:rPr>
                <w:spacing w:val="3"/>
                <w:sz w:val="24"/>
                <w:szCs w:val="24"/>
              </w:rPr>
              <w:t>以内</w:t>
            </w:r>
            <w:r>
              <w:rPr>
                <w:spacing w:val="-70"/>
                <w:sz w:val="24"/>
                <w:szCs w:val="24"/>
              </w:rPr>
              <w:t xml:space="preserve"> </w:t>
            </w:r>
            <w:r>
              <w:rPr>
                <w:spacing w:val="3"/>
                <w:sz w:val="24"/>
                <w:szCs w:val="24"/>
              </w:rPr>
              <w:t>”“届满</w:t>
            </w:r>
            <w:r>
              <w:rPr>
                <w:spacing w:val="-70"/>
                <w:sz w:val="24"/>
                <w:szCs w:val="24"/>
              </w:rPr>
              <w:t xml:space="preserve"> </w:t>
            </w:r>
            <w:r>
              <w:rPr>
                <w:spacing w:val="3"/>
                <w:sz w:val="24"/>
                <w:szCs w:val="24"/>
              </w:rPr>
              <w:t>”，包括本数；所称的“不满</w:t>
            </w:r>
            <w:r>
              <w:rPr>
                <w:spacing w:val="-70"/>
                <w:sz w:val="24"/>
                <w:szCs w:val="24"/>
              </w:rPr>
              <w:t xml:space="preserve"> </w:t>
            </w:r>
            <w:r>
              <w:rPr>
                <w:spacing w:val="3"/>
                <w:sz w:val="24"/>
                <w:szCs w:val="24"/>
              </w:rPr>
              <w:t>”“超</w:t>
            </w:r>
            <w:r>
              <w:rPr>
                <w:spacing w:val="1"/>
                <w:sz w:val="24"/>
                <w:szCs w:val="24"/>
              </w:rPr>
              <w:t>过</w:t>
            </w:r>
            <w:r>
              <w:rPr>
                <w:spacing w:val="-70"/>
                <w:sz w:val="24"/>
                <w:szCs w:val="24"/>
              </w:rPr>
              <w:t xml:space="preserve"> </w:t>
            </w:r>
            <w:r>
              <w:rPr>
                <w:spacing w:val="1"/>
                <w:sz w:val="24"/>
                <w:szCs w:val="24"/>
              </w:rPr>
              <w:t>”“</w:t>
            </w:r>
            <w:r>
              <w:rPr>
                <w:spacing w:val="-66"/>
                <w:sz w:val="24"/>
                <w:szCs w:val="24"/>
              </w:rPr>
              <w:t xml:space="preserve"> </w:t>
            </w:r>
            <w:r>
              <w:rPr>
                <w:spacing w:val="1"/>
                <w:sz w:val="24"/>
                <w:szCs w:val="24"/>
              </w:rPr>
              <w:t>以外</w:t>
            </w:r>
            <w:r>
              <w:rPr>
                <w:spacing w:val="-70"/>
                <w:sz w:val="24"/>
                <w:szCs w:val="24"/>
              </w:rPr>
              <w:t xml:space="preserve"> </w:t>
            </w:r>
            <w:r>
              <w:rPr>
                <w:spacing w:val="1"/>
                <w:sz w:val="24"/>
                <w:szCs w:val="24"/>
              </w:rPr>
              <w:t>”，不包括本数。</w:t>
            </w:r>
          </w:p>
        </w:tc>
      </w:tr>
      <w:tr w14:paraId="73956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99" w:type="dxa"/>
            <w:vAlign w:val="center"/>
          </w:tcPr>
          <w:p w14:paraId="7F86A40A">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center"/>
              <w:textAlignment w:val="baseline"/>
              <w:rPr>
                <w:sz w:val="24"/>
                <w:szCs w:val="24"/>
              </w:rPr>
            </w:pPr>
            <w:r>
              <w:rPr>
                <w:sz w:val="24"/>
                <w:szCs w:val="24"/>
              </w:rPr>
              <w:t>40.3</w:t>
            </w:r>
          </w:p>
        </w:tc>
        <w:tc>
          <w:tcPr>
            <w:tcW w:w="8708" w:type="dxa"/>
            <w:vAlign w:val="top"/>
          </w:tcPr>
          <w:p w14:paraId="2A5BAC4E">
            <w:pPr>
              <w:pStyle w:val="29"/>
              <w:keepNext w:val="0"/>
              <w:keepLines w:val="0"/>
              <w:pageBreakBefore w:val="0"/>
              <w:widowControl w:val="0"/>
              <w:kinsoku/>
              <w:wordWrap w:val="0"/>
              <w:overflowPunct/>
              <w:topLinePunct w:val="0"/>
              <w:autoSpaceDE w:val="0"/>
              <w:autoSpaceDN w:val="0"/>
              <w:bidi w:val="0"/>
              <w:adjustRightInd w:val="0"/>
              <w:snapToGrid w:val="0"/>
              <w:spacing w:before="37" w:line="360" w:lineRule="auto"/>
              <w:ind w:left="124"/>
              <w:textAlignment w:val="baseline"/>
              <w:rPr>
                <w:rFonts w:hint="eastAsia" w:eastAsia="宋体"/>
                <w:b/>
                <w:bCs/>
                <w:spacing w:val="-2"/>
                <w:sz w:val="24"/>
                <w:szCs w:val="24"/>
                <w:lang w:val="en-US" w:eastAsia="zh-CN"/>
              </w:rPr>
            </w:pPr>
            <w:r>
              <w:rPr>
                <w:b/>
                <w:bCs/>
                <w:spacing w:val="-2"/>
                <w:sz w:val="24"/>
                <w:szCs w:val="24"/>
              </w:rPr>
              <w:t>需要补充的内容：</w:t>
            </w:r>
            <w:r>
              <w:rPr>
                <w:rFonts w:hint="eastAsia"/>
                <w:b/>
                <w:bCs/>
                <w:spacing w:val="-2"/>
                <w:sz w:val="24"/>
                <w:szCs w:val="24"/>
                <w:lang w:val="en-US" w:eastAsia="zh-CN"/>
              </w:rPr>
              <w:t>/</w:t>
            </w:r>
          </w:p>
        </w:tc>
      </w:tr>
    </w:tbl>
    <w:p w14:paraId="047F1F98"/>
    <w:p w14:paraId="0E47F741">
      <w:pPr>
        <w:rPr>
          <w:rFonts w:ascii="Arial" w:hAnsi="Arial" w:eastAsia="Arial" w:cs="Arial"/>
          <w:sz w:val="21"/>
          <w:szCs w:val="21"/>
        </w:rPr>
        <w:sectPr>
          <w:headerReference r:id="rId8" w:type="default"/>
          <w:footerReference r:id="rId9" w:type="default"/>
          <w:pgSz w:w="11905" w:h="16838"/>
          <w:pgMar w:top="1440" w:right="1134" w:bottom="1440" w:left="1134" w:header="0" w:footer="720" w:gutter="0"/>
          <w:pgNumType w:fmt="decimal"/>
          <w:cols w:space="0" w:num="1"/>
          <w:rtlGutter w:val="0"/>
          <w:docGrid w:linePitch="0" w:charSpace="0"/>
        </w:sectPr>
      </w:pPr>
    </w:p>
    <w:p w14:paraId="2DD21E4B">
      <w:pPr>
        <w:pStyle w:val="3"/>
        <w:bidi w:val="0"/>
        <w:ind w:firstLine="0" w:firstLineChars="0"/>
        <w:outlineLvl w:val="1"/>
      </w:pPr>
      <w:bookmarkStart w:id="44" w:name="_Toc20030"/>
      <w:r>
        <w:t>投标人须知正文</w:t>
      </w:r>
      <w:bookmarkEnd w:id="44"/>
    </w:p>
    <w:p w14:paraId="0BC7037C">
      <w:pPr>
        <w:spacing w:line="248" w:lineRule="auto"/>
        <w:rPr>
          <w:rFonts w:ascii="Arial"/>
          <w:sz w:val="21"/>
        </w:rPr>
      </w:pPr>
    </w:p>
    <w:p w14:paraId="3F75E0C4">
      <w:pPr>
        <w:spacing w:line="249" w:lineRule="auto"/>
        <w:rPr>
          <w:rFonts w:ascii="Arial"/>
          <w:sz w:val="21"/>
        </w:rPr>
      </w:pPr>
    </w:p>
    <w:p w14:paraId="1170C206">
      <w:pPr>
        <w:pStyle w:val="11"/>
        <w:spacing w:before="101" w:line="225" w:lineRule="auto"/>
        <w:ind w:left="3737"/>
        <w:outlineLvl w:val="1"/>
        <w:rPr>
          <w:sz w:val="31"/>
          <w:szCs w:val="31"/>
        </w:rPr>
      </w:pPr>
      <w:bookmarkStart w:id="45" w:name="_Toc4136"/>
      <w:r>
        <w:rPr>
          <w:b/>
          <w:bCs/>
          <w:spacing w:val="3"/>
          <w:sz w:val="31"/>
          <w:szCs w:val="31"/>
        </w:rPr>
        <w:t>一、总则</w:t>
      </w:r>
      <w:bookmarkEnd w:id="45"/>
    </w:p>
    <w:p w14:paraId="695C27BE">
      <w:pPr>
        <w:spacing w:line="252" w:lineRule="auto"/>
        <w:rPr>
          <w:rFonts w:ascii="Arial"/>
          <w:sz w:val="21"/>
        </w:rPr>
      </w:pPr>
    </w:p>
    <w:p w14:paraId="720143F9">
      <w:pPr>
        <w:spacing w:line="253" w:lineRule="auto"/>
        <w:rPr>
          <w:rFonts w:ascii="Arial"/>
          <w:sz w:val="21"/>
        </w:rPr>
      </w:pPr>
    </w:p>
    <w:p w14:paraId="7641C52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46" w:name="_Toc8092"/>
      <w:r>
        <w:rPr>
          <w:rFonts w:hint="eastAsia" w:ascii="宋体" w:hAnsi="宋体" w:eastAsia="宋体" w:cs="宋体"/>
          <w:b/>
          <w:bCs/>
          <w:spacing w:val="0"/>
          <w:sz w:val="24"/>
          <w:szCs w:val="24"/>
        </w:rPr>
        <w:t>1.适用范围</w:t>
      </w:r>
      <w:bookmarkEnd w:id="46"/>
    </w:p>
    <w:p w14:paraId="0AB2629D">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1.1 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2D0AC5E5">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1.2 本招标文件适用于本项目的所有采购程序和环节（法律、法规另有规定的，从其规定）。</w:t>
      </w:r>
    </w:p>
    <w:p w14:paraId="1271373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47" w:name="_Toc5402"/>
      <w:r>
        <w:rPr>
          <w:rFonts w:hint="eastAsia" w:ascii="宋体" w:hAnsi="宋体" w:eastAsia="宋体" w:cs="宋体"/>
          <w:b/>
          <w:bCs/>
          <w:spacing w:val="0"/>
          <w:sz w:val="24"/>
          <w:szCs w:val="24"/>
        </w:rPr>
        <w:t>2.定义</w:t>
      </w:r>
      <w:bookmarkEnd w:id="47"/>
    </w:p>
    <w:p w14:paraId="48AC1612">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2.1“采购人 ”是指依法进行政府采购的国家机关、事业单位、团体组织。</w:t>
      </w:r>
    </w:p>
    <w:p w14:paraId="09675A20">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2.2“采购代理机构 ”是指政府采购集中采购机构和集中采购机构以外的采购代理机构。</w:t>
      </w:r>
    </w:p>
    <w:p w14:paraId="5C7457A7">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2.3“供应商 ”是指向采购人提供货物、工程或者服务的法人、其他组织或者自然人。</w:t>
      </w:r>
    </w:p>
    <w:p w14:paraId="16B3A6BC">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2.4“投标人 ”是指响应招标、参加投标竞争的法人、其他组织或者自然人。</w:t>
      </w:r>
    </w:p>
    <w:p w14:paraId="5137A1A9">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2.5“货物 ”是指各种形态和种类的物品，包括原材料、燃料、设备、产品等；“服务 ”是</w:t>
      </w:r>
    </w:p>
    <w:p w14:paraId="07B86E54">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指除货物和工程以外的其他政府采购对象。</w:t>
      </w:r>
    </w:p>
    <w:p w14:paraId="6F1E5BAE">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2.6“售后服务 ” 是指商品出售以后所提供的各种服务，包含但不限于投标人须承担的备品备件、包装、运输、装卸、保险、货到就位以及安装、调试、培训、保修以及其他各种服务。</w:t>
      </w:r>
    </w:p>
    <w:p w14:paraId="4D480AC5">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2.7“书面形式 ”是指合同书、信件和数据电文（包括电报、 电传、传真、 电子数据交换和电子邮件）等可以有形地表现所载内容的形式。</w:t>
      </w:r>
    </w:p>
    <w:p w14:paraId="72742869">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2.8“实质性要求 ”是指招标文件中已经指明不满足则投标无效的条款，或者不能负偏离的条款</w:t>
      </w:r>
      <w:r>
        <w:rPr>
          <w:rFonts w:hint="eastAsia" w:ascii="宋体" w:hAnsi="宋体" w:eastAsia="宋体" w:cs="宋体"/>
          <w:color w:val="auto"/>
          <w:spacing w:val="0"/>
          <w:sz w:val="24"/>
          <w:szCs w:val="24"/>
        </w:rPr>
        <w:t>，</w:t>
      </w:r>
      <w:r>
        <w:rPr>
          <w:rFonts w:hint="eastAsia" w:cs="宋体"/>
          <w:color w:val="auto"/>
          <w:spacing w:val="0"/>
          <w:sz w:val="24"/>
          <w:szCs w:val="24"/>
          <w:highlight w:val="none"/>
          <w:lang w:eastAsia="zh-CN"/>
        </w:rPr>
        <w:t>或</w:t>
      </w:r>
      <w:r>
        <w:rPr>
          <w:rFonts w:hint="eastAsia" w:ascii="宋体" w:hAnsi="宋体" w:eastAsia="宋体" w:cs="宋体"/>
          <w:color w:val="auto"/>
          <w:spacing w:val="0"/>
          <w:sz w:val="24"/>
          <w:szCs w:val="24"/>
          <w:highlight w:val="none"/>
        </w:rPr>
        <w:t>采购需求中</w:t>
      </w:r>
      <w:r>
        <w:rPr>
          <w:rFonts w:hint="eastAsia" w:cs="宋体"/>
          <w:color w:val="auto"/>
          <w:spacing w:val="0"/>
          <w:sz w:val="24"/>
          <w:szCs w:val="24"/>
          <w:highlight w:val="none"/>
          <w:lang w:eastAsia="zh-CN"/>
        </w:rPr>
        <w:t>所有</w:t>
      </w:r>
      <w:r>
        <w:rPr>
          <w:rFonts w:hint="eastAsia" w:ascii="宋体" w:hAnsi="宋体" w:eastAsia="宋体" w:cs="宋体"/>
          <w:color w:val="auto"/>
          <w:spacing w:val="0"/>
          <w:sz w:val="24"/>
          <w:szCs w:val="24"/>
          <w:highlight w:val="none"/>
        </w:rPr>
        <w:t>的条款。</w:t>
      </w:r>
    </w:p>
    <w:p w14:paraId="0681D916">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2.9 “正偏离 ”，是指投标文件对招标文件“采购需求 ”中有关条款作出的响应优于条款要求并有利于采购人的情形。</w:t>
      </w:r>
    </w:p>
    <w:p w14:paraId="26F430D2">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2.10“负偏离 ”，是指投标文件对招标文件“采购需求 ”中有关条款作出的响应不满足条款要求，导致采购人要求不能得到满足的情形。</w:t>
      </w:r>
    </w:p>
    <w:p w14:paraId="49A999DF">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2.11“允许负偏离的条款 ”是指采购需求中的不属于“实质性要求 ”的条款。</w:t>
      </w:r>
    </w:p>
    <w:p w14:paraId="2D979ED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48" w:name="_Toc7875"/>
      <w:r>
        <w:rPr>
          <w:rFonts w:hint="eastAsia" w:ascii="宋体" w:hAnsi="宋体" w:eastAsia="宋体" w:cs="宋体"/>
          <w:b/>
          <w:bCs/>
          <w:spacing w:val="0"/>
          <w:sz w:val="24"/>
          <w:szCs w:val="24"/>
        </w:rPr>
        <w:t>3.投标人的资格要求</w:t>
      </w:r>
      <w:bookmarkEnd w:id="48"/>
    </w:p>
    <w:p w14:paraId="4414E094">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投标人的资格要求详见“投标人须知前附表 ”。</w:t>
      </w:r>
    </w:p>
    <w:p w14:paraId="57641C1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49" w:name="_Toc590"/>
      <w:r>
        <w:rPr>
          <w:rFonts w:hint="eastAsia" w:ascii="宋体" w:hAnsi="宋体" w:eastAsia="宋体" w:cs="宋体"/>
          <w:b/>
          <w:bCs/>
          <w:spacing w:val="0"/>
          <w:sz w:val="24"/>
          <w:szCs w:val="24"/>
        </w:rPr>
        <w:t>4.投标委托</w:t>
      </w:r>
      <w:bookmarkEnd w:id="49"/>
    </w:p>
    <w:p w14:paraId="7583E64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投标人代表参加投标活动过程中必须携带个人有效身份证件。如投标人代表不是法定代表人，须持有授权委托书（按第六章要求格式填写）。</w:t>
      </w:r>
    </w:p>
    <w:p w14:paraId="40FD4C6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50" w:name="_Toc22857"/>
      <w:r>
        <w:rPr>
          <w:rFonts w:hint="eastAsia" w:ascii="宋体" w:hAnsi="宋体" w:eastAsia="宋体" w:cs="宋体"/>
          <w:b/>
          <w:bCs/>
          <w:spacing w:val="0"/>
          <w:sz w:val="24"/>
          <w:szCs w:val="24"/>
        </w:rPr>
        <w:t>5.投标费用</w:t>
      </w:r>
      <w:bookmarkEnd w:id="50"/>
    </w:p>
    <w:p w14:paraId="20E6177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3"/>
        <w:jc w:val="both"/>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投标费用：投标人应承担参与本次采购活动有关的所有费用，包括但不限于获取招标文件、勘查现场、编制和提交投标文件、参加澄清说明、签订合同等，不论投标结果如何，均应自行承担。</w:t>
      </w:r>
    </w:p>
    <w:p w14:paraId="31F392F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51" w:name="_Toc1527"/>
      <w:r>
        <w:rPr>
          <w:rFonts w:hint="eastAsia" w:ascii="宋体" w:hAnsi="宋体" w:eastAsia="宋体" w:cs="宋体"/>
          <w:b/>
          <w:bCs/>
          <w:spacing w:val="0"/>
          <w:sz w:val="24"/>
          <w:szCs w:val="24"/>
        </w:rPr>
        <w:t>6.联合体投标</w:t>
      </w:r>
      <w:bookmarkEnd w:id="51"/>
    </w:p>
    <w:p w14:paraId="1BABA18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6.1 本项目是否接受联合体投标，详见“投标人须知前附表 ”。</w:t>
      </w:r>
    </w:p>
    <w:p w14:paraId="095E1BD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6.2 如接受联合体投标，联合体投标要求详见“投标人须知前附表 ”。</w:t>
      </w:r>
    </w:p>
    <w:p w14:paraId="478066B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9"/>
        <w:rPr>
          <w:rFonts w:hint="eastAsia" w:ascii="宋体" w:hAnsi="宋体" w:eastAsia="宋体" w:cs="宋体"/>
          <w:spacing w:val="0"/>
          <w:sz w:val="24"/>
          <w:szCs w:val="24"/>
        </w:rPr>
      </w:pPr>
      <w:r>
        <w:rPr>
          <w:rFonts w:hint="eastAsia" w:ascii="宋体" w:hAnsi="宋体" w:eastAsia="宋体" w:cs="宋体"/>
          <w:spacing w:val="0"/>
          <w:sz w:val="24"/>
          <w:szCs w:val="24"/>
        </w:rPr>
        <w:t>6.3 根据《政府采购促进中小企业发展管理办法》（财库〔2020〕46 号）等有关规定，接受大中型企业与小微企业组成联合体或者允许大中型企业向一家或者多家小微企业分包的采购项目，对于联合协议或者分包意向协议约定小微企业的合同份额占到合同总金额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 4%-6%（工程项目为 1%—2%）的扣除，用扣除后的价格参加评审。</w:t>
      </w:r>
    </w:p>
    <w:p w14:paraId="13E4C9A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52" w:name="_Toc1983"/>
      <w:r>
        <w:rPr>
          <w:rFonts w:hint="eastAsia" w:ascii="宋体" w:hAnsi="宋体" w:eastAsia="宋体" w:cs="宋体"/>
          <w:b/>
          <w:bCs/>
          <w:spacing w:val="0"/>
          <w:sz w:val="24"/>
          <w:szCs w:val="24"/>
        </w:rPr>
        <w:t>7.转包与分包</w:t>
      </w:r>
      <w:bookmarkEnd w:id="52"/>
    </w:p>
    <w:p w14:paraId="2D16676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3"/>
        <w:rPr>
          <w:rFonts w:hint="eastAsia" w:ascii="宋体" w:hAnsi="宋体" w:eastAsia="宋体" w:cs="宋体"/>
          <w:spacing w:val="0"/>
          <w:sz w:val="24"/>
          <w:szCs w:val="24"/>
        </w:rPr>
      </w:pPr>
      <w:r>
        <w:rPr>
          <w:rFonts w:hint="eastAsia" w:ascii="宋体" w:hAnsi="宋体" w:eastAsia="宋体" w:cs="宋体"/>
          <w:spacing w:val="0"/>
          <w:sz w:val="24"/>
          <w:szCs w:val="24"/>
        </w:rPr>
        <w:t>7.1 本项目不允许转包。</w:t>
      </w:r>
    </w:p>
    <w:p w14:paraId="41B1A73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9"/>
        <w:rPr>
          <w:rFonts w:hint="eastAsia" w:ascii="宋体" w:hAnsi="宋体" w:eastAsia="宋体" w:cs="宋体"/>
          <w:spacing w:val="0"/>
          <w:sz w:val="24"/>
          <w:szCs w:val="24"/>
        </w:rPr>
      </w:pPr>
      <w:r>
        <w:rPr>
          <w:rFonts w:hint="eastAsia" w:ascii="宋体" w:hAnsi="宋体" w:eastAsia="宋体" w:cs="宋体"/>
          <w:spacing w:val="0"/>
          <w:sz w:val="24"/>
          <w:szCs w:val="24"/>
        </w:rPr>
        <w:t>7.2 本项目是否允许分包详见“投标人须知前附表 ”，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6AD9A3F7">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7.3 投标人根据招标文件的规定和采购项目的实际情况，拟在中标后将中标项目的非主体、非关键性工作分包的，应当在投标文件中载明分包承担主体，分包承担主体应当具备相应资质条件且不得再次分包。</w:t>
      </w:r>
    </w:p>
    <w:p w14:paraId="41B8B4C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53" w:name="_Toc21730"/>
      <w:r>
        <w:rPr>
          <w:rFonts w:hint="eastAsia" w:ascii="宋体" w:hAnsi="宋体" w:eastAsia="宋体" w:cs="宋体"/>
          <w:b/>
          <w:bCs/>
          <w:spacing w:val="0"/>
          <w:sz w:val="24"/>
          <w:szCs w:val="24"/>
        </w:rPr>
        <w:t>8.特别说明</w:t>
      </w:r>
      <w:bookmarkEnd w:id="53"/>
    </w:p>
    <w:p w14:paraId="6E76449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9"/>
        <w:rPr>
          <w:rFonts w:hint="eastAsia" w:ascii="宋体" w:hAnsi="宋体" w:eastAsia="宋体" w:cs="宋体"/>
          <w:spacing w:val="0"/>
          <w:sz w:val="24"/>
          <w:szCs w:val="24"/>
        </w:rPr>
      </w:pPr>
      <w:r>
        <w:rPr>
          <w:rFonts w:hint="eastAsia" w:ascii="宋体" w:hAnsi="宋体" w:eastAsia="宋体" w:cs="宋体"/>
          <w:spacing w:val="0"/>
          <w:sz w:val="24"/>
          <w:szCs w:val="24"/>
        </w:rPr>
        <w:t>8.1 如果本招标文件要求提供投标人或制造商的资格、信誉、荣誉、业绩与企业认证等材料的，资格、信誉、荣誉、业绩与企业认证等必须为投标人或者制造商所拥有或自身获得 。</w:t>
      </w:r>
    </w:p>
    <w:p w14:paraId="56E2632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9"/>
        <w:rPr>
          <w:rFonts w:hint="eastAsia" w:ascii="宋体" w:hAnsi="宋体" w:eastAsia="宋体" w:cs="宋体"/>
          <w:spacing w:val="0"/>
          <w:sz w:val="24"/>
          <w:szCs w:val="24"/>
        </w:rPr>
      </w:pPr>
      <w:r>
        <w:rPr>
          <w:rFonts w:hint="eastAsia" w:ascii="宋体" w:hAnsi="宋体" w:eastAsia="宋体" w:cs="宋体"/>
          <w:spacing w:val="0"/>
          <w:sz w:val="24"/>
          <w:szCs w:val="24"/>
        </w:rPr>
        <w:t>8.2 投标人应仔细阅读招标文件的所有内容，按照招标文件的要求提交投标文件，并对所提供的全部资料的真实性承担法律责任。</w:t>
      </w:r>
    </w:p>
    <w:p w14:paraId="41ACCF3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9"/>
        <w:rPr>
          <w:rFonts w:hint="eastAsia" w:ascii="宋体" w:hAnsi="宋体" w:eastAsia="宋体" w:cs="宋体"/>
          <w:spacing w:val="0"/>
          <w:sz w:val="24"/>
          <w:szCs w:val="24"/>
        </w:rPr>
      </w:pPr>
      <w:r>
        <w:rPr>
          <w:rFonts w:hint="eastAsia" w:ascii="宋体" w:hAnsi="宋体" w:eastAsia="宋体" w:cs="宋体"/>
          <w:spacing w:val="0"/>
          <w:sz w:val="24"/>
          <w:szCs w:val="24"/>
        </w:rPr>
        <w:t>8.3 投标人在投标活动中提供任何虚假材料，将报监管部门查处； 中标后发现的，中标人须依法赔偿采购人，且民事赔偿并不免除违法投标人的行政与刑事责任。</w:t>
      </w:r>
    </w:p>
    <w:p w14:paraId="5CD1E87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54" w:name="_Toc30776"/>
      <w:r>
        <w:rPr>
          <w:rFonts w:hint="eastAsia" w:ascii="宋体" w:hAnsi="宋体" w:eastAsia="宋体" w:cs="宋体"/>
          <w:b/>
          <w:bCs/>
          <w:spacing w:val="0"/>
          <w:sz w:val="24"/>
          <w:szCs w:val="24"/>
        </w:rPr>
        <w:t>9.回避与串通投标</w:t>
      </w:r>
      <w:bookmarkEnd w:id="54"/>
    </w:p>
    <w:p w14:paraId="5547714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9"/>
        <w:rPr>
          <w:rFonts w:hint="eastAsia" w:ascii="宋体" w:hAnsi="宋体" w:eastAsia="宋体" w:cs="宋体"/>
          <w:spacing w:val="0"/>
          <w:sz w:val="24"/>
          <w:szCs w:val="24"/>
        </w:rPr>
      </w:pPr>
      <w:r>
        <w:rPr>
          <w:rFonts w:hint="eastAsia" w:ascii="宋体" w:hAnsi="宋体" w:eastAsia="宋体" w:cs="宋体"/>
          <w:spacing w:val="0"/>
          <w:sz w:val="24"/>
          <w:szCs w:val="24"/>
        </w:rPr>
        <w:t>9.1 在政府采购活动中，采购人员及相关人员与供应商有下列利害关系之一的，应当回避：</w:t>
      </w:r>
    </w:p>
    <w:p w14:paraId="6B7E239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9"/>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（1）参加采购活动前 3 年内与供应商存在劳动关系；</w:t>
      </w:r>
    </w:p>
    <w:p w14:paraId="5C1ED28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9"/>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（2）参加采购活动前 3 年内担任供应商的董事、监事；</w:t>
      </w:r>
    </w:p>
    <w:p w14:paraId="60372B7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9"/>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（3）参加采购活动前 3 年内是供应商的控股股东或者实际控制人；</w:t>
      </w:r>
    </w:p>
    <w:p w14:paraId="4AA52D6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9"/>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（4）与供应商的法定代表人或者负责人有夫妻、直系血亲、三代以内旁系血亲或者近姻亲关系；</w:t>
      </w:r>
    </w:p>
    <w:p w14:paraId="6621EBD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9"/>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（5）与供应商有其他可能影响政府采购活动公平、公正进行的关系。</w:t>
      </w:r>
    </w:p>
    <w:p w14:paraId="484D1CD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19"/>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B829BA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3"/>
        <w:rPr>
          <w:rFonts w:hint="eastAsia" w:ascii="宋体" w:hAnsi="宋体" w:eastAsia="宋体" w:cs="宋体"/>
          <w:spacing w:val="0"/>
          <w:sz w:val="24"/>
          <w:szCs w:val="24"/>
        </w:rPr>
      </w:pPr>
      <w:r>
        <w:rPr>
          <w:rFonts w:hint="eastAsia" w:ascii="宋体" w:hAnsi="宋体" w:eastAsia="宋体" w:cs="宋体"/>
          <w:b/>
          <w:bCs/>
          <w:spacing w:val="0"/>
          <w:sz w:val="24"/>
          <w:szCs w:val="24"/>
        </w:rPr>
        <w:t>9.2</w:t>
      </w:r>
      <w:r>
        <w:rPr>
          <w:rFonts w:hint="eastAsia" w:ascii="宋体" w:hAnsi="宋体" w:eastAsia="宋体" w:cs="宋体"/>
          <w:spacing w:val="0"/>
          <w:sz w:val="24"/>
          <w:szCs w:val="24"/>
        </w:rPr>
        <w:t xml:space="preserve"> </w:t>
      </w:r>
      <w:r>
        <w:rPr>
          <w:rFonts w:hint="eastAsia" w:ascii="宋体" w:hAnsi="宋体" w:eastAsia="宋体" w:cs="宋体"/>
          <w:b/>
          <w:bCs/>
          <w:spacing w:val="0"/>
          <w:sz w:val="24"/>
          <w:szCs w:val="24"/>
        </w:rPr>
        <w:t>有下列情形之一的视为投标人相互串通投标，投标文件将被视为无效：</w:t>
      </w:r>
    </w:p>
    <w:p w14:paraId="74C4FFA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spacing w:val="0"/>
          <w:sz w:val="24"/>
          <w:szCs w:val="24"/>
        </w:rPr>
      </w:pPr>
      <w:r>
        <w:rPr>
          <w:rFonts w:hint="eastAsia" w:ascii="宋体" w:hAnsi="宋体" w:eastAsia="宋体" w:cs="宋体"/>
          <w:b/>
          <w:bCs/>
          <w:spacing w:val="0"/>
          <w:sz w:val="24"/>
          <w:szCs w:val="24"/>
        </w:rPr>
        <w:t>（1）不同投标人的投标文件由同一单位或者个人编制；</w:t>
      </w:r>
    </w:p>
    <w:p w14:paraId="08DF5F9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spacing w:val="0"/>
          <w:sz w:val="24"/>
          <w:szCs w:val="24"/>
        </w:rPr>
      </w:pPr>
      <w:r>
        <w:rPr>
          <w:rFonts w:hint="eastAsia" w:ascii="宋体" w:hAnsi="宋体" w:eastAsia="宋体" w:cs="宋体"/>
          <w:b/>
          <w:bCs/>
          <w:spacing w:val="0"/>
          <w:sz w:val="24"/>
          <w:szCs w:val="24"/>
        </w:rPr>
        <w:t>（2）不同投标人委托同一单位或者个人办理投标事宜；</w:t>
      </w:r>
    </w:p>
    <w:p w14:paraId="7A60607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spacing w:val="0"/>
          <w:sz w:val="24"/>
          <w:szCs w:val="24"/>
        </w:rPr>
      </w:pPr>
      <w:r>
        <w:rPr>
          <w:rFonts w:hint="eastAsia" w:ascii="宋体" w:hAnsi="宋体" w:eastAsia="宋体" w:cs="宋体"/>
          <w:b/>
          <w:bCs/>
          <w:spacing w:val="0"/>
          <w:sz w:val="24"/>
          <w:szCs w:val="24"/>
        </w:rPr>
        <w:t>（3）不同的投标人的投标文件载明的项目管理员为同一个人；</w:t>
      </w:r>
    </w:p>
    <w:p w14:paraId="064C2C1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spacing w:val="0"/>
          <w:sz w:val="24"/>
          <w:szCs w:val="24"/>
        </w:rPr>
      </w:pPr>
      <w:r>
        <w:rPr>
          <w:rFonts w:hint="eastAsia" w:ascii="宋体" w:hAnsi="宋体" w:eastAsia="宋体" w:cs="宋体"/>
          <w:b/>
          <w:bCs/>
          <w:spacing w:val="0"/>
          <w:sz w:val="24"/>
          <w:szCs w:val="24"/>
        </w:rPr>
        <w:t>（4）不同投标人的投标文件异常一致或者投标报价呈规律性差异；</w:t>
      </w:r>
    </w:p>
    <w:p w14:paraId="3310CF2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spacing w:val="0"/>
          <w:sz w:val="24"/>
          <w:szCs w:val="24"/>
        </w:rPr>
      </w:pPr>
      <w:r>
        <w:rPr>
          <w:rFonts w:hint="eastAsia" w:ascii="宋体" w:hAnsi="宋体" w:eastAsia="宋体" w:cs="宋体"/>
          <w:b/>
          <w:bCs/>
          <w:spacing w:val="0"/>
          <w:sz w:val="24"/>
          <w:szCs w:val="24"/>
        </w:rPr>
        <w:t>（5）不同投标人的投标文件相互混装；</w:t>
      </w:r>
    </w:p>
    <w:p w14:paraId="0FDBB1D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rFonts w:hint="eastAsia" w:ascii="宋体" w:hAnsi="宋体" w:eastAsia="宋体" w:cs="宋体"/>
          <w:b/>
          <w:bCs/>
          <w:spacing w:val="0"/>
          <w:sz w:val="24"/>
          <w:szCs w:val="24"/>
        </w:rPr>
      </w:pPr>
      <w:r>
        <w:rPr>
          <w:rFonts w:hint="eastAsia" w:ascii="宋体" w:hAnsi="宋体" w:eastAsia="宋体" w:cs="宋体"/>
          <w:b/>
          <w:bCs/>
          <w:spacing w:val="0"/>
          <w:sz w:val="24"/>
          <w:szCs w:val="24"/>
        </w:rPr>
        <w:t>（6）不同投标人的投标保证金从同一单位或者个人账户转出。</w:t>
      </w:r>
    </w:p>
    <w:p w14:paraId="5E096D3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3"/>
        <w:rPr>
          <w:rFonts w:hint="eastAsia" w:ascii="宋体" w:hAnsi="宋体" w:eastAsia="宋体" w:cs="宋体"/>
          <w:spacing w:val="0"/>
          <w:sz w:val="24"/>
          <w:szCs w:val="24"/>
        </w:rPr>
      </w:pPr>
      <w:r>
        <w:rPr>
          <w:rFonts w:hint="eastAsia" w:ascii="宋体" w:hAnsi="宋体" w:eastAsia="宋体" w:cs="宋体"/>
          <w:spacing w:val="0"/>
          <w:sz w:val="24"/>
          <w:szCs w:val="24"/>
        </w:rPr>
        <w:t>9.3 供应商有下列情形之一的，属于恶意串通行为，将报同级监督管理部门：</w:t>
      </w:r>
    </w:p>
    <w:p w14:paraId="4C56F4A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9"/>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（1）供应商直接或者间接从采购人或者采购代理机构处获得其他供应商的相关信息并修改其投标文件或者投标文件；</w:t>
      </w:r>
    </w:p>
    <w:p w14:paraId="5ACAAA6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（2）供应商按照采购人或者采购代理机构的授意撤换、修改投标文件或者投标文件；</w:t>
      </w:r>
    </w:p>
    <w:p w14:paraId="6CAA3B4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（3）供应商之间协商报价、技术方案等投标文件或者投标文件的实质性内容；</w:t>
      </w:r>
    </w:p>
    <w:p w14:paraId="717971E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9"/>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（4）属于同一集团、协会、商会等组织成员的供应商按照该组织要求协同参加政府采购活动；</w:t>
      </w:r>
    </w:p>
    <w:p w14:paraId="249D793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4"/>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（5）供应商之间事先约定一致抬高或者压低投标报价，或者在招标项目中事先约定轮流以高价位或者低价位中标，或者事先约定由某一特定供应商中标，然后再参加投标；</w:t>
      </w:r>
    </w:p>
    <w:p w14:paraId="486A874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（6）供应商之间商定部分供应商放弃参加政府采购活动或者放弃中标；</w:t>
      </w:r>
    </w:p>
    <w:p w14:paraId="5328300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8"/>
        <w:textAlignment w:val="baseline"/>
        <w:rPr>
          <w:sz w:val="20"/>
          <w:szCs w:val="20"/>
        </w:rPr>
      </w:pPr>
      <w:r>
        <w:rPr>
          <w:rFonts w:hint="eastAsia" w:ascii="宋体" w:hAnsi="宋体" w:eastAsia="宋体" w:cs="宋体"/>
          <w:spacing w:val="0"/>
          <w:sz w:val="24"/>
          <w:szCs w:val="24"/>
        </w:rPr>
        <w:t>（7）供应商与采购人或者采购代理机构之间、供应商相互之间，为谋求特定供应商中标或者排斥其他供应商的其他串通行为。</w:t>
      </w:r>
    </w:p>
    <w:p w14:paraId="18D6A070">
      <w:pPr>
        <w:spacing w:line="339" w:lineRule="auto"/>
        <w:rPr>
          <w:rFonts w:ascii="Arial"/>
          <w:sz w:val="21"/>
        </w:rPr>
      </w:pPr>
    </w:p>
    <w:p w14:paraId="2DB9F31C">
      <w:pPr>
        <w:pStyle w:val="11"/>
        <w:spacing w:before="101" w:line="224" w:lineRule="auto"/>
        <w:ind w:left="2453"/>
        <w:outlineLvl w:val="1"/>
        <w:rPr>
          <w:sz w:val="31"/>
          <w:szCs w:val="31"/>
        </w:rPr>
      </w:pPr>
      <w:bookmarkStart w:id="55" w:name="_Toc10086"/>
      <w:r>
        <w:rPr>
          <w:b/>
          <w:bCs/>
          <w:spacing w:val="5"/>
          <w:sz w:val="31"/>
          <w:szCs w:val="31"/>
        </w:rPr>
        <w:t>二、招标文件（采购文件）</w:t>
      </w:r>
      <w:bookmarkEnd w:id="55"/>
    </w:p>
    <w:p w14:paraId="211ED5AB">
      <w:pPr>
        <w:spacing w:line="254" w:lineRule="auto"/>
        <w:rPr>
          <w:rFonts w:ascii="Arial"/>
          <w:sz w:val="21"/>
        </w:rPr>
      </w:pPr>
    </w:p>
    <w:p w14:paraId="2C5C3E30">
      <w:pPr>
        <w:spacing w:line="254" w:lineRule="auto"/>
        <w:rPr>
          <w:rFonts w:ascii="Arial"/>
          <w:sz w:val="21"/>
        </w:rPr>
      </w:pPr>
    </w:p>
    <w:p w14:paraId="6D16BDF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spacing w:val="0"/>
          <w:sz w:val="24"/>
          <w:szCs w:val="24"/>
        </w:rPr>
      </w:pPr>
      <w:bookmarkStart w:id="56" w:name="_Toc25081"/>
      <w:r>
        <w:rPr>
          <w:b/>
          <w:bCs/>
          <w:spacing w:val="0"/>
          <w:sz w:val="24"/>
          <w:szCs w:val="24"/>
        </w:rPr>
        <w:t>10.招标文件的组成</w:t>
      </w:r>
      <w:bookmarkEnd w:id="56"/>
    </w:p>
    <w:p w14:paraId="27261C5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（1）招标公告；</w:t>
      </w:r>
    </w:p>
    <w:p w14:paraId="5CC6B75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（2）采购需求；</w:t>
      </w:r>
    </w:p>
    <w:p w14:paraId="0DB84C2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（3）投标人须知；</w:t>
      </w:r>
    </w:p>
    <w:p w14:paraId="20C551C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（4）评标方法及评标标准；</w:t>
      </w:r>
    </w:p>
    <w:p w14:paraId="1B4AAB3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（5）拟签订的合同文本；</w:t>
      </w:r>
    </w:p>
    <w:p w14:paraId="1E09A56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lang w:eastAsia="zh-CN"/>
        </w:rPr>
      </w:pPr>
      <w:r>
        <w:rPr>
          <w:rFonts w:hint="eastAsia" w:ascii="宋体" w:hAnsi="宋体" w:eastAsia="宋体" w:cs="宋体"/>
          <w:spacing w:val="0"/>
          <w:sz w:val="24"/>
          <w:szCs w:val="24"/>
        </w:rPr>
        <w:t>（6）投标文件格式</w:t>
      </w:r>
      <w:r>
        <w:rPr>
          <w:rFonts w:hint="eastAsia" w:ascii="宋体" w:hAnsi="宋体" w:eastAsia="宋体" w:cs="宋体"/>
          <w:spacing w:val="0"/>
          <w:sz w:val="24"/>
          <w:szCs w:val="24"/>
          <w:lang w:eastAsia="zh-CN"/>
        </w:rPr>
        <w:t>；</w:t>
      </w:r>
    </w:p>
    <w:p w14:paraId="790262F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宋体" w:hAnsi="宋体" w:eastAsia="宋体" w:cs="宋体"/>
          <w:spacing w:val="0"/>
          <w:sz w:val="24"/>
          <w:szCs w:val="24"/>
          <w:lang w:val="en-US" w:eastAsia="zh-CN"/>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7</w:t>
      </w: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绩效清单和工程量清单。</w:t>
      </w:r>
    </w:p>
    <w:p w14:paraId="67C2426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spacing w:val="0"/>
          <w:sz w:val="24"/>
          <w:szCs w:val="24"/>
        </w:rPr>
      </w:pPr>
      <w:bookmarkStart w:id="57" w:name="_Toc24284"/>
      <w:r>
        <w:rPr>
          <w:b/>
          <w:bCs/>
          <w:spacing w:val="0"/>
          <w:sz w:val="24"/>
          <w:szCs w:val="24"/>
        </w:rPr>
        <w:t>11.招标文件的澄清、修改</w:t>
      </w:r>
      <w:r>
        <w:rPr>
          <w:spacing w:val="0"/>
          <w:sz w:val="24"/>
          <w:szCs w:val="24"/>
        </w:rPr>
        <w:t xml:space="preserve"> </w:t>
      </w:r>
      <w:r>
        <w:rPr>
          <w:b/>
          <w:bCs/>
          <w:spacing w:val="0"/>
          <w:sz w:val="24"/>
          <w:szCs w:val="24"/>
        </w:rPr>
        <w:t>、现场考察和答疑会</w:t>
      </w:r>
      <w:bookmarkEnd w:id="57"/>
    </w:p>
    <w:p w14:paraId="6655675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spacing w:val="0"/>
          <w:sz w:val="24"/>
          <w:szCs w:val="24"/>
        </w:rPr>
      </w:pPr>
      <w:r>
        <w:rPr>
          <w:spacing w:val="0"/>
          <w:sz w:val="24"/>
          <w:szCs w:val="24"/>
        </w:rPr>
        <w:t>11.1 投标人应认真审阅本招标文件，如有疑问，或发现其中有误或有要求不合理的，应在招标公告公告期限届满之日起 7 个工作日内以纸质书面形式要求采购人或采购代理机构对招标文件予以澄清；否则， 由此产生的后果由投标人自行负责。</w:t>
      </w:r>
    </w:p>
    <w:p w14:paraId="58E5AA1C">
      <w:pPr>
        <w:pStyle w:val="29"/>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cs="宋体"/>
          <w:snapToGrid w:val="0"/>
          <w:color w:val="000000"/>
          <w:spacing w:val="0"/>
          <w:kern w:val="0"/>
          <w:sz w:val="24"/>
          <w:szCs w:val="24"/>
          <w:lang w:val="en-US" w:eastAsia="en-US" w:bidi="ar-SA"/>
        </w:rPr>
      </w:pPr>
      <w:r>
        <w:rPr>
          <w:rFonts w:ascii="宋体" w:hAnsi="宋体" w:eastAsia="宋体" w:cs="宋体"/>
          <w:snapToGrid w:val="0"/>
          <w:color w:val="000000"/>
          <w:spacing w:val="0"/>
          <w:kern w:val="0"/>
          <w:sz w:val="24"/>
          <w:szCs w:val="24"/>
          <w:lang w:val="en-US" w:eastAsia="en-US" w:bidi="ar-SA"/>
        </w:rPr>
        <w:t>11.2 采购人或者采购代理机构可以对已发出的招标文件进行必要的澄清或者修改，但不得改变采购标的和资格条件。澄清或者修改将在原公告发布媒体上发布更正公告。澄清或者修改的内容为招标文件的组成部分。澄清或者修改的内容可能影响投标文件编制的，采购人或者采购代理机构应当在投标截止时间至少 15 日前，在原公告发布媒体上发布更正公告；不足 15 日的，采购人或者采购代理机构应当顺延提交投标文件的截止时间。</w:t>
      </w:r>
    </w:p>
    <w:p w14:paraId="283FB83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spacing w:val="0"/>
          <w:sz w:val="24"/>
          <w:szCs w:val="24"/>
        </w:rPr>
      </w:pPr>
      <w:r>
        <w:rPr>
          <w:spacing w:val="0"/>
          <w:sz w:val="24"/>
          <w:szCs w:val="24"/>
        </w:rPr>
        <w:t>11.3 采购人和采购代理机构可以视采购具体情况，变更投标截止时间和开标时间，并在原公告发布媒体上发布更正公告。</w:t>
      </w:r>
    </w:p>
    <w:p w14:paraId="1960FE4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spacing w:val="0"/>
          <w:sz w:val="24"/>
          <w:szCs w:val="24"/>
        </w:rPr>
      </w:pPr>
      <w:r>
        <w:rPr>
          <w:spacing w:val="0"/>
          <w:sz w:val="24"/>
          <w:szCs w:val="24"/>
        </w:rPr>
        <w:t>11.4 招标文件澄清、答复、修改、补充的内容为招标文件的组成部分。</w:t>
      </w:r>
      <w:r>
        <w:rPr>
          <w:b/>
          <w:bCs/>
          <w:spacing w:val="0"/>
          <w:sz w:val="24"/>
          <w:szCs w:val="24"/>
        </w:rPr>
        <w:t>当招标文件与招标文件的澄清、答复、修改、补充通知就同一内容的表述不一致时，以最后发出的文件为准。</w:t>
      </w:r>
    </w:p>
    <w:p w14:paraId="73FCBD9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spacing w:val="0"/>
          <w:sz w:val="24"/>
          <w:szCs w:val="24"/>
        </w:rPr>
      </w:pPr>
      <w:r>
        <w:rPr>
          <w:spacing w:val="0"/>
          <w:sz w:val="24"/>
          <w:szCs w:val="24"/>
        </w:rPr>
        <w:t>11.5 采购人或者采购代理机构可以在招标文件提供期限截止后，组织已获取招标文件的潜在投标人现场考察或者召开开标前答疑会，具体详见“投标人须知前附表 ”。</w:t>
      </w:r>
    </w:p>
    <w:p w14:paraId="173092CB">
      <w:pPr>
        <w:spacing w:line="336" w:lineRule="auto"/>
        <w:rPr>
          <w:rFonts w:ascii="Arial"/>
          <w:sz w:val="21"/>
        </w:rPr>
      </w:pPr>
    </w:p>
    <w:p w14:paraId="639A6702">
      <w:pPr>
        <w:pStyle w:val="11"/>
        <w:spacing w:before="101" w:line="225" w:lineRule="auto"/>
        <w:ind w:left="2928"/>
        <w:outlineLvl w:val="1"/>
        <w:rPr>
          <w:sz w:val="31"/>
          <w:szCs w:val="31"/>
        </w:rPr>
      </w:pPr>
      <w:bookmarkStart w:id="58" w:name="_Toc5010"/>
      <w:r>
        <w:rPr>
          <w:b/>
          <w:bCs/>
          <w:spacing w:val="6"/>
          <w:sz w:val="31"/>
          <w:szCs w:val="31"/>
        </w:rPr>
        <w:t>三、投标文件的编制</w:t>
      </w:r>
      <w:bookmarkEnd w:id="58"/>
    </w:p>
    <w:p w14:paraId="4C4D4B80">
      <w:pPr>
        <w:spacing w:line="253" w:lineRule="auto"/>
        <w:rPr>
          <w:rFonts w:ascii="Arial"/>
          <w:sz w:val="21"/>
        </w:rPr>
      </w:pPr>
    </w:p>
    <w:p w14:paraId="231AC146">
      <w:pPr>
        <w:spacing w:line="254" w:lineRule="auto"/>
        <w:rPr>
          <w:rFonts w:ascii="Arial"/>
          <w:sz w:val="21"/>
        </w:rPr>
      </w:pPr>
    </w:p>
    <w:p w14:paraId="2970E49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59" w:name="_Toc8126"/>
      <w:r>
        <w:rPr>
          <w:rFonts w:hint="eastAsia" w:ascii="宋体" w:hAnsi="宋体" w:eastAsia="宋体" w:cs="宋体"/>
          <w:b/>
          <w:bCs/>
          <w:spacing w:val="0"/>
          <w:sz w:val="24"/>
          <w:szCs w:val="24"/>
        </w:rPr>
        <w:t>12.投标文件的编制原则</w:t>
      </w:r>
      <w:bookmarkEnd w:id="59"/>
    </w:p>
    <w:p w14:paraId="4786790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1"/>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投标人必须按照招标文件的要求编制投标文件。投标文件必须对招标文件提出的要求和条件作出明确响应。</w:t>
      </w:r>
    </w:p>
    <w:p w14:paraId="575BE6D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60" w:name="_Toc14079"/>
      <w:r>
        <w:rPr>
          <w:rFonts w:hint="eastAsia" w:ascii="宋体" w:hAnsi="宋体" w:eastAsia="宋体" w:cs="宋体"/>
          <w:b/>
          <w:bCs/>
          <w:spacing w:val="0"/>
          <w:sz w:val="24"/>
          <w:szCs w:val="24"/>
        </w:rPr>
        <w:t>13.投标文件的组成</w:t>
      </w:r>
      <w:bookmarkEnd w:id="60"/>
    </w:p>
    <w:p w14:paraId="20562C1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13.1 投标文件由报价文件、资格证明文件、商务文件、技术文件四部分组成。</w:t>
      </w:r>
    </w:p>
    <w:p w14:paraId="00795A5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（1）报价文件： 具体材料见“投标人须知前附表 ”。</w:t>
      </w:r>
    </w:p>
    <w:p w14:paraId="7D51BB8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（2）资格证明文件：具体材料见“投标人须知前附表 ”。</w:t>
      </w:r>
    </w:p>
    <w:p w14:paraId="3BF5EFA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（3）商务文件：具体材料见“投标人须知前附表 ”。</w:t>
      </w:r>
    </w:p>
    <w:p w14:paraId="2AEDAB8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（4）技术文件：具体材料见“投标人须知前附表 ”。</w:t>
      </w:r>
    </w:p>
    <w:p w14:paraId="0183943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61" w:name="_Toc19937"/>
      <w:r>
        <w:rPr>
          <w:rFonts w:hint="eastAsia" w:ascii="宋体" w:hAnsi="宋体" w:eastAsia="宋体" w:cs="宋体"/>
          <w:b/>
          <w:bCs/>
          <w:spacing w:val="0"/>
          <w:sz w:val="24"/>
          <w:szCs w:val="24"/>
        </w:rPr>
        <w:t>14.投标文件的语言及计量</w:t>
      </w:r>
      <w:bookmarkEnd w:id="61"/>
    </w:p>
    <w:p w14:paraId="0C64442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3"/>
        <w:rPr>
          <w:rFonts w:hint="eastAsia" w:ascii="宋体" w:hAnsi="宋体" w:eastAsia="宋体" w:cs="宋体"/>
          <w:spacing w:val="0"/>
          <w:sz w:val="24"/>
          <w:szCs w:val="24"/>
        </w:rPr>
      </w:pPr>
      <w:r>
        <w:rPr>
          <w:rFonts w:hint="eastAsia" w:ascii="宋体" w:hAnsi="宋体" w:eastAsia="宋体" w:cs="宋体"/>
          <w:spacing w:val="0"/>
          <w:sz w:val="24"/>
          <w:szCs w:val="24"/>
        </w:rPr>
        <w:t>14.1 语言文字</w:t>
      </w:r>
    </w:p>
    <w:p w14:paraId="24E7B80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jc w:val="right"/>
        <w:textAlignment w:val="baseline"/>
        <w:outlineLvl w:val="4"/>
        <w:rPr>
          <w:rFonts w:hint="eastAsia" w:ascii="宋体" w:hAnsi="宋体" w:eastAsia="宋体" w:cs="宋体"/>
          <w:spacing w:val="0"/>
          <w:sz w:val="24"/>
          <w:szCs w:val="24"/>
        </w:rPr>
      </w:pPr>
      <w:r>
        <w:rPr>
          <w:rFonts w:hint="eastAsia" w:ascii="宋体" w:hAnsi="宋体" w:eastAsia="宋体" w:cs="宋体"/>
          <w:spacing w:val="0"/>
          <w:sz w:val="24"/>
          <w:szCs w:val="24"/>
        </w:rPr>
        <w:t>投标文件以及投标人与采购人就有关投标事宜的所有来往函电，均应以中文书写（除专用术</w:t>
      </w:r>
    </w:p>
    <w:p w14:paraId="7F2D623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hanging="2"/>
        <w:jc w:val="both"/>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49F9152">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3"/>
        <w:rPr>
          <w:rFonts w:hint="eastAsia" w:ascii="宋体" w:hAnsi="宋体" w:eastAsia="宋体" w:cs="宋体"/>
          <w:spacing w:val="0"/>
          <w:sz w:val="24"/>
          <w:szCs w:val="24"/>
        </w:rPr>
      </w:pPr>
      <w:r>
        <w:rPr>
          <w:rFonts w:hint="eastAsia" w:ascii="宋体" w:hAnsi="宋体" w:eastAsia="宋体" w:cs="宋体"/>
          <w:spacing w:val="0"/>
          <w:sz w:val="24"/>
          <w:szCs w:val="24"/>
        </w:rPr>
        <w:t>14.2 投标计量单位</w:t>
      </w:r>
    </w:p>
    <w:p w14:paraId="7BEC085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62" w:name="_Toc889"/>
      <w:bookmarkStart w:id="63" w:name="_Toc26439"/>
      <w:r>
        <w:rPr>
          <w:rFonts w:hint="eastAsia" w:ascii="宋体" w:hAnsi="宋体" w:eastAsia="宋体" w:cs="宋体"/>
          <w:spacing w:val="0"/>
          <w:sz w:val="24"/>
          <w:szCs w:val="24"/>
        </w:rPr>
        <w:t>招标文件已有明确规定的，使用招标文件规定的计量单位；招标文件没有规定的，应采用中</w:t>
      </w:r>
      <w:bookmarkEnd w:id="62"/>
      <w:bookmarkEnd w:id="63"/>
    </w:p>
    <w:p w14:paraId="281E832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华人民共和国法定计量单位，货币种类为人民币，否则视同未响应。</w:t>
      </w:r>
    </w:p>
    <w:p w14:paraId="05659F4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64" w:name="_Toc874"/>
      <w:r>
        <w:rPr>
          <w:rFonts w:hint="eastAsia" w:ascii="宋体" w:hAnsi="宋体" w:eastAsia="宋体" w:cs="宋体"/>
          <w:b/>
          <w:bCs/>
          <w:spacing w:val="0"/>
          <w:sz w:val="24"/>
          <w:szCs w:val="24"/>
        </w:rPr>
        <w:t>15.投标的风险</w:t>
      </w:r>
      <w:bookmarkEnd w:id="64"/>
    </w:p>
    <w:p w14:paraId="163EF64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投标人没有按照招标文件要求提供全部资料，或者投标人没有对招标文件作出实质性响应是投标人的风险，并可能导致其投标被拒绝。</w:t>
      </w:r>
    </w:p>
    <w:p w14:paraId="1B4DA44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65" w:name="_Toc13083"/>
      <w:r>
        <w:rPr>
          <w:rFonts w:hint="eastAsia" w:ascii="宋体" w:hAnsi="宋体" w:eastAsia="宋体" w:cs="宋体"/>
          <w:b/>
          <w:bCs/>
          <w:spacing w:val="0"/>
          <w:sz w:val="24"/>
          <w:szCs w:val="24"/>
        </w:rPr>
        <w:t>16.投标报价</w:t>
      </w:r>
      <w:bookmarkEnd w:id="65"/>
    </w:p>
    <w:p w14:paraId="72E34A18">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16.1 投标报价应按“第六章  投标文件格式 ”中“开标一览表 ”格式填写。</w:t>
      </w:r>
    </w:p>
    <w:p w14:paraId="2E88DD4C">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3"/>
        <w:rPr>
          <w:rFonts w:hint="eastAsia" w:ascii="宋体" w:hAnsi="宋体" w:eastAsia="宋体" w:cs="宋体"/>
          <w:spacing w:val="0"/>
          <w:sz w:val="24"/>
          <w:szCs w:val="24"/>
        </w:rPr>
      </w:pPr>
      <w:r>
        <w:rPr>
          <w:rFonts w:hint="eastAsia" w:ascii="宋体" w:hAnsi="宋体" w:eastAsia="宋体" w:cs="宋体"/>
          <w:spacing w:val="0"/>
          <w:sz w:val="24"/>
          <w:szCs w:val="24"/>
        </w:rPr>
        <w:t>16.2 投标报价具体包括内容详见“投标人须知前附表 ”。</w:t>
      </w:r>
    </w:p>
    <w:p w14:paraId="539B590C">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16.3 投标人必须就所投每个分标的全部内容分别作完整唯一总价报价，不得存在漏项报价；</w:t>
      </w:r>
    </w:p>
    <w:p w14:paraId="0DEABC8E">
      <w:pPr>
        <w:pStyle w:val="29"/>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投标人必须就所投分标的单项内容作唯一报价。</w:t>
      </w:r>
    </w:p>
    <w:p w14:paraId="2150D3C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66" w:name="_Toc8295"/>
      <w:r>
        <w:rPr>
          <w:rFonts w:hint="eastAsia" w:ascii="宋体" w:hAnsi="宋体" w:eastAsia="宋体" w:cs="宋体"/>
          <w:b/>
          <w:bCs/>
          <w:spacing w:val="0"/>
          <w:sz w:val="24"/>
          <w:szCs w:val="24"/>
        </w:rPr>
        <w:t>17.投标有效期</w:t>
      </w:r>
      <w:bookmarkEnd w:id="66"/>
    </w:p>
    <w:p w14:paraId="1612AA7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9"/>
        <w:rPr>
          <w:rFonts w:hint="eastAsia" w:ascii="宋体" w:hAnsi="宋体" w:eastAsia="宋体" w:cs="宋体"/>
          <w:spacing w:val="0"/>
          <w:sz w:val="24"/>
          <w:szCs w:val="24"/>
        </w:rPr>
      </w:pPr>
      <w:r>
        <w:rPr>
          <w:rFonts w:hint="eastAsia" w:ascii="宋体" w:hAnsi="宋体" w:eastAsia="宋体" w:cs="宋体"/>
          <w:spacing w:val="0"/>
          <w:sz w:val="24"/>
          <w:szCs w:val="24"/>
        </w:rPr>
        <w:t>17.1 投标有效期是指为保证采购人有足够的时间在开标后完成评标、定标、合同签订等工</w:t>
      </w:r>
    </w:p>
    <w:p w14:paraId="43A8AA9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作而要求投标人提交的投标文件在一定时间内保持有效的期限。</w:t>
      </w:r>
    </w:p>
    <w:p w14:paraId="77E9B69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3"/>
        <w:rPr>
          <w:rFonts w:hint="eastAsia" w:ascii="宋体" w:hAnsi="宋体" w:eastAsia="宋体" w:cs="宋体"/>
          <w:spacing w:val="0"/>
          <w:sz w:val="24"/>
          <w:szCs w:val="24"/>
        </w:rPr>
      </w:pPr>
      <w:r>
        <w:rPr>
          <w:rFonts w:hint="eastAsia" w:ascii="宋体" w:hAnsi="宋体" w:eastAsia="宋体" w:cs="宋体"/>
          <w:spacing w:val="0"/>
          <w:sz w:val="24"/>
          <w:szCs w:val="24"/>
        </w:rPr>
        <w:t>17.2 投标有效期应按规定的期限作出承诺，具体详见“投标人须知前附表 ”。</w:t>
      </w:r>
    </w:p>
    <w:p w14:paraId="1782F8D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3"/>
        <w:rPr>
          <w:rFonts w:hint="eastAsia" w:ascii="宋体" w:hAnsi="宋体" w:eastAsia="宋体" w:cs="宋体"/>
          <w:spacing w:val="0"/>
          <w:sz w:val="24"/>
          <w:szCs w:val="24"/>
        </w:rPr>
      </w:pPr>
      <w:r>
        <w:rPr>
          <w:rFonts w:hint="eastAsia" w:ascii="宋体" w:hAnsi="宋体" w:eastAsia="宋体" w:cs="宋体"/>
          <w:spacing w:val="0"/>
          <w:sz w:val="24"/>
          <w:szCs w:val="24"/>
        </w:rPr>
        <w:t>17.3 投标人的投标文件在投标有效期内均保持有效。</w:t>
      </w:r>
    </w:p>
    <w:p w14:paraId="0FD9BFC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67" w:name="_Toc664"/>
      <w:r>
        <w:rPr>
          <w:rFonts w:hint="eastAsia" w:ascii="宋体" w:hAnsi="宋体" w:eastAsia="宋体" w:cs="宋体"/>
          <w:b/>
          <w:bCs/>
          <w:spacing w:val="0"/>
          <w:sz w:val="24"/>
          <w:szCs w:val="24"/>
        </w:rPr>
        <w:t>18.投标保证金</w:t>
      </w:r>
      <w:bookmarkEnd w:id="67"/>
    </w:p>
    <w:p w14:paraId="18215D2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18.1 投标人须按“投标人须知前附表 ” 的规定提交投标保证金。</w:t>
      </w:r>
    </w:p>
    <w:p w14:paraId="0585E55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18.2 投标保证金的退还</w:t>
      </w:r>
    </w:p>
    <w:p w14:paraId="42461AA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未中标人的投标保证金自中标通知书发出之日起 5 个工作日内退还；中标人的投标保证金自政府采购合同签订之日起 5 个工作日内退还。</w:t>
      </w:r>
    </w:p>
    <w:p w14:paraId="05DD74E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18.3 除逾期退还投标保证金和终止招标的情形以外，投标保证金不计息。</w:t>
      </w:r>
    </w:p>
    <w:p w14:paraId="32BEDBD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18.4 投标人有下列情形之一的，投标保证金将不予退还：</w:t>
      </w:r>
    </w:p>
    <w:p w14:paraId="18C7280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（1）投标人在投标有效期内撤销投标文件的；</w:t>
      </w:r>
    </w:p>
    <w:p w14:paraId="5E1E85E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（2）未按规定提交履约保证金的；</w:t>
      </w:r>
    </w:p>
    <w:p w14:paraId="6463236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（3）投标人在投标过程中弄虚作假，提供虚假材料的；</w:t>
      </w:r>
    </w:p>
    <w:p w14:paraId="68A5050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（4）中标人无正当理由不与采购人签订合同的；</w:t>
      </w:r>
    </w:p>
    <w:p w14:paraId="3D165A9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（5）投标人出现本章第 9.2、9.3 情形的；</w:t>
      </w:r>
    </w:p>
    <w:p w14:paraId="522BFAE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（6）法律法规规定的其他情形。</w:t>
      </w:r>
    </w:p>
    <w:p w14:paraId="0AD5033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68" w:name="_Toc16437"/>
      <w:r>
        <w:rPr>
          <w:rFonts w:hint="eastAsia" w:ascii="宋体" w:hAnsi="宋体" w:eastAsia="宋体" w:cs="宋体"/>
          <w:b/>
          <w:bCs/>
          <w:spacing w:val="0"/>
          <w:sz w:val="24"/>
          <w:szCs w:val="24"/>
        </w:rPr>
        <w:t>19.投标文件的编制</w:t>
      </w:r>
      <w:bookmarkEnd w:id="68"/>
    </w:p>
    <w:p w14:paraId="1E96033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19.1 投标人应按本招标文件规定的格式和顺序编制、装订投标文件并标注页码，投标文件内容不完整、编排混乱导致投标文件被误读、漏读或者查找不到相关内容的，由此引发的后果由投标人承担。</w:t>
      </w:r>
    </w:p>
    <w:p w14:paraId="6B0F3358">
      <w:pPr>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19.2 投标文件应按报价文件、资格证明文件、商务文件、技术文件分别编制电子文件，并按广西政府采购云平台的要求编制、加密、上传。</w:t>
      </w:r>
    </w:p>
    <w:p w14:paraId="33BB0D5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19.3 投标文件须由投标人在规定位置盖公章并签字（具体以投标人须知前附表或投标文件格式规定为准），</w:t>
      </w:r>
      <w:r>
        <w:rPr>
          <w:rFonts w:hint="eastAsia" w:ascii="宋体" w:hAnsi="宋体" w:eastAsia="宋体" w:cs="宋体"/>
          <w:b/>
          <w:bCs/>
          <w:spacing w:val="0"/>
          <w:sz w:val="24"/>
          <w:szCs w:val="24"/>
        </w:rPr>
        <w:t>否则按无效投标处理</w:t>
      </w:r>
      <w:r>
        <w:rPr>
          <w:rFonts w:hint="eastAsia" w:ascii="宋体" w:hAnsi="宋体" w:eastAsia="宋体" w:cs="宋体"/>
          <w:spacing w:val="0"/>
          <w:sz w:val="24"/>
          <w:szCs w:val="24"/>
        </w:rPr>
        <w:t>。</w:t>
      </w:r>
    </w:p>
    <w:p w14:paraId="7D51E0A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19.4 投标文件中标注的投标人名称应与主体资格证明（如营业执照、事业单位法人证书、执业许可证、 自然人身份证等）及公章一致，</w:t>
      </w:r>
      <w:r>
        <w:rPr>
          <w:rFonts w:hint="eastAsia" w:ascii="宋体" w:hAnsi="宋体" w:eastAsia="宋体" w:cs="宋体"/>
          <w:b/>
          <w:bCs/>
          <w:spacing w:val="0"/>
          <w:sz w:val="24"/>
          <w:szCs w:val="24"/>
        </w:rPr>
        <w:t>否则按无效投标处理</w:t>
      </w:r>
      <w:r>
        <w:rPr>
          <w:rFonts w:hint="eastAsia" w:ascii="宋体" w:hAnsi="宋体" w:eastAsia="宋体" w:cs="宋体"/>
          <w:spacing w:val="0"/>
          <w:sz w:val="24"/>
          <w:szCs w:val="24"/>
        </w:rPr>
        <w:t>。</w:t>
      </w:r>
    </w:p>
    <w:p w14:paraId="35482A1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19.5 投标文件应尽量避免涂改、行间插字或者删除。如果出现上述情况，改动之处应由投标人的法定代表人或者其委托代理人签字或者加盖公章。投标文件因字迹潦草或者表达不清所引起的后果由投标人承担。</w:t>
      </w:r>
    </w:p>
    <w:p w14:paraId="53BF52F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69" w:name="_Toc29571"/>
      <w:r>
        <w:rPr>
          <w:rFonts w:hint="eastAsia" w:ascii="宋体" w:hAnsi="宋体" w:eastAsia="宋体" w:cs="宋体"/>
          <w:b/>
          <w:bCs/>
          <w:spacing w:val="0"/>
          <w:sz w:val="24"/>
          <w:szCs w:val="24"/>
        </w:rPr>
        <w:t>20.投标文件的加密、解密</w:t>
      </w:r>
      <w:bookmarkEnd w:id="69"/>
    </w:p>
    <w:p w14:paraId="658DBA8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20.1 电子投标文件编制完成后，投标人应按广西政府采购云平台的要求进行加密，并在规定时间内解密，否则， 由此产生的后果由投标人自行负责。</w:t>
      </w:r>
    </w:p>
    <w:p w14:paraId="0ABD43F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70" w:name="_Toc2843"/>
      <w:r>
        <w:rPr>
          <w:rFonts w:hint="eastAsia" w:ascii="宋体" w:hAnsi="宋体" w:eastAsia="宋体" w:cs="宋体"/>
          <w:b/>
          <w:bCs/>
          <w:spacing w:val="0"/>
          <w:sz w:val="24"/>
          <w:szCs w:val="24"/>
        </w:rPr>
        <w:t>21.投标文件的提交</w:t>
      </w:r>
      <w:bookmarkEnd w:id="70"/>
    </w:p>
    <w:p w14:paraId="34BEDF2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21.1 投标人必须在“投标人须知前附表 ”规定的投标文件接收时间和投标地点提交投标文件。</w:t>
      </w:r>
    </w:p>
    <w:p w14:paraId="2CD6FDF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21.2 本 项 目 为 全 流 程 电 子 化 政 府 采 购 项 目 ， 通 过 广 西 政 府 采 购 云 平 台（</w:t>
      </w:r>
      <w:r>
        <w:rPr>
          <w:rFonts w:hint="eastAsia" w:ascii="宋体" w:hAnsi="宋体" w:eastAsia="宋体" w:cs="宋体"/>
          <w:spacing w:val="0"/>
          <w:sz w:val="24"/>
          <w:szCs w:val="24"/>
        </w:rPr>
        <w:fldChar w:fldCharType="begin"/>
      </w:r>
      <w:r>
        <w:rPr>
          <w:rFonts w:hint="eastAsia" w:ascii="宋体" w:hAnsi="宋体" w:eastAsia="宋体" w:cs="宋体"/>
          <w:spacing w:val="0"/>
          <w:sz w:val="24"/>
          <w:szCs w:val="24"/>
        </w:rPr>
        <w:instrText xml:space="preserve"> HYPERLINK "https://www.gcy.zfcg.gxzf.gov.cn/" </w:instrText>
      </w:r>
      <w:r>
        <w:rPr>
          <w:rFonts w:hint="eastAsia" w:ascii="宋体" w:hAnsi="宋体" w:eastAsia="宋体" w:cs="宋体"/>
          <w:spacing w:val="0"/>
          <w:sz w:val="24"/>
          <w:szCs w:val="24"/>
        </w:rPr>
        <w:fldChar w:fldCharType="separate"/>
      </w:r>
      <w:r>
        <w:rPr>
          <w:rFonts w:hint="eastAsia" w:ascii="宋体" w:hAnsi="宋体" w:eastAsia="宋体" w:cs="宋体"/>
          <w:spacing w:val="0"/>
          <w:sz w:val="24"/>
          <w:szCs w:val="24"/>
        </w:rPr>
        <w:t>https://www.gcy.zfcg.gxzf.gov.cn/</w:t>
      </w:r>
      <w:r>
        <w:rPr>
          <w:rFonts w:hint="eastAsia" w:ascii="宋体" w:hAnsi="宋体" w:eastAsia="宋体" w:cs="宋体"/>
          <w:spacing w:val="0"/>
          <w:sz w:val="24"/>
          <w:szCs w:val="24"/>
        </w:rPr>
        <w:fldChar w:fldCharType="end"/>
      </w:r>
      <w:r>
        <w:rPr>
          <w:rFonts w:hint="eastAsia" w:ascii="宋体" w:hAnsi="宋体" w:eastAsia="宋体" w:cs="宋体"/>
          <w:spacing w:val="0"/>
          <w:sz w:val="24"/>
          <w:szCs w:val="24"/>
        </w:rPr>
        <w:t>）实行在线电子投标。投标人必须在“投标人须知前附表 ”规定的投标文件接收时间内通过网络将电子投标文件上传至广西政府采购云平台，供应商在广西政府采购云平台提交电子版投标文件时，请填写参加远程开标活动经办人联系方式。</w:t>
      </w:r>
    </w:p>
    <w:p w14:paraId="3E3A45C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21.3 未在规定时间内上传或者未按广西政府采购云平台的要求编制、加密的电子投标文件，广西政府采购云平台将拒收。</w:t>
      </w:r>
    </w:p>
    <w:p w14:paraId="1F00729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21.4 电子投标文件提交方式见“招标公告 ”中“ 四、提交投标文件截止时间、开标时间和地点 ”</w:t>
      </w:r>
    </w:p>
    <w:p w14:paraId="7A1B2D2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71" w:name="_Toc3582"/>
      <w:r>
        <w:rPr>
          <w:rFonts w:hint="eastAsia" w:ascii="宋体" w:hAnsi="宋体" w:eastAsia="宋体" w:cs="宋体"/>
          <w:b/>
          <w:bCs/>
          <w:spacing w:val="0"/>
          <w:sz w:val="24"/>
          <w:szCs w:val="24"/>
        </w:rPr>
        <w:t>22.投标文件的补充、修改、撤回与退回</w:t>
      </w:r>
      <w:bookmarkEnd w:id="71"/>
    </w:p>
    <w:p w14:paraId="113FAA3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22.1 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5600CBA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22.2 在投标截止时间止提交投标文件的投标人不足 3 家时，不得开标，采购代理机构将根据广西政府采购云平台的操作将电子版投标文件退回，除此之外采购人和采购代理机构对已提交的投标文件概不退回。</w:t>
      </w:r>
    </w:p>
    <w:p w14:paraId="1292B86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sz w:val="20"/>
          <w:szCs w:val="20"/>
        </w:rPr>
      </w:pPr>
      <w:r>
        <w:rPr>
          <w:rFonts w:hint="eastAsia" w:ascii="宋体" w:hAnsi="宋体" w:eastAsia="宋体" w:cs="宋体"/>
          <w:spacing w:val="0"/>
          <w:sz w:val="24"/>
          <w:szCs w:val="24"/>
        </w:rPr>
        <w:t>22.3 投标人在投标截止时间后书面通知采购人、采购代理机构撤销投标文件的，将根据本须知正文 18.4 的规定不予退还其投标保证金。</w:t>
      </w:r>
    </w:p>
    <w:p w14:paraId="264E8053">
      <w:pPr>
        <w:spacing w:line="335" w:lineRule="auto"/>
        <w:rPr>
          <w:rFonts w:ascii="Arial"/>
          <w:sz w:val="21"/>
        </w:rPr>
      </w:pPr>
    </w:p>
    <w:p w14:paraId="02313420">
      <w:pPr>
        <w:spacing w:line="257" w:lineRule="auto"/>
        <w:ind w:left="0" w:leftChars="0" w:firstLine="0" w:firstLineChars="0"/>
        <w:jc w:val="center"/>
        <w:outlineLvl w:val="1"/>
        <w:rPr>
          <w:b/>
          <w:bCs/>
          <w:spacing w:val="-3"/>
          <w:sz w:val="31"/>
          <w:szCs w:val="31"/>
        </w:rPr>
      </w:pPr>
      <w:bookmarkStart w:id="72" w:name="_Toc19909"/>
      <w:r>
        <w:rPr>
          <w:b/>
          <w:bCs/>
          <w:spacing w:val="-3"/>
          <w:sz w:val="31"/>
          <w:szCs w:val="31"/>
        </w:rPr>
        <w:t>四、开标</w:t>
      </w:r>
      <w:bookmarkEnd w:id="72"/>
    </w:p>
    <w:p w14:paraId="4A78A272">
      <w:pPr>
        <w:spacing w:line="257" w:lineRule="auto"/>
        <w:rPr>
          <w:b/>
          <w:bCs/>
          <w:spacing w:val="-3"/>
          <w:sz w:val="31"/>
          <w:szCs w:val="31"/>
        </w:rPr>
      </w:pPr>
    </w:p>
    <w:p w14:paraId="700B3F9C">
      <w:pPr>
        <w:spacing w:line="257" w:lineRule="auto"/>
        <w:rPr>
          <w:rFonts w:ascii="Arial"/>
          <w:sz w:val="21"/>
        </w:rPr>
      </w:pPr>
    </w:p>
    <w:p w14:paraId="2943228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spacing w:val="0"/>
          <w:sz w:val="24"/>
          <w:szCs w:val="24"/>
        </w:rPr>
      </w:pPr>
      <w:bookmarkStart w:id="73" w:name="_Toc1232"/>
      <w:r>
        <w:rPr>
          <w:b/>
          <w:bCs/>
          <w:spacing w:val="0"/>
          <w:sz w:val="24"/>
          <w:szCs w:val="24"/>
        </w:rPr>
        <w:t>23.开标时间和地点</w:t>
      </w:r>
      <w:bookmarkEnd w:id="73"/>
    </w:p>
    <w:p w14:paraId="74D7CB5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rightChars="0"/>
        <w:textAlignment w:val="baseline"/>
        <w:outlineLvl w:val="3"/>
        <w:rPr>
          <w:spacing w:val="0"/>
          <w:sz w:val="24"/>
          <w:szCs w:val="24"/>
        </w:rPr>
      </w:pPr>
      <w:r>
        <w:rPr>
          <w:spacing w:val="0"/>
          <w:sz w:val="24"/>
          <w:szCs w:val="24"/>
        </w:rPr>
        <w:t>23.1 开标时间及地点详见“投标人须知前附表 ”</w:t>
      </w:r>
    </w:p>
    <w:p w14:paraId="7FE2418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spacing w:val="0"/>
          <w:sz w:val="24"/>
          <w:szCs w:val="24"/>
        </w:rPr>
      </w:pPr>
      <w:r>
        <w:rPr>
          <w:spacing w:val="0"/>
          <w:sz w:val="24"/>
          <w:szCs w:val="24"/>
        </w:rPr>
        <w:t>23.2 如投标人成功解密投标文件，但未在“广西政府采购云平台 ”电子开标大厅参加开标的，视同认可开标过程和结果，由此产生的后果由投标人自行负责。成功解密投标文件的投标人不足 3 家的，不得开标。</w:t>
      </w:r>
    </w:p>
    <w:p w14:paraId="63E853C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spacing w:val="0"/>
          <w:sz w:val="24"/>
          <w:szCs w:val="24"/>
        </w:rPr>
      </w:pPr>
      <w:bookmarkStart w:id="74" w:name="_Toc19839"/>
      <w:r>
        <w:rPr>
          <w:b/>
          <w:bCs/>
          <w:spacing w:val="0"/>
          <w:sz w:val="24"/>
          <w:szCs w:val="24"/>
        </w:rPr>
        <w:t>24.开标程序</w:t>
      </w:r>
      <w:bookmarkEnd w:id="74"/>
    </w:p>
    <w:p w14:paraId="56379E0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rightChars="0"/>
        <w:textAlignment w:val="baseline"/>
        <w:outlineLvl w:val="3"/>
        <w:rPr>
          <w:spacing w:val="0"/>
          <w:sz w:val="24"/>
          <w:szCs w:val="24"/>
        </w:rPr>
      </w:pPr>
      <w:r>
        <w:rPr>
          <w:spacing w:val="0"/>
          <w:sz w:val="24"/>
          <w:szCs w:val="24"/>
        </w:rPr>
        <w:t>24.1开标形式：</w:t>
      </w:r>
    </w:p>
    <w:p w14:paraId="6684FE5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19"/>
        <w:textAlignment w:val="baseline"/>
        <w:rPr>
          <w:spacing w:val="0"/>
          <w:sz w:val="24"/>
          <w:szCs w:val="24"/>
        </w:rPr>
      </w:pPr>
      <w:r>
        <w:rPr>
          <w:spacing w:val="0"/>
          <w:sz w:val="24"/>
          <w:szCs w:val="24"/>
        </w:rPr>
        <w:t>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51300C9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240" w:firstLineChars="100"/>
        <w:textAlignment w:val="baseline"/>
        <w:outlineLvl w:val="3"/>
        <w:rPr>
          <w:spacing w:val="0"/>
          <w:sz w:val="24"/>
          <w:szCs w:val="24"/>
        </w:rPr>
      </w:pPr>
      <w:r>
        <w:rPr>
          <w:spacing w:val="0"/>
          <w:sz w:val="24"/>
          <w:szCs w:val="24"/>
        </w:rPr>
        <w:t>24.2开标程序：</w:t>
      </w:r>
    </w:p>
    <w:p w14:paraId="4BA3B25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1"/>
        <w:textAlignment w:val="baseline"/>
        <w:rPr>
          <w:spacing w:val="0"/>
          <w:sz w:val="24"/>
          <w:szCs w:val="24"/>
        </w:rPr>
      </w:pPr>
      <w:r>
        <w:rPr>
          <w:spacing w:val="0"/>
          <w:sz w:val="24"/>
          <w:szCs w:val="24"/>
        </w:rPr>
        <w:t>（1）解密电子投标文件。广西政府采购云平台按开标时间自动提取所有投标文件。采购代理机构依托广西政府采购云平台向各投标人发出电子加密投标文件【开始解密】通知，由投标人进行投标文件解密。</w:t>
      </w:r>
      <w:r>
        <w:rPr>
          <w:b/>
          <w:bCs/>
          <w:spacing w:val="0"/>
          <w:sz w:val="24"/>
          <w:szCs w:val="24"/>
        </w:rPr>
        <w:t>投标人的法定代表人或其委托代理人须携带加密时所用的CA锁准时登录到广西政府采购云平台电子开标大厅签到并在发起解密通知之时起30分钟内完成对电子投标文件解密。投标文件未按时解密的，视为无效投标。</w:t>
      </w:r>
      <w:r>
        <w:rPr>
          <w:spacing w:val="0"/>
          <w:sz w:val="24"/>
          <w:szCs w:val="24"/>
        </w:rPr>
        <w:t>（解密异常情况处理：详见本章29.4电子交易活动的中止）</w:t>
      </w:r>
    </w:p>
    <w:p w14:paraId="0F7CA9E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9"/>
        <w:textAlignment w:val="baseline"/>
        <w:rPr>
          <w:spacing w:val="0"/>
          <w:sz w:val="24"/>
          <w:szCs w:val="24"/>
        </w:rPr>
      </w:pPr>
      <w:r>
        <w:rPr>
          <w:spacing w:val="0"/>
          <w:sz w:val="24"/>
          <w:szCs w:val="24"/>
        </w:rPr>
        <w:t>（2） 电子唱标。投标文件解密结束，各投标供应商报价均在广西政府采购云平台远程不见面开标大厅展示；</w:t>
      </w:r>
    </w:p>
    <w:p w14:paraId="4164915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1"/>
        <w:textAlignment w:val="baseline"/>
        <w:rPr>
          <w:spacing w:val="0"/>
          <w:sz w:val="24"/>
          <w:szCs w:val="24"/>
        </w:rPr>
      </w:pPr>
      <w:r>
        <w:rPr>
          <w:spacing w:val="0"/>
          <w:sz w:val="24"/>
          <w:szCs w:val="24"/>
        </w:rPr>
        <w:t>（3）签署电子《政府采购活动现场确认声明书》。通过邮件形式在远程不见面开标大厅发送各投标人签署电子《政府采购活动现场确认声明书》。</w:t>
      </w:r>
    </w:p>
    <w:p w14:paraId="4050535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9"/>
        <w:textAlignment w:val="baseline"/>
        <w:rPr>
          <w:spacing w:val="0"/>
          <w:sz w:val="24"/>
          <w:szCs w:val="24"/>
        </w:rPr>
      </w:pPr>
      <w:r>
        <w:rPr>
          <w:spacing w:val="0"/>
          <w:sz w:val="24"/>
          <w:szCs w:val="24"/>
        </w:rPr>
        <w:t>（4）开标过程由采购代理机构如实记录，并电子留痕，由参加电子开标的各投标人代表对电子开标记录在开标记录公布后15分钟内进行当场校核及勘误，并线上确认，未确认的视同认可开标结果。</w:t>
      </w:r>
    </w:p>
    <w:p w14:paraId="6CDF287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0"/>
        <w:textAlignment w:val="baseline"/>
        <w:rPr>
          <w:spacing w:val="0"/>
          <w:sz w:val="24"/>
          <w:szCs w:val="24"/>
        </w:rPr>
      </w:pPr>
      <w:r>
        <w:rPr>
          <w:spacing w:val="0"/>
          <w:sz w:val="24"/>
          <w:szCs w:val="24"/>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742C348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0" w:firstLineChars="200"/>
        <w:textAlignment w:val="baseline"/>
        <w:outlineLvl w:val="4"/>
        <w:rPr>
          <w:spacing w:val="0"/>
          <w:sz w:val="24"/>
          <w:szCs w:val="24"/>
        </w:rPr>
      </w:pPr>
      <w:r>
        <w:rPr>
          <w:spacing w:val="0"/>
          <w:sz w:val="24"/>
          <w:szCs w:val="24"/>
        </w:rPr>
        <w:t>（6）开标结束。</w:t>
      </w:r>
    </w:p>
    <w:p w14:paraId="10EB320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spacing w:val="0"/>
          <w:sz w:val="24"/>
          <w:szCs w:val="24"/>
        </w:rPr>
      </w:pPr>
      <w:r>
        <w:rPr>
          <w:b/>
          <w:bCs/>
          <w:spacing w:val="0"/>
          <w:sz w:val="24"/>
          <w:szCs w:val="24"/>
        </w:rPr>
        <w:t>特别说明：如遇广西政府采购云平台电子化开标或评审程序调整的，按调整后执行。</w:t>
      </w:r>
    </w:p>
    <w:p w14:paraId="179448E4">
      <w:pPr>
        <w:spacing w:line="257" w:lineRule="auto"/>
        <w:jc w:val="center"/>
        <w:outlineLvl w:val="9"/>
        <w:rPr>
          <w:b/>
          <w:bCs/>
          <w:spacing w:val="4"/>
          <w:sz w:val="31"/>
          <w:szCs w:val="31"/>
        </w:rPr>
      </w:pPr>
    </w:p>
    <w:p w14:paraId="099A9C45">
      <w:pPr>
        <w:spacing w:line="257" w:lineRule="auto"/>
        <w:jc w:val="center"/>
        <w:outlineLvl w:val="1"/>
        <w:rPr>
          <w:b/>
          <w:bCs/>
          <w:spacing w:val="4"/>
          <w:sz w:val="31"/>
          <w:szCs w:val="31"/>
        </w:rPr>
      </w:pPr>
      <w:bookmarkStart w:id="75" w:name="_Toc30508"/>
      <w:r>
        <w:rPr>
          <w:b/>
          <w:bCs/>
          <w:spacing w:val="4"/>
          <w:sz w:val="31"/>
          <w:szCs w:val="31"/>
        </w:rPr>
        <w:t>五、资格审查</w:t>
      </w:r>
      <w:bookmarkEnd w:id="75"/>
    </w:p>
    <w:p w14:paraId="4ADD1B94">
      <w:pPr>
        <w:spacing w:line="257" w:lineRule="auto"/>
        <w:rPr>
          <w:b/>
          <w:bCs/>
          <w:spacing w:val="4"/>
          <w:sz w:val="31"/>
          <w:szCs w:val="31"/>
        </w:rPr>
      </w:pPr>
    </w:p>
    <w:p w14:paraId="6A231A24">
      <w:pPr>
        <w:spacing w:line="258" w:lineRule="auto"/>
        <w:rPr>
          <w:rFonts w:ascii="Arial"/>
          <w:sz w:val="21"/>
        </w:rPr>
      </w:pPr>
    </w:p>
    <w:p w14:paraId="0AD9885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b/>
          <w:bCs/>
          <w:spacing w:val="0"/>
          <w:sz w:val="24"/>
          <w:szCs w:val="24"/>
        </w:rPr>
      </w:pPr>
      <w:bookmarkStart w:id="76" w:name="_Toc4991"/>
      <w:bookmarkStart w:id="77" w:name="_Toc18276"/>
      <w:r>
        <w:rPr>
          <w:b/>
          <w:bCs/>
          <w:spacing w:val="0"/>
          <w:sz w:val="24"/>
          <w:szCs w:val="24"/>
        </w:rPr>
        <w:t>25.资格审查</w:t>
      </w:r>
      <w:bookmarkEnd w:id="76"/>
      <w:bookmarkEnd w:id="77"/>
    </w:p>
    <w:p w14:paraId="64201E9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spacing w:val="0"/>
          <w:sz w:val="24"/>
          <w:szCs w:val="24"/>
        </w:rPr>
      </w:pPr>
      <w:r>
        <w:rPr>
          <w:spacing w:val="0"/>
          <w:sz w:val="24"/>
          <w:szCs w:val="24"/>
        </w:rPr>
        <w:t>25.1 开标结束后，采购人或者采购代理机构依法对投标人的资格进行审查。</w:t>
      </w:r>
    </w:p>
    <w:p w14:paraId="046006C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spacing w:val="0"/>
          <w:sz w:val="24"/>
          <w:szCs w:val="24"/>
        </w:rPr>
      </w:pPr>
      <w:r>
        <w:rPr>
          <w:spacing w:val="0"/>
          <w:sz w:val="24"/>
          <w:szCs w:val="24"/>
        </w:rPr>
        <w:t>25.2 资格审查标准为本招标文件中载明对投标人资格要求的条件。本项目资格审查采用合格制，凡符合招标文件规定的投标人资格要求的投标人均通过资格审查。</w:t>
      </w:r>
    </w:p>
    <w:p w14:paraId="731B04A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3"/>
        <w:rPr>
          <w:spacing w:val="0"/>
          <w:sz w:val="24"/>
          <w:szCs w:val="24"/>
        </w:rPr>
      </w:pPr>
      <w:r>
        <w:rPr>
          <w:b/>
          <w:bCs/>
          <w:spacing w:val="0"/>
          <w:sz w:val="24"/>
          <w:szCs w:val="24"/>
        </w:rPr>
        <w:t>25.3</w:t>
      </w:r>
      <w:r>
        <w:rPr>
          <w:spacing w:val="0"/>
          <w:sz w:val="24"/>
          <w:szCs w:val="24"/>
        </w:rPr>
        <w:t xml:space="preserve"> </w:t>
      </w:r>
      <w:r>
        <w:rPr>
          <w:b/>
          <w:bCs/>
          <w:spacing w:val="0"/>
          <w:sz w:val="24"/>
          <w:szCs w:val="24"/>
        </w:rPr>
        <w:t>投标人有下列情形之一的，资格审查不通过，作无效投标处理：</w:t>
      </w:r>
    </w:p>
    <w:p w14:paraId="5EAD4C6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spacing w:val="0"/>
          <w:sz w:val="24"/>
          <w:szCs w:val="24"/>
        </w:rPr>
      </w:pPr>
      <w:r>
        <w:rPr>
          <w:b/>
          <w:bCs/>
          <w:spacing w:val="0"/>
          <w:sz w:val="24"/>
          <w:szCs w:val="24"/>
        </w:rPr>
        <w:t>（1）未按招标文件规定的方式获取本招标文件的投标人；</w:t>
      </w:r>
    </w:p>
    <w:p w14:paraId="70148F8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2" w:firstLineChars="200"/>
        <w:textAlignment w:val="baseline"/>
        <w:rPr>
          <w:spacing w:val="0"/>
          <w:sz w:val="24"/>
          <w:szCs w:val="24"/>
        </w:rPr>
      </w:pPr>
      <w:r>
        <w:rPr>
          <w:b/>
          <w:bCs/>
          <w:spacing w:val="0"/>
          <w:sz w:val="24"/>
          <w:szCs w:val="24"/>
        </w:rPr>
        <w:t>（2）不具备招标文件中规定的资格要求的；</w:t>
      </w:r>
    </w:p>
    <w:p w14:paraId="4E34AD3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firstLine="482" w:firstLineChars="200"/>
        <w:textAlignment w:val="baseline"/>
        <w:rPr>
          <w:spacing w:val="0"/>
          <w:sz w:val="24"/>
          <w:szCs w:val="24"/>
        </w:rPr>
      </w:pPr>
      <w:r>
        <w:rPr>
          <w:b/>
          <w:bCs/>
          <w:spacing w:val="0"/>
          <w:sz w:val="24"/>
          <w:szCs w:val="24"/>
        </w:rPr>
        <w:t>（3）在“信用中国”网站（</w:t>
      </w:r>
      <w:r>
        <w:rPr>
          <w:spacing w:val="0"/>
          <w:sz w:val="24"/>
          <w:szCs w:val="24"/>
        </w:rPr>
        <w:fldChar w:fldCharType="begin"/>
      </w:r>
      <w:r>
        <w:rPr>
          <w:spacing w:val="0"/>
          <w:sz w:val="24"/>
          <w:szCs w:val="24"/>
        </w:rPr>
        <w:instrText xml:space="preserve"> HYPERLINK "https://www.creditchina.gov.cn" </w:instrText>
      </w:r>
      <w:r>
        <w:rPr>
          <w:spacing w:val="0"/>
          <w:sz w:val="24"/>
          <w:szCs w:val="24"/>
        </w:rPr>
        <w:fldChar w:fldCharType="separate"/>
      </w:r>
      <w:r>
        <w:rPr>
          <w:b/>
          <w:bCs/>
          <w:spacing w:val="0"/>
          <w:sz w:val="24"/>
          <w:szCs w:val="24"/>
        </w:rPr>
        <w:t>www.creditchina.gov.cn</w:t>
      </w:r>
      <w:r>
        <w:rPr>
          <w:b/>
          <w:bCs/>
          <w:spacing w:val="0"/>
          <w:sz w:val="24"/>
          <w:szCs w:val="24"/>
        </w:rPr>
        <w:fldChar w:fldCharType="end"/>
      </w:r>
      <w:r>
        <w:rPr>
          <w:b/>
          <w:bCs/>
          <w:spacing w:val="0"/>
          <w:sz w:val="24"/>
          <w:szCs w:val="24"/>
        </w:rPr>
        <w:t>）、中国政府采购网（</w:t>
      </w:r>
      <w:r>
        <w:rPr>
          <w:spacing w:val="0"/>
          <w:sz w:val="24"/>
          <w:szCs w:val="24"/>
        </w:rPr>
        <w:fldChar w:fldCharType="begin"/>
      </w:r>
      <w:r>
        <w:rPr>
          <w:spacing w:val="0"/>
          <w:sz w:val="24"/>
          <w:szCs w:val="24"/>
        </w:rPr>
        <w:instrText xml:space="preserve"> HYPERLINK "https://www.ccgp.gov.cn" </w:instrText>
      </w:r>
      <w:r>
        <w:rPr>
          <w:spacing w:val="0"/>
          <w:sz w:val="24"/>
          <w:szCs w:val="24"/>
        </w:rPr>
        <w:fldChar w:fldCharType="separate"/>
      </w:r>
      <w:r>
        <w:rPr>
          <w:b/>
          <w:bCs/>
          <w:spacing w:val="0"/>
          <w:sz w:val="24"/>
          <w:szCs w:val="24"/>
        </w:rPr>
        <w:t>www.ccgp.gov.cn</w:t>
      </w:r>
      <w:r>
        <w:rPr>
          <w:b/>
          <w:bCs/>
          <w:spacing w:val="0"/>
          <w:sz w:val="24"/>
          <w:szCs w:val="24"/>
        </w:rPr>
        <w:fldChar w:fldCharType="end"/>
      </w:r>
      <w:r>
        <w:rPr>
          <w:b/>
          <w:bCs/>
          <w:spacing w:val="0"/>
          <w:sz w:val="24"/>
          <w:szCs w:val="24"/>
        </w:rPr>
        <w:t>）被列入失信被执行人、重大税收违法失信主体名单、政府采购严重违法失信行为记录名单及其他不符合《中华人民共和国政府采购法》第二十二条规定条件的；</w:t>
      </w:r>
      <w:r>
        <w:rPr>
          <w:spacing w:val="0"/>
          <w:sz w:val="24"/>
          <w:szCs w:val="24"/>
        </w:rPr>
        <w:t xml:space="preserve"> </w:t>
      </w:r>
      <w:r>
        <w:rPr>
          <w:b/>
          <w:bCs/>
          <w:spacing w:val="0"/>
          <w:sz w:val="24"/>
          <w:szCs w:val="24"/>
        </w:rPr>
        <w:t>（注：其中信用查询规则见“投标人须知前附表</w:t>
      </w:r>
      <w:r>
        <w:rPr>
          <w:spacing w:val="0"/>
          <w:sz w:val="24"/>
          <w:szCs w:val="24"/>
        </w:rPr>
        <w:t xml:space="preserve"> </w:t>
      </w:r>
      <w:r>
        <w:rPr>
          <w:b/>
          <w:bCs/>
          <w:spacing w:val="0"/>
          <w:sz w:val="24"/>
          <w:szCs w:val="24"/>
        </w:rPr>
        <w:t>”）</w:t>
      </w:r>
    </w:p>
    <w:p w14:paraId="5EFB05C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firstLine="482" w:firstLineChars="200"/>
        <w:textAlignment w:val="baseline"/>
        <w:rPr>
          <w:spacing w:val="0"/>
          <w:sz w:val="24"/>
          <w:szCs w:val="24"/>
        </w:rPr>
      </w:pPr>
      <w:r>
        <w:rPr>
          <w:b/>
          <w:bCs/>
          <w:spacing w:val="0"/>
          <w:sz w:val="24"/>
          <w:szCs w:val="24"/>
        </w:rPr>
        <w:t>（4）</w:t>
      </w:r>
      <w:r>
        <w:rPr>
          <w:spacing w:val="0"/>
          <w:sz w:val="24"/>
          <w:szCs w:val="24"/>
        </w:rPr>
        <w:t xml:space="preserve"> </w:t>
      </w:r>
      <w:r>
        <w:rPr>
          <w:b/>
          <w:bCs/>
          <w:spacing w:val="0"/>
          <w:sz w:val="24"/>
          <w:szCs w:val="24"/>
        </w:rPr>
        <w:t>同一合同项下的不同投标人，单位负责人为同一人或者存在直接控股、管理关系的；为本项目提供过整体设计、规范编制或者项目管理、监理、检测等服务的供应商，再参加该采购项目的其他采购活动的；</w:t>
      </w:r>
    </w:p>
    <w:p w14:paraId="19C7F85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firstLine="482" w:firstLineChars="200"/>
        <w:textAlignment w:val="baseline"/>
        <w:rPr>
          <w:spacing w:val="0"/>
          <w:sz w:val="24"/>
          <w:szCs w:val="24"/>
        </w:rPr>
      </w:pPr>
      <w:r>
        <w:rPr>
          <w:b/>
          <w:bCs/>
          <w:spacing w:val="0"/>
          <w:sz w:val="24"/>
          <w:szCs w:val="24"/>
        </w:rPr>
        <w:t>（5）投标文件中的资格证明文件缺少任一项“投标人须知前附表</w:t>
      </w:r>
      <w:r>
        <w:rPr>
          <w:spacing w:val="0"/>
          <w:sz w:val="24"/>
          <w:szCs w:val="24"/>
        </w:rPr>
        <w:t xml:space="preserve"> </w:t>
      </w:r>
      <w:r>
        <w:rPr>
          <w:b/>
          <w:bCs/>
          <w:spacing w:val="0"/>
          <w:sz w:val="24"/>
          <w:szCs w:val="24"/>
        </w:rPr>
        <w:t>”资格证明文件规定“必须提供</w:t>
      </w:r>
      <w:r>
        <w:rPr>
          <w:spacing w:val="0"/>
          <w:sz w:val="24"/>
          <w:szCs w:val="24"/>
        </w:rPr>
        <w:t xml:space="preserve"> </w:t>
      </w:r>
      <w:r>
        <w:rPr>
          <w:b/>
          <w:bCs/>
          <w:spacing w:val="0"/>
          <w:sz w:val="24"/>
          <w:szCs w:val="24"/>
        </w:rPr>
        <w:t>”的文件资料的；</w:t>
      </w:r>
    </w:p>
    <w:p w14:paraId="2652BDD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firstLine="482" w:firstLineChars="200"/>
        <w:textAlignment w:val="baseline"/>
        <w:rPr>
          <w:spacing w:val="0"/>
          <w:sz w:val="24"/>
          <w:szCs w:val="24"/>
        </w:rPr>
      </w:pPr>
      <w:r>
        <w:rPr>
          <w:b/>
          <w:bCs/>
          <w:spacing w:val="0"/>
          <w:sz w:val="24"/>
          <w:szCs w:val="24"/>
        </w:rPr>
        <w:t>（6）投标文件中的资格证明文件出现任一项不符合“投标人须知前附表</w:t>
      </w:r>
      <w:r>
        <w:rPr>
          <w:spacing w:val="0"/>
          <w:sz w:val="24"/>
          <w:szCs w:val="24"/>
        </w:rPr>
        <w:t xml:space="preserve"> </w:t>
      </w:r>
      <w:r>
        <w:rPr>
          <w:b/>
          <w:bCs/>
          <w:spacing w:val="0"/>
          <w:sz w:val="24"/>
          <w:szCs w:val="24"/>
        </w:rPr>
        <w:t>”资格证明文件规定“必须提供</w:t>
      </w:r>
      <w:r>
        <w:rPr>
          <w:spacing w:val="0"/>
          <w:sz w:val="24"/>
          <w:szCs w:val="24"/>
        </w:rPr>
        <w:t xml:space="preserve"> </w:t>
      </w:r>
      <w:r>
        <w:rPr>
          <w:b/>
          <w:bCs/>
          <w:spacing w:val="0"/>
          <w:sz w:val="24"/>
          <w:szCs w:val="24"/>
        </w:rPr>
        <w:t>”的文件资料要求或者无效的。</w:t>
      </w:r>
    </w:p>
    <w:p w14:paraId="5336062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3"/>
        <w:rPr>
          <w:spacing w:val="0"/>
          <w:sz w:val="24"/>
          <w:szCs w:val="24"/>
        </w:rPr>
      </w:pPr>
      <w:r>
        <w:rPr>
          <w:b/>
          <w:bCs/>
          <w:spacing w:val="0"/>
          <w:sz w:val="24"/>
          <w:szCs w:val="24"/>
        </w:rPr>
        <w:t>25.4</w:t>
      </w:r>
      <w:r>
        <w:rPr>
          <w:spacing w:val="0"/>
          <w:sz w:val="24"/>
          <w:szCs w:val="24"/>
        </w:rPr>
        <w:t xml:space="preserve"> </w:t>
      </w:r>
      <w:r>
        <w:rPr>
          <w:b/>
          <w:bCs/>
          <w:spacing w:val="0"/>
          <w:sz w:val="24"/>
          <w:szCs w:val="24"/>
        </w:rPr>
        <w:t>合格投标人不足</w:t>
      </w:r>
      <w:r>
        <w:rPr>
          <w:spacing w:val="0"/>
          <w:sz w:val="24"/>
          <w:szCs w:val="24"/>
        </w:rPr>
        <w:t xml:space="preserve"> </w:t>
      </w:r>
      <w:r>
        <w:rPr>
          <w:b/>
          <w:bCs/>
          <w:spacing w:val="0"/>
          <w:sz w:val="24"/>
          <w:szCs w:val="24"/>
        </w:rPr>
        <w:t>3</w:t>
      </w:r>
      <w:r>
        <w:rPr>
          <w:spacing w:val="0"/>
          <w:sz w:val="24"/>
          <w:szCs w:val="24"/>
        </w:rPr>
        <w:t xml:space="preserve"> </w:t>
      </w:r>
      <w:r>
        <w:rPr>
          <w:b/>
          <w:bCs/>
          <w:spacing w:val="0"/>
          <w:sz w:val="24"/>
          <w:szCs w:val="24"/>
        </w:rPr>
        <w:t>家的，不得评标。</w:t>
      </w:r>
    </w:p>
    <w:p w14:paraId="69CCFE74">
      <w:pPr>
        <w:spacing w:line="360" w:lineRule="auto"/>
        <w:rPr>
          <w:rFonts w:ascii="Arial"/>
          <w:spacing w:val="0"/>
          <w:sz w:val="21"/>
        </w:rPr>
      </w:pPr>
    </w:p>
    <w:p w14:paraId="1ACB9AA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b/>
          <w:bCs/>
          <w:spacing w:val="0"/>
          <w:sz w:val="24"/>
          <w:szCs w:val="24"/>
        </w:rPr>
      </w:pPr>
    </w:p>
    <w:p w14:paraId="27732B8C">
      <w:pPr>
        <w:pStyle w:val="11"/>
        <w:spacing w:before="101" w:line="360" w:lineRule="auto"/>
        <w:ind w:left="3736"/>
        <w:outlineLvl w:val="1"/>
        <w:rPr>
          <w:spacing w:val="0"/>
          <w:sz w:val="31"/>
          <w:szCs w:val="31"/>
        </w:rPr>
      </w:pPr>
      <w:bookmarkStart w:id="78" w:name="_Toc14808"/>
      <w:r>
        <w:rPr>
          <w:b/>
          <w:bCs/>
          <w:spacing w:val="0"/>
          <w:sz w:val="31"/>
          <w:szCs w:val="31"/>
        </w:rPr>
        <w:t>六、评标</w:t>
      </w:r>
      <w:bookmarkEnd w:id="78"/>
    </w:p>
    <w:p w14:paraId="3436E9F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b/>
          <w:bCs/>
          <w:spacing w:val="0"/>
          <w:sz w:val="24"/>
          <w:szCs w:val="24"/>
        </w:rPr>
      </w:pPr>
      <w:bookmarkStart w:id="79" w:name="_Toc23660"/>
      <w:r>
        <w:rPr>
          <w:b/>
          <w:bCs/>
          <w:spacing w:val="0"/>
          <w:sz w:val="24"/>
          <w:szCs w:val="24"/>
        </w:rPr>
        <w:t>2</w:t>
      </w:r>
      <w:bookmarkEnd w:id="79"/>
      <w:bookmarkStart w:id="80" w:name="_Toc9649"/>
      <w:r>
        <w:rPr>
          <w:b/>
          <w:bCs/>
          <w:spacing w:val="0"/>
          <w:sz w:val="24"/>
          <w:szCs w:val="24"/>
        </w:rPr>
        <w:t>6.组建评标委员会</w:t>
      </w:r>
      <w:bookmarkEnd w:id="80"/>
    </w:p>
    <w:p w14:paraId="03CC1B5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18"/>
        <w:textAlignment w:val="baseline"/>
        <w:rPr>
          <w:spacing w:val="0"/>
          <w:sz w:val="24"/>
          <w:szCs w:val="24"/>
        </w:rPr>
      </w:pPr>
      <w:r>
        <w:rPr>
          <w:spacing w:val="0"/>
          <w:sz w:val="24"/>
          <w:szCs w:val="24"/>
        </w:rPr>
        <w:t>评标委员会由采购人代表和评审专家组成，具体人数详见“投标人须知前附表 ”，其中评审专家不得少于成员总数的三分之二。</w:t>
      </w:r>
    </w:p>
    <w:p w14:paraId="40D6CA6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spacing w:val="0"/>
          <w:sz w:val="24"/>
          <w:szCs w:val="24"/>
        </w:rPr>
      </w:pPr>
      <w:r>
        <w:rPr>
          <w:spacing w:val="0"/>
          <w:sz w:val="24"/>
          <w:szCs w:val="24"/>
        </w:rPr>
        <w:t>参加过采购项目前期咨询论证的专家，不得参加该采购项目的评审活动。</w:t>
      </w:r>
    </w:p>
    <w:p w14:paraId="3AAEC2F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spacing w:val="0"/>
          <w:sz w:val="24"/>
          <w:szCs w:val="24"/>
        </w:rPr>
      </w:pPr>
      <w:bookmarkStart w:id="81" w:name="_Toc21255"/>
      <w:r>
        <w:rPr>
          <w:b/>
          <w:bCs/>
          <w:spacing w:val="0"/>
          <w:sz w:val="24"/>
          <w:szCs w:val="24"/>
        </w:rPr>
        <w:t>27.评标的依据</w:t>
      </w:r>
      <w:bookmarkEnd w:id="81"/>
    </w:p>
    <w:p w14:paraId="78CDF4D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18"/>
        <w:textAlignment w:val="baseline"/>
        <w:rPr>
          <w:spacing w:val="0"/>
          <w:sz w:val="24"/>
          <w:szCs w:val="24"/>
        </w:rPr>
      </w:pPr>
      <w:r>
        <w:rPr>
          <w:spacing w:val="0"/>
          <w:sz w:val="24"/>
          <w:szCs w:val="24"/>
        </w:rPr>
        <w:t>评标委员会以“第四章 评标方法和评标标准 ”为依据对投标文件进行评审，没有规定的方法、评审因素和标准，不作为评标依据。</w:t>
      </w:r>
    </w:p>
    <w:p w14:paraId="767ADEB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spacing w:val="0"/>
          <w:sz w:val="24"/>
          <w:szCs w:val="24"/>
        </w:rPr>
      </w:pPr>
      <w:bookmarkStart w:id="82" w:name="_Toc8673"/>
      <w:r>
        <w:rPr>
          <w:b/>
          <w:bCs/>
          <w:spacing w:val="0"/>
          <w:sz w:val="24"/>
          <w:szCs w:val="24"/>
        </w:rPr>
        <w:t>28.评标原则</w:t>
      </w:r>
      <w:bookmarkEnd w:id="82"/>
    </w:p>
    <w:p w14:paraId="70B0A43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spacing w:val="0"/>
          <w:sz w:val="24"/>
          <w:szCs w:val="24"/>
        </w:rPr>
      </w:pPr>
      <w:r>
        <w:rPr>
          <w:spacing w:val="0"/>
          <w:sz w:val="24"/>
          <w:szCs w:val="24"/>
        </w:rPr>
        <w:t>28.1 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406682F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spacing w:val="0"/>
          <w:sz w:val="24"/>
          <w:szCs w:val="24"/>
        </w:rPr>
      </w:pPr>
      <w:r>
        <w:rPr>
          <w:spacing w:val="0"/>
          <w:sz w:val="24"/>
          <w:szCs w:val="24"/>
        </w:rPr>
        <w:t>28.2 评委表决。评标委员会成员对需要共同认定的事项存在争议的，应当按照少数服从多数的原则作出结论。</w:t>
      </w:r>
    </w:p>
    <w:p w14:paraId="539299E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spacing w:val="0"/>
          <w:sz w:val="24"/>
          <w:szCs w:val="24"/>
        </w:rPr>
      </w:pPr>
      <w:r>
        <w:rPr>
          <w:spacing w:val="0"/>
          <w:sz w:val="24"/>
          <w:szCs w:val="24"/>
        </w:rPr>
        <w:t>28.3 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密、商业秘密负有保密责任。</w:t>
      </w:r>
    </w:p>
    <w:p w14:paraId="2DAB832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4"/>
        <w:textAlignment w:val="baseline"/>
        <w:rPr>
          <w:spacing w:val="0"/>
          <w:sz w:val="24"/>
          <w:szCs w:val="24"/>
        </w:rPr>
      </w:pPr>
      <w:r>
        <w:rPr>
          <w:spacing w:val="0"/>
          <w:sz w:val="24"/>
          <w:szCs w:val="24"/>
        </w:rPr>
        <w:t>28.4 评标过程的监控。本项目评标过程实行全程录音、录像监控，</w:t>
      </w:r>
      <w:r>
        <w:rPr>
          <w:b/>
          <w:bCs/>
          <w:spacing w:val="0"/>
          <w:sz w:val="24"/>
          <w:szCs w:val="24"/>
        </w:rPr>
        <w:t>投标人在评标过程中所进行的试图影响评标结果的不公正活动，可能导致其投标无效</w:t>
      </w:r>
      <w:r>
        <w:rPr>
          <w:spacing w:val="0"/>
          <w:sz w:val="24"/>
          <w:szCs w:val="24"/>
        </w:rPr>
        <w:t>。</w:t>
      </w:r>
    </w:p>
    <w:p w14:paraId="6447345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spacing w:val="0"/>
          <w:sz w:val="24"/>
          <w:szCs w:val="24"/>
        </w:rPr>
      </w:pPr>
      <w:bookmarkStart w:id="83" w:name="_Toc29767"/>
      <w:r>
        <w:rPr>
          <w:b/>
          <w:bCs/>
          <w:spacing w:val="0"/>
          <w:sz w:val="24"/>
          <w:szCs w:val="24"/>
        </w:rPr>
        <w:t>29.评标方法及中标候选人推荐</w:t>
      </w:r>
      <w:bookmarkEnd w:id="83"/>
    </w:p>
    <w:p w14:paraId="2C43172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spacing w:val="0"/>
          <w:sz w:val="24"/>
          <w:szCs w:val="24"/>
        </w:rPr>
      </w:pPr>
      <w:r>
        <w:rPr>
          <w:spacing w:val="0"/>
          <w:sz w:val="24"/>
          <w:szCs w:val="24"/>
        </w:rPr>
        <w:t>29.1 本项目的评标方法详见“投标人须知前附表 ”。</w:t>
      </w:r>
    </w:p>
    <w:p w14:paraId="711389C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spacing w:val="0"/>
          <w:sz w:val="24"/>
          <w:szCs w:val="24"/>
        </w:rPr>
      </w:pPr>
      <w:r>
        <w:rPr>
          <w:spacing w:val="0"/>
          <w:sz w:val="24"/>
          <w:szCs w:val="24"/>
        </w:rPr>
        <w:t>29.2 中标候选人推荐数量详见“投标人须知前附表 ”。</w:t>
      </w:r>
    </w:p>
    <w:p w14:paraId="43B4EA2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spacing w:val="0"/>
          <w:sz w:val="24"/>
          <w:szCs w:val="24"/>
        </w:rPr>
      </w:pPr>
      <w:r>
        <w:rPr>
          <w:spacing w:val="0"/>
          <w:sz w:val="24"/>
          <w:szCs w:val="24"/>
        </w:rPr>
        <w:t>29.3 评标委员会将按照“第四章 评标方法和评标标准 ”规定的方法、评审因素、标准和程序对投标文件进行评审。</w:t>
      </w:r>
    </w:p>
    <w:p w14:paraId="036CB97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spacing w:val="0"/>
          <w:sz w:val="24"/>
          <w:szCs w:val="24"/>
        </w:rPr>
      </w:pPr>
      <w:r>
        <w:rPr>
          <w:spacing w:val="0"/>
          <w:sz w:val="24"/>
          <w:szCs w:val="24"/>
        </w:rPr>
        <w:t>29.4 电子交易活动的中止。采购过程中出现以下情形，导致电子交易平台无法正常运行，或者无法保证电子交易的公平、公正和安全时，采购代理机构可中止电子交易活动：</w:t>
      </w:r>
    </w:p>
    <w:p w14:paraId="4A44231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firstLine="480" w:firstLineChars="200"/>
        <w:textAlignment w:val="baseline"/>
        <w:outlineLvl w:val="3"/>
        <w:rPr>
          <w:spacing w:val="0"/>
          <w:sz w:val="24"/>
          <w:szCs w:val="24"/>
        </w:rPr>
      </w:pPr>
      <w:r>
        <w:rPr>
          <w:spacing w:val="0"/>
          <w:sz w:val="24"/>
          <w:szCs w:val="24"/>
        </w:rPr>
        <w:t>（1） 电子交易平台发生故障而无法登录访问的；</w:t>
      </w:r>
    </w:p>
    <w:p w14:paraId="7F19407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sz w:val="24"/>
          <w:szCs w:val="24"/>
        </w:rPr>
      </w:pPr>
      <w:r>
        <w:rPr>
          <w:spacing w:val="0"/>
          <w:sz w:val="24"/>
          <w:szCs w:val="24"/>
        </w:rPr>
        <w:t>（2） 电子交易平台应用或数据库出现错误，不能进行正常操作的；</w:t>
      </w:r>
    </w:p>
    <w:p w14:paraId="636E36F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sz w:val="24"/>
          <w:szCs w:val="24"/>
        </w:rPr>
      </w:pPr>
      <w:r>
        <w:rPr>
          <w:spacing w:val="0"/>
          <w:sz w:val="24"/>
          <w:szCs w:val="24"/>
        </w:rPr>
        <w:t>（3） 电子交易平台发现严重安全漏洞，有潜在泄密危险的；</w:t>
      </w:r>
    </w:p>
    <w:p w14:paraId="073E278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sz w:val="24"/>
          <w:szCs w:val="24"/>
        </w:rPr>
      </w:pPr>
      <w:r>
        <w:rPr>
          <w:spacing w:val="0"/>
          <w:sz w:val="24"/>
          <w:szCs w:val="24"/>
        </w:rPr>
        <w:t>（4）病毒发作导致不能进行正常操作的；</w:t>
      </w:r>
    </w:p>
    <w:p w14:paraId="1164A66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spacing w:val="0"/>
          <w:sz w:val="24"/>
          <w:szCs w:val="24"/>
        </w:rPr>
      </w:pPr>
      <w:r>
        <w:rPr>
          <w:spacing w:val="0"/>
          <w:sz w:val="24"/>
          <w:szCs w:val="24"/>
        </w:rPr>
        <w:t>（4）其他无法保证电子交易的公平、公正和安全的情况。</w:t>
      </w:r>
    </w:p>
    <w:p w14:paraId="59C57BA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sz w:val="20"/>
          <w:szCs w:val="20"/>
        </w:rPr>
      </w:pPr>
      <w:r>
        <w:rPr>
          <w:spacing w:val="0"/>
          <w:sz w:val="24"/>
          <w:szCs w:val="24"/>
        </w:rPr>
        <w:t>29.5 出现以上情形，不影响采购公平、公正性的，采购代理机构可以待上述情形消除后继续组织电子交易活动；影响或可能影响采购公平、公正性的，经采购代理机构确认后，应当重新采购。</w:t>
      </w:r>
    </w:p>
    <w:p w14:paraId="7AD5ED53">
      <w:pPr>
        <w:pStyle w:val="11"/>
        <w:spacing w:before="275" w:line="225" w:lineRule="auto"/>
        <w:ind w:left="3248"/>
        <w:outlineLvl w:val="1"/>
        <w:rPr>
          <w:sz w:val="31"/>
          <w:szCs w:val="31"/>
        </w:rPr>
      </w:pPr>
      <w:bookmarkStart w:id="84" w:name="_Toc31589"/>
      <w:r>
        <w:rPr>
          <w:b/>
          <w:bCs/>
          <w:spacing w:val="6"/>
          <w:sz w:val="31"/>
          <w:szCs w:val="31"/>
        </w:rPr>
        <w:t>七、中标和合同</w:t>
      </w:r>
      <w:bookmarkEnd w:id="84"/>
    </w:p>
    <w:p w14:paraId="2B48EC81">
      <w:pPr>
        <w:spacing w:line="252" w:lineRule="auto"/>
        <w:rPr>
          <w:rFonts w:ascii="Arial"/>
          <w:sz w:val="21"/>
        </w:rPr>
      </w:pPr>
    </w:p>
    <w:p w14:paraId="1D4286BF">
      <w:pPr>
        <w:spacing w:line="253" w:lineRule="auto"/>
        <w:rPr>
          <w:rFonts w:ascii="Arial"/>
          <w:sz w:val="21"/>
        </w:rPr>
      </w:pPr>
    </w:p>
    <w:p w14:paraId="4AF642E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85" w:name="_Toc31112"/>
      <w:r>
        <w:rPr>
          <w:rFonts w:hint="eastAsia" w:ascii="宋体" w:hAnsi="宋体" w:eastAsia="宋体" w:cs="宋体"/>
          <w:b/>
          <w:bCs/>
          <w:spacing w:val="0"/>
          <w:sz w:val="24"/>
          <w:szCs w:val="24"/>
        </w:rPr>
        <w:t>30.确定中标人</w:t>
      </w:r>
      <w:bookmarkEnd w:id="85"/>
    </w:p>
    <w:p w14:paraId="4D55760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9"/>
        <w:rPr>
          <w:rFonts w:hint="eastAsia" w:ascii="宋体" w:hAnsi="宋体" w:eastAsia="宋体" w:cs="宋体"/>
          <w:spacing w:val="0"/>
          <w:sz w:val="24"/>
          <w:szCs w:val="24"/>
        </w:rPr>
      </w:pPr>
      <w:r>
        <w:rPr>
          <w:rFonts w:hint="eastAsia" w:ascii="宋体" w:hAnsi="宋体" w:eastAsia="宋体" w:cs="宋体"/>
          <w:spacing w:val="0"/>
          <w:sz w:val="24"/>
          <w:szCs w:val="24"/>
        </w:rPr>
        <w:t>30.1 采购代理机构在评标结束之日起 2 个工作日内将评标报告送采购人，采购人在收到评标报告之日起 5 个工作日内，在评标报告确定的中标候选人名单中按顺序确定中标人。中标候选人并列的，按照“投标人须知前附表 ”规定的方式确定中标人。采购人也可以事先授权评标委员会直接确定中标人。</w:t>
      </w:r>
    </w:p>
    <w:p w14:paraId="780491E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30.2 采购人在收到评标报告 5 个工作日内未按评标报告推荐的中标候选人顺序确定中标人，又不能说明合法理由的，视同按评标报告推荐的顺序确定排名第一的中标候选人为中标人。</w:t>
      </w:r>
    </w:p>
    <w:p w14:paraId="2716758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3"/>
        <w:rPr>
          <w:rFonts w:hint="eastAsia" w:ascii="宋体" w:hAnsi="宋体" w:eastAsia="宋体" w:cs="宋体"/>
          <w:spacing w:val="0"/>
          <w:sz w:val="24"/>
          <w:szCs w:val="24"/>
        </w:rPr>
      </w:pPr>
      <w:r>
        <w:rPr>
          <w:rFonts w:hint="eastAsia" w:ascii="宋体" w:hAnsi="宋体" w:eastAsia="宋体" w:cs="宋体"/>
          <w:spacing w:val="0"/>
          <w:sz w:val="24"/>
          <w:szCs w:val="24"/>
        </w:rPr>
        <w:t>30.3 出现下列情形之一的，应予废标：</w:t>
      </w:r>
    </w:p>
    <w:p w14:paraId="77C9CD8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（1）符合专业条件的供应商或者对招标文件作实质响应的供应商不足三家的；</w:t>
      </w:r>
    </w:p>
    <w:p w14:paraId="7818D2B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（2）出现影响采购公正的违法、违规行为的；</w:t>
      </w:r>
    </w:p>
    <w:p w14:paraId="59357BA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（3）投标人的报价均超过了采购预算，采购人不能支付的；</w:t>
      </w:r>
    </w:p>
    <w:p w14:paraId="124F936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（4）因重大变故，采购任务取消的。</w:t>
      </w:r>
    </w:p>
    <w:p w14:paraId="50855FD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废标后，采购人应当将废标理由通知所有投标人。</w:t>
      </w:r>
    </w:p>
    <w:p w14:paraId="1DC849E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30.4 中标人拒绝签订政府采购合同（包括但不限于放弃中标、因不可抗力不能履行合同而放弃签订合同），采购人可以按照评审报告推荐的中标候选人名单排序，确定下一候选人为中标供应商，也可以重新开展政府采购活动。拒绝签订政府采购合同的中标人不得参加对该项目重新开展的采购活动。</w:t>
      </w:r>
    </w:p>
    <w:p w14:paraId="107407C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86" w:name="_Toc22870"/>
      <w:r>
        <w:rPr>
          <w:rFonts w:hint="eastAsia" w:ascii="宋体" w:hAnsi="宋体" w:eastAsia="宋体" w:cs="宋体"/>
          <w:b/>
          <w:bCs/>
          <w:spacing w:val="0"/>
          <w:sz w:val="24"/>
          <w:szCs w:val="24"/>
        </w:rPr>
        <w:t>31.结果公告</w:t>
      </w:r>
      <w:bookmarkEnd w:id="86"/>
    </w:p>
    <w:p w14:paraId="354D4C0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9"/>
        <w:rPr>
          <w:rFonts w:hint="eastAsia" w:ascii="宋体" w:hAnsi="宋体" w:eastAsia="宋体" w:cs="宋体"/>
          <w:spacing w:val="0"/>
          <w:sz w:val="24"/>
          <w:szCs w:val="24"/>
        </w:rPr>
      </w:pPr>
      <w:r>
        <w:rPr>
          <w:rFonts w:hint="eastAsia" w:ascii="宋体" w:hAnsi="宋体" w:eastAsia="宋体" w:cs="宋体"/>
          <w:spacing w:val="0"/>
          <w:sz w:val="24"/>
          <w:szCs w:val="24"/>
        </w:rPr>
        <w:t>31.1 采购人或者采购代理机构应当自中标人确定之日起 2 个工作日内，在省级以上财政部门指定的媒体上公告中标结果，招标文件应当随中标结果同时公告。</w:t>
      </w:r>
      <w:r>
        <w:rPr>
          <w:rFonts w:hint="eastAsia" w:ascii="宋体" w:hAnsi="宋体" w:eastAsia="宋体" w:cs="宋体"/>
          <w:b/>
          <w:bCs/>
          <w:spacing w:val="0"/>
          <w:sz w:val="24"/>
          <w:szCs w:val="24"/>
        </w:rPr>
        <w:t>采购人或者采购代理发出中标通知书前，应当对中标人信用进行查询，对列入失信被执行人、重大税收违法失信主体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eastAsia="宋体" w:cs="宋体"/>
          <w:spacing w:val="0"/>
          <w:sz w:val="24"/>
          <w:szCs w:val="24"/>
        </w:rPr>
        <w:t>排名第二的中标候选人因前款规定的同样原因被取消中标资格的，采购人可以确定排名第三的中标候选人为中标人，以此类推。以上信息查询记录及相关证据与采购文件一并保存。</w:t>
      </w:r>
    </w:p>
    <w:p w14:paraId="70C0130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9"/>
        <w:rPr>
          <w:rFonts w:hint="eastAsia" w:ascii="宋体" w:hAnsi="宋体" w:eastAsia="宋体" w:cs="宋体"/>
          <w:spacing w:val="0"/>
          <w:sz w:val="24"/>
          <w:szCs w:val="24"/>
        </w:rPr>
      </w:pPr>
      <w:r>
        <w:rPr>
          <w:rFonts w:hint="eastAsia" w:ascii="宋体" w:hAnsi="宋体" w:eastAsia="宋体" w:cs="宋体"/>
          <w:spacing w:val="0"/>
          <w:sz w:val="24"/>
          <w:szCs w:val="24"/>
        </w:rPr>
        <w:t>31.2 中标供应商享受《政府采购促进中小企业发展管理办法》（财库〔2020〕46 号）规定的中小企业扶持政策的，采购人、采购代理机构应当随中标结果公开中标供应商的《中小企业声明函》。</w:t>
      </w:r>
    </w:p>
    <w:p w14:paraId="6E8D2F8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87" w:name="_Toc11574"/>
      <w:r>
        <w:rPr>
          <w:rFonts w:hint="eastAsia" w:ascii="宋体" w:hAnsi="宋体" w:eastAsia="宋体" w:cs="宋体"/>
          <w:b/>
          <w:bCs/>
          <w:spacing w:val="0"/>
          <w:sz w:val="24"/>
          <w:szCs w:val="24"/>
        </w:rPr>
        <w:t>32.发出中标通知书</w:t>
      </w:r>
      <w:bookmarkEnd w:id="87"/>
    </w:p>
    <w:p w14:paraId="2B25D2D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9"/>
        <w:rPr>
          <w:rFonts w:hint="eastAsia" w:ascii="宋体" w:hAnsi="宋体" w:eastAsia="宋体" w:cs="宋体"/>
          <w:spacing w:val="0"/>
          <w:sz w:val="24"/>
          <w:szCs w:val="24"/>
        </w:rPr>
      </w:pPr>
      <w:r>
        <w:rPr>
          <w:rFonts w:hint="eastAsia" w:ascii="宋体" w:hAnsi="宋体" w:eastAsia="宋体" w:cs="宋体"/>
          <w:spacing w:val="0"/>
          <w:sz w:val="24"/>
          <w:szCs w:val="24"/>
        </w:rPr>
        <w:t>在公告中标结果的同时，采购代理机构向中标人发出中标通知书。对未通过资格审查的投标人，应当告知其未通过的原因；采用综合评分办法评审的，还应当告知未中标人本人的评审得分与排序。</w:t>
      </w:r>
    </w:p>
    <w:p w14:paraId="259EB8D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88" w:name="_Toc4589"/>
      <w:r>
        <w:rPr>
          <w:rFonts w:hint="eastAsia" w:ascii="宋体" w:hAnsi="宋体" w:eastAsia="宋体" w:cs="宋体"/>
          <w:b/>
          <w:bCs/>
          <w:spacing w:val="0"/>
          <w:sz w:val="24"/>
          <w:szCs w:val="24"/>
        </w:rPr>
        <w:t>33.无义务解释未中标原因</w:t>
      </w:r>
      <w:bookmarkEnd w:id="88"/>
    </w:p>
    <w:p w14:paraId="688974B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3"/>
        <w:rPr>
          <w:rFonts w:hint="eastAsia" w:ascii="宋体" w:hAnsi="宋体" w:eastAsia="宋体" w:cs="宋体"/>
          <w:spacing w:val="0"/>
          <w:sz w:val="24"/>
          <w:szCs w:val="24"/>
        </w:rPr>
      </w:pPr>
      <w:r>
        <w:rPr>
          <w:rFonts w:hint="eastAsia" w:ascii="宋体" w:hAnsi="宋体" w:eastAsia="宋体" w:cs="宋体"/>
          <w:spacing w:val="0"/>
          <w:sz w:val="24"/>
          <w:szCs w:val="24"/>
        </w:rPr>
        <w:t>采购代理机构无义务向未中标的投标人解释未中标原因和退还投标文件。</w:t>
      </w:r>
    </w:p>
    <w:p w14:paraId="4790DBD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89" w:name="_Toc21559"/>
      <w:r>
        <w:rPr>
          <w:rFonts w:hint="eastAsia" w:ascii="宋体" w:hAnsi="宋体" w:eastAsia="宋体" w:cs="宋体"/>
          <w:b/>
          <w:bCs/>
          <w:spacing w:val="0"/>
          <w:sz w:val="24"/>
          <w:szCs w:val="24"/>
        </w:rPr>
        <w:t>34.合同授予标准</w:t>
      </w:r>
      <w:bookmarkEnd w:id="89"/>
    </w:p>
    <w:p w14:paraId="6807115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15"/>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合同将授予被确定实质上响应招标文件要求，具备履行合同能力的中标人（招标文件另有约定多名中标人的除外）。</w:t>
      </w:r>
    </w:p>
    <w:p w14:paraId="5D37A49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90" w:name="_Toc18364"/>
      <w:r>
        <w:rPr>
          <w:rFonts w:hint="eastAsia" w:ascii="宋体" w:hAnsi="宋体" w:eastAsia="宋体" w:cs="宋体"/>
          <w:b/>
          <w:bCs/>
          <w:spacing w:val="0"/>
          <w:sz w:val="24"/>
          <w:szCs w:val="24"/>
        </w:rPr>
        <w:t>35.履约保证金</w:t>
      </w:r>
      <w:bookmarkEnd w:id="90"/>
    </w:p>
    <w:p w14:paraId="406D2AF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35.1 履约保证金的金额、提交方式、退付的时间和条件详见“投标人须知前附表 ”。中标人未按规定提交履约保证金的，视为拒绝与采购人签订合同。</w:t>
      </w:r>
    </w:p>
    <w:p w14:paraId="3C8D57D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35.2 在履约保证金退还日期前，若中标人的开户名称、开户银行、账号有变动的，请以书面形式通知履约保证金收取单位，否则由此产生的后果由中标人自行承担。</w:t>
      </w:r>
    </w:p>
    <w:p w14:paraId="480E1D87">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2"/>
        <w:rPr>
          <w:rFonts w:hint="eastAsia" w:ascii="宋体" w:hAnsi="宋体" w:eastAsia="宋体" w:cs="宋体"/>
          <w:b/>
          <w:bCs/>
          <w:spacing w:val="0"/>
          <w:sz w:val="24"/>
          <w:szCs w:val="24"/>
        </w:rPr>
      </w:pPr>
      <w:bookmarkStart w:id="91" w:name="_Toc23285"/>
      <w:r>
        <w:rPr>
          <w:rFonts w:hint="eastAsia" w:ascii="宋体" w:hAnsi="宋体" w:eastAsia="宋体" w:cs="宋体"/>
          <w:b/>
          <w:bCs/>
          <w:spacing w:val="0"/>
          <w:sz w:val="24"/>
          <w:szCs w:val="24"/>
        </w:rPr>
        <w:t>36.签订合同</w:t>
      </w:r>
      <w:bookmarkEnd w:id="91"/>
    </w:p>
    <w:p w14:paraId="5A30390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highlight w:val="none"/>
        </w:rPr>
      </w:pPr>
      <w:r>
        <w:rPr>
          <w:rFonts w:hint="eastAsia" w:ascii="宋体" w:hAnsi="宋体" w:eastAsia="宋体" w:cs="宋体"/>
          <w:spacing w:val="0"/>
          <w:sz w:val="24"/>
          <w:szCs w:val="24"/>
        </w:rPr>
        <w:t>36.1 投标人领取中标通知书（书面或电子）后，按“投标人须知前附表 ”规定向采购人出示相关证明材料，经采购人核验合格后方可签订采购合同（书面或电子）。如中标人为联合体的，联合体各方应当共同与采购人签订采购合同，就采购合同约定的事项对采购人承担连带责任。</w:t>
      </w:r>
    </w:p>
    <w:p w14:paraId="783DD1E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highlight w:val="none"/>
        </w:rPr>
        <w:t xml:space="preserve">36.2 签订合同时间：按中标通知书规定的时间与采购人签订合同（最长不能超过 </w:t>
      </w:r>
      <w:r>
        <w:rPr>
          <w:rFonts w:hint="eastAsia" w:cs="宋体"/>
          <w:spacing w:val="0"/>
          <w:sz w:val="24"/>
          <w:szCs w:val="24"/>
          <w:highlight w:val="yellow"/>
          <w:lang w:val="en-US" w:eastAsia="zh-CN"/>
        </w:rPr>
        <w:t>25</w:t>
      </w:r>
      <w:r>
        <w:rPr>
          <w:rFonts w:hint="eastAsia" w:ascii="宋体" w:hAnsi="宋体" w:eastAsia="宋体" w:cs="宋体"/>
          <w:spacing w:val="0"/>
          <w:sz w:val="24"/>
          <w:szCs w:val="24"/>
          <w:highlight w:val="none"/>
        </w:rPr>
        <w:t xml:space="preserve"> 日</w:t>
      </w:r>
      <w:r>
        <w:rPr>
          <w:rFonts w:hint="eastAsia" w:ascii="宋体" w:hAnsi="宋体" w:eastAsia="宋体" w:cs="宋体"/>
          <w:spacing w:val="0"/>
          <w:sz w:val="24"/>
          <w:szCs w:val="24"/>
        </w:rPr>
        <w:t>）。</w:t>
      </w:r>
    </w:p>
    <w:p w14:paraId="2432BCF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36.3 中标人拒绝与采购人签订合同的，按照本须知正文第 30.4 条的规定执行。</w:t>
      </w:r>
    </w:p>
    <w:p w14:paraId="0B2DC1F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92" w:name="_Toc16670"/>
      <w:r>
        <w:rPr>
          <w:rFonts w:hint="eastAsia" w:ascii="宋体" w:hAnsi="宋体" w:eastAsia="宋体" w:cs="宋体"/>
          <w:b/>
          <w:bCs/>
          <w:spacing w:val="0"/>
          <w:sz w:val="24"/>
          <w:szCs w:val="24"/>
        </w:rPr>
        <w:t>37.政府采购合同公告</w:t>
      </w:r>
      <w:bookmarkEnd w:id="92"/>
    </w:p>
    <w:p w14:paraId="24B9FFC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02"/>
        <w:jc w:val="both"/>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采购人或者受托采购代理机构应当自政府采购合同签订之日起 2 个工作日内，将政府采购合同在省级以上人民政府财政部门指定的媒体上公告，但政府采购合同中涉及国家秘密、商业秘密的内容除外。</w:t>
      </w:r>
    </w:p>
    <w:p w14:paraId="4615351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rFonts w:hint="eastAsia" w:ascii="宋体" w:hAnsi="宋体" w:eastAsia="宋体" w:cs="宋体"/>
          <w:spacing w:val="0"/>
          <w:sz w:val="24"/>
          <w:szCs w:val="24"/>
        </w:rPr>
      </w:pPr>
      <w:bookmarkStart w:id="93" w:name="_Toc13201"/>
      <w:r>
        <w:rPr>
          <w:rFonts w:hint="eastAsia" w:ascii="宋体" w:hAnsi="宋体" w:eastAsia="宋体" w:cs="宋体"/>
          <w:b/>
          <w:bCs/>
          <w:spacing w:val="0"/>
          <w:sz w:val="24"/>
          <w:szCs w:val="24"/>
        </w:rPr>
        <w:t>38.询问、质疑和投诉</w:t>
      </w:r>
      <w:bookmarkEnd w:id="93"/>
    </w:p>
    <w:p w14:paraId="33579EB7">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38.1 供应商对政府采购活动事项有疑问的，可以向采购人提出询问，采购人或者采购代理机构应当在 3 个工作日内对供应商依法提出的询问作出答复，但答复的内容不得涉及商业秘密。</w:t>
      </w:r>
    </w:p>
    <w:p w14:paraId="480612A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38.2 供应商认为招标文件、采购过程或者中标结果使自己的合法权益受到损害的，必须在知道或者应知其权益受到损害之日起 7 个工作日内，以纸质书面形式向采购人、采购代理机构提出质疑。采购人、采购代理机构接收质疑函的方式、联系部门、联系电话和通讯地址等信息详见“投标人须知前附表 ”。具体质疑起算时间如下：</w:t>
      </w:r>
    </w:p>
    <w:p w14:paraId="5D46ABB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8"/>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（1）对可以质疑的招标文件提出质疑的，为收到招标文件之日或者招标文件公告期限届满之日；</w:t>
      </w:r>
    </w:p>
    <w:p w14:paraId="6DB4DBBA">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（2）对采购过程提出质疑的，为各采购程序环节结束之日；</w:t>
      </w:r>
    </w:p>
    <w:p w14:paraId="7229CDD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（3）对中标结果提出质疑的，为中标结果公告期限届满之日。</w:t>
      </w:r>
    </w:p>
    <w:p w14:paraId="56238EF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9"/>
        <w:rPr>
          <w:rFonts w:hint="eastAsia" w:ascii="宋体" w:hAnsi="宋体" w:eastAsia="宋体" w:cs="宋体"/>
          <w:spacing w:val="0"/>
          <w:sz w:val="24"/>
          <w:szCs w:val="24"/>
        </w:rPr>
      </w:pPr>
      <w:r>
        <w:rPr>
          <w:rFonts w:hint="eastAsia" w:ascii="宋体" w:hAnsi="宋体" w:eastAsia="宋体" w:cs="宋体"/>
          <w:spacing w:val="0"/>
          <w:sz w:val="24"/>
          <w:szCs w:val="24"/>
        </w:rPr>
        <w:t xml:space="preserve">38.3 </w:t>
      </w:r>
      <w:r>
        <w:rPr>
          <w:rFonts w:hint="eastAsia" w:ascii="宋体" w:hAnsi="宋体" w:eastAsia="宋体" w:cs="宋体"/>
          <w:b/>
          <w:bCs/>
          <w:spacing w:val="0"/>
          <w:sz w:val="24"/>
          <w:szCs w:val="24"/>
        </w:rPr>
        <w:t>供应商提出质疑应当提交质疑函和必要的证明材料，针对同一采购程序环节的质疑必须</w:t>
      </w:r>
    </w:p>
    <w:p w14:paraId="5964C44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rFonts w:hint="eastAsia" w:ascii="宋体" w:hAnsi="宋体" w:eastAsia="宋体" w:cs="宋体"/>
          <w:spacing w:val="0"/>
          <w:sz w:val="24"/>
          <w:szCs w:val="24"/>
        </w:rPr>
      </w:pPr>
      <w:r>
        <w:rPr>
          <w:rFonts w:hint="eastAsia" w:ascii="宋体" w:hAnsi="宋体" w:eastAsia="宋体" w:cs="宋体"/>
          <w:b/>
          <w:bCs/>
          <w:spacing w:val="0"/>
          <w:sz w:val="24"/>
          <w:szCs w:val="24"/>
        </w:rPr>
        <w:t>在法定质疑期内一次性提出。质疑函应当包括下列内容（质疑函格式后附）：</w:t>
      </w:r>
    </w:p>
    <w:p w14:paraId="7BB1F616">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（1）供应商的姓名或者名称、地址、邮编、联系人及联系电话；</w:t>
      </w:r>
    </w:p>
    <w:p w14:paraId="17004ECC">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（2）质疑项目的名称、编号；</w:t>
      </w:r>
    </w:p>
    <w:p w14:paraId="4A5F6D0D">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（3）具体、明确的质疑事项和与质疑事项相关的请求；</w:t>
      </w:r>
    </w:p>
    <w:p w14:paraId="411C690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（4）事实依据；</w:t>
      </w:r>
    </w:p>
    <w:p w14:paraId="27FCD87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（5）必要的法律依据；</w:t>
      </w:r>
    </w:p>
    <w:p w14:paraId="307926F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（6）提出质疑的日期。</w:t>
      </w:r>
    </w:p>
    <w:p w14:paraId="6099B66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18"/>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供应商为自然人的，应当由本人签字；供应商为法人或者其他组织的，应当由法定代表人、主要负责人，或者其委托代理人签字或者盖章，并加盖公章。</w:t>
      </w:r>
    </w:p>
    <w:p w14:paraId="0AF00A3A">
      <w:pPr>
        <w:pStyle w:val="29"/>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napToGrid w:val="0"/>
          <w:color w:val="000000"/>
          <w:spacing w:val="0"/>
          <w:kern w:val="0"/>
          <w:sz w:val="24"/>
          <w:szCs w:val="24"/>
          <w:lang w:val="en-US" w:eastAsia="en-US" w:bidi="ar-SA"/>
        </w:rPr>
      </w:pPr>
      <w:r>
        <w:rPr>
          <w:rFonts w:hint="eastAsia" w:ascii="宋体" w:hAnsi="宋体" w:eastAsia="宋体" w:cs="宋体"/>
          <w:snapToGrid w:val="0"/>
          <w:color w:val="000000"/>
          <w:spacing w:val="0"/>
          <w:kern w:val="0"/>
          <w:sz w:val="24"/>
          <w:szCs w:val="24"/>
          <w:lang w:val="en-US" w:eastAsia="en-US" w:bidi="ar-SA"/>
        </w:rPr>
        <w:t>38.4 采购人、采购代理机构认为供应商质疑不成立，或者成立但未对中标结果构成影响的，继续开展采购活动；认为供应商质疑成立且影响或者可能影响中标结果的，按照下列情况处理：</w:t>
      </w:r>
    </w:p>
    <w:p w14:paraId="4203313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（1）对招标文件提出的质疑，依法通过澄清或者修改可以继续开展采购活动的，澄清或者修改招标文件后继续开展采购活动；否则应当修改招标文件后重新开展采购活动。</w:t>
      </w:r>
    </w:p>
    <w:p w14:paraId="2F8E5519">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9"/>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（2）对采购过程、中标结果提出的质疑，合格供应商符合法定数量时，可以从合格的中标候选人中另行确定中标供应商的，应当依法另行确定中标供应商；否则应当重新开展采购活动。</w:t>
      </w:r>
    </w:p>
    <w:p w14:paraId="314A12F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18"/>
        <w:textAlignment w:val="baseline"/>
        <w:rPr>
          <w:rFonts w:hint="eastAsia" w:ascii="宋体" w:hAnsi="宋体" w:eastAsia="宋体" w:cs="宋体"/>
          <w:spacing w:val="0"/>
          <w:sz w:val="24"/>
          <w:szCs w:val="24"/>
        </w:rPr>
      </w:pPr>
      <w:r>
        <w:rPr>
          <w:rFonts w:hint="eastAsia" w:ascii="宋体" w:hAnsi="宋体" w:eastAsia="宋体" w:cs="宋体"/>
          <w:spacing w:val="0"/>
          <w:sz w:val="24"/>
          <w:szCs w:val="24"/>
        </w:rPr>
        <w:t>质疑答复导致中标结果改变的，采购人或者采购代理机构应当将有关情况书面报告本级财政部门。</w:t>
      </w:r>
    </w:p>
    <w:p w14:paraId="0F019F34">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sz w:val="20"/>
          <w:szCs w:val="20"/>
        </w:rPr>
      </w:pPr>
      <w:r>
        <w:rPr>
          <w:rFonts w:hint="eastAsia" w:ascii="宋体" w:hAnsi="宋体" w:eastAsia="宋体" w:cs="宋体"/>
          <w:spacing w:val="0"/>
          <w:sz w:val="24"/>
          <w:szCs w:val="24"/>
        </w:rPr>
        <w:t>38.5 质疑供应商对采购人、采购代理机构的答复不满意，或者采购人、采购代理机构未在规定时间内作出答复的，可以在答复期满后 15 个工作日内向《政府采购质疑和投诉办法》（财政部令第 94 号）第六条规定的财政部门提起投诉（投诉书格式后附）。</w:t>
      </w:r>
    </w:p>
    <w:p w14:paraId="6E717F1B">
      <w:pPr>
        <w:pStyle w:val="11"/>
        <w:spacing w:before="275" w:line="225" w:lineRule="auto"/>
        <w:ind w:left="3415"/>
        <w:outlineLvl w:val="1"/>
        <w:rPr>
          <w:sz w:val="31"/>
          <w:szCs w:val="31"/>
        </w:rPr>
      </w:pPr>
      <w:bookmarkStart w:id="94" w:name="bookmark16"/>
      <w:bookmarkEnd w:id="94"/>
      <w:bookmarkStart w:id="95" w:name="_Toc8225"/>
      <w:r>
        <w:rPr>
          <w:b/>
          <w:bCs/>
          <w:spacing w:val="4"/>
          <w:sz w:val="31"/>
          <w:szCs w:val="31"/>
        </w:rPr>
        <w:t>八、其他事项</w:t>
      </w:r>
      <w:bookmarkEnd w:id="95"/>
    </w:p>
    <w:p w14:paraId="7BA40C8F">
      <w:pPr>
        <w:spacing w:line="253" w:lineRule="auto"/>
        <w:rPr>
          <w:rFonts w:ascii="Arial"/>
          <w:sz w:val="21"/>
        </w:rPr>
      </w:pPr>
    </w:p>
    <w:p w14:paraId="6B96F6C2">
      <w:pPr>
        <w:spacing w:line="253" w:lineRule="auto"/>
        <w:rPr>
          <w:rFonts w:ascii="Arial"/>
          <w:sz w:val="21"/>
        </w:rPr>
      </w:pPr>
    </w:p>
    <w:p w14:paraId="1DE8E5CE">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spacing w:val="0"/>
          <w:sz w:val="24"/>
          <w:szCs w:val="24"/>
        </w:rPr>
      </w:pPr>
      <w:bookmarkStart w:id="96" w:name="_Toc13989"/>
      <w:r>
        <w:rPr>
          <w:b/>
          <w:bCs/>
          <w:spacing w:val="0"/>
          <w:sz w:val="24"/>
          <w:szCs w:val="24"/>
        </w:rPr>
        <w:t>39.代理服务费</w:t>
      </w:r>
      <w:bookmarkEnd w:id="96"/>
    </w:p>
    <w:p w14:paraId="085CE262">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spacing w:val="0"/>
          <w:sz w:val="24"/>
          <w:szCs w:val="24"/>
        </w:rPr>
      </w:pPr>
      <w:r>
        <w:rPr>
          <w:spacing w:val="0"/>
          <w:sz w:val="24"/>
          <w:szCs w:val="24"/>
        </w:rPr>
        <w:t>39.1 代理服务收取标准及缴费账户详见“投标人须知前附表 ”，投标人为联合体的，可以由联合体中的一方或者多方共同交纳代理服务费。</w:t>
      </w:r>
    </w:p>
    <w:p w14:paraId="33D69BA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rightChars="0"/>
        <w:textAlignment w:val="baseline"/>
        <w:outlineLvl w:val="3"/>
        <w:rPr>
          <w:spacing w:val="0"/>
          <w:sz w:val="24"/>
          <w:szCs w:val="24"/>
        </w:rPr>
      </w:pPr>
      <w:r>
        <w:rPr>
          <w:spacing w:val="0"/>
          <w:sz w:val="24"/>
          <w:szCs w:val="24"/>
        </w:rPr>
        <w:t>39.2 代理服务收费标准：详见“投标人须知前附表 ”。</w:t>
      </w:r>
    </w:p>
    <w:p w14:paraId="54E0335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outlineLvl w:val="2"/>
        <w:rPr>
          <w:spacing w:val="0"/>
          <w:sz w:val="24"/>
          <w:szCs w:val="24"/>
        </w:rPr>
      </w:pPr>
      <w:bookmarkStart w:id="97" w:name="_Toc9900"/>
      <w:r>
        <w:rPr>
          <w:b/>
          <w:bCs/>
          <w:spacing w:val="0"/>
          <w:sz w:val="24"/>
          <w:szCs w:val="24"/>
        </w:rPr>
        <w:t>40.需要补充的其他内容</w:t>
      </w:r>
      <w:bookmarkEnd w:id="97"/>
    </w:p>
    <w:p w14:paraId="607C116B">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spacing w:val="0"/>
          <w:sz w:val="24"/>
          <w:szCs w:val="24"/>
        </w:rPr>
      </w:pPr>
      <w:r>
        <w:rPr>
          <w:spacing w:val="0"/>
          <w:sz w:val="24"/>
          <w:szCs w:val="24"/>
        </w:rPr>
        <w:t>40.1 本招标文件解释规则详见“投标人须知前附表 ”。</w:t>
      </w:r>
    </w:p>
    <w:p w14:paraId="76E30BB8">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spacing w:val="0"/>
          <w:sz w:val="24"/>
          <w:szCs w:val="24"/>
        </w:rPr>
      </w:pPr>
      <w:r>
        <w:rPr>
          <w:spacing w:val="0"/>
          <w:sz w:val="24"/>
          <w:szCs w:val="24"/>
        </w:rPr>
        <w:t>40.2 其他事项详见“投标人须知前附表 ”。</w:t>
      </w:r>
    </w:p>
    <w:p w14:paraId="1CE39DD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spacing w:val="0"/>
          <w:sz w:val="24"/>
          <w:szCs w:val="24"/>
        </w:rPr>
      </w:pPr>
      <w:r>
        <w:rPr>
          <w:spacing w:val="0"/>
          <w:sz w:val="24"/>
          <w:szCs w:val="24"/>
        </w:rPr>
        <w:t>40.3 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1A0C663F">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5"/>
        <w:textAlignment w:val="baseline"/>
        <w:rPr>
          <w:spacing w:val="0"/>
          <w:sz w:val="24"/>
          <w:szCs w:val="24"/>
        </w:rPr>
      </w:pPr>
      <w:r>
        <w:rPr>
          <w:spacing w:val="0"/>
          <w:sz w:val="24"/>
          <w:szCs w:val="24"/>
        </w:rPr>
        <w:t>（1）在货物采购项目中，货物由中小企业制造，即货物由中小企业生产且使用该中小企业商号或者注册商标，不对其中涉及的工程承建商和服务的承接商作出要求；</w:t>
      </w:r>
    </w:p>
    <w:p w14:paraId="58E9A5D5">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0"/>
        <w:textAlignment w:val="baseline"/>
        <w:rPr>
          <w:spacing w:val="0"/>
          <w:sz w:val="24"/>
          <w:szCs w:val="24"/>
        </w:rPr>
      </w:pPr>
      <w:r>
        <w:rPr>
          <w:spacing w:val="0"/>
          <w:sz w:val="24"/>
          <w:szCs w:val="24"/>
        </w:rPr>
        <w:t>（2）在工程采购项目中，工程由中小企业承建，即工程施工单位为中小企业，不对其中涉及的货物的制造商和服务的承接商作出要求；</w:t>
      </w:r>
    </w:p>
    <w:p w14:paraId="5905D5B1">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9"/>
        <w:textAlignment w:val="baseline"/>
        <w:rPr>
          <w:spacing w:val="0"/>
          <w:sz w:val="24"/>
          <w:szCs w:val="24"/>
        </w:rPr>
      </w:pPr>
      <w:r>
        <w:rPr>
          <w:spacing w:val="0"/>
          <w:sz w:val="24"/>
          <w:szCs w:val="24"/>
        </w:rPr>
        <w:t>（3）在服务采购项目中，服务由中小企业承接，即提供服务的人员为中小企业依照《中华人民共和国劳动合同法》订立劳动合同的从业人员，不对其中涉及的货物的制造商和工程承建商作出要求。</w:t>
      </w:r>
    </w:p>
    <w:p w14:paraId="44293B23">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15"/>
        <w:jc w:val="both"/>
        <w:textAlignment w:val="baseline"/>
        <w:rPr>
          <w:spacing w:val="0"/>
          <w:sz w:val="24"/>
          <w:szCs w:val="24"/>
        </w:rPr>
      </w:pPr>
      <w:r>
        <w:rPr>
          <w:spacing w:val="0"/>
          <w:sz w:val="24"/>
          <w:szCs w:val="24"/>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1B8AB3B0">
      <w:pPr>
        <w:pStyle w:val="11"/>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18"/>
        <w:textAlignment w:val="baseline"/>
        <w:rPr>
          <w:sz w:val="20"/>
          <w:szCs w:val="20"/>
        </w:rPr>
      </w:pPr>
      <w:r>
        <w:rPr>
          <w:spacing w:val="0"/>
          <w:sz w:val="24"/>
          <w:szCs w:val="24"/>
        </w:rPr>
        <w:t>依据本招标文件规定享受扶持政策获得政府采购合同的，小微企业不得将合同分包给大中型企业，中型企业不得将合同分包给大型企业。</w:t>
      </w:r>
    </w:p>
    <w:p w14:paraId="3141BF4D">
      <w:pPr>
        <w:spacing w:line="378" w:lineRule="auto"/>
        <w:rPr>
          <w:sz w:val="20"/>
          <w:szCs w:val="20"/>
        </w:rPr>
      </w:pPr>
    </w:p>
    <w:p w14:paraId="3274069A">
      <w:pPr>
        <w:rPr>
          <w:rFonts w:hint="eastAsia" w:hAnsi="宋体"/>
          <w:b/>
          <w:color w:val="auto"/>
          <w:sz w:val="24"/>
          <w:szCs w:val="24"/>
          <w:highlight w:val="none"/>
        </w:rPr>
      </w:pPr>
      <w:r>
        <w:rPr>
          <w:rFonts w:hint="eastAsia" w:hAnsi="宋体"/>
          <w:b/>
          <w:color w:val="auto"/>
          <w:sz w:val="24"/>
          <w:szCs w:val="24"/>
          <w:highlight w:val="none"/>
        </w:rPr>
        <w:br w:type="page"/>
      </w:r>
    </w:p>
    <w:p w14:paraId="0FF5F4B4">
      <w:pPr>
        <w:pStyle w:val="15"/>
        <w:snapToGrid w:val="0"/>
        <w:rPr>
          <w:rFonts w:hint="eastAsia" w:hAnsi="宋体"/>
          <w:b/>
          <w:color w:val="auto"/>
          <w:sz w:val="24"/>
          <w:szCs w:val="24"/>
          <w:highlight w:val="none"/>
        </w:rPr>
      </w:pPr>
      <w:r>
        <w:rPr>
          <w:rFonts w:hint="eastAsia" w:hAnsi="宋体"/>
          <w:b/>
          <w:color w:val="auto"/>
          <w:sz w:val="24"/>
          <w:szCs w:val="24"/>
          <w:highlight w:val="none"/>
        </w:rPr>
        <w:t>附表1：</w:t>
      </w:r>
    </w:p>
    <w:p w14:paraId="40A0EA91">
      <w:pPr>
        <w:spacing w:line="460" w:lineRule="exact"/>
        <w:jc w:val="center"/>
        <w:rPr>
          <w:rFonts w:hint="eastAsia" w:ascii="宋体" w:hAnsi="宋体"/>
          <w:color w:val="auto"/>
          <w:sz w:val="32"/>
          <w:szCs w:val="32"/>
          <w:highlight w:val="none"/>
        </w:rPr>
      </w:pPr>
      <w:r>
        <w:rPr>
          <w:rFonts w:hint="eastAsia" w:ascii="宋体" w:hAnsi="宋体" w:cs="仿宋"/>
          <w:b/>
          <w:bCs/>
          <w:color w:val="auto"/>
          <w:sz w:val="32"/>
          <w:szCs w:val="32"/>
          <w:highlight w:val="none"/>
        </w:rPr>
        <w:t>质疑函（格式）</w:t>
      </w:r>
    </w:p>
    <w:p w14:paraId="1549B5C4">
      <w:pPr>
        <w:pStyle w:val="15"/>
        <w:snapToGrid w:val="0"/>
        <w:spacing w:line="360" w:lineRule="exact"/>
        <w:ind w:firstLine="400" w:firstLineChars="200"/>
        <w:rPr>
          <w:rFonts w:hAnsi="宋体"/>
          <w:b/>
          <w:bCs/>
          <w:color w:val="auto"/>
          <w:highlight w:val="none"/>
        </w:rPr>
      </w:pPr>
      <w:r>
        <w:rPr>
          <w:rFonts w:hint="eastAsia" w:hAnsi="宋体"/>
          <w:b/>
          <w:bCs/>
          <w:color w:val="auto"/>
          <w:highlight w:val="none"/>
        </w:rPr>
        <w:t>一、质疑供应商基本信息：</w:t>
      </w:r>
    </w:p>
    <w:p w14:paraId="41E4D740">
      <w:pPr>
        <w:pStyle w:val="15"/>
        <w:snapToGrid w:val="0"/>
        <w:spacing w:line="360" w:lineRule="exact"/>
        <w:ind w:firstLine="400" w:firstLineChars="200"/>
        <w:rPr>
          <w:rFonts w:hint="eastAsia" w:hAnsi="宋体"/>
          <w:bCs/>
          <w:color w:val="auto"/>
          <w:highlight w:val="none"/>
          <w:u w:val="single"/>
        </w:rPr>
      </w:pPr>
      <w:r>
        <w:rPr>
          <w:rFonts w:hint="eastAsia" w:hAnsi="宋体"/>
          <w:bCs/>
          <w:color w:val="auto"/>
          <w:highlight w:val="none"/>
        </w:rPr>
        <w:t>质疑供应商：</w:t>
      </w:r>
      <w:r>
        <w:rPr>
          <w:rFonts w:hint="eastAsia" w:hAnsi="宋体"/>
          <w:bCs/>
          <w:color w:val="auto"/>
          <w:highlight w:val="none"/>
          <w:u w:val="single"/>
        </w:rPr>
        <w:t xml:space="preserve">                                       </w:t>
      </w:r>
    </w:p>
    <w:p w14:paraId="28616D78">
      <w:pPr>
        <w:pStyle w:val="15"/>
        <w:snapToGrid w:val="0"/>
        <w:spacing w:line="360" w:lineRule="exact"/>
        <w:ind w:firstLine="40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254C810E">
      <w:pPr>
        <w:pStyle w:val="15"/>
        <w:snapToGrid w:val="0"/>
        <w:spacing w:line="360" w:lineRule="exact"/>
        <w:ind w:firstLine="400" w:firstLineChars="200"/>
        <w:rPr>
          <w:rFonts w:hint="eastAsia" w:hAnsi="宋体"/>
          <w:bCs/>
          <w:color w:val="auto"/>
          <w:highlight w:val="none"/>
        </w:rPr>
      </w:pPr>
      <w:r>
        <w:rPr>
          <w:rFonts w:hAnsi="宋体"/>
          <w:bCs/>
          <w:color w:val="auto"/>
          <w:highlight w:val="none"/>
        </w:rPr>
        <w:t>联系人</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联系电话</w:t>
      </w:r>
      <w:r>
        <w:rPr>
          <w:rFonts w:hint="eastAsia" w:hAnsi="宋体"/>
          <w:bCs/>
          <w:color w:val="auto"/>
          <w:highlight w:val="none"/>
        </w:rPr>
        <w:t>：</w:t>
      </w:r>
      <w:r>
        <w:rPr>
          <w:rFonts w:hint="eastAsia" w:hAnsi="宋体"/>
          <w:bCs/>
          <w:color w:val="auto"/>
          <w:highlight w:val="none"/>
          <w:u w:val="single"/>
        </w:rPr>
        <w:t xml:space="preserve">                 </w:t>
      </w:r>
    </w:p>
    <w:p w14:paraId="29794077">
      <w:pPr>
        <w:pStyle w:val="15"/>
        <w:snapToGrid w:val="0"/>
        <w:spacing w:line="360" w:lineRule="exact"/>
        <w:ind w:firstLine="400" w:firstLineChars="200"/>
        <w:rPr>
          <w:rFonts w:hint="eastAsia" w:hAnsi="宋体"/>
          <w:bCs/>
          <w:color w:val="auto"/>
          <w:highlight w:val="none"/>
        </w:rPr>
      </w:pPr>
      <w:r>
        <w:rPr>
          <w:rFonts w:hint="eastAsia" w:hAnsi="宋体"/>
          <w:bCs/>
          <w:color w:val="auto"/>
          <w:highlight w:val="none"/>
        </w:rPr>
        <w:t>授权代表：</w:t>
      </w:r>
      <w:r>
        <w:rPr>
          <w:rFonts w:hint="eastAsia" w:hAnsi="宋体"/>
          <w:bCs/>
          <w:color w:val="auto"/>
          <w:highlight w:val="none"/>
          <w:u w:val="single"/>
        </w:rPr>
        <w:t xml:space="preserve">                      </w:t>
      </w:r>
    </w:p>
    <w:p w14:paraId="6F6AC21A">
      <w:pPr>
        <w:pStyle w:val="15"/>
        <w:snapToGrid w:val="0"/>
        <w:spacing w:line="360" w:lineRule="exact"/>
        <w:ind w:firstLine="400" w:firstLineChars="200"/>
        <w:rPr>
          <w:rFonts w:hint="eastAsia" w:hAnsi="宋体"/>
          <w:bCs/>
          <w:color w:val="auto"/>
          <w:highlight w:val="none"/>
          <w:u w:val="single"/>
        </w:rPr>
      </w:pP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218CC487">
      <w:pPr>
        <w:pStyle w:val="15"/>
        <w:snapToGrid w:val="0"/>
        <w:spacing w:line="360" w:lineRule="exact"/>
        <w:ind w:firstLine="40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5E168C60">
      <w:pPr>
        <w:pStyle w:val="15"/>
        <w:snapToGrid w:val="0"/>
        <w:spacing w:line="360" w:lineRule="exact"/>
        <w:ind w:firstLine="400" w:firstLineChars="200"/>
        <w:rPr>
          <w:rFonts w:hint="eastAsia" w:hAnsi="宋体"/>
          <w:b/>
          <w:bCs/>
          <w:color w:val="auto"/>
          <w:highlight w:val="none"/>
        </w:rPr>
      </w:pPr>
      <w:r>
        <w:rPr>
          <w:rFonts w:hint="eastAsia" w:hAnsi="宋体"/>
          <w:b/>
          <w:bCs/>
          <w:color w:val="auto"/>
          <w:highlight w:val="none"/>
        </w:rPr>
        <w:t>二、质疑项目基本情况：</w:t>
      </w:r>
    </w:p>
    <w:p w14:paraId="7CBE9067">
      <w:pPr>
        <w:pStyle w:val="15"/>
        <w:spacing w:line="360" w:lineRule="exact"/>
        <w:ind w:left="25" w:leftChars="12" w:firstLine="394" w:firstLineChars="197"/>
        <w:rPr>
          <w:rFonts w:hint="eastAsia" w:hAnsi="宋体"/>
          <w:color w:val="auto"/>
          <w:szCs w:val="21"/>
          <w:highlight w:val="none"/>
        </w:rPr>
      </w:pPr>
      <w:r>
        <w:rPr>
          <w:rFonts w:hint="eastAsia" w:hAnsi="宋体"/>
          <w:bCs/>
          <w:color w:val="auto"/>
          <w:highlight w:val="none"/>
        </w:rPr>
        <w:t>质疑</w:t>
      </w:r>
      <w:r>
        <w:rPr>
          <w:rFonts w:hint="eastAsia" w:hAnsi="宋体"/>
          <w:color w:val="auto"/>
          <w:szCs w:val="21"/>
          <w:highlight w:val="none"/>
        </w:rPr>
        <w:t>项目的名称：</w:t>
      </w:r>
      <w:r>
        <w:rPr>
          <w:rFonts w:hint="eastAsia" w:hAnsi="宋体"/>
          <w:bCs/>
          <w:color w:val="auto"/>
          <w:highlight w:val="none"/>
          <w:u w:val="single"/>
        </w:rPr>
        <w:t xml:space="preserve">                                     </w:t>
      </w:r>
    </w:p>
    <w:p w14:paraId="60BA6C61">
      <w:pPr>
        <w:pStyle w:val="15"/>
        <w:spacing w:line="360" w:lineRule="exact"/>
        <w:ind w:left="25" w:leftChars="12" w:firstLine="394" w:firstLineChars="197"/>
        <w:rPr>
          <w:rFonts w:hint="eastAsia" w:hAnsi="宋体"/>
          <w:color w:val="auto"/>
          <w:szCs w:val="21"/>
          <w:highlight w:val="none"/>
        </w:rPr>
      </w:pPr>
      <w:r>
        <w:rPr>
          <w:rFonts w:hint="eastAsia" w:hAnsi="宋体"/>
          <w:bCs/>
          <w:color w:val="auto"/>
          <w:highlight w:val="none"/>
        </w:rPr>
        <w:t>质疑</w:t>
      </w:r>
      <w:r>
        <w:rPr>
          <w:rFonts w:hint="eastAsia" w:hAnsi="宋体"/>
          <w:color w:val="auto"/>
          <w:szCs w:val="21"/>
          <w:highlight w:val="none"/>
        </w:rPr>
        <w:t>项目的编号：</w:t>
      </w:r>
      <w:r>
        <w:rPr>
          <w:rFonts w:hint="eastAsia" w:hAnsi="宋体"/>
          <w:bCs/>
          <w:color w:val="auto"/>
          <w:highlight w:val="none"/>
          <w:u w:val="single"/>
        </w:rPr>
        <w:t xml:space="preserve">                               </w:t>
      </w:r>
      <w:r>
        <w:rPr>
          <w:rFonts w:hint="eastAsia" w:hAnsi="宋体"/>
          <w:bCs/>
          <w:color w:val="auto"/>
          <w:highlight w:val="none"/>
        </w:rPr>
        <w:t>包号：</w:t>
      </w:r>
      <w:r>
        <w:rPr>
          <w:rFonts w:hint="eastAsia" w:hAnsi="宋体"/>
          <w:bCs/>
          <w:color w:val="auto"/>
          <w:highlight w:val="none"/>
          <w:u w:val="single"/>
        </w:rPr>
        <w:t xml:space="preserve">                            </w:t>
      </w:r>
    </w:p>
    <w:p w14:paraId="324E3F60">
      <w:pPr>
        <w:pStyle w:val="15"/>
        <w:spacing w:line="360" w:lineRule="exact"/>
        <w:ind w:left="25" w:leftChars="12" w:firstLine="394" w:firstLineChars="197"/>
        <w:rPr>
          <w:rFonts w:hint="eastAsia" w:hAnsi="宋体"/>
          <w:bCs/>
          <w:color w:val="auto"/>
          <w:highlight w:val="none"/>
          <w:u w:val="single"/>
        </w:rPr>
      </w:pPr>
      <w:r>
        <w:rPr>
          <w:rFonts w:hint="eastAsia" w:hAnsi="宋体"/>
          <w:color w:val="auto"/>
          <w:szCs w:val="21"/>
          <w:highlight w:val="none"/>
        </w:rPr>
        <w:t>采购人名称：</w:t>
      </w:r>
      <w:r>
        <w:rPr>
          <w:rFonts w:hint="eastAsia" w:hAnsi="宋体"/>
          <w:bCs/>
          <w:color w:val="auto"/>
          <w:highlight w:val="none"/>
          <w:u w:val="single"/>
        </w:rPr>
        <w:t xml:space="preserve">                                         </w:t>
      </w:r>
    </w:p>
    <w:p w14:paraId="78FC646B">
      <w:pPr>
        <w:pStyle w:val="15"/>
        <w:spacing w:line="360" w:lineRule="exact"/>
        <w:ind w:left="25" w:leftChars="12" w:firstLine="394" w:firstLineChars="197"/>
        <w:rPr>
          <w:rFonts w:hint="eastAsia" w:hAnsi="宋体"/>
          <w:color w:val="auto"/>
          <w:szCs w:val="21"/>
          <w:highlight w:val="none"/>
          <w:u w:val="single"/>
        </w:rPr>
      </w:pPr>
      <w:r>
        <w:rPr>
          <w:rFonts w:hint="eastAsia" w:hAnsi="宋体"/>
          <w:color w:val="auto"/>
          <w:szCs w:val="21"/>
          <w:highlight w:val="none"/>
        </w:rPr>
        <w:t>采购文件获取日期：</w:t>
      </w:r>
      <w:r>
        <w:rPr>
          <w:rFonts w:hint="eastAsia" w:hAnsi="宋体"/>
          <w:color w:val="auto"/>
          <w:szCs w:val="21"/>
          <w:highlight w:val="none"/>
          <w:u w:val="single"/>
        </w:rPr>
        <w:t xml:space="preserve">                                   </w:t>
      </w:r>
    </w:p>
    <w:p w14:paraId="790D74E3">
      <w:pPr>
        <w:pStyle w:val="15"/>
        <w:spacing w:line="360" w:lineRule="exact"/>
        <w:ind w:left="25" w:leftChars="12" w:firstLine="392" w:firstLineChars="196"/>
        <w:rPr>
          <w:rFonts w:hint="eastAsia" w:hAnsi="宋体"/>
          <w:b/>
          <w:color w:val="auto"/>
          <w:szCs w:val="21"/>
          <w:highlight w:val="none"/>
        </w:rPr>
      </w:pPr>
      <w:r>
        <w:rPr>
          <w:rFonts w:hint="eastAsia" w:hAnsi="宋体"/>
          <w:b/>
          <w:color w:val="auto"/>
          <w:szCs w:val="21"/>
          <w:highlight w:val="none"/>
        </w:rPr>
        <w:t>三、质疑事项具体内容</w:t>
      </w:r>
    </w:p>
    <w:p w14:paraId="5775DE5E">
      <w:pPr>
        <w:pStyle w:val="15"/>
        <w:spacing w:line="360" w:lineRule="exact"/>
        <w:ind w:left="25" w:leftChars="12" w:firstLine="394" w:firstLineChars="197"/>
        <w:rPr>
          <w:rFonts w:hint="eastAsia" w:hAnsi="宋体"/>
          <w:color w:val="auto"/>
          <w:szCs w:val="21"/>
          <w:highlight w:val="none"/>
        </w:rPr>
      </w:pPr>
      <w:r>
        <w:rPr>
          <w:rFonts w:hint="eastAsia" w:hAnsi="宋体"/>
          <w:color w:val="auto"/>
          <w:szCs w:val="21"/>
          <w:highlight w:val="none"/>
        </w:rPr>
        <w:t>质疑事项1：</w:t>
      </w:r>
      <w:r>
        <w:rPr>
          <w:rFonts w:hint="eastAsia" w:hAnsi="宋体"/>
          <w:bCs/>
          <w:color w:val="auto"/>
          <w:highlight w:val="none"/>
          <w:u w:val="single"/>
        </w:rPr>
        <w:t xml:space="preserve">                                                                    </w:t>
      </w:r>
    </w:p>
    <w:p w14:paraId="0A73E6DC">
      <w:pPr>
        <w:pStyle w:val="15"/>
        <w:spacing w:line="360" w:lineRule="exact"/>
        <w:ind w:left="25" w:leftChars="12" w:firstLine="394" w:firstLineChars="197"/>
        <w:rPr>
          <w:rFonts w:hint="eastAsia" w:hAnsi="宋体"/>
          <w:color w:val="auto"/>
          <w:szCs w:val="21"/>
          <w:highlight w:val="none"/>
        </w:rPr>
      </w:pPr>
      <w:r>
        <w:rPr>
          <w:rFonts w:hint="eastAsia" w:hAnsi="宋体"/>
          <w:color w:val="auto"/>
          <w:szCs w:val="21"/>
          <w:highlight w:val="none"/>
        </w:rPr>
        <w:t>事实依据：</w:t>
      </w:r>
      <w:r>
        <w:rPr>
          <w:rFonts w:hint="eastAsia" w:hAnsi="宋体"/>
          <w:bCs/>
          <w:color w:val="auto"/>
          <w:highlight w:val="none"/>
          <w:u w:val="single"/>
        </w:rPr>
        <w:t xml:space="preserve">                                                                      </w:t>
      </w:r>
    </w:p>
    <w:p w14:paraId="2CB7FE59">
      <w:pPr>
        <w:pStyle w:val="15"/>
        <w:spacing w:line="360" w:lineRule="exact"/>
        <w:ind w:left="25" w:leftChars="12" w:firstLine="394" w:firstLineChars="197"/>
        <w:rPr>
          <w:rFonts w:hint="eastAsia" w:hAnsi="宋体"/>
          <w:color w:val="auto"/>
          <w:szCs w:val="21"/>
          <w:highlight w:val="none"/>
        </w:rPr>
      </w:pPr>
      <w:r>
        <w:rPr>
          <w:rFonts w:hint="eastAsia" w:hAnsi="宋体"/>
          <w:color w:val="auto"/>
          <w:szCs w:val="21"/>
          <w:highlight w:val="none"/>
        </w:rPr>
        <w:t>法律依据：</w:t>
      </w:r>
      <w:r>
        <w:rPr>
          <w:rFonts w:hint="eastAsia" w:hAnsi="宋体"/>
          <w:color w:val="auto"/>
          <w:szCs w:val="21"/>
          <w:highlight w:val="none"/>
          <w:u w:val="single"/>
        </w:rPr>
        <w:t xml:space="preserve">                                                        </w:t>
      </w:r>
      <w:r>
        <w:rPr>
          <w:rFonts w:hint="eastAsia" w:hAnsi="宋体"/>
          <w:bCs/>
          <w:color w:val="auto"/>
          <w:highlight w:val="none"/>
          <w:u w:val="single"/>
        </w:rPr>
        <w:t xml:space="preserve">              </w:t>
      </w:r>
    </w:p>
    <w:p w14:paraId="7F137065">
      <w:pPr>
        <w:pStyle w:val="15"/>
        <w:spacing w:line="360" w:lineRule="exact"/>
        <w:ind w:left="25" w:leftChars="12" w:firstLine="394" w:firstLineChars="197"/>
        <w:rPr>
          <w:rFonts w:hint="eastAsia" w:hAnsi="宋体"/>
          <w:color w:val="auto"/>
          <w:szCs w:val="21"/>
          <w:highlight w:val="none"/>
        </w:rPr>
      </w:pPr>
      <w:r>
        <w:rPr>
          <w:rFonts w:hint="eastAsia" w:hAnsi="宋体"/>
          <w:color w:val="auto"/>
          <w:szCs w:val="21"/>
          <w:highlight w:val="none"/>
        </w:rPr>
        <w:t>质疑事项2</w:t>
      </w:r>
    </w:p>
    <w:p w14:paraId="565EA3B6">
      <w:pPr>
        <w:pStyle w:val="15"/>
        <w:spacing w:line="360" w:lineRule="exact"/>
        <w:ind w:left="25" w:leftChars="12" w:firstLine="394" w:firstLineChars="197"/>
        <w:rPr>
          <w:rFonts w:hint="eastAsia" w:hAnsi="宋体"/>
          <w:color w:val="auto"/>
          <w:szCs w:val="21"/>
          <w:highlight w:val="none"/>
        </w:rPr>
      </w:pPr>
      <w:r>
        <w:rPr>
          <w:rFonts w:hAnsi="宋体"/>
          <w:color w:val="auto"/>
          <w:szCs w:val="21"/>
          <w:highlight w:val="none"/>
        </w:rPr>
        <w:t>……</w:t>
      </w:r>
    </w:p>
    <w:p w14:paraId="3B3F9787">
      <w:pPr>
        <w:pStyle w:val="15"/>
        <w:spacing w:line="360" w:lineRule="exact"/>
        <w:ind w:left="25" w:leftChars="12" w:firstLine="394" w:firstLineChars="197"/>
        <w:rPr>
          <w:rFonts w:hint="eastAsia" w:hAnsi="宋体"/>
          <w:color w:val="auto"/>
          <w:szCs w:val="21"/>
          <w:highlight w:val="none"/>
        </w:rPr>
      </w:pPr>
      <w:r>
        <w:rPr>
          <w:rFonts w:hint="eastAsia" w:hAnsi="宋体"/>
          <w:color w:val="auto"/>
          <w:szCs w:val="21"/>
          <w:highlight w:val="none"/>
        </w:rPr>
        <w:t>四、与质疑事项相关的质疑请求：</w:t>
      </w:r>
    </w:p>
    <w:p w14:paraId="3F938D84">
      <w:pPr>
        <w:pStyle w:val="15"/>
        <w:spacing w:line="360" w:lineRule="exact"/>
        <w:ind w:left="25" w:leftChars="12" w:firstLine="394" w:firstLineChars="197"/>
        <w:rPr>
          <w:rFonts w:hint="eastAsia" w:hAnsi="宋体"/>
          <w:color w:val="auto"/>
          <w:szCs w:val="21"/>
          <w:highlight w:val="none"/>
        </w:rPr>
      </w:pPr>
      <w:r>
        <w:rPr>
          <w:rFonts w:hint="eastAsia" w:hAnsi="宋体"/>
          <w:color w:val="auto"/>
          <w:szCs w:val="21"/>
          <w:highlight w:val="none"/>
        </w:rPr>
        <w:t>请求：</w:t>
      </w:r>
      <w:r>
        <w:rPr>
          <w:rFonts w:hint="eastAsia" w:hAnsi="宋体"/>
          <w:bCs/>
          <w:color w:val="auto"/>
          <w:highlight w:val="none"/>
          <w:u w:val="single"/>
        </w:rPr>
        <w:t xml:space="preserve">                                                                </w:t>
      </w:r>
    </w:p>
    <w:p w14:paraId="3411857B">
      <w:pPr>
        <w:pStyle w:val="15"/>
        <w:spacing w:line="360" w:lineRule="exact"/>
        <w:ind w:left="25" w:leftChars="12" w:firstLine="294" w:firstLineChars="147"/>
        <w:rPr>
          <w:rFonts w:hint="eastAsia" w:hAnsi="宋体"/>
          <w:color w:val="auto"/>
          <w:szCs w:val="21"/>
          <w:highlight w:val="none"/>
        </w:rPr>
      </w:pPr>
    </w:p>
    <w:p w14:paraId="4CC4FB87">
      <w:pPr>
        <w:pStyle w:val="15"/>
        <w:spacing w:line="360" w:lineRule="exact"/>
        <w:ind w:left="25" w:leftChars="12" w:firstLine="394" w:firstLineChars="197"/>
        <w:rPr>
          <w:rFonts w:hint="eastAsia" w:hAnsi="宋体"/>
          <w:color w:val="auto"/>
          <w:szCs w:val="21"/>
          <w:highlight w:val="none"/>
        </w:rPr>
      </w:pPr>
      <w:r>
        <w:rPr>
          <w:rFonts w:hint="eastAsia" w:hAnsi="宋体"/>
          <w:color w:val="auto"/>
          <w:szCs w:val="21"/>
          <w:highlight w:val="none"/>
        </w:rPr>
        <w:t>签字（签章）：                                       公章：</w:t>
      </w:r>
    </w:p>
    <w:p w14:paraId="1E2263D3">
      <w:pPr>
        <w:pStyle w:val="15"/>
        <w:spacing w:line="360" w:lineRule="exact"/>
        <w:ind w:left="25" w:leftChars="12" w:firstLine="294" w:firstLineChars="147"/>
        <w:rPr>
          <w:rFonts w:hint="eastAsia" w:hAnsi="宋体"/>
          <w:color w:val="auto"/>
          <w:szCs w:val="21"/>
          <w:highlight w:val="none"/>
        </w:rPr>
      </w:pPr>
    </w:p>
    <w:p w14:paraId="24E0E2DE">
      <w:pPr>
        <w:pStyle w:val="15"/>
        <w:spacing w:line="360" w:lineRule="exact"/>
        <w:ind w:left="25" w:leftChars="12" w:firstLine="394" w:firstLineChars="197"/>
        <w:rPr>
          <w:rFonts w:hint="eastAsia" w:hAnsi="宋体"/>
          <w:color w:val="auto"/>
          <w:szCs w:val="21"/>
          <w:highlight w:val="none"/>
        </w:rPr>
      </w:pPr>
      <w:r>
        <w:rPr>
          <w:rFonts w:hint="eastAsia" w:hAnsi="宋体"/>
          <w:color w:val="auto"/>
          <w:szCs w:val="21"/>
          <w:highlight w:val="none"/>
        </w:rPr>
        <w:t>日期：</w:t>
      </w:r>
    </w:p>
    <w:p w14:paraId="0235E2BE">
      <w:pPr>
        <w:pStyle w:val="15"/>
        <w:snapToGrid w:val="0"/>
        <w:spacing w:line="340" w:lineRule="exact"/>
        <w:rPr>
          <w:rFonts w:hint="eastAsia" w:hAnsi="宋体"/>
          <w:b/>
          <w:color w:val="auto"/>
          <w:szCs w:val="21"/>
          <w:highlight w:val="none"/>
        </w:rPr>
      </w:pPr>
    </w:p>
    <w:p w14:paraId="0A50AD17">
      <w:pPr>
        <w:pStyle w:val="15"/>
        <w:snapToGrid w:val="0"/>
        <w:spacing w:line="340" w:lineRule="exact"/>
        <w:rPr>
          <w:rFonts w:hint="eastAsia" w:hAnsi="宋体"/>
          <w:b/>
          <w:color w:val="auto"/>
          <w:szCs w:val="21"/>
          <w:highlight w:val="none"/>
        </w:rPr>
      </w:pPr>
      <w:r>
        <w:rPr>
          <w:rFonts w:hint="eastAsia" w:hAnsi="宋体"/>
          <w:b/>
          <w:color w:val="auto"/>
          <w:szCs w:val="21"/>
          <w:highlight w:val="none"/>
        </w:rPr>
        <w:t>说明：</w:t>
      </w:r>
    </w:p>
    <w:p w14:paraId="72B4A25B">
      <w:pPr>
        <w:pStyle w:val="15"/>
        <w:spacing w:line="340" w:lineRule="exact"/>
        <w:ind w:left="25" w:leftChars="12" w:firstLine="294" w:firstLineChars="147"/>
        <w:rPr>
          <w:rFonts w:hint="eastAsia" w:hAnsi="宋体"/>
          <w:b/>
          <w:bCs/>
          <w:color w:val="auto"/>
          <w:highlight w:val="none"/>
        </w:rPr>
      </w:pPr>
      <w:r>
        <w:rPr>
          <w:rFonts w:hint="eastAsia" w:hAnsi="宋体"/>
          <w:b/>
          <w:color w:val="auto"/>
          <w:szCs w:val="21"/>
          <w:highlight w:val="none"/>
        </w:rPr>
        <w:t>1.供应商提出质疑时，应提交质疑函和必要的证明材料</w:t>
      </w:r>
      <w:r>
        <w:rPr>
          <w:rFonts w:hint="eastAsia" w:hAnsi="宋体"/>
          <w:b/>
          <w:bCs/>
          <w:color w:val="auto"/>
          <w:highlight w:val="none"/>
        </w:rPr>
        <w:t>。</w:t>
      </w:r>
    </w:p>
    <w:p w14:paraId="62D27C83">
      <w:pPr>
        <w:pStyle w:val="15"/>
        <w:spacing w:line="340" w:lineRule="exact"/>
        <w:ind w:left="25" w:leftChars="12" w:firstLine="294" w:firstLineChars="147"/>
        <w:rPr>
          <w:rFonts w:hint="eastAsia" w:hAnsi="宋体"/>
          <w:b/>
          <w:color w:val="auto"/>
          <w:szCs w:val="21"/>
          <w:highlight w:val="none"/>
        </w:rPr>
      </w:pPr>
      <w:r>
        <w:rPr>
          <w:rFonts w:hint="eastAsia" w:hAnsi="宋体"/>
          <w:b/>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4A9F345">
      <w:pPr>
        <w:pStyle w:val="15"/>
        <w:spacing w:line="340" w:lineRule="exact"/>
        <w:ind w:left="25" w:leftChars="12" w:firstLine="294" w:firstLineChars="147"/>
        <w:rPr>
          <w:rFonts w:hint="eastAsia" w:hAnsi="宋体"/>
          <w:b/>
          <w:color w:val="auto"/>
          <w:szCs w:val="21"/>
          <w:highlight w:val="none"/>
        </w:rPr>
      </w:pPr>
      <w:r>
        <w:rPr>
          <w:rFonts w:hint="eastAsia" w:hAnsi="宋体"/>
          <w:b/>
          <w:color w:val="auto"/>
          <w:szCs w:val="21"/>
          <w:highlight w:val="none"/>
        </w:rPr>
        <w:t>3.质疑供应商若对项目的某一分包进行质疑，质疑函中应列明具体分包号。</w:t>
      </w:r>
    </w:p>
    <w:p w14:paraId="0979A46E">
      <w:pPr>
        <w:pStyle w:val="15"/>
        <w:spacing w:line="340" w:lineRule="exact"/>
        <w:ind w:left="25" w:leftChars="12" w:firstLine="294" w:firstLineChars="147"/>
        <w:rPr>
          <w:rFonts w:hint="eastAsia" w:hAnsi="宋体"/>
          <w:b/>
          <w:color w:val="auto"/>
          <w:szCs w:val="21"/>
          <w:highlight w:val="none"/>
        </w:rPr>
      </w:pPr>
      <w:r>
        <w:rPr>
          <w:rFonts w:hint="eastAsia" w:hAnsi="宋体"/>
          <w:b/>
          <w:color w:val="auto"/>
          <w:szCs w:val="21"/>
          <w:highlight w:val="none"/>
        </w:rPr>
        <w:t>4.质疑函的质疑事项应具体、明确，并有必要的事实依据和法律依据。</w:t>
      </w:r>
    </w:p>
    <w:p w14:paraId="3D7E811B">
      <w:pPr>
        <w:pStyle w:val="15"/>
        <w:spacing w:line="340" w:lineRule="exact"/>
        <w:ind w:left="25" w:leftChars="12" w:firstLine="294" w:firstLineChars="147"/>
        <w:rPr>
          <w:rFonts w:hint="eastAsia" w:hAnsi="宋体"/>
          <w:b/>
          <w:color w:val="auto"/>
          <w:szCs w:val="21"/>
          <w:highlight w:val="none"/>
        </w:rPr>
      </w:pPr>
      <w:r>
        <w:rPr>
          <w:rFonts w:hint="eastAsia" w:hAnsi="宋体"/>
          <w:b/>
          <w:color w:val="auto"/>
          <w:szCs w:val="21"/>
          <w:highlight w:val="none"/>
        </w:rPr>
        <w:t>5.质疑函的质疑请求应与质疑事项相关。</w:t>
      </w:r>
    </w:p>
    <w:p w14:paraId="66147A78">
      <w:pPr>
        <w:pStyle w:val="15"/>
        <w:spacing w:line="340" w:lineRule="exact"/>
        <w:ind w:left="25" w:leftChars="12" w:firstLine="294" w:firstLineChars="147"/>
        <w:rPr>
          <w:rFonts w:hint="eastAsia" w:hAnsi="宋体"/>
          <w:b/>
          <w:color w:val="auto"/>
          <w:szCs w:val="21"/>
          <w:highlight w:val="none"/>
        </w:rPr>
      </w:pPr>
      <w:r>
        <w:rPr>
          <w:rFonts w:hint="eastAsia" w:hAnsi="宋体"/>
          <w:b/>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071D1D45">
      <w:pPr>
        <w:pStyle w:val="15"/>
        <w:snapToGrid w:val="0"/>
        <w:rPr>
          <w:rFonts w:hint="eastAsia"/>
          <w:b/>
          <w:color w:val="auto"/>
          <w:sz w:val="24"/>
          <w:szCs w:val="24"/>
          <w:highlight w:val="none"/>
        </w:rPr>
      </w:pPr>
    </w:p>
    <w:p w14:paraId="71363946">
      <w:pPr>
        <w:pStyle w:val="15"/>
        <w:snapToGrid w:val="0"/>
        <w:rPr>
          <w:rFonts w:hint="eastAsia"/>
          <w:b/>
          <w:color w:val="auto"/>
          <w:sz w:val="24"/>
          <w:szCs w:val="24"/>
          <w:highlight w:val="none"/>
        </w:rPr>
      </w:pPr>
    </w:p>
    <w:p w14:paraId="17575BA5">
      <w:pPr>
        <w:pStyle w:val="15"/>
        <w:snapToGrid w:val="0"/>
        <w:rPr>
          <w:rFonts w:hint="eastAsia" w:hAnsi="宋体"/>
          <w:b/>
          <w:color w:val="auto"/>
          <w:sz w:val="24"/>
          <w:szCs w:val="24"/>
          <w:highlight w:val="none"/>
        </w:rPr>
      </w:pPr>
      <w:r>
        <w:rPr>
          <w:rFonts w:hint="eastAsia"/>
          <w:b/>
          <w:color w:val="auto"/>
          <w:sz w:val="24"/>
          <w:szCs w:val="24"/>
          <w:highlight w:val="none"/>
        </w:rPr>
        <w:t>附表2：</w:t>
      </w:r>
    </w:p>
    <w:p w14:paraId="09126349">
      <w:pPr>
        <w:spacing w:line="46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投诉书（格式）</w:t>
      </w:r>
    </w:p>
    <w:p w14:paraId="61CE48D1">
      <w:pPr>
        <w:pStyle w:val="15"/>
        <w:snapToGrid w:val="0"/>
        <w:spacing w:line="400" w:lineRule="exact"/>
        <w:ind w:firstLine="400" w:firstLineChars="200"/>
        <w:rPr>
          <w:rFonts w:hAnsi="宋体"/>
          <w:b/>
          <w:bCs/>
          <w:color w:val="auto"/>
          <w:highlight w:val="none"/>
        </w:rPr>
      </w:pPr>
      <w:r>
        <w:rPr>
          <w:rFonts w:hint="eastAsia" w:hAnsi="宋体"/>
          <w:b/>
          <w:bCs/>
          <w:color w:val="auto"/>
          <w:highlight w:val="none"/>
        </w:rPr>
        <w:t>一、投诉相关主体基本情况：</w:t>
      </w:r>
    </w:p>
    <w:p w14:paraId="52BA3B27">
      <w:pPr>
        <w:pStyle w:val="15"/>
        <w:snapToGrid w:val="0"/>
        <w:spacing w:line="400" w:lineRule="exact"/>
        <w:ind w:firstLine="400" w:firstLineChars="200"/>
        <w:rPr>
          <w:rFonts w:hint="eastAsia" w:hAnsi="宋体"/>
          <w:bCs/>
          <w:color w:val="auto"/>
          <w:highlight w:val="none"/>
          <w:u w:val="single"/>
        </w:rPr>
      </w:pPr>
      <w:r>
        <w:rPr>
          <w:rFonts w:hint="eastAsia" w:hAnsi="宋体"/>
          <w:bCs/>
          <w:color w:val="auto"/>
          <w:highlight w:val="none"/>
        </w:rPr>
        <w:t>投标人：</w:t>
      </w:r>
      <w:r>
        <w:rPr>
          <w:rFonts w:hint="eastAsia" w:hAnsi="宋体"/>
          <w:bCs/>
          <w:color w:val="auto"/>
          <w:highlight w:val="none"/>
          <w:u w:val="single"/>
        </w:rPr>
        <w:t xml:space="preserve">                                                                          </w:t>
      </w:r>
    </w:p>
    <w:p w14:paraId="3E31F718">
      <w:pPr>
        <w:pStyle w:val="15"/>
        <w:snapToGrid w:val="0"/>
        <w:spacing w:line="400" w:lineRule="exact"/>
        <w:ind w:firstLine="40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49D56D4A">
      <w:pPr>
        <w:pStyle w:val="15"/>
        <w:snapToGrid w:val="0"/>
        <w:spacing w:line="400" w:lineRule="exact"/>
        <w:ind w:firstLine="400" w:firstLineChars="200"/>
        <w:rPr>
          <w:rFonts w:hint="eastAsia" w:hAnsi="宋体"/>
          <w:bCs/>
          <w:color w:val="auto"/>
          <w:highlight w:val="none"/>
          <w:u w:val="single"/>
        </w:rPr>
      </w:pPr>
      <w:r>
        <w:rPr>
          <w:rFonts w:hint="eastAsia" w:hAnsi="宋体"/>
          <w:bCs/>
          <w:color w:val="auto"/>
          <w:highlight w:val="none"/>
        </w:rPr>
        <w:t>法定代表人/主要负责人：</w:t>
      </w:r>
      <w:r>
        <w:rPr>
          <w:rFonts w:hint="eastAsia" w:hAnsi="宋体"/>
          <w:bCs/>
          <w:color w:val="auto"/>
          <w:highlight w:val="none"/>
          <w:u w:val="single"/>
        </w:rPr>
        <w:t xml:space="preserve">                                                           </w:t>
      </w:r>
    </w:p>
    <w:p w14:paraId="18DF98B4">
      <w:pPr>
        <w:pStyle w:val="15"/>
        <w:snapToGrid w:val="0"/>
        <w:spacing w:line="400" w:lineRule="exact"/>
        <w:ind w:firstLine="400" w:firstLineChars="200"/>
        <w:rPr>
          <w:rFonts w:hint="eastAsia" w:hAnsi="宋体"/>
          <w:bCs/>
          <w:color w:val="auto"/>
          <w:highlight w:val="none"/>
        </w:rPr>
      </w:pPr>
      <w:r>
        <w:rPr>
          <w:rFonts w:hAnsi="宋体"/>
          <w:bCs/>
          <w:color w:val="auto"/>
          <w:highlight w:val="none"/>
        </w:rPr>
        <w:t>联系电话</w:t>
      </w:r>
      <w:r>
        <w:rPr>
          <w:rFonts w:hint="eastAsia" w:hAnsi="宋体"/>
          <w:bCs/>
          <w:color w:val="auto"/>
          <w:highlight w:val="none"/>
        </w:rPr>
        <w:t>：</w:t>
      </w:r>
      <w:r>
        <w:rPr>
          <w:rFonts w:hint="eastAsia" w:hAnsi="宋体"/>
          <w:bCs/>
          <w:color w:val="auto"/>
          <w:highlight w:val="none"/>
          <w:u w:val="single"/>
        </w:rPr>
        <w:t xml:space="preserve">                                         </w:t>
      </w:r>
    </w:p>
    <w:p w14:paraId="775572CD">
      <w:pPr>
        <w:pStyle w:val="15"/>
        <w:snapToGrid w:val="0"/>
        <w:spacing w:line="400" w:lineRule="exact"/>
        <w:ind w:firstLine="400" w:firstLineChars="200"/>
        <w:rPr>
          <w:rFonts w:hint="eastAsia" w:hAnsi="宋体"/>
          <w:bCs/>
          <w:color w:val="auto"/>
          <w:highlight w:val="none"/>
          <w:u w:val="single"/>
        </w:rPr>
      </w:pPr>
      <w:r>
        <w:rPr>
          <w:rFonts w:hint="eastAsia" w:hAnsi="宋体"/>
          <w:bCs/>
          <w:color w:val="auto"/>
          <w:highlight w:val="none"/>
        </w:rPr>
        <w:t>授权代表：</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6573FC34">
      <w:pPr>
        <w:pStyle w:val="15"/>
        <w:snapToGrid w:val="0"/>
        <w:spacing w:line="400" w:lineRule="exact"/>
        <w:ind w:firstLine="400" w:firstLineChars="200"/>
        <w:rPr>
          <w:rFonts w:hint="eastAsia" w:hAnsi="宋体"/>
          <w:bCs/>
          <w:color w:val="auto"/>
          <w:highlight w:val="non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72AD96F3">
      <w:pPr>
        <w:pStyle w:val="15"/>
        <w:snapToGrid w:val="0"/>
        <w:spacing w:line="400" w:lineRule="exact"/>
        <w:ind w:firstLine="400" w:firstLineChars="200"/>
        <w:rPr>
          <w:rFonts w:hint="eastAsia" w:hAnsi="宋体"/>
          <w:bCs/>
          <w:color w:val="auto"/>
          <w:highlight w:val="none"/>
          <w:u w:val="single"/>
        </w:rPr>
      </w:pPr>
      <w:r>
        <w:rPr>
          <w:rFonts w:hint="eastAsia" w:hAnsi="宋体"/>
          <w:bCs/>
          <w:color w:val="auto"/>
          <w:highlight w:val="none"/>
        </w:rPr>
        <w:t>被投诉人1：</w:t>
      </w:r>
      <w:r>
        <w:rPr>
          <w:rFonts w:hint="eastAsia" w:hAnsi="宋体"/>
          <w:bCs/>
          <w:color w:val="auto"/>
          <w:highlight w:val="none"/>
          <w:u w:val="single"/>
        </w:rPr>
        <w:t xml:space="preserve">                                       </w:t>
      </w:r>
    </w:p>
    <w:p w14:paraId="321D8711">
      <w:pPr>
        <w:pStyle w:val="15"/>
        <w:snapToGrid w:val="0"/>
        <w:spacing w:line="400" w:lineRule="exact"/>
        <w:ind w:firstLine="400" w:firstLineChars="200"/>
        <w:rPr>
          <w:rFonts w:hint="eastAsia" w:hAnsi="宋体"/>
          <w:bCs/>
          <w:color w:val="auto"/>
          <w:highlight w:val="none"/>
        </w:rPr>
      </w:pPr>
      <w:r>
        <w:rPr>
          <w:rFonts w:hint="eastAsia" w:hAnsi="宋体"/>
          <w:bCs/>
          <w:color w:val="auto"/>
          <w:highlight w:val="none"/>
        </w:rPr>
        <w:t>地址：</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1BCE2882">
      <w:pPr>
        <w:pStyle w:val="15"/>
        <w:snapToGrid w:val="0"/>
        <w:spacing w:line="400" w:lineRule="exact"/>
        <w:ind w:firstLine="400" w:firstLineChars="200"/>
        <w:rPr>
          <w:rFonts w:hint="eastAsia" w:hAnsi="宋体"/>
          <w:bCs/>
          <w:color w:val="auto"/>
          <w:highlight w:val="none"/>
          <w:u w:val="single"/>
        </w:rPr>
      </w:pPr>
      <w:r>
        <w:rPr>
          <w:rFonts w:hint="eastAsia" w:hAnsi="宋体"/>
          <w:bCs/>
          <w:color w:val="auto"/>
          <w:highlight w:val="none"/>
        </w:rPr>
        <w:t>联系人：</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2CCEF30F">
      <w:pPr>
        <w:pStyle w:val="15"/>
        <w:snapToGrid w:val="0"/>
        <w:spacing w:line="400" w:lineRule="exact"/>
        <w:ind w:firstLine="400" w:firstLineChars="200"/>
        <w:rPr>
          <w:rFonts w:hint="eastAsia" w:hAnsi="宋体"/>
          <w:bCs/>
          <w:color w:val="auto"/>
          <w:highlight w:val="none"/>
        </w:rPr>
      </w:pPr>
      <w:r>
        <w:rPr>
          <w:rFonts w:hint="eastAsia" w:hAnsi="宋体"/>
          <w:bCs/>
          <w:color w:val="auto"/>
          <w:highlight w:val="none"/>
        </w:rPr>
        <w:t>被投诉人2：</w:t>
      </w:r>
    </w:p>
    <w:p w14:paraId="5BDD10BB">
      <w:pPr>
        <w:pStyle w:val="15"/>
        <w:snapToGrid w:val="0"/>
        <w:spacing w:line="400" w:lineRule="exact"/>
        <w:ind w:firstLine="400" w:firstLineChars="200"/>
        <w:rPr>
          <w:rFonts w:hint="eastAsia" w:hAnsi="宋体"/>
          <w:bCs/>
          <w:color w:val="auto"/>
          <w:highlight w:val="none"/>
        </w:rPr>
      </w:pPr>
      <w:r>
        <w:rPr>
          <w:rFonts w:hAnsi="宋体"/>
          <w:bCs/>
          <w:color w:val="auto"/>
          <w:highlight w:val="none"/>
        </w:rPr>
        <w:t>……</w:t>
      </w:r>
    </w:p>
    <w:p w14:paraId="4DBA35BE">
      <w:pPr>
        <w:pStyle w:val="15"/>
        <w:snapToGrid w:val="0"/>
        <w:spacing w:line="400" w:lineRule="exact"/>
        <w:ind w:firstLine="400" w:firstLineChars="200"/>
        <w:rPr>
          <w:rFonts w:hint="eastAsia" w:hAnsi="宋体"/>
          <w:bCs/>
          <w:color w:val="auto"/>
          <w:highlight w:val="none"/>
          <w:u w:val="single"/>
        </w:rPr>
      </w:pPr>
      <w:r>
        <w:rPr>
          <w:rFonts w:hint="eastAsia" w:hAnsi="宋体"/>
          <w:bCs/>
          <w:color w:val="auto"/>
          <w:highlight w:val="none"/>
        </w:rPr>
        <w:t>相关供应商：</w:t>
      </w:r>
      <w:r>
        <w:rPr>
          <w:rFonts w:hint="eastAsia" w:hAnsi="宋体"/>
          <w:bCs/>
          <w:color w:val="auto"/>
          <w:highlight w:val="none"/>
          <w:u w:val="single"/>
        </w:rPr>
        <w:t xml:space="preserve">                                                                      </w:t>
      </w:r>
    </w:p>
    <w:p w14:paraId="51737E6C">
      <w:pPr>
        <w:pStyle w:val="15"/>
        <w:snapToGrid w:val="0"/>
        <w:spacing w:line="400" w:lineRule="exact"/>
        <w:ind w:firstLine="400" w:firstLineChars="200"/>
        <w:rPr>
          <w:rFonts w:hint="eastAsia" w:hAnsi="宋体"/>
          <w:bCs/>
          <w:color w:val="auto"/>
          <w:highlight w:val="none"/>
          <w:u w:val="single"/>
        </w:rPr>
      </w:pPr>
      <w:r>
        <w:rPr>
          <w:rFonts w:hAnsi="宋体"/>
          <w:bCs/>
          <w:color w:val="auto"/>
          <w:highlight w:val="none"/>
        </w:rPr>
        <w:t>地址</w:t>
      </w:r>
      <w:r>
        <w:rPr>
          <w:rFonts w:hint="eastAsia" w:hAnsi="宋体"/>
          <w:bCs/>
          <w:color w:val="auto"/>
          <w:highlight w:val="none"/>
        </w:rPr>
        <w:t>：</w:t>
      </w:r>
      <w:r>
        <w:rPr>
          <w:rFonts w:hint="eastAsia" w:hAnsi="宋体"/>
          <w:bCs/>
          <w:color w:val="auto"/>
          <w:highlight w:val="none"/>
          <w:u w:val="single"/>
        </w:rPr>
        <w:t xml:space="preserve">                                              </w:t>
      </w:r>
      <w:r>
        <w:rPr>
          <w:rFonts w:hAnsi="宋体"/>
          <w:bCs/>
          <w:color w:val="auto"/>
          <w:highlight w:val="none"/>
        </w:rPr>
        <w:t>邮编</w:t>
      </w:r>
      <w:r>
        <w:rPr>
          <w:rFonts w:hint="eastAsia" w:hAnsi="宋体"/>
          <w:bCs/>
          <w:color w:val="auto"/>
          <w:highlight w:val="none"/>
        </w:rPr>
        <w:t>：</w:t>
      </w:r>
      <w:r>
        <w:rPr>
          <w:rFonts w:hint="eastAsia" w:hAnsi="宋体"/>
          <w:bCs/>
          <w:color w:val="auto"/>
          <w:highlight w:val="none"/>
          <w:u w:val="single"/>
        </w:rPr>
        <w:t xml:space="preserve">                        </w:t>
      </w:r>
    </w:p>
    <w:p w14:paraId="0B28D29E">
      <w:pPr>
        <w:pStyle w:val="15"/>
        <w:snapToGrid w:val="0"/>
        <w:spacing w:line="400" w:lineRule="exact"/>
        <w:ind w:firstLine="400" w:firstLineChars="200"/>
        <w:rPr>
          <w:rFonts w:hint="eastAsia" w:hAnsi="宋体"/>
          <w:bCs/>
          <w:color w:val="auto"/>
          <w:highlight w:val="none"/>
        </w:rPr>
      </w:pPr>
      <w:r>
        <w:rPr>
          <w:rFonts w:hint="eastAsia" w:hAnsi="宋体"/>
          <w:bCs/>
          <w:color w:val="auto"/>
          <w:highlight w:val="none"/>
        </w:rPr>
        <w:t>联系人：</w:t>
      </w:r>
      <w:r>
        <w:rPr>
          <w:rFonts w:hint="eastAsia" w:hAnsi="宋体"/>
          <w:bCs/>
          <w:color w:val="auto"/>
          <w:highlight w:val="none"/>
          <w:u w:val="single"/>
        </w:rPr>
        <w:t xml:space="preserve">                                            </w:t>
      </w:r>
      <w:r>
        <w:rPr>
          <w:rFonts w:hAnsi="宋体"/>
          <w:bCs/>
          <w:color w:val="auto"/>
          <w:highlight w:val="none"/>
        </w:rPr>
        <w:t>联系</w:t>
      </w:r>
      <w:r>
        <w:rPr>
          <w:rFonts w:hint="eastAsia" w:hAnsi="宋体"/>
          <w:bCs/>
          <w:color w:val="auto"/>
          <w:highlight w:val="none"/>
        </w:rPr>
        <w:t>电话：</w:t>
      </w:r>
      <w:r>
        <w:rPr>
          <w:rFonts w:hint="eastAsia" w:hAnsi="宋体"/>
          <w:bCs/>
          <w:color w:val="auto"/>
          <w:highlight w:val="none"/>
          <w:u w:val="single"/>
        </w:rPr>
        <w:t xml:space="preserve">                    </w:t>
      </w:r>
    </w:p>
    <w:p w14:paraId="2DC22410">
      <w:pPr>
        <w:pStyle w:val="15"/>
        <w:snapToGrid w:val="0"/>
        <w:spacing w:line="400" w:lineRule="exact"/>
        <w:ind w:firstLine="400" w:firstLineChars="200"/>
        <w:rPr>
          <w:rFonts w:hint="eastAsia" w:hAnsi="宋体"/>
          <w:b/>
          <w:bCs/>
          <w:color w:val="auto"/>
          <w:highlight w:val="none"/>
        </w:rPr>
      </w:pPr>
      <w:r>
        <w:rPr>
          <w:rFonts w:hint="eastAsia" w:hAnsi="宋体"/>
          <w:b/>
          <w:bCs/>
          <w:color w:val="auto"/>
          <w:highlight w:val="none"/>
        </w:rPr>
        <w:t>二、投诉项目基本情况：</w:t>
      </w:r>
    </w:p>
    <w:p w14:paraId="0F914A8C">
      <w:pPr>
        <w:pStyle w:val="15"/>
        <w:spacing w:line="400" w:lineRule="exact"/>
        <w:ind w:left="25" w:leftChars="12" w:firstLine="394" w:firstLineChars="197"/>
        <w:rPr>
          <w:rFonts w:hint="eastAsia" w:hAnsi="宋体"/>
          <w:color w:val="auto"/>
          <w:szCs w:val="21"/>
          <w:highlight w:val="none"/>
        </w:rPr>
      </w:pPr>
      <w:r>
        <w:rPr>
          <w:rFonts w:hint="eastAsia" w:hAnsi="宋体"/>
          <w:bCs/>
          <w:color w:val="auto"/>
          <w:highlight w:val="none"/>
        </w:rPr>
        <w:t>采购</w:t>
      </w:r>
      <w:r>
        <w:rPr>
          <w:rFonts w:hint="eastAsia" w:hAnsi="宋体"/>
          <w:color w:val="auto"/>
          <w:szCs w:val="21"/>
          <w:highlight w:val="none"/>
        </w:rPr>
        <w:t>项目的名称：</w:t>
      </w:r>
      <w:r>
        <w:rPr>
          <w:rFonts w:hint="eastAsia" w:hAnsi="宋体"/>
          <w:bCs/>
          <w:color w:val="auto"/>
          <w:highlight w:val="none"/>
          <w:u w:val="single"/>
        </w:rPr>
        <w:t xml:space="preserve">                                                                  </w:t>
      </w:r>
    </w:p>
    <w:p w14:paraId="2726F2AD">
      <w:pPr>
        <w:pStyle w:val="15"/>
        <w:spacing w:line="400" w:lineRule="exact"/>
        <w:ind w:left="25" w:leftChars="12" w:firstLine="394" w:firstLineChars="197"/>
        <w:rPr>
          <w:rFonts w:hint="eastAsia" w:hAnsi="宋体"/>
          <w:color w:val="auto"/>
          <w:szCs w:val="21"/>
          <w:highlight w:val="none"/>
        </w:rPr>
      </w:pPr>
      <w:r>
        <w:rPr>
          <w:rFonts w:hint="eastAsia" w:hAnsi="宋体"/>
          <w:bCs/>
          <w:color w:val="auto"/>
          <w:highlight w:val="none"/>
        </w:rPr>
        <w:t>采购</w:t>
      </w:r>
      <w:r>
        <w:rPr>
          <w:rFonts w:hint="eastAsia" w:hAnsi="宋体"/>
          <w:color w:val="auto"/>
          <w:szCs w:val="21"/>
          <w:highlight w:val="none"/>
        </w:rPr>
        <w:t>项目的编号：</w:t>
      </w:r>
      <w:r>
        <w:rPr>
          <w:rFonts w:hint="eastAsia" w:hAnsi="宋体"/>
          <w:bCs/>
          <w:color w:val="auto"/>
          <w:highlight w:val="none"/>
          <w:u w:val="single"/>
        </w:rPr>
        <w:t xml:space="preserve">                                    </w:t>
      </w:r>
      <w:r>
        <w:rPr>
          <w:rFonts w:hint="eastAsia" w:hAnsi="宋体"/>
          <w:bCs/>
          <w:color w:val="auto"/>
          <w:highlight w:val="none"/>
        </w:rPr>
        <w:t>包号：</w:t>
      </w:r>
      <w:r>
        <w:rPr>
          <w:rFonts w:hint="eastAsia" w:hAnsi="宋体"/>
          <w:bCs/>
          <w:color w:val="auto"/>
          <w:highlight w:val="none"/>
          <w:u w:val="single"/>
        </w:rPr>
        <w:t xml:space="preserve">                        </w:t>
      </w:r>
    </w:p>
    <w:p w14:paraId="7B8CD570">
      <w:pPr>
        <w:pStyle w:val="15"/>
        <w:spacing w:line="400" w:lineRule="exact"/>
        <w:ind w:left="25" w:leftChars="12" w:firstLine="394" w:firstLineChars="197"/>
        <w:rPr>
          <w:rFonts w:hint="eastAsia" w:hAnsi="宋体"/>
          <w:bCs/>
          <w:color w:val="auto"/>
          <w:highlight w:val="none"/>
          <w:u w:val="single"/>
        </w:rPr>
      </w:pPr>
      <w:r>
        <w:rPr>
          <w:rFonts w:hint="eastAsia" w:hAnsi="宋体"/>
          <w:color w:val="auto"/>
          <w:szCs w:val="21"/>
          <w:highlight w:val="none"/>
        </w:rPr>
        <w:t>采购人名称：</w:t>
      </w:r>
      <w:r>
        <w:rPr>
          <w:rFonts w:hint="eastAsia" w:hAnsi="宋体"/>
          <w:bCs/>
          <w:color w:val="auto"/>
          <w:highlight w:val="none"/>
          <w:u w:val="single"/>
        </w:rPr>
        <w:t xml:space="preserve">                                                                      </w:t>
      </w:r>
    </w:p>
    <w:p w14:paraId="37690260">
      <w:pPr>
        <w:pStyle w:val="15"/>
        <w:spacing w:line="400" w:lineRule="exact"/>
        <w:ind w:left="25" w:leftChars="12" w:firstLine="394" w:firstLineChars="197"/>
        <w:rPr>
          <w:rFonts w:hint="eastAsia" w:hAnsi="宋体"/>
          <w:bCs/>
          <w:color w:val="auto"/>
          <w:highlight w:val="none"/>
          <w:u w:val="single"/>
        </w:rPr>
      </w:pPr>
      <w:r>
        <w:rPr>
          <w:rFonts w:hint="eastAsia" w:hAnsi="宋体"/>
          <w:color w:val="auto"/>
          <w:szCs w:val="21"/>
          <w:highlight w:val="none"/>
        </w:rPr>
        <w:t>代理机构名称：</w:t>
      </w:r>
      <w:r>
        <w:rPr>
          <w:rFonts w:hint="eastAsia" w:hAnsi="宋体"/>
          <w:bCs/>
          <w:color w:val="auto"/>
          <w:highlight w:val="none"/>
          <w:u w:val="single"/>
        </w:rPr>
        <w:t xml:space="preserve">                                                                    </w:t>
      </w:r>
    </w:p>
    <w:p w14:paraId="3A51B5E4">
      <w:pPr>
        <w:pStyle w:val="15"/>
        <w:spacing w:line="400" w:lineRule="exact"/>
        <w:ind w:left="25" w:leftChars="12" w:firstLine="394" w:firstLineChars="197"/>
        <w:rPr>
          <w:rFonts w:hint="eastAsia" w:hAnsi="宋体"/>
          <w:bCs/>
          <w:color w:val="auto"/>
          <w:highlight w:val="none"/>
          <w:u w:val="single"/>
        </w:rPr>
      </w:pPr>
      <w:r>
        <w:rPr>
          <w:rFonts w:hint="eastAsia" w:hAnsi="宋体"/>
          <w:bCs/>
          <w:color w:val="auto"/>
          <w:highlight w:val="none"/>
        </w:rPr>
        <w:t>采购文件公告：</w:t>
      </w:r>
      <w:r>
        <w:rPr>
          <w:rFonts w:hint="eastAsia" w:hAnsi="宋体"/>
          <w:bCs/>
          <w:color w:val="auto"/>
          <w:highlight w:val="none"/>
          <w:u w:val="single"/>
        </w:rPr>
        <w:t>是/否</w:t>
      </w:r>
      <w:r>
        <w:rPr>
          <w:rFonts w:hint="eastAsia" w:hAnsi="宋体"/>
          <w:bCs/>
          <w:color w:val="auto"/>
          <w:highlight w:val="none"/>
        </w:rPr>
        <w:t>公告期限：</w:t>
      </w:r>
      <w:r>
        <w:rPr>
          <w:rFonts w:hint="eastAsia" w:hAnsi="宋体"/>
          <w:bCs/>
          <w:color w:val="auto"/>
          <w:highlight w:val="none"/>
          <w:u w:val="single"/>
        </w:rPr>
        <w:t xml:space="preserve">                                                     </w:t>
      </w:r>
    </w:p>
    <w:p w14:paraId="08D63253">
      <w:pPr>
        <w:pStyle w:val="15"/>
        <w:spacing w:line="400" w:lineRule="exact"/>
        <w:ind w:left="25" w:leftChars="12" w:firstLine="394" w:firstLineChars="197"/>
        <w:rPr>
          <w:rFonts w:hint="eastAsia" w:hAnsi="宋体"/>
          <w:b/>
          <w:color w:val="auto"/>
          <w:szCs w:val="21"/>
          <w:highlight w:val="none"/>
        </w:rPr>
      </w:pPr>
      <w:r>
        <w:rPr>
          <w:rFonts w:hint="eastAsia" w:hAnsi="宋体"/>
          <w:bCs/>
          <w:color w:val="auto"/>
          <w:highlight w:val="none"/>
        </w:rPr>
        <w:t>采购结果公告：</w:t>
      </w:r>
      <w:r>
        <w:rPr>
          <w:rFonts w:hint="eastAsia" w:hAnsi="宋体"/>
          <w:bCs/>
          <w:color w:val="auto"/>
          <w:highlight w:val="none"/>
          <w:u w:val="single"/>
        </w:rPr>
        <w:t>是/否</w:t>
      </w:r>
      <w:r>
        <w:rPr>
          <w:rFonts w:hint="eastAsia" w:hAnsi="宋体"/>
          <w:bCs/>
          <w:color w:val="auto"/>
          <w:highlight w:val="none"/>
        </w:rPr>
        <w:t>公告期限：</w:t>
      </w:r>
      <w:r>
        <w:rPr>
          <w:rFonts w:hint="eastAsia" w:hAnsi="宋体"/>
          <w:bCs/>
          <w:color w:val="auto"/>
          <w:highlight w:val="none"/>
          <w:u w:val="single"/>
        </w:rPr>
        <w:t xml:space="preserve">                                                     </w:t>
      </w:r>
    </w:p>
    <w:p w14:paraId="0E41634B">
      <w:pPr>
        <w:pStyle w:val="15"/>
        <w:spacing w:line="400" w:lineRule="exact"/>
        <w:ind w:left="25" w:leftChars="12" w:firstLine="392" w:firstLineChars="196"/>
        <w:rPr>
          <w:rFonts w:hint="eastAsia" w:hAnsi="宋体"/>
          <w:b/>
          <w:color w:val="auto"/>
          <w:szCs w:val="21"/>
          <w:highlight w:val="none"/>
        </w:rPr>
      </w:pPr>
      <w:r>
        <w:rPr>
          <w:rFonts w:hint="eastAsia" w:hAnsi="宋体"/>
          <w:b/>
          <w:color w:val="auto"/>
          <w:szCs w:val="21"/>
          <w:highlight w:val="none"/>
        </w:rPr>
        <w:t>三、质疑基本情况</w:t>
      </w:r>
    </w:p>
    <w:p w14:paraId="17CF8720">
      <w:pPr>
        <w:pStyle w:val="15"/>
        <w:spacing w:line="400" w:lineRule="exact"/>
        <w:ind w:left="25" w:leftChars="12" w:firstLine="794" w:firstLineChars="397"/>
        <w:rPr>
          <w:rFonts w:hint="eastAsia" w:hAnsi="宋体"/>
          <w:color w:val="auto"/>
          <w:szCs w:val="21"/>
          <w:highlight w:val="none"/>
        </w:rPr>
      </w:pPr>
      <w:r>
        <w:rPr>
          <w:rFonts w:hint="eastAsia" w:hAnsi="宋体"/>
          <w:color w:val="auto"/>
          <w:szCs w:val="21"/>
          <w:highlight w:val="none"/>
        </w:rPr>
        <w:t>投诉人于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日，向</w:t>
      </w:r>
      <w:r>
        <w:rPr>
          <w:rFonts w:hint="eastAsia" w:hAnsi="宋体"/>
          <w:color w:val="auto"/>
          <w:szCs w:val="21"/>
          <w:highlight w:val="none"/>
          <w:u w:val="single"/>
        </w:rPr>
        <w:t xml:space="preserve">                                </w:t>
      </w:r>
      <w:r>
        <w:rPr>
          <w:rFonts w:hint="eastAsia" w:hAnsi="宋体"/>
          <w:color w:val="auto"/>
          <w:szCs w:val="21"/>
          <w:highlight w:val="none"/>
        </w:rPr>
        <w:t>提出质疑，质疑事项为：</w:t>
      </w:r>
    </w:p>
    <w:p w14:paraId="1C5B1A9D">
      <w:pPr>
        <w:pStyle w:val="15"/>
        <w:spacing w:line="400" w:lineRule="exact"/>
        <w:rPr>
          <w:rFonts w:hint="eastAsia" w:hAnsi="宋体"/>
          <w:bCs/>
          <w:color w:val="auto"/>
          <w:highlight w:val="none"/>
          <w:u w:val="single"/>
        </w:rPr>
      </w:pPr>
      <w:r>
        <w:rPr>
          <w:rFonts w:hint="eastAsia" w:hAnsi="宋体"/>
          <w:color w:val="auto"/>
          <w:szCs w:val="21"/>
          <w:highlight w:val="none"/>
        </w:rPr>
        <w:t xml:space="preserve">    </w:t>
      </w:r>
      <w:r>
        <w:rPr>
          <w:rFonts w:hint="eastAsia" w:hAnsi="宋体"/>
          <w:bCs/>
          <w:color w:val="auto"/>
          <w:highlight w:val="none"/>
          <w:u w:val="single"/>
        </w:rPr>
        <w:t xml:space="preserve">                                                                                  </w:t>
      </w:r>
    </w:p>
    <w:p w14:paraId="2E70FAC6">
      <w:pPr>
        <w:pStyle w:val="15"/>
        <w:spacing w:line="400" w:lineRule="exact"/>
        <w:rPr>
          <w:rFonts w:hint="eastAsia" w:hAnsi="宋体"/>
          <w:bCs/>
          <w:color w:val="auto"/>
          <w:highlight w:val="none"/>
          <w:u w:val="single"/>
        </w:rPr>
      </w:pPr>
      <w:r>
        <w:rPr>
          <w:rFonts w:hint="eastAsia" w:hAnsi="宋体"/>
          <w:bCs/>
          <w:color w:val="auto"/>
          <w:highlight w:val="none"/>
        </w:rPr>
        <w:t xml:space="preserve">    </w:t>
      </w:r>
      <w:r>
        <w:rPr>
          <w:rFonts w:hint="eastAsia" w:hAnsi="宋体"/>
          <w:bCs/>
          <w:color w:val="auto"/>
          <w:highlight w:val="none"/>
          <w:u w:val="single"/>
        </w:rPr>
        <w:t xml:space="preserve">                                                                                  </w:t>
      </w:r>
    </w:p>
    <w:p w14:paraId="6C3AC6D5">
      <w:pPr>
        <w:pStyle w:val="15"/>
        <w:spacing w:line="400" w:lineRule="exact"/>
        <w:rPr>
          <w:rFonts w:hint="eastAsia" w:hAnsi="宋体"/>
          <w:color w:val="auto"/>
          <w:szCs w:val="21"/>
          <w:highlight w:val="none"/>
        </w:rPr>
      </w:pPr>
      <w:r>
        <w:rPr>
          <w:rFonts w:hint="eastAsia" w:hAnsi="宋体"/>
          <w:bCs/>
          <w:color w:val="auto"/>
          <w:highlight w:val="none"/>
        </w:rPr>
        <w:t xml:space="preserve">        </w:t>
      </w:r>
      <w:r>
        <w:rPr>
          <w:rFonts w:hint="eastAsia" w:hAnsi="宋体"/>
          <w:bCs/>
          <w:color w:val="auto"/>
          <w:highlight w:val="none"/>
          <w:u w:val="single"/>
        </w:rPr>
        <w:t>采购人/代理机构</w:t>
      </w:r>
      <w:r>
        <w:rPr>
          <w:rFonts w:hint="eastAsia" w:hAnsi="宋体"/>
          <w:bCs/>
          <w:color w:val="auto"/>
          <w:highlight w:val="none"/>
        </w:rPr>
        <w:t>于</w:t>
      </w: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日，</w:t>
      </w:r>
      <w:r>
        <w:rPr>
          <w:rFonts w:hint="eastAsia" w:hAnsi="宋体"/>
          <w:bCs/>
          <w:color w:val="auto"/>
          <w:highlight w:val="none"/>
        </w:rPr>
        <w:t xml:space="preserve">就质疑事项作出了答复/没有在法定期限内作出答复。                                                                                             </w:t>
      </w:r>
    </w:p>
    <w:p w14:paraId="4AFB2E0C">
      <w:pPr>
        <w:pStyle w:val="15"/>
        <w:spacing w:line="400" w:lineRule="exact"/>
        <w:ind w:left="25" w:leftChars="12" w:firstLine="392" w:firstLineChars="196"/>
        <w:rPr>
          <w:rFonts w:hint="eastAsia" w:hAnsi="宋体"/>
          <w:b/>
          <w:color w:val="auto"/>
          <w:szCs w:val="21"/>
          <w:highlight w:val="none"/>
        </w:rPr>
      </w:pPr>
      <w:r>
        <w:rPr>
          <w:rFonts w:hint="eastAsia" w:hAnsi="宋体"/>
          <w:b/>
          <w:color w:val="auto"/>
          <w:szCs w:val="21"/>
          <w:highlight w:val="none"/>
        </w:rPr>
        <w:t>四、投诉事项具体内容</w:t>
      </w:r>
    </w:p>
    <w:p w14:paraId="218DFA5B">
      <w:pPr>
        <w:pStyle w:val="15"/>
        <w:spacing w:line="400" w:lineRule="exact"/>
        <w:ind w:left="25" w:leftChars="12" w:firstLine="394" w:firstLineChars="197"/>
        <w:rPr>
          <w:rFonts w:hint="eastAsia" w:hAnsi="宋体"/>
          <w:bCs/>
          <w:color w:val="auto"/>
          <w:highlight w:val="none"/>
          <w:u w:val="single"/>
        </w:rPr>
      </w:pPr>
      <w:r>
        <w:rPr>
          <w:rFonts w:hint="eastAsia" w:hAnsi="宋体"/>
          <w:color w:val="auto"/>
          <w:szCs w:val="21"/>
          <w:highlight w:val="none"/>
        </w:rPr>
        <w:t>投诉事项1：</w:t>
      </w:r>
      <w:r>
        <w:rPr>
          <w:rFonts w:hint="eastAsia" w:hAnsi="宋体"/>
          <w:bCs/>
          <w:color w:val="auto"/>
          <w:highlight w:val="none"/>
          <w:u w:val="single"/>
        </w:rPr>
        <w:t xml:space="preserve">                                                                      </w:t>
      </w:r>
    </w:p>
    <w:p w14:paraId="075D3C01">
      <w:pPr>
        <w:pStyle w:val="15"/>
        <w:spacing w:line="400" w:lineRule="exact"/>
        <w:ind w:firstLine="400" w:firstLineChars="200"/>
        <w:rPr>
          <w:rFonts w:hint="eastAsia" w:hAnsi="宋体"/>
          <w:bCs/>
          <w:color w:val="auto"/>
          <w:highlight w:val="none"/>
          <w:u w:val="single"/>
        </w:rPr>
      </w:pPr>
      <w:r>
        <w:rPr>
          <w:rFonts w:hint="eastAsia" w:hAnsi="宋体"/>
          <w:bCs/>
          <w:color w:val="auto"/>
          <w:highlight w:val="none"/>
        </w:rPr>
        <w:t>事实依据：</w:t>
      </w:r>
      <w:r>
        <w:rPr>
          <w:rFonts w:hint="eastAsia" w:hAnsi="宋体"/>
          <w:color w:val="auto"/>
          <w:szCs w:val="21"/>
          <w:highlight w:val="none"/>
        </w:rPr>
        <w:t xml:space="preserve"> </w:t>
      </w:r>
      <w:r>
        <w:rPr>
          <w:rFonts w:hint="eastAsia" w:hAnsi="宋体"/>
          <w:bCs/>
          <w:color w:val="auto"/>
          <w:highlight w:val="none"/>
          <w:u w:val="single"/>
        </w:rPr>
        <w:t xml:space="preserve">                                                                       </w:t>
      </w:r>
    </w:p>
    <w:p w14:paraId="09A89137">
      <w:pPr>
        <w:pStyle w:val="15"/>
        <w:spacing w:line="400" w:lineRule="exact"/>
        <w:ind w:left="25" w:leftChars="12" w:firstLine="394" w:firstLineChars="197"/>
        <w:rPr>
          <w:rFonts w:hint="eastAsia" w:hAnsi="宋体"/>
          <w:color w:val="auto"/>
          <w:szCs w:val="21"/>
          <w:highlight w:val="none"/>
        </w:rPr>
      </w:pPr>
      <w:r>
        <w:rPr>
          <w:rFonts w:hint="eastAsia" w:hAnsi="宋体"/>
          <w:bCs/>
          <w:color w:val="auto"/>
          <w:highlight w:val="none"/>
          <w:u w:val="single"/>
        </w:rPr>
        <w:t xml:space="preserve">                                                                                  </w:t>
      </w:r>
    </w:p>
    <w:p w14:paraId="3ABDE07A">
      <w:pPr>
        <w:pStyle w:val="15"/>
        <w:spacing w:line="400" w:lineRule="exact"/>
        <w:ind w:firstLine="400" w:firstLineChars="200"/>
        <w:rPr>
          <w:rFonts w:hint="eastAsia" w:hAnsi="宋体"/>
          <w:bCs/>
          <w:color w:val="auto"/>
          <w:highlight w:val="none"/>
          <w:u w:val="single"/>
        </w:rPr>
      </w:pPr>
      <w:r>
        <w:rPr>
          <w:rFonts w:hint="eastAsia" w:hAnsi="宋体"/>
          <w:bCs/>
          <w:color w:val="auto"/>
          <w:highlight w:val="none"/>
        </w:rPr>
        <w:t>法律依据：</w:t>
      </w:r>
      <w:r>
        <w:rPr>
          <w:rFonts w:hint="eastAsia" w:hAnsi="宋体"/>
          <w:color w:val="auto"/>
          <w:szCs w:val="21"/>
          <w:highlight w:val="none"/>
        </w:rPr>
        <w:t xml:space="preserve"> </w:t>
      </w:r>
      <w:r>
        <w:rPr>
          <w:rFonts w:hint="eastAsia" w:hAnsi="宋体"/>
          <w:bCs/>
          <w:color w:val="auto"/>
          <w:highlight w:val="none"/>
          <w:u w:val="single"/>
        </w:rPr>
        <w:t xml:space="preserve">                                                                       </w:t>
      </w:r>
    </w:p>
    <w:p w14:paraId="7EBBE897">
      <w:pPr>
        <w:pStyle w:val="15"/>
        <w:spacing w:line="400" w:lineRule="exact"/>
        <w:ind w:left="25" w:leftChars="12" w:firstLine="294" w:firstLineChars="147"/>
        <w:rPr>
          <w:rFonts w:hint="eastAsia" w:hAnsi="宋体"/>
          <w:bCs/>
          <w:color w:val="auto"/>
          <w:highlight w:val="none"/>
          <w:u w:val="single"/>
        </w:rPr>
      </w:pPr>
      <w:r>
        <w:rPr>
          <w:rFonts w:hint="eastAsia" w:hAnsi="宋体"/>
          <w:bCs/>
          <w:color w:val="auto"/>
          <w:highlight w:val="none"/>
        </w:rPr>
        <w:t xml:space="preserve"> </w:t>
      </w:r>
      <w:r>
        <w:rPr>
          <w:rFonts w:hint="eastAsia" w:hAnsi="宋体"/>
          <w:bCs/>
          <w:color w:val="auto"/>
          <w:highlight w:val="none"/>
          <w:u w:val="single"/>
        </w:rPr>
        <w:t xml:space="preserve">                                                                                  </w:t>
      </w:r>
    </w:p>
    <w:p w14:paraId="6D95FAA8">
      <w:pPr>
        <w:pStyle w:val="15"/>
        <w:spacing w:line="400" w:lineRule="exact"/>
        <w:ind w:left="25" w:leftChars="12" w:firstLine="394" w:firstLineChars="197"/>
        <w:rPr>
          <w:rFonts w:hint="eastAsia" w:hAnsi="宋体"/>
          <w:bCs/>
          <w:color w:val="auto"/>
          <w:highlight w:val="none"/>
        </w:rPr>
      </w:pPr>
      <w:r>
        <w:rPr>
          <w:rFonts w:hint="eastAsia" w:hAnsi="宋体"/>
          <w:color w:val="auto"/>
          <w:szCs w:val="21"/>
          <w:highlight w:val="none"/>
        </w:rPr>
        <w:t xml:space="preserve">投诉事项2 </w:t>
      </w:r>
    </w:p>
    <w:p w14:paraId="520F504C">
      <w:pPr>
        <w:pStyle w:val="15"/>
        <w:spacing w:line="400" w:lineRule="exact"/>
        <w:ind w:left="25" w:leftChars="12" w:firstLine="394" w:firstLineChars="197"/>
        <w:rPr>
          <w:rFonts w:hint="eastAsia" w:hAnsi="宋体"/>
          <w:bCs/>
          <w:color w:val="auto"/>
          <w:highlight w:val="none"/>
        </w:rPr>
      </w:pPr>
      <w:r>
        <w:rPr>
          <w:rFonts w:hAnsi="宋体"/>
          <w:bCs/>
          <w:color w:val="auto"/>
          <w:highlight w:val="none"/>
        </w:rPr>
        <w:t>……</w:t>
      </w:r>
    </w:p>
    <w:p w14:paraId="51F4851B">
      <w:pPr>
        <w:pStyle w:val="15"/>
        <w:spacing w:line="400" w:lineRule="exact"/>
        <w:ind w:left="25" w:leftChars="12" w:firstLine="392" w:firstLineChars="196"/>
        <w:rPr>
          <w:rFonts w:hint="eastAsia" w:hAnsi="宋体"/>
          <w:b/>
          <w:color w:val="auto"/>
          <w:szCs w:val="21"/>
          <w:highlight w:val="none"/>
        </w:rPr>
      </w:pPr>
      <w:r>
        <w:rPr>
          <w:rFonts w:hint="eastAsia" w:hAnsi="宋体"/>
          <w:b/>
          <w:color w:val="auto"/>
          <w:szCs w:val="21"/>
          <w:highlight w:val="none"/>
        </w:rPr>
        <w:t>五、与投诉事项相关的投诉请求：</w:t>
      </w:r>
    </w:p>
    <w:p w14:paraId="565C0A7C">
      <w:pPr>
        <w:pStyle w:val="15"/>
        <w:spacing w:line="400" w:lineRule="exact"/>
        <w:ind w:left="25" w:leftChars="12" w:firstLine="394" w:firstLineChars="197"/>
        <w:rPr>
          <w:rFonts w:hint="eastAsia" w:hAnsi="宋体"/>
          <w:color w:val="auto"/>
          <w:szCs w:val="21"/>
          <w:highlight w:val="none"/>
        </w:rPr>
      </w:pPr>
      <w:r>
        <w:rPr>
          <w:rFonts w:hint="eastAsia" w:hAnsi="宋体"/>
          <w:color w:val="auto"/>
          <w:szCs w:val="21"/>
          <w:highlight w:val="none"/>
        </w:rPr>
        <w:t>请求：</w:t>
      </w:r>
      <w:r>
        <w:rPr>
          <w:rFonts w:hint="eastAsia" w:hAnsi="宋体"/>
          <w:bCs/>
          <w:color w:val="auto"/>
          <w:highlight w:val="none"/>
          <w:u w:val="single"/>
        </w:rPr>
        <w:t xml:space="preserve">                                                                            </w:t>
      </w:r>
    </w:p>
    <w:p w14:paraId="7391A7A3">
      <w:pPr>
        <w:pStyle w:val="15"/>
        <w:spacing w:line="400" w:lineRule="exact"/>
        <w:ind w:left="25" w:leftChars="12" w:firstLine="294" w:firstLineChars="147"/>
        <w:rPr>
          <w:rFonts w:hint="eastAsia" w:hAnsi="宋体"/>
          <w:color w:val="auto"/>
          <w:szCs w:val="21"/>
          <w:highlight w:val="none"/>
        </w:rPr>
      </w:pPr>
    </w:p>
    <w:p w14:paraId="0C1F350D">
      <w:pPr>
        <w:pStyle w:val="15"/>
        <w:spacing w:line="400" w:lineRule="exact"/>
        <w:ind w:left="25" w:leftChars="12" w:firstLine="394" w:firstLineChars="197"/>
        <w:rPr>
          <w:rFonts w:hint="eastAsia" w:hAnsi="宋体"/>
          <w:color w:val="auto"/>
          <w:szCs w:val="21"/>
          <w:highlight w:val="none"/>
        </w:rPr>
      </w:pPr>
      <w:r>
        <w:rPr>
          <w:rFonts w:hint="eastAsia" w:hAnsi="宋体"/>
          <w:color w:val="auto"/>
          <w:szCs w:val="21"/>
          <w:highlight w:val="none"/>
        </w:rPr>
        <w:t>签字（签章）：                                       公章：</w:t>
      </w:r>
    </w:p>
    <w:p w14:paraId="202AB353">
      <w:pPr>
        <w:pStyle w:val="15"/>
        <w:spacing w:line="400" w:lineRule="exact"/>
        <w:ind w:left="25" w:leftChars="12" w:firstLine="294" w:firstLineChars="147"/>
        <w:rPr>
          <w:rFonts w:hint="eastAsia" w:hAnsi="宋体"/>
          <w:color w:val="auto"/>
          <w:szCs w:val="21"/>
          <w:highlight w:val="none"/>
        </w:rPr>
      </w:pPr>
    </w:p>
    <w:p w14:paraId="21272131">
      <w:pPr>
        <w:pStyle w:val="15"/>
        <w:spacing w:line="400" w:lineRule="exact"/>
        <w:ind w:left="25" w:leftChars="12" w:firstLine="394" w:firstLineChars="197"/>
        <w:rPr>
          <w:rFonts w:hint="eastAsia" w:hAnsi="宋体"/>
          <w:color w:val="auto"/>
          <w:szCs w:val="21"/>
          <w:highlight w:val="none"/>
        </w:rPr>
      </w:pPr>
      <w:r>
        <w:rPr>
          <w:rFonts w:hint="eastAsia" w:hAnsi="宋体"/>
          <w:color w:val="auto"/>
          <w:szCs w:val="21"/>
          <w:highlight w:val="none"/>
        </w:rPr>
        <w:t>日期：</w:t>
      </w:r>
    </w:p>
    <w:p w14:paraId="166001EA">
      <w:pPr>
        <w:pStyle w:val="15"/>
        <w:spacing w:line="360" w:lineRule="exact"/>
        <w:ind w:left="25" w:leftChars="12" w:firstLine="394" w:firstLineChars="197"/>
        <w:rPr>
          <w:rFonts w:hint="eastAsia" w:hAnsi="宋体"/>
          <w:color w:val="auto"/>
          <w:szCs w:val="21"/>
          <w:highlight w:val="none"/>
        </w:rPr>
      </w:pPr>
      <w:r>
        <w:rPr>
          <w:rFonts w:hint="eastAsia" w:hAnsi="宋体"/>
          <w:bCs/>
          <w:color w:val="auto"/>
          <w:highlight w:val="none"/>
        </w:rPr>
        <w:t xml:space="preserve">                                                                                 </w:t>
      </w:r>
    </w:p>
    <w:p w14:paraId="4B2E6818">
      <w:pPr>
        <w:pStyle w:val="15"/>
        <w:snapToGrid w:val="0"/>
        <w:spacing w:line="340" w:lineRule="exact"/>
        <w:rPr>
          <w:rFonts w:hint="eastAsia" w:hAnsi="宋体"/>
          <w:b/>
          <w:color w:val="auto"/>
          <w:szCs w:val="21"/>
          <w:highlight w:val="none"/>
        </w:rPr>
      </w:pPr>
      <w:r>
        <w:rPr>
          <w:rFonts w:hint="eastAsia" w:hAnsi="宋体"/>
          <w:b/>
          <w:color w:val="auto"/>
          <w:szCs w:val="21"/>
          <w:highlight w:val="none"/>
        </w:rPr>
        <w:t>说明：</w:t>
      </w:r>
    </w:p>
    <w:p w14:paraId="05027191">
      <w:pPr>
        <w:pStyle w:val="15"/>
        <w:spacing w:line="340" w:lineRule="exact"/>
        <w:ind w:left="25" w:leftChars="12" w:firstLine="294" w:firstLineChars="147"/>
        <w:rPr>
          <w:rFonts w:hint="eastAsia" w:hAnsi="宋体"/>
          <w:b/>
          <w:bCs/>
          <w:color w:val="auto"/>
          <w:highlight w:val="none"/>
        </w:rPr>
      </w:pPr>
      <w:r>
        <w:rPr>
          <w:rFonts w:hint="eastAsia" w:hAnsi="宋体"/>
          <w:b/>
          <w:color w:val="auto"/>
          <w:szCs w:val="21"/>
          <w:highlight w:val="none"/>
        </w:rPr>
        <w:t>1.投诉人提起投诉时，应当提交投诉书和必要的证明材料，并按照被投诉人和与投诉事项有关的供应商数量提供投诉书副本。</w:t>
      </w:r>
    </w:p>
    <w:p w14:paraId="40B7C5BF">
      <w:pPr>
        <w:pStyle w:val="15"/>
        <w:spacing w:line="340" w:lineRule="exact"/>
        <w:ind w:left="25" w:leftChars="12" w:firstLine="294" w:firstLineChars="147"/>
        <w:rPr>
          <w:rFonts w:hint="eastAsia" w:hAnsi="宋体"/>
          <w:b/>
          <w:color w:val="auto"/>
          <w:szCs w:val="21"/>
          <w:highlight w:val="none"/>
        </w:rPr>
      </w:pPr>
      <w:r>
        <w:rPr>
          <w:rFonts w:hint="eastAsia" w:hAnsi="宋体"/>
          <w:b/>
          <w:color w:val="auto"/>
          <w:szCs w:val="21"/>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7AB4F0F4">
      <w:pPr>
        <w:pStyle w:val="15"/>
        <w:spacing w:line="340" w:lineRule="exact"/>
        <w:ind w:left="25" w:leftChars="12" w:firstLine="294" w:firstLineChars="147"/>
        <w:rPr>
          <w:rFonts w:hint="eastAsia" w:hAnsi="宋体"/>
          <w:b/>
          <w:color w:val="auto"/>
          <w:szCs w:val="21"/>
          <w:highlight w:val="none"/>
        </w:rPr>
      </w:pPr>
      <w:r>
        <w:rPr>
          <w:rFonts w:hint="eastAsia" w:hAnsi="宋体"/>
          <w:b/>
          <w:color w:val="auto"/>
          <w:szCs w:val="21"/>
          <w:highlight w:val="none"/>
        </w:rPr>
        <w:t>3.投诉人若对项目的某一分包进行投诉，投诉书应列明具体分包号。</w:t>
      </w:r>
    </w:p>
    <w:p w14:paraId="2F33BB7D">
      <w:pPr>
        <w:pStyle w:val="15"/>
        <w:spacing w:line="340" w:lineRule="exact"/>
        <w:ind w:left="25" w:leftChars="12" w:firstLine="294" w:firstLineChars="147"/>
        <w:rPr>
          <w:rFonts w:hint="eastAsia" w:hAnsi="宋体"/>
          <w:b/>
          <w:color w:val="auto"/>
          <w:szCs w:val="21"/>
          <w:highlight w:val="none"/>
        </w:rPr>
      </w:pPr>
      <w:r>
        <w:rPr>
          <w:rFonts w:hint="eastAsia" w:hAnsi="宋体"/>
          <w:b/>
          <w:color w:val="auto"/>
          <w:szCs w:val="21"/>
          <w:highlight w:val="none"/>
        </w:rPr>
        <w:t>4.投诉书应简要列明质疑事项，质疑函、质疑答复等作为附件材料提供。</w:t>
      </w:r>
    </w:p>
    <w:p w14:paraId="5CC34707">
      <w:pPr>
        <w:pStyle w:val="15"/>
        <w:spacing w:line="340" w:lineRule="exact"/>
        <w:ind w:left="25" w:leftChars="12" w:firstLine="294" w:firstLineChars="147"/>
        <w:rPr>
          <w:rFonts w:hint="eastAsia" w:hAnsi="宋体"/>
          <w:b/>
          <w:color w:val="auto"/>
          <w:szCs w:val="21"/>
          <w:highlight w:val="none"/>
        </w:rPr>
      </w:pPr>
      <w:r>
        <w:rPr>
          <w:rFonts w:hint="eastAsia" w:hAnsi="宋体"/>
          <w:b/>
          <w:color w:val="auto"/>
          <w:szCs w:val="21"/>
          <w:highlight w:val="none"/>
        </w:rPr>
        <w:t>5.投诉书的投诉事项应具体、明确，并有必要的事实依据和法律依据。</w:t>
      </w:r>
    </w:p>
    <w:p w14:paraId="2C66E148">
      <w:pPr>
        <w:pStyle w:val="15"/>
        <w:spacing w:line="340" w:lineRule="exact"/>
        <w:ind w:left="25" w:leftChars="12" w:firstLine="294" w:firstLineChars="147"/>
        <w:rPr>
          <w:rFonts w:hint="eastAsia" w:hAnsi="宋体"/>
          <w:b/>
          <w:color w:val="auto"/>
          <w:szCs w:val="21"/>
          <w:highlight w:val="none"/>
        </w:rPr>
      </w:pPr>
      <w:r>
        <w:rPr>
          <w:rFonts w:hint="eastAsia" w:hAnsi="宋体"/>
          <w:b/>
          <w:color w:val="auto"/>
          <w:szCs w:val="21"/>
          <w:highlight w:val="none"/>
        </w:rPr>
        <w:t>6.投诉书的投诉请求应与投诉事项相关。</w:t>
      </w:r>
    </w:p>
    <w:p w14:paraId="06F03F1B">
      <w:pPr>
        <w:pStyle w:val="15"/>
        <w:spacing w:line="340" w:lineRule="exact"/>
        <w:ind w:left="25" w:leftChars="12" w:firstLine="294" w:firstLineChars="147"/>
        <w:rPr>
          <w:sz w:val="20"/>
          <w:szCs w:val="20"/>
        </w:rPr>
        <w:sectPr>
          <w:headerReference r:id="rId10" w:type="default"/>
          <w:footerReference r:id="rId11" w:type="default"/>
          <w:pgSz w:w="11905" w:h="16838"/>
          <w:pgMar w:top="1440" w:right="1134" w:bottom="1440" w:left="1134" w:header="0" w:footer="720" w:gutter="0"/>
          <w:pgNumType w:fmt="decimal"/>
          <w:cols w:space="0" w:num="1"/>
          <w:rtlGutter w:val="0"/>
          <w:docGrid w:linePitch="0" w:charSpace="0"/>
        </w:sectPr>
      </w:pPr>
      <w:r>
        <w:rPr>
          <w:rFonts w:hint="eastAsia" w:hAnsi="宋体"/>
          <w:b/>
          <w:color w:val="auto"/>
          <w:szCs w:val="21"/>
          <w:highlight w:val="none"/>
        </w:rPr>
        <w:t>7.投诉人为自然人的，投诉书应当由本人签字；投诉人为法人或者其他组织的，投诉书应当由法定代表人、主要负责人，或者其授权代表签字或者盖章，并加盖公章。</w:t>
      </w:r>
    </w:p>
    <w:p w14:paraId="6706ECED">
      <w:pPr>
        <w:pStyle w:val="2"/>
        <w:bidi w:val="0"/>
        <w:rPr>
          <w:rFonts w:hint="default" w:ascii="宋体" w:hAnsi="宋体" w:cs="宋体"/>
          <w:b/>
          <w:bCs/>
          <w:spacing w:val="10"/>
          <w:position w:val="1"/>
          <w:sz w:val="21"/>
          <w:szCs w:val="21"/>
          <w:lang w:val="en-US" w:eastAsia="zh-CN"/>
        </w:rPr>
      </w:pPr>
      <w:bookmarkStart w:id="98" w:name="_Toc9039"/>
      <w:r>
        <w:rPr>
          <w:b/>
          <w:bCs/>
          <w:spacing w:val="5"/>
          <w:sz w:val="43"/>
          <w:szCs w:val="43"/>
        </w:rPr>
        <w:t>第四章</w:t>
      </w:r>
      <w:r>
        <w:rPr>
          <w:spacing w:val="5"/>
          <w:sz w:val="43"/>
          <w:szCs w:val="43"/>
        </w:rPr>
        <w:t xml:space="preserve">  </w:t>
      </w:r>
      <w:r>
        <w:rPr>
          <w:b/>
          <w:bCs/>
          <w:spacing w:val="5"/>
          <w:sz w:val="43"/>
          <w:szCs w:val="43"/>
        </w:rPr>
        <w:t>评标方法及评标标准</w:t>
      </w:r>
      <w:bookmarkEnd w:id="98"/>
    </w:p>
    <w:p w14:paraId="2EAF259F"/>
    <w:p w14:paraId="5B996E37"/>
    <w:p w14:paraId="7FBEA37B">
      <w:pPr>
        <w:pStyle w:val="4"/>
        <w:keepNext w:val="0"/>
        <w:keepLines w:val="0"/>
        <w:jc w:val="center"/>
        <w:outlineLvl w:val="1"/>
        <w:rPr>
          <w:rFonts w:ascii="宋体" w:hAnsi="宋体" w:cs="宋体"/>
          <w:sz w:val="30"/>
          <w:szCs w:val="30"/>
          <w:lang w:eastAsia="zh-CN"/>
        </w:rPr>
      </w:pPr>
      <w:bookmarkStart w:id="99" w:name="_Toc20722"/>
      <w:r>
        <w:rPr>
          <w:rFonts w:hint="eastAsia" w:ascii="宋体" w:hAnsi="宋体" w:cs="宋体"/>
          <w:sz w:val="30"/>
          <w:szCs w:val="30"/>
          <w:lang w:eastAsia="zh-CN"/>
        </w:rPr>
        <w:t>一、评标方法</w:t>
      </w:r>
      <w:bookmarkEnd w:id="99"/>
    </w:p>
    <w:p w14:paraId="75C229E7">
      <w:pPr>
        <w:pStyle w:val="15"/>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Ansi="宋体" w:cs="宋体"/>
          <w:sz w:val="24"/>
          <w:szCs w:val="24"/>
          <w:lang w:eastAsia="zh-CN"/>
        </w:rPr>
      </w:pPr>
      <w:r>
        <w:rPr>
          <w:rFonts w:hint="eastAsia" w:hAnsi="宋体" w:cs="宋体"/>
          <w:sz w:val="24"/>
          <w:szCs w:val="24"/>
          <w:lang w:eastAsia="zh-CN"/>
        </w:rPr>
        <w:t>综合评分法，是指投标文件满足招标文件全部实质性要求，且按照评审因素的量化指标评审得分最高的投标人为中标候选人的评标方法。</w:t>
      </w:r>
    </w:p>
    <w:p w14:paraId="34317552">
      <w:pPr>
        <w:pStyle w:val="4"/>
        <w:keepNext w:val="0"/>
        <w:keepLines w:val="0"/>
        <w:jc w:val="center"/>
        <w:outlineLvl w:val="1"/>
        <w:rPr>
          <w:rFonts w:ascii="宋体" w:hAnsi="宋体" w:cs="宋体"/>
          <w:sz w:val="30"/>
          <w:szCs w:val="30"/>
        </w:rPr>
      </w:pPr>
      <w:bookmarkStart w:id="100" w:name="_Toc86"/>
      <w:r>
        <w:rPr>
          <w:rFonts w:hint="eastAsia" w:ascii="宋体" w:hAnsi="宋体" w:cs="宋体"/>
          <w:sz w:val="30"/>
          <w:szCs w:val="30"/>
        </w:rPr>
        <w:t>二、评标程序</w:t>
      </w:r>
      <w:bookmarkEnd w:id="100"/>
    </w:p>
    <w:p w14:paraId="1CB886E9">
      <w:pPr>
        <w:pStyle w:val="6"/>
        <w:keepNext w:val="0"/>
        <w:keepLines w:val="0"/>
        <w:pageBreakBefore w:val="0"/>
        <w:widowControl w:val="0"/>
        <w:kinsoku/>
        <w:wordWrap/>
        <w:overflowPunct/>
        <w:topLinePunct w:val="0"/>
        <w:autoSpaceDE/>
        <w:autoSpaceDN/>
        <w:bidi w:val="0"/>
        <w:adjustRightInd/>
        <w:snapToGrid/>
        <w:spacing w:before="0" w:after="0" w:line="360" w:lineRule="auto"/>
        <w:ind w:left="420" w:leftChars="200"/>
        <w:textAlignment w:val="auto"/>
        <w:outlineLvl w:val="2"/>
        <w:rPr>
          <w:rFonts w:hint="eastAsia" w:ascii="宋体" w:hAnsi="宋体" w:eastAsia="宋体" w:cs="宋体"/>
          <w:b w:val="0"/>
          <w:kern w:val="0"/>
          <w:sz w:val="24"/>
          <w:szCs w:val="24"/>
          <w:lang w:val="en-US" w:eastAsia="zh-CN" w:bidi="ar-SA"/>
        </w:rPr>
      </w:pPr>
      <w:bookmarkStart w:id="101" w:name="_Toc31468"/>
      <w:bookmarkStart w:id="102" w:name="_Toc8309"/>
      <w:r>
        <w:rPr>
          <w:rFonts w:hint="eastAsia" w:ascii="宋体" w:hAnsi="宋体" w:eastAsia="宋体" w:cs="宋体"/>
          <w:b w:val="0"/>
          <w:kern w:val="0"/>
          <w:sz w:val="24"/>
          <w:szCs w:val="24"/>
          <w:lang w:val="en-US" w:eastAsia="zh-CN" w:bidi="ar-SA"/>
        </w:rPr>
        <w:t>1.符合性审查</w:t>
      </w:r>
      <w:bookmarkEnd w:id="101"/>
      <w:bookmarkEnd w:id="102"/>
    </w:p>
    <w:p w14:paraId="09A2A4FB">
      <w:pPr>
        <w:pStyle w:val="15"/>
        <w:keepNext w:val="0"/>
        <w:keepLines w:val="0"/>
        <w:pageBreakBefore w:val="0"/>
        <w:widowControl w:val="0"/>
        <w:kinsoku/>
        <w:wordWrap/>
        <w:overflowPunct/>
        <w:topLinePunct w:val="0"/>
        <w:autoSpaceDE/>
        <w:autoSpaceDN/>
        <w:bidi w:val="0"/>
        <w:adjustRightInd/>
        <w:snapToGrid/>
        <w:spacing w:line="360" w:lineRule="auto"/>
        <w:ind w:left="1" w:firstLine="42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评标委员会应当对符合资格的投标人的投标文件进行投标报价、商务、技术等实质性内容符合性审查，以确定其是否满足招标文件的实质性要求。</w:t>
      </w:r>
    </w:p>
    <w:p w14:paraId="62C6EDDF">
      <w:pPr>
        <w:pStyle w:val="6"/>
        <w:keepNext w:val="0"/>
        <w:keepLines w:val="0"/>
        <w:pageBreakBefore w:val="0"/>
        <w:widowControl w:val="0"/>
        <w:kinsoku/>
        <w:wordWrap/>
        <w:overflowPunct/>
        <w:topLinePunct w:val="0"/>
        <w:autoSpaceDE/>
        <w:autoSpaceDN/>
        <w:bidi w:val="0"/>
        <w:adjustRightInd/>
        <w:snapToGrid/>
        <w:spacing w:before="0" w:after="0" w:line="360" w:lineRule="auto"/>
        <w:ind w:left="420" w:leftChars="200"/>
        <w:textAlignment w:val="auto"/>
        <w:outlineLvl w:val="2"/>
        <w:rPr>
          <w:rFonts w:hint="eastAsia" w:ascii="宋体" w:hAnsi="宋体" w:eastAsia="宋体" w:cs="宋体"/>
          <w:b w:val="0"/>
          <w:kern w:val="0"/>
          <w:sz w:val="24"/>
          <w:szCs w:val="24"/>
          <w:lang w:val="en-US" w:eastAsia="zh-CN" w:bidi="ar-SA"/>
        </w:rPr>
      </w:pPr>
      <w:bookmarkStart w:id="103" w:name="_Toc28579"/>
      <w:bookmarkStart w:id="104" w:name="_Toc21682"/>
      <w:r>
        <w:rPr>
          <w:rFonts w:hint="eastAsia" w:ascii="宋体" w:hAnsi="宋体" w:eastAsia="宋体" w:cs="宋体"/>
          <w:b w:val="0"/>
          <w:kern w:val="0"/>
          <w:sz w:val="24"/>
          <w:szCs w:val="24"/>
          <w:lang w:val="en-US" w:eastAsia="zh-CN" w:bidi="ar-SA"/>
        </w:rPr>
        <w:t>2.符合性审查不通过而导致投标无效的情形</w:t>
      </w:r>
      <w:bookmarkEnd w:id="103"/>
      <w:bookmarkEnd w:id="104"/>
    </w:p>
    <w:p w14:paraId="49B1AE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投标人的投标文件中存在对招标文件的任何实质性要求和条件的负偏离，将被视为投标无效。</w:t>
      </w:r>
    </w:p>
    <w:p w14:paraId="24051B2E">
      <w:pPr>
        <w:pStyle w:val="6"/>
        <w:keepNext w:val="0"/>
        <w:keepLines w:val="0"/>
        <w:pageBreakBefore w:val="0"/>
        <w:widowControl w:val="0"/>
        <w:kinsoku/>
        <w:wordWrap/>
        <w:overflowPunct/>
        <w:topLinePunct w:val="0"/>
        <w:autoSpaceDE/>
        <w:autoSpaceDN/>
        <w:bidi w:val="0"/>
        <w:adjustRightInd/>
        <w:snapToGrid/>
        <w:spacing w:before="0" w:after="0" w:line="360" w:lineRule="auto"/>
        <w:ind w:left="420" w:left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2.1在报价评审时，如发现下列情形之一的，将被视为投标无效：</w:t>
      </w:r>
    </w:p>
    <w:p w14:paraId="79A0EC89">
      <w:pPr>
        <w:pStyle w:val="7"/>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22"/>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报价文件未提供“投标人须知前附表”第13.1条规定中“必须提供”的文件资料的；</w:t>
      </w:r>
    </w:p>
    <w:p w14:paraId="79A984E1">
      <w:pPr>
        <w:pStyle w:val="7"/>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22"/>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未采用人民币报价或者未按照招标文件标明的币种报价的；</w:t>
      </w:r>
    </w:p>
    <w:p w14:paraId="757F95FD">
      <w:pPr>
        <w:pStyle w:val="7"/>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22"/>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各分标报价超出招标文件相应分标规定最高限价，或者超出相应分标采购预算金额的；</w:t>
      </w:r>
    </w:p>
    <w:p w14:paraId="2B94465F">
      <w:pPr>
        <w:pStyle w:val="7"/>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22"/>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5AA8B80C">
      <w:pPr>
        <w:pStyle w:val="7"/>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22"/>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修正后的报价，投标人不确认的；</w:t>
      </w:r>
    </w:p>
    <w:p w14:paraId="601953E0">
      <w:pPr>
        <w:pStyle w:val="7"/>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22"/>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投标人属于本章第5.1条（2）或者第5.2条（2）项情形的；</w:t>
      </w:r>
    </w:p>
    <w:p w14:paraId="478AF838">
      <w:pPr>
        <w:pStyle w:val="7"/>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22"/>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报价文件响应的标的数量及单位与招标文件要求实质性不一致的。</w:t>
      </w:r>
    </w:p>
    <w:p w14:paraId="37C90B98">
      <w:pPr>
        <w:pStyle w:val="6"/>
        <w:keepNext w:val="0"/>
        <w:keepLines w:val="0"/>
        <w:pageBreakBefore w:val="0"/>
        <w:widowControl w:val="0"/>
        <w:kinsoku/>
        <w:wordWrap/>
        <w:overflowPunct/>
        <w:topLinePunct w:val="0"/>
        <w:autoSpaceDE/>
        <w:autoSpaceDN/>
        <w:bidi w:val="0"/>
        <w:adjustRightInd/>
        <w:snapToGrid/>
        <w:spacing w:before="0" w:after="0" w:line="360" w:lineRule="auto"/>
        <w:ind w:left="420" w:left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2.2在商务评审时，如发现下列情形之一的，将被视为投标无效：</w:t>
      </w:r>
    </w:p>
    <w:p w14:paraId="7A393F2E">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投标文件未按招标文件要求签署、盖章的；</w:t>
      </w:r>
    </w:p>
    <w:p w14:paraId="5B9AA8AD">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委托代理人未能出具有效身份证或者出具的身份证与授权委托书中的信息不符的；</w:t>
      </w:r>
    </w:p>
    <w:p w14:paraId="43CE7AB6">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为无效投标保证金的或者未按照招标文件的规定提交投标保证金的；</w:t>
      </w:r>
    </w:p>
    <w:p w14:paraId="4BA4C5E6">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投标文件未提供“投标人须知前附表”第13.1条规定中“必须提供”或者“委托时必须提供”的文件资料的；</w:t>
      </w:r>
    </w:p>
    <w:p w14:paraId="6DF2662F">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商务要求评审允许负偏离的条款数超过“投标人须知前附表”规定项数的；</w:t>
      </w:r>
    </w:p>
    <w:p w14:paraId="36A5DB3B">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投标文件的实质性内容未使用中文表述、使用计量单位不符合招标文件要求的；</w:t>
      </w:r>
    </w:p>
    <w:p w14:paraId="27E05EAE">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投标文件中的文件资料因填写不齐全或者内容虚假或者出现其他情形而导致被评标委员会认定无效的；</w:t>
      </w:r>
    </w:p>
    <w:p w14:paraId="11ED6ACC">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投标文件含有采购人不能接受的附加条件的；</w:t>
      </w:r>
    </w:p>
    <w:p w14:paraId="5F6A72E8">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属于投标人须知正文第9.2条情形的；</w:t>
      </w:r>
    </w:p>
    <w:p w14:paraId="067DDBC6">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投标文件标注的项目名称或者项目编号与招标文件标注的项目名称或者项目编号不一致的；</w:t>
      </w:r>
    </w:p>
    <w:p w14:paraId="32C2CDBF">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招标文件明确不允许分包，投标文件拟分包的；</w:t>
      </w:r>
    </w:p>
    <w:p w14:paraId="7AB1C30A">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未响应招标文件实质性要求的；</w:t>
      </w:r>
    </w:p>
    <w:p w14:paraId="40005413">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法律、法规和招标文件规定的其他无效情形。</w:t>
      </w:r>
    </w:p>
    <w:p w14:paraId="610309BF">
      <w:pPr>
        <w:pStyle w:val="6"/>
        <w:keepNext w:val="0"/>
        <w:keepLines w:val="0"/>
        <w:pageBreakBefore w:val="0"/>
        <w:widowControl w:val="0"/>
        <w:kinsoku/>
        <w:wordWrap/>
        <w:overflowPunct/>
        <w:topLinePunct w:val="0"/>
        <w:autoSpaceDE/>
        <w:autoSpaceDN/>
        <w:bidi w:val="0"/>
        <w:adjustRightInd/>
        <w:snapToGrid/>
        <w:spacing w:before="0" w:after="0" w:line="360" w:lineRule="auto"/>
        <w:ind w:left="420" w:left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2.3在技术评审时，如发现下列情形之一的，将被视为投标无效：</w:t>
      </w:r>
    </w:p>
    <w:p w14:paraId="5FA0EFFE">
      <w:pPr>
        <w:pStyle w:val="12"/>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（1）技术要求评审允许负偏离的条款数超过“投标人须知前附表”规定项数的；</w:t>
      </w:r>
    </w:p>
    <w:p w14:paraId="1AD57B2D">
      <w:pPr>
        <w:pStyle w:val="12"/>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（2）投标文件未提供“投标人须知前附表”第13.1条规定中“必须提供”的文件资料的；</w:t>
      </w:r>
    </w:p>
    <w:p w14:paraId="0ECB2EBF">
      <w:pPr>
        <w:pStyle w:val="12"/>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（3）虚假投标，或者出现其他情形而导致被评标委员会认定无效的；</w:t>
      </w:r>
    </w:p>
    <w:p w14:paraId="4D2E0731">
      <w:pPr>
        <w:pStyle w:val="12"/>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（4）招标文件未载明允许提供备选（替代）投标方案或明确不允许提供备选（替代）投标方案时，投标人提供了备选（替代）投标方案的；</w:t>
      </w:r>
    </w:p>
    <w:p w14:paraId="19CDF177">
      <w:pPr>
        <w:pStyle w:val="12"/>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（5）未响应招标文件实质性要求的。</w:t>
      </w:r>
    </w:p>
    <w:p w14:paraId="46D77D13">
      <w:pPr>
        <w:pStyle w:val="12"/>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2.4通过符合性审查的投标人不足3家，评标委员会不得继续评标，并出具评标报告。</w:t>
      </w:r>
    </w:p>
    <w:p w14:paraId="0E9BF7A0">
      <w:pPr>
        <w:pStyle w:val="6"/>
        <w:keepNext w:val="0"/>
        <w:keepLines w:val="0"/>
        <w:pageBreakBefore w:val="0"/>
        <w:widowControl w:val="0"/>
        <w:kinsoku/>
        <w:wordWrap/>
        <w:overflowPunct/>
        <w:topLinePunct w:val="0"/>
        <w:autoSpaceDE/>
        <w:autoSpaceDN/>
        <w:bidi w:val="0"/>
        <w:adjustRightInd/>
        <w:snapToGrid/>
        <w:spacing w:before="0" w:after="0" w:line="360" w:lineRule="auto"/>
        <w:ind w:left="420" w:leftChars="200"/>
        <w:textAlignment w:val="auto"/>
        <w:outlineLvl w:val="2"/>
        <w:rPr>
          <w:rFonts w:hint="eastAsia" w:ascii="宋体" w:hAnsi="宋体" w:eastAsia="宋体" w:cs="宋体"/>
          <w:b w:val="0"/>
          <w:kern w:val="0"/>
          <w:sz w:val="24"/>
          <w:szCs w:val="24"/>
          <w:lang w:val="en-US" w:eastAsia="zh-CN" w:bidi="ar-SA"/>
        </w:rPr>
      </w:pPr>
      <w:bookmarkStart w:id="105" w:name="_Toc7641"/>
      <w:bookmarkStart w:id="106" w:name="_Toc1062"/>
      <w:r>
        <w:rPr>
          <w:rFonts w:hint="eastAsia" w:ascii="宋体" w:hAnsi="宋体" w:eastAsia="宋体" w:cs="宋体"/>
          <w:b w:val="0"/>
          <w:kern w:val="0"/>
          <w:sz w:val="24"/>
          <w:szCs w:val="24"/>
          <w:lang w:val="en-US" w:eastAsia="zh-CN" w:bidi="ar-SA"/>
        </w:rPr>
        <w:t>3.澄清补正</w:t>
      </w:r>
      <w:bookmarkEnd w:id="105"/>
      <w:bookmarkEnd w:id="106"/>
    </w:p>
    <w:p w14:paraId="2F1EDD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对投标文件中含义不明确、同类问题表述不一致或者有明显文字和计算错误的内容，评标委员会以电子澄清函形式要求投标人在规定时间内作出必要的澄清、说明或者纠正。投标人的澄清、说明或者补正必须采用电子回函形式，并加盖投标人公章，或者由法定代表人或者其授权的代表签字。投标人的澄清、说明或者补正不得超出投标文件的范围或者改变投标文件的实质性内容。</w:t>
      </w:r>
    </w:p>
    <w:p w14:paraId="7697C478">
      <w:pPr>
        <w:pStyle w:val="6"/>
        <w:keepNext w:val="0"/>
        <w:keepLines w:val="0"/>
        <w:pageBreakBefore w:val="0"/>
        <w:widowControl w:val="0"/>
        <w:kinsoku/>
        <w:wordWrap/>
        <w:overflowPunct/>
        <w:topLinePunct w:val="0"/>
        <w:autoSpaceDE/>
        <w:autoSpaceDN/>
        <w:bidi w:val="0"/>
        <w:adjustRightInd/>
        <w:snapToGrid/>
        <w:spacing w:before="0" w:after="0" w:line="360" w:lineRule="auto"/>
        <w:ind w:left="420" w:leftChars="200"/>
        <w:textAlignment w:val="auto"/>
        <w:outlineLvl w:val="2"/>
        <w:rPr>
          <w:rFonts w:hint="eastAsia" w:ascii="宋体" w:hAnsi="宋体" w:eastAsia="宋体" w:cs="宋体"/>
          <w:b w:val="0"/>
          <w:kern w:val="0"/>
          <w:sz w:val="24"/>
          <w:szCs w:val="24"/>
          <w:lang w:val="en-US" w:eastAsia="zh-CN" w:bidi="ar-SA"/>
        </w:rPr>
      </w:pPr>
      <w:bookmarkStart w:id="107" w:name="_Toc20076"/>
      <w:bookmarkStart w:id="108" w:name="_Toc13291"/>
      <w:r>
        <w:rPr>
          <w:rFonts w:hint="eastAsia" w:ascii="宋体" w:hAnsi="宋体" w:eastAsia="宋体" w:cs="宋体"/>
          <w:b w:val="0"/>
          <w:kern w:val="0"/>
          <w:sz w:val="24"/>
          <w:szCs w:val="24"/>
          <w:lang w:val="en-US" w:eastAsia="zh-CN" w:bidi="ar-SA"/>
        </w:rPr>
        <w:t>4.投标文件修正</w:t>
      </w:r>
      <w:bookmarkEnd w:id="107"/>
      <w:bookmarkEnd w:id="108"/>
    </w:p>
    <w:p w14:paraId="7E37E542">
      <w:pPr>
        <w:pStyle w:val="6"/>
        <w:keepNext w:val="0"/>
        <w:keepLines w:val="0"/>
        <w:pageBreakBefore w:val="0"/>
        <w:widowControl w:val="0"/>
        <w:kinsoku/>
        <w:wordWrap/>
        <w:overflowPunct/>
        <w:topLinePunct w:val="0"/>
        <w:autoSpaceDE/>
        <w:autoSpaceDN/>
        <w:bidi w:val="0"/>
        <w:adjustRightInd/>
        <w:snapToGrid/>
        <w:spacing w:before="0" w:after="0" w:line="360" w:lineRule="auto"/>
        <w:ind w:left="420" w:left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 xml:space="preserve">4.1投标文件报价出现前后不一致的，按照下列规定修正： </w:t>
      </w:r>
    </w:p>
    <w:p w14:paraId="0672D73D">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（1）投标文件中开标一览表（报价表）内容与投标文件中相应内容不一致的，以开标一览表（报价表）为准；</w:t>
      </w:r>
    </w:p>
    <w:p w14:paraId="2FF70A75">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（2）大写金额和小写金额不一致的，以大写金额为准；</w:t>
      </w:r>
    </w:p>
    <w:p w14:paraId="3732F040">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（3）单价金额小数点或者百分比有明显错位的，以开标一览表的总价为准，并修改单价；</w:t>
      </w:r>
    </w:p>
    <w:p w14:paraId="4707D635">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（4）总价金额与按单价汇总金额不一致的，以单价金额计算结果为准。</w:t>
      </w:r>
    </w:p>
    <w:p w14:paraId="2850E63A">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cs="宋体"/>
          <w:sz w:val="21"/>
          <w:lang w:eastAsia="zh-CN"/>
        </w:rPr>
      </w:pPr>
      <w:r>
        <w:rPr>
          <w:rFonts w:hint="eastAsia" w:ascii="宋体" w:hAnsi="宋体" w:eastAsia="宋体" w:cs="宋体"/>
          <w:b w:val="0"/>
          <w:kern w:val="0"/>
          <w:sz w:val="24"/>
          <w:szCs w:val="24"/>
          <w:lang w:val="en-US" w:eastAsia="zh-CN" w:bidi="ar-SA"/>
        </w:rPr>
        <w:t>同时出现两种以上不一致的，按照以上（1）-（4）规定的顺序修正。修正后的报价经投标人确认后产生约束力，投标人不确认的，</w:t>
      </w:r>
      <w:r>
        <w:rPr>
          <w:rFonts w:hint="eastAsia" w:hAnsi="宋体" w:cs="宋体"/>
          <w:b/>
          <w:kern w:val="2"/>
          <w:sz w:val="24"/>
          <w:szCs w:val="24"/>
          <w:lang w:eastAsia="zh-CN"/>
        </w:rPr>
        <w:t>其投标无效</w:t>
      </w:r>
      <w:r>
        <w:rPr>
          <w:rFonts w:hint="eastAsia" w:hAnsi="宋体" w:cs="宋体"/>
          <w:sz w:val="24"/>
          <w:szCs w:val="24"/>
          <w:lang w:eastAsia="zh-CN"/>
        </w:rPr>
        <w:t>。</w:t>
      </w:r>
    </w:p>
    <w:p w14:paraId="62C32B86">
      <w:pPr>
        <w:pStyle w:val="6"/>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ascii="宋体" w:hAnsi="宋体" w:eastAsia="宋体" w:cs="宋体"/>
          <w:b/>
          <w:kern w:val="2"/>
          <w:sz w:val="24"/>
          <w:szCs w:val="24"/>
          <w:lang w:val="en-US" w:eastAsia="zh-CN" w:bidi="ar-SA"/>
        </w:rPr>
      </w:pPr>
      <w:r>
        <w:rPr>
          <w:rFonts w:hint="eastAsia" w:ascii="宋体" w:hAnsi="宋体" w:eastAsia="宋体" w:cs="宋体"/>
          <w:b w:val="0"/>
          <w:kern w:val="0"/>
          <w:sz w:val="24"/>
          <w:szCs w:val="24"/>
          <w:lang w:val="en-US" w:eastAsia="zh-CN" w:bidi="ar-SA"/>
        </w:rPr>
        <w:t>4.2经投标人确认修正后的报价若超过采购预算金额或者最高限价，</w:t>
      </w:r>
      <w:r>
        <w:rPr>
          <w:rFonts w:hint="eastAsia" w:ascii="宋体" w:hAnsi="宋体" w:eastAsia="宋体" w:cs="宋体"/>
          <w:b/>
          <w:kern w:val="2"/>
          <w:sz w:val="24"/>
          <w:szCs w:val="24"/>
          <w:lang w:val="en-US" w:eastAsia="zh-CN" w:bidi="ar-SA"/>
        </w:rPr>
        <w:t>投标人的投标文件作无效投标处理。</w:t>
      </w:r>
    </w:p>
    <w:p w14:paraId="4D410E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4.3经投标人确认修正后的报价作为签订合同的依据，并以此报价计算价格分。</w:t>
      </w:r>
    </w:p>
    <w:p w14:paraId="55AC4575">
      <w:pPr>
        <w:pStyle w:val="6"/>
        <w:keepNext w:val="0"/>
        <w:keepLines w:val="0"/>
        <w:pageBreakBefore w:val="0"/>
        <w:widowControl w:val="0"/>
        <w:kinsoku/>
        <w:wordWrap/>
        <w:overflowPunct/>
        <w:topLinePunct w:val="0"/>
        <w:autoSpaceDE/>
        <w:autoSpaceDN/>
        <w:bidi w:val="0"/>
        <w:adjustRightInd/>
        <w:snapToGrid/>
        <w:spacing w:before="0" w:after="0" w:line="360" w:lineRule="auto"/>
        <w:ind w:firstLine="482" w:firstLineChars="200"/>
        <w:textAlignment w:val="auto"/>
        <w:outlineLvl w:val="2"/>
        <w:rPr>
          <w:rFonts w:hint="eastAsia" w:ascii="宋体" w:hAnsi="宋体" w:eastAsia="宋体" w:cs="宋体"/>
          <w:b/>
          <w:kern w:val="2"/>
          <w:sz w:val="24"/>
          <w:szCs w:val="24"/>
          <w:lang w:val="en-US" w:eastAsia="zh-CN" w:bidi="ar-SA"/>
        </w:rPr>
      </w:pPr>
      <w:bookmarkStart w:id="109" w:name="_Toc32337"/>
      <w:bookmarkStart w:id="110" w:name="_Toc28250"/>
      <w:r>
        <w:rPr>
          <w:rFonts w:hint="eastAsia" w:ascii="宋体" w:hAnsi="宋体" w:eastAsia="宋体" w:cs="宋体"/>
          <w:b/>
          <w:kern w:val="2"/>
          <w:sz w:val="24"/>
          <w:szCs w:val="24"/>
          <w:lang w:val="en-US" w:eastAsia="zh-CN" w:bidi="ar-SA"/>
        </w:rPr>
        <w:t>5.比较与评价</w:t>
      </w:r>
      <w:bookmarkEnd w:id="109"/>
      <w:bookmarkEnd w:id="110"/>
    </w:p>
    <w:p w14:paraId="3C343D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5.1采用综合评分法的</w:t>
      </w:r>
    </w:p>
    <w:p w14:paraId="0C22C2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（1）评标委员会按照招标文件中规定的评标方法及评标标准，对符合性审查合格的投标文件进行商务和技术评估，综合比较与评价。</w:t>
      </w:r>
    </w:p>
    <w:p w14:paraId="2BD4AA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kern w:val="0"/>
          <w:sz w:val="24"/>
          <w:szCs w:val="24"/>
          <w:lang w:val="en-US" w:eastAsia="zh-CN" w:bidi="ar-SA"/>
        </w:rPr>
      </w:pPr>
      <w:r>
        <w:rPr>
          <w:rFonts w:hint="eastAsia" w:ascii="宋体" w:hAnsi="宋体" w:eastAsia="宋体" w:cs="宋体"/>
          <w:b w:val="0"/>
          <w:kern w:val="0"/>
          <w:sz w:val="24"/>
          <w:szCs w:val="24"/>
          <w:lang w:val="en-US" w:eastAsia="zh-CN" w:bidi="ar-SA"/>
        </w:rPr>
        <w:t>根据《关于推动解决政府采购异常低价问题的通知》（财库〔2026〕2号）的规定，评审中出现下列情形之一的，评标委员会应当启动异常低价投标（响应）审查程序：</w:t>
      </w:r>
    </w:p>
    <w:p w14:paraId="428E09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eastAsia="宋体" w:cs="宋体"/>
          <w:b w:val="0"/>
          <w:kern w:val="0"/>
          <w:sz w:val="24"/>
          <w:szCs w:val="24"/>
          <w:lang w:val="en-US" w:eastAsia="zh-CN" w:bidi="ar-SA"/>
        </w:rPr>
        <w:fldChar w:fldCharType="begin"/>
      </w:r>
      <w:r>
        <w:rPr>
          <w:rFonts w:hint="eastAsia" w:ascii="宋体" w:hAnsi="宋体" w:eastAsia="宋体" w:cs="宋体"/>
          <w:b w:val="0"/>
          <w:kern w:val="0"/>
          <w:sz w:val="24"/>
          <w:szCs w:val="24"/>
          <w:lang w:val="en-US" w:eastAsia="zh-CN" w:bidi="ar-SA"/>
        </w:rPr>
        <w:instrText xml:space="preserve"> = 1 \* GB3 </w:instrText>
      </w:r>
      <w:r>
        <w:rPr>
          <w:rFonts w:hint="eastAsia" w:ascii="宋体" w:hAnsi="宋体" w:eastAsia="宋体" w:cs="宋体"/>
          <w:b w:val="0"/>
          <w:kern w:val="0"/>
          <w:sz w:val="24"/>
          <w:szCs w:val="24"/>
          <w:lang w:val="en-US" w:eastAsia="zh-CN" w:bidi="ar-SA"/>
        </w:rPr>
        <w:fldChar w:fldCharType="separate"/>
      </w:r>
      <w:r>
        <w:rPr>
          <w:rFonts w:hint="eastAsia" w:ascii="宋体" w:hAnsi="宋体" w:eastAsia="宋体" w:cs="宋体"/>
          <w:b w:val="0"/>
          <w:kern w:val="0"/>
          <w:sz w:val="24"/>
          <w:szCs w:val="24"/>
          <w:lang w:val="en-US" w:eastAsia="zh-CN" w:bidi="ar-SA"/>
        </w:rPr>
        <w:t>①</w:t>
      </w:r>
      <w:r>
        <w:rPr>
          <w:rFonts w:hint="eastAsia" w:ascii="宋体" w:hAnsi="宋体" w:eastAsia="宋体" w:cs="宋体"/>
          <w:b w:val="0"/>
          <w:kern w:val="0"/>
          <w:sz w:val="24"/>
          <w:szCs w:val="24"/>
          <w:lang w:val="en-US" w:eastAsia="zh-CN" w:bidi="ar-SA"/>
        </w:rPr>
        <w:fldChar w:fldCharType="end"/>
      </w:r>
      <w:r>
        <w:rPr>
          <w:rFonts w:hint="eastAsia" w:ascii="宋体" w:hAnsi="宋体" w:eastAsia="宋体" w:cs="宋体"/>
          <w:b w:val="0"/>
          <w:kern w:val="0"/>
          <w:sz w:val="24"/>
          <w:szCs w:val="24"/>
          <w:lang w:val="en-US" w:eastAsia="zh-CN" w:bidi="ar-SA"/>
        </w:rPr>
        <w:t xml:space="preserve"> 投标（响应）报价低于全部通过符合性审查供应商投标（响应）报价平均值65%的，</w:t>
      </w:r>
      <w:r>
        <w:rPr>
          <w:rFonts w:hint="eastAsia" w:ascii="宋体" w:hAnsi="宋体" w:cs="宋体"/>
          <w:b/>
          <w:sz w:val="24"/>
          <w:szCs w:val="24"/>
        </w:rPr>
        <w:t>即投标（响应）报价＜全部通过符合性审查供应商投标（响应）报价平均值×65%</w:t>
      </w:r>
      <w:r>
        <w:rPr>
          <w:rFonts w:hint="eastAsia" w:ascii="宋体" w:hAnsi="宋体" w:cs="宋体"/>
          <w:sz w:val="24"/>
          <w:szCs w:val="24"/>
        </w:rPr>
        <w:t>；</w:t>
      </w:r>
    </w:p>
    <w:p w14:paraId="54D7B7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 2 \* GB3 </w:instrText>
      </w:r>
      <w:r>
        <w:rPr>
          <w:rFonts w:hint="eastAsia" w:ascii="宋体" w:hAnsi="宋体" w:cs="宋体"/>
          <w:sz w:val="24"/>
          <w:szCs w:val="24"/>
        </w:rPr>
        <w:fldChar w:fldCharType="separate"/>
      </w:r>
      <w:r>
        <w:rPr>
          <w:rFonts w:hint="eastAsia" w:ascii="宋体" w:hAnsi="宋体" w:cs="宋体"/>
          <w:sz w:val="24"/>
          <w:szCs w:val="24"/>
        </w:rPr>
        <w:t>②</w:t>
      </w:r>
      <w:r>
        <w:rPr>
          <w:rFonts w:hint="eastAsia" w:ascii="宋体" w:hAnsi="宋体" w:cs="宋体"/>
          <w:sz w:val="24"/>
          <w:szCs w:val="24"/>
        </w:rPr>
        <w:fldChar w:fldCharType="end"/>
      </w:r>
      <w:r>
        <w:rPr>
          <w:rFonts w:hint="eastAsia" w:ascii="宋体" w:hAnsi="宋体" w:cs="宋体"/>
          <w:sz w:val="24"/>
          <w:szCs w:val="24"/>
        </w:rPr>
        <w:t>投标（响应）报价低于通过符合性审查的次低报价供应商投标（响应）报价65%的，</w:t>
      </w:r>
      <w:r>
        <w:rPr>
          <w:rFonts w:hint="eastAsia" w:ascii="宋体" w:hAnsi="宋体" w:cs="宋体"/>
          <w:b/>
          <w:sz w:val="24"/>
          <w:szCs w:val="24"/>
        </w:rPr>
        <w:t>即投标（响应）报价＜通过符合性审查的次低报价供应商投标（响应）报价×65%</w:t>
      </w:r>
      <w:r>
        <w:rPr>
          <w:rFonts w:hint="eastAsia" w:ascii="宋体" w:hAnsi="宋体" w:cs="宋体"/>
          <w:sz w:val="24"/>
          <w:szCs w:val="24"/>
        </w:rPr>
        <w:t>；</w:t>
      </w:r>
    </w:p>
    <w:p w14:paraId="466503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 3 \* GB3 </w:instrText>
      </w:r>
      <w:r>
        <w:rPr>
          <w:rFonts w:hint="eastAsia" w:ascii="宋体" w:hAnsi="宋体" w:cs="宋体"/>
          <w:sz w:val="24"/>
          <w:szCs w:val="24"/>
        </w:rPr>
        <w:fldChar w:fldCharType="separate"/>
      </w:r>
      <w:r>
        <w:rPr>
          <w:rFonts w:hint="eastAsia" w:ascii="宋体" w:hAnsi="宋体" w:cs="宋体"/>
          <w:sz w:val="24"/>
          <w:szCs w:val="24"/>
        </w:rPr>
        <w:t>③</w:t>
      </w:r>
      <w:r>
        <w:rPr>
          <w:rFonts w:hint="eastAsia" w:ascii="宋体" w:hAnsi="宋体" w:cs="宋体"/>
          <w:sz w:val="24"/>
          <w:szCs w:val="24"/>
        </w:rPr>
        <w:fldChar w:fldCharType="end"/>
      </w:r>
      <w:r>
        <w:rPr>
          <w:rFonts w:hint="eastAsia" w:ascii="宋体" w:hAnsi="宋体" w:cs="宋体"/>
          <w:sz w:val="24"/>
          <w:szCs w:val="24"/>
        </w:rPr>
        <w:t>投标（响应）报价低于采购项目最高限价65%的，</w:t>
      </w:r>
      <w:r>
        <w:rPr>
          <w:rFonts w:hint="eastAsia" w:ascii="宋体" w:hAnsi="宋体" w:cs="宋体"/>
          <w:b/>
          <w:sz w:val="24"/>
          <w:szCs w:val="24"/>
        </w:rPr>
        <w:t>即投标（响应）报价＜采购项目最高限价×65%</w:t>
      </w:r>
      <w:r>
        <w:rPr>
          <w:rFonts w:hint="eastAsia" w:ascii="宋体" w:hAnsi="宋体" w:cs="宋体"/>
          <w:sz w:val="24"/>
          <w:szCs w:val="24"/>
        </w:rPr>
        <w:t>；</w:t>
      </w:r>
    </w:p>
    <w:p w14:paraId="059E08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 4 \* GB3 </w:instrText>
      </w:r>
      <w:r>
        <w:rPr>
          <w:rFonts w:hint="eastAsia" w:ascii="宋体" w:hAnsi="宋体" w:cs="宋体"/>
          <w:sz w:val="24"/>
          <w:szCs w:val="24"/>
        </w:rPr>
        <w:fldChar w:fldCharType="separate"/>
      </w:r>
      <w:r>
        <w:rPr>
          <w:rFonts w:hint="eastAsia" w:ascii="宋体" w:hAnsi="宋体" w:cs="宋体"/>
          <w:sz w:val="24"/>
          <w:szCs w:val="24"/>
        </w:rPr>
        <w:t>④</w:t>
      </w:r>
      <w:r>
        <w:rPr>
          <w:rFonts w:hint="eastAsia" w:ascii="宋体" w:hAnsi="宋体" w:cs="宋体"/>
          <w:sz w:val="24"/>
          <w:szCs w:val="24"/>
        </w:rPr>
        <w:fldChar w:fldCharType="end"/>
      </w:r>
      <w:r>
        <w:rPr>
          <w:rFonts w:hint="eastAsia" w:ascii="宋体" w:hAnsi="宋体" w:cs="宋体"/>
          <w:sz w:val="24"/>
          <w:szCs w:val="24"/>
        </w:rPr>
        <w:t>评标委员会基于专业判断，认为供应商报价过低，有可能影响产品质量或者不能诚信履约的其他情形。</w:t>
      </w:r>
    </w:p>
    <w:p w14:paraId="666EE6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评标委员会启动异常低价投标（响应）审查后，属于前述第1项至第4项情形的，应当要求相关供应商在评审现场</w:t>
      </w:r>
      <w:r>
        <w:rPr>
          <w:rFonts w:hint="eastAsia" w:ascii="宋体" w:hAnsi="宋体" w:cs="宋体"/>
          <w:b/>
          <w:sz w:val="24"/>
          <w:szCs w:val="24"/>
        </w:rPr>
        <w:t>30分钟</w:t>
      </w:r>
      <w:r>
        <w:rPr>
          <w:rFonts w:hint="eastAsia" w:ascii="宋体" w:hAnsi="宋体" w:cs="宋体"/>
          <w:sz w:val="24"/>
          <w:szCs w:val="24"/>
        </w:rPr>
        <w:t>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5EA035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sz w:val="24"/>
          <w:szCs w:val="24"/>
        </w:rPr>
        <w:t>供应商在规定时间内不能提供书面说明、证明材料，或者提供的书面说明、证明材料不能证明其报价合理性的，评标委员会应当将其作为无效投标处理。</w:t>
      </w:r>
    </w:p>
    <w:p w14:paraId="007B96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（2）评标委员会独立对每个投标人的投标文件进行评价，并汇总每个投标人的得分。</w:t>
      </w:r>
    </w:p>
    <w:p w14:paraId="3B8A97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b/>
          <w:sz w:val="24"/>
          <w:szCs w:val="24"/>
        </w:rPr>
        <w:t>投标人不能证明其报价合理性的，评标委员会将其作为无效投标处理</w:t>
      </w:r>
      <w:r>
        <w:rPr>
          <w:rFonts w:hint="eastAsia" w:ascii="宋体" w:hAnsi="宋体" w:cs="宋体"/>
          <w:sz w:val="24"/>
          <w:szCs w:val="24"/>
        </w:rPr>
        <w:t>。</w:t>
      </w:r>
    </w:p>
    <w:p w14:paraId="31BD96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（3）评标委员会按照招标文件中规定的评标方法和标准计算各投标人的报价得分。在计算过程中，不得去掉最高报价或者最低报价。</w:t>
      </w:r>
    </w:p>
    <w:p w14:paraId="5CB66B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（4）各投标人的得分为所有评委的有效评分的算术平均数。</w:t>
      </w:r>
    </w:p>
    <w:p w14:paraId="1B3A63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（5）评标委员会按照招标文件中的规定推荐中标候选人。</w:t>
      </w:r>
    </w:p>
    <w:p w14:paraId="24C2BA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0F805E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5.2采用最低评标价法的</w:t>
      </w:r>
    </w:p>
    <w:p w14:paraId="7D5EEB3D">
      <w:pPr>
        <w:keepNext w:val="0"/>
        <w:keepLines w:val="0"/>
        <w:pageBreakBefore w:val="0"/>
        <w:widowControl w:val="0"/>
        <w:kinsoku/>
        <w:wordWrap/>
        <w:overflowPunct/>
        <w:topLinePunct w:val="0"/>
        <w:autoSpaceDE/>
        <w:autoSpaceDN/>
        <w:bidi w:val="0"/>
        <w:adjustRightInd/>
        <w:snapToGrid/>
        <w:spacing w:line="360" w:lineRule="auto"/>
        <w:ind w:firstLine="484" w:firstLineChars="202"/>
        <w:jc w:val="left"/>
        <w:textAlignment w:val="auto"/>
        <w:rPr>
          <w:rFonts w:ascii="宋体" w:hAnsi="宋体" w:cs="宋体"/>
          <w:sz w:val="24"/>
          <w:szCs w:val="24"/>
        </w:rPr>
      </w:pPr>
      <w:r>
        <w:rPr>
          <w:rFonts w:hint="eastAsia" w:ascii="宋体" w:hAnsi="宋体" w:cs="宋体"/>
          <w:sz w:val="24"/>
          <w:szCs w:val="24"/>
        </w:rPr>
        <w:t>（1）评标委员会按照招标文件中规定的评标方法及评标标准，对符合性审查合格的投标文件报价进行比较。</w:t>
      </w:r>
    </w:p>
    <w:p w14:paraId="19860E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根据《关于推动解决政府采购异常低价问题的通知》（财库〔2026〕2号）的规定，评审中出现下列情形之一的，评标委员会应当启动异常低价投标（响应）审查程序：</w:t>
      </w:r>
    </w:p>
    <w:p w14:paraId="283ABD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 1 \* GB3 </w:instrText>
      </w:r>
      <w:r>
        <w:rPr>
          <w:rFonts w:hint="eastAsia" w:ascii="宋体" w:hAnsi="宋体" w:cs="宋体"/>
          <w:sz w:val="24"/>
          <w:szCs w:val="24"/>
        </w:rPr>
        <w:fldChar w:fldCharType="separate"/>
      </w:r>
      <w:r>
        <w:rPr>
          <w:rFonts w:hint="eastAsia" w:ascii="宋体" w:hAnsi="宋体" w:cs="宋体"/>
          <w:sz w:val="24"/>
          <w:szCs w:val="24"/>
        </w:rPr>
        <w:t>①</w:t>
      </w:r>
      <w:r>
        <w:rPr>
          <w:rFonts w:hint="eastAsia" w:ascii="宋体" w:hAnsi="宋体" w:cs="宋体"/>
          <w:sz w:val="24"/>
          <w:szCs w:val="24"/>
        </w:rPr>
        <w:fldChar w:fldCharType="end"/>
      </w:r>
      <w:r>
        <w:rPr>
          <w:rFonts w:hint="eastAsia" w:ascii="宋体" w:hAnsi="宋体" w:cs="宋体"/>
          <w:sz w:val="24"/>
          <w:szCs w:val="24"/>
        </w:rPr>
        <w:t xml:space="preserve"> 投标（响应）报价低于全部通过符合性审查供应商投标（响应）报价平均值65%的，</w:t>
      </w:r>
      <w:r>
        <w:rPr>
          <w:rFonts w:hint="eastAsia" w:ascii="宋体" w:hAnsi="宋体" w:cs="宋体"/>
          <w:b/>
          <w:sz w:val="24"/>
          <w:szCs w:val="24"/>
        </w:rPr>
        <w:t>即投标（响应）报价＜全部通过符合性审查供应商投标（响应）报价平均值×65%</w:t>
      </w:r>
      <w:r>
        <w:rPr>
          <w:rFonts w:hint="eastAsia" w:ascii="宋体" w:hAnsi="宋体" w:cs="宋体"/>
          <w:sz w:val="24"/>
          <w:szCs w:val="24"/>
        </w:rPr>
        <w:t>；</w:t>
      </w:r>
    </w:p>
    <w:p w14:paraId="61AECF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 2 \* GB3 </w:instrText>
      </w:r>
      <w:r>
        <w:rPr>
          <w:rFonts w:hint="eastAsia" w:ascii="宋体" w:hAnsi="宋体" w:cs="宋体"/>
          <w:sz w:val="24"/>
          <w:szCs w:val="24"/>
        </w:rPr>
        <w:fldChar w:fldCharType="separate"/>
      </w:r>
      <w:r>
        <w:rPr>
          <w:rFonts w:hint="eastAsia" w:ascii="宋体" w:hAnsi="宋体" w:cs="宋体"/>
          <w:sz w:val="24"/>
          <w:szCs w:val="24"/>
        </w:rPr>
        <w:t>②</w:t>
      </w:r>
      <w:r>
        <w:rPr>
          <w:rFonts w:hint="eastAsia" w:ascii="宋体" w:hAnsi="宋体" w:cs="宋体"/>
          <w:sz w:val="24"/>
          <w:szCs w:val="24"/>
        </w:rPr>
        <w:fldChar w:fldCharType="end"/>
      </w:r>
      <w:r>
        <w:rPr>
          <w:rFonts w:hint="eastAsia" w:ascii="宋体" w:hAnsi="宋体" w:cs="宋体"/>
          <w:sz w:val="24"/>
          <w:szCs w:val="24"/>
        </w:rPr>
        <w:t>投标（响应）报价低于通过符合性审查的次低报价供应商投标（响应）报价65%的，</w:t>
      </w:r>
      <w:r>
        <w:rPr>
          <w:rFonts w:hint="eastAsia" w:ascii="宋体" w:hAnsi="宋体" w:cs="宋体"/>
          <w:b/>
          <w:sz w:val="24"/>
          <w:szCs w:val="24"/>
        </w:rPr>
        <w:t>即投标（响应）报价＜通过符合性审查的次低报价供应商投标（响应）报价×65%</w:t>
      </w:r>
      <w:r>
        <w:rPr>
          <w:rFonts w:hint="eastAsia" w:ascii="宋体" w:hAnsi="宋体" w:cs="宋体"/>
          <w:sz w:val="24"/>
          <w:szCs w:val="24"/>
        </w:rPr>
        <w:t>；</w:t>
      </w:r>
    </w:p>
    <w:p w14:paraId="35A243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 3 \* GB3 </w:instrText>
      </w:r>
      <w:r>
        <w:rPr>
          <w:rFonts w:hint="eastAsia" w:ascii="宋体" w:hAnsi="宋体" w:cs="宋体"/>
          <w:sz w:val="24"/>
          <w:szCs w:val="24"/>
        </w:rPr>
        <w:fldChar w:fldCharType="separate"/>
      </w:r>
      <w:r>
        <w:rPr>
          <w:rFonts w:hint="eastAsia" w:ascii="宋体" w:hAnsi="宋体" w:cs="宋体"/>
          <w:sz w:val="24"/>
          <w:szCs w:val="24"/>
        </w:rPr>
        <w:t>③</w:t>
      </w:r>
      <w:r>
        <w:rPr>
          <w:rFonts w:hint="eastAsia" w:ascii="宋体" w:hAnsi="宋体" w:cs="宋体"/>
          <w:sz w:val="24"/>
          <w:szCs w:val="24"/>
        </w:rPr>
        <w:fldChar w:fldCharType="end"/>
      </w:r>
      <w:r>
        <w:rPr>
          <w:rFonts w:hint="eastAsia" w:ascii="宋体" w:hAnsi="宋体" w:cs="宋体"/>
          <w:sz w:val="24"/>
          <w:szCs w:val="24"/>
        </w:rPr>
        <w:t>投标（响应）报价低于采购项目最高限价65%的，</w:t>
      </w:r>
      <w:r>
        <w:rPr>
          <w:rFonts w:hint="eastAsia" w:ascii="宋体" w:hAnsi="宋体" w:cs="宋体"/>
          <w:b/>
          <w:sz w:val="24"/>
          <w:szCs w:val="24"/>
        </w:rPr>
        <w:t>即投标（响应）报价＜采购项目最高限价×65%</w:t>
      </w:r>
      <w:r>
        <w:rPr>
          <w:rFonts w:hint="eastAsia" w:ascii="宋体" w:hAnsi="宋体" w:cs="宋体"/>
          <w:sz w:val="24"/>
          <w:szCs w:val="24"/>
        </w:rPr>
        <w:t>；</w:t>
      </w:r>
    </w:p>
    <w:p w14:paraId="22C334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 4 \* GB3 </w:instrText>
      </w:r>
      <w:r>
        <w:rPr>
          <w:rFonts w:hint="eastAsia" w:ascii="宋体" w:hAnsi="宋体" w:cs="宋体"/>
          <w:sz w:val="24"/>
          <w:szCs w:val="24"/>
        </w:rPr>
        <w:fldChar w:fldCharType="separate"/>
      </w:r>
      <w:r>
        <w:rPr>
          <w:rFonts w:hint="eastAsia" w:ascii="宋体" w:hAnsi="宋体" w:cs="宋体"/>
          <w:sz w:val="24"/>
          <w:szCs w:val="24"/>
        </w:rPr>
        <w:t>④</w:t>
      </w:r>
      <w:r>
        <w:rPr>
          <w:rFonts w:hint="eastAsia" w:ascii="宋体" w:hAnsi="宋体" w:cs="宋体"/>
          <w:sz w:val="24"/>
          <w:szCs w:val="24"/>
        </w:rPr>
        <w:fldChar w:fldCharType="end"/>
      </w:r>
      <w:r>
        <w:rPr>
          <w:rFonts w:hint="eastAsia" w:ascii="宋体" w:hAnsi="宋体" w:cs="宋体"/>
          <w:sz w:val="24"/>
          <w:szCs w:val="24"/>
        </w:rPr>
        <w:t>评标委员会基于专业判断，认为供应商报价过低，有可能影响产品质量或者不能诚信履约的其他情形。</w:t>
      </w:r>
    </w:p>
    <w:p w14:paraId="46AF8B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rPr>
        <w:t>评标委员会启动异常低价投标（响应）审查后，属于前述第1项至第4项情形的，应当要求相关供应商在评审现场</w:t>
      </w:r>
      <w:r>
        <w:rPr>
          <w:rFonts w:hint="eastAsia" w:ascii="宋体" w:hAnsi="宋体" w:cs="宋体"/>
          <w:b/>
          <w:sz w:val="24"/>
          <w:szCs w:val="24"/>
        </w:rPr>
        <w:t>30分钟</w:t>
      </w:r>
      <w:r>
        <w:rPr>
          <w:rFonts w:hint="eastAsia" w:ascii="宋体" w:hAnsi="宋体" w:cs="宋体"/>
          <w:sz w:val="24"/>
          <w:szCs w:val="24"/>
        </w:rPr>
        <w:t>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2657CC8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cs="宋体"/>
          <w:sz w:val="24"/>
          <w:szCs w:val="24"/>
        </w:rPr>
      </w:pPr>
      <w:r>
        <w:rPr>
          <w:rFonts w:hint="eastAsia" w:ascii="宋体" w:hAnsi="宋体" w:cs="宋体"/>
          <w:sz w:val="24"/>
          <w:szCs w:val="24"/>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sz w:val="24"/>
          <w:szCs w:val="24"/>
        </w:rPr>
        <w:t>供应商在规定时间内不能提供书面说明、证明材料，或者提供的书面说明、证明材料不能证明其报价合理性的，评标委员会应当将其作为无效投标处理。</w:t>
      </w:r>
    </w:p>
    <w:p w14:paraId="413C0295">
      <w:pPr>
        <w:keepNext w:val="0"/>
        <w:keepLines w:val="0"/>
        <w:pageBreakBefore w:val="0"/>
        <w:widowControl w:val="0"/>
        <w:kinsoku/>
        <w:wordWrap/>
        <w:overflowPunct/>
        <w:topLinePunct w:val="0"/>
        <w:autoSpaceDE/>
        <w:autoSpaceDN/>
        <w:bidi w:val="0"/>
        <w:adjustRightInd/>
        <w:snapToGrid/>
        <w:spacing w:line="360" w:lineRule="auto"/>
        <w:ind w:firstLine="460" w:firstLineChars="202"/>
        <w:jc w:val="left"/>
        <w:textAlignment w:val="auto"/>
        <w:rPr>
          <w:rFonts w:ascii="宋体" w:hAnsi="宋体" w:cs="宋体"/>
          <w:spacing w:val="-6"/>
          <w:sz w:val="24"/>
          <w:szCs w:val="24"/>
        </w:rPr>
      </w:pPr>
      <w:r>
        <w:rPr>
          <w:rFonts w:hint="eastAsia" w:ascii="宋体" w:hAnsi="宋体" w:cs="宋体"/>
          <w:spacing w:val="-6"/>
          <w:sz w:val="24"/>
          <w:szCs w:val="24"/>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b/>
          <w:spacing w:val="-6"/>
          <w:sz w:val="24"/>
          <w:szCs w:val="24"/>
        </w:rPr>
        <w:t>投标人不能证明其报价合理性的，评标委员会将其作为无效投标处理</w:t>
      </w:r>
      <w:r>
        <w:rPr>
          <w:rFonts w:hint="eastAsia" w:ascii="宋体" w:hAnsi="宋体" w:cs="宋体"/>
          <w:spacing w:val="-6"/>
          <w:sz w:val="24"/>
          <w:szCs w:val="24"/>
        </w:rPr>
        <w:t>。</w:t>
      </w:r>
    </w:p>
    <w:p w14:paraId="006DDFDE">
      <w:pPr>
        <w:keepNext w:val="0"/>
        <w:keepLines w:val="0"/>
        <w:pageBreakBefore w:val="0"/>
        <w:widowControl w:val="0"/>
        <w:kinsoku/>
        <w:wordWrap/>
        <w:overflowPunct/>
        <w:topLinePunct w:val="0"/>
        <w:autoSpaceDE/>
        <w:autoSpaceDN/>
        <w:bidi w:val="0"/>
        <w:adjustRightInd/>
        <w:snapToGrid/>
        <w:spacing w:line="360" w:lineRule="auto"/>
        <w:ind w:firstLine="484" w:firstLineChars="202"/>
        <w:jc w:val="left"/>
        <w:textAlignment w:val="auto"/>
        <w:rPr>
          <w:rFonts w:ascii="宋体" w:hAnsi="宋体" w:cs="宋体"/>
          <w:sz w:val="24"/>
          <w:szCs w:val="24"/>
        </w:rPr>
      </w:pPr>
      <w:r>
        <w:rPr>
          <w:rFonts w:hint="eastAsia" w:ascii="宋体" w:hAnsi="宋体" w:cs="宋体"/>
          <w:sz w:val="24"/>
          <w:szCs w:val="24"/>
        </w:rPr>
        <w:t>（3）评标委员会按照招标文件中的规定推荐中标候选人。</w:t>
      </w:r>
    </w:p>
    <w:p w14:paraId="31CFAC8E">
      <w:pPr>
        <w:keepNext w:val="0"/>
        <w:keepLines w:val="0"/>
        <w:pageBreakBefore w:val="0"/>
        <w:widowControl w:val="0"/>
        <w:kinsoku/>
        <w:wordWrap/>
        <w:overflowPunct/>
        <w:topLinePunct w:val="0"/>
        <w:autoSpaceDE/>
        <w:autoSpaceDN/>
        <w:bidi w:val="0"/>
        <w:adjustRightInd/>
        <w:snapToGrid/>
        <w:spacing w:line="360" w:lineRule="auto"/>
        <w:ind w:firstLine="484" w:firstLineChars="202"/>
        <w:jc w:val="left"/>
        <w:textAlignment w:val="auto"/>
        <w:rPr>
          <w:rFonts w:ascii="宋体" w:hAnsi="宋体" w:cs="宋体"/>
          <w:sz w:val="24"/>
          <w:szCs w:val="24"/>
        </w:rPr>
      </w:pPr>
      <w:r>
        <w:rPr>
          <w:rFonts w:hint="eastAsia" w:ascii="宋体" w:hAnsi="宋体" w:cs="宋体"/>
          <w:sz w:val="24"/>
          <w:szCs w:val="24"/>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3F1DBC4F">
      <w:pPr>
        <w:spacing w:line="360" w:lineRule="auto"/>
        <w:jc w:val="center"/>
        <w:rPr>
          <w:rFonts w:hint="eastAsia" w:ascii="宋体" w:hAnsi="宋体" w:cs="宋体"/>
          <w:b/>
          <w:bCs/>
          <w:sz w:val="32"/>
          <w:szCs w:val="32"/>
        </w:rPr>
      </w:pPr>
    </w:p>
    <w:p w14:paraId="6178AD69">
      <w:pPr>
        <w:spacing w:line="360" w:lineRule="auto"/>
        <w:jc w:val="center"/>
        <w:rPr>
          <w:rFonts w:hint="eastAsia" w:ascii="宋体" w:hAnsi="宋体" w:cs="宋体"/>
          <w:b/>
          <w:bCs/>
          <w:sz w:val="32"/>
          <w:szCs w:val="32"/>
        </w:rPr>
      </w:pPr>
    </w:p>
    <w:p w14:paraId="21A281B3">
      <w:pPr>
        <w:spacing w:line="360" w:lineRule="auto"/>
        <w:jc w:val="center"/>
        <w:rPr>
          <w:rFonts w:hint="eastAsia" w:ascii="宋体" w:hAnsi="宋体" w:cs="宋体"/>
          <w:b/>
          <w:bCs/>
          <w:sz w:val="32"/>
          <w:szCs w:val="32"/>
        </w:rPr>
      </w:pPr>
    </w:p>
    <w:p w14:paraId="3F79174C">
      <w:pPr>
        <w:spacing w:line="360" w:lineRule="auto"/>
        <w:jc w:val="center"/>
        <w:rPr>
          <w:rFonts w:hint="eastAsia" w:ascii="宋体" w:hAnsi="宋体" w:cs="宋体"/>
          <w:b/>
          <w:bCs/>
          <w:sz w:val="32"/>
          <w:szCs w:val="32"/>
        </w:rPr>
      </w:pPr>
    </w:p>
    <w:p w14:paraId="27FCF506">
      <w:pPr>
        <w:spacing w:line="360" w:lineRule="auto"/>
        <w:jc w:val="center"/>
        <w:rPr>
          <w:rFonts w:hint="eastAsia" w:ascii="宋体" w:hAnsi="宋体" w:cs="宋体"/>
          <w:b/>
          <w:bCs/>
          <w:sz w:val="32"/>
          <w:szCs w:val="32"/>
        </w:rPr>
      </w:pPr>
    </w:p>
    <w:p w14:paraId="0E519B5D">
      <w:pPr>
        <w:spacing w:line="360" w:lineRule="auto"/>
        <w:jc w:val="center"/>
        <w:rPr>
          <w:rFonts w:hint="eastAsia" w:ascii="宋体" w:hAnsi="宋体" w:cs="宋体"/>
          <w:b/>
          <w:bCs/>
          <w:sz w:val="32"/>
          <w:szCs w:val="32"/>
        </w:rPr>
      </w:pPr>
    </w:p>
    <w:p w14:paraId="0B0A075E">
      <w:pPr>
        <w:spacing w:line="360" w:lineRule="auto"/>
        <w:jc w:val="center"/>
        <w:rPr>
          <w:rFonts w:hint="eastAsia" w:ascii="宋体" w:hAnsi="宋体" w:cs="宋体"/>
          <w:b/>
          <w:bCs/>
          <w:sz w:val="32"/>
          <w:szCs w:val="32"/>
        </w:rPr>
      </w:pPr>
    </w:p>
    <w:p w14:paraId="0D47782B">
      <w:pPr>
        <w:spacing w:line="360" w:lineRule="auto"/>
        <w:jc w:val="center"/>
        <w:rPr>
          <w:rFonts w:hint="eastAsia" w:ascii="宋体" w:hAnsi="宋体" w:cs="宋体"/>
          <w:b/>
          <w:bCs/>
          <w:sz w:val="32"/>
          <w:szCs w:val="32"/>
        </w:rPr>
      </w:pPr>
    </w:p>
    <w:p w14:paraId="47D0552B">
      <w:pPr>
        <w:rPr>
          <w:rFonts w:hint="eastAsia" w:ascii="宋体" w:hAnsi="宋体" w:cs="宋体"/>
          <w:b/>
          <w:bCs/>
          <w:sz w:val="32"/>
          <w:szCs w:val="32"/>
        </w:rPr>
      </w:pPr>
      <w:r>
        <w:rPr>
          <w:rFonts w:hint="eastAsia" w:ascii="宋体" w:hAnsi="宋体" w:cs="宋体"/>
          <w:b/>
          <w:bCs/>
          <w:sz w:val="32"/>
          <w:szCs w:val="32"/>
        </w:rPr>
        <w:br w:type="page"/>
      </w:r>
    </w:p>
    <w:p w14:paraId="563CFFF1">
      <w:pPr>
        <w:spacing w:line="360" w:lineRule="auto"/>
        <w:jc w:val="center"/>
        <w:outlineLvl w:val="1"/>
        <w:rPr>
          <w:rFonts w:ascii="宋体" w:hAnsi="宋体" w:eastAsia="Arial"/>
        </w:rPr>
      </w:pPr>
      <w:bookmarkStart w:id="111" w:name="_Toc4030"/>
      <w:r>
        <w:rPr>
          <w:b/>
          <w:bCs/>
          <w:sz w:val="32"/>
          <w:szCs w:val="32"/>
        </w:rPr>
        <w:t>三、评标标准</w:t>
      </w:r>
      <w:bookmarkEnd w:id="111"/>
    </w:p>
    <w:p w14:paraId="4CB82B08">
      <w:pPr>
        <w:pStyle w:val="4"/>
        <w:keepLines w:val="0"/>
        <w:spacing w:before="100" w:after="100" w:line="360" w:lineRule="auto"/>
        <w:jc w:val="center"/>
        <w:rPr>
          <w:rFonts w:hint="eastAsia" w:ascii="宋体" w:hAnsi="宋体" w:eastAsia="Arial"/>
        </w:rPr>
      </w:pPr>
      <w:bookmarkStart w:id="112" w:name="_Toc28601"/>
      <w:r>
        <w:t>综合评分法</w:t>
      </w:r>
      <w:bookmarkEnd w:id="112"/>
    </w:p>
    <w:tbl>
      <w:tblPr>
        <w:tblStyle w:val="25"/>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0"/>
        <w:gridCol w:w="1137"/>
        <w:gridCol w:w="1427"/>
        <w:gridCol w:w="6242"/>
      </w:tblGrid>
      <w:tr w14:paraId="3271C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907" w:type="dxa"/>
            <w:gridSpan w:val="2"/>
            <w:tcBorders>
              <w:top w:val="single" w:color="000000" w:sz="4" w:space="0"/>
              <w:left w:val="single" w:color="000000" w:sz="4" w:space="0"/>
              <w:bottom w:val="single" w:color="000000" w:sz="4" w:space="0"/>
              <w:right w:val="single" w:color="000000" w:sz="4" w:space="0"/>
            </w:tcBorders>
            <w:vAlign w:val="center"/>
          </w:tcPr>
          <w:p w14:paraId="6BF6713B">
            <w:pPr>
              <w:jc w:val="center"/>
              <w:rPr>
                <w:rFonts w:ascii="宋体" w:hAnsi="宋体" w:eastAsia="Arial"/>
                <w:b/>
                <w:bCs/>
                <w:sz w:val="24"/>
                <w:szCs w:val="24"/>
              </w:rPr>
            </w:pPr>
            <w:r>
              <w:rPr>
                <w:b/>
                <w:bCs/>
                <w:sz w:val="24"/>
                <w:szCs w:val="24"/>
              </w:rPr>
              <w:t>序号</w:t>
            </w:r>
          </w:p>
        </w:tc>
        <w:tc>
          <w:tcPr>
            <w:tcW w:w="1427" w:type="dxa"/>
            <w:tcBorders>
              <w:top w:val="single" w:color="000000" w:sz="4" w:space="0"/>
              <w:left w:val="nil"/>
              <w:bottom w:val="single" w:color="000000" w:sz="4" w:space="0"/>
              <w:right w:val="single" w:color="000000" w:sz="4" w:space="0"/>
            </w:tcBorders>
            <w:vAlign w:val="center"/>
          </w:tcPr>
          <w:p w14:paraId="0592012D">
            <w:pPr>
              <w:jc w:val="center"/>
              <w:rPr>
                <w:rFonts w:ascii="宋体" w:hAnsi="宋体" w:eastAsia="Arial"/>
                <w:b/>
                <w:bCs/>
                <w:sz w:val="24"/>
                <w:szCs w:val="24"/>
              </w:rPr>
            </w:pPr>
            <w:r>
              <w:rPr>
                <w:b/>
                <w:bCs/>
                <w:sz w:val="24"/>
                <w:szCs w:val="24"/>
              </w:rPr>
              <w:t>评分</w:t>
            </w:r>
          </w:p>
          <w:p w14:paraId="60EC950F">
            <w:pPr>
              <w:jc w:val="center"/>
              <w:rPr>
                <w:rFonts w:ascii="宋体" w:hAnsi="宋体" w:eastAsia="Arial"/>
                <w:b/>
                <w:bCs/>
                <w:sz w:val="24"/>
                <w:szCs w:val="24"/>
              </w:rPr>
            </w:pPr>
            <w:r>
              <w:rPr>
                <w:b/>
                <w:bCs/>
                <w:sz w:val="24"/>
                <w:szCs w:val="24"/>
              </w:rPr>
              <w:t>因素</w:t>
            </w:r>
          </w:p>
        </w:tc>
        <w:tc>
          <w:tcPr>
            <w:tcW w:w="6242" w:type="dxa"/>
            <w:tcBorders>
              <w:top w:val="single" w:color="000000" w:sz="4" w:space="0"/>
              <w:left w:val="nil"/>
              <w:bottom w:val="single" w:color="000000" w:sz="4" w:space="0"/>
              <w:right w:val="single" w:color="000000" w:sz="4" w:space="0"/>
            </w:tcBorders>
            <w:vAlign w:val="center"/>
          </w:tcPr>
          <w:p w14:paraId="622080E9">
            <w:pPr>
              <w:jc w:val="center"/>
              <w:rPr>
                <w:rFonts w:ascii="宋体" w:hAnsi="宋体" w:eastAsia="Arial"/>
                <w:b/>
                <w:bCs/>
                <w:sz w:val="24"/>
                <w:szCs w:val="24"/>
              </w:rPr>
            </w:pPr>
            <w:r>
              <w:rPr>
                <w:b/>
                <w:bCs/>
                <w:sz w:val="24"/>
                <w:szCs w:val="24"/>
              </w:rPr>
              <w:t>评分标准</w:t>
            </w:r>
          </w:p>
        </w:tc>
      </w:tr>
      <w:tr w14:paraId="19153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70" w:type="dxa"/>
            <w:tcBorders>
              <w:top w:val="single" w:color="000000" w:sz="4" w:space="0"/>
              <w:left w:val="single" w:color="000000" w:sz="4" w:space="0"/>
              <w:bottom w:val="single" w:color="000000" w:sz="4" w:space="0"/>
              <w:right w:val="single" w:color="000000" w:sz="4" w:space="0"/>
            </w:tcBorders>
            <w:vAlign w:val="center"/>
          </w:tcPr>
          <w:p w14:paraId="6E0E35D6">
            <w:pPr>
              <w:spacing w:line="360" w:lineRule="auto"/>
              <w:jc w:val="center"/>
              <w:rPr>
                <w:rFonts w:ascii="宋体" w:hAnsi="宋体" w:eastAsia="Arial"/>
                <w:sz w:val="24"/>
                <w:szCs w:val="24"/>
              </w:rPr>
            </w:pPr>
            <w:r>
              <w:rPr>
                <w:rFonts w:ascii="宋体" w:hAnsi="宋体" w:cs="宋体"/>
                <w:sz w:val="24"/>
                <w:szCs w:val="24"/>
              </w:rPr>
              <w:t>1</w:t>
            </w:r>
          </w:p>
        </w:tc>
        <w:tc>
          <w:tcPr>
            <w:tcW w:w="1137" w:type="dxa"/>
            <w:tcBorders>
              <w:top w:val="single" w:color="000000" w:sz="4" w:space="0"/>
              <w:left w:val="nil"/>
              <w:bottom w:val="single" w:color="000000" w:sz="4" w:space="0"/>
              <w:right w:val="single" w:color="000000" w:sz="4" w:space="0"/>
            </w:tcBorders>
            <w:vAlign w:val="center"/>
          </w:tcPr>
          <w:p w14:paraId="6F420150">
            <w:pPr>
              <w:spacing w:line="360" w:lineRule="auto"/>
              <w:jc w:val="center"/>
              <w:rPr>
                <w:rFonts w:ascii="宋体" w:hAnsi="宋体" w:eastAsia="Arial"/>
                <w:sz w:val="24"/>
                <w:szCs w:val="24"/>
              </w:rPr>
            </w:pPr>
            <w:r>
              <w:rPr>
                <w:sz w:val="24"/>
                <w:szCs w:val="24"/>
              </w:rPr>
              <w:t>价格分</w:t>
            </w:r>
          </w:p>
          <w:p w14:paraId="444CB86F">
            <w:pPr>
              <w:spacing w:line="360" w:lineRule="auto"/>
              <w:jc w:val="center"/>
              <w:rPr>
                <w:rFonts w:ascii="宋体" w:hAnsi="宋体" w:eastAsia="Arial"/>
                <w:sz w:val="24"/>
                <w:szCs w:val="24"/>
              </w:rPr>
            </w:pPr>
            <w:r>
              <w:rPr>
                <w:sz w:val="24"/>
                <w:szCs w:val="24"/>
              </w:rPr>
              <w:t>（满分</w:t>
            </w:r>
            <w:r>
              <w:rPr>
                <w:rFonts w:ascii="宋体" w:hAnsi="宋体" w:cs="宋体"/>
                <w:sz w:val="24"/>
                <w:szCs w:val="24"/>
              </w:rPr>
              <w:t>10</w:t>
            </w:r>
            <w:r>
              <w:rPr>
                <w:sz w:val="24"/>
                <w:szCs w:val="24"/>
              </w:rPr>
              <w:t>分）</w:t>
            </w:r>
          </w:p>
        </w:tc>
        <w:tc>
          <w:tcPr>
            <w:tcW w:w="1427" w:type="dxa"/>
            <w:tcBorders>
              <w:top w:val="single" w:color="000000" w:sz="4" w:space="0"/>
              <w:left w:val="nil"/>
              <w:bottom w:val="single" w:color="000000" w:sz="4" w:space="0"/>
              <w:right w:val="single" w:color="000000" w:sz="4" w:space="0"/>
            </w:tcBorders>
            <w:vAlign w:val="center"/>
          </w:tcPr>
          <w:p w14:paraId="7BC94729">
            <w:pPr>
              <w:spacing w:line="360" w:lineRule="auto"/>
              <w:jc w:val="center"/>
              <w:rPr>
                <w:rFonts w:ascii="宋体" w:hAnsi="宋体" w:eastAsia="Arial"/>
                <w:sz w:val="24"/>
                <w:szCs w:val="24"/>
              </w:rPr>
            </w:pPr>
            <w:r>
              <w:rPr>
                <w:sz w:val="24"/>
                <w:szCs w:val="24"/>
              </w:rPr>
              <w:t>投标报价（</w:t>
            </w:r>
            <w:r>
              <w:rPr>
                <w:rFonts w:ascii="宋体" w:hAnsi="宋体" w:cs="宋体"/>
                <w:sz w:val="24"/>
                <w:szCs w:val="24"/>
              </w:rPr>
              <w:t>10</w:t>
            </w:r>
            <w:r>
              <w:rPr>
                <w:sz w:val="24"/>
                <w:szCs w:val="24"/>
              </w:rPr>
              <w:t>分）</w:t>
            </w:r>
          </w:p>
        </w:tc>
        <w:tc>
          <w:tcPr>
            <w:tcW w:w="6242" w:type="dxa"/>
            <w:tcBorders>
              <w:top w:val="single" w:color="000000" w:sz="4" w:space="0"/>
              <w:left w:val="nil"/>
              <w:bottom w:val="single" w:color="000000" w:sz="4" w:space="0"/>
              <w:right w:val="single" w:color="000000" w:sz="4" w:space="0"/>
            </w:tcBorders>
            <w:vAlign w:val="center"/>
          </w:tcPr>
          <w:p w14:paraId="44C5B7AB">
            <w:pPr>
              <w:spacing w:line="360" w:lineRule="auto"/>
              <w:ind w:firstLine="480" w:firstLineChars="200"/>
              <w:rPr>
                <w:rFonts w:ascii="宋体" w:hAnsi="宋体" w:eastAsia="Arial"/>
                <w:sz w:val="24"/>
                <w:szCs w:val="24"/>
              </w:rPr>
            </w:pPr>
            <w:r>
              <w:rPr>
                <w:sz w:val="24"/>
                <w:szCs w:val="24"/>
              </w:rPr>
              <w:t>（</w:t>
            </w:r>
            <w:r>
              <w:rPr>
                <w:rFonts w:ascii="宋体" w:hAnsi="宋体" w:cs="宋体"/>
                <w:sz w:val="24"/>
                <w:szCs w:val="24"/>
              </w:rPr>
              <w:t>1</w:t>
            </w:r>
            <w:r>
              <w:rPr>
                <w:sz w:val="24"/>
                <w:szCs w:val="24"/>
              </w:rPr>
              <w:t>）评标报价为投标人的投标报价进行政策性扣除后的价格，评标报价只是作为评标时使用。最终中标人的中标金额等于投标报价。</w:t>
            </w:r>
          </w:p>
          <w:p w14:paraId="01A5217D">
            <w:pPr>
              <w:spacing w:line="360" w:lineRule="auto"/>
              <w:ind w:firstLine="480" w:firstLineChars="200"/>
              <w:rPr>
                <w:rFonts w:hint="eastAsia" w:ascii="宋体" w:hAnsi="宋体" w:eastAsia="Arial"/>
                <w:sz w:val="24"/>
                <w:szCs w:val="24"/>
              </w:rPr>
            </w:pPr>
            <w:r>
              <w:rPr>
                <w:sz w:val="24"/>
                <w:szCs w:val="24"/>
              </w:rPr>
              <w:t>（</w:t>
            </w:r>
            <w:r>
              <w:rPr>
                <w:rFonts w:ascii="宋体" w:hAnsi="宋体" w:cs="宋体"/>
                <w:sz w:val="24"/>
                <w:szCs w:val="24"/>
              </w:rPr>
              <w:t>2</w:t>
            </w:r>
            <w:r>
              <w:rPr>
                <w:sz w:val="24"/>
                <w:szCs w:val="24"/>
              </w:rPr>
              <w:t>）政策性扣除计算方法。</w:t>
            </w:r>
          </w:p>
          <w:p w14:paraId="17C48F84">
            <w:pPr>
              <w:spacing w:line="360" w:lineRule="auto"/>
              <w:ind w:firstLine="480" w:firstLineChars="200"/>
              <w:rPr>
                <w:rFonts w:hint="eastAsia" w:ascii="宋体" w:hAnsi="宋体" w:eastAsia="Arial"/>
                <w:sz w:val="24"/>
                <w:szCs w:val="24"/>
              </w:rPr>
            </w:pPr>
            <w:r>
              <w:rPr>
                <w:sz w:val="24"/>
                <w:szCs w:val="24"/>
              </w:rPr>
              <w:t>根据《政府采购促进中小企业发展管理办法》（财库〔</w:t>
            </w:r>
            <w:r>
              <w:rPr>
                <w:rFonts w:ascii="宋体" w:hAnsi="宋体" w:cs="宋体"/>
                <w:sz w:val="24"/>
                <w:szCs w:val="24"/>
              </w:rPr>
              <w:t>2020</w:t>
            </w:r>
            <w:r>
              <w:rPr>
                <w:sz w:val="24"/>
                <w:szCs w:val="24"/>
              </w:rPr>
              <w:t>〕</w:t>
            </w:r>
            <w:r>
              <w:rPr>
                <w:rFonts w:ascii="宋体" w:hAnsi="宋体" w:cs="宋体"/>
                <w:sz w:val="24"/>
                <w:szCs w:val="24"/>
              </w:rPr>
              <w:t>46</w:t>
            </w:r>
            <w:r>
              <w:rPr>
                <w:sz w:val="24"/>
                <w:szCs w:val="24"/>
              </w:rPr>
              <w:t>号）等有关规定，投标人在其投标文件中提供《中小企业声明函》，且其</w:t>
            </w:r>
            <w:r>
              <w:rPr>
                <w:sz w:val="24"/>
                <w:szCs w:val="24"/>
                <w:highlight w:val="yellow"/>
              </w:rPr>
              <w:t>所投标服务全部为小型和微型</w:t>
            </w:r>
            <w:r>
              <w:rPr>
                <w:sz w:val="24"/>
                <w:szCs w:val="24"/>
              </w:rPr>
              <w:t>企业服务的，对其投标报价给予</w:t>
            </w:r>
            <w:r>
              <w:rPr>
                <w:rFonts w:ascii="宋体" w:hAnsi="宋体" w:cs="宋体"/>
                <w:sz w:val="24"/>
                <w:szCs w:val="24"/>
              </w:rPr>
              <w:t>10%</w:t>
            </w:r>
            <w:r>
              <w:rPr>
                <w:sz w:val="24"/>
                <w:szCs w:val="24"/>
              </w:rPr>
              <w:t>的扣除，扣除后的价格为评标报价，即评标报价</w:t>
            </w:r>
            <w:r>
              <w:rPr>
                <w:rFonts w:ascii="宋体" w:hAnsi="宋体" w:cs="宋体"/>
                <w:sz w:val="24"/>
                <w:szCs w:val="24"/>
              </w:rPr>
              <w:t>=</w:t>
            </w:r>
            <w:r>
              <w:rPr>
                <w:sz w:val="24"/>
                <w:szCs w:val="24"/>
              </w:rPr>
              <w:t>投标报价×（</w:t>
            </w:r>
            <w:r>
              <w:rPr>
                <w:rFonts w:ascii="宋体" w:hAnsi="宋体" w:cs="宋体"/>
                <w:sz w:val="24"/>
                <w:szCs w:val="24"/>
              </w:rPr>
              <w:t>1-10%</w:t>
            </w:r>
            <w:r>
              <w:rPr>
                <w:sz w:val="24"/>
                <w:szCs w:val="24"/>
              </w:rPr>
              <w:t>）。除上述情况外，评标报价</w:t>
            </w:r>
            <w:r>
              <w:rPr>
                <w:rFonts w:ascii="宋体" w:hAnsi="宋体" w:cs="宋体"/>
                <w:sz w:val="24"/>
                <w:szCs w:val="24"/>
              </w:rPr>
              <w:t>=</w:t>
            </w:r>
            <w:r>
              <w:rPr>
                <w:sz w:val="24"/>
                <w:szCs w:val="24"/>
              </w:rPr>
              <w:t>投标报价。</w:t>
            </w:r>
          </w:p>
          <w:p w14:paraId="3342981D">
            <w:pPr>
              <w:spacing w:line="360" w:lineRule="auto"/>
              <w:ind w:firstLine="480" w:firstLineChars="200"/>
              <w:rPr>
                <w:rFonts w:hint="eastAsia" w:ascii="宋体" w:hAnsi="宋体" w:eastAsia="Arial"/>
                <w:sz w:val="24"/>
                <w:szCs w:val="24"/>
              </w:rPr>
            </w:pPr>
            <w:r>
              <w:rPr>
                <w:sz w:val="24"/>
                <w:szCs w:val="24"/>
              </w:rPr>
              <w:t>（</w:t>
            </w:r>
            <w:r>
              <w:rPr>
                <w:rFonts w:ascii="宋体" w:hAnsi="宋体" w:cs="宋体"/>
                <w:sz w:val="24"/>
                <w:szCs w:val="24"/>
              </w:rPr>
              <w:t>3</w:t>
            </w:r>
            <w:r>
              <w:rPr>
                <w:sz w:val="24"/>
                <w:szCs w:val="24"/>
              </w:rPr>
              <w:t>）按照《财政部、司法部关于政府采购支持监狱企业发展有关问题的通知》（财库〔</w:t>
            </w:r>
            <w:r>
              <w:rPr>
                <w:rFonts w:ascii="宋体" w:hAnsi="宋体" w:cs="宋体"/>
                <w:sz w:val="24"/>
                <w:szCs w:val="24"/>
              </w:rPr>
              <w:t>2014</w:t>
            </w:r>
            <w:r>
              <w:rPr>
                <w:sz w:val="24"/>
                <w:szCs w:val="24"/>
              </w:rPr>
              <w:t>〕</w:t>
            </w:r>
            <w:r>
              <w:rPr>
                <w:rFonts w:ascii="宋体" w:hAnsi="宋体" w:cs="宋体"/>
                <w:sz w:val="24"/>
                <w:szCs w:val="24"/>
              </w:rPr>
              <w:t>68</w:t>
            </w:r>
            <w:r>
              <w:rPr>
                <w:sz w:val="24"/>
                <w:szCs w:val="24"/>
              </w:rPr>
              <w:t>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1C7F04C7">
            <w:pPr>
              <w:spacing w:line="360" w:lineRule="auto"/>
              <w:ind w:firstLine="480" w:firstLineChars="200"/>
              <w:rPr>
                <w:rFonts w:hint="eastAsia" w:ascii="宋体" w:hAnsi="宋体" w:eastAsia="Arial"/>
                <w:sz w:val="24"/>
                <w:szCs w:val="24"/>
              </w:rPr>
            </w:pPr>
            <w:r>
              <w:rPr>
                <w:sz w:val="24"/>
                <w:szCs w:val="24"/>
              </w:rPr>
              <w:t>（</w:t>
            </w:r>
            <w:r>
              <w:rPr>
                <w:rFonts w:ascii="宋体" w:hAnsi="宋体" w:cs="宋体"/>
                <w:sz w:val="24"/>
                <w:szCs w:val="24"/>
              </w:rPr>
              <w:t>4</w:t>
            </w:r>
            <w:r>
              <w:rPr>
                <w:sz w:val="24"/>
                <w:szCs w:val="24"/>
              </w:rPr>
              <w:t>）按照《关于促进残疾人就业政府采购政策的通知》（财库〔</w:t>
            </w:r>
            <w:r>
              <w:rPr>
                <w:rFonts w:ascii="宋体" w:hAnsi="宋体" w:cs="宋体"/>
                <w:sz w:val="24"/>
                <w:szCs w:val="24"/>
              </w:rPr>
              <w:t>2017</w:t>
            </w:r>
            <w:r>
              <w:rPr>
                <w:sz w:val="24"/>
                <w:szCs w:val="24"/>
              </w:rPr>
              <w:t>〕</w:t>
            </w:r>
            <w:r>
              <w:rPr>
                <w:rFonts w:ascii="宋体" w:hAnsi="宋体" w:cs="宋体"/>
                <w:sz w:val="24"/>
                <w:szCs w:val="24"/>
              </w:rPr>
              <w:t>141</w:t>
            </w:r>
            <w:r>
              <w:rPr>
                <w:sz w:val="24"/>
                <w:szCs w:val="24"/>
              </w:rPr>
              <w:t>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DB75D5D">
            <w:pPr>
              <w:spacing w:line="360" w:lineRule="auto"/>
              <w:ind w:firstLine="480" w:firstLineChars="200"/>
              <w:rPr>
                <w:rFonts w:hint="eastAsia" w:ascii="宋体" w:hAnsi="宋体" w:eastAsia="Arial"/>
                <w:sz w:val="24"/>
                <w:szCs w:val="24"/>
              </w:rPr>
            </w:pPr>
            <w:r>
              <w:rPr>
                <w:sz w:val="24"/>
                <w:szCs w:val="24"/>
              </w:rPr>
              <w:t>（</w:t>
            </w:r>
            <w:r>
              <w:rPr>
                <w:rFonts w:ascii="宋体" w:hAnsi="宋体" w:cs="宋体"/>
                <w:sz w:val="24"/>
                <w:szCs w:val="24"/>
              </w:rPr>
              <w:t>5</w:t>
            </w:r>
            <w:r>
              <w:rPr>
                <w:sz w:val="24"/>
                <w:szCs w:val="24"/>
              </w:rPr>
              <w:t>）满足招标文件要求且评标报价最低的评标报价为评标基准价，其价格分为满分。</w:t>
            </w:r>
          </w:p>
          <w:p w14:paraId="3DAD19EB">
            <w:pPr>
              <w:spacing w:line="360" w:lineRule="auto"/>
              <w:ind w:firstLine="480" w:firstLineChars="200"/>
              <w:rPr>
                <w:rFonts w:ascii="宋体" w:hAnsi="宋体" w:eastAsia="Arial"/>
                <w:sz w:val="24"/>
                <w:szCs w:val="24"/>
              </w:rPr>
            </w:pPr>
            <w:r>
              <w:rPr>
                <w:sz w:val="24"/>
                <w:szCs w:val="24"/>
              </w:rPr>
              <w:t>（</w:t>
            </w:r>
            <w:r>
              <w:rPr>
                <w:rFonts w:ascii="宋体" w:hAnsi="宋体" w:cs="宋体"/>
                <w:sz w:val="24"/>
                <w:szCs w:val="24"/>
              </w:rPr>
              <w:t>6</w:t>
            </w:r>
            <w:r>
              <w:rPr>
                <w:sz w:val="24"/>
                <w:szCs w:val="24"/>
              </w:rPr>
              <w:t>）价格分计算公式：价格分</w:t>
            </w:r>
            <w:r>
              <w:rPr>
                <w:rFonts w:ascii="宋体" w:hAnsi="宋体" w:cs="宋体"/>
                <w:sz w:val="24"/>
                <w:szCs w:val="24"/>
              </w:rPr>
              <w:t>=</w:t>
            </w:r>
            <w:r>
              <w:rPr>
                <w:sz w:val="24"/>
                <w:szCs w:val="24"/>
              </w:rPr>
              <w:t>（所有有效投标人中的最低评标报价／投标人评标报价）×</w:t>
            </w:r>
            <w:r>
              <w:rPr>
                <w:rFonts w:ascii="宋体" w:hAnsi="宋体" w:cs="宋体"/>
                <w:sz w:val="24"/>
                <w:szCs w:val="24"/>
              </w:rPr>
              <w:t>10</w:t>
            </w:r>
            <w:r>
              <w:rPr>
                <w:sz w:val="24"/>
                <w:szCs w:val="24"/>
              </w:rPr>
              <w:t>分</w:t>
            </w:r>
          </w:p>
        </w:tc>
      </w:tr>
      <w:tr w14:paraId="08A7E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70" w:type="dxa"/>
            <w:vMerge w:val="restart"/>
            <w:tcBorders>
              <w:top w:val="nil"/>
              <w:left w:val="single" w:color="000000" w:sz="4" w:space="0"/>
              <w:bottom w:val="single" w:color="000000" w:sz="4" w:space="0"/>
              <w:right w:val="single" w:color="000000" w:sz="4" w:space="0"/>
            </w:tcBorders>
            <w:vAlign w:val="center"/>
          </w:tcPr>
          <w:p w14:paraId="04D7CDF7">
            <w:pPr>
              <w:spacing w:line="360" w:lineRule="auto"/>
              <w:ind w:firstLine="240" w:firstLineChars="100"/>
              <w:jc w:val="both"/>
              <w:rPr>
                <w:rFonts w:ascii="宋体" w:hAnsi="宋体" w:eastAsia="Arial"/>
                <w:sz w:val="24"/>
                <w:szCs w:val="24"/>
                <w:u w:val="single"/>
              </w:rPr>
            </w:pPr>
            <w:r>
              <w:rPr>
                <w:rFonts w:ascii="宋体" w:hAnsi="宋体" w:cs="宋体"/>
                <w:b/>
                <w:bCs/>
                <w:sz w:val="24"/>
                <w:szCs w:val="24"/>
              </w:rPr>
              <w:t>2</w:t>
            </w:r>
          </w:p>
        </w:tc>
        <w:tc>
          <w:tcPr>
            <w:tcW w:w="1137" w:type="dxa"/>
            <w:vMerge w:val="restart"/>
            <w:tcBorders>
              <w:top w:val="nil"/>
              <w:left w:val="nil"/>
              <w:bottom w:val="single" w:color="000000" w:sz="4" w:space="0"/>
              <w:right w:val="single" w:color="000000" w:sz="4" w:space="0"/>
            </w:tcBorders>
            <w:vAlign w:val="center"/>
          </w:tcPr>
          <w:p w14:paraId="4E5340F4">
            <w:pPr>
              <w:spacing w:line="360" w:lineRule="auto"/>
              <w:rPr>
                <w:rFonts w:ascii="宋体" w:hAnsi="宋体" w:eastAsia="Arial"/>
                <w:color w:val="auto"/>
                <w:sz w:val="24"/>
                <w:szCs w:val="24"/>
                <w:highlight w:val="none"/>
                <w:u w:val="single"/>
              </w:rPr>
            </w:pPr>
            <w:r>
              <w:rPr>
                <w:color w:val="auto"/>
                <w:sz w:val="24"/>
                <w:szCs w:val="24"/>
                <w:highlight w:val="none"/>
              </w:rPr>
              <w:t>技术分（满分</w:t>
            </w:r>
            <w:r>
              <w:rPr>
                <w:rFonts w:hint="eastAsia" w:ascii="宋体" w:hAnsi="宋体" w:cs="宋体"/>
                <w:color w:val="auto"/>
                <w:sz w:val="24"/>
                <w:szCs w:val="24"/>
                <w:highlight w:val="none"/>
                <w:lang w:val="en-US" w:eastAsia="zh-CN"/>
              </w:rPr>
              <w:t>60</w:t>
            </w:r>
            <w:r>
              <w:rPr>
                <w:color w:val="auto"/>
                <w:sz w:val="24"/>
                <w:szCs w:val="24"/>
                <w:highlight w:val="none"/>
              </w:rPr>
              <w:t>分）</w:t>
            </w:r>
          </w:p>
        </w:tc>
        <w:tc>
          <w:tcPr>
            <w:tcW w:w="1427" w:type="dxa"/>
            <w:tcBorders>
              <w:top w:val="single" w:color="000000" w:sz="4" w:space="0"/>
              <w:left w:val="nil"/>
              <w:bottom w:val="single" w:color="000000" w:sz="4" w:space="0"/>
              <w:right w:val="single" w:color="000000" w:sz="4" w:space="0"/>
            </w:tcBorders>
            <w:vAlign w:val="center"/>
          </w:tcPr>
          <w:p w14:paraId="476E42EE">
            <w:pPr>
              <w:rPr>
                <w:rFonts w:cs="宋体"/>
                <w:color w:val="auto"/>
                <w:sz w:val="24"/>
                <w:szCs w:val="24"/>
                <w:highlight w:val="none"/>
              </w:rPr>
            </w:pPr>
            <w:r>
              <w:rPr>
                <w:color w:val="auto"/>
                <w:sz w:val="24"/>
                <w:szCs w:val="24"/>
                <w:highlight w:val="none"/>
              </w:rPr>
              <w:t>（1）服务方案分（</w:t>
            </w:r>
            <w:r>
              <w:rPr>
                <w:rFonts w:hint="eastAsia"/>
                <w:color w:val="auto"/>
                <w:sz w:val="24"/>
                <w:szCs w:val="24"/>
                <w:highlight w:val="none"/>
                <w:lang w:val="en-US" w:eastAsia="zh-CN"/>
              </w:rPr>
              <w:t>16</w:t>
            </w:r>
            <w:r>
              <w:rPr>
                <w:color w:val="auto"/>
                <w:sz w:val="24"/>
                <w:szCs w:val="24"/>
                <w:highlight w:val="none"/>
              </w:rPr>
              <w:t>分）</w:t>
            </w:r>
          </w:p>
        </w:tc>
        <w:tc>
          <w:tcPr>
            <w:tcW w:w="6242" w:type="dxa"/>
            <w:tcBorders>
              <w:top w:val="single" w:color="000000" w:sz="4" w:space="0"/>
              <w:left w:val="nil"/>
              <w:bottom w:val="single" w:color="000000" w:sz="4" w:space="0"/>
              <w:right w:val="single" w:color="000000" w:sz="4" w:space="0"/>
            </w:tcBorders>
            <w:vAlign w:val="center"/>
          </w:tcPr>
          <w:p w14:paraId="209AC1BD">
            <w:pPr>
              <w:tabs>
                <w:tab w:val="left" w:pos="0"/>
              </w:tabs>
              <w:spacing w:line="360" w:lineRule="auto"/>
              <w:ind w:firstLine="420"/>
              <w:rPr>
                <w:rFonts w:cs="宋体"/>
                <w:sz w:val="24"/>
                <w:szCs w:val="24"/>
                <w:highlight w:val="none"/>
              </w:rPr>
            </w:pPr>
            <w:r>
              <w:rPr>
                <w:sz w:val="24"/>
                <w:szCs w:val="24"/>
                <w:highlight w:val="none"/>
              </w:rPr>
              <w:t>一档（</w:t>
            </w:r>
            <w:r>
              <w:rPr>
                <w:rFonts w:hint="eastAsia"/>
                <w:sz w:val="24"/>
                <w:szCs w:val="24"/>
                <w:highlight w:val="none"/>
                <w:lang w:val="en-US" w:eastAsia="zh-CN"/>
              </w:rPr>
              <w:t>10</w:t>
            </w:r>
            <w:r>
              <w:rPr>
                <w:sz w:val="24"/>
                <w:szCs w:val="24"/>
                <w:highlight w:val="none"/>
              </w:rPr>
              <w:t>分）：方案结构完整，有详细的组织架构</w:t>
            </w:r>
            <w:r>
              <w:rPr>
                <w:rFonts w:hint="eastAsia" w:eastAsia="宋体"/>
                <w:sz w:val="24"/>
                <w:szCs w:val="24"/>
                <w:highlight w:val="none"/>
                <w:lang w:eastAsia="zh-CN"/>
              </w:rPr>
              <w:t>、</w:t>
            </w:r>
            <w:r>
              <w:rPr>
                <w:sz w:val="24"/>
                <w:szCs w:val="24"/>
                <w:highlight w:val="none"/>
              </w:rPr>
              <w:t>人员配备（含持证人员）、车辆设备清单、应急措施；有路基、路面、桥梁、交通工程及沿线设施、绿化的养护施工方法、施工工艺，</w:t>
            </w:r>
            <w:r>
              <w:rPr>
                <w:rFonts w:hint="eastAsia" w:eastAsia="宋体"/>
                <w:sz w:val="24"/>
                <w:szCs w:val="24"/>
                <w:highlight w:val="none"/>
                <w:lang w:val="en-US" w:eastAsia="zh-CN"/>
              </w:rPr>
              <w:t>有</w:t>
            </w:r>
            <w:r>
              <w:rPr>
                <w:sz w:val="24"/>
                <w:szCs w:val="24"/>
                <w:highlight w:val="none"/>
              </w:rPr>
              <w:t>作业流程图、质量控制措施、应急处置预案（含雨雪冰冻、交通事故等场景）、环保措施、安全生产制度。主要服务项目的施工方案、方法与技术措施内容表述清晰且基本满足实施需求。</w:t>
            </w:r>
          </w:p>
          <w:p w14:paraId="27CFDF2C">
            <w:pPr>
              <w:tabs>
                <w:tab w:val="left" w:pos="0"/>
              </w:tabs>
              <w:spacing w:line="360" w:lineRule="auto"/>
              <w:ind w:firstLine="420"/>
              <w:rPr>
                <w:rFonts w:cs="宋体"/>
                <w:sz w:val="24"/>
                <w:szCs w:val="24"/>
                <w:highlight w:val="none"/>
              </w:rPr>
            </w:pPr>
            <w:r>
              <w:rPr>
                <w:sz w:val="24"/>
                <w:szCs w:val="24"/>
                <w:highlight w:val="none"/>
              </w:rPr>
              <w:t>二档（</w:t>
            </w:r>
            <w:r>
              <w:rPr>
                <w:rFonts w:hint="eastAsia"/>
                <w:sz w:val="24"/>
                <w:szCs w:val="24"/>
                <w:highlight w:val="none"/>
                <w:lang w:val="en-US" w:eastAsia="zh-CN"/>
              </w:rPr>
              <w:t>13</w:t>
            </w:r>
            <w:r>
              <w:rPr>
                <w:sz w:val="24"/>
                <w:szCs w:val="24"/>
                <w:highlight w:val="none"/>
              </w:rPr>
              <w:t>分）：在一档基础上，组织架构、人员配置与车辆设备清单完全匹配项目养护全流程需求，持证人员资质、设备规格参数精准且可落地；作业流程、质量控制、安全生产、环保措施形成闭环管理体系，各环节责任到人、标准明确、考核量化；应急处置预案覆盖雨雪冰冻、交通事故、道路损毁、恶劣天气等全场景，含具体处置流程、物资储备、联动机制及演练计划，响应时限与处置标准清晰可执行；有年度养护计划、月度巡检计划、隐患排查机制；针对承包路段不同线路、特殊路段制定科学有效的专项养护方案，能很好的指导具体养护施工，确保养护质量，服务承诺具体、可量化、可考核；</w:t>
            </w:r>
          </w:p>
          <w:p w14:paraId="31EE1AAE">
            <w:pPr>
              <w:tabs>
                <w:tab w:val="left" w:pos="0"/>
              </w:tabs>
              <w:spacing w:line="360" w:lineRule="auto"/>
              <w:ind w:firstLine="420"/>
              <w:rPr>
                <w:rFonts w:hint="eastAsia" w:cs="宋体"/>
                <w:color w:val="auto"/>
                <w:sz w:val="24"/>
                <w:szCs w:val="24"/>
                <w:highlight w:val="none"/>
              </w:rPr>
            </w:pPr>
            <w:r>
              <w:rPr>
                <w:sz w:val="24"/>
                <w:szCs w:val="24"/>
                <w:highlight w:val="none"/>
              </w:rPr>
              <w:t>三档（</w:t>
            </w:r>
            <w:r>
              <w:rPr>
                <w:rFonts w:hint="eastAsia"/>
                <w:sz w:val="24"/>
                <w:szCs w:val="24"/>
                <w:highlight w:val="none"/>
                <w:lang w:val="en-US" w:eastAsia="zh-CN"/>
              </w:rPr>
              <w:t>16</w:t>
            </w:r>
            <w:r>
              <w:rPr>
                <w:sz w:val="24"/>
                <w:szCs w:val="24"/>
                <w:highlight w:val="none"/>
              </w:rPr>
              <w:t>分）：在</w:t>
            </w:r>
            <w:r>
              <w:rPr>
                <w:rFonts w:hint="eastAsia"/>
                <w:sz w:val="24"/>
                <w:szCs w:val="24"/>
                <w:highlight w:val="none"/>
                <w:lang w:val="en-US" w:eastAsia="zh-CN"/>
              </w:rPr>
              <w:t>二</w:t>
            </w:r>
            <w:r>
              <w:rPr>
                <w:sz w:val="24"/>
                <w:szCs w:val="24"/>
                <w:highlight w:val="none"/>
              </w:rPr>
              <w:t>档基础上，年度、月度养护计划结合路段工况动态制定，隐患排查实现常态化、网格化，特殊路段专项养护方案针对性极强，融合先进养护技术与工艺，可直接指导精细化施工；服务承诺全面覆盖养护质量、作业效率、应急响应、客户沟通等维度，指标高度量化、考核标准严格、保障措施完善，能最大化保障道路通行质量与养护服务水平。</w:t>
            </w:r>
            <w:r>
              <w:rPr>
                <w:color w:val="auto"/>
                <w:sz w:val="24"/>
                <w:szCs w:val="24"/>
                <w:highlight w:val="none"/>
              </w:rPr>
              <w:t>针对采购需求主要服务内容和要求中机械化养护要求制定具体可行方案，确保逐步实现养护机械化目标；针对日常养护主要内容制定标准化作业流程，确保养护作业形成标准化模式。针对日常养护主要内容制定专业化养护人员、机械设备投入计划及技术服务方案，确保养护作业实现专业化；针对重点路段及桥隧制定数字化方案，针对公路巡检制定智能巡检方案，针对水毁冰冻及道路安全等风险隐患路段制定智能监测方案，逐步实现公路智能化管理。</w:t>
            </w:r>
          </w:p>
          <w:p w14:paraId="1DB96BE6">
            <w:pPr>
              <w:tabs>
                <w:tab w:val="left" w:pos="0"/>
              </w:tabs>
              <w:spacing w:line="360" w:lineRule="auto"/>
              <w:rPr>
                <w:rFonts w:cs="宋体"/>
                <w:sz w:val="24"/>
                <w:szCs w:val="24"/>
              </w:rPr>
            </w:pPr>
            <w:r>
              <w:rPr>
                <w:b/>
                <w:bCs/>
                <w:sz w:val="24"/>
                <w:szCs w:val="24"/>
              </w:rPr>
              <w:t>备注：达不到一档要求或未提供方案的，得0分。</w:t>
            </w:r>
          </w:p>
        </w:tc>
      </w:tr>
      <w:tr w14:paraId="21836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70" w:type="dxa"/>
            <w:vMerge w:val="continue"/>
            <w:tcBorders>
              <w:top w:val="nil"/>
              <w:left w:val="single" w:color="000000" w:sz="4" w:space="0"/>
              <w:bottom w:val="single" w:color="000000" w:sz="4" w:space="0"/>
              <w:right w:val="single" w:color="000000" w:sz="4" w:space="0"/>
            </w:tcBorders>
            <w:vAlign w:val="center"/>
          </w:tcPr>
          <w:p w14:paraId="719AC499">
            <w:pPr>
              <w:kinsoku/>
              <w:autoSpaceDE/>
              <w:autoSpaceDN/>
              <w:adjustRightInd/>
              <w:snapToGrid/>
              <w:textAlignment w:val="auto"/>
              <w:rPr>
                <w:rFonts w:ascii="宋体" w:hAnsi="宋体" w:eastAsia="Arial"/>
                <w:sz w:val="24"/>
                <w:szCs w:val="24"/>
                <w:u w:val="single"/>
              </w:rPr>
            </w:pPr>
          </w:p>
        </w:tc>
        <w:tc>
          <w:tcPr>
            <w:tcW w:w="1137" w:type="dxa"/>
            <w:vMerge w:val="continue"/>
            <w:tcBorders>
              <w:top w:val="nil"/>
              <w:left w:val="nil"/>
              <w:bottom w:val="single" w:color="000000" w:sz="4" w:space="0"/>
              <w:right w:val="single" w:color="000000" w:sz="4" w:space="0"/>
            </w:tcBorders>
            <w:vAlign w:val="center"/>
          </w:tcPr>
          <w:p w14:paraId="2DF3102E">
            <w:pPr>
              <w:kinsoku/>
              <w:autoSpaceDE/>
              <w:autoSpaceDN/>
              <w:adjustRightInd/>
              <w:snapToGrid/>
              <w:textAlignment w:val="auto"/>
              <w:rPr>
                <w:rFonts w:ascii="宋体" w:hAnsi="宋体" w:eastAsia="Arial"/>
                <w:sz w:val="24"/>
                <w:szCs w:val="24"/>
                <w:highlight w:val="cyan"/>
                <w:u w:val="single"/>
              </w:rPr>
            </w:pPr>
          </w:p>
        </w:tc>
        <w:tc>
          <w:tcPr>
            <w:tcW w:w="1427" w:type="dxa"/>
            <w:tcBorders>
              <w:top w:val="single" w:color="000000" w:sz="4" w:space="0"/>
              <w:left w:val="nil"/>
              <w:bottom w:val="single" w:color="000000" w:sz="4" w:space="0"/>
              <w:right w:val="single" w:color="000000" w:sz="4" w:space="0"/>
            </w:tcBorders>
            <w:vAlign w:val="center"/>
          </w:tcPr>
          <w:p w14:paraId="22438C3C">
            <w:pPr>
              <w:tabs>
                <w:tab w:val="left" w:pos="0"/>
              </w:tabs>
              <w:rPr>
                <w:rFonts w:cs="宋体"/>
                <w:color w:val="auto"/>
                <w:sz w:val="24"/>
                <w:szCs w:val="24"/>
              </w:rPr>
            </w:pPr>
            <w:r>
              <w:rPr>
                <w:color w:val="auto"/>
                <w:sz w:val="24"/>
                <w:szCs w:val="24"/>
                <w:highlight w:val="none"/>
              </w:rPr>
              <w:t>（2）项目服务质量管理体系及保证措施（满分</w:t>
            </w:r>
            <w:r>
              <w:rPr>
                <w:rFonts w:hint="eastAsia"/>
                <w:color w:val="auto"/>
                <w:sz w:val="24"/>
                <w:szCs w:val="24"/>
                <w:highlight w:val="none"/>
                <w:lang w:val="en-US" w:eastAsia="zh-CN"/>
              </w:rPr>
              <w:t>14</w:t>
            </w:r>
            <w:r>
              <w:rPr>
                <w:color w:val="auto"/>
                <w:sz w:val="24"/>
                <w:szCs w:val="24"/>
                <w:highlight w:val="none"/>
              </w:rPr>
              <w:t>分）</w:t>
            </w:r>
          </w:p>
        </w:tc>
        <w:tc>
          <w:tcPr>
            <w:tcW w:w="6242" w:type="dxa"/>
            <w:tcBorders>
              <w:top w:val="single" w:color="000000" w:sz="4" w:space="0"/>
              <w:left w:val="nil"/>
              <w:bottom w:val="single" w:color="000000" w:sz="4" w:space="0"/>
              <w:right w:val="single" w:color="000000" w:sz="4" w:space="0"/>
            </w:tcBorders>
            <w:vAlign w:val="center"/>
          </w:tcPr>
          <w:p w14:paraId="47132728">
            <w:pPr>
              <w:tabs>
                <w:tab w:val="left" w:pos="0"/>
              </w:tabs>
              <w:spacing w:line="360" w:lineRule="auto"/>
              <w:ind w:firstLine="420"/>
              <w:rPr>
                <w:rFonts w:cs="宋体"/>
                <w:color w:val="auto"/>
                <w:sz w:val="24"/>
                <w:szCs w:val="24"/>
              </w:rPr>
            </w:pPr>
            <w:r>
              <w:rPr>
                <w:color w:val="auto"/>
                <w:sz w:val="24"/>
                <w:szCs w:val="24"/>
              </w:rPr>
              <w:t>一档（</w:t>
            </w:r>
            <w:r>
              <w:rPr>
                <w:rFonts w:hint="eastAsia"/>
                <w:color w:val="auto"/>
                <w:sz w:val="24"/>
                <w:szCs w:val="24"/>
                <w:lang w:val="en-US" w:eastAsia="zh-CN"/>
              </w:rPr>
              <w:t>8</w:t>
            </w:r>
            <w:r>
              <w:rPr>
                <w:color w:val="auto"/>
                <w:sz w:val="24"/>
                <w:szCs w:val="24"/>
              </w:rPr>
              <w:t>分）：满足采购文件服务基本需求，质量管理体系及保证措施内容表述清晰且基本满足实施需求。有明确日常养护采用的专业化养护方式，有岗前培训教育措施；巡查发现重大危害的报告流程，影响通行时的安全防护措施；防灾及突发事件应急方案；公开养护路线、责任单位、责任人、联系方式等公开措施。</w:t>
            </w:r>
          </w:p>
          <w:p w14:paraId="577761D7">
            <w:pPr>
              <w:tabs>
                <w:tab w:val="left" w:pos="0"/>
              </w:tabs>
              <w:spacing w:line="360" w:lineRule="auto"/>
              <w:ind w:firstLine="420"/>
              <w:rPr>
                <w:rFonts w:cs="宋体"/>
                <w:color w:val="auto"/>
                <w:sz w:val="24"/>
                <w:szCs w:val="24"/>
              </w:rPr>
            </w:pPr>
            <w:r>
              <w:rPr>
                <w:color w:val="auto"/>
                <w:sz w:val="24"/>
                <w:szCs w:val="24"/>
              </w:rPr>
              <w:t>二档（</w:t>
            </w:r>
            <w:r>
              <w:rPr>
                <w:rFonts w:hint="eastAsia"/>
                <w:color w:val="auto"/>
                <w:sz w:val="24"/>
                <w:szCs w:val="24"/>
                <w:lang w:val="en-US" w:eastAsia="zh-CN"/>
              </w:rPr>
              <w:t>11</w:t>
            </w:r>
            <w:r>
              <w:rPr>
                <w:color w:val="auto"/>
                <w:sz w:val="24"/>
                <w:szCs w:val="24"/>
              </w:rPr>
              <w:t>分）：在一档基础上，有公路养护的质量保证编制技术规范依据；明确的养护质量目标、不合格质量处理；根据技术状况评定结果进行养护作业性质的划分说明；对养护记录、数据的管理制度；采用新技术、新材料、新工艺、新设备，采用信息化技术。</w:t>
            </w:r>
          </w:p>
          <w:p w14:paraId="4406A074">
            <w:pPr>
              <w:tabs>
                <w:tab w:val="left" w:pos="0"/>
              </w:tabs>
              <w:spacing w:line="360" w:lineRule="auto"/>
              <w:ind w:firstLine="420"/>
              <w:rPr>
                <w:color w:val="auto"/>
                <w:sz w:val="24"/>
                <w:szCs w:val="24"/>
              </w:rPr>
            </w:pPr>
            <w:r>
              <w:rPr>
                <w:color w:val="auto"/>
                <w:sz w:val="24"/>
                <w:szCs w:val="24"/>
              </w:rPr>
              <w:t>三档（</w:t>
            </w:r>
            <w:r>
              <w:rPr>
                <w:rFonts w:hint="eastAsia"/>
                <w:color w:val="auto"/>
                <w:sz w:val="24"/>
                <w:szCs w:val="24"/>
                <w:lang w:val="en-US" w:eastAsia="zh-CN"/>
              </w:rPr>
              <w:t>14</w:t>
            </w:r>
            <w:r>
              <w:rPr>
                <w:color w:val="auto"/>
                <w:sz w:val="24"/>
                <w:szCs w:val="24"/>
              </w:rPr>
              <w:t>分）：在</w:t>
            </w:r>
            <w:r>
              <w:rPr>
                <w:rFonts w:hint="eastAsia"/>
                <w:color w:val="auto"/>
                <w:sz w:val="24"/>
                <w:szCs w:val="24"/>
                <w:lang w:val="en-US" w:eastAsia="zh-CN"/>
              </w:rPr>
              <w:t>二</w:t>
            </w:r>
            <w:r>
              <w:rPr>
                <w:color w:val="auto"/>
                <w:sz w:val="24"/>
                <w:szCs w:val="24"/>
              </w:rPr>
              <w:t>档基础上，构建全流程闭环的质量管理体系，各项措施具备可落地、可量化、可考核的实操性。有明确的农民工管理措施以及农民工合法权益的保障措施（如工资支付、安全培训等）的具体方案。针对日常养护主要内容制定标准化作业流程，确保养护作业形成标准化模式。</w:t>
            </w:r>
          </w:p>
          <w:p w14:paraId="5EC03893">
            <w:pPr>
              <w:tabs>
                <w:tab w:val="left" w:pos="0"/>
              </w:tabs>
              <w:spacing w:line="360" w:lineRule="auto"/>
              <w:rPr>
                <w:rFonts w:cs="宋体"/>
                <w:color w:val="auto"/>
                <w:sz w:val="24"/>
                <w:szCs w:val="24"/>
              </w:rPr>
            </w:pPr>
            <w:r>
              <w:rPr>
                <w:b/>
                <w:bCs/>
                <w:color w:val="auto"/>
                <w:sz w:val="24"/>
                <w:szCs w:val="24"/>
              </w:rPr>
              <w:t>备注：达不到一档要求或未提供措施方案的，得0分。</w:t>
            </w:r>
          </w:p>
        </w:tc>
      </w:tr>
      <w:tr w14:paraId="519A6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70" w:type="dxa"/>
            <w:vMerge w:val="continue"/>
            <w:tcBorders>
              <w:top w:val="nil"/>
              <w:left w:val="single" w:color="000000" w:sz="4" w:space="0"/>
              <w:bottom w:val="single" w:color="000000" w:sz="4" w:space="0"/>
              <w:right w:val="single" w:color="000000" w:sz="4" w:space="0"/>
            </w:tcBorders>
            <w:vAlign w:val="center"/>
          </w:tcPr>
          <w:p w14:paraId="12872D03">
            <w:pPr>
              <w:kinsoku/>
              <w:autoSpaceDE/>
              <w:autoSpaceDN/>
              <w:adjustRightInd/>
              <w:snapToGrid/>
              <w:textAlignment w:val="auto"/>
              <w:rPr>
                <w:rFonts w:ascii="宋体" w:hAnsi="宋体" w:eastAsia="Arial"/>
                <w:sz w:val="24"/>
                <w:szCs w:val="24"/>
                <w:u w:val="single"/>
              </w:rPr>
            </w:pPr>
          </w:p>
        </w:tc>
        <w:tc>
          <w:tcPr>
            <w:tcW w:w="1137" w:type="dxa"/>
            <w:vMerge w:val="continue"/>
            <w:tcBorders>
              <w:top w:val="nil"/>
              <w:left w:val="nil"/>
              <w:bottom w:val="single" w:color="000000" w:sz="4" w:space="0"/>
              <w:right w:val="single" w:color="000000" w:sz="4" w:space="0"/>
            </w:tcBorders>
            <w:vAlign w:val="center"/>
          </w:tcPr>
          <w:p w14:paraId="207B64A6">
            <w:pPr>
              <w:kinsoku/>
              <w:autoSpaceDE/>
              <w:autoSpaceDN/>
              <w:adjustRightInd/>
              <w:snapToGrid/>
              <w:textAlignment w:val="auto"/>
              <w:rPr>
                <w:rFonts w:ascii="宋体" w:hAnsi="宋体" w:eastAsia="Arial"/>
                <w:sz w:val="24"/>
                <w:szCs w:val="24"/>
                <w:highlight w:val="cyan"/>
                <w:u w:val="single"/>
              </w:rPr>
            </w:pPr>
          </w:p>
        </w:tc>
        <w:tc>
          <w:tcPr>
            <w:tcW w:w="1427" w:type="dxa"/>
            <w:tcBorders>
              <w:top w:val="single" w:color="000000" w:sz="4" w:space="0"/>
              <w:left w:val="nil"/>
              <w:bottom w:val="single" w:color="000000" w:sz="4" w:space="0"/>
              <w:right w:val="single" w:color="000000" w:sz="4" w:space="0"/>
            </w:tcBorders>
            <w:vAlign w:val="center"/>
          </w:tcPr>
          <w:p w14:paraId="64A1AE7F">
            <w:pPr>
              <w:tabs>
                <w:tab w:val="left" w:pos="0"/>
              </w:tabs>
              <w:rPr>
                <w:rFonts w:cs="宋体"/>
                <w:sz w:val="24"/>
                <w:szCs w:val="24"/>
              </w:rPr>
            </w:pPr>
            <w:r>
              <w:rPr>
                <w:sz w:val="24"/>
                <w:szCs w:val="24"/>
                <w:highlight w:val="none"/>
              </w:rPr>
              <w:t>（3）安全生产管理体系及保证措施</w:t>
            </w:r>
            <w:r>
              <w:rPr>
                <w:color w:val="auto"/>
                <w:sz w:val="24"/>
                <w:szCs w:val="24"/>
                <w:highlight w:val="none"/>
              </w:rPr>
              <w:t>（满分</w:t>
            </w:r>
            <w:r>
              <w:rPr>
                <w:rFonts w:hint="eastAsia"/>
                <w:color w:val="auto"/>
                <w:sz w:val="24"/>
                <w:szCs w:val="24"/>
                <w:highlight w:val="none"/>
                <w:lang w:val="en-US" w:eastAsia="zh-CN"/>
              </w:rPr>
              <w:t>10</w:t>
            </w:r>
            <w:r>
              <w:rPr>
                <w:color w:val="auto"/>
                <w:sz w:val="24"/>
                <w:szCs w:val="24"/>
                <w:highlight w:val="none"/>
              </w:rPr>
              <w:t>分</w:t>
            </w:r>
            <w:r>
              <w:rPr>
                <w:sz w:val="24"/>
                <w:szCs w:val="24"/>
                <w:highlight w:val="none"/>
              </w:rPr>
              <w:t>）</w:t>
            </w:r>
          </w:p>
        </w:tc>
        <w:tc>
          <w:tcPr>
            <w:tcW w:w="6242" w:type="dxa"/>
            <w:tcBorders>
              <w:top w:val="single" w:color="000000" w:sz="4" w:space="0"/>
              <w:left w:val="nil"/>
              <w:bottom w:val="single" w:color="000000" w:sz="4" w:space="0"/>
              <w:right w:val="single" w:color="000000" w:sz="4" w:space="0"/>
            </w:tcBorders>
            <w:vAlign w:val="center"/>
          </w:tcPr>
          <w:p w14:paraId="6CAC5BD5">
            <w:pPr>
              <w:tabs>
                <w:tab w:val="left" w:pos="0"/>
              </w:tabs>
              <w:spacing w:line="360" w:lineRule="auto"/>
              <w:ind w:firstLine="420"/>
              <w:rPr>
                <w:rFonts w:cs="宋体"/>
                <w:sz w:val="24"/>
                <w:szCs w:val="24"/>
              </w:rPr>
            </w:pPr>
            <w:r>
              <w:rPr>
                <w:sz w:val="24"/>
                <w:szCs w:val="24"/>
              </w:rPr>
              <w:t>一档（</w:t>
            </w:r>
            <w:r>
              <w:rPr>
                <w:rFonts w:hint="eastAsia"/>
                <w:sz w:val="24"/>
                <w:szCs w:val="24"/>
                <w:lang w:val="en-US" w:eastAsia="zh-CN"/>
              </w:rPr>
              <w:t>6</w:t>
            </w:r>
            <w:r>
              <w:rPr>
                <w:sz w:val="24"/>
                <w:szCs w:val="24"/>
              </w:rPr>
              <w:t>分）：成立安全管理机构，构建了安全生产保障体系及相应制度，制度框架初步搭建，具备基本完整性；针对各类养护工作，制定了符合相关法律法规标准规范要求的专项作业方案，具有健全的安全管理机构，安全生产保障体系完善，安全管理制度健全，涵盖安全管理各关键环节；各道工序所采取的安全技术措施目标明确，结合实际工作情况，符合安全技术标准，对可能出现的安全风险有针对性防控措施；制定了具备可操作性的现场防火、应急救援以及社会治安安全保障措施；编制的各类养护工作专项作业方案针对性强，能有效指导实际工作。</w:t>
            </w:r>
          </w:p>
          <w:p w14:paraId="4A5E70FB">
            <w:pPr>
              <w:tabs>
                <w:tab w:val="left" w:pos="0"/>
              </w:tabs>
              <w:spacing w:line="360" w:lineRule="auto"/>
              <w:ind w:firstLine="420"/>
              <w:rPr>
                <w:rFonts w:cs="宋体"/>
                <w:sz w:val="24"/>
                <w:szCs w:val="24"/>
              </w:rPr>
            </w:pPr>
            <w:r>
              <w:rPr>
                <w:sz w:val="24"/>
                <w:szCs w:val="24"/>
              </w:rPr>
              <w:t>二档（</w:t>
            </w:r>
            <w:r>
              <w:rPr>
                <w:rFonts w:hint="eastAsia"/>
                <w:sz w:val="24"/>
                <w:szCs w:val="24"/>
                <w:lang w:val="en-US" w:eastAsia="zh-CN"/>
              </w:rPr>
              <w:t>8</w:t>
            </w:r>
            <w:r>
              <w:rPr>
                <w:sz w:val="24"/>
                <w:szCs w:val="24"/>
              </w:rPr>
              <w:t>分）：在一档的基础上，安全管理体系运行有效，制度持续优化；各工序安全技术措施具体、先进，针对性突出，符合实际工作要求，能前瞻性地应对复杂工作场景与风险；现场防火、应急救援和社会治安安全保障措施经过演练检验，执行有力；编制的各类养护工作专项作业方案内容全面、细致，专业性和实操性高，能充分考虑并应对各种可能情况。</w:t>
            </w:r>
          </w:p>
          <w:p w14:paraId="650E5733">
            <w:pPr>
              <w:tabs>
                <w:tab w:val="left" w:pos="0"/>
              </w:tabs>
              <w:spacing w:line="360" w:lineRule="auto"/>
              <w:ind w:firstLine="420"/>
              <w:rPr>
                <w:color w:val="auto"/>
                <w:sz w:val="24"/>
                <w:szCs w:val="24"/>
              </w:rPr>
            </w:pPr>
            <w:r>
              <w:rPr>
                <w:rFonts w:hint="eastAsia"/>
                <w:sz w:val="24"/>
                <w:szCs w:val="24"/>
                <w:lang w:val="en-US" w:eastAsia="zh-CN"/>
              </w:rPr>
              <w:t>三</w:t>
            </w:r>
            <w:r>
              <w:rPr>
                <w:sz w:val="24"/>
                <w:szCs w:val="24"/>
              </w:rPr>
              <w:t>档（</w:t>
            </w:r>
            <w:r>
              <w:rPr>
                <w:rFonts w:hint="eastAsia"/>
                <w:sz w:val="24"/>
                <w:szCs w:val="24"/>
                <w:lang w:val="en-US" w:eastAsia="zh-CN"/>
              </w:rPr>
              <w:t>10</w:t>
            </w:r>
            <w:r>
              <w:rPr>
                <w:sz w:val="24"/>
                <w:szCs w:val="24"/>
              </w:rPr>
              <w:t>分）：在</w:t>
            </w:r>
            <w:r>
              <w:rPr>
                <w:rFonts w:hint="eastAsia"/>
                <w:sz w:val="24"/>
                <w:szCs w:val="24"/>
                <w:lang w:val="en-US" w:eastAsia="zh-CN"/>
              </w:rPr>
              <w:t>二</w:t>
            </w:r>
            <w:r>
              <w:rPr>
                <w:sz w:val="24"/>
                <w:szCs w:val="24"/>
              </w:rPr>
              <w:t>档的基础上，安全管理机构高效协同，安全生产保障体系成熟且具有自我完善机制，安全管理制度完善且与时俱进，不断优化更新；各道工序的安全技术措施先进、具体，针对性强，高度契合实际工作需求，严格满足安全技术标准的各项要求，在行业内具有一定领先性；现场防火、应急救援和社会治安安全保障措施切实有效，执行有力，定期进行演练</w:t>
            </w:r>
            <w:r>
              <w:rPr>
                <w:color w:val="auto"/>
                <w:sz w:val="24"/>
                <w:szCs w:val="24"/>
              </w:rPr>
              <w:t>和优化；针对不同的养护工作，精心编制了符合法律法规标准规范要求、具有高度专业性和实操性的专项作业方案，方案内容周密、预见性强，充分考虑各种可能情况，体现了极高的风险管理水平和专业</w:t>
            </w:r>
            <w:r>
              <w:rPr>
                <w:rFonts w:hint="eastAsia"/>
                <w:color w:val="auto"/>
                <w:sz w:val="24"/>
                <w:szCs w:val="24"/>
                <w:lang w:val="en-US" w:eastAsia="zh-CN"/>
              </w:rPr>
              <w:t>化</w:t>
            </w:r>
            <w:r>
              <w:rPr>
                <w:color w:val="auto"/>
                <w:sz w:val="24"/>
                <w:szCs w:val="24"/>
              </w:rPr>
              <w:t>。制定安全生产标准化流程，确保养护作业形成安全标准化模式。</w:t>
            </w:r>
          </w:p>
          <w:p w14:paraId="69D25C38">
            <w:pPr>
              <w:tabs>
                <w:tab w:val="left" w:pos="0"/>
              </w:tabs>
              <w:spacing w:line="360" w:lineRule="auto"/>
              <w:rPr>
                <w:sz w:val="24"/>
                <w:szCs w:val="24"/>
              </w:rPr>
            </w:pPr>
            <w:r>
              <w:rPr>
                <w:b/>
                <w:bCs/>
                <w:sz w:val="24"/>
                <w:szCs w:val="24"/>
              </w:rPr>
              <w:t>备注：达不到一档要求或未提供措施方案的，得0分。</w:t>
            </w:r>
          </w:p>
        </w:tc>
      </w:tr>
      <w:tr w14:paraId="00FD9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70" w:type="dxa"/>
            <w:vMerge w:val="continue"/>
            <w:tcBorders>
              <w:top w:val="nil"/>
              <w:left w:val="single" w:color="000000" w:sz="4" w:space="0"/>
              <w:bottom w:val="single" w:color="000000" w:sz="4" w:space="0"/>
              <w:right w:val="single" w:color="000000" w:sz="4" w:space="0"/>
            </w:tcBorders>
            <w:vAlign w:val="center"/>
          </w:tcPr>
          <w:p w14:paraId="789EE7B2">
            <w:pPr>
              <w:kinsoku/>
              <w:autoSpaceDE/>
              <w:autoSpaceDN/>
              <w:adjustRightInd/>
              <w:snapToGrid/>
              <w:textAlignment w:val="auto"/>
              <w:rPr>
                <w:rFonts w:ascii="宋体" w:hAnsi="宋体" w:eastAsia="Arial"/>
                <w:sz w:val="24"/>
                <w:szCs w:val="24"/>
                <w:u w:val="single"/>
              </w:rPr>
            </w:pPr>
          </w:p>
        </w:tc>
        <w:tc>
          <w:tcPr>
            <w:tcW w:w="1137" w:type="dxa"/>
            <w:vMerge w:val="continue"/>
            <w:tcBorders>
              <w:top w:val="nil"/>
              <w:left w:val="nil"/>
              <w:bottom w:val="single" w:color="000000" w:sz="4" w:space="0"/>
              <w:right w:val="single" w:color="000000" w:sz="4" w:space="0"/>
            </w:tcBorders>
            <w:vAlign w:val="center"/>
          </w:tcPr>
          <w:p w14:paraId="4A6FAD3D">
            <w:pPr>
              <w:kinsoku/>
              <w:autoSpaceDE/>
              <w:autoSpaceDN/>
              <w:adjustRightInd/>
              <w:snapToGrid/>
              <w:textAlignment w:val="auto"/>
              <w:rPr>
                <w:rFonts w:ascii="宋体" w:hAnsi="宋体" w:eastAsia="Arial"/>
                <w:sz w:val="24"/>
                <w:szCs w:val="24"/>
                <w:highlight w:val="cyan"/>
                <w:u w:val="single"/>
              </w:rPr>
            </w:pPr>
          </w:p>
        </w:tc>
        <w:tc>
          <w:tcPr>
            <w:tcW w:w="1427" w:type="dxa"/>
            <w:tcBorders>
              <w:top w:val="single" w:color="000000" w:sz="4" w:space="0"/>
              <w:left w:val="nil"/>
              <w:bottom w:val="single" w:color="000000" w:sz="4" w:space="0"/>
              <w:right w:val="single" w:color="000000" w:sz="4" w:space="0"/>
            </w:tcBorders>
            <w:vAlign w:val="center"/>
          </w:tcPr>
          <w:p w14:paraId="0C404DAC">
            <w:pPr>
              <w:rPr>
                <w:rFonts w:cs="宋体"/>
                <w:sz w:val="24"/>
                <w:szCs w:val="24"/>
              </w:rPr>
            </w:pPr>
            <w:r>
              <w:rPr>
                <w:sz w:val="24"/>
                <w:szCs w:val="24"/>
                <w:highlight w:val="none"/>
              </w:rPr>
              <w:t>（4）应急抢险管理体系及保证措施</w:t>
            </w:r>
            <w:r>
              <w:rPr>
                <w:color w:val="auto"/>
                <w:sz w:val="24"/>
                <w:szCs w:val="24"/>
                <w:highlight w:val="none"/>
              </w:rPr>
              <w:t>（满分</w:t>
            </w:r>
            <w:r>
              <w:rPr>
                <w:rFonts w:hint="eastAsia"/>
                <w:color w:val="auto"/>
                <w:sz w:val="24"/>
                <w:szCs w:val="24"/>
                <w:highlight w:val="none"/>
                <w:lang w:val="en-US" w:eastAsia="zh-CN"/>
              </w:rPr>
              <w:t>10</w:t>
            </w:r>
            <w:r>
              <w:rPr>
                <w:color w:val="auto"/>
                <w:sz w:val="24"/>
                <w:szCs w:val="24"/>
                <w:highlight w:val="none"/>
              </w:rPr>
              <w:t>分</w:t>
            </w:r>
            <w:r>
              <w:rPr>
                <w:sz w:val="24"/>
                <w:szCs w:val="24"/>
                <w:highlight w:val="none"/>
              </w:rPr>
              <w:t>）</w:t>
            </w:r>
          </w:p>
        </w:tc>
        <w:tc>
          <w:tcPr>
            <w:tcW w:w="6242" w:type="dxa"/>
            <w:tcBorders>
              <w:top w:val="single" w:color="000000" w:sz="4" w:space="0"/>
              <w:left w:val="nil"/>
              <w:bottom w:val="single" w:color="000000" w:sz="4" w:space="0"/>
              <w:right w:val="single" w:color="000000" w:sz="4" w:space="0"/>
            </w:tcBorders>
            <w:vAlign w:val="center"/>
          </w:tcPr>
          <w:p w14:paraId="0BA0E08D">
            <w:pPr>
              <w:tabs>
                <w:tab w:val="left" w:pos="0"/>
              </w:tabs>
              <w:spacing w:line="360" w:lineRule="auto"/>
              <w:ind w:firstLine="420"/>
              <w:rPr>
                <w:sz w:val="24"/>
                <w:szCs w:val="24"/>
                <w:highlight w:val="none"/>
              </w:rPr>
            </w:pPr>
            <w:r>
              <w:rPr>
                <w:sz w:val="24"/>
                <w:szCs w:val="24"/>
                <w:highlight w:val="none"/>
              </w:rPr>
              <w:t>一档（</w:t>
            </w:r>
            <w:r>
              <w:rPr>
                <w:rFonts w:hint="eastAsia"/>
                <w:sz w:val="24"/>
                <w:szCs w:val="24"/>
                <w:highlight w:val="none"/>
                <w:lang w:val="en-US" w:eastAsia="zh-CN"/>
              </w:rPr>
              <w:t>6</w:t>
            </w:r>
            <w:r>
              <w:rPr>
                <w:sz w:val="24"/>
                <w:szCs w:val="24"/>
                <w:highlight w:val="none"/>
              </w:rPr>
              <w:t>分）：满足采购文件对应急抢险的要求，应急抢险组织架构权责细化，配备专职应急人员，明确人员调配机制，按险情类型制定分级处置流程，明确处置时限；物资设备清单标注规格、数量、更新周期，建立物资设备日常检查、维护制度；制定规范的险情上报分级流程，配套详细的现场安全防护及交通管制措施；明确应急抢险协作机制。</w:t>
            </w:r>
          </w:p>
          <w:p w14:paraId="087827F9">
            <w:pPr>
              <w:tabs>
                <w:tab w:val="left" w:pos="0"/>
              </w:tabs>
              <w:spacing w:line="360" w:lineRule="auto"/>
              <w:ind w:firstLine="420"/>
              <w:rPr>
                <w:rFonts w:hint="eastAsia" w:cs="宋体"/>
                <w:sz w:val="24"/>
                <w:szCs w:val="24"/>
                <w:highlight w:val="none"/>
              </w:rPr>
            </w:pPr>
            <w:r>
              <w:rPr>
                <w:sz w:val="24"/>
                <w:szCs w:val="24"/>
                <w:highlight w:val="none"/>
              </w:rPr>
              <w:t>二档（</w:t>
            </w:r>
            <w:r>
              <w:rPr>
                <w:rFonts w:hint="eastAsia"/>
                <w:sz w:val="24"/>
                <w:szCs w:val="24"/>
                <w:highlight w:val="none"/>
                <w:lang w:val="en-US" w:eastAsia="zh-CN"/>
              </w:rPr>
              <w:t>8</w:t>
            </w:r>
            <w:r>
              <w:rPr>
                <w:sz w:val="24"/>
                <w:szCs w:val="24"/>
                <w:highlight w:val="none"/>
              </w:rPr>
              <w:t>分）：在一档基础上，构建分级响应、快速联动的应急抢险</w:t>
            </w:r>
            <w:r>
              <w:rPr>
                <w:color w:val="auto"/>
                <w:sz w:val="24"/>
                <w:szCs w:val="24"/>
                <w:highlight w:val="none"/>
              </w:rPr>
              <w:t>指挥体系，针对特、重大险情制定专项指挥预案，权责到岗到人；针对应急抢险制定专业化抢险人员、机械设备投入计划及技术服务方案，实现应急抢险专业化；险情处置流程量化可操作，明确不同等级险情的现场处置标准、技术要求及验收规范，配套抢险作业安全操作细则；物资设备实行动态化管理，明确紧急调拨、补库机制，配备应急抢险专用设备并定期调试；</w:t>
            </w:r>
          </w:p>
          <w:p w14:paraId="2B1556F7">
            <w:pPr>
              <w:tabs>
                <w:tab w:val="left" w:pos="0"/>
              </w:tabs>
              <w:spacing w:line="360" w:lineRule="auto"/>
              <w:ind w:firstLine="420"/>
              <w:rPr>
                <w:rFonts w:cs="宋体"/>
                <w:color w:val="auto"/>
                <w:sz w:val="24"/>
                <w:szCs w:val="24"/>
                <w:highlight w:val="none"/>
              </w:rPr>
            </w:pPr>
            <w:r>
              <w:rPr>
                <w:rFonts w:hint="eastAsia"/>
                <w:sz w:val="24"/>
                <w:szCs w:val="24"/>
                <w:highlight w:val="none"/>
                <w:lang w:val="en-US" w:eastAsia="zh-CN"/>
              </w:rPr>
              <w:t>三</w:t>
            </w:r>
            <w:r>
              <w:rPr>
                <w:sz w:val="24"/>
                <w:szCs w:val="24"/>
                <w:highlight w:val="none"/>
              </w:rPr>
              <w:t>档（</w:t>
            </w:r>
            <w:r>
              <w:rPr>
                <w:rFonts w:hint="eastAsia"/>
                <w:sz w:val="24"/>
                <w:szCs w:val="24"/>
                <w:highlight w:val="none"/>
                <w:lang w:val="en-US" w:eastAsia="zh-CN"/>
              </w:rPr>
              <w:t>10</w:t>
            </w:r>
            <w:r>
              <w:rPr>
                <w:sz w:val="24"/>
                <w:szCs w:val="24"/>
                <w:highlight w:val="none"/>
              </w:rPr>
              <w:t>分）：在</w:t>
            </w:r>
            <w:r>
              <w:rPr>
                <w:rFonts w:hint="eastAsia"/>
                <w:sz w:val="24"/>
                <w:szCs w:val="24"/>
                <w:highlight w:val="none"/>
                <w:lang w:val="en-US" w:eastAsia="zh-CN"/>
              </w:rPr>
              <w:t>二</w:t>
            </w:r>
            <w:r>
              <w:rPr>
                <w:sz w:val="24"/>
                <w:szCs w:val="24"/>
                <w:highlight w:val="none"/>
              </w:rPr>
              <w:t>档基础上，</w:t>
            </w:r>
            <w:r>
              <w:rPr>
                <w:color w:val="auto"/>
                <w:sz w:val="24"/>
                <w:szCs w:val="24"/>
                <w:highlight w:val="none"/>
              </w:rPr>
              <w:t>建立多渠道、全时段险情上报及预警机制；制定应急抢险队伍常态化培训及演练计划（明确演练频次、内容、评估标准），配套演练总结及预案优化机制；建立应急抢险工作全流程记录、复盘制度，明确险情处置后道路恢复质量标准及后续巡查保障措施</w:t>
            </w:r>
            <w:r>
              <w:rPr>
                <w:rFonts w:hint="eastAsia"/>
                <w:color w:val="auto"/>
                <w:sz w:val="24"/>
                <w:szCs w:val="24"/>
                <w:highlight w:val="none"/>
                <w:lang w:eastAsia="zh-CN"/>
              </w:rPr>
              <w:t>，</w:t>
            </w:r>
            <w:r>
              <w:rPr>
                <w:rFonts w:hint="eastAsia"/>
                <w:color w:val="auto"/>
                <w:sz w:val="24"/>
                <w:szCs w:val="24"/>
                <w:highlight w:val="none"/>
                <w:lang w:val="en-US" w:eastAsia="zh-CN"/>
              </w:rPr>
              <w:t>实现应急抢险标准化</w:t>
            </w:r>
            <w:r>
              <w:rPr>
                <w:color w:val="auto"/>
                <w:sz w:val="24"/>
                <w:szCs w:val="24"/>
                <w:highlight w:val="none"/>
              </w:rPr>
              <w:t>。</w:t>
            </w:r>
          </w:p>
          <w:p w14:paraId="15F2B5D5">
            <w:pPr>
              <w:tabs>
                <w:tab w:val="left" w:pos="0"/>
              </w:tabs>
              <w:spacing w:line="360" w:lineRule="auto"/>
              <w:rPr>
                <w:rFonts w:cs="宋体"/>
                <w:sz w:val="24"/>
                <w:szCs w:val="24"/>
              </w:rPr>
            </w:pPr>
            <w:r>
              <w:rPr>
                <w:b/>
                <w:bCs/>
                <w:sz w:val="24"/>
                <w:szCs w:val="24"/>
              </w:rPr>
              <w:t>备注：达不到一档要求或未提供措施方案的，得0分。</w:t>
            </w:r>
          </w:p>
        </w:tc>
      </w:tr>
      <w:tr w14:paraId="2B487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70" w:type="dxa"/>
            <w:vMerge w:val="continue"/>
            <w:tcBorders>
              <w:top w:val="nil"/>
              <w:left w:val="single" w:color="000000" w:sz="4" w:space="0"/>
              <w:bottom w:val="single" w:color="000000" w:sz="4" w:space="0"/>
              <w:right w:val="single" w:color="000000" w:sz="4" w:space="0"/>
            </w:tcBorders>
            <w:vAlign w:val="center"/>
          </w:tcPr>
          <w:p w14:paraId="3C9953CB">
            <w:pPr>
              <w:kinsoku/>
              <w:autoSpaceDE/>
              <w:autoSpaceDN/>
              <w:adjustRightInd/>
              <w:snapToGrid/>
              <w:textAlignment w:val="auto"/>
              <w:rPr>
                <w:rFonts w:ascii="宋体" w:hAnsi="宋体" w:eastAsia="Arial"/>
                <w:sz w:val="24"/>
                <w:szCs w:val="24"/>
                <w:u w:val="single"/>
              </w:rPr>
            </w:pPr>
          </w:p>
        </w:tc>
        <w:tc>
          <w:tcPr>
            <w:tcW w:w="1137" w:type="dxa"/>
            <w:vMerge w:val="continue"/>
            <w:tcBorders>
              <w:top w:val="nil"/>
              <w:left w:val="nil"/>
              <w:bottom w:val="single" w:color="000000" w:sz="4" w:space="0"/>
              <w:right w:val="single" w:color="000000" w:sz="4" w:space="0"/>
            </w:tcBorders>
            <w:vAlign w:val="center"/>
          </w:tcPr>
          <w:p w14:paraId="533D43FA">
            <w:pPr>
              <w:kinsoku/>
              <w:autoSpaceDE/>
              <w:autoSpaceDN/>
              <w:adjustRightInd/>
              <w:snapToGrid/>
              <w:textAlignment w:val="auto"/>
              <w:rPr>
                <w:rFonts w:ascii="宋体" w:hAnsi="宋体" w:eastAsia="Arial"/>
                <w:sz w:val="24"/>
                <w:szCs w:val="24"/>
                <w:highlight w:val="cyan"/>
                <w:u w:val="single"/>
              </w:rPr>
            </w:pPr>
          </w:p>
        </w:tc>
        <w:tc>
          <w:tcPr>
            <w:tcW w:w="1427" w:type="dxa"/>
            <w:tcBorders>
              <w:top w:val="single" w:color="000000" w:sz="4" w:space="0"/>
              <w:left w:val="nil"/>
              <w:bottom w:val="single" w:color="000000" w:sz="4" w:space="0"/>
              <w:right w:val="single" w:color="000000" w:sz="4" w:space="0"/>
            </w:tcBorders>
            <w:tcMar>
              <w:top w:w="0" w:type="dxa"/>
              <w:left w:w="57" w:type="dxa"/>
              <w:bottom w:w="0" w:type="dxa"/>
              <w:right w:w="57" w:type="dxa"/>
            </w:tcMar>
            <w:vAlign w:val="center"/>
          </w:tcPr>
          <w:p w14:paraId="075449CE">
            <w:pPr>
              <w:rPr>
                <w:rFonts w:cs="宋体"/>
                <w:sz w:val="24"/>
                <w:szCs w:val="24"/>
              </w:rPr>
            </w:pPr>
            <w:r>
              <w:rPr>
                <w:sz w:val="24"/>
                <w:szCs w:val="24"/>
                <w:highlight w:val="none"/>
              </w:rPr>
              <w:t>（5）工作重点及难点分析（满分</w:t>
            </w:r>
            <w:r>
              <w:rPr>
                <w:rFonts w:hint="eastAsia"/>
                <w:color w:val="auto"/>
                <w:sz w:val="24"/>
                <w:szCs w:val="24"/>
                <w:highlight w:val="none"/>
                <w:lang w:val="en-US" w:eastAsia="zh-CN"/>
              </w:rPr>
              <w:t>10</w:t>
            </w:r>
            <w:r>
              <w:rPr>
                <w:color w:val="auto"/>
                <w:sz w:val="24"/>
                <w:szCs w:val="24"/>
                <w:highlight w:val="none"/>
              </w:rPr>
              <w:t>分</w:t>
            </w:r>
            <w:r>
              <w:rPr>
                <w:sz w:val="24"/>
                <w:szCs w:val="24"/>
                <w:highlight w:val="none"/>
              </w:rPr>
              <w:t>）</w:t>
            </w:r>
          </w:p>
        </w:tc>
        <w:tc>
          <w:tcPr>
            <w:tcW w:w="6242" w:type="dxa"/>
            <w:tcBorders>
              <w:top w:val="single" w:color="000000" w:sz="4" w:space="0"/>
              <w:left w:val="nil"/>
              <w:bottom w:val="single" w:color="000000" w:sz="4" w:space="0"/>
              <w:right w:val="single" w:color="000000" w:sz="4" w:space="0"/>
            </w:tcBorders>
            <w:vAlign w:val="center"/>
          </w:tcPr>
          <w:p w14:paraId="1A1DDE19">
            <w:pPr>
              <w:tabs>
                <w:tab w:val="left" w:pos="0"/>
              </w:tabs>
              <w:spacing w:line="360" w:lineRule="auto"/>
              <w:ind w:firstLine="420"/>
              <w:rPr>
                <w:rFonts w:cs="宋体"/>
                <w:sz w:val="24"/>
                <w:szCs w:val="24"/>
                <w:highlight w:val="none"/>
              </w:rPr>
            </w:pPr>
            <w:r>
              <w:rPr>
                <w:sz w:val="24"/>
                <w:szCs w:val="24"/>
                <w:highlight w:val="none"/>
              </w:rPr>
              <w:t>一档（</w:t>
            </w:r>
            <w:r>
              <w:rPr>
                <w:rFonts w:hint="eastAsia"/>
                <w:sz w:val="24"/>
                <w:szCs w:val="24"/>
                <w:highlight w:val="none"/>
                <w:lang w:val="en-US" w:eastAsia="zh-CN"/>
              </w:rPr>
              <w:t>6</w:t>
            </w:r>
            <w:r>
              <w:rPr>
                <w:sz w:val="24"/>
                <w:szCs w:val="24"/>
                <w:highlight w:val="none"/>
              </w:rPr>
              <w:t>分）：投标人对本项目工作重点及难点分析深入透彻，贴合实际，内容详细合理，针对项目的重点难点能提出合理化建议或改进措施，应对措施具体可行，针对性强。</w:t>
            </w:r>
          </w:p>
          <w:p w14:paraId="1E33C4FE">
            <w:pPr>
              <w:tabs>
                <w:tab w:val="left" w:pos="0"/>
              </w:tabs>
              <w:spacing w:line="360" w:lineRule="auto"/>
              <w:ind w:firstLine="420"/>
              <w:rPr>
                <w:rFonts w:hint="eastAsia" w:eastAsia="宋体"/>
                <w:sz w:val="24"/>
                <w:szCs w:val="24"/>
                <w:highlight w:val="none"/>
                <w:lang w:eastAsia="zh-CN"/>
              </w:rPr>
            </w:pPr>
            <w:r>
              <w:rPr>
                <w:sz w:val="24"/>
                <w:szCs w:val="24"/>
                <w:highlight w:val="none"/>
              </w:rPr>
              <w:t>二档（</w:t>
            </w:r>
            <w:r>
              <w:rPr>
                <w:rFonts w:hint="eastAsia"/>
                <w:sz w:val="24"/>
                <w:szCs w:val="24"/>
                <w:highlight w:val="none"/>
                <w:lang w:val="en-US" w:eastAsia="zh-CN"/>
              </w:rPr>
              <w:t>8</w:t>
            </w:r>
            <w:r>
              <w:rPr>
                <w:sz w:val="24"/>
                <w:szCs w:val="24"/>
                <w:highlight w:val="none"/>
              </w:rPr>
              <w:t>分）：投标人对本项目工作重点及难点的分析贴合项目实际且精准深入，结合路段特征、养护需求、现场工况等核心要素进行系统性拆解，把控度极高；针对各重点难点提出的解决策略、改进措施兼具针对性、创新性与落地性，融合先进养护理念或实操方法，措施配套完善、步骤清晰</w:t>
            </w:r>
            <w:r>
              <w:rPr>
                <w:rFonts w:hint="eastAsia" w:eastAsia="宋体"/>
                <w:sz w:val="24"/>
                <w:szCs w:val="24"/>
                <w:highlight w:val="none"/>
                <w:lang w:eastAsia="zh-CN"/>
              </w:rPr>
              <w:t>。</w:t>
            </w:r>
          </w:p>
          <w:p w14:paraId="23D0EB71">
            <w:pPr>
              <w:tabs>
                <w:tab w:val="left" w:pos="0"/>
              </w:tabs>
              <w:spacing w:line="360" w:lineRule="auto"/>
              <w:ind w:firstLine="420"/>
              <w:rPr>
                <w:rFonts w:hint="default" w:eastAsia="宋体" w:cs="宋体"/>
                <w:sz w:val="24"/>
                <w:szCs w:val="24"/>
                <w:highlight w:val="none"/>
                <w:lang w:val="en-US" w:eastAsia="zh-CN"/>
              </w:rPr>
            </w:pPr>
            <w:r>
              <w:rPr>
                <w:rFonts w:hint="eastAsia"/>
                <w:sz w:val="24"/>
                <w:szCs w:val="24"/>
                <w:highlight w:val="none"/>
                <w:lang w:val="en-US" w:eastAsia="zh-CN"/>
              </w:rPr>
              <w:t>三</w:t>
            </w:r>
            <w:r>
              <w:rPr>
                <w:sz w:val="24"/>
                <w:szCs w:val="24"/>
                <w:highlight w:val="none"/>
              </w:rPr>
              <w:t>档（</w:t>
            </w:r>
            <w:r>
              <w:rPr>
                <w:rFonts w:hint="eastAsia"/>
                <w:sz w:val="24"/>
                <w:szCs w:val="24"/>
                <w:highlight w:val="none"/>
                <w:lang w:val="en-US" w:eastAsia="zh-CN"/>
              </w:rPr>
              <w:t>10</w:t>
            </w:r>
            <w:r>
              <w:rPr>
                <w:sz w:val="24"/>
                <w:szCs w:val="24"/>
                <w:highlight w:val="none"/>
              </w:rPr>
              <w:t>分）：</w:t>
            </w:r>
            <w:r>
              <w:rPr>
                <w:rFonts w:hint="eastAsia"/>
                <w:sz w:val="24"/>
                <w:szCs w:val="24"/>
                <w:highlight w:val="none"/>
                <w:lang w:val="en-US" w:eastAsia="zh-CN"/>
              </w:rPr>
              <w:t>对实现公路养护机械化、专业化、标准化、智能化的推进存在的重点难点进行的分析和谋划措施。整体的</w:t>
            </w:r>
            <w:r>
              <w:rPr>
                <w:sz w:val="24"/>
                <w:szCs w:val="24"/>
                <w:highlight w:val="none"/>
              </w:rPr>
              <w:t>重点难点</w:t>
            </w:r>
            <w:r>
              <w:rPr>
                <w:rFonts w:hint="eastAsia" w:eastAsia="宋体"/>
                <w:sz w:val="24"/>
                <w:szCs w:val="24"/>
                <w:highlight w:val="none"/>
                <w:lang w:val="en-US" w:eastAsia="zh-CN"/>
              </w:rPr>
              <w:t>分析</w:t>
            </w:r>
            <w:r>
              <w:rPr>
                <w:sz w:val="24"/>
                <w:szCs w:val="24"/>
                <w:highlight w:val="none"/>
              </w:rPr>
              <w:t>策略措施可直接指导项目实操，能有效规避实施风险、提升养护效率与质量，对项目整体推进具有显著的指导作用。</w:t>
            </w:r>
          </w:p>
          <w:p w14:paraId="5C3A2482">
            <w:pPr>
              <w:tabs>
                <w:tab w:val="left" w:pos="0"/>
              </w:tabs>
              <w:spacing w:line="360" w:lineRule="auto"/>
              <w:rPr>
                <w:rFonts w:cs="宋体"/>
                <w:sz w:val="24"/>
                <w:szCs w:val="24"/>
              </w:rPr>
            </w:pPr>
            <w:r>
              <w:rPr>
                <w:b/>
                <w:bCs/>
                <w:sz w:val="24"/>
                <w:szCs w:val="24"/>
              </w:rPr>
              <w:t>备注：达不到一档要求或未提供方案的，得0分。</w:t>
            </w:r>
          </w:p>
        </w:tc>
      </w:tr>
      <w:tr w14:paraId="1033F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770" w:type="dxa"/>
            <w:vMerge w:val="restart"/>
            <w:tcBorders>
              <w:top w:val="nil"/>
              <w:left w:val="single" w:color="000000" w:sz="4" w:space="0"/>
              <w:bottom w:val="single" w:color="000000" w:sz="4" w:space="0"/>
              <w:right w:val="single" w:color="000000" w:sz="4" w:space="0"/>
            </w:tcBorders>
            <w:vAlign w:val="center"/>
          </w:tcPr>
          <w:p w14:paraId="0324F0BF">
            <w:pPr>
              <w:spacing w:line="360" w:lineRule="auto"/>
              <w:ind w:firstLine="240" w:firstLineChars="100"/>
              <w:jc w:val="both"/>
              <w:rPr>
                <w:rFonts w:ascii="宋体" w:hAnsi="宋体" w:eastAsia="Arial"/>
                <w:sz w:val="24"/>
                <w:szCs w:val="24"/>
                <w:u w:val="single"/>
              </w:rPr>
            </w:pPr>
            <w:r>
              <w:rPr>
                <w:rFonts w:ascii="宋体" w:hAnsi="宋体" w:cs="宋体"/>
                <w:b/>
                <w:bCs/>
                <w:sz w:val="24"/>
                <w:szCs w:val="24"/>
              </w:rPr>
              <w:t>3</w:t>
            </w:r>
          </w:p>
        </w:tc>
        <w:tc>
          <w:tcPr>
            <w:tcW w:w="1137" w:type="dxa"/>
            <w:vMerge w:val="restart"/>
            <w:tcBorders>
              <w:top w:val="nil"/>
              <w:left w:val="nil"/>
              <w:bottom w:val="single" w:color="000000" w:sz="4" w:space="0"/>
              <w:right w:val="single" w:color="000000" w:sz="4" w:space="0"/>
            </w:tcBorders>
            <w:vAlign w:val="center"/>
          </w:tcPr>
          <w:p w14:paraId="6E6E0075">
            <w:pPr>
              <w:spacing w:line="360" w:lineRule="auto"/>
              <w:rPr>
                <w:rFonts w:ascii="宋体" w:hAnsi="宋体" w:eastAsia="Arial"/>
                <w:sz w:val="24"/>
                <w:szCs w:val="24"/>
                <w:u w:val="single"/>
              </w:rPr>
            </w:pPr>
            <w:r>
              <w:rPr>
                <w:sz w:val="24"/>
                <w:szCs w:val="24"/>
              </w:rPr>
              <w:t>商务分（满分</w:t>
            </w:r>
            <w:r>
              <w:rPr>
                <w:rFonts w:hint="eastAsia" w:ascii="宋体" w:hAnsi="宋体"/>
                <w:sz w:val="24"/>
                <w:szCs w:val="24"/>
                <w:lang w:val="en-US" w:eastAsia="zh-CN"/>
              </w:rPr>
              <w:t>30</w:t>
            </w:r>
            <w:r>
              <w:rPr>
                <w:sz w:val="24"/>
                <w:szCs w:val="24"/>
              </w:rPr>
              <w:t>分）</w:t>
            </w:r>
          </w:p>
        </w:tc>
        <w:tc>
          <w:tcPr>
            <w:tcW w:w="1427" w:type="dxa"/>
            <w:tcBorders>
              <w:top w:val="single" w:color="000000" w:sz="4" w:space="0"/>
              <w:left w:val="nil"/>
              <w:bottom w:val="single" w:color="000000" w:sz="4" w:space="0"/>
              <w:right w:val="single" w:color="000000" w:sz="4" w:space="0"/>
            </w:tcBorders>
            <w:tcMar>
              <w:top w:w="0" w:type="dxa"/>
              <w:left w:w="57" w:type="dxa"/>
              <w:bottom w:w="0" w:type="dxa"/>
              <w:right w:w="57" w:type="dxa"/>
            </w:tcMar>
            <w:vAlign w:val="center"/>
          </w:tcPr>
          <w:p w14:paraId="75EF0FF7">
            <w:pPr>
              <w:tabs>
                <w:tab w:val="left" w:pos="0"/>
              </w:tabs>
              <w:jc w:val="center"/>
              <w:rPr>
                <w:rFonts w:hint="default" w:eastAsia="宋体" w:cs="宋体"/>
                <w:sz w:val="24"/>
                <w:szCs w:val="24"/>
                <w:lang w:val="en-US" w:eastAsia="zh-CN"/>
              </w:rPr>
            </w:pPr>
            <w:r>
              <w:rPr>
                <w:sz w:val="24"/>
                <w:szCs w:val="24"/>
              </w:rPr>
              <w:t>项目</w:t>
            </w:r>
            <w:r>
              <w:rPr>
                <w:rFonts w:hint="eastAsia"/>
                <w:sz w:val="24"/>
                <w:szCs w:val="24"/>
                <w:lang w:val="en-US" w:eastAsia="zh-CN"/>
              </w:rPr>
              <w:t>主要管理人员</w:t>
            </w:r>
          </w:p>
          <w:p w14:paraId="26BE7AEE">
            <w:pPr>
              <w:tabs>
                <w:tab w:val="left" w:pos="0"/>
              </w:tabs>
              <w:jc w:val="center"/>
              <w:rPr>
                <w:sz w:val="24"/>
                <w:szCs w:val="24"/>
              </w:rPr>
            </w:pPr>
            <w:r>
              <w:rPr>
                <w:sz w:val="24"/>
                <w:szCs w:val="24"/>
              </w:rPr>
              <w:t>（</w:t>
            </w:r>
            <w:r>
              <w:rPr>
                <w:color w:val="auto"/>
                <w:sz w:val="24"/>
                <w:szCs w:val="24"/>
              </w:rPr>
              <w:t>满分</w:t>
            </w:r>
            <w:r>
              <w:rPr>
                <w:rFonts w:hint="eastAsia"/>
                <w:color w:val="auto"/>
                <w:sz w:val="24"/>
                <w:szCs w:val="24"/>
                <w:lang w:val="en-US" w:eastAsia="zh-CN"/>
              </w:rPr>
              <w:t>6</w:t>
            </w:r>
            <w:r>
              <w:rPr>
                <w:color w:val="auto"/>
                <w:sz w:val="24"/>
                <w:szCs w:val="24"/>
              </w:rPr>
              <w:t>分）</w:t>
            </w:r>
          </w:p>
        </w:tc>
        <w:tc>
          <w:tcPr>
            <w:tcW w:w="6242" w:type="dxa"/>
            <w:tcBorders>
              <w:top w:val="single" w:color="000000" w:sz="4" w:space="0"/>
              <w:left w:val="nil"/>
              <w:bottom w:val="single" w:color="000000" w:sz="4" w:space="0"/>
              <w:right w:val="single" w:color="000000" w:sz="4" w:space="0"/>
            </w:tcBorders>
            <w:vAlign w:val="center"/>
          </w:tcPr>
          <w:p w14:paraId="5535EEBA">
            <w:pPr>
              <w:tabs>
                <w:tab w:val="left" w:pos="0"/>
              </w:tabs>
              <w:wordWrap w:val="0"/>
              <w:spacing w:line="360" w:lineRule="auto"/>
              <w:ind w:firstLine="480" w:firstLineChars="200"/>
              <w:rPr>
                <w:rFonts w:hint="eastAsia"/>
                <w:b w:val="0"/>
                <w:bCs w:val="0"/>
                <w:color w:val="auto"/>
                <w:sz w:val="24"/>
                <w:szCs w:val="24"/>
              </w:rPr>
            </w:pPr>
            <w:r>
              <w:rPr>
                <w:sz w:val="24"/>
                <w:szCs w:val="24"/>
              </w:rPr>
              <w:t>投标人提供</w:t>
            </w:r>
            <w:r>
              <w:rPr>
                <w:rFonts w:hint="eastAsia"/>
                <w:sz w:val="24"/>
                <w:szCs w:val="24"/>
                <w:lang w:val="en-US" w:eastAsia="zh-CN"/>
              </w:rPr>
              <w:t>项目主要管理人员符合</w:t>
            </w:r>
            <w:r>
              <w:rPr>
                <w:sz w:val="24"/>
                <w:szCs w:val="24"/>
              </w:rPr>
              <w:t>以下</w:t>
            </w:r>
            <w:r>
              <w:rPr>
                <w:rFonts w:hint="eastAsia"/>
                <w:sz w:val="24"/>
                <w:szCs w:val="24"/>
                <w:lang w:val="en-US" w:eastAsia="zh-CN"/>
              </w:rPr>
              <w:t>条件</w:t>
            </w:r>
            <w:r>
              <w:rPr>
                <w:sz w:val="24"/>
                <w:szCs w:val="24"/>
              </w:rPr>
              <w:t>相关证明的可以加分：</w:t>
            </w:r>
          </w:p>
          <w:p w14:paraId="78F5DE1C">
            <w:pPr>
              <w:tabs>
                <w:tab w:val="left" w:pos="0"/>
              </w:tabs>
              <w:spacing w:line="360" w:lineRule="auto"/>
              <w:rPr>
                <w:rFonts w:hint="eastAsia"/>
                <w:b w:val="0"/>
                <w:bCs w:val="0"/>
                <w:color w:val="auto"/>
                <w:sz w:val="24"/>
                <w:szCs w:val="24"/>
                <w:highlight w:val="none"/>
              </w:rPr>
            </w:pPr>
            <w:r>
              <w:rPr>
                <w:rFonts w:hint="eastAsia"/>
                <w:b w:val="0"/>
                <w:bCs w:val="0"/>
                <w:color w:val="auto"/>
                <w:sz w:val="24"/>
                <w:szCs w:val="24"/>
                <w:highlight w:val="none"/>
              </w:rPr>
              <w:t>1、项目经理具有</w:t>
            </w:r>
            <w:r>
              <w:rPr>
                <w:rFonts w:hint="eastAsia"/>
                <w:b w:val="0"/>
                <w:bCs w:val="0"/>
                <w:color w:val="auto"/>
                <w:sz w:val="24"/>
                <w:szCs w:val="24"/>
                <w:highlight w:val="none"/>
                <w:lang w:val="en-US" w:eastAsia="zh-CN"/>
              </w:rPr>
              <w:t>路桥类</w:t>
            </w:r>
            <w:r>
              <w:rPr>
                <w:rFonts w:hint="eastAsia"/>
                <w:b w:val="0"/>
                <w:bCs w:val="0"/>
                <w:color w:val="auto"/>
                <w:sz w:val="24"/>
                <w:szCs w:val="24"/>
                <w:highlight w:val="none"/>
              </w:rPr>
              <w:t>高级职称，加</w:t>
            </w:r>
            <w:r>
              <w:rPr>
                <w:rFonts w:hint="eastAsia"/>
                <w:b w:val="0"/>
                <w:bCs w:val="0"/>
                <w:color w:val="auto"/>
                <w:sz w:val="24"/>
                <w:szCs w:val="24"/>
                <w:highlight w:val="none"/>
                <w:lang w:val="en-US" w:eastAsia="zh-CN"/>
              </w:rPr>
              <w:t>2</w:t>
            </w:r>
            <w:r>
              <w:rPr>
                <w:rFonts w:hint="eastAsia"/>
                <w:b w:val="0"/>
                <w:bCs w:val="0"/>
                <w:color w:val="auto"/>
                <w:sz w:val="24"/>
                <w:szCs w:val="24"/>
                <w:highlight w:val="none"/>
              </w:rPr>
              <w:t>分；</w:t>
            </w:r>
          </w:p>
          <w:p w14:paraId="5FAB68D3">
            <w:pPr>
              <w:pStyle w:val="29"/>
              <w:widowControl w:val="0"/>
              <w:wordWrap w:val="0"/>
              <w:spacing w:line="360" w:lineRule="auto"/>
              <w:rPr>
                <w:rFonts w:hint="eastAsia" w:cs="Times New Roman"/>
                <w:b w:val="0"/>
                <w:bCs w:val="0"/>
                <w:color w:val="auto"/>
                <w:sz w:val="24"/>
                <w:szCs w:val="24"/>
                <w:highlight w:val="none"/>
              </w:rPr>
            </w:pPr>
            <w:r>
              <w:rPr>
                <w:rFonts w:hint="eastAsia"/>
                <w:b w:val="0"/>
                <w:bCs w:val="0"/>
                <w:color w:val="auto"/>
                <w:sz w:val="24"/>
                <w:szCs w:val="24"/>
                <w:highlight w:val="none"/>
              </w:rPr>
              <w:t>2、</w:t>
            </w:r>
            <w:r>
              <w:rPr>
                <w:rFonts w:hint="eastAsia" w:cs="Times New Roman"/>
                <w:b w:val="0"/>
                <w:bCs w:val="0"/>
                <w:color w:val="auto"/>
                <w:sz w:val="24"/>
                <w:szCs w:val="24"/>
                <w:highlight w:val="none"/>
              </w:rPr>
              <w:t>项目总工具有</w:t>
            </w:r>
            <w:r>
              <w:rPr>
                <w:rFonts w:hint="eastAsia" w:cs="Times New Roman"/>
                <w:b w:val="0"/>
                <w:bCs w:val="0"/>
                <w:color w:val="auto"/>
                <w:sz w:val="24"/>
                <w:szCs w:val="24"/>
                <w:highlight w:val="none"/>
                <w:lang w:val="en-US" w:eastAsia="zh-CN"/>
              </w:rPr>
              <w:t>路桥类</w:t>
            </w:r>
            <w:r>
              <w:rPr>
                <w:rFonts w:hint="eastAsia" w:cs="Times New Roman"/>
                <w:b w:val="0"/>
                <w:bCs w:val="0"/>
                <w:color w:val="auto"/>
                <w:sz w:val="24"/>
                <w:szCs w:val="24"/>
                <w:highlight w:val="none"/>
              </w:rPr>
              <w:t>高级职称，加</w:t>
            </w:r>
            <w:r>
              <w:rPr>
                <w:rFonts w:hint="eastAsia" w:cs="Times New Roman"/>
                <w:b w:val="0"/>
                <w:bCs w:val="0"/>
                <w:color w:val="auto"/>
                <w:sz w:val="24"/>
                <w:szCs w:val="24"/>
                <w:highlight w:val="none"/>
                <w:lang w:val="en-US" w:eastAsia="zh-CN"/>
              </w:rPr>
              <w:t>2</w:t>
            </w:r>
            <w:r>
              <w:rPr>
                <w:rFonts w:hint="eastAsia" w:cs="Times New Roman"/>
                <w:b w:val="0"/>
                <w:bCs w:val="0"/>
                <w:color w:val="auto"/>
                <w:sz w:val="24"/>
                <w:szCs w:val="24"/>
                <w:highlight w:val="none"/>
              </w:rPr>
              <w:t>分；</w:t>
            </w:r>
          </w:p>
          <w:p w14:paraId="6250B39F">
            <w:pPr>
              <w:tabs>
                <w:tab w:val="left" w:pos="0"/>
              </w:tabs>
              <w:spacing w:line="360" w:lineRule="auto"/>
              <w:rPr>
                <w:rFonts w:hint="eastAsia" w:eastAsia="宋体" w:cs="宋体"/>
                <w:b w:val="0"/>
                <w:bCs w:val="0"/>
                <w:color w:val="auto"/>
                <w:sz w:val="24"/>
                <w:szCs w:val="24"/>
                <w:highlight w:val="none"/>
                <w:lang w:eastAsia="zh-CN"/>
              </w:rPr>
            </w:pPr>
            <w:r>
              <w:rPr>
                <w:rFonts w:hint="eastAsia"/>
                <w:b w:val="0"/>
                <w:bCs w:val="0"/>
                <w:color w:val="auto"/>
                <w:sz w:val="24"/>
                <w:szCs w:val="24"/>
                <w:highlight w:val="none"/>
                <w:lang w:val="en-US" w:eastAsia="zh-CN"/>
              </w:rPr>
              <w:t>3、</w:t>
            </w:r>
            <w:r>
              <w:rPr>
                <w:rFonts w:hint="eastAsia" w:cs="宋体"/>
                <w:b w:val="0"/>
                <w:bCs w:val="0"/>
                <w:color w:val="auto"/>
                <w:sz w:val="24"/>
                <w:szCs w:val="24"/>
                <w:highlight w:val="none"/>
              </w:rPr>
              <w:t>投标人拟派项目养护工程师每增加1名，且具有中级或以上路桥类职称的，加2分</w:t>
            </w:r>
            <w:r>
              <w:rPr>
                <w:rFonts w:hint="eastAsia" w:eastAsia="宋体" w:cs="宋体"/>
                <w:b w:val="0"/>
                <w:bCs w:val="0"/>
                <w:color w:val="auto"/>
                <w:sz w:val="24"/>
                <w:szCs w:val="24"/>
                <w:highlight w:val="none"/>
                <w:lang w:eastAsia="zh-CN"/>
              </w:rPr>
              <w:t>。</w:t>
            </w:r>
          </w:p>
          <w:p w14:paraId="6F6D5468">
            <w:pPr>
              <w:tabs>
                <w:tab w:val="left" w:pos="0"/>
              </w:tabs>
              <w:spacing w:line="360" w:lineRule="auto"/>
              <w:ind w:firstLine="422"/>
              <w:rPr>
                <w:rFonts w:hint="eastAsia" w:cs="宋体"/>
                <w:b w:val="0"/>
                <w:bCs w:val="0"/>
                <w:color w:val="auto"/>
                <w:sz w:val="24"/>
                <w:szCs w:val="24"/>
                <w:highlight w:val="none"/>
              </w:rPr>
            </w:pPr>
            <w:r>
              <w:rPr>
                <w:rFonts w:hint="eastAsia" w:cs="宋体"/>
                <w:b w:val="0"/>
                <w:bCs w:val="0"/>
                <w:color w:val="auto"/>
                <w:sz w:val="24"/>
                <w:szCs w:val="24"/>
                <w:highlight w:val="none"/>
                <w:lang w:val="en-US" w:eastAsia="zh-CN"/>
              </w:rPr>
              <w:t>符合</w:t>
            </w:r>
            <w:r>
              <w:rPr>
                <w:rFonts w:hint="eastAsia" w:cs="宋体"/>
                <w:b w:val="0"/>
                <w:bCs w:val="0"/>
                <w:color w:val="auto"/>
                <w:sz w:val="24"/>
                <w:szCs w:val="24"/>
                <w:highlight w:val="none"/>
              </w:rPr>
              <w:t>以上</w:t>
            </w:r>
            <w:r>
              <w:rPr>
                <w:rFonts w:hint="eastAsia" w:eastAsia="宋体" w:cs="宋体"/>
                <w:b w:val="0"/>
                <w:bCs w:val="0"/>
                <w:color w:val="auto"/>
                <w:sz w:val="24"/>
                <w:szCs w:val="24"/>
                <w:highlight w:val="none"/>
                <w:lang w:eastAsia="zh-CN"/>
              </w:rPr>
              <w:t>任意</w:t>
            </w:r>
            <w:r>
              <w:rPr>
                <w:rFonts w:hint="eastAsia" w:cs="宋体"/>
                <w:b w:val="0"/>
                <w:bCs w:val="0"/>
                <w:color w:val="auto"/>
                <w:sz w:val="24"/>
                <w:szCs w:val="24"/>
                <w:highlight w:val="none"/>
              </w:rPr>
              <w:t>一项</w:t>
            </w:r>
            <w:r>
              <w:rPr>
                <w:rFonts w:hint="eastAsia" w:cs="宋体"/>
                <w:b w:val="0"/>
                <w:bCs w:val="0"/>
                <w:color w:val="auto"/>
                <w:sz w:val="24"/>
                <w:szCs w:val="24"/>
                <w:highlight w:val="none"/>
                <w:lang w:val="en-US" w:eastAsia="zh-CN"/>
              </w:rPr>
              <w:t>条件的</w:t>
            </w:r>
            <w:r>
              <w:rPr>
                <w:rFonts w:hint="eastAsia" w:eastAsia="宋体" w:cs="宋体"/>
                <w:b w:val="0"/>
                <w:bCs w:val="0"/>
                <w:color w:val="auto"/>
                <w:sz w:val="24"/>
                <w:szCs w:val="24"/>
                <w:highlight w:val="none"/>
                <w:lang w:eastAsia="zh-CN"/>
              </w:rPr>
              <w:t>可计</w:t>
            </w:r>
            <w:r>
              <w:rPr>
                <w:rFonts w:hint="eastAsia" w:cs="宋体"/>
                <w:b w:val="0"/>
                <w:bCs w:val="0"/>
                <w:color w:val="auto"/>
                <w:sz w:val="24"/>
                <w:szCs w:val="24"/>
                <w:highlight w:val="none"/>
              </w:rPr>
              <w:t>分，未提供的不得分，本项满分合计</w:t>
            </w:r>
            <w:r>
              <w:rPr>
                <w:rFonts w:hint="eastAsia" w:cs="宋体"/>
                <w:b w:val="0"/>
                <w:bCs w:val="0"/>
                <w:color w:val="auto"/>
                <w:sz w:val="24"/>
                <w:szCs w:val="24"/>
                <w:highlight w:val="none"/>
                <w:lang w:val="en-US" w:eastAsia="zh-CN"/>
              </w:rPr>
              <w:t>6</w:t>
            </w:r>
            <w:r>
              <w:rPr>
                <w:rFonts w:hint="eastAsia" w:cs="宋体"/>
                <w:b w:val="0"/>
                <w:bCs w:val="0"/>
                <w:color w:val="auto"/>
                <w:sz w:val="24"/>
                <w:szCs w:val="24"/>
                <w:highlight w:val="none"/>
              </w:rPr>
              <w:t>分。</w:t>
            </w:r>
          </w:p>
          <w:p w14:paraId="5867C2AD">
            <w:pPr>
              <w:spacing w:line="360" w:lineRule="auto"/>
              <w:rPr>
                <w:rFonts w:hint="eastAsia" w:eastAsia="宋体" w:cs="宋体"/>
                <w:b w:val="0"/>
                <w:bCs w:val="0"/>
                <w:color w:val="auto"/>
                <w:sz w:val="24"/>
                <w:szCs w:val="24"/>
                <w:highlight w:val="cyan"/>
                <w:lang w:eastAsia="zh-CN"/>
              </w:rPr>
            </w:pPr>
            <w:r>
              <w:rPr>
                <w:b w:val="0"/>
                <w:bCs w:val="0"/>
                <w:color w:val="auto"/>
                <w:sz w:val="24"/>
                <w:szCs w:val="24"/>
              </w:rPr>
              <w:t>注：1、</w:t>
            </w:r>
            <w:r>
              <w:rPr>
                <w:rFonts w:hint="eastAsia"/>
                <w:b w:val="0"/>
                <w:bCs w:val="0"/>
                <w:color w:val="auto"/>
                <w:sz w:val="24"/>
                <w:szCs w:val="24"/>
                <w:lang w:val="en-US" w:eastAsia="zh-CN"/>
              </w:rPr>
              <w:t>项目经理</w:t>
            </w:r>
            <w:r>
              <w:rPr>
                <w:b w:val="0"/>
                <w:bCs w:val="0"/>
                <w:color w:val="auto"/>
                <w:sz w:val="24"/>
                <w:szCs w:val="24"/>
              </w:rPr>
              <w:t>须附身份证、职称证书和建造师证书、有效的安全生产考核合格证(B类）等证明材料。</w:t>
            </w:r>
            <w:r>
              <w:rPr>
                <w:rFonts w:hint="eastAsia"/>
                <w:b w:val="0"/>
                <w:bCs w:val="0"/>
                <w:color w:val="auto"/>
                <w:sz w:val="24"/>
                <w:szCs w:val="24"/>
                <w:lang w:val="en-US" w:eastAsia="zh-CN"/>
              </w:rPr>
              <w:t>项目总工或增加的养护工程师</w:t>
            </w:r>
            <w:r>
              <w:rPr>
                <w:b w:val="0"/>
                <w:bCs w:val="0"/>
                <w:color w:val="auto"/>
                <w:sz w:val="24"/>
                <w:szCs w:val="24"/>
              </w:rPr>
              <w:t>须附身份证、职称证书等证明材料</w:t>
            </w:r>
            <w:r>
              <w:rPr>
                <w:rFonts w:hint="eastAsia"/>
                <w:b w:val="0"/>
                <w:bCs w:val="0"/>
                <w:color w:val="auto"/>
                <w:sz w:val="24"/>
                <w:szCs w:val="24"/>
                <w:lang w:eastAsia="zh-CN"/>
              </w:rPr>
              <w:t>。</w:t>
            </w:r>
            <w:r>
              <w:rPr>
                <w:rFonts w:hint="eastAsia" w:ascii="宋体" w:hAnsi="宋体" w:eastAsia="宋体" w:cs="宋体"/>
                <w:b w:val="0"/>
                <w:bCs w:val="0"/>
                <w:color w:val="auto"/>
                <w:spacing w:val="0"/>
                <w:w w:val="100"/>
                <w:position w:val="0"/>
                <w:sz w:val="24"/>
                <w:szCs w:val="24"/>
              </w:rPr>
              <w:t>社保缴费等证明材料</w:t>
            </w:r>
            <w:r>
              <w:rPr>
                <w:rFonts w:hint="eastAsia" w:ascii="宋体" w:hAnsi="宋体" w:cs="宋体"/>
                <w:b w:val="0"/>
                <w:bCs w:val="0"/>
                <w:color w:val="auto"/>
                <w:spacing w:val="0"/>
                <w:w w:val="100"/>
                <w:position w:val="0"/>
                <w:sz w:val="24"/>
                <w:szCs w:val="24"/>
                <w:lang w:eastAsia="zh-CN"/>
              </w:rPr>
              <w:t>。</w:t>
            </w:r>
          </w:p>
          <w:p w14:paraId="32486C65">
            <w:pPr>
              <w:tabs>
                <w:tab w:val="left" w:pos="0"/>
              </w:tabs>
              <w:spacing w:before="28" w:line="360" w:lineRule="auto"/>
              <w:ind w:right="1" w:firstLine="240" w:firstLineChars="100"/>
              <w:rPr>
                <w:rFonts w:cs="宋体"/>
                <w:b/>
                <w:bCs/>
                <w:sz w:val="24"/>
                <w:szCs w:val="24"/>
              </w:rPr>
            </w:pPr>
            <w:r>
              <w:rPr>
                <w:b w:val="0"/>
                <w:bCs w:val="0"/>
                <w:color w:val="auto"/>
                <w:sz w:val="24"/>
                <w:szCs w:val="24"/>
              </w:rPr>
              <w:t>2、</w:t>
            </w:r>
            <w:r>
              <w:rPr>
                <w:rFonts w:hint="eastAsia"/>
                <w:b w:val="0"/>
                <w:bCs w:val="0"/>
                <w:color w:val="auto"/>
                <w:sz w:val="24"/>
                <w:szCs w:val="24"/>
              </w:rPr>
              <w:t>“路桥类”专业是指职称证上的专业，为路桥、公路工程、道路工程、桥梁工程、交通土建、交通工程、隧道工程、交通运输</w:t>
            </w:r>
            <w:r>
              <w:rPr>
                <w:rFonts w:hint="eastAsia"/>
                <w:b w:val="0"/>
                <w:bCs w:val="0"/>
                <w:color w:val="auto"/>
                <w:sz w:val="24"/>
                <w:szCs w:val="24"/>
                <w:lang w:eastAsia="zh-CN"/>
              </w:rPr>
              <w:t>、</w:t>
            </w:r>
            <w:r>
              <w:rPr>
                <w:rFonts w:hint="eastAsia"/>
                <w:b w:val="0"/>
                <w:bCs w:val="0"/>
                <w:color w:val="auto"/>
                <w:sz w:val="24"/>
                <w:szCs w:val="24"/>
                <w:lang w:val="en-US" w:eastAsia="zh-CN"/>
              </w:rPr>
              <w:t>市政道路</w:t>
            </w:r>
            <w:r>
              <w:rPr>
                <w:rFonts w:hint="eastAsia"/>
                <w:b w:val="0"/>
                <w:bCs w:val="0"/>
                <w:color w:val="auto"/>
                <w:sz w:val="24"/>
                <w:szCs w:val="24"/>
              </w:rPr>
              <w:t>等专业均可。</w:t>
            </w:r>
          </w:p>
        </w:tc>
      </w:tr>
      <w:tr w14:paraId="56E47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770" w:type="dxa"/>
            <w:vMerge w:val="continue"/>
            <w:tcBorders>
              <w:top w:val="nil"/>
              <w:left w:val="single" w:color="000000" w:sz="4" w:space="0"/>
              <w:bottom w:val="single" w:color="000000" w:sz="4" w:space="0"/>
              <w:right w:val="single" w:color="000000" w:sz="4" w:space="0"/>
            </w:tcBorders>
            <w:vAlign w:val="center"/>
          </w:tcPr>
          <w:p w14:paraId="38FCB5A7">
            <w:pPr>
              <w:kinsoku/>
              <w:autoSpaceDE/>
              <w:autoSpaceDN/>
              <w:adjustRightInd/>
              <w:snapToGrid/>
              <w:textAlignment w:val="auto"/>
              <w:rPr>
                <w:rFonts w:ascii="宋体" w:hAnsi="宋体" w:eastAsia="Arial"/>
                <w:sz w:val="24"/>
                <w:szCs w:val="24"/>
                <w:u w:val="single"/>
              </w:rPr>
            </w:pPr>
          </w:p>
        </w:tc>
        <w:tc>
          <w:tcPr>
            <w:tcW w:w="1137" w:type="dxa"/>
            <w:vMerge w:val="continue"/>
            <w:tcBorders>
              <w:top w:val="nil"/>
              <w:left w:val="nil"/>
              <w:bottom w:val="single" w:color="000000" w:sz="4" w:space="0"/>
              <w:right w:val="single" w:color="000000" w:sz="4" w:space="0"/>
            </w:tcBorders>
            <w:vAlign w:val="center"/>
          </w:tcPr>
          <w:p w14:paraId="32EFA505">
            <w:pPr>
              <w:kinsoku/>
              <w:autoSpaceDE/>
              <w:autoSpaceDN/>
              <w:adjustRightInd/>
              <w:snapToGrid/>
              <w:textAlignment w:val="auto"/>
              <w:rPr>
                <w:rFonts w:ascii="宋体" w:hAnsi="宋体" w:eastAsia="Arial"/>
                <w:sz w:val="24"/>
                <w:szCs w:val="24"/>
                <w:u w:val="single"/>
              </w:rPr>
            </w:pPr>
          </w:p>
        </w:tc>
        <w:tc>
          <w:tcPr>
            <w:tcW w:w="1427" w:type="dxa"/>
            <w:tcBorders>
              <w:top w:val="single" w:color="000000" w:sz="4" w:space="0"/>
              <w:left w:val="nil"/>
              <w:bottom w:val="single" w:color="000000" w:sz="4" w:space="0"/>
              <w:right w:val="single" w:color="000000" w:sz="4" w:space="0"/>
            </w:tcBorders>
            <w:tcMar>
              <w:top w:w="0" w:type="dxa"/>
              <w:left w:w="57" w:type="dxa"/>
              <w:bottom w:w="0" w:type="dxa"/>
              <w:right w:w="57" w:type="dxa"/>
            </w:tcMar>
            <w:vAlign w:val="center"/>
          </w:tcPr>
          <w:p w14:paraId="77ED12D8">
            <w:pPr>
              <w:tabs>
                <w:tab w:val="left" w:pos="0"/>
              </w:tabs>
              <w:rPr>
                <w:rFonts w:hint="eastAsia"/>
                <w:color w:val="auto"/>
                <w:sz w:val="24"/>
                <w:szCs w:val="24"/>
              </w:rPr>
            </w:pPr>
            <w:r>
              <w:rPr>
                <w:color w:val="auto"/>
                <w:sz w:val="24"/>
                <w:szCs w:val="24"/>
              </w:rPr>
              <w:t>拟投入本项目服务的主要施工机械设备情况</w:t>
            </w:r>
          </w:p>
          <w:p w14:paraId="451B4AD2">
            <w:pPr>
              <w:tabs>
                <w:tab w:val="left" w:pos="0"/>
              </w:tabs>
              <w:rPr>
                <w:rFonts w:cs="宋体"/>
                <w:color w:val="auto"/>
                <w:sz w:val="24"/>
                <w:szCs w:val="24"/>
              </w:rPr>
            </w:pPr>
            <w:r>
              <w:rPr>
                <w:color w:val="auto"/>
                <w:sz w:val="24"/>
                <w:szCs w:val="24"/>
              </w:rPr>
              <w:t>（满分</w:t>
            </w:r>
            <w:r>
              <w:rPr>
                <w:rFonts w:hint="eastAsia"/>
                <w:color w:val="auto"/>
                <w:sz w:val="24"/>
                <w:szCs w:val="24"/>
                <w:lang w:val="en-US" w:eastAsia="zh-CN"/>
              </w:rPr>
              <w:t>9</w:t>
            </w:r>
            <w:r>
              <w:rPr>
                <w:color w:val="auto"/>
                <w:sz w:val="24"/>
                <w:szCs w:val="24"/>
              </w:rPr>
              <w:t>分）</w:t>
            </w:r>
          </w:p>
        </w:tc>
        <w:tc>
          <w:tcPr>
            <w:tcW w:w="6242" w:type="dxa"/>
            <w:tcBorders>
              <w:top w:val="single" w:color="000000" w:sz="4" w:space="0"/>
              <w:left w:val="nil"/>
              <w:bottom w:val="single" w:color="000000" w:sz="4" w:space="0"/>
              <w:right w:val="single" w:color="000000" w:sz="4" w:space="0"/>
            </w:tcBorders>
            <w:vAlign w:val="top"/>
          </w:tcPr>
          <w:p w14:paraId="39E4B43B">
            <w:pPr>
              <w:tabs>
                <w:tab w:val="left" w:pos="0"/>
              </w:tabs>
              <w:wordWrap w:val="0"/>
              <w:spacing w:line="360" w:lineRule="auto"/>
              <w:ind w:firstLine="480" w:firstLineChars="200"/>
              <w:rPr>
                <w:rFonts w:cs="宋体"/>
                <w:b w:val="0"/>
                <w:bCs w:val="0"/>
                <w:color w:val="auto"/>
                <w:sz w:val="24"/>
                <w:szCs w:val="24"/>
              </w:rPr>
            </w:pPr>
            <w:r>
              <w:rPr>
                <w:b w:val="0"/>
                <w:bCs w:val="0"/>
                <w:color w:val="auto"/>
                <w:sz w:val="24"/>
                <w:szCs w:val="24"/>
              </w:rPr>
              <w:t>投标人提供拟增加投入本项目的以下自有设备相关证明的可以加分,设备清单如下：</w:t>
            </w:r>
          </w:p>
          <w:p w14:paraId="5A7FE809">
            <w:pPr>
              <w:tabs>
                <w:tab w:val="left" w:pos="0"/>
              </w:tabs>
              <w:spacing w:line="360" w:lineRule="auto"/>
              <w:ind w:firstLine="420"/>
              <w:rPr>
                <w:rFonts w:hint="eastAsia" w:eastAsia="宋体" w:cs="宋体"/>
                <w:b w:val="0"/>
                <w:bCs w:val="0"/>
                <w:color w:val="auto"/>
                <w:sz w:val="24"/>
                <w:szCs w:val="24"/>
                <w:highlight w:val="none"/>
                <w:lang w:eastAsia="zh-CN"/>
              </w:rPr>
            </w:pPr>
            <w:r>
              <w:rPr>
                <w:b w:val="0"/>
                <w:bCs w:val="0"/>
                <w:color w:val="auto"/>
                <w:sz w:val="24"/>
                <w:szCs w:val="24"/>
                <w:highlight w:val="none"/>
              </w:rPr>
              <w:t>融雪剂撒布车（机）、铣刨机</w:t>
            </w:r>
            <w:r>
              <w:rPr>
                <w:rFonts w:hint="eastAsia"/>
                <w:b w:val="0"/>
                <w:bCs w:val="0"/>
                <w:color w:val="auto"/>
                <w:sz w:val="24"/>
                <w:szCs w:val="24"/>
                <w:highlight w:val="none"/>
                <w:lang w:eastAsia="zh-CN"/>
              </w:rPr>
              <w:t>（</w:t>
            </w:r>
            <w:r>
              <w:rPr>
                <w:b w:val="0"/>
                <w:bCs w:val="0"/>
                <w:color w:val="auto"/>
                <w:sz w:val="24"/>
                <w:szCs w:val="24"/>
                <w:highlight w:val="none"/>
              </w:rPr>
              <w:t>铣刨</w:t>
            </w:r>
            <w:r>
              <w:rPr>
                <w:rFonts w:hint="eastAsia"/>
                <w:b w:val="0"/>
                <w:bCs w:val="0"/>
                <w:color w:val="auto"/>
                <w:sz w:val="24"/>
                <w:szCs w:val="24"/>
                <w:highlight w:val="none"/>
                <w:lang w:val="en-US" w:eastAsia="zh-CN"/>
              </w:rPr>
              <w:t>宽度</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1m</w:t>
            </w:r>
            <w:r>
              <w:rPr>
                <w:rFonts w:hint="eastAsia"/>
                <w:b w:val="0"/>
                <w:bCs w:val="0"/>
                <w:color w:val="auto"/>
                <w:sz w:val="24"/>
                <w:szCs w:val="24"/>
                <w:highlight w:val="none"/>
                <w:lang w:eastAsia="zh-CN"/>
              </w:rPr>
              <w:t>）</w:t>
            </w:r>
            <w:r>
              <w:rPr>
                <w:b w:val="0"/>
                <w:bCs w:val="0"/>
                <w:color w:val="auto"/>
                <w:sz w:val="24"/>
                <w:szCs w:val="24"/>
                <w:highlight w:val="none"/>
              </w:rPr>
              <w:t>、防撞缓冲车（防撞等级</w:t>
            </w:r>
            <w:r>
              <w:rPr>
                <w:rFonts w:hint="eastAsia" w:ascii="宋体" w:hAnsi="宋体" w:eastAsia="宋体" w:cs="宋体"/>
                <w:b w:val="0"/>
                <w:bCs w:val="0"/>
                <w:color w:val="auto"/>
                <w:sz w:val="24"/>
                <w:szCs w:val="24"/>
                <w:highlight w:val="none"/>
              </w:rPr>
              <w:t>≧</w:t>
            </w:r>
            <w:r>
              <w:rPr>
                <w:b w:val="0"/>
                <w:bCs w:val="0"/>
                <w:color w:val="auto"/>
                <w:sz w:val="24"/>
                <w:szCs w:val="24"/>
                <w:highlight w:val="none"/>
              </w:rPr>
              <w:t>80K）、双钢轮振动压路机</w:t>
            </w:r>
            <w:r>
              <w:rPr>
                <w:rFonts w:hint="eastAsia"/>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w:t>
            </w:r>
            <w:r>
              <w:rPr>
                <w:b w:val="0"/>
                <w:bCs w:val="0"/>
                <w:color w:val="auto"/>
                <w:sz w:val="24"/>
                <w:szCs w:val="24"/>
                <w:highlight w:val="none"/>
              </w:rPr>
              <w:t>10</w:t>
            </w:r>
            <w:r>
              <w:rPr>
                <w:rFonts w:hint="eastAsia"/>
                <w:b w:val="0"/>
                <w:bCs w:val="0"/>
                <w:color w:val="auto"/>
                <w:sz w:val="24"/>
                <w:szCs w:val="24"/>
                <w:highlight w:val="none"/>
                <w:lang w:val="en-US" w:eastAsia="zh-CN"/>
              </w:rPr>
              <w:t>吨</w:t>
            </w:r>
            <w:r>
              <w:rPr>
                <w:rFonts w:hint="eastAsia"/>
                <w:b w:val="0"/>
                <w:bCs w:val="0"/>
                <w:color w:val="auto"/>
                <w:sz w:val="24"/>
                <w:szCs w:val="24"/>
                <w:highlight w:val="none"/>
                <w:lang w:eastAsia="zh-CN"/>
              </w:rPr>
              <w:t>）</w:t>
            </w:r>
            <w:r>
              <w:rPr>
                <w:rFonts w:hint="eastAsia" w:cs="宋体"/>
                <w:b w:val="0"/>
                <w:bCs w:val="0"/>
                <w:color w:val="auto"/>
                <w:sz w:val="24"/>
                <w:szCs w:val="24"/>
                <w:highlight w:val="none"/>
              </w:rPr>
              <w:t>、</w:t>
            </w:r>
            <w:r>
              <w:rPr>
                <w:b w:val="0"/>
                <w:bCs w:val="0"/>
                <w:color w:val="auto"/>
                <w:sz w:val="24"/>
                <w:szCs w:val="24"/>
                <w:highlight w:val="none"/>
              </w:rPr>
              <w:t>车载式起重机（</w:t>
            </w:r>
            <w:r>
              <w:rPr>
                <w:rFonts w:hint="eastAsia"/>
                <w:b w:val="0"/>
                <w:bCs w:val="0"/>
                <w:color w:val="auto"/>
                <w:sz w:val="24"/>
                <w:szCs w:val="24"/>
                <w:highlight w:val="none"/>
                <w:lang w:val="en-US" w:eastAsia="zh-CN"/>
              </w:rPr>
              <w:t>起重量</w:t>
            </w:r>
            <w:r>
              <w:rPr>
                <w:rFonts w:hint="eastAsia" w:ascii="宋体" w:hAnsi="宋体" w:eastAsia="宋体" w:cs="宋体"/>
                <w:b w:val="0"/>
                <w:bCs w:val="0"/>
                <w:color w:val="auto"/>
                <w:sz w:val="24"/>
                <w:szCs w:val="24"/>
                <w:highlight w:val="none"/>
              </w:rPr>
              <w:t>≧</w:t>
            </w:r>
            <w:r>
              <w:rPr>
                <w:b w:val="0"/>
                <w:bCs w:val="0"/>
                <w:color w:val="auto"/>
                <w:sz w:val="24"/>
                <w:szCs w:val="24"/>
                <w:highlight w:val="none"/>
              </w:rPr>
              <w:t>10</w:t>
            </w:r>
            <w:r>
              <w:rPr>
                <w:rFonts w:hint="eastAsia"/>
                <w:b w:val="0"/>
                <w:bCs w:val="0"/>
                <w:color w:val="auto"/>
                <w:sz w:val="24"/>
                <w:szCs w:val="24"/>
                <w:highlight w:val="none"/>
                <w:lang w:val="en-US" w:eastAsia="zh-CN"/>
              </w:rPr>
              <w:t>吨</w:t>
            </w:r>
            <w:r>
              <w:rPr>
                <w:b w:val="0"/>
                <w:bCs w:val="0"/>
                <w:color w:val="auto"/>
                <w:sz w:val="24"/>
                <w:szCs w:val="24"/>
                <w:highlight w:val="none"/>
              </w:rPr>
              <w:t>）</w:t>
            </w:r>
            <w:r>
              <w:rPr>
                <w:rFonts w:hint="eastAsia"/>
                <w:b w:val="0"/>
                <w:bCs w:val="0"/>
                <w:color w:val="auto"/>
                <w:sz w:val="24"/>
                <w:szCs w:val="24"/>
                <w:highlight w:val="none"/>
                <w:lang w:eastAsia="zh-CN"/>
              </w:rPr>
              <w:t>。</w:t>
            </w:r>
          </w:p>
          <w:p w14:paraId="439FC0E6">
            <w:pPr>
              <w:tabs>
                <w:tab w:val="left" w:pos="0"/>
              </w:tabs>
              <w:spacing w:line="360" w:lineRule="auto"/>
              <w:ind w:firstLine="422"/>
              <w:rPr>
                <w:rFonts w:hint="eastAsia" w:cs="宋体"/>
                <w:b w:val="0"/>
                <w:bCs w:val="0"/>
                <w:color w:val="auto"/>
                <w:sz w:val="24"/>
                <w:szCs w:val="24"/>
                <w:highlight w:val="none"/>
              </w:rPr>
            </w:pPr>
            <w:r>
              <w:rPr>
                <w:rFonts w:hint="eastAsia" w:cs="宋体"/>
                <w:b w:val="0"/>
                <w:bCs w:val="0"/>
                <w:color w:val="auto"/>
                <w:sz w:val="24"/>
                <w:szCs w:val="24"/>
                <w:highlight w:val="none"/>
              </w:rPr>
              <w:t>每自有</w:t>
            </w:r>
            <w:r>
              <w:rPr>
                <w:rFonts w:hint="eastAsia" w:cs="宋体"/>
                <w:b w:val="0"/>
                <w:bCs w:val="0"/>
                <w:color w:val="auto"/>
                <w:sz w:val="24"/>
                <w:szCs w:val="24"/>
                <w:highlight w:val="none"/>
                <w:lang w:eastAsia="zh-CN"/>
              </w:rPr>
              <w:t>或租赁</w:t>
            </w:r>
            <w:r>
              <w:rPr>
                <w:rFonts w:hint="eastAsia" w:cs="宋体"/>
                <w:b w:val="0"/>
                <w:bCs w:val="0"/>
                <w:color w:val="auto"/>
                <w:sz w:val="24"/>
                <w:szCs w:val="24"/>
                <w:highlight w:val="none"/>
              </w:rPr>
              <w:t>以上一项品类得</w:t>
            </w:r>
            <w:r>
              <w:rPr>
                <w:rFonts w:hint="eastAsia" w:cs="宋体"/>
                <w:b w:val="0"/>
                <w:bCs w:val="0"/>
                <w:color w:val="auto"/>
                <w:sz w:val="24"/>
                <w:szCs w:val="24"/>
                <w:highlight w:val="none"/>
                <w:lang w:val="en-US" w:eastAsia="zh-CN"/>
              </w:rPr>
              <w:t>3</w:t>
            </w:r>
            <w:r>
              <w:rPr>
                <w:rFonts w:hint="eastAsia" w:cs="宋体"/>
                <w:b w:val="0"/>
                <w:bCs w:val="0"/>
                <w:color w:val="auto"/>
                <w:sz w:val="24"/>
                <w:szCs w:val="24"/>
                <w:highlight w:val="none"/>
              </w:rPr>
              <w:t>分，未提供的不得分，本项满分合计</w:t>
            </w:r>
            <w:r>
              <w:rPr>
                <w:rFonts w:hint="eastAsia" w:cs="宋体"/>
                <w:b w:val="0"/>
                <w:bCs w:val="0"/>
                <w:color w:val="auto"/>
                <w:sz w:val="24"/>
                <w:szCs w:val="24"/>
                <w:highlight w:val="none"/>
                <w:lang w:val="en-US" w:eastAsia="zh-CN"/>
              </w:rPr>
              <w:t>9</w:t>
            </w:r>
            <w:r>
              <w:rPr>
                <w:rFonts w:hint="eastAsia" w:cs="宋体"/>
                <w:b w:val="0"/>
                <w:bCs w:val="0"/>
                <w:color w:val="auto"/>
                <w:sz w:val="24"/>
                <w:szCs w:val="24"/>
                <w:highlight w:val="none"/>
              </w:rPr>
              <w:t>分。</w:t>
            </w:r>
          </w:p>
          <w:p w14:paraId="50F8C11B">
            <w:pPr>
              <w:tabs>
                <w:tab w:val="left" w:pos="0"/>
              </w:tabs>
              <w:spacing w:line="360" w:lineRule="auto"/>
              <w:ind w:firstLine="422" w:firstLineChars="0"/>
              <w:rPr>
                <w:rFonts w:cs="宋体"/>
                <w:color w:val="FF0000"/>
                <w:sz w:val="24"/>
                <w:szCs w:val="24"/>
              </w:rPr>
            </w:pPr>
            <w:r>
              <w:rPr>
                <w:rFonts w:hint="eastAsia" w:ascii="宋体" w:hAnsi="宋体" w:cs="宋体"/>
                <w:b w:val="0"/>
                <w:bCs w:val="0"/>
                <w:color w:val="auto"/>
                <w:sz w:val="24"/>
                <w:szCs w:val="24"/>
              </w:rPr>
              <w:t>（</w:t>
            </w:r>
            <w:r>
              <w:rPr>
                <w:rFonts w:hint="eastAsia" w:ascii="宋体" w:hAnsi="宋体" w:cs="宋体"/>
                <w:b w:val="0"/>
                <w:bCs w:val="0"/>
                <w:color w:val="auto"/>
                <w:sz w:val="24"/>
                <w:szCs w:val="24"/>
                <w:lang w:val="en-US" w:eastAsia="zh-CN"/>
              </w:rPr>
              <w:t>注：</w:t>
            </w:r>
            <w:r>
              <w:rPr>
                <w:rFonts w:hint="eastAsia" w:ascii="宋体" w:hAnsi="宋体" w:cs="宋体"/>
                <w:b w:val="0"/>
                <w:bCs w:val="0"/>
                <w:color w:val="auto"/>
                <w:sz w:val="24"/>
                <w:szCs w:val="24"/>
              </w:rPr>
              <w:t>自有设备须提供购买设备的发票，</w:t>
            </w:r>
            <w:r>
              <w:rPr>
                <w:rFonts w:hint="eastAsia" w:cs="宋体"/>
                <w:b w:val="0"/>
                <w:bCs w:val="0"/>
                <w:color w:val="auto"/>
                <w:sz w:val="24"/>
                <w:szCs w:val="24"/>
                <w:highlight w:val="none"/>
              </w:rPr>
              <w:t>租赁设备需提供租期超过服务期限的租赁合同或协议</w:t>
            </w:r>
            <w:r>
              <w:rPr>
                <w:rFonts w:hint="eastAsia" w:eastAsia="宋体" w:cs="宋体"/>
                <w:b w:val="0"/>
                <w:bCs w:val="0"/>
                <w:color w:val="auto"/>
                <w:sz w:val="24"/>
                <w:szCs w:val="24"/>
                <w:highlight w:val="none"/>
                <w:lang w:eastAsia="zh-CN"/>
              </w:rPr>
              <w:t>，</w:t>
            </w:r>
            <w:r>
              <w:rPr>
                <w:rFonts w:hint="eastAsia" w:ascii="宋体" w:hAnsi="宋体" w:cs="宋体"/>
                <w:b w:val="0"/>
                <w:bCs w:val="0"/>
                <w:color w:val="auto"/>
                <w:sz w:val="24"/>
                <w:szCs w:val="24"/>
              </w:rPr>
              <w:t>且提供的车辆须具备有效的行驶证</w:t>
            </w:r>
            <w:r>
              <w:rPr>
                <w:rFonts w:hint="eastAsia" w:cs="宋体"/>
                <w:b w:val="0"/>
                <w:bCs w:val="0"/>
                <w:color w:val="auto"/>
                <w:sz w:val="24"/>
                <w:szCs w:val="24"/>
                <w:highlight w:val="none"/>
              </w:rPr>
              <w:t>。</w:t>
            </w:r>
            <w:r>
              <w:rPr>
                <w:rFonts w:hint="eastAsia"/>
                <w:b w:val="0"/>
                <w:bCs w:val="0"/>
                <w:color w:val="auto"/>
                <w:sz w:val="24"/>
                <w:szCs w:val="24"/>
              </w:rPr>
              <w:t>投标人</w:t>
            </w:r>
            <w:r>
              <w:rPr>
                <w:rFonts w:hint="eastAsia" w:cs="宋体"/>
                <w:b w:val="0"/>
                <w:bCs w:val="0"/>
                <w:color w:val="auto"/>
                <w:sz w:val="24"/>
                <w:szCs w:val="24"/>
              </w:rPr>
              <w:t>承诺</w:t>
            </w:r>
            <w:r>
              <w:rPr>
                <w:rFonts w:hint="eastAsia"/>
                <w:b w:val="0"/>
                <w:bCs w:val="0"/>
                <w:color w:val="auto"/>
                <w:sz w:val="24"/>
                <w:szCs w:val="24"/>
              </w:rPr>
              <w:t>一旦中标，应</w:t>
            </w:r>
            <w:r>
              <w:rPr>
                <w:rFonts w:hint="eastAsia" w:cs="宋体"/>
                <w:b w:val="0"/>
                <w:bCs w:val="0"/>
                <w:color w:val="auto"/>
                <w:sz w:val="24"/>
                <w:szCs w:val="24"/>
              </w:rPr>
              <w:t>在签订合同15天内</w:t>
            </w:r>
            <w:r>
              <w:rPr>
                <w:rFonts w:hint="eastAsia" w:cs="宋体"/>
                <w:b w:val="0"/>
                <w:bCs w:val="0"/>
                <w:color w:val="auto"/>
                <w:sz w:val="24"/>
                <w:szCs w:val="24"/>
                <w:highlight w:val="none"/>
              </w:rPr>
              <w:t>，</w:t>
            </w:r>
            <w:r>
              <w:rPr>
                <w:rFonts w:hint="eastAsia"/>
                <w:b w:val="0"/>
                <w:bCs w:val="0"/>
                <w:color w:val="auto"/>
                <w:sz w:val="24"/>
                <w:szCs w:val="24"/>
                <w:highlight w:val="none"/>
              </w:rPr>
              <w:t>按</w:t>
            </w:r>
            <w:r>
              <w:rPr>
                <w:rFonts w:hint="eastAsia" w:cs="宋体"/>
                <w:b w:val="0"/>
                <w:bCs w:val="0"/>
                <w:color w:val="auto"/>
                <w:sz w:val="24"/>
                <w:szCs w:val="24"/>
                <w:highlight w:val="none"/>
              </w:rPr>
              <w:t>拟增加</w:t>
            </w:r>
            <w:r>
              <w:rPr>
                <w:rFonts w:hint="eastAsia"/>
                <w:b w:val="0"/>
                <w:bCs w:val="0"/>
                <w:color w:val="auto"/>
                <w:sz w:val="24"/>
                <w:szCs w:val="24"/>
                <w:highlight w:val="none"/>
              </w:rPr>
              <w:t>的机械设备到位，否则按违约处理。</w:t>
            </w:r>
            <w:r>
              <w:rPr>
                <w:rFonts w:hint="eastAsia"/>
                <w:b w:val="0"/>
                <w:bCs w:val="0"/>
                <w:color w:val="auto"/>
                <w:sz w:val="24"/>
                <w:szCs w:val="24"/>
                <w:highlight w:val="none"/>
                <w:lang w:val="en-US" w:eastAsia="zh-CN"/>
              </w:rPr>
              <w:t>在投标文件机械设备</w:t>
            </w:r>
            <w:r>
              <w:rPr>
                <w:rFonts w:hint="eastAsia"/>
                <w:b w:val="0"/>
                <w:bCs w:val="0"/>
                <w:color w:val="auto"/>
                <w:sz w:val="24"/>
                <w:szCs w:val="24"/>
                <w:highlight w:val="none"/>
              </w:rPr>
              <w:t>承诺函</w:t>
            </w:r>
            <w:r>
              <w:rPr>
                <w:rFonts w:hint="eastAsia"/>
                <w:b w:val="0"/>
                <w:bCs w:val="0"/>
                <w:color w:val="auto"/>
                <w:sz w:val="24"/>
                <w:szCs w:val="24"/>
                <w:highlight w:val="none"/>
                <w:lang w:val="en-US" w:eastAsia="zh-CN"/>
              </w:rPr>
              <w:t>中承诺</w:t>
            </w:r>
            <w:r>
              <w:rPr>
                <w:rFonts w:hint="eastAsia" w:cs="宋体"/>
                <w:b w:val="0"/>
                <w:bCs w:val="0"/>
                <w:color w:val="auto"/>
                <w:sz w:val="24"/>
                <w:szCs w:val="24"/>
                <w:highlight w:val="none"/>
              </w:rPr>
              <w:t>。</w:t>
            </w:r>
            <w:r>
              <w:rPr>
                <w:rFonts w:hint="eastAsia" w:cs="宋体"/>
                <w:b w:val="0"/>
                <w:bCs w:val="0"/>
                <w:color w:val="auto"/>
                <w:sz w:val="24"/>
                <w:szCs w:val="24"/>
              </w:rPr>
              <w:t>）</w:t>
            </w:r>
          </w:p>
        </w:tc>
      </w:tr>
      <w:tr w14:paraId="2E167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770" w:type="dxa"/>
            <w:vMerge w:val="continue"/>
            <w:tcBorders>
              <w:top w:val="nil"/>
              <w:left w:val="single" w:color="000000" w:sz="4" w:space="0"/>
              <w:bottom w:val="single" w:color="000000" w:sz="4" w:space="0"/>
              <w:right w:val="single" w:color="000000" w:sz="4" w:space="0"/>
            </w:tcBorders>
            <w:vAlign w:val="center"/>
          </w:tcPr>
          <w:p w14:paraId="04B22E0E">
            <w:pPr>
              <w:kinsoku/>
              <w:autoSpaceDE/>
              <w:autoSpaceDN/>
              <w:adjustRightInd/>
              <w:snapToGrid/>
              <w:textAlignment w:val="auto"/>
              <w:rPr>
                <w:rFonts w:ascii="宋体" w:hAnsi="宋体" w:eastAsia="Arial"/>
                <w:sz w:val="24"/>
                <w:szCs w:val="24"/>
                <w:u w:val="single"/>
              </w:rPr>
            </w:pPr>
          </w:p>
        </w:tc>
        <w:tc>
          <w:tcPr>
            <w:tcW w:w="1137" w:type="dxa"/>
            <w:vMerge w:val="continue"/>
            <w:tcBorders>
              <w:top w:val="nil"/>
              <w:left w:val="nil"/>
              <w:bottom w:val="single" w:color="000000" w:sz="4" w:space="0"/>
              <w:right w:val="single" w:color="000000" w:sz="4" w:space="0"/>
            </w:tcBorders>
            <w:vAlign w:val="center"/>
          </w:tcPr>
          <w:p w14:paraId="39C5D428">
            <w:pPr>
              <w:kinsoku/>
              <w:autoSpaceDE/>
              <w:autoSpaceDN/>
              <w:adjustRightInd/>
              <w:snapToGrid/>
              <w:textAlignment w:val="auto"/>
              <w:rPr>
                <w:rFonts w:ascii="宋体" w:hAnsi="宋体" w:eastAsia="Arial"/>
                <w:sz w:val="24"/>
                <w:szCs w:val="24"/>
                <w:u w:val="single"/>
              </w:rPr>
            </w:pPr>
          </w:p>
        </w:tc>
        <w:tc>
          <w:tcPr>
            <w:tcW w:w="1427" w:type="dxa"/>
            <w:tcBorders>
              <w:top w:val="single" w:color="000000" w:sz="4" w:space="0"/>
              <w:left w:val="nil"/>
              <w:bottom w:val="single" w:color="000000" w:sz="4" w:space="0"/>
              <w:right w:val="single" w:color="000000" w:sz="4" w:space="0"/>
            </w:tcBorders>
            <w:tcMar>
              <w:top w:w="0" w:type="dxa"/>
              <w:left w:w="57" w:type="dxa"/>
              <w:bottom w:w="0" w:type="dxa"/>
              <w:right w:w="57" w:type="dxa"/>
            </w:tcMar>
            <w:vAlign w:val="center"/>
          </w:tcPr>
          <w:p w14:paraId="54FF2061">
            <w:pPr>
              <w:widowControl w:val="0"/>
              <w:spacing w:line="360" w:lineRule="auto"/>
              <w:jc w:val="center"/>
              <w:rPr>
                <w:rFonts w:hint="eastAsia" w:ascii="宋体" w:hAnsi="宋体"/>
                <w:color w:val="auto"/>
                <w:sz w:val="24"/>
                <w:szCs w:val="24"/>
              </w:rPr>
            </w:pPr>
            <w:r>
              <w:rPr>
                <w:rFonts w:hint="eastAsia" w:ascii="宋体" w:hAnsi="宋体"/>
                <w:color w:val="auto"/>
                <w:sz w:val="24"/>
                <w:szCs w:val="24"/>
              </w:rPr>
              <w:t>业绩分</w:t>
            </w:r>
          </w:p>
          <w:p w14:paraId="15BD5CC3">
            <w:pPr>
              <w:widowControl w:val="0"/>
              <w:spacing w:line="360" w:lineRule="auto"/>
              <w:jc w:val="center"/>
              <w:rPr>
                <w:rFonts w:ascii="宋体" w:hAnsi="宋体"/>
                <w:color w:val="auto"/>
                <w:kern w:val="2"/>
                <w:sz w:val="24"/>
                <w:szCs w:val="24"/>
              </w:rPr>
            </w:pPr>
            <w:r>
              <w:rPr>
                <w:rFonts w:hint="eastAsia" w:ascii="宋体" w:hAnsi="宋体"/>
                <w:color w:val="auto"/>
                <w:sz w:val="24"/>
                <w:szCs w:val="24"/>
              </w:rPr>
              <w:t>（</w:t>
            </w:r>
            <w:r>
              <w:rPr>
                <w:rFonts w:hint="eastAsia" w:ascii="宋体" w:hAnsi="宋体"/>
                <w:color w:val="auto"/>
                <w:sz w:val="24"/>
                <w:szCs w:val="24"/>
                <w:lang w:val="en-US" w:eastAsia="zh-CN"/>
              </w:rPr>
              <w:t>15</w:t>
            </w:r>
            <w:r>
              <w:rPr>
                <w:rFonts w:hint="eastAsia" w:ascii="宋体" w:hAnsi="宋体"/>
                <w:color w:val="auto"/>
                <w:sz w:val="24"/>
                <w:szCs w:val="24"/>
              </w:rPr>
              <w:t>分）</w:t>
            </w:r>
          </w:p>
        </w:tc>
        <w:tc>
          <w:tcPr>
            <w:tcW w:w="6242" w:type="dxa"/>
            <w:tcBorders>
              <w:top w:val="single" w:color="000000" w:sz="4" w:space="0"/>
              <w:left w:val="nil"/>
              <w:bottom w:val="single" w:color="000000" w:sz="4" w:space="0"/>
              <w:right w:val="single" w:color="000000" w:sz="4" w:space="0"/>
            </w:tcBorders>
            <w:vAlign w:val="top"/>
          </w:tcPr>
          <w:p w14:paraId="1771D085">
            <w:pPr>
              <w:spacing w:line="360" w:lineRule="auto"/>
              <w:ind w:firstLine="480" w:firstLineChars="200"/>
              <w:rPr>
                <w:rFonts w:hint="eastAsia" w:ascii="宋体" w:hAnsi="宋体"/>
                <w:color w:val="auto"/>
                <w:kern w:val="2"/>
                <w:sz w:val="24"/>
                <w:szCs w:val="24"/>
              </w:rPr>
            </w:pPr>
            <w:r>
              <w:rPr>
                <w:rFonts w:hint="eastAsia" w:ascii="宋体" w:hAnsi="宋体"/>
                <w:color w:val="auto"/>
                <w:sz w:val="24"/>
                <w:szCs w:val="24"/>
              </w:rPr>
              <w:t>投标人自2021年1月1日起，独立承接过</w:t>
            </w:r>
            <w:r>
              <w:rPr>
                <w:rFonts w:hint="eastAsia" w:ascii="宋体" w:hAnsi="宋体" w:eastAsia="宋体"/>
                <w:color w:val="auto"/>
                <w:sz w:val="24"/>
                <w:szCs w:val="24"/>
                <w:lang w:val="en-US" w:eastAsia="zh-CN"/>
              </w:rPr>
              <w:t>类似</w:t>
            </w:r>
            <w:r>
              <w:rPr>
                <w:rFonts w:hint="eastAsia" w:cs="宋体"/>
                <w:color w:val="auto"/>
                <w:sz w:val="24"/>
                <w:szCs w:val="24"/>
              </w:rPr>
              <w:t>的日常养护</w:t>
            </w:r>
            <w:r>
              <w:rPr>
                <w:rFonts w:hint="eastAsia" w:cs="宋体"/>
                <w:color w:val="auto"/>
                <w:sz w:val="24"/>
                <w:szCs w:val="24"/>
                <w:lang w:eastAsia="zh-CN"/>
              </w:rPr>
              <w:t>（</w:t>
            </w:r>
            <w:r>
              <w:rPr>
                <w:rFonts w:hint="eastAsia" w:cs="宋体"/>
                <w:color w:val="auto"/>
                <w:sz w:val="24"/>
                <w:szCs w:val="24"/>
                <w:lang w:val="en-US" w:eastAsia="zh-CN"/>
              </w:rPr>
              <w:t>小修保养</w:t>
            </w:r>
            <w:r>
              <w:rPr>
                <w:rFonts w:hint="eastAsia" w:cs="宋体"/>
                <w:color w:val="auto"/>
                <w:sz w:val="24"/>
                <w:szCs w:val="24"/>
                <w:lang w:eastAsia="zh-CN"/>
              </w:rPr>
              <w:t>）</w:t>
            </w:r>
            <w:r>
              <w:rPr>
                <w:rFonts w:hint="eastAsia" w:cs="宋体"/>
                <w:color w:val="auto"/>
                <w:sz w:val="24"/>
                <w:szCs w:val="24"/>
              </w:rPr>
              <w:t>项目</w:t>
            </w:r>
            <w:r>
              <w:rPr>
                <w:rFonts w:hint="eastAsia" w:eastAsia="宋体" w:cs="宋体"/>
                <w:color w:val="auto"/>
                <w:sz w:val="24"/>
                <w:szCs w:val="24"/>
                <w:lang w:val="en-US" w:eastAsia="zh-CN"/>
              </w:rPr>
              <w:t>的</w:t>
            </w:r>
            <w:r>
              <w:rPr>
                <w:rFonts w:hint="eastAsia" w:cs="宋体"/>
                <w:color w:val="auto"/>
                <w:sz w:val="24"/>
                <w:szCs w:val="24"/>
              </w:rPr>
              <w:t>，</w:t>
            </w:r>
            <w:r>
              <w:rPr>
                <w:rFonts w:hint="eastAsia" w:ascii="宋体" w:hAnsi="宋体"/>
                <w:color w:val="auto"/>
                <w:sz w:val="24"/>
                <w:szCs w:val="24"/>
              </w:rPr>
              <w:t>每提供一个业绩得</w:t>
            </w:r>
            <w:r>
              <w:rPr>
                <w:rFonts w:hint="eastAsia" w:ascii="宋体" w:hAnsi="宋体"/>
                <w:color w:val="auto"/>
                <w:sz w:val="24"/>
                <w:szCs w:val="24"/>
                <w:lang w:val="en-US" w:eastAsia="zh-CN"/>
              </w:rPr>
              <w:t>3</w:t>
            </w:r>
            <w:r>
              <w:rPr>
                <w:rFonts w:hint="eastAsia" w:ascii="宋体" w:hAnsi="宋体"/>
                <w:color w:val="auto"/>
                <w:sz w:val="24"/>
                <w:szCs w:val="24"/>
              </w:rPr>
              <w:t>分，满分</w:t>
            </w:r>
            <w:r>
              <w:rPr>
                <w:rFonts w:hint="eastAsia" w:ascii="宋体" w:hAnsi="宋体"/>
                <w:color w:val="auto"/>
                <w:sz w:val="24"/>
                <w:szCs w:val="24"/>
                <w:lang w:val="en-US" w:eastAsia="zh-CN"/>
              </w:rPr>
              <w:t>15</w:t>
            </w:r>
            <w:r>
              <w:rPr>
                <w:rFonts w:hint="eastAsia" w:ascii="宋体" w:hAnsi="宋体"/>
                <w:color w:val="auto"/>
                <w:sz w:val="24"/>
                <w:szCs w:val="24"/>
              </w:rPr>
              <w:t>分。</w:t>
            </w:r>
          </w:p>
          <w:p w14:paraId="7F836EBF">
            <w:pPr>
              <w:widowControl w:val="0"/>
              <w:spacing w:line="360" w:lineRule="auto"/>
              <w:ind w:firstLine="480" w:firstLineChars="200"/>
              <w:jc w:val="both"/>
              <w:rPr>
                <w:rFonts w:ascii="宋体" w:hAnsi="宋体"/>
                <w:kern w:val="2"/>
                <w:sz w:val="24"/>
                <w:szCs w:val="24"/>
              </w:rPr>
            </w:pPr>
            <w:r>
              <w:rPr>
                <w:rFonts w:hint="eastAsia" w:ascii="宋体" w:hAnsi="宋体"/>
                <w:sz w:val="24"/>
                <w:szCs w:val="24"/>
              </w:rPr>
              <w:t>注：须在投标文件中提供有效的合同或协议书关键页（含签字盖章页）复印件</w:t>
            </w:r>
            <w:r>
              <w:rPr>
                <w:rFonts w:hint="eastAsia" w:ascii="宋体" w:hAnsi="宋体" w:eastAsia="宋体"/>
                <w:sz w:val="24"/>
                <w:szCs w:val="24"/>
                <w:lang w:val="en-US" w:eastAsia="zh-CN"/>
              </w:rPr>
              <w:t>或</w:t>
            </w:r>
            <w:r>
              <w:rPr>
                <w:rFonts w:hint="eastAsia" w:ascii="宋体" w:hAnsi="宋体"/>
                <w:sz w:val="24"/>
                <w:szCs w:val="24"/>
              </w:rPr>
              <w:t>中标（成交）通知书</w:t>
            </w:r>
            <w:r>
              <w:rPr>
                <w:rFonts w:hint="eastAsia" w:ascii="宋体" w:hAnsi="宋体" w:eastAsia="宋体"/>
                <w:sz w:val="24"/>
                <w:szCs w:val="24"/>
                <w:lang w:val="en-US" w:eastAsia="zh-CN"/>
              </w:rPr>
              <w:t>或</w:t>
            </w:r>
            <w:r>
              <w:rPr>
                <w:rFonts w:hint="eastAsia" w:ascii="宋体" w:hAnsi="宋体"/>
                <w:sz w:val="24"/>
                <w:szCs w:val="24"/>
              </w:rPr>
              <w:t>招标（竞标）公告</w:t>
            </w:r>
            <w:r>
              <w:rPr>
                <w:rFonts w:hint="eastAsia" w:ascii="宋体" w:hAnsi="宋体"/>
                <w:sz w:val="24"/>
                <w:szCs w:val="24"/>
                <w:lang w:val="en-US" w:eastAsia="zh-CN"/>
              </w:rPr>
              <w:t>或</w:t>
            </w:r>
            <w:r>
              <w:rPr>
                <w:rFonts w:hint="eastAsia" w:ascii="宋体" w:hAnsi="宋体"/>
                <w:sz w:val="24"/>
                <w:szCs w:val="24"/>
              </w:rPr>
              <w:t>中标（成交）公告网页截图</w:t>
            </w:r>
            <w:r>
              <w:rPr>
                <w:rFonts w:hint="eastAsia" w:ascii="宋体" w:hAnsi="宋体"/>
                <w:sz w:val="24"/>
                <w:szCs w:val="24"/>
                <w:lang w:eastAsia="zh-CN"/>
              </w:rPr>
              <w:t>，</w:t>
            </w:r>
            <w:r>
              <w:rPr>
                <w:rFonts w:hint="eastAsia" w:ascii="宋体" w:hAnsi="宋体"/>
                <w:sz w:val="24"/>
                <w:szCs w:val="24"/>
              </w:rPr>
              <w:t>并加盖投标人公章，否则不得分。</w:t>
            </w:r>
          </w:p>
        </w:tc>
      </w:tr>
      <w:tr w14:paraId="26F0A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576" w:type="dxa"/>
            <w:gridSpan w:val="4"/>
            <w:tcBorders>
              <w:top w:val="single" w:color="000000" w:sz="4" w:space="0"/>
              <w:left w:val="single" w:color="000000" w:sz="4" w:space="0"/>
              <w:bottom w:val="single" w:color="000000" w:sz="4" w:space="0"/>
              <w:right w:val="single" w:color="000000" w:sz="4" w:space="0"/>
            </w:tcBorders>
            <w:vAlign w:val="center"/>
          </w:tcPr>
          <w:p w14:paraId="4E7115DC">
            <w:pPr>
              <w:spacing w:line="360" w:lineRule="auto"/>
              <w:rPr>
                <w:rFonts w:ascii="宋体" w:hAnsi="宋体" w:eastAsia="Arial"/>
                <w:sz w:val="24"/>
                <w:szCs w:val="24"/>
                <w:u w:val="single"/>
              </w:rPr>
            </w:pPr>
            <w:r>
              <w:rPr>
                <w:sz w:val="24"/>
                <w:szCs w:val="24"/>
              </w:rPr>
              <w:t>总得分</w:t>
            </w:r>
            <w:r>
              <w:rPr>
                <w:rFonts w:ascii="宋体" w:hAnsi="宋体" w:cs="宋体"/>
                <w:sz w:val="24"/>
                <w:szCs w:val="24"/>
              </w:rPr>
              <w:t>=1+2+3</w:t>
            </w:r>
            <w:r>
              <w:rPr>
                <w:sz w:val="24"/>
                <w:szCs w:val="24"/>
              </w:rPr>
              <w:t>。</w:t>
            </w:r>
          </w:p>
        </w:tc>
      </w:tr>
    </w:tbl>
    <w:p w14:paraId="20676E3A">
      <w:pPr>
        <w:pStyle w:val="15"/>
        <w:spacing w:line="360" w:lineRule="auto"/>
        <w:rPr>
          <w:rFonts w:hint="eastAsia" w:hAnsi="宋体"/>
          <w:bCs/>
          <w:sz w:val="24"/>
          <w:szCs w:val="24"/>
        </w:rPr>
      </w:pPr>
      <w:r>
        <w:rPr>
          <w:rFonts w:hint="eastAsia" w:hAnsi="宋体" w:eastAsia="宋体" w:cs="宋体"/>
          <w:bCs/>
          <w:sz w:val="24"/>
          <w:szCs w:val="24"/>
        </w:rPr>
        <w:t>注：</w:t>
      </w:r>
      <w:r>
        <w:rPr>
          <w:rFonts w:hAnsi="宋体" w:eastAsia="宋体" w:cs="宋体"/>
          <w:bCs/>
          <w:sz w:val="24"/>
          <w:szCs w:val="24"/>
        </w:rPr>
        <w:t>1.</w:t>
      </w:r>
      <w:r>
        <w:rPr>
          <w:rFonts w:hint="eastAsia" w:hAnsi="宋体" w:eastAsia="宋体" w:cs="宋体"/>
          <w:bCs/>
          <w:sz w:val="24"/>
          <w:szCs w:val="24"/>
        </w:rPr>
        <w:t>计分方法按四舍五入取至百分位；</w:t>
      </w:r>
    </w:p>
    <w:p w14:paraId="0B0188EA">
      <w:pPr>
        <w:spacing w:line="360" w:lineRule="auto"/>
        <w:ind w:firstLine="480" w:firstLineChars="200"/>
        <w:rPr>
          <w:rFonts w:hint="eastAsia" w:ascii="宋体" w:hAnsi="宋体" w:eastAsia="Arial"/>
          <w:bCs/>
        </w:rPr>
      </w:pPr>
      <w:r>
        <w:rPr>
          <w:rFonts w:ascii="宋体" w:hAnsi="宋体" w:cs="宋体"/>
          <w:bCs/>
          <w:sz w:val="24"/>
          <w:szCs w:val="24"/>
        </w:rPr>
        <w:t>2.</w:t>
      </w:r>
      <w:r>
        <w:rPr>
          <w:bCs/>
          <w:sz w:val="24"/>
          <w:szCs w:val="24"/>
        </w:rPr>
        <w:t>因落实政府采购政策进行价格调整的，以调整后的价格计算评标基准价和投标报价。</w:t>
      </w:r>
    </w:p>
    <w:p w14:paraId="25B3D645">
      <w:pPr>
        <w:pStyle w:val="4"/>
        <w:keepNext w:val="0"/>
        <w:keepLines w:val="0"/>
        <w:spacing w:before="100" w:after="100" w:line="360" w:lineRule="auto"/>
        <w:jc w:val="center"/>
        <w:outlineLvl w:val="9"/>
        <w:rPr>
          <w:rFonts w:hint="eastAsia" w:ascii="宋体" w:hAnsi="宋体" w:cs="宋体"/>
          <w:sz w:val="30"/>
          <w:szCs w:val="30"/>
          <w:lang w:eastAsia="zh-CN"/>
        </w:rPr>
      </w:pPr>
    </w:p>
    <w:p w14:paraId="11E81A24">
      <w:pPr>
        <w:pStyle w:val="4"/>
        <w:keepNext w:val="0"/>
        <w:keepLines w:val="0"/>
        <w:spacing w:before="100" w:after="100" w:line="360" w:lineRule="auto"/>
        <w:jc w:val="center"/>
        <w:outlineLvl w:val="9"/>
        <w:rPr>
          <w:rFonts w:hint="eastAsia" w:ascii="宋体" w:hAnsi="宋体" w:cs="宋体"/>
          <w:sz w:val="30"/>
          <w:szCs w:val="30"/>
          <w:lang w:eastAsia="zh-CN"/>
        </w:rPr>
      </w:pPr>
    </w:p>
    <w:p w14:paraId="686A2B41">
      <w:pPr>
        <w:pStyle w:val="4"/>
        <w:keepNext w:val="0"/>
        <w:keepLines w:val="0"/>
        <w:spacing w:before="100" w:after="100" w:line="360" w:lineRule="auto"/>
        <w:jc w:val="center"/>
        <w:outlineLvl w:val="9"/>
        <w:rPr>
          <w:rFonts w:hint="eastAsia" w:ascii="宋体" w:hAnsi="宋体" w:cs="宋体"/>
          <w:sz w:val="30"/>
          <w:szCs w:val="30"/>
          <w:lang w:eastAsia="zh-CN"/>
        </w:rPr>
      </w:pPr>
    </w:p>
    <w:p w14:paraId="426E3F64">
      <w:pPr>
        <w:pStyle w:val="4"/>
        <w:keepNext w:val="0"/>
        <w:keepLines w:val="0"/>
        <w:spacing w:before="100" w:after="100" w:line="360" w:lineRule="auto"/>
        <w:jc w:val="center"/>
        <w:outlineLvl w:val="1"/>
        <w:rPr>
          <w:rFonts w:ascii="宋体" w:hAnsi="宋体" w:cs="宋体"/>
          <w:sz w:val="30"/>
          <w:szCs w:val="30"/>
          <w:lang w:eastAsia="zh-CN"/>
        </w:rPr>
      </w:pPr>
      <w:bookmarkStart w:id="113" w:name="_Toc27719"/>
      <w:r>
        <w:rPr>
          <w:rFonts w:hint="eastAsia" w:ascii="宋体" w:hAnsi="宋体" w:cs="宋体"/>
          <w:sz w:val="30"/>
          <w:szCs w:val="30"/>
          <w:lang w:eastAsia="zh-CN"/>
        </w:rPr>
        <w:t>四、中标候选人推荐原则</w:t>
      </w:r>
      <w:bookmarkEnd w:id="113"/>
    </w:p>
    <w:p w14:paraId="02737739">
      <w:pPr>
        <w:pStyle w:val="15"/>
        <w:spacing w:line="360" w:lineRule="auto"/>
        <w:contextualSpacing/>
        <w:rPr>
          <w:rFonts w:hAnsi="宋体" w:cs="宋体"/>
          <w:b/>
          <w:bCs/>
          <w:sz w:val="24"/>
          <w:szCs w:val="24"/>
          <w:lang w:eastAsia="zh-CN"/>
        </w:rPr>
      </w:pPr>
      <w:r>
        <w:rPr>
          <w:rFonts w:hint="eastAsia" w:hAnsi="宋体" w:cs="宋体"/>
          <w:b/>
          <w:bCs/>
          <w:sz w:val="24"/>
          <w:szCs w:val="24"/>
          <w:lang w:eastAsia="zh-CN"/>
        </w:rPr>
        <w:t>（一）综合评分法</w:t>
      </w:r>
    </w:p>
    <w:p w14:paraId="68462FF3">
      <w:pPr>
        <w:pStyle w:val="34"/>
        <w:keepNext w:val="0"/>
        <w:keepLines w:val="0"/>
        <w:pageBreakBefore w:val="0"/>
        <w:widowControl w:val="0"/>
        <w:kinsoku/>
        <w:wordWrap w:val="0"/>
        <w:overflowPunct/>
        <w:topLinePunct w:val="0"/>
        <w:autoSpaceDE w:val="0"/>
        <w:autoSpaceDN w:val="0"/>
        <w:bidi w:val="0"/>
        <w:adjustRightInd w:val="0"/>
        <w:snapToGrid w:val="0"/>
        <w:spacing w:line="360" w:lineRule="auto"/>
        <w:ind w:firstLine="504" w:firstLineChars="200"/>
        <w:textAlignment w:val="baseline"/>
        <w:rPr>
          <w:rFonts w:hint="eastAsia" w:eastAsia="宋体"/>
          <w:sz w:val="24"/>
          <w:szCs w:val="24"/>
          <w:highlight w:val="none"/>
          <w:lang w:eastAsia="zh-CN"/>
        </w:rPr>
      </w:pPr>
      <w:r>
        <w:rPr>
          <w:rFonts w:hint="eastAsia" w:hAnsi="宋体" w:cs="宋体"/>
          <w:sz w:val="24"/>
          <w:szCs w:val="24"/>
          <w:highlight w:val="none"/>
          <w:lang w:eastAsia="zh-CN"/>
        </w:rPr>
        <w:t>评标委员会将根据总得分由高到低排列次序并推荐中标候选人。</w:t>
      </w:r>
      <w:r>
        <w:rPr>
          <w:sz w:val="24"/>
          <w:szCs w:val="24"/>
          <w:highlight w:val="none"/>
        </w:rPr>
        <w:t>出现中标候选人并列的情形，</w:t>
      </w:r>
      <w:r>
        <w:rPr>
          <w:rFonts w:hint="eastAsia" w:hAnsi="宋体" w:cs="宋体"/>
          <w:sz w:val="24"/>
          <w:szCs w:val="24"/>
          <w:highlight w:val="none"/>
          <w:lang w:eastAsia="zh-CN"/>
        </w:rPr>
        <w:t>评标委员会</w:t>
      </w:r>
      <w:r>
        <w:rPr>
          <w:sz w:val="24"/>
          <w:szCs w:val="24"/>
          <w:highlight w:val="none"/>
        </w:rPr>
        <w:t>按以下的方式确定：按综合评分中项目</w:t>
      </w:r>
      <w:r>
        <w:rPr>
          <w:rFonts w:hint="eastAsia" w:eastAsia="宋体"/>
          <w:sz w:val="24"/>
          <w:szCs w:val="24"/>
          <w:highlight w:val="none"/>
          <w:lang w:val="en-US" w:eastAsia="zh-CN"/>
        </w:rPr>
        <w:t>报价低的优先、</w:t>
      </w:r>
      <w:r>
        <w:rPr>
          <w:sz w:val="24"/>
          <w:szCs w:val="24"/>
          <w:highlight w:val="none"/>
        </w:rPr>
        <w:t>技术评分高的优先、商务评分高的优先、故障响应时间短优先的顺序依次确定</w:t>
      </w:r>
      <w:r>
        <w:rPr>
          <w:rFonts w:hint="eastAsia" w:eastAsia="宋体"/>
          <w:sz w:val="24"/>
          <w:szCs w:val="24"/>
          <w:highlight w:val="none"/>
          <w:lang w:eastAsia="zh-CN"/>
        </w:rPr>
        <w:t>。</w:t>
      </w:r>
    </w:p>
    <w:p w14:paraId="64B15499">
      <w:pPr>
        <w:pStyle w:val="15"/>
        <w:spacing w:line="360" w:lineRule="auto"/>
        <w:ind w:firstLine="883" w:firstLineChars="200"/>
        <w:contextualSpacing/>
        <w:rPr>
          <w:rFonts w:hint="eastAsia" w:ascii="宋体" w:hAnsi="宋体" w:eastAsia="宋体" w:cs="宋体"/>
          <w:b/>
          <w:bCs/>
          <w:snapToGrid w:val="0"/>
          <w:color w:val="000000"/>
          <w:spacing w:val="5"/>
          <w:kern w:val="0"/>
          <w:sz w:val="43"/>
          <w:szCs w:val="43"/>
          <w:lang w:val="en-US" w:eastAsia="en-US" w:bidi="ar-SA"/>
        </w:rPr>
      </w:pPr>
    </w:p>
    <w:p w14:paraId="3700224C">
      <w:pPr>
        <w:rPr>
          <w:rFonts w:hint="eastAsia" w:ascii="宋体" w:hAnsi="宋体" w:eastAsia="宋体" w:cs="宋体"/>
          <w:b/>
          <w:bCs/>
          <w:snapToGrid w:val="0"/>
          <w:color w:val="000000"/>
          <w:spacing w:val="5"/>
          <w:kern w:val="0"/>
          <w:sz w:val="43"/>
          <w:szCs w:val="43"/>
          <w:lang w:val="en-US" w:eastAsia="en-US" w:bidi="ar-SA"/>
        </w:rPr>
      </w:pPr>
    </w:p>
    <w:p w14:paraId="3E2C5551">
      <w:pPr>
        <w:pStyle w:val="2"/>
        <w:spacing w:line="360" w:lineRule="auto"/>
        <w:jc w:val="center"/>
        <w:rPr>
          <w:lang w:eastAsia="zh-CN"/>
        </w:rPr>
      </w:pPr>
      <w:bookmarkStart w:id="114" w:name="_Toc9806"/>
      <w:r>
        <w:rPr>
          <w:rFonts w:hint="eastAsia"/>
          <w:lang w:val="en-US" w:eastAsia="en-US"/>
        </w:rPr>
        <w:t>第五章</w:t>
      </w:r>
      <w:r>
        <w:t xml:space="preserve"> </w:t>
      </w:r>
      <w:r>
        <w:rPr>
          <w:lang w:eastAsia="zh-CN"/>
        </w:rPr>
        <w:t>合同格式</w:t>
      </w:r>
      <w:r>
        <w:rPr>
          <w:rFonts w:hint="eastAsia"/>
          <w:lang w:eastAsia="zh-CN"/>
        </w:rPr>
        <w:t>和合同</w:t>
      </w:r>
      <w:r>
        <w:rPr>
          <w:lang w:eastAsia="zh-CN"/>
        </w:rPr>
        <w:t>条款</w:t>
      </w:r>
      <w:bookmarkEnd w:id="114"/>
    </w:p>
    <w:p w14:paraId="69A04CBF">
      <w:pPr>
        <w:widowControl/>
        <w:tabs>
          <w:tab w:val="left" w:pos="0"/>
        </w:tabs>
        <w:jc w:val="center"/>
        <w:outlineLvl w:val="1"/>
        <w:rPr>
          <w:rFonts w:ascii="黑体" w:hAnsi="黑体" w:eastAsia="黑体" w:cs="黑体"/>
          <w:spacing w:val="7"/>
          <w:sz w:val="36"/>
          <w:szCs w:val="36"/>
        </w:rPr>
      </w:pPr>
      <w:bookmarkStart w:id="115" w:name="_Toc6549"/>
      <w:r>
        <w:rPr>
          <w:rFonts w:hint="eastAsia" w:cs="宋体"/>
          <w:b/>
          <w:bCs/>
          <w:color w:val="000000"/>
          <w:kern w:val="0"/>
          <w:sz w:val="36"/>
          <w:szCs w:val="36"/>
          <w:highlight w:val="none"/>
        </w:rPr>
        <w:t>第一节</w:t>
      </w:r>
      <w:r>
        <w:rPr>
          <w:rFonts w:cs="宋体"/>
          <w:b/>
          <w:bCs/>
          <w:color w:val="000000"/>
          <w:kern w:val="0"/>
          <w:sz w:val="36"/>
          <w:szCs w:val="36"/>
        </w:rPr>
        <w:t xml:space="preserve"> </w:t>
      </w:r>
      <w:r>
        <w:rPr>
          <w:rFonts w:ascii="黑体" w:hAnsi="黑体" w:eastAsia="黑体" w:cs="黑体"/>
          <w:spacing w:val="7"/>
          <w:sz w:val="36"/>
          <w:szCs w:val="36"/>
        </w:rPr>
        <w:t>合同协议书</w:t>
      </w:r>
      <w:bookmarkEnd w:id="115"/>
    </w:p>
    <w:p w14:paraId="72FF5C21">
      <w:pPr>
        <w:widowControl/>
        <w:tabs>
          <w:tab w:val="left" w:pos="0"/>
        </w:tabs>
        <w:jc w:val="both"/>
        <w:rPr>
          <w:rFonts w:ascii="黑体" w:hAnsi="黑体" w:eastAsia="黑体" w:cs="黑体"/>
          <w:spacing w:val="7"/>
          <w:sz w:val="36"/>
          <w:szCs w:val="36"/>
        </w:rPr>
      </w:pPr>
    </w:p>
    <w:p w14:paraId="166EBB7A">
      <w:pPr>
        <w:tabs>
          <w:tab w:val="left" w:pos="0"/>
        </w:tabs>
        <w:ind w:firstLine="183" w:firstLineChars="55"/>
        <w:jc w:val="center"/>
        <w:rPr>
          <w:rFonts w:ascii="黑体" w:hAnsi="黑体" w:eastAsia="黑体" w:cs="黑体"/>
          <w:spacing w:val="7"/>
          <w:sz w:val="36"/>
          <w:szCs w:val="36"/>
        </w:rPr>
      </w:pPr>
      <w:r>
        <w:rPr>
          <w:rFonts w:ascii="黑体" w:hAnsi="黑体" w:eastAsia="黑体" w:cs="黑体"/>
          <w:spacing w:val="7"/>
          <w:sz w:val="32"/>
          <w:szCs w:val="32"/>
        </w:rPr>
        <w:t>合同协议书</w:t>
      </w:r>
    </w:p>
    <w:p w14:paraId="528956FF">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617" w:firstLineChars="253"/>
        <w:jc w:val="both"/>
        <w:textAlignment w:val="auto"/>
        <w:rPr>
          <w:rFonts w:hint="eastAsia" w:ascii="宋体" w:hAnsi="宋体" w:eastAsia="宋体" w:cs="宋体"/>
          <w:sz w:val="24"/>
          <w:szCs w:val="24"/>
        </w:rPr>
      </w:pPr>
      <w:r>
        <w:rPr>
          <w:rFonts w:hint="eastAsia" w:ascii="宋体" w:hAnsi="宋体" w:eastAsia="宋体" w:cs="宋体"/>
          <w:color w:val="auto"/>
          <w:spacing w:val="2"/>
          <w:sz w:val="24"/>
          <w:szCs w:val="24"/>
        </w:rPr>
        <w:t>为实施</w:t>
      </w:r>
      <w:r>
        <w:rPr>
          <w:rFonts w:hint="default" w:ascii="宋体" w:hAnsi="宋体" w:eastAsia="宋体" w:cs="宋体"/>
          <w:color w:val="auto"/>
          <w:spacing w:val="2"/>
          <w:sz w:val="24"/>
          <w:szCs w:val="24"/>
          <w:u w:val="single"/>
          <w:lang w:val="en-US" w:eastAsia="zh-CN"/>
        </w:rPr>
        <w:t>广西壮族自治区桂林公路发展中心南片区2026年—2029年普通国省干线公路养护服务项目</w:t>
      </w:r>
      <w:r>
        <w:rPr>
          <w:rFonts w:hint="eastAsia" w:ascii="宋体" w:hAnsi="宋体" w:eastAsia="宋体" w:cs="宋体"/>
          <w:color w:val="auto"/>
          <w:spacing w:val="-44"/>
          <w:sz w:val="24"/>
          <w:szCs w:val="24"/>
        </w:rPr>
        <w:t>，</w:t>
      </w:r>
      <w:r>
        <w:rPr>
          <w:rFonts w:hint="eastAsia" w:ascii="宋体" w:hAnsi="宋体" w:eastAsia="宋体" w:cs="宋体"/>
          <w:color w:val="auto"/>
          <w:spacing w:val="2"/>
          <w:sz w:val="24"/>
          <w:szCs w:val="24"/>
        </w:rPr>
        <w:t>发包人</w:t>
      </w:r>
      <w:r>
        <w:rPr>
          <w:rFonts w:hint="eastAsia" w:ascii="宋体" w:hAnsi="宋体" w:eastAsia="宋体" w:cs="宋体"/>
          <w:color w:val="auto"/>
          <w:spacing w:val="2"/>
          <w:sz w:val="24"/>
          <w:u w:val="single"/>
        </w:rPr>
        <w:t>广西壮族自治区恭城公路养护中心</w:t>
      </w:r>
      <w:r>
        <w:rPr>
          <w:rFonts w:hint="eastAsia" w:asciiTheme="majorEastAsia" w:hAnsiTheme="majorEastAsia" w:eastAsiaTheme="majorEastAsia" w:cstheme="majorEastAsia"/>
          <w:color w:val="auto"/>
          <w:sz w:val="24"/>
          <w:szCs w:val="24"/>
          <w:u w:val="single"/>
          <w:lang w:eastAsia="zh-CN"/>
        </w:rPr>
        <w:t>、广西壮族自治区平乐公路养护中心、广西壮族自治区阳朔公路养护中心、广西壮族自治区灌阳公路养护中心</w:t>
      </w:r>
      <w:r>
        <w:rPr>
          <w:rFonts w:hint="eastAsia" w:ascii="宋体" w:hAnsi="宋体" w:eastAsia="宋体" w:cs="宋体"/>
          <w:spacing w:val="2"/>
          <w:sz w:val="24"/>
          <w:szCs w:val="24"/>
        </w:rPr>
        <w:t>（发包人名</w:t>
      </w:r>
      <w:r>
        <w:rPr>
          <w:rFonts w:hint="eastAsia" w:ascii="宋体" w:hAnsi="宋体" w:eastAsia="宋体" w:cs="宋体"/>
          <w:spacing w:val="-4"/>
          <w:sz w:val="24"/>
          <w:szCs w:val="24"/>
        </w:rPr>
        <w:t>称，以下简称“发包人</w:t>
      </w:r>
      <w:r>
        <w:rPr>
          <w:rFonts w:hint="eastAsia" w:ascii="宋体" w:hAnsi="宋体" w:eastAsia="宋体" w:cs="宋体"/>
          <w:spacing w:val="-83"/>
          <w:sz w:val="24"/>
          <w:szCs w:val="24"/>
        </w:rPr>
        <w:t xml:space="preserve"> </w:t>
      </w:r>
      <w:r>
        <w:rPr>
          <w:rFonts w:hint="eastAsia" w:ascii="宋体" w:hAnsi="宋体" w:eastAsia="宋体" w:cs="宋体"/>
          <w:spacing w:val="-4"/>
          <w:sz w:val="24"/>
          <w:szCs w:val="24"/>
        </w:rPr>
        <w:t>”）与</w:t>
      </w:r>
      <w:r>
        <w:rPr>
          <w:rFonts w:hint="eastAsia" w:ascii="宋体" w:hAnsi="宋体" w:eastAsia="宋体" w:cs="宋体"/>
          <w:spacing w:val="-116"/>
          <w:sz w:val="24"/>
          <w:szCs w:val="24"/>
        </w:rPr>
        <w:t xml:space="preserve"> </w:t>
      </w:r>
      <w:r>
        <w:rPr>
          <w:rFonts w:hint="eastAsia" w:ascii="宋体" w:hAnsi="宋体" w:eastAsia="宋体" w:cs="宋体"/>
          <w:spacing w:val="-4"/>
          <w:sz w:val="24"/>
          <w:szCs w:val="24"/>
          <w:u w:val="single"/>
        </w:rPr>
        <w:t xml:space="preserve">  </w:t>
      </w:r>
      <w:r>
        <w:rPr>
          <w:rFonts w:hint="eastAsia" w:ascii="宋体" w:hAnsi="宋体" w:eastAsia="宋体" w:cs="宋体"/>
          <w:spacing w:val="-4"/>
          <w:sz w:val="24"/>
          <w:szCs w:val="24"/>
          <w:u w:val="single"/>
          <w:lang w:val="en-US" w:eastAsia="zh-CN"/>
        </w:rPr>
        <w:t xml:space="preserve">  </w:t>
      </w:r>
      <w:r>
        <w:rPr>
          <w:rFonts w:hint="eastAsia" w:ascii="宋体" w:hAnsi="宋体" w:eastAsia="宋体" w:cs="宋体"/>
          <w:spacing w:val="-4"/>
          <w:sz w:val="24"/>
          <w:szCs w:val="24"/>
          <w:u w:val="single"/>
        </w:rPr>
        <w:t xml:space="preserve">   </w:t>
      </w:r>
      <w:r>
        <w:rPr>
          <w:rFonts w:hint="eastAsia" w:ascii="宋体" w:hAnsi="宋体" w:eastAsia="宋体" w:cs="宋体"/>
          <w:spacing w:val="-4"/>
          <w:sz w:val="24"/>
          <w:szCs w:val="24"/>
        </w:rPr>
        <w:t>（承包</w:t>
      </w:r>
      <w:r>
        <w:rPr>
          <w:rFonts w:hint="eastAsia" w:ascii="宋体" w:hAnsi="宋体" w:eastAsia="宋体" w:cs="宋体"/>
          <w:spacing w:val="-5"/>
          <w:sz w:val="24"/>
          <w:szCs w:val="24"/>
        </w:rPr>
        <w:t>人名称，以下简称“承包人</w:t>
      </w:r>
      <w:r>
        <w:rPr>
          <w:rFonts w:hint="eastAsia" w:ascii="宋体" w:hAnsi="宋体" w:eastAsia="宋体" w:cs="宋体"/>
          <w:spacing w:val="-83"/>
          <w:sz w:val="24"/>
          <w:szCs w:val="24"/>
        </w:rPr>
        <w:t xml:space="preserve"> </w:t>
      </w:r>
      <w:r>
        <w:rPr>
          <w:rFonts w:hint="eastAsia" w:ascii="宋体" w:hAnsi="宋体" w:eastAsia="宋体" w:cs="宋体"/>
          <w:spacing w:val="-5"/>
          <w:sz w:val="24"/>
          <w:szCs w:val="24"/>
        </w:rPr>
        <w:t>”）共同达成</w:t>
      </w:r>
      <w:r>
        <w:rPr>
          <w:rFonts w:hint="eastAsia" w:ascii="宋体" w:hAnsi="宋体" w:eastAsia="宋体" w:cs="宋体"/>
          <w:spacing w:val="-2"/>
          <w:sz w:val="24"/>
          <w:szCs w:val="24"/>
        </w:rPr>
        <w:t>如下协议。</w:t>
      </w:r>
    </w:p>
    <w:p w14:paraId="05314B6D">
      <w:pPr>
        <w:keepNext w:val="0"/>
        <w:keepLines w:val="0"/>
        <w:pageBreakBefore w:val="0"/>
        <w:widowControl w:val="0"/>
        <w:kinsoku/>
        <w:wordWrap/>
        <w:overflowPunct/>
        <w:topLinePunct w:val="0"/>
        <w:autoSpaceDE/>
        <w:autoSpaceDN/>
        <w:bidi w:val="0"/>
        <w:adjustRightInd/>
        <w:snapToGrid/>
        <w:spacing w:line="360" w:lineRule="auto"/>
        <w:ind w:left="499"/>
        <w:textAlignment w:val="auto"/>
        <w:rPr>
          <w:rFonts w:hint="eastAsia" w:ascii="宋体" w:hAnsi="宋体" w:eastAsia="宋体" w:cs="宋体"/>
          <w:sz w:val="24"/>
          <w:szCs w:val="24"/>
        </w:rPr>
      </w:pPr>
      <w:r>
        <w:rPr>
          <w:rFonts w:hint="eastAsia" w:ascii="宋体" w:hAnsi="宋体" w:eastAsia="宋体" w:cs="宋体"/>
          <w:spacing w:val="-3"/>
          <w:sz w:val="24"/>
          <w:szCs w:val="24"/>
        </w:rPr>
        <w:t xml:space="preserve">1.  </w:t>
      </w:r>
      <w:r>
        <w:rPr>
          <w:rFonts w:hint="eastAsia" w:ascii="宋体" w:hAnsi="宋体" w:eastAsia="宋体" w:cs="宋体"/>
          <w:b/>
          <w:bCs/>
          <w:spacing w:val="-3"/>
          <w:sz w:val="24"/>
          <w:szCs w:val="24"/>
        </w:rPr>
        <w:t>项目概况与承包范围</w:t>
      </w:r>
    </w:p>
    <w:p w14:paraId="00DDE511">
      <w:pPr>
        <w:keepNext w:val="0"/>
        <w:keepLines w:val="0"/>
        <w:pageBreakBefore w:val="0"/>
        <w:widowControl w:val="0"/>
        <w:kinsoku/>
        <w:wordWrap/>
        <w:overflowPunct/>
        <w:topLinePunct w:val="0"/>
        <w:autoSpaceDE/>
        <w:autoSpaceDN/>
        <w:bidi w:val="0"/>
        <w:adjustRightInd/>
        <w:snapToGrid/>
        <w:spacing w:line="360" w:lineRule="auto"/>
        <w:ind w:left="492"/>
        <w:textAlignment w:val="auto"/>
        <w:rPr>
          <w:rFonts w:hint="eastAsia" w:ascii="宋体" w:hAnsi="宋体" w:eastAsia="宋体" w:cs="宋体"/>
          <w:sz w:val="24"/>
          <w:szCs w:val="24"/>
        </w:rPr>
      </w:pPr>
      <w:r>
        <w:rPr>
          <w:rFonts w:hint="eastAsia" w:ascii="宋体" w:hAnsi="宋体" w:eastAsia="宋体" w:cs="宋体"/>
          <w:spacing w:val="-3"/>
          <w:sz w:val="24"/>
          <w:szCs w:val="24"/>
        </w:rPr>
        <w:t>（1）项目概况</w:t>
      </w:r>
    </w:p>
    <w:p w14:paraId="5A17BA7C">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①广西壮族自治区恭城公路养护中心2026</w:t>
      </w:r>
      <w:r>
        <w:rPr>
          <w:rFonts w:hint="eastAsia" w:ascii="宋体" w:hAnsi="宋体" w:eastAsia="宋体" w:cs="宋体"/>
          <w:sz w:val="24"/>
          <w:szCs w:val="24"/>
          <w:highlight w:val="none"/>
          <w:lang w:val="en-US" w:eastAsia="zh-CN"/>
        </w:rPr>
        <w:t>年</w:t>
      </w:r>
      <w:r>
        <w:rPr>
          <w:rFonts w:hint="eastAsia" w:ascii="宋体" w:hAnsi="宋体" w:eastAsia="宋体" w:cs="宋体"/>
          <w:sz w:val="24"/>
          <w:szCs w:val="24"/>
          <w:highlight w:val="none"/>
        </w:rPr>
        <w:t>-2029年</w:t>
      </w:r>
      <w:r>
        <w:rPr>
          <w:rFonts w:hint="eastAsia" w:ascii="宋体" w:hAnsi="宋体" w:eastAsia="宋体" w:cs="宋体"/>
          <w:sz w:val="24"/>
          <w:szCs w:val="24"/>
          <w:highlight w:val="none"/>
          <w:lang w:val="en-US" w:eastAsia="zh-CN"/>
        </w:rPr>
        <w:t>普通国省干线</w:t>
      </w:r>
      <w:r>
        <w:rPr>
          <w:rFonts w:hint="eastAsia" w:ascii="宋体" w:hAnsi="宋体" w:eastAsia="宋体" w:cs="宋体"/>
          <w:sz w:val="24"/>
          <w:szCs w:val="24"/>
          <w:highlight w:val="none"/>
        </w:rPr>
        <w:t>公路养护服务项目，纳入服务总里程167.483公里。国道2条：1、G241线K2842+421-K2920+274段77.853公里，2、G357线K1265+000-K1272+354段7.354公里，国道总里程85.207公里；省道2条:1、S302线K66+463-K105+666段39.203公里，2、S502线K0+000-K46+383段43.073公里（与国道G241重复3.31公里，已计入国道里程），省道总里程82.276公里。其中一级公路4.382㎞，二级公路163.101㎞；其中水泥混凝土路面22.014㎞，沥青路面145.469㎞。包含（但不限于）桥梁41座（大桥8座/1437.57米，中桥14座/641.23米，小桥19座/325.19米，共计2403.99米，一类桥19座，二类桥22座），隧道0座/0米，涵洞646道，候车亭29处。交通安全设施167.483公里等。路段内有多处自然灾害风险路段。其中S502路线K0+000-K20+000桩号共20.000公里路段由采购人自行安排自有职工开展日常保养，该路段除日常保养不在招标范围内，其它养护服务、应急处置均纳入该项目招标范围内。</w:t>
      </w:r>
    </w:p>
    <w:p w14:paraId="7A9D0C8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②广西壮族自治区</w:t>
      </w:r>
      <w:r>
        <w:rPr>
          <w:rFonts w:hint="eastAsia"/>
          <w:sz w:val="24"/>
          <w:szCs w:val="24"/>
        </w:rPr>
        <w:t>平乐</w:t>
      </w:r>
      <w:r>
        <w:rPr>
          <w:rFonts w:hint="eastAsia" w:ascii="宋体" w:hAnsi="宋体" w:eastAsia="宋体" w:cs="宋体"/>
          <w:sz w:val="24"/>
          <w:szCs w:val="24"/>
          <w:highlight w:val="none"/>
        </w:rPr>
        <w:t>公路养护中心2026</w:t>
      </w:r>
      <w:r>
        <w:rPr>
          <w:rFonts w:hint="eastAsia" w:ascii="宋体" w:hAnsi="宋体" w:eastAsia="宋体" w:cs="宋体"/>
          <w:sz w:val="24"/>
          <w:szCs w:val="24"/>
          <w:highlight w:val="none"/>
          <w:lang w:val="en-US" w:eastAsia="zh-CN"/>
        </w:rPr>
        <w:t>年</w:t>
      </w:r>
      <w:r>
        <w:rPr>
          <w:rFonts w:hint="eastAsia" w:ascii="宋体" w:hAnsi="宋体" w:eastAsia="宋体" w:cs="宋体"/>
          <w:sz w:val="24"/>
          <w:szCs w:val="24"/>
          <w:highlight w:val="none"/>
        </w:rPr>
        <w:t>-2029年</w:t>
      </w:r>
      <w:r>
        <w:rPr>
          <w:rFonts w:hint="eastAsia" w:ascii="宋体" w:hAnsi="宋体" w:eastAsia="宋体" w:cs="宋体"/>
          <w:sz w:val="24"/>
          <w:szCs w:val="24"/>
          <w:highlight w:val="none"/>
          <w:lang w:val="en-US" w:eastAsia="zh-CN"/>
        </w:rPr>
        <w:t>普通国省干线</w:t>
      </w:r>
      <w:r>
        <w:rPr>
          <w:rFonts w:hint="eastAsia" w:ascii="宋体" w:hAnsi="宋体" w:eastAsia="宋体" w:cs="宋体"/>
          <w:sz w:val="24"/>
          <w:szCs w:val="24"/>
          <w:highlight w:val="none"/>
        </w:rPr>
        <w:t>公路养护服务项目纳入服务总里程132.016公里（含长短链）。国道2条：1、G241线K2920+274-K2947+703段27.429公里，2、G323线K776+975-K819+779段42.804公里，国道总里程70.233公里;省道3条:1、S202线K196+332-K203+139段6.352公里,2、S302线K105+666-K113+565，K115+869-138+560段30.59公里，3.S502线K46+383-K56+168，K58+166-K73+222段24.841公里，省道总里程61.783公里。其中一级公路3.443公里、二级公路113.517公里、三级15.056公里，四级公路0公里。其中水泥混凝土路面5.846公里、沥青路面126.17公里。包含(但不限于)桥梁22座（大桥4座1499.16米，中桥7座348.59米，小桥13座240.11米，共计2087.86米，一类桥10座，二类桥12座，三类桥0座，四类桥0座，五类桥0座），隧道0座/0米（长隧道0座，三类隧道0座），涵洞352道，养护站3个，服务区0个，小型临时停车区1处，候车亭24处，交通安全设施132.016公里等。路段内有多处自然灾害风险路段。平乐公路养护中心辖区所有路段均纳入2026年-2029年普通国省干线公路养护服务采购。</w:t>
      </w:r>
    </w:p>
    <w:p w14:paraId="0461BEBE">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③广西壮族自治区</w:t>
      </w:r>
      <w:r>
        <w:rPr>
          <w:rFonts w:hint="eastAsia"/>
          <w:sz w:val="24"/>
          <w:szCs w:val="24"/>
        </w:rPr>
        <w:t>阳朔</w:t>
      </w:r>
      <w:r>
        <w:rPr>
          <w:rFonts w:hint="eastAsia" w:ascii="宋体" w:hAnsi="宋体" w:eastAsia="宋体" w:cs="宋体"/>
          <w:sz w:val="24"/>
          <w:szCs w:val="24"/>
          <w:highlight w:val="none"/>
        </w:rPr>
        <w:t>公路养护中心2026</w:t>
      </w:r>
      <w:r>
        <w:rPr>
          <w:rFonts w:hint="eastAsia" w:ascii="宋体" w:hAnsi="宋体" w:eastAsia="宋体" w:cs="宋体"/>
          <w:sz w:val="24"/>
          <w:szCs w:val="24"/>
          <w:highlight w:val="none"/>
          <w:lang w:val="en-US" w:eastAsia="zh-CN"/>
        </w:rPr>
        <w:t>年</w:t>
      </w:r>
      <w:r>
        <w:rPr>
          <w:rFonts w:hint="eastAsia" w:ascii="宋体" w:hAnsi="宋体" w:eastAsia="宋体" w:cs="宋体"/>
          <w:sz w:val="24"/>
          <w:szCs w:val="24"/>
          <w:highlight w:val="none"/>
        </w:rPr>
        <w:t>-2029年</w:t>
      </w:r>
      <w:r>
        <w:rPr>
          <w:rFonts w:hint="eastAsia" w:ascii="宋体" w:hAnsi="宋体" w:eastAsia="宋体" w:cs="宋体"/>
          <w:sz w:val="24"/>
          <w:szCs w:val="24"/>
          <w:highlight w:val="none"/>
          <w:lang w:val="en-US" w:eastAsia="zh-CN"/>
        </w:rPr>
        <w:t>普通国省干线</w:t>
      </w:r>
      <w:r>
        <w:rPr>
          <w:rFonts w:hint="eastAsia" w:ascii="宋体" w:hAnsi="宋体" w:eastAsia="宋体" w:cs="宋体"/>
          <w:sz w:val="24"/>
          <w:szCs w:val="24"/>
          <w:highlight w:val="none"/>
        </w:rPr>
        <w:t>公路养护服务项目</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纳入服务总里程</w:t>
      </w:r>
      <w:r>
        <w:rPr>
          <w:rFonts w:hint="eastAsia" w:ascii="宋体" w:hAnsi="宋体" w:eastAsia="宋体" w:cs="宋体"/>
          <w:color w:val="0000FF"/>
          <w:sz w:val="24"/>
          <w:szCs w:val="24"/>
          <w:highlight w:val="none"/>
          <w:lang w:val="en-US" w:eastAsia="zh-CN"/>
        </w:rPr>
        <w:t>116.834</w:t>
      </w:r>
      <w:r>
        <w:rPr>
          <w:rFonts w:hint="eastAsia" w:ascii="宋体" w:hAnsi="宋体" w:eastAsia="宋体" w:cs="宋体"/>
          <w:sz w:val="24"/>
          <w:szCs w:val="24"/>
          <w:highlight w:val="none"/>
        </w:rPr>
        <w:t>公里。</w:t>
      </w:r>
      <w:r>
        <w:rPr>
          <w:rFonts w:hint="eastAsia" w:ascii="宋体" w:hAnsi="宋体" w:eastAsia="宋体" w:cs="宋体"/>
          <w:b/>
          <w:bCs/>
          <w:sz w:val="24"/>
          <w:szCs w:val="24"/>
          <w:highlight w:val="none"/>
        </w:rPr>
        <w:t>国道1条</w:t>
      </w:r>
      <w:r>
        <w:rPr>
          <w:rFonts w:hint="eastAsia" w:ascii="宋体" w:hAnsi="宋体" w:eastAsia="宋体" w:cs="宋体"/>
          <w:sz w:val="24"/>
          <w:szCs w:val="24"/>
          <w:highlight w:val="none"/>
        </w:rPr>
        <w:t>：G321线K504+076-K512+656段8.58公里，国道总里程8.58公里；</w:t>
      </w:r>
      <w:r>
        <w:rPr>
          <w:rFonts w:hint="eastAsia" w:ascii="宋体" w:hAnsi="宋体" w:eastAsia="宋体" w:cs="宋体"/>
          <w:b/>
          <w:bCs/>
          <w:sz w:val="24"/>
          <w:szCs w:val="24"/>
          <w:highlight w:val="none"/>
        </w:rPr>
        <w:t>省道2条</w:t>
      </w:r>
      <w:r>
        <w:rPr>
          <w:rFonts w:hint="eastAsia" w:ascii="宋体" w:hAnsi="宋体" w:eastAsia="宋体" w:cs="宋体"/>
          <w:sz w:val="24"/>
          <w:szCs w:val="24"/>
          <w:highlight w:val="none"/>
        </w:rPr>
        <w:t>:1、S202线K129+316-K153+600、K156+800-K178+668、</w:t>
      </w:r>
      <w:r>
        <w:rPr>
          <w:rFonts w:hint="eastAsia" w:ascii="宋体" w:hAnsi="宋体" w:eastAsia="宋体" w:cs="宋体"/>
          <w:sz w:val="24"/>
          <w:szCs w:val="24"/>
          <w:highlight w:val="none"/>
          <w:lang w:val="en-US" w:eastAsia="zh-CN"/>
        </w:rPr>
        <w:t>K183+394-</w:t>
      </w:r>
      <w:r>
        <w:rPr>
          <w:rFonts w:hint="eastAsia" w:ascii="宋体" w:hAnsi="宋体" w:eastAsia="宋体" w:cs="宋体"/>
          <w:sz w:val="24"/>
          <w:szCs w:val="24"/>
          <w:highlight w:val="none"/>
        </w:rPr>
        <w:t>K196+</w:t>
      </w:r>
      <w:r>
        <w:rPr>
          <w:rFonts w:hint="eastAsia" w:ascii="宋体" w:hAnsi="宋体" w:eastAsia="宋体" w:cs="宋体"/>
          <w:sz w:val="24"/>
          <w:szCs w:val="24"/>
          <w:highlight w:val="none"/>
          <w:lang w:val="en-US" w:eastAsia="zh-CN"/>
        </w:rPr>
        <w:t>33</w:t>
      </w:r>
      <w:r>
        <w:rPr>
          <w:rFonts w:hint="eastAsia" w:ascii="宋体" w:hAnsi="宋体" w:eastAsia="宋体" w:cs="宋体"/>
          <w:sz w:val="24"/>
          <w:szCs w:val="24"/>
          <w:highlight w:val="none"/>
        </w:rPr>
        <w:t>2普益大桥段</w:t>
      </w:r>
      <w:r>
        <w:rPr>
          <w:rFonts w:hint="eastAsia" w:ascii="宋体" w:hAnsi="宋体" w:eastAsia="宋体" w:cs="宋体"/>
          <w:sz w:val="24"/>
          <w:szCs w:val="24"/>
          <w:highlight w:val="none"/>
          <w:lang w:val="en-US" w:eastAsia="zh-CN"/>
        </w:rPr>
        <w:t>59.09</w:t>
      </w:r>
      <w:r>
        <w:rPr>
          <w:rFonts w:hint="eastAsia" w:ascii="宋体" w:hAnsi="宋体" w:eastAsia="宋体" w:cs="宋体"/>
          <w:sz w:val="24"/>
          <w:szCs w:val="24"/>
          <w:highlight w:val="none"/>
        </w:rPr>
        <w:t>公里，2、S302线K138+560-K150+045、K169+799-K207+478段49.164公里，省道总里程</w:t>
      </w:r>
      <w:r>
        <w:rPr>
          <w:rFonts w:hint="eastAsia" w:ascii="宋体" w:hAnsi="宋体" w:eastAsia="宋体" w:cs="宋体"/>
          <w:sz w:val="24"/>
          <w:szCs w:val="24"/>
          <w:highlight w:val="none"/>
          <w:lang w:val="en-US" w:eastAsia="zh-CN"/>
        </w:rPr>
        <w:t>108.254</w:t>
      </w:r>
      <w:r>
        <w:rPr>
          <w:rFonts w:hint="eastAsia" w:ascii="宋体" w:hAnsi="宋体" w:eastAsia="宋体" w:cs="宋体"/>
          <w:sz w:val="24"/>
          <w:szCs w:val="24"/>
          <w:highlight w:val="none"/>
        </w:rPr>
        <w:t>公里。</w:t>
      </w:r>
      <w:r>
        <w:rPr>
          <w:rFonts w:hint="eastAsia" w:ascii="宋体" w:hAnsi="宋体" w:eastAsia="宋体" w:cs="宋体"/>
          <w:sz w:val="24"/>
          <w:szCs w:val="24"/>
          <w:highlight w:val="none"/>
          <w:lang w:val="en-US" w:eastAsia="zh-CN"/>
        </w:rPr>
        <w:t>其中一级公路0公里、二级公路66.217公里、三级50.617公里，四级公路0公里。其中水泥混凝土路面18.611公里、沥青路面98.223公里。包含(但不限于)桥梁18座（大桥2座609.86米，中桥3座152.12米，小桥13座255.09米，共计1017.07米，一类桥4座，二类桥13座，三类桥1座，四类桥0座，五类桥0座），隧道1座/200米（短隧道1座，二级二类），涵洞313道，养护站1个，服务区0个，小型临时停车区0处，候车亭10处，交通安全设施104.299公里等。路段内有1处自然灾害风险路段（S202线K144+800-K145+050段）。其中共0公里路段由采购人自行安排自有职工开展日常保养，该路段除日常保养不在招标范围内，其它养护服务、应急处置均纳入该项目招标范围内。</w:t>
      </w:r>
    </w:p>
    <w:p w14:paraId="3F8657B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④</w:t>
      </w:r>
      <w:r>
        <w:rPr>
          <w:rFonts w:hint="eastAsia" w:ascii="宋体" w:hAnsi="宋体" w:eastAsia="宋体" w:cs="宋体"/>
          <w:sz w:val="24"/>
          <w:szCs w:val="24"/>
          <w:highlight w:val="none"/>
        </w:rPr>
        <w:t>广西壮族自治区</w:t>
      </w:r>
      <w:r>
        <w:rPr>
          <w:rFonts w:hint="eastAsia" w:eastAsia="宋体"/>
          <w:sz w:val="24"/>
          <w:szCs w:val="24"/>
          <w:lang w:eastAsia="zh-CN"/>
        </w:rPr>
        <w:t>灌阳</w:t>
      </w:r>
      <w:r>
        <w:rPr>
          <w:rFonts w:hint="eastAsia" w:ascii="宋体" w:hAnsi="宋体" w:eastAsia="宋体" w:cs="宋体"/>
          <w:sz w:val="24"/>
          <w:szCs w:val="24"/>
          <w:highlight w:val="none"/>
        </w:rPr>
        <w:t>公路养护中心2026</w:t>
      </w:r>
      <w:r>
        <w:rPr>
          <w:rFonts w:hint="eastAsia" w:ascii="宋体" w:hAnsi="宋体" w:eastAsia="宋体" w:cs="宋体"/>
          <w:sz w:val="24"/>
          <w:szCs w:val="24"/>
          <w:highlight w:val="none"/>
          <w:lang w:val="en-US" w:eastAsia="zh-CN"/>
        </w:rPr>
        <w:t>年</w:t>
      </w:r>
      <w:r>
        <w:rPr>
          <w:rFonts w:hint="eastAsia" w:ascii="宋体" w:hAnsi="宋体" w:eastAsia="宋体" w:cs="宋体"/>
          <w:sz w:val="24"/>
          <w:szCs w:val="24"/>
          <w:highlight w:val="none"/>
        </w:rPr>
        <w:t>-2029年</w:t>
      </w:r>
      <w:r>
        <w:rPr>
          <w:rFonts w:hint="eastAsia" w:ascii="宋体" w:hAnsi="宋体" w:eastAsia="宋体" w:cs="宋体"/>
          <w:sz w:val="24"/>
          <w:szCs w:val="24"/>
          <w:highlight w:val="none"/>
          <w:lang w:val="en-US" w:eastAsia="zh-CN"/>
        </w:rPr>
        <w:t>普通国省干线</w:t>
      </w:r>
      <w:r>
        <w:rPr>
          <w:rFonts w:hint="eastAsia" w:ascii="宋体" w:hAnsi="宋体" w:eastAsia="宋体" w:cs="宋体"/>
          <w:sz w:val="24"/>
          <w:szCs w:val="24"/>
          <w:highlight w:val="none"/>
        </w:rPr>
        <w:t>公路养护服务项目</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纳入服务总里程102.077公里。</w:t>
      </w:r>
      <w:r>
        <w:rPr>
          <w:rFonts w:hint="eastAsia" w:ascii="宋体" w:hAnsi="宋体" w:eastAsia="宋体" w:cs="宋体"/>
          <w:b/>
          <w:bCs/>
          <w:sz w:val="24"/>
          <w:szCs w:val="24"/>
          <w:highlight w:val="none"/>
        </w:rPr>
        <w:t>国道2条</w:t>
      </w:r>
      <w:r>
        <w:rPr>
          <w:rFonts w:hint="eastAsia" w:ascii="宋体" w:hAnsi="宋体" w:eastAsia="宋体" w:cs="宋体"/>
          <w:sz w:val="24"/>
          <w:szCs w:val="24"/>
          <w:highlight w:val="none"/>
        </w:rPr>
        <w:t>:1、G241线K2776+180-K2842+421段</w:t>
      </w:r>
      <w:r>
        <w:rPr>
          <w:rFonts w:hint="eastAsia" w:ascii="宋体" w:hAnsi="宋体" w:eastAsia="宋体" w:cs="宋体"/>
          <w:sz w:val="24"/>
          <w:szCs w:val="24"/>
          <w:highlight w:val="none"/>
          <w:lang w:val="en-US" w:eastAsia="zh-CN"/>
        </w:rPr>
        <w:t>66</w:t>
      </w:r>
      <w:r>
        <w:rPr>
          <w:rFonts w:hint="eastAsia" w:ascii="宋体" w:hAnsi="宋体" w:eastAsia="宋体" w:cs="宋体"/>
          <w:sz w:val="24"/>
          <w:szCs w:val="24"/>
          <w:highlight w:val="none"/>
        </w:rPr>
        <w:t>.241公里，2、G357线K1153+002-K1173+000段19.998公里、K1249+162-K1265+000段15.838公里，国道总里程</w:t>
      </w:r>
      <w:r>
        <w:rPr>
          <w:rFonts w:hint="eastAsia" w:ascii="宋体" w:hAnsi="宋体" w:eastAsia="宋体" w:cs="宋体"/>
          <w:sz w:val="24"/>
          <w:szCs w:val="24"/>
          <w:highlight w:val="none"/>
          <w:lang w:val="en-US" w:eastAsia="zh-CN"/>
        </w:rPr>
        <w:t>102.077</w:t>
      </w:r>
      <w:r>
        <w:rPr>
          <w:rFonts w:hint="eastAsia" w:ascii="宋体" w:hAnsi="宋体" w:eastAsia="宋体" w:cs="宋体"/>
          <w:sz w:val="24"/>
          <w:szCs w:val="24"/>
          <w:highlight w:val="none"/>
        </w:rPr>
        <w:t>公里。其中一级公路7.82公里（G241线K2</w:t>
      </w:r>
      <w:r>
        <w:rPr>
          <w:rFonts w:hint="eastAsia" w:ascii="宋体" w:hAnsi="宋体" w:eastAsia="宋体" w:cs="宋体"/>
          <w:sz w:val="24"/>
          <w:szCs w:val="24"/>
          <w:highlight w:val="none"/>
          <w:lang w:val="en-US" w:eastAsia="zh-CN"/>
        </w:rPr>
        <w:t>799</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92</w:t>
      </w:r>
      <w:r>
        <w:rPr>
          <w:rFonts w:hint="eastAsia" w:ascii="宋体" w:hAnsi="宋体" w:eastAsia="宋体" w:cs="宋体"/>
          <w:sz w:val="24"/>
          <w:szCs w:val="24"/>
          <w:highlight w:val="none"/>
        </w:rPr>
        <w:t>0-K2803+300段</w:t>
      </w:r>
      <w:r>
        <w:rPr>
          <w:rFonts w:hint="eastAsia" w:ascii="宋体" w:hAnsi="宋体" w:eastAsia="宋体" w:cs="宋体"/>
          <w:sz w:val="24"/>
          <w:szCs w:val="24"/>
          <w:highlight w:val="none"/>
          <w:lang w:val="en-US" w:eastAsia="zh-CN"/>
        </w:rPr>
        <w:t>3.38</w:t>
      </w:r>
      <w:r>
        <w:rPr>
          <w:rFonts w:hint="eastAsia" w:ascii="宋体" w:hAnsi="宋体" w:eastAsia="宋体" w:cs="宋体"/>
          <w:sz w:val="24"/>
          <w:szCs w:val="24"/>
          <w:highlight w:val="none"/>
        </w:rPr>
        <w:t>公里、G357线K1165+002-K1172+702段7.7公里）、二级公路</w:t>
      </w:r>
      <w:r>
        <w:rPr>
          <w:rFonts w:hint="eastAsia" w:ascii="宋体" w:hAnsi="宋体" w:eastAsia="宋体" w:cs="宋体"/>
          <w:sz w:val="24"/>
          <w:szCs w:val="24"/>
          <w:highlight w:val="none"/>
          <w:lang w:val="en-US" w:eastAsia="zh-CN"/>
        </w:rPr>
        <w:t>90.877</w:t>
      </w:r>
      <w:r>
        <w:rPr>
          <w:rFonts w:hint="eastAsia" w:ascii="宋体" w:hAnsi="宋体" w:eastAsia="宋体" w:cs="宋体"/>
          <w:sz w:val="24"/>
          <w:szCs w:val="24"/>
          <w:highlight w:val="none"/>
        </w:rPr>
        <w:t>公里。其中水泥混凝土路面14.76公里、沥青路面</w:t>
      </w:r>
      <w:r>
        <w:rPr>
          <w:rFonts w:hint="eastAsia" w:ascii="宋体" w:hAnsi="宋体" w:eastAsia="宋体" w:cs="宋体"/>
          <w:sz w:val="24"/>
          <w:szCs w:val="24"/>
          <w:highlight w:val="none"/>
          <w:lang w:val="en-US" w:eastAsia="zh-CN"/>
        </w:rPr>
        <w:t>87</w:t>
      </w:r>
      <w:r>
        <w:rPr>
          <w:rFonts w:hint="eastAsia" w:ascii="宋体" w:hAnsi="宋体" w:eastAsia="宋体" w:cs="宋体"/>
          <w:sz w:val="24"/>
          <w:szCs w:val="24"/>
          <w:highlight w:val="none"/>
        </w:rPr>
        <w:t>.317公里</w:t>
      </w:r>
      <w:r>
        <w:rPr>
          <w:rFonts w:hint="eastAsia" w:ascii="宋体" w:hAnsi="宋体" w:eastAsia="宋体" w:cs="宋体"/>
          <w:sz w:val="24"/>
          <w:szCs w:val="24"/>
          <w:highlight w:val="none"/>
          <w:lang w:eastAsia="zh-CN"/>
        </w:rPr>
        <w:t>。包含(但不限于)桥梁24座（大桥5座626.44米，中桥2座194.86米，小桥17座326.07米，共计1147.37米，一类桥6座，二类桥18座，三类桥0座，四类桥0座，五类桥0座），涵洞273道，养护站1个，服务区0个，小型临时停车区0处，候车亭17座，交通安全设施75.077公里等。路段内有多处自然灾害风险路段。其中G241线K2776+180-K2803+180段（27公里）由采购人自行安排自有职工开展日常保养，该路段除日常保养不在招标范围内，其它养护服务、应急处置均纳入该项目招标范围内。</w:t>
      </w:r>
    </w:p>
    <w:p w14:paraId="6232ABA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highlight w:val="none"/>
          <w:lang w:val="en-US" w:eastAsia="zh-CN"/>
        </w:rPr>
      </w:pPr>
    </w:p>
    <w:p w14:paraId="3383DF67">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val="0"/>
          <w:color w:val="auto"/>
          <w:sz w:val="24"/>
          <w:szCs w:val="24"/>
          <w:lang w:eastAsia="zh-CN"/>
        </w:rPr>
      </w:pPr>
      <w:r>
        <w:rPr>
          <w:rFonts w:hint="eastAsia" w:ascii="宋体" w:hAnsi="宋体" w:eastAsia="宋体" w:cs="宋体"/>
          <w:b w:val="0"/>
          <w:bCs w:val="0"/>
          <w:snapToGrid w:val="0"/>
          <w:color w:val="auto"/>
          <w:kern w:val="0"/>
          <w:sz w:val="24"/>
          <w:szCs w:val="24"/>
          <w:lang w:val="en-US" w:eastAsia="zh-CN" w:bidi="ar-SA"/>
        </w:rPr>
        <w:t>（2）</w:t>
      </w:r>
      <w:r>
        <w:rPr>
          <w:rFonts w:hint="eastAsia" w:ascii="宋体" w:hAnsi="宋体" w:eastAsia="宋体" w:cs="宋体"/>
          <w:sz w:val="24"/>
          <w:szCs w:val="24"/>
        </w:rPr>
        <w:t>养护承包范围：</w:t>
      </w:r>
      <w:r>
        <w:rPr>
          <w:rFonts w:hint="eastAsia" w:ascii="宋体" w:hAnsi="宋体" w:eastAsia="宋体" w:cs="宋体"/>
          <w:sz w:val="24"/>
          <w:szCs w:val="24"/>
          <w:lang w:val="en-US" w:eastAsia="zh-CN"/>
        </w:rPr>
        <w:t>以上路段范围。其中恭城S502路线K0+000-K20+000桩号共20.000公里路段、灌阳G241线K2776+180-K2803+180段（27公里）由发包人安排自有职工自行开展日常保养，该路段除日常保养不在招标范围内，其它养护服务、应急处置均纳入该项目招标范围内。承包人按《公路养护技术标准》（JTG 5110－2023）和国家现行公路养护技术规范要求开展巡查检查、日常保养（含绿化）、日常维修、应急</w:t>
      </w:r>
      <w:r>
        <w:rPr>
          <w:rFonts w:hint="eastAsia" w:ascii="宋体" w:hAnsi="宋体" w:eastAsia="宋体" w:cs="宋体"/>
          <w:b w:val="0"/>
          <w:bCs w:val="0"/>
          <w:spacing w:val="0"/>
          <w:w w:val="100"/>
          <w:position w:val="0"/>
          <w:sz w:val="24"/>
          <w:szCs w:val="24"/>
          <w:highlight w:val="none"/>
          <w:lang w:eastAsia="zh-CN"/>
        </w:rPr>
        <w:t>处置、冬季除冰雪、数据填报与管理、</w:t>
      </w:r>
      <w:r>
        <w:rPr>
          <w:rFonts w:hint="eastAsia" w:ascii="宋体" w:hAnsi="宋体" w:eastAsia="宋体" w:cs="宋体"/>
          <w:b w:val="0"/>
          <w:bCs w:val="0"/>
          <w:spacing w:val="0"/>
          <w:w w:val="100"/>
          <w:position w:val="0"/>
          <w:sz w:val="24"/>
          <w:szCs w:val="24"/>
          <w:highlight w:val="none"/>
          <w:lang w:val="en-US" w:eastAsia="zh-CN"/>
        </w:rPr>
        <w:t>安全管理、不可预见的专项养护等工作。</w:t>
      </w:r>
      <w:r>
        <w:rPr>
          <w:rFonts w:hint="eastAsia" w:ascii="宋体" w:hAnsi="宋体" w:eastAsia="宋体" w:cs="宋体"/>
          <w:sz w:val="24"/>
          <w:szCs w:val="24"/>
          <w:highlight w:val="none"/>
        </w:rPr>
        <w:t>养护对象包括（</w:t>
      </w:r>
      <w:r>
        <w:rPr>
          <w:rFonts w:hint="eastAsia" w:ascii="宋体" w:hAnsi="宋体" w:eastAsia="宋体" w:cs="宋体"/>
          <w:sz w:val="24"/>
          <w:szCs w:val="24"/>
        </w:rPr>
        <w:t>但不限于）路基、路面、桥涵、隧道、交通工程及沿线设施、养护站房、停车区、服务区及候车亭等公路基础设施</w:t>
      </w:r>
      <w:r>
        <w:rPr>
          <w:rFonts w:hint="eastAsia" w:ascii="宋体" w:hAnsi="宋体" w:eastAsia="宋体" w:cs="宋体"/>
          <w:b w:val="0"/>
          <w:bCs w:val="0"/>
          <w:color w:val="auto"/>
          <w:sz w:val="24"/>
          <w:szCs w:val="24"/>
        </w:rPr>
        <w:t>。其中采购人自行安排职工开展日常保养的路段除日常保养工作不在招标范围内，其它养护服务、应急处置均已纳入该项目招标范围内</w:t>
      </w:r>
      <w:r>
        <w:rPr>
          <w:rFonts w:hint="eastAsia" w:ascii="宋体" w:hAnsi="宋体" w:eastAsia="宋体" w:cs="宋体"/>
          <w:b w:val="0"/>
          <w:bCs w:val="0"/>
          <w:color w:val="auto"/>
          <w:sz w:val="24"/>
          <w:szCs w:val="24"/>
          <w:lang w:eastAsia="zh-CN"/>
        </w:rPr>
        <w:t>。</w:t>
      </w:r>
    </w:p>
    <w:p w14:paraId="03C447B5">
      <w:pPr>
        <w:spacing w:before="116" w:line="360" w:lineRule="auto"/>
        <w:ind w:firstLine="480" w:firstLineChars="200"/>
        <w:rPr>
          <w:rFonts w:hint="eastAsia" w:ascii="宋体" w:hAnsi="宋体" w:eastAsia="宋体" w:cs="宋体"/>
          <w:b/>
          <w:bCs/>
          <w:spacing w:val="0"/>
          <w:w w:val="100"/>
          <w:position w:val="0"/>
          <w:sz w:val="24"/>
          <w:szCs w:val="24"/>
          <w:highlight w:val="none"/>
        </w:rPr>
      </w:pPr>
      <w:r>
        <w:rPr>
          <w:rFonts w:hint="eastAsia" w:ascii="宋体" w:hAnsi="宋体" w:eastAsia="宋体" w:cs="宋体"/>
          <w:sz w:val="24"/>
          <w:szCs w:val="24"/>
          <w:highlight w:val="none"/>
          <w:lang w:val="en-US" w:eastAsia="zh-CN"/>
        </w:rPr>
        <w:t>合</w:t>
      </w:r>
      <w:r>
        <w:rPr>
          <w:rFonts w:hint="eastAsia" w:ascii="宋体" w:hAnsi="宋体" w:eastAsia="宋体" w:cs="宋体"/>
          <w:spacing w:val="0"/>
          <w:sz w:val="24"/>
          <w:szCs w:val="24"/>
          <w:highlight w:val="none"/>
          <w:lang w:val="en-US" w:eastAsia="zh-CN"/>
        </w:rPr>
        <w:t>同实施期间，</w:t>
      </w:r>
      <w:r>
        <w:rPr>
          <w:rFonts w:hint="eastAsia" w:ascii="宋体" w:hAnsi="宋体" w:eastAsia="宋体" w:cs="宋体"/>
          <w:spacing w:val="0"/>
          <w:sz w:val="24"/>
          <w:szCs w:val="24"/>
          <w:highlight w:val="none"/>
          <w:lang w:eastAsia="zh-CN"/>
        </w:rPr>
        <w:t>因</w:t>
      </w:r>
      <w:r>
        <w:rPr>
          <w:rFonts w:hint="eastAsia" w:ascii="宋体" w:hAnsi="宋体" w:eastAsia="宋体" w:cs="宋体"/>
          <w:spacing w:val="0"/>
          <w:sz w:val="24"/>
          <w:szCs w:val="24"/>
          <w:highlight w:val="none"/>
          <w:lang w:val="en-US" w:eastAsia="zh-CN"/>
        </w:rPr>
        <w:t>发包</w:t>
      </w:r>
      <w:r>
        <w:rPr>
          <w:rFonts w:hint="eastAsia" w:ascii="宋体" w:hAnsi="宋体" w:eastAsia="宋体" w:cs="宋体"/>
          <w:spacing w:val="0"/>
          <w:sz w:val="24"/>
          <w:szCs w:val="24"/>
          <w:highlight w:val="none"/>
          <w:lang w:eastAsia="zh-CN"/>
        </w:rPr>
        <w:t>人的职工退休、</w:t>
      </w:r>
      <w:r>
        <w:rPr>
          <w:rFonts w:hint="eastAsia" w:ascii="宋体" w:hAnsi="宋体" w:eastAsia="宋体" w:cs="宋体"/>
          <w:spacing w:val="0"/>
          <w:sz w:val="24"/>
          <w:szCs w:val="24"/>
          <w:highlight w:val="none"/>
          <w:lang w:val="en-US" w:eastAsia="zh-CN"/>
        </w:rPr>
        <w:t>人员调整</w:t>
      </w:r>
      <w:r>
        <w:rPr>
          <w:rFonts w:hint="eastAsia" w:ascii="宋体" w:hAnsi="宋体" w:eastAsia="宋体" w:cs="宋体"/>
          <w:spacing w:val="0"/>
          <w:sz w:val="24"/>
          <w:szCs w:val="24"/>
          <w:highlight w:val="none"/>
          <w:lang w:eastAsia="zh-CN"/>
        </w:rPr>
        <w:t>等原因</w:t>
      </w:r>
      <w:r>
        <w:rPr>
          <w:rFonts w:hint="eastAsia" w:ascii="宋体" w:hAnsi="宋体" w:eastAsia="宋体" w:cs="宋体"/>
          <w:spacing w:val="0"/>
          <w:sz w:val="24"/>
          <w:szCs w:val="24"/>
          <w:highlight w:val="none"/>
          <w:lang w:val="en-US" w:eastAsia="zh-CN"/>
        </w:rPr>
        <w:t>；</w:t>
      </w:r>
      <w:r>
        <w:rPr>
          <w:rFonts w:hint="eastAsia" w:ascii="宋体" w:hAnsi="宋体" w:eastAsia="宋体" w:cs="宋体"/>
          <w:spacing w:val="0"/>
          <w:sz w:val="24"/>
          <w:szCs w:val="24"/>
          <w:highlight w:val="none"/>
          <w:lang w:eastAsia="zh-CN"/>
        </w:rPr>
        <w:t>因政策性</w:t>
      </w:r>
      <w:r>
        <w:rPr>
          <w:rFonts w:hint="eastAsia" w:ascii="宋体" w:hAnsi="宋体" w:eastAsia="宋体" w:cs="宋体"/>
          <w:spacing w:val="0"/>
          <w:sz w:val="24"/>
          <w:szCs w:val="24"/>
          <w:highlight w:val="none"/>
          <w:lang w:val="en-US" w:eastAsia="zh-CN"/>
        </w:rPr>
        <w:t>的调整等客观原因；</w:t>
      </w:r>
      <w:r>
        <w:rPr>
          <w:rFonts w:hint="eastAsia" w:ascii="宋体" w:hAnsi="宋体" w:eastAsia="宋体" w:cs="宋体"/>
          <w:spacing w:val="0"/>
          <w:sz w:val="24"/>
          <w:szCs w:val="24"/>
          <w:highlight w:val="none"/>
          <w:lang w:eastAsia="zh-CN"/>
        </w:rPr>
        <w:t>因</w:t>
      </w:r>
      <w:r>
        <w:rPr>
          <w:rFonts w:hint="eastAsia" w:ascii="宋体" w:hAnsi="宋体" w:eastAsia="宋体" w:cs="宋体"/>
          <w:spacing w:val="0"/>
          <w:sz w:val="24"/>
          <w:szCs w:val="24"/>
          <w:highlight w:val="none"/>
          <w:lang w:val="en-US" w:eastAsia="zh-CN"/>
        </w:rPr>
        <w:t>养护工程施工路段由施工单位承担了施工期间的日常保养原因等，需对合同约定的日常保养路段或设施进行调整，</w:t>
      </w:r>
      <w:r>
        <w:rPr>
          <w:rFonts w:hint="eastAsia" w:ascii="宋体" w:hAnsi="宋体" w:eastAsia="宋体" w:cs="宋体"/>
          <w:spacing w:val="0"/>
          <w:sz w:val="24"/>
          <w:szCs w:val="24"/>
          <w:highlight w:val="none"/>
          <w:lang w:eastAsia="zh-CN"/>
        </w:rPr>
        <w:t>按合同相应</w:t>
      </w:r>
      <w:r>
        <w:rPr>
          <w:rFonts w:hint="eastAsia" w:ascii="宋体" w:hAnsi="宋体" w:eastAsia="宋体" w:cs="宋体"/>
          <w:spacing w:val="0"/>
          <w:sz w:val="24"/>
          <w:szCs w:val="24"/>
          <w:highlight w:val="none"/>
          <w:lang w:val="en-US" w:eastAsia="zh-CN"/>
        </w:rPr>
        <w:t>调整</w:t>
      </w:r>
      <w:r>
        <w:rPr>
          <w:rFonts w:hint="eastAsia" w:ascii="宋体" w:hAnsi="宋体" w:eastAsia="宋体" w:cs="宋体"/>
          <w:spacing w:val="0"/>
          <w:sz w:val="24"/>
          <w:szCs w:val="24"/>
          <w:highlight w:val="none"/>
          <w:lang w:eastAsia="zh-CN"/>
        </w:rPr>
        <w:t>费用并签订补充协议。</w:t>
      </w:r>
    </w:p>
    <w:p w14:paraId="7844A9B3">
      <w:pPr>
        <w:keepNext w:val="0"/>
        <w:keepLines w:val="0"/>
        <w:pageBreakBefore w:val="0"/>
        <w:widowControl w:val="0"/>
        <w:kinsoku/>
        <w:wordWrap/>
        <w:overflowPunct/>
        <w:topLinePunct w:val="0"/>
        <w:autoSpaceDE/>
        <w:autoSpaceDN/>
        <w:bidi w:val="0"/>
        <w:adjustRightInd/>
        <w:snapToGrid/>
        <w:spacing w:line="360" w:lineRule="auto"/>
        <w:ind w:left="476"/>
        <w:textAlignment w:val="auto"/>
        <w:rPr>
          <w:rFonts w:hint="eastAsia" w:ascii="宋体" w:hAnsi="宋体" w:eastAsia="宋体" w:cs="宋体"/>
          <w:sz w:val="24"/>
          <w:szCs w:val="24"/>
        </w:rPr>
      </w:pPr>
      <w:r>
        <w:rPr>
          <w:rFonts w:hint="eastAsia" w:ascii="宋体" w:hAnsi="宋体" w:eastAsia="宋体" w:cs="宋体"/>
          <w:spacing w:val="-1"/>
          <w:sz w:val="24"/>
          <w:szCs w:val="24"/>
        </w:rPr>
        <w:t xml:space="preserve">2.  </w:t>
      </w:r>
      <w:r>
        <w:rPr>
          <w:rFonts w:hint="eastAsia" w:ascii="宋体" w:hAnsi="宋体" w:eastAsia="宋体" w:cs="宋体"/>
          <w:b/>
          <w:bCs/>
          <w:spacing w:val="-1"/>
          <w:sz w:val="24"/>
          <w:szCs w:val="24"/>
        </w:rPr>
        <w:t>下列文件应视为构成合同文件的组成部分</w:t>
      </w:r>
      <w:r>
        <w:rPr>
          <w:rFonts w:hint="eastAsia" w:ascii="宋体" w:hAnsi="宋体" w:eastAsia="宋体" w:cs="宋体"/>
          <w:spacing w:val="-1"/>
          <w:sz w:val="24"/>
          <w:szCs w:val="24"/>
        </w:rPr>
        <w:t>：</w:t>
      </w:r>
    </w:p>
    <w:p w14:paraId="49ED0C1C">
      <w:pPr>
        <w:keepNext w:val="0"/>
        <w:keepLines w:val="0"/>
        <w:pageBreakBefore w:val="0"/>
        <w:widowControl w:val="0"/>
        <w:kinsoku/>
        <w:wordWrap/>
        <w:overflowPunct/>
        <w:topLinePunct w:val="0"/>
        <w:autoSpaceDE/>
        <w:autoSpaceDN/>
        <w:bidi w:val="0"/>
        <w:adjustRightInd/>
        <w:snapToGrid/>
        <w:spacing w:line="360" w:lineRule="auto"/>
        <w:ind w:right="90" w:firstLine="491"/>
        <w:textAlignment w:val="auto"/>
        <w:rPr>
          <w:rFonts w:hint="eastAsia" w:ascii="宋体" w:hAnsi="宋体" w:eastAsia="宋体" w:cs="宋体"/>
          <w:sz w:val="24"/>
          <w:szCs w:val="24"/>
        </w:rPr>
      </w:pPr>
      <w:r>
        <w:rPr>
          <w:rFonts w:hint="eastAsia" w:ascii="宋体" w:hAnsi="宋体" w:eastAsia="宋体" w:cs="宋体"/>
          <w:spacing w:val="4"/>
          <w:sz w:val="24"/>
          <w:szCs w:val="24"/>
        </w:rPr>
        <w:t>（1）本协议书及各种合同附件（含评标期间和合同谈判过程中的澄清文</w:t>
      </w:r>
      <w:r>
        <w:rPr>
          <w:rFonts w:hint="eastAsia" w:ascii="宋体" w:hAnsi="宋体" w:eastAsia="宋体" w:cs="宋体"/>
          <w:spacing w:val="3"/>
          <w:sz w:val="24"/>
          <w:szCs w:val="24"/>
        </w:rPr>
        <w:t>件和</w:t>
      </w:r>
      <w:r>
        <w:rPr>
          <w:rFonts w:hint="eastAsia" w:ascii="宋体" w:hAnsi="宋体" w:eastAsia="宋体" w:cs="宋体"/>
          <w:spacing w:val="-3"/>
          <w:sz w:val="24"/>
          <w:szCs w:val="24"/>
        </w:rPr>
        <w:t>补充资料</w:t>
      </w:r>
      <w:r>
        <w:rPr>
          <w:rFonts w:hint="eastAsia" w:ascii="宋体" w:hAnsi="宋体" w:eastAsia="宋体" w:cs="宋体"/>
          <w:spacing w:val="-62"/>
          <w:w w:val="97"/>
          <w:sz w:val="24"/>
          <w:szCs w:val="24"/>
        </w:rPr>
        <w:t>）；</w:t>
      </w:r>
    </w:p>
    <w:p w14:paraId="79A6BF29">
      <w:pPr>
        <w:keepNext w:val="0"/>
        <w:keepLines w:val="0"/>
        <w:pageBreakBefore w:val="0"/>
        <w:widowControl w:val="0"/>
        <w:kinsoku/>
        <w:wordWrap/>
        <w:overflowPunct/>
        <w:topLinePunct w:val="0"/>
        <w:autoSpaceDE/>
        <w:autoSpaceDN/>
        <w:bidi w:val="0"/>
        <w:adjustRightInd/>
        <w:snapToGrid/>
        <w:spacing w:line="360" w:lineRule="auto"/>
        <w:ind w:left="492"/>
        <w:textAlignment w:val="auto"/>
        <w:rPr>
          <w:rFonts w:hint="eastAsia" w:ascii="宋体" w:hAnsi="宋体" w:eastAsia="宋体" w:cs="宋体"/>
          <w:sz w:val="24"/>
          <w:szCs w:val="24"/>
        </w:rPr>
      </w:pPr>
      <w:r>
        <w:rPr>
          <w:rFonts w:hint="eastAsia" w:ascii="宋体" w:hAnsi="宋体" w:eastAsia="宋体" w:cs="宋体"/>
          <w:spacing w:val="-2"/>
          <w:sz w:val="24"/>
          <w:szCs w:val="24"/>
        </w:rPr>
        <w:t>（2）中标通知书</w:t>
      </w:r>
      <w:r>
        <w:rPr>
          <w:rFonts w:hint="eastAsia" w:ascii="宋体" w:hAnsi="宋体" w:eastAsia="宋体" w:cs="宋体"/>
          <w:spacing w:val="-62"/>
          <w:w w:val="97"/>
          <w:sz w:val="24"/>
          <w:szCs w:val="24"/>
        </w:rPr>
        <w:t>；</w:t>
      </w:r>
    </w:p>
    <w:p w14:paraId="725805D7">
      <w:pPr>
        <w:keepNext w:val="0"/>
        <w:keepLines w:val="0"/>
        <w:pageBreakBefore w:val="0"/>
        <w:widowControl w:val="0"/>
        <w:kinsoku/>
        <w:wordWrap/>
        <w:overflowPunct/>
        <w:topLinePunct w:val="0"/>
        <w:autoSpaceDE/>
        <w:autoSpaceDN/>
        <w:bidi w:val="0"/>
        <w:adjustRightInd/>
        <w:snapToGrid/>
        <w:spacing w:line="360" w:lineRule="auto"/>
        <w:ind w:left="492"/>
        <w:textAlignment w:val="auto"/>
        <w:rPr>
          <w:rFonts w:hint="eastAsia" w:ascii="宋体" w:hAnsi="宋体" w:eastAsia="宋体" w:cs="宋体"/>
          <w:sz w:val="24"/>
          <w:szCs w:val="24"/>
        </w:rPr>
      </w:pPr>
      <w:r>
        <w:rPr>
          <w:rFonts w:hint="eastAsia" w:ascii="宋体" w:hAnsi="宋体" w:eastAsia="宋体" w:cs="宋体"/>
          <w:spacing w:val="-2"/>
          <w:sz w:val="24"/>
          <w:szCs w:val="24"/>
        </w:rPr>
        <w:t>（3）投标函及投标函附录</w:t>
      </w:r>
      <w:r>
        <w:rPr>
          <w:rFonts w:hint="eastAsia" w:ascii="宋体" w:hAnsi="宋体" w:eastAsia="宋体" w:cs="宋体"/>
          <w:spacing w:val="-64"/>
          <w:sz w:val="24"/>
          <w:szCs w:val="24"/>
        </w:rPr>
        <w:t>；</w:t>
      </w:r>
    </w:p>
    <w:p w14:paraId="2B0AB014">
      <w:pPr>
        <w:keepNext w:val="0"/>
        <w:keepLines w:val="0"/>
        <w:pageBreakBefore w:val="0"/>
        <w:widowControl w:val="0"/>
        <w:kinsoku/>
        <w:wordWrap/>
        <w:overflowPunct/>
        <w:topLinePunct w:val="0"/>
        <w:autoSpaceDE/>
        <w:autoSpaceDN/>
        <w:bidi w:val="0"/>
        <w:adjustRightInd/>
        <w:snapToGrid/>
        <w:spacing w:line="360" w:lineRule="auto"/>
        <w:ind w:left="492"/>
        <w:textAlignment w:val="auto"/>
        <w:rPr>
          <w:rFonts w:hint="eastAsia" w:ascii="宋体" w:hAnsi="宋体" w:eastAsia="宋体" w:cs="宋体"/>
          <w:sz w:val="24"/>
          <w:szCs w:val="24"/>
        </w:rPr>
      </w:pPr>
      <w:r>
        <w:rPr>
          <w:rFonts w:hint="eastAsia" w:ascii="宋体" w:hAnsi="宋体" w:eastAsia="宋体" w:cs="宋体"/>
          <w:spacing w:val="-3"/>
          <w:sz w:val="24"/>
          <w:szCs w:val="24"/>
        </w:rPr>
        <w:t>（4）专用合同条款；</w:t>
      </w:r>
    </w:p>
    <w:p w14:paraId="56A3877C">
      <w:pPr>
        <w:keepNext w:val="0"/>
        <w:keepLines w:val="0"/>
        <w:pageBreakBefore w:val="0"/>
        <w:widowControl w:val="0"/>
        <w:kinsoku/>
        <w:wordWrap/>
        <w:overflowPunct/>
        <w:topLinePunct w:val="0"/>
        <w:autoSpaceDE/>
        <w:autoSpaceDN/>
        <w:bidi w:val="0"/>
        <w:adjustRightInd/>
        <w:snapToGrid/>
        <w:spacing w:line="360" w:lineRule="auto"/>
        <w:ind w:left="492"/>
        <w:textAlignment w:val="auto"/>
        <w:rPr>
          <w:rFonts w:hint="eastAsia" w:ascii="宋体" w:hAnsi="宋体" w:eastAsia="宋体" w:cs="宋体"/>
          <w:sz w:val="24"/>
          <w:szCs w:val="24"/>
          <w:highlight w:val="none"/>
        </w:rPr>
      </w:pPr>
      <w:r>
        <w:rPr>
          <w:rFonts w:hint="eastAsia" w:ascii="宋体" w:hAnsi="宋体" w:eastAsia="宋体" w:cs="宋体"/>
          <w:spacing w:val="-3"/>
          <w:sz w:val="24"/>
          <w:szCs w:val="24"/>
        </w:rPr>
        <w:t>（5）通用合同条款；</w:t>
      </w:r>
    </w:p>
    <w:p w14:paraId="0766BF83">
      <w:pPr>
        <w:keepNext w:val="0"/>
        <w:keepLines w:val="0"/>
        <w:pageBreakBefore w:val="0"/>
        <w:widowControl w:val="0"/>
        <w:kinsoku/>
        <w:wordWrap/>
        <w:overflowPunct/>
        <w:topLinePunct w:val="0"/>
        <w:autoSpaceDE/>
        <w:autoSpaceDN/>
        <w:bidi w:val="0"/>
        <w:adjustRightInd/>
        <w:snapToGrid/>
        <w:spacing w:line="360" w:lineRule="auto"/>
        <w:ind w:left="492"/>
        <w:textAlignment w:val="auto"/>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（6）工程量清单计量规则</w:t>
      </w:r>
      <w:r>
        <w:rPr>
          <w:rFonts w:hint="eastAsia" w:ascii="宋体" w:hAnsi="宋体" w:eastAsia="宋体" w:cs="宋体"/>
          <w:spacing w:val="-1"/>
          <w:sz w:val="24"/>
          <w:szCs w:val="24"/>
          <w:highlight w:val="none"/>
          <w:lang w:val="en-US" w:eastAsia="zh-CN"/>
        </w:rPr>
        <w:t>和</w:t>
      </w:r>
      <w:r>
        <w:rPr>
          <w:rFonts w:hint="eastAsia" w:ascii="宋体" w:hAnsi="宋体" w:eastAsia="宋体" w:cs="宋体"/>
          <w:spacing w:val="-1"/>
          <w:sz w:val="24"/>
          <w:szCs w:val="24"/>
          <w:highlight w:val="none"/>
        </w:rPr>
        <w:t>养护绩效管理规则</w:t>
      </w:r>
      <w:r>
        <w:rPr>
          <w:rFonts w:hint="eastAsia" w:ascii="宋体" w:hAnsi="宋体" w:eastAsia="宋体" w:cs="宋体"/>
          <w:spacing w:val="-62"/>
          <w:w w:val="97"/>
          <w:sz w:val="24"/>
          <w:szCs w:val="24"/>
          <w:highlight w:val="none"/>
        </w:rPr>
        <w:t>；</w:t>
      </w:r>
    </w:p>
    <w:p w14:paraId="5696945B">
      <w:pPr>
        <w:keepNext w:val="0"/>
        <w:keepLines w:val="0"/>
        <w:pageBreakBefore w:val="0"/>
        <w:widowControl w:val="0"/>
        <w:kinsoku/>
        <w:wordWrap/>
        <w:overflowPunct/>
        <w:topLinePunct w:val="0"/>
        <w:autoSpaceDE/>
        <w:autoSpaceDN/>
        <w:bidi w:val="0"/>
        <w:adjustRightInd/>
        <w:snapToGrid/>
        <w:spacing w:line="360" w:lineRule="auto"/>
        <w:ind w:left="492"/>
        <w:textAlignment w:val="auto"/>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（7）技术规范；</w:t>
      </w:r>
    </w:p>
    <w:p w14:paraId="5F17BFEC">
      <w:pPr>
        <w:keepNext w:val="0"/>
        <w:keepLines w:val="0"/>
        <w:pageBreakBefore w:val="0"/>
        <w:widowControl w:val="0"/>
        <w:kinsoku/>
        <w:wordWrap/>
        <w:overflowPunct/>
        <w:topLinePunct w:val="0"/>
        <w:autoSpaceDE/>
        <w:autoSpaceDN/>
        <w:bidi w:val="0"/>
        <w:adjustRightInd/>
        <w:snapToGrid/>
        <w:spacing w:line="360" w:lineRule="auto"/>
        <w:ind w:left="492"/>
        <w:textAlignment w:val="auto"/>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（8）图纸；</w:t>
      </w:r>
    </w:p>
    <w:p w14:paraId="01B045D0">
      <w:pPr>
        <w:keepNext w:val="0"/>
        <w:keepLines w:val="0"/>
        <w:pageBreakBefore w:val="0"/>
        <w:widowControl w:val="0"/>
        <w:kinsoku/>
        <w:wordWrap/>
        <w:overflowPunct/>
        <w:topLinePunct w:val="0"/>
        <w:autoSpaceDE/>
        <w:autoSpaceDN/>
        <w:bidi w:val="0"/>
        <w:adjustRightInd/>
        <w:snapToGrid/>
        <w:spacing w:line="360" w:lineRule="auto"/>
        <w:ind w:left="492"/>
        <w:textAlignment w:val="auto"/>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（9）已标价工程量清单</w:t>
      </w:r>
      <w:r>
        <w:rPr>
          <w:rFonts w:hint="eastAsia" w:ascii="宋体" w:hAnsi="宋体" w:eastAsia="宋体" w:cs="宋体"/>
          <w:spacing w:val="-2"/>
          <w:sz w:val="24"/>
          <w:szCs w:val="24"/>
          <w:highlight w:val="none"/>
          <w:lang w:val="en-US" w:eastAsia="zh-CN"/>
        </w:rPr>
        <w:t>和</w:t>
      </w:r>
      <w:r>
        <w:rPr>
          <w:rFonts w:hint="eastAsia" w:ascii="宋体" w:hAnsi="宋体" w:eastAsia="宋体" w:cs="宋体"/>
          <w:spacing w:val="-2"/>
          <w:sz w:val="24"/>
          <w:szCs w:val="24"/>
          <w:highlight w:val="none"/>
        </w:rPr>
        <w:t>绩效清单</w:t>
      </w:r>
      <w:r>
        <w:rPr>
          <w:rFonts w:hint="eastAsia" w:ascii="宋体" w:hAnsi="宋体" w:eastAsia="宋体" w:cs="宋体"/>
          <w:spacing w:val="-62"/>
          <w:sz w:val="24"/>
          <w:szCs w:val="24"/>
          <w:highlight w:val="none"/>
        </w:rPr>
        <w:t>；</w:t>
      </w:r>
    </w:p>
    <w:p w14:paraId="697E9785">
      <w:pPr>
        <w:keepNext w:val="0"/>
        <w:keepLines w:val="0"/>
        <w:pageBreakBefore w:val="0"/>
        <w:widowControl w:val="0"/>
        <w:kinsoku/>
        <w:wordWrap/>
        <w:overflowPunct/>
        <w:topLinePunct w:val="0"/>
        <w:autoSpaceDE/>
        <w:autoSpaceDN/>
        <w:bidi w:val="0"/>
        <w:adjustRightInd/>
        <w:snapToGrid/>
        <w:spacing w:line="360" w:lineRule="auto"/>
        <w:ind w:left="492"/>
        <w:textAlignment w:val="auto"/>
        <w:rPr>
          <w:rFonts w:hint="eastAsia" w:ascii="宋体" w:hAnsi="宋体" w:eastAsia="宋体" w:cs="宋体"/>
          <w:sz w:val="24"/>
          <w:szCs w:val="24"/>
        </w:rPr>
      </w:pPr>
      <w:r>
        <w:rPr>
          <w:rFonts w:hint="eastAsia" w:ascii="宋体" w:hAnsi="宋体" w:eastAsia="宋体" w:cs="宋体"/>
          <w:spacing w:val="-2"/>
          <w:sz w:val="24"/>
          <w:szCs w:val="24"/>
        </w:rPr>
        <w:t>（10）承包人有关人员、设备投入的承诺；</w:t>
      </w:r>
    </w:p>
    <w:p w14:paraId="4A043A49">
      <w:pPr>
        <w:keepNext w:val="0"/>
        <w:keepLines w:val="0"/>
        <w:pageBreakBefore w:val="0"/>
        <w:widowControl w:val="0"/>
        <w:kinsoku/>
        <w:wordWrap/>
        <w:overflowPunct/>
        <w:topLinePunct w:val="0"/>
        <w:autoSpaceDE/>
        <w:autoSpaceDN/>
        <w:bidi w:val="0"/>
        <w:adjustRightInd/>
        <w:snapToGrid/>
        <w:spacing w:line="360" w:lineRule="auto"/>
        <w:ind w:left="492"/>
        <w:textAlignment w:val="auto"/>
        <w:rPr>
          <w:rFonts w:hint="eastAsia" w:ascii="宋体" w:hAnsi="宋体" w:eastAsia="宋体" w:cs="宋体"/>
          <w:sz w:val="24"/>
          <w:szCs w:val="24"/>
        </w:rPr>
      </w:pPr>
      <w:r>
        <w:rPr>
          <w:rFonts w:hint="eastAsia" w:ascii="宋体" w:hAnsi="宋体" w:eastAsia="宋体" w:cs="宋体"/>
          <w:spacing w:val="-3"/>
          <w:sz w:val="24"/>
          <w:szCs w:val="24"/>
        </w:rPr>
        <w:t>（11）其他合同文件。</w:t>
      </w:r>
    </w:p>
    <w:p w14:paraId="0E8FD9FD">
      <w:pPr>
        <w:keepNext w:val="0"/>
        <w:keepLines w:val="0"/>
        <w:pageBreakBefore w:val="0"/>
        <w:widowControl w:val="0"/>
        <w:kinsoku/>
        <w:wordWrap/>
        <w:overflowPunct/>
        <w:topLinePunct w:val="0"/>
        <w:autoSpaceDE/>
        <w:autoSpaceDN/>
        <w:bidi w:val="0"/>
        <w:adjustRightInd/>
        <w:snapToGrid/>
        <w:spacing w:line="360" w:lineRule="auto"/>
        <w:ind w:left="2" w:right="90" w:firstLine="480"/>
        <w:textAlignment w:val="auto"/>
        <w:rPr>
          <w:rFonts w:hint="eastAsia" w:ascii="宋体" w:hAnsi="宋体" w:eastAsia="宋体" w:cs="宋体"/>
          <w:sz w:val="24"/>
          <w:szCs w:val="24"/>
        </w:rPr>
      </w:pPr>
      <w:r>
        <w:rPr>
          <w:rFonts w:hint="eastAsia" w:ascii="宋体" w:hAnsi="宋体" w:eastAsia="宋体" w:cs="宋体"/>
          <w:spacing w:val="1"/>
          <w:sz w:val="24"/>
          <w:szCs w:val="24"/>
        </w:rPr>
        <w:t>上述合同文件互相补充和解释。如果合同文件之间存</w:t>
      </w:r>
      <w:r>
        <w:rPr>
          <w:rFonts w:hint="eastAsia" w:ascii="宋体" w:hAnsi="宋体" w:eastAsia="宋体" w:cs="宋体"/>
          <w:sz w:val="24"/>
          <w:szCs w:val="24"/>
        </w:rPr>
        <w:t>在矛盾或不一致之处，以</w:t>
      </w:r>
      <w:r>
        <w:rPr>
          <w:rFonts w:hint="eastAsia" w:ascii="宋体" w:hAnsi="宋体" w:eastAsia="宋体" w:cs="宋体"/>
          <w:spacing w:val="-1"/>
          <w:sz w:val="24"/>
          <w:szCs w:val="24"/>
        </w:rPr>
        <w:t>上述文件的排列次序在先者为准。</w:t>
      </w:r>
    </w:p>
    <w:p w14:paraId="2E134EA0">
      <w:pPr>
        <w:keepNext w:val="0"/>
        <w:keepLines w:val="0"/>
        <w:pageBreakBefore w:val="0"/>
        <w:widowControl w:val="0"/>
        <w:numPr>
          <w:ilvl w:val="0"/>
          <w:numId w:val="8"/>
        </w:numPr>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pacing w:val="5"/>
          <w:sz w:val="24"/>
          <w:szCs w:val="24"/>
        </w:rPr>
      </w:pPr>
      <w:r>
        <w:rPr>
          <w:rFonts w:hint="eastAsia" w:ascii="宋体" w:hAnsi="宋体" w:eastAsia="宋体" w:cs="宋体"/>
          <w:b/>
          <w:bCs/>
          <w:spacing w:val="6"/>
          <w:sz w:val="24"/>
          <w:szCs w:val="24"/>
        </w:rPr>
        <w:t>根据工程量清单所列的预计数量和单价或</w:t>
      </w:r>
      <w:r>
        <w:rPr>
          <w:rFonts w:hint="eastAsia" w:ascii="宋体" w:hAnsi="宋体" w:eastAsia="宋体" w:cs="宋体"/>
          <w:b/>
          <w:bCs/>
          <w:spacing w:val="5"/>
          <w:sz w:val="24"/>
          <w:szCs w:val="24"/>
        </w:rPr>
        <w:t>总额价计算的签约合同价</w:t>
      </w:r>
      <w:r>
        <w:rPr>
          <w:rFonts w:hint="eastAsia" w:ascii="宋体" w:hAnsi="宋体" w:eastAsia="宋体" w:cs="宋体"/>
          <w:spacing w:val="5"/>
          <w:sz w:val="24"/>
          <w:szCs w:val="24"/>
        </w:rPr>
        <w:t>：</w:t>
      </w:r>
    </w:p>
    <w:p w14:paraId="0E753C5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cyan"/>
          <w:u w:val="single"/>
        </w:rPr>
      </w:pPr>
      <w:r>
        <w:rPr>
          <w:rFonts w:hint="eastAsia" w:ascii="宋体" w:hAnsi="宋体" w:eastAsia="宋体" w:cs="宋体"/>
          <w:sz w:val="24"/>
          <w:szCs w:val="24"/>
          <w:lang w:val="en-US" w:eastAsia="zh-CN"/>
        </w:rPr>
        <w:t>4.</w:t>
      </w:r>
      <w:r>
        <w:rPr>
          <w:rFonts w:hint="eastAsia" w:ascii="宋体" w:hAnsi="宋体" w:eastAsia="宋体" w:cs="宋体"/>
          <w:sz w:val="24"/>
          <w:szCs w:val="24"/>
        </w:rPr>
        <w:t>（1）</w:t>
      </w:r>
      <w:r>
        <w:rPr>
          <w:rFonts w:hint="eastAsia" w:ascii="宋体" w:hAnsi="宋体" w:eastAsia="宋体" w:cs="宋体"/>
          <w:sz w:val="24"/>
          <w:szCs w:val="24"/>
          <w:u w:val="single"/>
        </w:rPr>
        <w:t>广西壮族自治区</w:t>
      </w:r>
      <w:r>
        <w:rPr>
          <w:rFonts w:hint="eastAsia" w:ascii="宋体" w:hAnsi="宋体" w:eastAsia="宋体" w:cs="宋体"/>
          <w:sz w:val="24"/>
          <w:szCs w:val="24"/>
          <w:u w:val="single"/>
          <w:lang w:eastAsia="zh-CN"/>
        </w:rPr>
        <w:t>恭城</w:t>
      </w:r>
      <w:r>
        <w:rPr>
          <w:rFonts w:hint="eastAsia" w:ascii="宋体" w:hAnsi="宋体" w:eastAsia="宋体" w:cs="宋体"/>
          <w:sz w:val="24"/>
          <w:szCs w:val="24"/>
          <w:u w:val="single"/>
        </w:rPr>
        <w:t>公路养护中心2026-2029年公路养护服务项目</w:t>
      </w:r>
      <w:r>
        <w:rPr>
          <w:rFonts w:hint="eastAsia" w:ascii="宋体" w:hAnsi="宋体" w:eastAsia="宋体" w:cs="宋体"/>
          <w:sz w:val="24"/>
          <w:szCs w:val="24"/>
        </w:rPr>
        <w:t>签约合同价：人民币（大写）</w:t>
      </w:r>
      <w:r>
        <w:rPr>
          <w:rFonts w:hint="eastAsia" w:ascii="宋体" w:hAnsi="宋体" w:eastAsia="宋体" w:cs="宋体"/>
          <w:sz w:val="24"/>
          <w:szCs w:val="24"/>
          <w:u w:val="single"/>
        </w:rPr>
        <w:t xml:space="preserve">            </w:t>
      </w:r>
      <w:r>
        <w:rPr>
          <w:rFonts w:hint="eastAsia" w:ascii="宋体" w:hAnsi="宋体" w:eastAsia="宋体" w:cs="宋体"/>
          <w:sz w:val="24"/>
          <w:szCs w:val="24"/>
        </w:rPr>
        <w:t>元整（¥</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highlight w:val="none"/>
        </w:rPr>
        <w:t>各年度合同价分别为：2026年¥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2027年¥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2028年¥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2029年¥</w:t>
      </w:r>
      <w:r>
        <w:rPr>
          <w:rFonts w:hint="eastAsia" w:ascii="宋体" w:hAnsi="宋体" w:eastAsia="宋体" w:cs="宋体"/>
          <w:sz w:val="24"/>
          <w:szCs w:val="24"/>
          <w:highlight w:val="none"/>
          <w:u w:val="single"/>
        </w:rPr>
        <w:t xml:space="preserve">            。</w:t>
      </w:r>
    </w:p>
    <w:p w14:paraId="1F397035">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rPr>
        <w:t xml:space="preserve">（2） </w:t>
      </w:r>
      <w:r>
        <w:rPr>
          <w:rFonts w:hint="eastAsia" w:ascii="宋体" w:hAnsi="宋体" w:eastAsia="宋体" w:cs="宋体"/>
          <w:sz w:val="24"/>
          <w:szCs w:val="24"/>
          <w:u w:val="single"/>
        </w:rPr>
        <w:t>广西壮族自治区</w:t>
      </w:r>
      <w:r>
        <w:rPr>
          <w:rFonts w:hint="eastAsia" w:ascii="宋体" w:hAnsi="宋体" w:eastAsia="宋体" w:cs="宋体"/>
          <w:sz w:val="24"/>
          <w:szCs w:val="24"/>
          <w:u w:val="single"/>
          <w:lang w:eastAsia="zh-CN"/>
        </w:rPr>
        <w:t>平乐</w:t>
      </w:r>
      <w:r>
        <w:rPr>
          <w:rFonts w:hint="eastAsia" w:ascii="宋体" w:hAnsi="宋体" w:eastAsia="宋体" w:cs="宋体"/>
          <w:sz w:val="24"/>
          <w:szCs w:val="24"/>
          <w:u w:val="single"/>
        </w:rPr>
        <w:t>公路养护中心2026-2029年公路养护服务项目</w:t>
      </w:r>
      <w:r>
        <w:rPr>
          <w:rFonts w:hint="eastAsia" w:ascii="宋体" w:hAnsi="宋体" w:eastAsia="宋体" w:cs="宋体"/>
          <w:sz w:val="24"/>
          <w:szCs w:val="24"/>
        </w:rPr>
        <w:t>签约合同价：人民币（大写）</w:t>
      </w:r>
      <w:r>
        <w:rPr>
          <w:rFonts w:hint="eastAsia" w:ascii="宋体" w:hAnsi="宋体" w:eastAsia="宋体" w:cs="宋体"/>
          <w:sz w:val="24"/>
          <w:szCs w:val="24"/>
          <w:u w:val="single"/>
        </w:rPr>
        <w:t xml:space="preserve">            </w:t>
      </w:r>
      <w:r>
        <w:rPr>
          <w:rFonts w:hint="eastAsia" w:ascii="宋体" w:hAnsi="宋体" w:eastAsia="宋体" w:cs="宋体"/>
          <w:sz w:val="24"/>
          <w:szCs w:val="24"/>
        </w:rPr>
        <w:t>元整（¥</w:t>
      </w:r>
      <w:r>
        <w:rPr>
          <w:rFonts w:hint="eastAsia" w:ascii="宋体" w:hAnsi="宋体" w:eastAsia="宋体" w:cs="宋体"/>
          <w:sz w:val="24"/>
          <w:szCs w:val="24"/>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）。各年度合同价分别为：2026年¥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2027年¥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2028年¥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2029年¥</w:t>
      </w:r>
      <w:r>
        <w:rPr>
          <w:rFonts w:hint="eastAsia" w:ascii="宋体" w:hAnsi="宋体" w:eastAsia="宋体" w:cs="宋体"/>
          <w:sz w:val="24"/>
          <w:szCs w:val="24"/>
          <w:highlight w:val="none"/>
          <w:u w:val="single"/>
        </w:rPr>
        <w:t xml:space="preserve">            。</w:t>
      </w:r>
    </w:p>
    <w:p w14:paraId="3F64D867">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rPr>
        <w:t>（3）</w:t>
      </w:r>
      <w:r>
        <w:rPr>
          <w:rFonts w:hint="eastAsia" w:ascii="宋体" w:hAnsi="宋体" w:eastAsia="宋体" w:cs="宋体"/>
          <w:sz w:val="24"/>
          <w:szCs w:val="24"/>
          <w:u w:val="single"/>
        </w:rPr>
        <w:t>广西壮族自治区</w:t>
      </w:r>
      <w:r>
        <w:rPr>
          <w:rFonts w:hint="eastAsia" w:ascii="宋体" w:hAnsi="宋体" w:eastAsia="宋体" w:cs="宋体"/>
          <w:sz w:val="24"/>
          <w:szCs w:val="24"/>
          <w:u w:val="single"/>
          <w:lang w:eastAsia="zh-CN"/>
        </w:rPr>
        <w:t>阳朔</w:t>
      </w:r>
      <w:r>
        <w:rPr>
          <w:rFonts w:hint="eastAsia" w:ascii="宋体" w:hAnsi="宋体" w:eastAsia="宋体" w:cs="宋体"/>
          <w:sz w:val="24"/>
          <w:szCs w:val="24"/>
          <w:u w:val="single"/>
        </w:rPr>
        <w:t>公路养护中心2026-2029年公路养护服务项目</w:t>
      </w:r>
      <w:r>
        <w:rPr>
          <w:rFonts w:hint="eastAsia" w:ascii="宋体" w:hAnsi="宋体" w:eastAsia="宋体" w:cs="宋体"/>
          <w:sz w:val="24"/>
          <w:szCs w:val="24"/>
        </w:rPr>
        <w:t>签约合同价：人民币（大写）</w:t>
      </w:r>
      <w:r>
        <w:rPr>
          <w:rFonts w:hint="eastAsia" w:ascii="宋体" w:hAnsi="宋体" w:eastAsia="宋体" w:cs="宋体"/>
          <w:sz w:val="24"/>
          <w:szCs w:val="24"/>
          <w:u w:val="single"/>
        </w:rPr>
        <w:t xml:space="preserve">            </w:t>
      </w:r>
      <w:r>
        <w:rPr>
          <w:rFonts w:hint="eastAsia" w:ascii="宋体" w:hAnsi="宋体" w:eastAsia="宋体" w:cs="宋体"/>
          <w:sz w:val="24"/>
          <w:szCs w:val="24"/>
        </w:rPr>
        <w:t>元整（¥</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highlight w:val="none"/>
        </w:rPr>
        <w:t>各年度合同价分别为：2026年¥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2027年¥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2028年¥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2029年¥</w:t>
      </w:r>
      <w:r>
        <w:rPr>
          <w:rFonts w:hint="eastAsia" w:ascii="宋体" w:hAnsi="宋体" w:eastAsia="宋体" w:cs="宋体"/>
          <w:sz w:val="24"/>
          <w:szCs w:val="24"/>
          <w:highlight w:val="none"/>
          <w:u w:val="single"/>
        </w:rPr>
        <w:t xml:space="preserve">            。</w:t>
      </w:r>
    </w:p>
    <w:p w14:paraId="4D89306B">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sz w:val="24"/>
          <w:szCs w:val="24"/>
          <w:highlight w:val="none"/>
          <w:u w:val="none"/>
          <w:lang w:eastAsia="zh-CN"/>
        </w:rPr>
      </w:pP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u w:val="none"/>
          <w:lang w:val="en-US" w:eastAsia="zh-CN"/>
        </w:rPr>
        <w:t>4</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u w:val="single"/>
        </w:rPr>
        <w:t>广西壮族自治区</w:t>
      </w:r>
      <w:r>
        <w:rPr>
          <w:rFonts w:hint="eastAsia" w:ascii="宋体" w:hAnsi="宋体" w:eastAsia="宋体" w:cs="宋体"/>
          <w:sz w:val="24"/>
          <w:szCs w:val="24"/>
          <w:u w:val="single"/>
          <w:lang w:eastAsia="zh-CN"/>
        </w:rPr>
        <w:t>灌阳</w:t>
      </w:r>
      <w:r>
        <w:rPr>
          <w:rFonts w:hint="eastAsia" w:ascii="宋体" w:hAnsi="宋体" w:eastAsia="宋体" w:cs="宋体"/>
          <w:sz w:val="24"/>
          <w:szCs w:val="24"/>
          <w:u w:val="single"/>
        </w:rPr>
        <w:t>公路养护中心2026-2029年公路养护服务项目</w:t>
      </w:r>
      <w:r>
        <w:rPr>
          <w:rFonts w:hint="eastAsia" w:ascii="宋体" w:hAnsi="宋体" w:eastAsia="宋体" w:cs="宋体"/>
          <w:sz w:val="24"/>
          <w:szCs w:val="24"/>
        </w:rPr>
        <w:t>签约合同价：人民币（大写）</w:t>
      </w:r>
      <w:r>
        <w:rPr>
          <w:rFonts w:hint="eastAsia" w:ascii="宋体" w:hAnsi="宋体" w:eastAsia="宋体" w:cs="宋体"/>
          <w:sz w:val="24"/>
          <w:szCs w:val="24"/>
          <w:u w:val="single"/>
        </w:rPr>
        <w:t xml:space="preserve">            </w:t>
      </w:r>
      <w:r>
        <w:rPr>
          <w:rFonts w:hint="eastAsia" w:ascii="宋体" w:hAnsi="宋体" w:eastAsia="宋体" w:cs="宋体"/>
          <w:sz w:val="24"/>
          <w:szCs w:val="24"/>
        </w:rPr>
        <w:t>元整（¥</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highlight w:val="none"/>
        </w:rPr>
        <w:t>各年度合同价分别为：2026年¥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2027年¥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2028年¥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2029年¥</w:t>
      </w:r>
      <w:r>
        <w:rPr>
          <w:rFonts w:hint="eastAsia" w:ascii="宋体" w:hAnsi="宋体" w:eastAsia="宋体" w:cs="宋体"/>
          <w:sz w:val="24"/>
          <w:szCs w:val="24"/>
          <w:highlight w:val="none"/>
          <w:u w:val="single"/>
        </w:rPr>
        <w:t xml:space="preserve">            。</w:t>
      </w:r>
    </w:p>
    <w:p w14:paraId="5D27B8B7">
      <w:pPr>
        <w:keepNext w:val="0"/>
        <w:keepLines w:val="0"/>
        <w:pageBreakBefore w:val="0"/>
        <w:widowControl w:val="0"/>
        <w:kinsoku/>
        <w:wordWrap/>
        <w:overflowPunct/>
        <w:topLinePunct w:val="0"/>
        <w:autoSpaceDE/>
        <w:autoSpaceDN/>
        <w:bidi w:val="0"/>
        <w:adjustRightInd/>
        <w:snapToGrid/>
        <w:spacing w:line="360" w:lineRule="auto"/>
        <w:ind w:firstLine="476"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 xml:space="preserve">4. </w:t>
      </w:r>
      <w:r>
        <w:rPr>
          <w:rFonts w:hint="eastAsia" w:ascii="宋体" w:hAnsi="宋体" w:eastAsia="宋体" w:cs="宋体"/>
          <w:b/>
          <w:bCs/>
          <w:spacing w:val="-1"/>
          <w:sz w:val="24"/>
          <w:szCs w:val="24"/>
        </w:rPr>
        <w:t>承包人项目经理：</w:t>
      </w:r>
      <w:r>
        <w:rPr>
          <w:rFonts w:hint="eastAsia" w:ascii="宋体" w:hAnsi="宋体" w:eastAsia="宋体" w:cs="宋体"/>
          <w:b/>
          <w:bCs/>
          <w:spacing w:val="-1"/>
          <w:sz w:val="24"/>
          <w:szCs w:val="24"/>
          <w:u w:val="single"/>
        </w:rPr>
        <w:t xml:space="preserve">        </w:t>
      </w:r>
      <w:r>
        <w:rPr>
          <w:rFonts w:hint="eastAsia" w:ascii="宋体" w:hAnsi="宋体" w:eastAsia="宋体" w:cs="宋体"/>
          <w:b/>
          <w:bCs/>
          <w:spacing w:val="-87"/>
          <w:sz w:val="24"/>
          <w:szCs w:val="24"/>
        </w:rPr>
        <w:t xml:space="preserve"> </w:t>
      </w:r>
      <w:r>
        <w:rPr>
          <w:rFonts w:hint="eastAsia" w:ascii="宋体" w:hAnsi="宋体" w:eastAsia="宋体" w:cs="宋体"/>
          <w:b/>
          <w:bCs/>
          <w:spacing w:val="-1"/>
          <w:sz w:val="24"/>
          <w:szCs w:val="24"/>
          <w:lang w:val="en-US" w:eastAsia="zh-CN"/>
        </w:rPr>
        <w:t>；</w:t>
      </w:r>
      <w:r>
        <w:rPr>
          <w:rFonts w:hint="eastAsia" w:ascii="宋体" w:hAnsi="宋体" w:eastAsia="宋体" w:cs="宋体"/>
          <w:b/>
          <w:bCs/>
          <w:spacing w:val="-1"/>
          <w:sz w:val="24"/>
          <w:szCs w:val="24"/>
        </w:rPr>
        <w:t>承包人</w:t>
      </w:r>
      <w:r>
        <w:rPr>
          <w:rFonts w:hint="eastAsia" w:ascii="宋体" w:hAnsi="宋体" w:eastAsia="宋体" w:cs="宋体"/>
          <w:b/>
          <w:bCs/>
          <w:sz w:val="24"/>
          <w:szCs w:val="24"/>
          <w:highlight w:val="none"/>
          <w:lang w:eastAsia="zh-CN"/>
        </w:rPr>
        <w:t>项目总工</w:t>
      </w:r>
      <w:r>
        <w:rPr>
          <w:rFonts w:hint="eastAsia" w:ascii="宋体" w:hAnsi="宋体" w:eastAsia="宋体" w:cs="宋体"/>
          <w:b/>
          <w:bCs/>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pacing w:val="-1"/>
          <w:sz w:val="24"/>
          <w:szCs w:val="24"/>
        </w:rPr>
        <w:t>。</w:t>
      </w:r>
    </w:p>
    <w:p w14:paraId="687A4481">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52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pacing w:val="10"/>
          <w:sz w:val="24"/>
          <w:szCs w:val="24"/>
        </w:rPr>
        <w:t xml:space="preserve">5. </w:t>
      </w:r>
      <w:r>
        <w:rPr>
          <w:rFonts w:hint="eastAsia" w:ascii="宋体" w:hAnsi="宋体" w:eastAsia="宋体" w:cs="宋体"/>
          <w:b/>
          <w:bCs/>
          <w:spacing w:val="10"/>
          <w:sz w:val="24"/>
          <w:szCs w:val="24"/>
        </w:rPr>
        <w:t>养护质量符合</w:t>
      </w:r>
      <w:r>
        <w:rPr>
          <w:rFonts w:hint="eastAsia" w:ascii="宋体" w:hAnsi="宋体" w:eastAsia="宋体" w:cs="宋体"/>
          <w:spacing w:val="10"/>
          <w:sz w:val="24"/>
          <w:szCs w:val="24"/>
          <w:lang w:eastAsia="zh-CN"/>
        </w:rPr>
        <w:t>：</w:t>
      </w:r>
      <w:r>
        <w:rPr>
          <w:rFonts w:hint="eastAsia" w:ascii="宋体" w:hAnsi="宋体" w:eastAsia="宋体" w:cs="宋体"/>
          <w:sz w:val="24"/>
          <w:szCs w:val="24"/>
        </w:rPr>
        <w:t>《公路养护技术标准》（JTG5110—2023）、《公路路基养护技术规范》（JTG5150-2020)《公路水泥混凝土路面养护技术规范》（JTJ073.1-2001）《公路沥青路面养护技术规范》（JTG5142-2019）、《公路桥涵养护规范》（JTG5120-2021)、《公路隧道养护技术规范》（JTG H12-2015）、《公路交通安全设施施工技术规范》（JTG/T3671-2021)、《公路养护工程质量检验</w:t>
      </w:r>
      <w:r>
        <w:rPr>
          <w:rFonts w:hint="eastAsia" w:ascii="宋体" w:hAnsi="宋体" w:eastAsia="宋体" w:cs="宋体"/>
          <w:sz w:val="24"/>
          <w:szCs w:val="24"/>
          <w:highlight w:val="none"/>
        </w:rPr>
        <w:t>评定标准》（JTG5220-2020）、交通运输部</w:t>
      </w:r>
      <w:r>
        <w:rPr>
          <w:rFonts w:hint="eastAsia" w:ascii="宋体" w:hAnsi="宋体" w:eastAsia="宋体" w:cs="宋体"/>
          <w:kern w:val="0"/>
          <w:sz w:val="24"/>
          <w:szCs w:val="24"/>
          <w:highlight w:val="none"/>
        </w:rPr>
        <w:t>《公路养护项目合同范本》的技术规范、</w:t>
      </w:r>
      <w:r>
        <w:rPr>
          <w:rFonts w:hint="eastAsia" w:ascii="宋体" w:hAnsi="宋体" w:eastAsia="宋体" w:cs="宋体"/>
          <w:sz w:val="24"/>
          <w:szCs w:val="24"/>
          <w:highlight w:val="none"/>
          <w:lang w:eastAsia="zh-CN"/>
        </w:rPr>
        <w:t>《广西壮族自治区桂林公路发展中心公路养护服务工作要求及考核办法》</w:t>
      </w:r>
      <w:r>
        <w:rPr>
          <w:rFonts w:hint="eastAsia" w:ascii="宋体" w:hAnsi="宋体" w:eastAsia="宋体" w:cs="宋体"/>
          <w:sz w:val="24"/>
          <w:szCs w:val="24"/>
          <w:highlight w:val="none"/>
        </w:rPr>
        <w:t>等其他相关管理办法要求</w:t>
      </w:r>
      <w:r>
        <w:rPr>
          <w:rFonts w:hint="eastAsia" w:ascii="宋体" w:hAnsi="宋体" w:eastAsia="宋体" w:cs="宋体"/>
          <w:sz w:val="24"/>
          <w:szCs w:val="24"/>
          <w:highlight w:val="none"/>
          <w:lang w:val="en-US" w:eastAsia="zh-CN"/>
        </w:rPr>
        <w:t>；</w:t>
      </w:r>
    </w:p>
    <w:p w14:paraId="7207D2DA">
      <w:pPr>
        <w:keepNext w:val="0"/>
        <w:keepLines w:val="0"/>
        <w:pageBreakBefore w:val="0"/>
        <w:widowControl w:val="0"/>
        <w:kinsoku/>
        <w:wordWrap/>
        <w:overflowPunct/>
        <w:topLinePunct w:val="0"/>
        <w:autoSpaceDE/>
        <w:autoSpaceDN/>
        <w:bidi w:val="0"/>
        <w:adjustRightInd/>
        <w:snapToGrid/>
        <w:spacing w:line="360" w:lineRule="auto"/>
        <w:ind w:right="90" w:firstLine="522" w:firstLineChars="200"/>
        <w:textAlignment w:val="auto"/>
        <w:rPr>
          <w:rFonts w:hint="eastAsia" w:ascii="宋体" w:hAnsi="宋体" w:eastAsia="宋体" w:cs="宋体"/>
          <w:spacing w:val="3"/>
          <w:sz w:val="24"/>
          <w:szCs w:val="24"/>
          <w:lang w:val="en-US" w:eastAsia="zh-CN"/>
        </w:rPr>
      </w:pPr>
      <w:r>
        <w:rPr>
          <w:rFonts w:hint="eastAsia" w:ascii="宋体" w:hAnsi="宋体" w:eastAsia="宋体" w:cs="宋体"/>
          <w:b/>
          <w:bCs/>
          <w:spacing w:val="10"/>
          <w:sz w:val="24"/>
          <w:szCs w:val="24"/>
        </w:rPr>
        <w:t>养护安全目标</w:t>
      </w:r>
      <w:r>
        <w:rPr>
          <w:rFonts w:hint="eastAsia" w:ascii="宋体" w:hAnsi="宋体" w:eastAsia="宋体" w:cs="宋体"/>
          <w:spacing w:val="3"/>
          <w:sz w:val="24"/>
          <w:szCs w:val="24"/>
        </w:rPr>
        <w:t>：</w:t>
      </w:r>
      <w:r>
        <w:rPr>
          <w:rFonts w:hint="eastAsia" w:ascii="宋体" w:hAnsi="宋体" w:eastAsia="宋体" w:cs="宋体"/>
          <w:spacing w:val="3"/>
          <w:sz w:val="24"/>
          <w:szCs w:val="24"/>
          <w:lang w:val="en-US" w:eastAsia="zh-CN"/>
        </w:rPr>
        <w:t>贯彻执行</w:t>
      </w:r>
      <w:r>
        <w:rPr>
          <w:rFonts w:hint="eastAsia" w:ascii="宋体" w:hAnsi="宋体" w:eastAsia="宋体" w:cs="宋体"/>
          <w:sz w:val="24"/>
          <w:szCs w:val="24"/>
        </w:rPr>
        <w:t>《</w:t>
      </w:r>
      <w:r>
        <w:rPr>
          <w:rFonts w:hint="eastAsia" w:ascii="宋体" w:hAnsi="宋体" w:eastAsia="宋体" w:cs="宋体"/>
          <w:sz w:val="24"/>
          <w:szCs w:val="24"/>
          <w:lang w:val="en-US" w:eastAsia="zh-CN"/>
        </w:rPr>
        <w:t>安全生产法</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道路交通安全法</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《公路养护安全作业规程》（JTG H30-2015）</w:t>
      </w:r>
      <w:r>
        <w:rPr>
          <w:rFonts w:hint="eastAsia" w:ascii="宋体" w:hAnsi="宋体" w:eastAsia="宋体" w:cs="宋体"/>
          <w:sz w:val="24"/>
          <w:szCs w:val="24"/>
          <w:lang w:val="en-US" w:eastAsia="zh-CN"/>
        </w:rPr>
        <w:t>等相关规定。</w:t>
      </w:r>
      <w:r>
        <w:rPr>
          <w:rFonts w:hint="eastAsia" w:ascii="宋体" w:hAnsi="宋体" w:eastAsia="宋体" w:cs="宋体"/>
          <w:spacing w:val="3"/>
          <w:sz w:val="24"/>
          <w:szCs w:val="24"/>
          <w:lang w:val="en-US" w:eastAsia="zh-CN"/>
        </w:rPr>
        <w:t>无安全责任事故；</w:t>
      </w:r>
    </w:p>
    <w:p w14:paraId="2E669992">
      <w:pPr>
        <w:keepNext w:val="0"/>
        <w:keepLines w:val="0"/>
        <w:pageBreakBefore w:val="0"/>
        <w:widowControl w:val="0"/>
        <w:kinsoku/>
        <w:wordWrap/>
        <w:overflowPunct/>
        <w:topLinePunct w:val="0"/>
        <w:autoSpaceDE/>
        <w:autoSpaceDN/>
        <w:bidi w:val="0"/>
        <w:adjustRightInd/>
        <w:snapToGrid/>
        <w:spacing w:line="360" w:lineRule="auto"/>
        <w:ind w:firstLine="522" w:firstLineChars="200"/>
        <w:textAlignment w:val="auto"/>
        <w:rPr>
          <w:rFonts w:hint="eastAsia" w:ascii="宋体" w:hAnsi="宋体" w:eastAsia="宋体" w:cs="宋体"/>
          <w:spacing w:val="-1"/>
          <w:sz w:val="24"/>
          <w:szCs w:val="24"/>
          <w:u w:val="none"/>
        </w:rPr>
      </w:pPr>
      <w:r>
        <w:rPr>
          <w:rFonts w:hint="eastAsia" w:ascii="宋体" w:hAnsi="宋体" w:eastAsia="宋体" w:cs="宋体"/>
          <w:b/>
          <w:bCs/>
          <w:spacing w:val="10"/>
          <w:sz w:val="24"/>
          <w:szCs w:val="24"/>
        </w:rPr>
        <w:t>养护环保目</w:t>
      </w:r>
      <w:r>
        <w:rPr>
          <w:rFonts w:hint="eastAsia" w:ascii="宋体" w:hAnsi="宋体" w:eastAsia="宋体" w:cs="宋体"/>
          <w:b/>
          <w:bCs/>
          <w:spacing w:val="-1"/>
          <w:sz w:val="24"/>
          <w:szCs w:val="24"/>
        </w:rPr>
        <w:t>标</w:t>
      </w:r>
      <w:r>
        <w:rPr>
          <w:rFonts w:hint="eastAsia" w:ascii="宋体" w:hAnsi="宋体" w:eastAsia="宋体" w:cs="宋体"/>
          <w:spacing w:val="-1"/>
          <w:sz w:val="24"/>
          <w:szCs w:val="24"/>
        </w:rPr>
        <w:t>：</w:t>
      </w:r>
      <w:r>
        <w:rPr>
          <w:rFonts w:hint="eastAsia" w:ascii="宋体" w:hAnsi="宋体" w:eastAsia="宋体" w:cs="宋体"/>
          <w:sz w:val="24"/>
          <w:szCs w:val="24"/>
          <w:u w:val="none"/>
        </w:rPr>
        <w:t>项目实施期间，投标人需落实环保及节能减排主体责任和相关要求，</w:t>
      </w:r>
      <w:r>
        <w:rPr>
          <w:rFonts w:hint="eastAsia" w:ascii="宋体" w:hAnsi="宋体" w:eastAsia="宋体" w:cs="宋体"/>
          <w:spacing w:val="-1"/>
          <w:sz w:val="24"/>
          <w:szCs w:val="24"/>
          <w:u w:val="none"/>
          <w:lang w:val="en-US" w:eastAsia="zh-CN"/>
        </w:rPr>
        <w:t>严禁养护作业对承包范围沿线环境造成污染损害或破坏，</w:t>
      </w:r>
      <w:r>
        <w:rPr>
          <w:rFonts w:hint="eastAsia" w:ascii="宋体" w:hAnsi="宋体" w:eastAsia="宋体" w:cs="宋体"/>
          <w:sz w:val="24"/>
          <w:szCs w:val="24"/>
          <w:u w:val="none"/>
        </w:rPr>
        <w:t>确保不发生关于环保问题的</w:t>
      </w:r>
      <w:r>
        <w:rPr>
          <w:rFonts w:hint="eastAsia" w:ascii="宋体" w:hAnsi="宋体" w:eastAsia="宋体" w:cs="宋体"/>
          <w:spacing w:val="-1"/>
          <w:sz w:val="24"/>
          <w:szCs w:val="24"/>
          <w:u w:val="none"/>
          <w:lang w:val="en-US" w:eastAsia="zh-CN"/>
        </w:rPr>
        <w:t>投诉、通报、处罚等情况</w:t>
      </w:r>
      <w:r>
        <w:rPr>
          <w:rFonts w:hint="eastAsia" w:ascii="宋体" w:hAnsi="宋体" w:eastAsia="宋体" w:cs="宋体"/>
          <w:spacing w:val="-1"/>
          <w:sz w:val="24"/>
          <w:szCs w:val="24"/>
          <w:u w:val="none"/>
        </w:rPr>
        <w:t>。</w:t>
      </w:r>
    </w:p>
    <w:p w14:paraId="122605D7">
      <w:pPr>
        <w:keepNext w:val="0"/>
        <w:keepLines w:val="0"/>
        <w:pageBreakBefore w:val="0"/>
        <w:widowControl w:val="0"/>
        <w:kinsoku/>
        <w:wordWrap/>
        <w:overflowPunct/>
        <w:topLinePunct w:val="0"/>
        <w:autoSpaceDE/>
        <w:autoSpaceDN/>
        <w:bidi w:val="0"/>
        <w:adjustRightInd/>
        <w:snapToGrid/>
        <w:spacing w:line="360" w:lineRule="auto"/>
        <w:ind w:left="480"/>
        <w:textAlignment w:val="auto"/>
        <w:rPr>
          <w:rFonts w:hint="eastAsia" w:ascii="宋体" w:hAnsi="宋体" w:eastAsia="宋体" w:cs="宋体"/>
          <w:sz w:val="24"/>
          <w:szCs w:val="24"/>
        </w:rPr>
      </w:pPr>
      <w:r>
        <w:rPr>
          <w:rFonts w:hint="eastAsia" w:ascii="宋体" w:hAnsi="宋体" w:eastAsia="宋体" w:cs="宋体"/>
          <w:sz w:val="24"/>
          <w:szCs w:val="24"/>
        </w:rPr>
        <w:t>6.  承包人承诺按合同约定承担养护项目</w:t>
      </w:r>
      <w:r>
        <w:rPr>
          <w:rFonts w:hint="eastAsia" w:ascii="宋体" w:hAnsi="宋体" w:eastAsia="宋体" w:cs="宋体"/>
          <w:spacing w:val="-1"/>
          <w:sz w:val="24"/>
          <w:szCs w:val="24"/>
        </w:rPr>
        <w:t>的实施、完成及缺陷修复。</w:t>
      </w:r>
    </w:p>
    <w:p w14:paraId="6BC9D9D3">
      <w:pPr>
        <w:keepNext w:val="0"/>
        <w:keepLines w:val="0"/>
        <w:pageBreakBefore w:val="0"/>
        <w:widowControl w:val="0"/>
        <w:kinsoku/>
        <w:wordWrap/>
        <w:overflowPunct/>
        <w:topLinePunct w:val="0"/>
        <w:autoSpaceDE/>
        <w:autoSpaceDN/>
        <w:bidi w:val="0"/>
        <w:adjustRightInd/>
        <w:snapToGrid/>
        <w:spacing w:line="360" w:lineRule="auto"/>
        <w:ind w:left="479"/>
        <w:textAlignment w:val="auto"/>
        <w:rPr>
          <w:rFonts w:hint="eastAsia" w:ascii="宋体" w:hAnsi="宋体" w:eastAsia="宋体" w:cs="宋体"/>
          <w:sz w:val="24"/>
          <w:szCs w:val="24"/>
        </w:rPr>
      </w:pPr>
      <w:r>
        <w:rPr>
          <w:rFonts w:hint="eastAsia" w:ascii="宋体" w:hAnsi="宋体" w:eastAsia="宋体" w:cs="宋体"/>
          <w:sz w:val="24"/>
          <w:szCs w:val="24"/>
        </w:rPr>
        <w:t>7.  发包人承诺按合同约定的条件、时间和方式向</w:t>
      </w:r>
      <w:r>
        <w:rPr>
          <w:rFonts w:hint="eastAsia" w:ascii="宋体" w:hAnsi="宋体" w:eastAsia="宋体" w:cs="宋体"/>
          <w:spacing w:val="-1"/>
          <w:sz w:val="24"/>
          <w:szCs w:val="24"/>
        </w:rPr>
        <w:t>承包人支付合同价款。</w:t>
      </w:r>
    </w:p>
    <w:p w14:paraId="7FD2F2F8">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u w:val="none"/>
        </w:rPr>
      </w:pPr>
      <w:r>
        <w:rPr>
          <w:rFonts w:hint="eastAsia" w:ascii="宋体" w:hAnsi="宋体" w:eastAsia="宋体" w:cs="宋体"/>
          <w:spacing w:val="-2"/>
          <w:sz w:val="24"/>
          <w:szCs w:val="24"/>
        </w:rPr>
        <w:t xml:space="preserve">8.  </w:t>
      </w:r>
      <w:r>
        <w:rPr>
          <w:rFonts w:hint="eastAsia" w:ascii="宋体" w:hAnsi="宋体" w:eastAsia="宋体" w:cs="宋体"/>
          <w:sz w:val="24"/>
          <w:szCs w:val="24"/>
        </w:rPr>
        <w:t>承包人应按发包人指示开工，</w:t>
      </w:r>
      <w:r>
        <w:rPr>
          <w:rFonts w:hint="eastAsia" w:ascii="宋体" w:hAnsi="宋体" w:eastAsia="宋体" w:cs="宋体"/>
          <w:spacing w:val="-3"/>
          <w:sz w:val="24"/>
          <w:szCs w:val="24"/>
        </w:rPr>
        <w:t>工期为</w:t>
      </w:r>
      <w:r>
        <w:rPr>
          <w:rFonts w:hint="eastAsia" w:ascii="宋体" w:hAnsi="宋体" w:eastAsia="宋体" w:cs="宋体"/>
          <w:spacing w:val="-120"/>
          <w:sz w:val="24"/>
          <w:szCs w:val="24"/>
          <w:highlight w:val="none"/>
        </w:rPr>
        <w:t xml:space="preserve"> </w:t>
      </w:r>
      <w:r>
        <w:rPr>
          <w:rFonts w:hint="eastAsia" w:ascii="宋体" w:hAnsi="宋体" w:eastAsia="宋体" w:cs="宋体"/>
          <w:sz w:val="24"/>
          <w:szCs w:val="24"/>
          <w:highlight w:val="none"/>
          <w:u w:val="single"/>
          <w:lang w:val="en-US" w:eastAsia="zh-CN"/>
        </w:rPr>
        <w:t>1096</w:t>
      </w:r>
      <w:r>
        <w:rPr>
          <w:rFonts w:hint="eastAsia" w:ascii="宋体" w:hAnsi="宋体" w:eastAsia="宋体" w:cs="宋体"/>
          <w:spacing w:val="-3"/>
          <w:sz w:val="24"/>
          <w:szCs w:val="24"/>
          <w:highlight w:val="none"/>
        </w:rPr>
        <w:t>日历天</w:t>
      </w:r>
      <w:r>
        <w:rPr>
          <w:rFonts w:hint="eastAsia" w:ascii="宋体" w:hAnsi="宋体" w:eastAsia="宋体" w:cs="宋体"/>
          <w:spacing w:val="-3"/>
          <w:sz w:val="24"/>
          <w:szCs w:val="24"/>
        </w:rPr>
        <w:t>。</w:t>
      </w:r>
      <w:r>
        <w:rPr>
          <w:rFonts w:hint="eastAsia" w:ascii="宋体" w:hAnsi="宋体" w:eastAsia="宋体" w:cs="宋体"/>
          <w:sz w:val="24"/>
          <w:szCs w:val="24"/>
        </w:rPr>
        <w:t>分别于2026年、2027年、2028年每年12月15日、2029年4月15日前完成该年度的合同价。</w:t>
      </w:r>
      <w:r>
        <w:rPr>
          <w:rFonts w:hint="eastAsia" w:ascii="宋体" w:hAnsi="宋体" w:eastAsia="宋体" w:cs="宋体"/>
          <w:sz w:val="24"/>
          <w:szCs w:val="24"/>
          <w:u w:val="none"/>
        </w:rPr>
        <w:t>计量支付方式按招标文件合同条款中相关规定</w:t>
      </w:r>
      <w:r>
        <w:rPr>
          <w:rFonts w:hint="eastAsia" w:ascii="宋体" w:hAnsi="宋体" w:eastAsia="宋体" w:cs="宋体"/>
          <w:sz w:val="24"/>
          <w:szCs w:val="24"/>
          <w:u w:val="none"/>
          <w:lang w:val="en-US" w:eastAsia="zh-CN"/>
        </w:rPr>
        <w:t>和</w:t>
      </w:r>
      <w:r>
        <w:rPr>
          <w:rFonts w:hint="eastAsia" w:ascii="宋体" w:hAnsi="宋体" w:eastAsia="宋体" w:cs="宋体"/>
          <w:sz w:val="24"/>
          <w:szCs w:val="24"/>
          <w:u w:val="none"/>
          <w:lang w:eastAsia="zh-CN"/>
        </w:rPr>
        <w:t>《广西壮族自治区桂林公路发展中心公路养护服务工作要求及考核办法》</w:t>
      </w:r>
      <w:r>
        <w:rPr>
          <w:rFonts w:hint="eastAsia" w:ascii="宋体" w:hAnsi="宋体" w:eastAsia="宋体" w:cs="宋体"/>
          <w:sz w:val="24"/>
          <w:szCs w:val="24"/>
          <w:u w:val="none"/>
        </w:rPr>
        <w:t>执行。</w:t>
      </w:r>
    </w:p>
    <w:p w14:paraId="1606EA27">
      <w:pPr>
        <w:keepNext w:val="0"/>
        <w:keepLines w:val="0"/>
        <w:pageBreakBefore w:val="0"/>
        <w:widowControl w:val="0"/>
        <w:kinsoku/>
        <w:wordWrap/>
        <w:overflowPunct/>
        <w:topLinePunct w:val="0"/>
        <w:autoSpaceDE/>
        <w:autoSpaceDN/>
        <w:bidi w:val="0"/>
        <w:adjustRightInd/>
        <w:snapToGrid/>
        <w:spacing w:line="360" w:lineRule="auto"/>
        <w:ind w:right="2" w:firstLine="480"/>
        <w:textAlignment w:val="auto"/>
        <w:rPr>
          <w:rFonts w:hint="eastAsia" w:ascii="宋体" w:hAnsi="宋体" w:eastAsia="宋体" w:cs="宋体"/>
          <w:sz w:val="24"/>
          <w:szCs w:val="24"/>
          <w:lang w:eastAsia="zh-CN"/>
        </w:rPr>
      </w:pPr>
      <w:r>
        <w:rPr>
          <w:rFonts w:hint="eastAsia" w:ascii="宋体" w:hAnsi="宋体" w:eastAsia="宋体" w:cs="宋体"/>
          <w:spacing w:val="6"/>
          <w:sz w:val="24"/>
          <w:szCs w:val="24"/>
        </w:rPr>
        <w:t>9.</w:t>
      </w:r>
      <w:r>
        <w:rPr>
          <w:rFonts w:hint="eastAsia" w:ascii="宋体" w:hAnsi="宋体" w:eastAsia="宋体" w:cs="宋体"/>
          <w:spacing w:val="6"/>
          <w:sz w:val="24"/>
          <w:szCs w:val="24"/>
          <w:highlight w:val="none"/>
        </w:rPr>
        <w:t xml:space="preserve">  </w:t>
      </w:r>
      <w:r>
        <w:rPr>
          <w:rFonts w:hint="eastAsia" w:ascii="宋体" w:hAnsi="宋体" w:eastAsia="宋体" w:cs="宋体"/>
          <w:sz w:val="24"/>
          <w:szCs w:val="24"/>
          <w:highlight w:val="none"/>
        </w:rPr>
        <w:t>合同生效及法律责任划分：</w:t>
      </w:r>
      <w:r>
        <w:rPr>
          <w:rFonts w:hint="eastAsia" w:ascii="宋体" w:hAnsi="宋体" w:eastAsia="宋体" w:cs="宋体"/>
          <w:spacing w:val="6"/>
          <w:sz w:val="24"/>
          <w:szCs w:val="24"/>
          <w:highlight w:val="none"/>
        </w:rPr>
        <w:t>本协议书在承包人提供履约保证金后，由</w:t>
      </w:r>
      <w:r>
        <w:rPr>
          <w:rFonts w:hint="eastAsia" w:ascii="宋体" w:hAnsi="宋体" w:eastAsia="宋体" w:cs="宋体"/>
          <w:spacing w:val="5"/>
          <w:sz w:val="24"/>
          <w:szCs w:val="24"/>
          <w:highlight w:val="none"/>
        </w:rPr>
        <w:t>双方法定代表人或其委托代理人</w:t>
      </w:r>
      <w:r>
        <w:rPr>
          <w:rFonts w:hint="eastAsia" w:ascii="宋体" w:hAnsi="宋体" w:eastAsia="宋体" w:cs="宋体"/>
          <w:spacing w:val="-1"/>
          <w:sz w:val="24"/>
          <w:szCs w:val="24"/>
          <w:highlight w:val="none"/>
        </w:rPr>
        <w:t>签署并加盖单位章之日起生效。</w:t>
      </w:r>
      <w:r>
        <w:rPr>
          <w:rFonts w:hint="eastAsia" w:ascii="宋体" w:hAnsi="宋体" w:eastAsia="宋体" w:cs="宋体"/>
          <w:sz w:val="24"/>
          <w:szCs w:val="24"/>
          <w:highlight w:val="none"/>
        </w:rPr>
        <w:t>本合同项目为联合招标项目，发包人与承包人在签订合同与履行合同过程中，各</w:t>
      </w:r>
      <w:r>
        <w:rPr>
          <w:rFonts w:hint="eastAsia" w:ascii="宋体" w:hAnsi="宋体" w:eastAsia="宋体" w:cs="宋体"/>
          <w:sz w:val="24"/>
          <w:szCs w:val="24"/>
          <w:highlight w:val="none"/>
          <w:lang w:val="en-US" w:eastAsia="zh-CN"/>
        </w:rPr>
        <w:t>段</w:t>
      </w:r>
      <w:r>
        <w:rPr>
          <w:rFonts w:hint="eastAsia" w:ascii="宋体" w:hAnsi="宋体" w:eastAsia="宋体" w:cs="宋体"/>
          <w:sz w:val="24"/>
          <w:szCs w:val="24"/>
          <w:highlight w:val="none"/>
        </w:rPr>
        <w:t>发包人只履行各自辖区范围内的合同权力、责任、义务，承担各自辖区范围内的法律责任，不连带承担其它</w:t>
      </w:r>
      <w:r>
        <w:rPr>
          <w:rFonts w:hint="eastAsia" w:ascii="宋体" w:hAnsi="宋体" w:eastAsia="宋体" w:cs="宋体"/>
          <w:sz w:val="24"/>
          <w:szCs w:val="24"/>
          <w:highlight w:val="none"/>
          <w:lang w:val="en-US" w:eastAsia="zh-CN"/>
        </w:rPr>
        <w:t>段</w:t>
      </w:r>
      <w:r>
        <w:rPr>
          <w:rFonts w:hint="eastAsia" w:ascii="宋体" w:hAnsi="宋体" w:eastAsia="宋体" w:cs="宋体"/>
          <w:sz w:val="24"/>
          <w:szCs w:val="24"/>
          <w:highlight w:val="none"/>
        </w:rPr>
        <w:t>发包人辖区范围内的法律责任</w:t>
      </w:r>
      <w:r>
        <w:rPr>
          <w:rFonts w:hint="eastAsia" w:ascii="宋体" w:hAnsi="宋体" w:eastAsia="宋体" w:cs="宋体"/>
          <w:sz w:val="24"/>
          <w:szCs w:val="24"/>
          <w:highlight w:val="none"/>
          <w:lang w:eastAsia="zh-CN"/>
        </w:rPr>
        <w:t>。</w:t>
      </w:r>
    </w:p>
    <w:p w14:paraId="681F4C43">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rPr>
      </w:pPr>
      <w:r>
        <w:rPr>
          <w:rFonts w:hint="eastAsia" w:ascii="宋体" w:hAnsi="宋体" w:eastAsia="宋体" w:cs="宋体"/>
          <w:spacing w:val="-1"/>
          <w:sz w:val="24"/>
          <w:szCs w:val="24"/>
        </w:rPr>
        <w:t xml:space="preserve">10. </w:t>
      </w:r>
      <w:r>
        <w:rPr>
          <w:rFonts w:hint="eastAsia" w:ascii="宋体" w:hAnsi="宋体" w:eastAsia="宋体" w:cs="宋体"/>
          <w:sz w:val="24"/>
          <w:szCs w:val="24"/>
        </w:rPr>
        <w:t>其他：</w:t>
      </w:r>
    </w:p>
    <w:p w14:paraId="4AF74C5C">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rPr>
      </w:pPr>
      <w:r>
        <w:rPr>
          <w:rFonts w:hint="eastAsia" w:ascii="宋体" w:hAnsi="宋体" w:eastAsia="宋体" w:cs="宋体"/>
          <w:sz w:val="24"/>
          <w:szCs w:val="24"/>
        </w:rPr>
        <w:t>（1）发生违约情形的，</w:t>
      </w:r>
      <w:r>
        <w:rPr>
          <w:rFonts w:hint="eastAsia" w:ascii="宋体" w:hAnsi="宋体" w:eastAsia="宋体" w:cs="宋体"/>
          <w:sz w:val="24"/>
          <w:szCs w:val="24"/>
          <w:lang w:val="en-US" w:eastAsia="zh-CN"/>
        </w:rPr>
        <w:t>按合同条款约定责任由发生违约行为的当事人承担</w:t>
      </w:r>
      <w:r>
        <w:rPr>
          <w:rFonts w:hint="eastAsia" w:ascii="宋体" w:hAnsi="宋体" w:eastAsia="宋体" w:cs="宋体"/>
          <w:sz w:val="24"/>
          <w:szCs w:val="24"/>
          <w:lang w:eastAsia="zh-CN"/>
        </w:rPr>
        <w:t>。</w:t>
      </w:r>
      <w:r>
        <w:rPr>
          <w:rFonts w:hint="eastAsia" w:ascii="宋体" w:hAnsi="宋体" w:eastAsia="宋体" w:cs="宋体"/>
          <w:sz w:val="24"/>
          <w:szCs w:val="24"/>
        </w:rPr>
        <w:t>因承包人违约造成终止合同的，</w:t>
      </w:r>
      <w:r>
        <w:rPr>
          <w:rFonts w:hint="eastAsia" w:ascii="宋体" w:hAnsi="宋体" w:eastAsia="宋体" w:cs="宋体"/>
          <w:sz w:val="24"/>
          <w:szCs w:val="24"/>
          <w:lang w:val="en-US" w:eastAsia="zh-CN"/>
        </w:rPr>
        <w:t>发包</w:t>
      </w:r>
      <w:r>
        <w:rPr>
          <w:rFonts w:hint="eastAsia" w:ascii="宋体" w:hAnsi="宋体" w:eastAsia="宋体" w:cs="宋体"/>
          <w:sz w:val="24"/>
          <w:szCs w:val="24"/>
        </w:rPr>
        <w:t>人将没收承包人的全部合同履约保证金</w:t>
      </w:r>
      <w:r>
        <w:rPr>
          <w:rFonts w:hint="eastAsia" w:ascii="宋体" w:hAnsi="宋体" w:eastAsia="宋体" w:cs="宋体"/>
          <w:sz w:val="24"/>
          <w:szCs w:val="24"/>
          <w:lang w:val="en-US" w:eastAsia="zh-CN"/>
        </w:rPr>
        <w:t>并要求</w:t>
      </w:r>
      <w:r>
        <w:rPr>
          <w:rFonts w:hint="eastAsia" w:ascii="宋体" w:hAnsi="宋体" w:eastAsia="宋体" w:cs="宋体"/>
          <w:sz w:val="24"/>
          <w:szCs w:val="24"/>
        </w:rPr>
        <w:t>承包人</w:t>
      </w:r>
      <w:r>
        <w:rPr>
          <w:rFonts w:hint="eastAsia" w:ascii="宋体" w:hAnsi="宋体" w:eastAsia="宋体" w:cs="宋体"/>
          <w:sz w:val="24"/>
          <w:szCs w:val="24"/>
          <w:lang w:val="en-US" w:eastAsia="zh-CN"/>
        </w:rPr>
        <w:t>按期</w:t>
      </w:r>
      <w:r>
        <w:rPr>
          <w:rFonts w:hint="eastAsia" w:ascii="宋体" w:hAnsi="宋体" w:eastAsia="宋体" w:cs="宋体"/>
          <w:sz w:val="24"/>
          <w:szCs w:val="24"/>
        </w:rPr>
        <w:t>退场，因此造</w:t>
      </w:r>
      <w:r>
        <w:rPr>
          <w:rFonts w:hint="eastAsia" w:ascii="宋体" w:hAnsi="宋体" w:eastAsia="宋体" w:cs="宋体"/>
          <w:color w:val="auto"/>
          <w:sz w:val="24"/>
          <w:szCs w:val="24"/>
        </w:rPr>
        <w:t>成的一切损失由承包人承担。</w:t>
      </w:r>
    </w:p>
    <w:p w14:paraId="273069BD">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highlight w:val="none"/>
        </w:rPr>
        <w:t>）2027年、2028年、2029年的最终金额根据发包人上级批复的部门预算情况而定。如采购人上级批复的日常养护经费预算整体调整（含减少或增加），若上级批复的</w:t>
      </w:r>
      <w:r>
        <w:rPr>
          <w:rFonts w:hint="eastAsia" w:ascii="宋体" w:hAnsi="宋体" w:eastAsia="宋体" w:cs="宋体"/>
          <w:color w:val="auto"/>
          <w:sz w:val="24"/>
          <w:szCs w:val="24"/>
          <w:highlight w:val="none"/>
          <w:lang w:val="en-US" w:eastAsia="zh-CN"/>
        </w:rPr>
        <w:t>年度</w:t>
      </w:r>
      <w:r>
        <w:rPr>
          <w:rFonts w:hint="eastAsia" w:ascii="宋体" w:hAnsi="宋体" w:eastAsia="宋体" w:cs="宋体"/>
          <w:color w:val="auto"/>
          <w:sz w:val="24"/>
          <w:szCs w:val="24"/>
          <w:highlight w:val="none"/>
        </w:rPr>
        <w:t>部门预算</w:t>
      </w:r>
      <w:r>
        <w:rPr>
          <w:rFonts w:hint="eastAsia" w:cs="宋体"/>
          <w:color w:val="auto"/>
          <w:sz w:val="24"/>
          <w:szCs w:val="24"/>
          <w:highlight w:val="none"/>
          <w:lang w:val="en-US" w:eastAsia="zh-CN"/>
        </w:rPr>
        <w:t>调整</w:t>
      </w:r>
      <w:r>
        <w:rPr>
          <w:rFonts w:hint="eastAsia" w:ascii="宋体" w:hAnsi="宋体" w:eastAsia="宋体" w:cs="宋体"/>
          <w:color w:val="auto"/>
          <w:sz w:val="24"/>
          <w:szCs w:val="24"/>
          <w:highlight w:val="none"/>
        </w:rPr>
        <w:t>幅度</w:t>
      </w:r>
      <w:r>
        <w:rPr>
          <w:rFonts w:hint="eastAsia" w:cs="宋体"/>
          <w:color w:val="auto"/>
          <w:sz w:val="24"/>
          <w:szCs w:val="24"/>
          <w:highlight w:val="none"/>
          <w:lang w:val="en-US" w:eastAsia="zh-CN"/>
        </w:rPr>
        <w:t>未超出三年合同总价10%（含本数）的，</w:t>
      </w:r>
      <w:r>
        <w:rPr>
          <w:rFonts w:hint="eastAsia" w:ascii="宋体" w:hAnsi="宋体" w:eastAsia="宋体" w:cs="宋体"/>
          <w:color w:val="auto"/>
          <w:sz w:val="24"/>
          <w:szCs w:val="24"/>
          <w:highlight w:val="none"/>
        </w:rPr>
        <w:t>按原合同</w:t>
      </w:r>
      <w:r>
        <w:rPr>
          <w:rFonts w:hint="eastAsia" w:cs="宋体"/>
          <w:color w:val="auto"/>
          <w:sz w:val="24"/>
          <w:szCs w:val="24"/>
          <w:highlight w:val="none"/>
          <w:lang w:val="en-US" w:eastAsia="zh-CN"/>
        </w:rPr>
        <w:t>单价相应调整合同总价</w:t>
      </w:r>
      <w:r>
        <w:rPr>
          <w:rFonts w:hint="eastAsia" w:ascii="宋体" w:hAnsi="宋体" w:eastAsia="宋体" w:cs="宋体"/>
          <w:color w:val="auto"/>
          <w:sz w:val="24"/>
          <w:szCs w:val="24"/>
          <w:highlight w:val="none"/>
        </w:rPr>
        <w:t>继续履行</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若上级批复的</w:t>
      </w:r>
      <w:r>
        <w:rPr>
          <w:rFonts w:hint="eastAsia" w:ascii="宋体" w:hAnsi="宋体" w:eastAsia="宋体" w:cs="宋体"/>
          <w:color w:val="auto"/>
          <w:sz w:val="24"/>
          <w:szCs w:val="24"/>
          <w:highlight w:val="none"/>
          <w:lang w:val="en-US" w:eastAsia="zh-CN"/>
        </w:rPr>
        <w:t>年度</w:t>
      </w:r>
      <w:r>
        <w:rPr>
          <w:rFonts w:hint="eastAsia" w:ascii="宋体" w:hAnsi="宋体" w:eastAsia="宋体" w:cs="宋体"/>
          <w:color w:val="auto"/>
          <w:sz w:val="24"/>
          <w:szCs w:val="24"/>
          <w:highlight w:val="none"/>
        </w:rPr>
        <w:t>部门预算</w:t>
      </w:r>
      <w:r>
        <w:rPr>
          <w:rFonts w:hint="eastAsia" w:ascii="宋体" w:hAnsi="宋体" w:eastAsia="宋体" w:cs="宋体"/>
          <w:color w:val="auto"/>
          <w:sz w:val="24"/>
          <w:szCs w:val="24"/>
          <w:highlight w:val="none"/>
          <w:lang w:val="en-US" w:eastAsia="zh-CN"/>
        </w:rPr>
        <w:t>调整减少</w:t>
      </w:r>
      <w:r>
        <w:rPr>
          <w:rFonts w:hint="eastAsia" w:ascii="宋体" w:hAnsi="宋体" w:eastAsia="宋体" w:cs="宋体"/>
          <w:color w:val="auto"/>
          <w:sz w:val="24"/>
          <w:szCs w:val="24"/>
          <w:highlight w:val="none"/>
        </w:rPr>
        <w:t>幅度超出</w:t>
      </w:r>
      <w:r>
        <w:rPr>
          <w:rFonts w:hint="eastAsia" w:cs="宋体"/>
          <w:color w:val="auto"/>
          <w:sz w:val="24"/>
          <w:szCs w:val="24"/>
          <w:highlight w:val="none"/>
          <w:lang w:val="en-US" w:eastAsia="zh-CN"/>
        </w:rPr>
        <w:t>三年合同总价10%（含本数）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由</w:t>
      </w:r>
      <w:r>
        <w:rPr>
          <w:rFonts w:hint="eastAsia" w:ascii="宋体" w:hAnsi="宋体" w:eastAsia="宋体" w:cs="宋体"/>
          <w:color w:val="auto"/>
          <w:sz w:val="24"/>
          <w:szCs w:val="24"/>
          <w:highlight w:val="none"/>
        </w:rPr>
        <w:t>双方协商解决</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rPr>
        <w:t>如达成一致的，</w:t>
      </w:r>
      <w:r>
        <w:rPr>
          <w:rFonts w:hint="eastAsia" w:ascii="宋体" w:hAnsi="宋体" w:eastAsia="宋体" w:cs="宋体"/>
          <w:color w:val="auto"/>
          <w:sz w:val="24"/>
          <w:szCs w:val="24"/>
          <w:highlight w:val="none"/>
          <w:lang w:val="en-US" w:eastAsia="zh-CN"/>
        </w:rPr>
        <w:t>调整</w:t>
      </w:r>
      <w:r>
        <w:rPr>
          <w:rFonts w:hint="eastAsia" w:ascii="宋体" w:hAnsi="宋体" w:eastAsia="宋体" w:cs="宋体"/>
          <w:color w:val="auto"/>
          <w:sz w:val="24"/>
          <w:szCs w:val="24"/>
          <w:highlight w:val="none"/>
        </w:rPr>
        <w:t>原合同单价签订补充协议；如达不成一致的，双方有权单方面终止</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，采购人及时退还承包人履约保证金，承包人须予接受，且发包人不予赔偿承包人的任何损失。</w:t>
      </w:r>
    </w:p>
    <w:p w14:paraId="4FE87F83">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rPr>
      </w:pPr>
      <w:r>
        <w:rPr>
          <w:rFonts w:hint="eastAsia" w:ascii="宋体" w:hAnsi="宋体" w:eastAsia="宋体" w:cs="宋体"/>
          <w:sz w:val="24"/>
          <w:szCs w:val="24"/>
        </w:rPr>
        <w:t>11.本协议书正本二份、副本六份，合同双方各执正本一份、发包人持副本四份,承包人持副本二份，当正本与副本的内容不一致时，以正本为准。</w:t>
      </w:r>
    </w:p>
    <w:p w14:paraId="5D44B4CA">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rPr>
      </w:pPr>
      <w:r>
        <w:rPr>
          <w:rFonts w:hint="eastAsia" w:ascii="宋体" w:hAnsi="宋体" w:eastAsia="宋体" w:cs="宋体"/>
          <w:sz w:val="24"/>
          <w:szCs w:val="24"/>
        </w:rPr>
        <w:t>12.双方在执行本合同过程中若发生意见分歧，双方应通过友好协商解决，协商不成的，向</w:t>
      </w:r>
      <w:r>
        <w:rPr>
          <w:rFonts w:hint="eastAsia" w:ascii="宋体" w:hAnsi="宋体" w:eastAsia="宋体" w:cs="宋体"/>
          <w:color w:val="000000"/>
          <w:kern w:val="0"/>
          <w:sz w:val="24"/>
          <w:szCs w:val="24"/>
          <w:u w:val="none"/>
        </w:rPr>
        <w:t>发包人所在地的人民法院诉讼</w:t>
      </w:r>
      <w:r>
        <w:rPr>
          <w:rFonts w:hint="eastAsia" w:ascii="宋体" w:hAnsi="宋体" w:eastAsia="宋体" w:cs="宋体"/>
          <w:sz w:val="24"/>
          <w:szCs w:val="24"/>
        </w:rPr>
        <w:t>。</w:t>
      </w:r>
    </w:p>
    <w:p w14:paraId="45E3CD9C">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rPr>
      </w:pPr>
      <w:r>
        <w:rPr>
          <w:rFonts w:hint="eastAsia" w:ascii="宋体" w:hAnsi="宋体" w:eastAsia="宋体" w:cs="宋体"/>
          <w:sz w:val="24"/>
          <w:szCs w:val="24"/>
        </w:rPr>
        <w:t>13.合同未尽事宜，双方另行签订补充协议。补充协议是合同的组成部分。</w:t>
      </w:r>
    </w:p>
    <w:p w14:paraId="3102C6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77354A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sectPr>
          <w:headerReference r:id="rId12" w:type="default"/>
          <w:footerReference r:id="rId13" w:type="default"/>
          <w:pgSz w:w="11905" w:h="16838"/>
          <w:pgMar w:top="1440" w:right="1134" w:bottom="1440" w:left="1134" w:header="0" w:footer="720" w:gutter="0"/>
          <w:pgNumType w:fmt="decimal"/>
          <w:cols w:space="0" w:num="1"/>
          <w:rtlGutter w:val="0"/>
          <w:docGrid w:linePitch="0" w:charSpace="0"/>
        </w:sectPr>
      </w:pPr>
    </w:p>
    <w:p w14:paraId="5017952E">
      <w:pPr>
        <w:keepNext w:val="0"/>
        <w:keepLines w:val="0"/>
        <w:pageBreakBefore w:val="0"/>
        <w:widowControl w:val="0"/>
        <w:kinsoku/>
        <w:wordWrap/>
        <w:overflowPunct/>
        <w:topLinePunct w:val="0"/>
        <w:autoSpaceDE/>
        <w:autoSpaceDN/>
        <w:bidi w:val="0"/>
        <w:adjustRightInd/>
        <w:snapToGrid/>
        <w:spacing w:line="360" w:lineRule="auto"/>
        <w:ind w:right="175" w:firstLine="2"/>
        <w:textAlignment w:val="auto"/>
        <w:rPr>
          <w:rFonts w:hint="eastAsia" w:ascii="宋体" w:hAnsi="宋体" w:eastAsia="宋体" w:cs="宋体"/>
          <w:sz w:val="24"/>
          <w:szCs w:val="24"/>
        </w:rPr>
      </w:pPr>
    </w:p>
    <w:p w14:paraId="21FD9040">
      <w:pPr>
        <w:keepNext w:val="0"/>
        <w:keepLines w:val="0"/>
        <w:pageBreakBefore w:val="0"/>
        <w:widowControl w:val="0"/>
        <w:kinsoku/>
        <w:wordWrap/>
        <w:overflowPunct/>
        <w:topLinePunct w:val="0"/>
        <w:autoSpaceDE/>
        <w:autoSpaceDN/>
        <w:bidi w:val="0"/>
        <w:adjustRightInd/>
        <w:snapToGrid/>
        <w:spacing w:line="360" w:lineRule="auto"/>
        <w:ind w:right="175" w:firstLine="2"/>
        <w:textAlignment w:val="auto"/>
        <w:rPr>
          <w:rFonts w:hint="eastAsia" w:ascii="宋体" w:hAnsi="宋体" w:eastAsia="宋体" w:cs="宋体"/>
          <w:sz w:val="24"/>
          <w:szCs w:val="24"/>
        </w:rPr>
      </w:pPr>
      <w:r>
        <w:rPr>
          <w:rFonts w:hint="eastAsia" w:ascii="宋体" w:hAnsi="宋体" w:eastAsia="宋体" w:cs="宋体"/>
          <w:sz w:val="24"/>
          <w:szCs w:val="24"/>
        </w:rPr>
        <w:t>发包人</w:t>
      </w:r>
      <w:r>
        <w:rPr>
          <w:rFonts w:hint="eastAsia" w:ascii="宋体" w:hAnsi="宋体" w:eastAsia="宋体" w:cs="宋体"/>
          <w:spacing w:val="-18"/>
          <w:sz w:val="24"/>
          <w:szCs w:val="24"/>
        </w:rPr>
        <w:t>：</w:t>
      </w:r>
      <w:r>
        <w:rPr>
          <w:rFonts w:hint="eastAsia" w:ascii="宋体" w:hAnsi="宋体" w:eastAsia="宋体" w:cs="宋体"/>
          <w:sz w:val="24"/>
          <w:szCs w:val="24"/>
          <w:u w:val="single"/>
        </w:rPr>
        <w:t xml:space="preserve">               </w:t>
      </w:r>
      <w:r>
        <w:rPr>
          <w:rFonts w:hint="eastAsia" w:ascii="宋体" w:hAnsi="宋体" w:eastAsia="宋体" w:cs="宋体"/>
          <w:spacing w:val="-18"/>
          <w:sz w:val="24"/>
          <w:szCs w:val="24"/>
        </w:rPr>
        <w:t>（</w:t>
      </w:r>
      <w:r>
        <w:rPr>
          <w:rFonts w:hint="eastAsia" w:ascii="宋体" w:hAnsi="宋体" w:eastAsia="宋体" w:cs="宋体"/>
          <w:sz w:val="24"/>
          <w:szCs w:val="24"/>
        </w:rPr>
        <w:t>盖单位章）</w:t>
      </w:r>
      <w:r>
        <w:rPr>
          <w:rFonts w:hint="eastAsia" w:ascii="宋体" w:hAnsi="宋体" w:eastAsia="宋体" w:cs="宋体"/>
          <w:spacing w:val="-3"/>
          <w:sz w:val="24"/>
          <w:szCs w:val="24"/>
        </w:rPr>
        <w:t>法定代表人</w:t>
      </w:r>
    </w:p>
    <w:p w14:paraId="11B38DAC">
      <w:pPr>
        <w:keepNext w:val="0"/>
        <w:keepLines w:val="0"/>
        <w:pageBreakBefore w:val="0"/>
        <w:widowControl w:val="0"/>
        <w:kinsoku/>
        <w:wordWrap/>
        <w:overflowPunct/>
        <w:topLinePunct w:val="0"/>
        <w:autoSpaceDE/>
        <w:autoSpaceDN/>
        <w:bidi w:val="0"/>
        <w:adjustRightInd/>
        <w:snapToGrid/>
        <w:spacing w:line="360" w:lineRule="auto"/>
        <w:ind w:left="2"/>
        <w:textAlignment w:val="auto"/>
        <w:rPr>
          <w:rFonts w:hint="eastAsia" w:ascii="宋体" w:hAnsi="宋体" w:eastAsia="宋体" w:cs="宋体"/>
          <w:sz w:val="24"/>
          <w:szCs w:val="24"/>
        </w:rPr>
      </w:pPr>
      <w:r>
        <w:rPr>
          <w:rFonts w:hint="eastAsia" w:ascii="宋体" w:hAnsi="宋体" w:eastAsia="宋体" w:cs="宋体"/>
          <w:spacing w:val="2"/>
          <w:sz w:val="24"/>
          <w:szCs w:val="24"/>
        </w:rPr>
        <w:t>或其委托代理人</w:t>
      </w:r>
      <w:r>
        <w:rPr>
          <w:rFonts w:hint="eastAsia" w:ascii="宋体" w:hAnsi="宋体" w:eastAsia="宋体" w:cs="宋体"/>
          <w:spacing w:val="-17"/>
          <w:sz w:val="24"/>
          <w:szCs w:val="24"/>
        </w:rPr>
        <w:t>：</w:t>
      </w:r>
      <w:r>
        <w:rPr>
          <w:rFonts w:hint="eastAsia" w:ascii="宋体" w:hAnsi="宋体" w:eastAsia="宋体" w:cs="宋体"/>
          <w:sz w:val="24"/>
          <w:szCs w:val="24"/>
          <w:u w:val="single"/>
        </w:rPr>
        <w:t xml:space="preserve">           </w:t>
      </w:r>
      <w:r>
        <w:rPr>
          <w:rFonts w:hint="eastAsia" w:ascii="宋体" w:hAnsi="宋体" w:eastAsia="宋体" w:cs="宋体"/>
          <w:spacing w:val="-17"/>
          <w:sz w:val="24"/>
          <w:szCs w:val="24"/>
        </w:rPr>
        <w:t>（</w:t>
      </w:r>
      <w:r>
        <w:rPr>
          <w:rFonts w:hint="eastAsia" w:ascii="宋体" w:hAnsi="宋体" w:eastAsia="宋体" w:cs="宋体"/>
          <w:spacing w:val="2"/>
          <w:sz w:val="24"/>
          <w:szCs w:val="24"/>
        </w:rPr>
        <w:t>签名）</w:t>
      </w:r>
    </w:p>
    <w:p w14:paraId="2C3525FD">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pacing w:val="-9"/>
          <w:sz w:val="24"/>
          <w:szCs w:val="24"/>
        </w:rPr>
        <w:t>年</w:t>
      </w:r>
      <w:r>
        <w:rPr>
          <w:rFonts w:hint="eastAsia" w:ascii="宋体" w:hAnsi="宋体" w:eastAsia="宋体" w:cs="宋体"/>
          <w:spacing w:val="3"/>
          <w:sz w:val="24"/>
          <w:szCs w:val="24"/>
        </w:rPr>
        <w:t xml:space="preserve">     </w:t>
      </w:r>
      <w:r>
        <w:rPr>
          <w:rFonts w:hint="eastAsia" w:ascii="宋体" w:hAnsi="宋体" w:eastAsia="宋体" w:cs="宋体"/>
          <w:spacing w:val="-9"/>
          <w:sz w:val="24"/>
          <w:szCs w:val="24"/>
        </w:rPr>
        <w:t>月</w:t>
      </w:r>
      <w:r>
        <w:rPr>
          <w:rFonts w:hint="eastAsia" w:ascii="宋体" w:hAnsi="宋体" w:eastAsia="宋体" w:cs="宋体"/>
          <w:spacing w:val="10"/>
          <w:sz w:val="24"/>
          <w:szCs w:val="24"/>
        </w:rPr>
        <w:t xml:space="preserve">     </w:t>
      </w:r>
      <w:r>
        <w:rPr>
          <w:rFonts w:hint="eastAsia" w:ascii="宋体" w:hAnsi="宋体" w:eastAsia="宋体" w:cs="宋体"/>
          <w:spacing w:val="-9"/>
          <w:sz w:val="24"/>
          <w:szCs w:val="24"/>
        </w:rPr>
        <w:t>日</w:t>
      </w:r>
    </w:p>
    <w:p w14:paraId="3FF58FAF">
      <w:pPr>
        <w:keepNext w:val="0"/>
        <w:keepLines w:val="0"/>
        <w:pageBreakBefore w:val="0"/>
        <w:widowControl w:val="0"/>
        <w:kinsoku/>
        <w:wordWrap/>
        <w:overflowPunct/>
        <w:topLinePunct w:val="0"/>
        <w:autoSpaceDE/>
        <w:autoSpaceDN/>
        <w:bidi w:val="0"/>
        <w:adjustRightInd/>
        <w:snapToGrid/>
        <w:spacing w:line="360" w:lineRule="auto"/>
        <w:ind w:right="52"/>
        <w:textAlignment w:val="auto"/>
        <w:rPr>
          <w:rFonts w:hint="eastAsia" w:ascii="宋体" w:hAnsi="宋体" w:eastAsia="宋体" w:cs="宋体"/>
          <w:sz w:val="24"/>
          <w:szCs w:val="24"/>
        </w:rPr>
      </w:pPr>
    </w:p>
    <w:p w14:paraId="7868105A">
      <w:pPr>
        <w:keepNext w:val="0"/>
        <w:keepLines w:val="0"/>
        <w:pageBreakBefore w:val="0"/>
        <w:widowControl w:val="0"/>
        <w:kinsoku/>
        <w:wordWrap/>
        <w:overflowPunct/>
        <w:topLinePunct w:val="0"/>
        <w:autoSpaceDE/>
        <w:autoSpaceDN/>
        <w:bidi w:val="0"/>
        <w:adjustRightInd/>
        <w:snapToGrid/>
        <w:spacing w:line="360" w:lineRule="auto"/>
        <w:ind w:right="52"/>
        <w:textAlignment w:val="auto"/>
        <w:rPr>
          <w:rFonts w:hint="eastAsia" w:ascii="宋体" w:hAnsi="宋体" w:eastAsia="宋体" w:cs="宋体"/>
          <w:sz w:val="24"/>
          <w:szCs w:val="24"/>
        </w:rPr>
      </w:pPr>
      <w:r>
        <w:rPr>
          <w:rFonts w:hint="eastAsia" w:ascii="宋体" w:hAnsi="宋体" w:eastAsia="宋体" w:cs="宋体"/>
          <w:sz w:val="24"/>
          <w:szCs w:val="24"/>
        </w:rPr>
        <w:t>承包人</w:t>
      </w:r>
      <w:r>
        <w:rPr>
          <w:rFonts w:hint="eastAsia" w:ascii="宋体" w:hAnsi="宋体" w:eastAsia="宋体" w:cs="宋体"/>
          <w:spacing w:val="-16"/>
          <w:sz w:val="24"/>
          <w:szCs w:val="24"/>
        </w:rPr>
        <w:t>：</w:t>
      </w: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pacing w:val="-16"/>
          <w:sz w:val="24"/>
          <w:szCs w:val="24"/>
        </w:rPr>
        <w:t>（</w:t>
      </w:r>
      <w:r>
        <w:rPr>
          <w:rFonts w:hint="eastAsia" w:ascii="宋体" w:hAnsi="宋体" w:eastAsia="宋体" w:cs="宋体"/>
          <w:sz w:val="24"/>
          <w:szCs w:val="24"/>
        </w:rPr>
        <w:t>盖单位章）</w:t>
      </w:r>
      <w:r>
        <w:rPr>
          <w:rFonts w:hint="eastAsia" w:ascii="宋体" w:hAnsi="宋体" w:eastAsia="宋体" w:cs="宋体"/>
          <w:spacing w:val="-3"/>
          <w:sz w:val="24"/>
          <w:szCs w:val="24"/>
        </w:rPr>
        <w:t>法定代表人</w:t>
      </w:r>
    </w:p>
    <w:p w14:paraId="4946664D">
      <w:pPr>
        <w:keepNext w:val="0"/>
        <w:keepLines w:val="0"/>
        <w:pageBreakBefore w:val="0"/>
        <w:widowControl w:val="0"/>
        <w:kinsoku/>
        <w:wordWrap/>
        <w:overflowPunct/>
        <w:topLinePunct w:val="0"/>
        <w:autoSpaceDE/>
        <w:autoSpaceDN/>
        <w:bidi w:val="0"/>
        <w:adjustRightInd/>
        <w:snapToGrid/>
        <w:spacing w:line="360" w:lineRule="auto"/>
        <w:ind w:left="2"/>
        <w:textAlignment w:val="auto"/>
        <w:rPr>
          <w:rFonts w:hint="eastAsia" w:ascii="宋体" w:hAnsi="宋体" w:eastAsia="宋体" w:cs="宋体"/>
          <w:sz w:val="24"/>
          <w:szCs w:val="24"/>
        </w:rPr>
      </w:pPr>
      <w:r>
        <w:rPr>
          <w:rFonts w:hint="eastAsia" w:ascii="宋体" w:hAnsi="宋体" w:eastAsia="宋体" w:cs="宋体"/>
          <w:spacing w:val="2"/>
          <w:sz w:val="24"/>
          <w:szCs w:val="24"/>
        </w:rPr>
        <w:t>或其委托代理人</w:t>
      </w:r>
      <w:r>
        <w:rPr>
          <w:rFonts w:hint="eastAsia" w:ascii="宋体" w:hAnsi="宋体" w:eastAsia="宋体" w:cs="宋体"/>
          <w:spacing w:val="-17"/>
          <w:sz w:val="24"/>
          <w:szCs w:val="24"/>
        </w:rPr>
        <w:t>：</w:t>
      </w:r>
      <w:r>
        <w:rPr>
          <w:rFonts w:hint="eastAsia" w:ascii="宋体" w:hAnsi="宋体" w:eastAsia="宋体" w:cs="宋体"/>
          <w:sz w:val="24"/>
          <w:szCs w:val="24"/>
          <w:u w:val="single"/>
        </w:rPr>
        <w:t xml:space="preserve">           </w:t>
      </w:r>
      <w:r>
        <w:rPr>
          <w:rFonts w:hint="eastAsia" w:ascii="宋体" w:hAnsi="宋体" w:eastAsia="宋体" w:cs="宋体"/>
          <w:spacing w:val="-17"/>
          <w:sz w:val="24"/>
          <w:szCs w:val="24"/>
        </w:rPr>
        <w:t>（</w:t>
      </w:r>
      <w:r>
        <w:rPr>
          <w:rFonts w:hint="eastAsia" w:ascii="宋体" w:hAnsi="宋体" w:eastAsia="宋体" w:cs="宋体"/>
          <w:spacing w:val="2"/>
          <w:sz w:val="24"/>
          <w:szCs w:val="24"/>
        </w:rPr>
        <w:t>签名）</w:t>
      </w:r>
    </w:p>
    <w:p w14:paraId="091D07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sectPr>
          <w:type w:val="continuous"/>
          <w:pgSz w:w="11905" w:h="16838"/>
          <w:pgMar w:top="1440" w:right="1134" w:bottom="1440" w:left="1134" w:header="0" w:footer="720" w:gutter="0"/>
          <w:pgNumType w:fmt="decimal"/>
          <w:cols w:space="0" w:num="1"/>
          <w:rtlGutter w:val="0"/>
          <w:docGrid w:linePitch="0" w:charSpace="0"/>
        </w:sectPr>
      </w:pPr>
      <w:r>
        <w:rPr>
          <w:rFonts w:hint="eastAsia" w:ascii="宋体" w:hAnsi="宋体" w:eastAsia="宋体" w:cs="宋体"/>
          <w:spacing w:val="-17"/>
          <w:sz w:val="24"/>
          <w:szCs w:val="24"/>
        </w:rPr>
        <w:t>年</w:t>
      </w:r>
      <w:r>
        <w:rPr>
          <w:rFonts w:hint="eastAsia" w:ascii="宋体" w:hAnsi="宋体" w:eastAsia="宋体" w:cs="宋体"/>
          <w:spacing w:val="4"/>
          <w:sz w:val="24"/>
          <w:szCs w:val="24"/>
        </w:rPr>
        <w:t xml:space="preserve">     </w:t>
      </w:r>
      <w:r>
        <w:rPr>
          <w:rFonts w:hint="eastAsia" w:ascii="宋体" w:hAnsi="宋体" w:eastAsia="宋体" w:cs="宋体"/>
          <w:spacing w:val="-17"/>
          <w:sz w:val="24"/>
          <w:szCs w:val="24"/>
        </w:rPr>
        <w:t xml:space="preserve">月      </w:t>
      </w:r>
      <w:r>
        <w:rPr>
          <w:rFonts w:hint="eastAsia" w:ascii="宋体" w:hAnsi="宋体" w:eastAsia="宋体" w:cs="宋体"/>
          <w:spacing w:val="-17"/>
          <w:sz w:val="24"/>
          <w:szCs w:val="24"/>
          <w:lang w:val="en-US" w:eastAsia="zh-CN"/>
        </w:rPr>
        <w:t>日</w:t>
      </w:r>
    </w:p>
    <w:p w14:paraId="5CB02336">
      <w:pPr>
        <w:tabs>
          <w:tab w:val="left" w:pos="0"/>
        </w:tabs>
        <w:spacing w:line="560" w:lineRule="exact"/>
        <w:jc w:val="center"/>
        <w:outlineLvl w:val="1"/>
        <w:rPr>
          <w:b/>
          <w:kern w:val="44"/>
          <w:sz w:val="36"/>
          <w:szCs w:val="36"/>
        </w:rPr>
      </w:pPr>
      <w:bookmarkStart w:id="116" w:name="_Toc2652"/>
      <w:r>
        <w:rPr>
          <w:rFonts w:hint="eastAsia"/>
          <w:b/>
          <w:kern w:val="44"/>
          <w:sz w:val="36"/>
          <w:szCs w:val="36"/>
        </w:rPr>
        <w:t>第二节合同通用条款</w:t>
      </w:r>
      <w:bookmarkEnd w:id="116"/>
    </w:p>
    <w:p w14:paraId="01726DBA">
      <w:pPr>
        <w:tabs>
          <w:tab w:val="left" w:pos="0"/>
        </w:tabs>
        <w:spacing w:line="560" w:lineRule="exact"/>
        <w:ind w:firstLine="880"/>
        <w:rPr>
          <w:kern w:val="44"/>
          <w:sz w:val="44"/>
          <w:szCs w:val="44"/>
        </w:rPr>
      </w:pPr>
    </w:p>
    <w:p w14:paraId="6182511C">
      <w:pPr>
        <w:tabs>
          <w:tab w:val="left" w:pos="0"/>
        </w:tabs>
        <w:ind w:firstLine="480"/>
        <w:rPr>
          <w:rFonts w:hint="eastAsia" w:ascii="宋体" w:hAnsi="宋体" w:eastAsia="宋体" w:cs="宋体"/>
          <w:sz w:val="24"/>
          <w:szCs w:val="24"/>
          <w:lang w:eastAsia="zh-CN"/>
        </w:rPr>
      </w:pPr>
      <w:r>
        <w:rPr>
          <w:rFonts w:hint="eastAsia" w:ascii="宋体" w:hAnsi="宋体" w:eastAsia="宋体" w:cs="宋体"/>
          <w:sz w:val="24"/>
          <w:szCs w:val="24"/>
        </w:rPr>
        <w:t>本项目“通用合同条款”采用《交通运输部办公厅关于印发《公路养护项目合同范本》的通知》（交办公路函</w:t>
      </w:r>
      <w:r>
        <w:rPr>
          <w:rFonts w:hint="eastAsia" w:ascii="宋体" w:hAnsi="宋体" w:eastAsia="宋体" w:cs="宋体"/>
          <w:color w:val="auto"/>
          <w:sz w:val="24"/>
          <w:szCs w:val="24"/>
        </w:rPr>
        <w:t>〔2025〕1819号</w:t>
      </w:r>
      <w:r>
        <w:rPr>
          <w:rFonts w:hint="eastAsia" w:ascii="宋体" w:hAnsi="宋体" w:eastAsia="宋体" w:cs="宋体"/>
          <w:sz w:val="24"/>
          <w:szCs w:val="24"/>
        </w:rPr>
        <w:t>）中</w:t>
      </w:r>
      <w:r>
        <w:rPr>
          <w:rFonts w:hint="eastAsia" w:ascii="宋体" w:hAnsi="宋体" w:eastAsia="宋体" w:cs="宋体"/>
          <w:kern w:val="44"/>
          <w:sz w:val="24"/>
          <w:szCs w:val="24"/>
        </w:rPr>
        <w:t>合同通用条款，合同通用条款、清单计量规则、</w:t>
      </w:r>
      <w:r>
        <w:rPr>
          <w:rFonts w:hint="eastAsia" w:ascii="宋体" w:hAnsi="宋体" w:eastAsia="宋体" w:cs="宋体"/>
          <w:spacing w:val="-3"/>
          <w:sz w:val="24"/>
          <w:szCs w:val="24"/>
        </w:rPr>
        <w:t>养护绩效管理规则</w:t>
      </w:r>
      <w:r>
        <w:rPr>
          <w:rFonts w:hint="eastAsia" w:ascii="宋体" w:hAnsi="宋体" w:eastAsia="宋体" w:cs="宋体"/>
          <w:spacing w:val="-73"/>
          <w:sz w:val="24"/>
          <w:szCs w:val="24"/>
        </w:rPr>
        <w:t xml:space="preserve"> </w:t>
      </w:r>
      <w:r>
        <w:rPr>
          <w:rFonts w:hint="eastAsia" w:ascii="宋体" w:hAnsi="宋体" w:eastAsia="宋体" w:cs="宋体"/>
          <w:kern w:val="44"/>
          <w:sz w:val="24"/>
          <w:szCs w:val="24"/>
        </w:rPr>
        <w:t>和技术规范除专用合同条款另有约定外，均按</w:t>
      </w:r>
      <w:r>
        <w:rPr>
          <w:rFonts w:hint="eastAsia" w:ascii="宋体" w:hAnsi="宋体" w:eastAsia="宋体" w:cs="宋体"/>
          <w:sz w:val="24"/>
          <w:szCs w:val="24"/>
        </w:rPr>
        <w:t>《公路养护项目合同范本》中所列内容执行并作为本项目合同组成部分</w:t>
      </w:r>
      <w:r>
        <w:rPr>
          <w:rFonts w:hint="eastAsia" w:ascii="宋体" w:hAnsi="宋体" w:eastAsia="宋体" w:cs="宋体"/>
          <w:sz w:val="24"/>
          <w:szCs w:val="24"/>
          <w:lang w:eastAsia="zh-CN"/>
        </w:rPr>
        <w:t>，</w:t>
      </w:r>
      <w:r>
        <w:rPr>
          <w:rFonts w:hint="eastAsia" w:ascii="宋体" w:hAnsi="宋体" w:eastAsia="宋体" w:cs="宋体"/>
          <w:sz w:val="24"/>
          <w:szCs w:val="24"/>
        </w:rPr>
        <w:t>本招标文件不再单独列出</w:t>
      </w:r>
      <w:r>
        <w:rPr>
          <w:rFonts w:hint="eastAsia" w:ascii="宋体" w:hAnsi="宋体" w:eastAsia="宋体" w:cs="宋体"/>
          <w:sz w:val="24"/>
          <w:szCs w:val="24"/>
          <w:lang w:eastAsia="zh-CN"/>
        </w:rPr>
        <w:t>。</w:t>
      </w:r>
    </w:p>
    <w:p w14:paraId="33FA32CD">
      <w:pPr>
        <w:widowControl/>
        <w:tabs>
          <w:tab w:val="left" w:pos="0"/>
        </w:tabs>
        <w:ind w:firstLine="720"/>
        <w:rPr>
          <w:rFonts w:ascii="黑体" w:hAnsi="黑体" w:eastAsia="黑体" w:cs="宋体"/>
          <w:color w:val="000000"/>
          <w:kern w:val="0"/>
          <w:sz w:val="36"/>
          <w:szCs w:val="36"/>
          <w:highlight w:val="yellow"/>
        </w:rPr>
      </w:pPr>
    </w:p>
    <w:p w14:paraId="5E0759E3">
      <w:pPr>
        <w:widowControl/>
        <w:tabs>
          <w:tab w:val="left" w:pos="0"/>
        </w:tabs>
        <w:ind w:firstLine="720"/>
        <w:rPr>
          <w:rFonts w:ascii="黑体" w:hAnsi="黑体" w:eastAsia="黑体" w:cs="宋体"/>
          <w:color w:val="000000"/>
          <w:kern w:val="0"/>
          <w:sz w:val="36"/>
          <w:szCs w:val="36"/>
          <w:highlight w:val="yellow"/>
        </w:rPr>
      </w:pPr>
    </w:p>
    <w:p w14:paraId="3CFD2C04">
      <w:pPr>
        <w:widowControl/>
        <w:tabs>
          <w:tab w:val="left" w:pos="0"/>
        </w:tabs>
        <w:ind w:firstLine="720"/>
        <w:rPr>
          <w:rFonts w:ascii="黑体" w:hAnsi="黑体" w:eastAsia="黑体" w:cs="宋体"/>
          <w:color w:val="000000"/>
          <w:kern w:val="0"/>
          <w:sz w:val="36"/>
          <w:szCs w:val="36"/>
          <w:highlight w:val="yellow"/>
        </w:rPr>
      </w:pPr>
    </w:p>
    <w:p w14:paraId="5D263D39">
      <w:pPr>
        <w:widowControl/>
        <w:tabs>
          <w:tab w:val="left" w:pos="0"/>
        </w:tabs>
        <w:ind w:firstLine="720"/>
        <w:rPr>
          <w:rFonts w:ascii="黑体" w:hAnsi="黑体" w:eastAsia="黑体" w:cs="宋体"/>
          <w:color w:val="000000"/>
          <w:kern w:val="0"/>
          <w:sz w:val="36"/>
          <w:szCs w:val="36"/>
          <w:highlight w:val="yellow"/>
        </w:rPr>
      </w:pPr>
    </w:p>
    <w:p w14:paraId="63D71472">
      <w:pPr>
        <w:widowControl/>
        <w:tabs>
          <w:tab w:val="left" w:pos="0"/>
        </w:tabs>
        <w:ind w:firstLine="720"/>
        <w:rPr>
          <w:rFonts w:ascii="黑体" w:hAnsi="黑体" w:eastAsia="黑体" w:cs="宋体"/>
          <w:color w:val="000000"/>
          <w:kern w:val="0"/>
          <w:sz w:val="36"/>
          <w:szCs w:val="36"/>
          <w:highlight w:val="yellow"/>
        </w:rPr>
      </w:pPr>
    </w:p>
    <w:p w14:paraId="68B8DA78">
      <w:pPr>
        <w:widowControl/>
        <w:tabs>
          <w:tab w:val="left" w:pos="0"/>
        </w:tabs>
        <w:ind w:firstLine="720"/>
        <w:rPr>
          <w:rFonts w:ascii="黑体" w:hAnsi="黑体" w:eastAsia="黑体" w:cs="宋体"/>
          <w:color w:val="000000"/>
          <w:kern w:val="0"/>
          <w:sz w:val="36"/>
          <w:szCs w:val="36"/>
          <w:highlight w:val="yellow"/>
        </w:rPr>
      </w:pPr>
    </w:p>
    <w:p w14:paraId="34B41237">
      <w:pPr>
        <w:widowControl/>
        <w:tabs>
          <w:tab w:val="left" w:pos="0"/>
        </w:tabs>
        <w:ind w:firstLine="720"/>
        <w:rPr>
          <w:rFonts w:ascii="黑体" w:hAnsi="黑体" w:eastAsia="黑体" w:cs="宋体"/>
          <w:color w:val="000000"/>
          <w:kern w:val="0"/>
          <w:sz w:val="36"/>
          <w:szCs w:val="36"/>
          <w:highlight w:val="yellow"/>
        </w:rPr>
      </w:pPr>
    </w:p>
    <w:p w14:paraId="15A902C0">
      <w:pPr>
        <w:widowControl/>
        <w:tabs>
          <w:tab w:val="left" w:pos="0"/>
        </w:tabs>
        <w:ind w:firstLine="720"/>
        <w:rPr>
          <w:rFonts w:ascii="黑体" w:hAnsi="黑体" w:eastAsia="黑体" w:cs="宋体"/>
          <w:color w:val="000000"/>
          <w:kern w:val="0"/>
          <w:sz w:val="36"/>
          <w:szCs w:val="36"/>
          <w:highlight w:val="yellow"/>
        </w:rPr>
      </w:pPr>
    </w:p>
    <w:p w14:paraId="5D528235">
      <w:pPr>
        <w:widowControl/>
        <w:tabs>
          <w:tab w:val="left" w:pos="0"/>
        </w:tabs>
        <w:ind w:firstLine="720"/>
        <w:rPr>
          <w:rFonts w:ascii="黑体" w:hAnsi="黑体" w:eastAsia="黑体" w:cs="宋体"/>
          <w:color w:val="000000"/>
          <w:kern w:val="0"/>
          <w:sz w:val="36"/>
          <w:szCs w:val="36"/>
          <w:highlight w:val="yellow"/>
        </w:rPr>
      </w:pPr>
    </w:p>
    <w:p w14:paraId="59B4EAB6">
      <w:pPr>
        <w:widowControl/>
        <w:tabs>
          <w:tab w:val="left" w:pos="0"/>
        </w:tabs>
        <w:ind w:firstLine="720"/>
        <w:rPr>
          <w:rFonts w:ascii="黑体" w:hAnsi="黑体" w:eastAsia="黑体" w:cs="宋体"/>
          <w:color w:val="000000"/>
          <w:kern w:val="0"/>
          <w:sz w:val="36"/>
          <w:szCs w:val="36"/>
          <w:highlight w:val="yellow"/>
        </w:rPr>
      </w:pPr>
    </w:p>
    <w:p w14:paraId="4056A618">
      <w:pPr>
        <w:widowControl/>
        <w:tabs>
          <w:tab w:val="left" w:pos="0"/>
        </w:tabs>
        <w:ind w:firstLine="720"/>
        <w:rPr>
          <w:rFonts w:ascii="黑体" w:hAnsi="黑体" w:eastAsia="黑体" w:cs="宋体"/>
          <w:color w:val="000000"/>
          <w:kern w:val="0"/>
          <w:sz w:val="36"/>
          <w:szCs w:val="36"/>
          <w:highlight w:val="yellow"/>
        </w:rPr>
      </w:pPr>
    </w:p>
    <w:p w14:paraId="57817BDD">
      <w:pPr>
        <w:widowControl/>
        <w:tabs>
          <w:tab w:val="left" w:pos="0"/>
        </w:tabs>
        <w:ind w:firstLine="720"/>
        <w:rPr>
          <w:rFonts w:ascii="黑体" w:hAnsi="黑体" w:eastAsia="黑体" w:cs="宋体"/>
          <w:color w:val="000000"/>
          <w:kern w:val="0"/>
          <w:sz w:val="36"/>
          <w:szCs w:val="36"/>
          <w:highlight w:val="yellow"/>
        </w:rPr>
      </w:pPr>
    </w:p>
    <w:p w14:paraId="739ECAA8">
      <w:pPr>
        <w:widowControl/>
        <w:tabs>
          <w:tab w:val="left" w:pos="0"/>
        </w:tabs>
        <w:ind w:firstLine="720"/>
        <w:rPr>
          <w:rFonts w:ascii="黑体" w:hAnsi="黑体" w:eastAsia="黑体" w:cs="宋体"/>
          <w:color w:val="000000"/>
          <w:kern w:val="0"/>
          <w:sz w:val="36"/>
          <w:szCs w:val="36"/>
          <w:highlight w:val="yellow"/>
        </w:rPr>
      </w:pPr>
    </w:p>
    <w:p w14:paraId="6328E470">
      <w:pPr>
        <w:widowControl/>
        <w:tabs>
          <w:tab w:val="left" w:pos="0"/>
        </w:tabs>
        <w:ind w:firstLine="720"/>
        <w:rPr>
          <w:rFonts w:ascii="黑体" w:hAnsi="黑体" w:eastAsia="黑体" w:cs="宋体"/>
          <w:color w:val="000000"/>
          <w:kern w:val="0"/>
          <w:sz w:val="36"/>
          <w:szCs w:val="36"/>
          <w:highlight w:val="yellow"/>
        </w:rPr>
      </w:pPr>
    </w:p>
    <w:p w14:paraId="7677F542">
      <w:pPr>
        <w:widowControl/>
        <w:tabs>
          <w:tab w:val="left" w:pos="0"/>
        </w:tabs>
        <w:ind w:firstLine="720"/>
        <w:rPr>
          <w:rFonts w:ascii="黑体" w:hAnsi="黑体" w:eastAsia="黑体" w:cs="宋体"/>
          <w:color w:val="000000"/>
          <w:kern w:val="0"/>
          <w:sz w:val="36"/>
          <w:szCs w:val="36"/>
          <w:highlight w:val="yellow"/>
        </w:rPr>
      </w:pPr>
    </w:p>
    <w:p w14:paraId="49A88F9A">
      <w:pPr>
        <w:widowControl/>
        <w:tabs>
          <w:tab w:val="left" w:pos="0"/>
        </w:tabs>
        <w:ind w:firstLine="720"/>
        <w:rPr>
          <w:rFonts w:ascii="黑体" w:hAnsi="黑体" w:eastAsia="黑体" w:cs="宋体"/>
          <w:color w:val="000000"/>
          <w:kern w:val="0"/>
          <w:sz w:val="36"/>
          <w:szCs w:val="36"/>
          <w:highlight w:val="yellow"/>
        </w:rPr>
      </w:pPr>
    </w:p>
    <w:p w14:paraId="0F800389">
      <w:pPr>
        <w:widowControl/>
        <w:tabs>
          <w:tab w:val="left" w:pos="0"/>
        </w:tabs>
        <w:ind w:firstLine="720"/>
        <w:rPr>
          <w:rFonts w:ascii="黑体" w:hAnsi="黑体" w:eastAsia="黑体" w:cs="宋体"/>
          <w:color w:val="000000"/>
          <w:kern w:val="0"/>
          <w:sz w:val="36"/>
          <w:szCs w:val="36"/>
          <w:highlight w:val="yellow"/>
        </w:rPr>
      </w:pPr>
    </w:p>
    <w:p w14:paraId="33BFDEEF">
      <w:pPr>
        <w:widowControl/>
        <w:tabs>
          <w:tab w:val="left" w:pos="0"/>
        </w:tabs>
        <w:ind w:firstLine="720"/>
        <w:rPr>
          <w:rFonts w:ascii="黑体" w:hAnsi="黑体" w:eastAsia="黑体" w:cs="宋体"/>
          <w:color w:val="000000"/>
          <w:kern w:val="0"/>
          <w:sz w:val="36"/>
          <w:szCs w:val="36"/>
          <w:highlight w:val="yellow"/>
        </w:rPr>
      </w:pPr>
    </w:p>
    <w:p w14:paraId="421D1BAD">
      <w:pPr>
        <w:widowControl/>
        <w:tabs>
          <w:tab w:val="left" w:pos="0"/>
        </w:tabs>
        <w:ind w:firstLine="720"/>
        <w:rPr>
          <w:rFonts w:ascii="黑体" w:hAnsi="黑体" w:eastAsia="黑体" w:cs="宋体"/>
          <w:color w:val="000000"/>
          <w:kern w:val="0"/>
          <w:sz w:val="36"/>
          <w:szCs w:val="36"/>
          <w:highlight w:val="yellow"/>
        </w:rPr>
      </w:pPr>
    </w:p>
    <w:p w14:paraId="15E0CA9A">
      <w:pPr>
        <w:widowControl/>
        <w:tabs>
          <w:tab w:val="left" w:pos="0"/>
        </w:tabs>
        <w:ind w:firstLine="720"/>
        <w:rPr>
          <w:rFonts w:ascii="黑体" w:hAnsi="黑体" w:eastAsia="黑体" w:cs="宋体"/>
          <w:color w:val="000000"/>
          <w:kern w:val="0"/>
          <w:sz w:val="36"/>
          <w:szCs w:val="36"/>
          <w:highlight w:val="yellow"/>
        </w:rPr>
      </w:pPr>
    </w:p>
    <w:p w14:paraId="08F2190B">
      <w:pPr>
        <w:widowControl/>
        <w:tabs>
          <w:tab w:val="left" w:pos="0"/>
        </w:tabs>
        <w:ind w:firstLine="720"/>
        <w:rPr>
          <w:rFonts w:ascii="黑体" w:hAnsi="黑体" w:eastAsia="黑体" w:cs="宋体"/>
          <w:color w:val="000000"/>
          <w:kern w:val="0"/>
          <w:sz w:val="36"/>
          <w:szCs w:val="36"/>
          <w:highlight w:val="yellow"/>
        </w:rPr>
      </w:pPr>
    </w:p>
    <w:p w14:paraId="1B5636BE">
      <w:pPr>
        <w:widowControl/>
        <w:tabs>
          <w:tab w:val="left" w:pos="0"/>
        </w:tabs>
        <w:ind w:firstLine="720"/>
        <w:rPr>
          <w:rFonts w:ascii="黑体" w:hAnsi="黑体" w:eastAsia="黑体" w:cs="宋体"/>
          <w:color w:val="000000"/>
          <w:kern w:val="0"/>
          <w:sz w:val="36"/>
          <w:szCs w:val="36"/>
          <w:highlight w:val="yellow"/>
        </w:rPr>
      </w:pPr>
    </w:p>
    <w:p w14:paraId="71D8875A">
      <w:pPr>
        <w:pStyle w:val="4"/>
        <w:spacing w:before="60" w:after="60"/>
        <w:jc w:val="center"/>
        <w:outlineLvl w:val="1"/>
        <w:rPr>
          <w:rFonts w:ascii="宋体" w:hAnsi="宋体" w:cs="宋体"/>
          <w:sz w:val="36"/>
          <w:szCs w:val="36"/>
          <w:lang w:eastAsia="zh-CN"/>
        </w:rPr>
      </w:pPr>
      <w:bookmarkStart w:id="117" w:name="_Toc3107"/>
      <w:r>
        <w:rPr>
          <w:rFonts w:hint="eastAsia" w:ascii="宋体" w:hAnsi="宋体" w:cs="宋体"/>
          <w:sz w:val="36"/>
          <w:szCs w:val="36"/>
          <w:lang w:eastAsia="zh-CN"/>
        </w:rPr>
        <w:t>第三节</w:t>
      </w:r>
      <w:r>
        <w:rPr>
          <w:rFonts w:hint="eastAsia" w:ascii="宋体" w:hAnsi="宋体" w:cs="宋体"/>
          <w:sz w:val="36"/>
          <w:szCs w:val="36"/>
          <w:lang w:val="en-US" w:eastAsia="zh-CN"/>
        </w:rPr>
        <w:t xml:space="preserve"> </w:t>
      </w:r>
      <w:r>
        <w:rPr>
          <w:rFonts w:hint="eastAsia" w:ascii="宋体" w:hAnsi="宋体" w:cs="宋体"/>
          <w:sz w:val="36"/>
          <w:szCs w:val="36"/>
          <w:lang w:eastAsia="zh-CN"/>
        </w:rPr>
        <w:t>项目专用合同条款</w:t>
      </w:r>
      <w:bookmarkEnd w:id="117"/>
      <w:r>
        <w:rPr>
          <w:rFonts w:hint="eastAsia" w:ascii="宋体" w:hAnsi="宋体" w:cs="宋体"/>
          <w:sz w:val="36"/>
          <w:szCs w:val="36"/>
          <w:lang w:eastAsia="zh-CN"/>
        </w:rPr>
        <w:t xml:space="preserve"> </w:t>
      </w:r>
    </w:p>
    <w:p w14:paraId="520FE600">
      <w:pPr>
        <w:pStyle w:val="4"/>
        <w:spacing w:before="60" w:after="60"/>
        <w:rPr>
          <w:rFonts w:ascii="宋体" w:hAnsi="宋体" w:cs="宋体"/>
          <w:sz w:val="30"/>
          <w:szCs w:val="30"/>
          <w:lang w:eastAsia="zh-CN"/>
        </w:rPr>
      </w:pPr>
      <w:bookmarkStart w:id="118" w:name="_Toc11948"/>
      <w:bookmarkStart w:id="119" w:name="_Toc24659"/>
      <w:r>
        <w:rPr>
          <w:rFonts w:hint="eastAsia" w:ascii="黑体" w:hAnsi="黑体" w:eastAsia="黑体" w:cs="黑体"/>
          <w:spacing w:val="-1"/>
          <w:sz w:val="30"/>
          <w:szCs w:val="30"/>
          <w:lang w:eastAsia="zh-CN"/>
        </w:rPr>
        <w:t>一、</w:t>
      </w:r>
      <w:r>
        <w:rPr>
          <w:rFonts w:ascii="黑体" w:hAnsi="黑体" w:eastAsia="黑体" w:cs="黑体"/>
          <w:spacing w:val="-1"/>
          <w:sz w:val="30"/>
          <w:szCs w:val="30"/>
          <w:lang w:eastAsia="zh-CN"/>
        </w:rPr>
        <w:t>基于计量模式的专用合同条款</w:t>
      </w:r>
      <w:bookmarkEnd w:id="118"/>
      <w:bookmarkEnd w:id="119"/>
    </w:p>
    <w:p w14:paraId="4970F827">
      <w:pPr>
        <w:spacing w:before="78" w:line="219" w:lineRule="auto"/>
        <w:ind w:left="4101"/>
        <w:rPr>
          <w:rFonts w:ascii="宋体" w:hAnsi="宋体" w:cs="宋体"/>
          <w:sz w:val="32"/>
          <w:szCs w:val="32"/>
        </w:rPr>
      </w:pPr>
      <w:r>
        <w:rPr>
          <w:rFonts w:ascii="宋体" w:hAnsi="宋体" w:cs="宋体"/>
          <w:spacing w:val="-7"/>
          <w:sz w:val="32"/>
          <w:szCs w:val="32"/>
        </w:rPr>
        <w:t>说</w:t>
      </w:r>
      <w:r>
        <w:rPr>
          <w:rFonts w:ascii="宋体" w:hAnsi="宋体" w:cs="宋体"/>
          <w:spacing w:val="16"/>
          <w:sz w:val="32"/>
          <w:szCs w:val="32"/>
        </w:rPr>
        <w:t xml:space="preserve">  </w:t>
      </w:r>
      <w:r>
        <w:rPr>
          <w:rFonts w:ascii="宋体" w:hAnsi="宋体" w:cs="宋体"/>
          <w:spacing w:val="-7"/>
          <w:sz w:val="32"/>
          <w:szCs w:val="32"/>
        </w:rPr>
        <w:t>明</w:t>
      </w:r>
    </w:p>
    <w:p w14:paraId="04B5CD5C">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rPr>
      </w:pPr>
      <w:r>
        <w:rPr>
          <w:rFonts w:hint="eastAsia" w:ascii="宋体" w:hAnsi="宋体" w:eastAsia="宋体" w:cs="宋体"/>
          <w:sz w:val="24"/>
          <w:szCs w:val="24"/>
        </w:rPr>
        <w:t>1.发包人在编制“专用合同条款 ”时，“通用合同条款 ”内容宜不加修改地直接引用，“专用合同条款 ”可以根据项目的具体特点和实际需要，对“通用合同条款 ”进行补充、修改或约定。发包人补充、修改或约定的内容，不得违反法律、行政法规的强制性规定和平等、 自愿、公平、诚实信用原则。</w:t>
      </w:r>
    </w:p>
    <w:p w14:paraId="6CD3BE41">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rPr>
      </w:pPr>
      <w:r>
        <w:rPr>
          <w:rFonts w:hint="eastAsia" w:ascii="宋体" w:hAnsi="宋体" w:eastAsia="宋体" w:cs="宋体"/>
          <w:sz w:val="24"/>
          <w:szCs w:val="24"/>
        </w:rPr>
        <w:t>2.专用合同条款的编号应与通用合同条款编号一致。</w:t>
      </w:r>
    </w:p>
    <w:p w14:paraId="4FA21783">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rPr>
      </w:pPr>
      <w:r>
        <w:rPr>
          <w:rFonts w:hint="eastAsia" w:ascii="宋体" w:hAnsi="宋体" w:eastAsia="宋体" w:cs="宋体"/>
          <w:sz w:val="24"/>
          <w:szCs w:val="24"/>
        </w:rPr>
        <w:t>3.专用合同条款可对下列内容进行补充和细化：</w:t>
      </w:r>
    </w:p>
    <w:p w14:paraId="00299978">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rPr>
      </w:pPr>
      <w:r>
        <w:rPr>
          <w:rFonts w:hint="eastAsia" w:ascii="宋体" w:hAnsi="宋体" w:eastAsia="宋体" w:cs="宋体"/>
          <w:sz w:val="24"/>
          <w:szCs w:val="24"/>
        </w:rPr>
        <w:t>（1）“通用合同条款 ”中明确指出“专用合同条款 ”可对“通用合同条款 ”进行修改的内容（在“通用合同条款 ”中用“应按合同约定 ”“应按专用合同条款约定 ”“除合同另有约定外 ”“除专用合同条款另有约定外 ”“在专用合同条款中约定 ”等多种文字形式表达）；</w:t>
      </w:r>
    </w:p>
    <w:p w14:paraId="5D75C08C">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rPr>
      </w:pPr>
      <w:r>
        <w:rPr>
          <w:rFonts w:hint="eastAsia" w:ascii="宋体" w:hAnsi="宋体" w:eastAsia="宋体" w:cs="宋体"/>
          <w:sz w:val="24"/>
          <w:szCs w:val="24"/>
        </w:rPr>
        <w:t>（2）其他需要补充、细化的内容。</w:t>
      </w:r>
    </w:p>
    <w:p w14:paraId="2DB87ADC">
      <w:pPr>
        <w:pStyle w:val="11"/>
        <w:spacing w:line="347" w:lineRule="auto"/>
        <w:rPr>
          <w:rFonts w:hint="eastAsia" w:ascii="宋体" w:hAnsi="宋体" w:eastAsia="宋体" w:cs="宋体"/>
          <w:sz w:val="24"/>
          <w:szCs w:val="24"/>
          <w:lang w:eastAsia="zh-CN"/>
        </w:rPr>
      </w:pPr>
    </w:p>
    <w:p w14:paraId="6BAAAE84">
      <w:pPr>
        <w:pStyle w:val="11"/>
        <w:spacing w:line="347" w:lineRule="auto"/>
        <w:rPr>
          <w:rFonts w:hint="eastAsia" w:ascii="宋体" w:hAnsi="宋体" w:eastAsia="宋体" w:cs="宋体"/>
          <w:sz w:val="24"/>
          <w:szCs w:val="24"/>
          <w:lang w:eastAsia="zh-CN"/>
        </w:rPr>
      </w:pPr>
    </w:p>
    <w:p w14:paraId="7F5921A0">
      <w:pPr>
        <w:pStyle w:val="11"/>
        <w:spacing w:line="347" w:lineRule="auto"/>
        <w:rPr>
          <w:rFonts w:hint="eastAsia" w:ascii="宋体" w:hAnsi="宋体" w:eastAsia="宋体" w:cs="宋体"/>
          <w:sz w:val="24"/>
          <w:szCs w:val="24"/>
          <w:lang w:eastAsia="zh-CN"/>
        </w:rPr>
      </w:pPr>
    </w:p>
    <w:p w14:paraId="6B30A94F">
      <w:pPr>
        <w:pStyle w:val="11"/>
        <w:spacing w:line="347" w:lineRule="auto"/>
        <w:rPr>
          <w:rFonts w:hint="eastAsia" w:ascii="宋体" w:hAnsi="宋体" w:eastAsia="宋体" w:cs="宋体"/>
          <w:sz w:val="24"/>
          <w:szCs w:val="24"/>
          <w:lang w:eastAsia="zh-CN"/>
        </w:rPr>
      </w:pPr>
    </w:p>
    <w:p w14:paraId="62A5B112">
      <w:pPr>
        <w:pStyle w:val="11"/>
        <w:spacing w:line="347" w:lineRule="auto"/>
        <w:rPr>
          <w:rFonts w:hint="eastAsia" w:ascii="宋体" w:hAnsi="宋体" w:eastAsia="宋体" w:cs="宋体"/>
          <w:sz w:val="24"/>
          <w:szCs w:val="24"/>
          <w:lang w:eastAsia="zh-CN"/>
        </w:rPr>
      </w:pPr>
    </w:p>
    <w:p w14:paraId="2AF2277B">
      <w:pPr>
        <w:pStyle w:val="11"/>
        <w:spacing w:line="347" w:lineRule="auto"/>
        <w:rPr>
          <w:rFonts w:hint="eastAsia" w:ascii="宋体" w:hAnsi="宋体" w:eastAsia="宋体" w:cs="宋体"/>
          <w:sz w:val="24"/>
          <w:szCs w:val="24"/>
          <w:lang w:eastAsia="zh-CN"/>
        </w:rPr>
      </w:pPr>
    </w:p>
    <w:p w14:paraId="57CF2D7C">
      <w:pPr>
        <w:pStyle w:val="11"/>
        <w:spacing w:line="347" w:lineRule="auto"/>
        <w:rPr>
          <w:rFonts w:hint="eastAsia" w:ascii="宋体" w:hAnsi="宋体" w:eastAsia="宋体" w:cs="宋体"/>
          <w:sz w:val="24"/>
          <w:szCs w:val="24"/>
          <w:lang w:eastAsia="zh-CN"/>
        </w:rPr>
      </w:pPr>
    </w:p>
    <w:p w14:paraId="2A47F902">
      <w:pPr>
        <w:pStyle w:val="11"/>
        <w:spacing w:line="347" w:lineRule="auto"/>
        <w:rPr>
          <w:rFonts w:hint="eastAsia" w:ascii="宋体" w:hAnsi="宋体" w:eastAsia="宋体" w:cs="宋体"/>
          <w:sz w:val="24"/>
          <w:szCs w:val="24"/>
          <w:lang w:eastAsia="zh-CN"/>
        </w:rPr>
      </w:pPr>
    </w:p>
    <w:p w14:paraId="2B345ABD">
      <w:pPr>
        <w:pStyle w:val="11"/>
        <w:spacing w:line="347" w:lineRule="auto"/>
        <w:rPr>
          <w:rFonts w:hint="eastAsia" w:ascii="宋体" w:hAnsi="宋体" w:eastAsia="宋体" w:cs="宋体"/>
          <w:sz w:val="24"/>
          <w:szCs w:val="24"/>
          <w:lang w:eastAsia="zh-CN"/>
        </w:rPr>
      </w:pPr>
    </w:p>
    <w:p w14:paraId="0C2D79DE">
      <w:pPr>
        <w:pStyle w:val="11"/>
        <w:spacing w:line="347" w:lineRule="auto"/>
        <w:rPr>
          <w:rFonts w:hint="eastAsia" w:ascii="宋体" w:hAnsi="宋体" w:eastAsia="宋体" w:cs="宋体"/>
          <w:sz w:val="24"/>
          <w:szCs w:val="24"/>
          <w:lang w:eastAsia="zh-CN"/>
        </w:rPr>
      </w:pPr>
    </w:p>
    <w:p w14:paraId="7E3E5E24">
      <w:pPr>
        <w:pStyle w:val="11"/>
        <w:spacing w:line="347" w:lineRule="auto"/>
        <w:rPr>
          <w:rFonts w:hint="eastAsia" w:ascii="宋体" w:hAnsi="宋体" w:eastAsia="宋体" w:cs="宋体"/>
          <w:sz w:val="24"/>
          <w:szCs w:val="24"/>
          <w:lang w:eastAsia="zh-CN"/>
        </w:rPr>
      </w:pPr>
    </w:p>
    <w:p w14:paraId="2E2047FD">
      <w:pPr>
        <w:pStyle w:val="11"/>
        <w:spacing w:line="347" w:lineRule="auto"/>
        <w:rPr>
          <w:rFonts w:hint="eastAsia" w:ascii="宋体" w:hAnsi="宋体" w:eastAsia="宋体" w:cs="宋体"/>
          <w:sz w:val="24"/>
          <w:szCs w:val="24"/>
          <w:lang w:eastAsia="zh-CN"/>
        </w:rPr>
      </w:pPr>
    </w:p>
    <w:p w14:paraId="4F4A9917">
      <w:pPr>
        <w:pStyle w:val="11"/>
        <w:spacing w:line="347" w:lineRule="auto"/>
        <w:rPr>
          <w:rFonts w:hint="eastAsia" w:ascii="宋体" w:hAnsi="宋体" w:eastAsia="宋体" w:cs="宋体"/>
          <w:sz w:val="24"/>
          <w:szCs w:val="24"/>
          <w:lang w:eastAsia="zh-CN"/>
        </w:rPr>
      </w:pPr>
    </w:p>
    <w:p w14:paraId="0E3F0279">
      <w:pPr>
        <w:pStyle w:val="11"/>
        <w:spacing w:line="347" w:lineRule="auto"/>
        <w:rPr>
          <w:rFonts w:hint="eastAsia" w:ascii="宋体" w:hAnsi="宋体" w:eastAsia="宋体" w:cs="宋体"/>
          <w:sz w:val="24"/>
          <w:szCs w:val="24"/>
          <w:lang w:eastAsia="zh-CN"/>
        </w:rPr>
      </w:pPr>
    </w:p>
    <w:p w14:paraId="55D05856">
      <w:pPr>
        <w:pStyle w:val="11"/>
        <w:spacing w:line="347" w:lineRule="auto"/>
        <w:rPr>
          <w:rFonts w:hint="eastAsia" w:ascii="宋体" w:hAnsi="宋体" w:eastAsia="宋体" w:cs="宋体"/>
          <w:sz w:val="24"/>
          <w:szCs w:val="24"/>
          <w:lang w:eastAsia="zh-CN"/>
        </w:rPr>
      </w:pPr>
    </w:p>
    <w:p w14:paraId="4CD83B32">
      <w:pPr>
        <w:numPr>
          <w:ilvl w:val="0"/>
          <w:numId w:val="9"/>
        </w:numPr>
        <w:spacing w:before="79" w:line="219" w:lineRule="auto"/>
        <w:ind w:left="608"/>
        <w:outlineLvl w:val="2"/>
        <w:rPr>
          <w:rFonts w:hint="eastAsia" w:ascii="宋体" w:hAnsi="宋体" w:eastAsia="宋体" w:cs="宋体"/>
          <w:b/>
          <w:bCs/>
          <w:spacing w:val="-3"/>
          <w:sz w:val="24"/>
          <w:szCs w:val="24"/>
        </w:rPr>
      </w:pPr>
      <w:bookmarkStart w:id="120" w:name="bookmark75"/>
      <w:bookmarkEnd w:id="120"/>
      <w:bookmarkStart w:id="121" w:name="bookmark76"/>
      <w:bookmarkEnd w:id="121"/>
      <w:bookmarkStart w:id="122" w:name="_Toc8933"/>
      <w:bookmarkStart w:id="123" w:name="_Toc29149"/>
      <w:r>
        <w:rPr>
          <w:rFonts w:hint="eastAsia" w:ascii="宋体" w:hAnsi="宋体" w:eastAsia="宋体" w:cs="宋体"/>
          <w:b/>
          <w:bCs/>
          <w:spacing w:val="-3"/>
          <w:sz w:val="24"/>
          <w:szCs w:val="24"/>
        </w:rPr>
        <w:t>专用合同条款数据表</w:t>
      </w:r>
      <w:bookmarkEnd w:id="122"/>
      <w:bookmarkEnd w:id="123"/>
    </w:p>
    <w:p w14:paraId="040A8118">
      <w:pPr>
        <w:numPr>
          <w:ilvl w:val="0"/>
          <w:numId w:val="0"/>
        </w:numPr>
        <w:spacing w:before="79" w:line="219" w:lineRule="auto"/>
        <w:outlineLvl w:val="9"/>
        <w:rPr>
          <w:rFonts w:hint="eastAsia" w:ascii="宋体" w:hAnsi="宋体" w:eastAsia="宋体" w:cs="宋体"/>
          <w:b/>
          <w:bCs/>
          <w:spacing w:val="-3"/>
          <w:sz w:val="24"/>
          <w:szCs w:val="24"/>
        </w:rPr>
      </w:pPr>
    </w:p>
    <w:p w14:paraId="301A48DD">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rPr>
      </w:pPr>
      <w:r>
        <w:rPr>
          <w:rFonts w:hint="eastAsia" w:ascii="宋体" w:hAnsi="宋体" w:eastAsia="宋体" w:cs="宋体"/>
          <w:sz w:val="24"/>
          <w:szCs w:val="24"/>
        </w:rPr>
        <w:t>说明：本数据表是专用合同条款中适用于本项目的信息和数据的归纳与提示，是专用合同条款的组成部分。编写者应仔细校核，避免数据出现差错或不一致。</w:t>
      </w:r>
    </w:p>
    <w:tbl>
      <w:tblPr>
        <w:tblStyle w:val="25"/>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575"/>
        <w:gridCol w:w="958"/>
        <w:gridCol w:w="7737"/>
      </w:tblGrid>
      <w:tr w14:paraId="3903B6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Header/>
          <w:jc w:val="center"/>
        </w:trPr>
        <w:tc>
          <w:tcPr>
            <w:tcW w:w="575" w:type="dxa"/>
            <w:vAlign w:val="center"/>
          </w:tcPr>
          <w:p w14:paraId="3F0148B0">
            <w:pPr>
              <w:spacing w:before="129"/>
              <w:jc w:val="center"/>
              <w:rPr>
                <w:rFonts w:hint="eastAsia" w:ascii="宋体" w:hAnsi="宋体" w:eastAsia="宋体" w:cs="宋体"/>
                <w:b/>
                <w:sz w:val="24"/>
                <w:szCs w:val="24"/>
              </w:rPr>
            </w:pPr>
            <w:r>
              <w:rPr>
                <w:rFonts w:hint="eastAsia" w:ascii="宋体" w:hAnsi="宋体" w:eastAsia="宋体" w:cs="宋体"/>
                <w:b/>
                <w:spacing w:val="-5"/>
                <w:sz w:val="24"/>
                <w:szCs w:val="24"/>
              </w:rPr>
              <w:t>序号</w:t>
            </w:r>
          </w:p>
        </w:tc>
        <w:tc>
          <w:tcPr>
            <w:tcW w:w="958" w:type="dxa"/>
            <w:vAlign w:val="center"/>
          </w:tcPr>
          <w:p w14:paraId="71756E55">
            <w:pPr>
              <w:spacing w:before="129"/>
              <w:jc w:val="center"/>
              <w:rPr>
                <w:rFonts w:hint="eastAsia" w:ascii="宋体" w:hAnsi="宋体" w:eastAsia="宋体" w:cs="宋体"/>
                <w:b/>
                <w:sz w:val="24"/>
                <w:szCs w:val="24"/>
              </w:rPr>
            </w:pPr>
            <w:r>
              <w:rPr>
                <w:rFonts w:hint="eastAsia" w:ascii="宋体" w:hAnsi="宋体" w:eastAsia="宋体" w:cs="宋体"/>
                <w:b/>
                <w:spacing w:val="-4"/>
                <w:sz w:val="24"/>
                <w:szCs w:val="24"/>
              </w:rPr>
              <w:t>条目号</w:t>
            </w:r>
          </w:p>
        </w:tc>
        <w:tc>
          <w:tcPr>
            <w:tcW w:w="7737" w:type="dxa"/>
            <w:vAlign w:val="center"/>
          </w:tcPr>
          <w:p w14:paraId="658ED76D">
            <w:pPr>
              <w:spacing w:before="129"/>
              <w:jc w:val="center"/>
              <w:rPr>
                <w:rFonts w:hint="eastAsia" w:ascii="宋体" w:hAnsi="宋体" w:eastAsia="宋体" w:cs="宋体"/>
                <w:b/>
                <w:sz w:val="24"/>
                <w:szCs w:val="24"/>
              </w:rPr>
            </w:pPr>
            <w:r>
              <w:rPr>
                <w:rFonts w:hint="eastAsia" w:ascii="宋体" w:hAnsi="宋体" w:eastAsia="宋体" w:cs="宋体"/>
                <w:b/>
                <w:spacing w:val="-2"/>
                <w:sz w:val="24"/>
                <w:szCs w:val="24"/>
              </w:rPr>
              <w:t>信息或数据</w:t>
            </w:r>
          </w:p>
        </w:tc>
      </w:tr>
      <w:tr w14:paraId="1FC96B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575" w:type="dxa"/>
            <w:vAlign w:val="center"/>
          </w:tcPr>
          <w:p w14:paraId="4C77EC98">
            <w:pPr>
              <w:spacing w:before="69"/>
              <w:jc w:val="center"/>
              <w:rPr>
                <w:rFonts w:hint="eastAsia" w:ascii="宋体" w:hAnsi="宋体" w:eastAsia="宋体" w:cs="宋体"/>
                <w:sz w:val="24"/>
                <w:szCs w:val="24"/>
              </w:rPr>
            </w:pPr>
            <w:r>
              <w:rPr>
                <w:rFonts w:hint="eastAsia" w:ascii="宋体" w:hAnsi="宋体" w:eastAsia="宋体" w:cs="宋体"/>
                <w:sz w:val="24"/>
                <w:szCs w:val="24"/>
              </w:rPr>
              <w:t>1</w:t>
            </w:r>
          </w:p>
        </w:tc>
        <w:tc>
          <w:tcPr>
            <w:tcW w:w="958" w:type="dxa"/>
            <w:vAlign w:val="center"/>
          </w:tcPr>
          <w:p w14:paraId="62229F40">
            <w:pPr>
              <w:spacing w:before="69"/>
              <w:jc w:val="center"/>
              <w:rPr>
                <w:rFonts w:hint="eastAsia" w:ascii="宋体" w:hAnsi="宋体" w:eastAsia="宋体" w:cs="宋体"/>
                <w:sz w:val="24"/>
                <w:szCs w:val="24"/>
              </w:rPr>
            </w:pPr>
            <w:r>
              <w:rPr>
                <w:rFonts w:hint="eastAsia" w:ascii="宋体" w:hAnsi="宋体" w:eastAsia="宋体" w:cs="宋体"/>
                <w:spacing w:val="-5"/>
                <w:sz w:val="24"/>
                <w:szCs w:val="24"/>
              </w:rPr>
              <w:t>1.1.2.2</w:t>
            </w:r>
          </w:p>
        </w:tc>
        <w:tc>
          <w:tcPr>
            <w:tcW w:w="7737" w:type="dxa"/>
            <w:vAlign w:val="center"/>
          </w:tcPr>
          <w:p w14:paraId="54D256C8">
            <w:pPr>
              <w:spacing w:before="112"/>
              <w:jc w:val="left"/>
              <w:rPr>
                <w:rFonts w:hint="eastAsia" w:ascii="宋体" w:hAnsi="宋体" w:eastAsia="宋体" w:cs="宋体"/>
                <w:color w:val="auto"/>
                <w:spacing w:val="-17"/>
                <w:sz w:val="24"/>
                <w:szCs w:val="24"/>
                <w:highlight w:val="none"/>
              </w:rPr>
            </w:pPr>
            <w:r>
              <w:rPr>
                <w:rFonts w:hint="eastAsia" w:ascii="宋体" w:hAnsi="宋体" w:eastAsia="宋体" w:cs="宋体"/>
                <w:color w:val="auto"/>
                <w:spacing w:val="-17"/>
                <w:sz w:val="24"/>
                <w:szCs w:val="24"/>
                <w:highlight w:val="none"/>
              </w:rPr>
              <w:t>发</w:t>
            </w:r>
            <w:r>
              <w:rPr>
                <w:rFonts w:hint="eastAsia" w:ascii="宋体" w:hAnsi="宋体" w:eastAsia="宋体" w:cs="宋体"/>
                <w:color w:val="auto"/>
                <w:spacing w:val="11"/>
                <w:sz w:val="24"/>
                <w:szCs w:val="24"/>
                <w:highlight w:val="none"/>
              </w:rPr>
              <w:t xml:space="preserve"> </w:t>
            </w:r>
            <w:r>
              <w:rPr>
                <w:rFonts w:hint="eastAsia" w:ascii="宋体" w:hAnsi="宋体" w:eastAsia="宋体" w:cs="宋体"/>
                <w:color w:val="auto"/>
                <w:spacing w:val="-17"/>
                <w:sz w:val="24"/>
                <w:szCs w:val="24"/>
                <w:highlight w:val="none"/>
              </w:rPr>
              <w:t>包</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17"/>
                <w:sz w:val="24"/>
                <w:szCs w:val="24"/>
                <w:highlight w:val="none"/>
              </w:rPr>
              <w:t>人</w:t>
            </w:r>
            <w:r>
              <w:rPr>
                <w:rFonts w:hint="eastAsia" w:ascii="宋体" w:hAnsi="宋体" w:eastAsia="宋体" w:cs="宋体"/>
                <w:color w:val="auto"/>
                <w:spacing w:val="-90"/>
                <w:sz w:val="24"/>
                <w:szCs w:val="24"/>
                <w:highlight w:val="none"/>
              </w:rPr>
              <w:t xml:space="preserve"> </w:t>
            </w:r>
            <w:r>
              <w:rPr>
                <w:rFonts w:hint="eastAsia" w:ascii="宋体" w:hAnsi="宋体" w:eastAsia="宋体" w:cs="宋体"/>
                <w:color w:val="auto"/>
                <w:spacing w:val="-17"/>
                <w:sz w:val="24"/>
                <w:szCs w:val="24"/>
                <w:highlight w:val="none"/>
              </w:rPr>
              <w:t>：</w:t>
            </w:r>
          </w:p>
          <w:p w14:paraId="48DA1A6B">
            <w:pPr>
              <w:spacing w:before="112"/>
              <w:jc w:val="left"/>
              <w:rPr>
                <w:rFonts w:ascii="宋体" w:cs="宋体"/>
                <w:color w:val="auto"/>
                <w:kern w:val="0"/>
                <w:sz w:val="24"/>
                <w:szCs w:val="24"/>
                <w:highlight w:val="none"/>
              </w:rPr>
            </w:pPr>
            <w:r>
              <w:rPr>
                <w:rFonts w:hint="eastAsia" w:ascii="宋体" w:cs="宋体"/>
                <w:b/>
                <w:bCs/>
                <w:color w:val="auto"/>
                <w:sz w:val="24"/>
                <w:szCs w:val="24"/>
                <w:highlight w:val="none"/>
              </w:rPr>
              <w:t>广西壮族自治区恭城公路养护中心（牵头单位）</w:t>
            </w:r>
          </w:p>
          <w:p w14:paraId="199116E1">
            <w:pPr>
              <w:spacing w:before="112"/>
              <w:jc w:val="left"/>
              <w:rPr>
                <w:rFonts w:ascii="宋体" w:cs="宋体"/>
                <w:color w:val="auto"/>
                <w:kern w:val="0"/>
                <w:sz w:val="24"/>
                <w:szCs w:val="24"/>
                <w:highlight w:val="none"/>
              </w:rPr>
            </w:pPr>
            <w:r>
              <w:rPr>
                <w:rFonts w:ascii="宋体" w:hAnsi="宋体" w:cs="宋体"/>
                <w:color w:val="auto"/>
                <w:spacing w:val="-4"/>
                <w:sz w:val="24"/>
                <w:szCs w:val="24"/>
                <w:highlight w:val="none"/>
              </w:rPr>
              <w:t>住    所：</w:t>
            </w:r>
            <w:r>
              <w:rPr>
                <w:rFonts w:hint="eastAsia" w:ascii="宋体" w:hAnsi="宋体" w:cs="宋体"/>
                <w:color w:val="auto"/>
                <w:sz w:val="24"/>
                <w:szCs w:val="24"/>
                <w:highlight w:val="none"/>
                <w:u w:val="single"/>
                <w:lang w:val="en-US" w:eastAsia="zh-CN"/>
              </w:rPr>
              <w:t>桂林市恭城镇城中西路八巷3号</w:t>
            </w:r>
            <w:r>
              <w:rPr>
                <w:rFonts w:hint="eastAsia" w:ascii="宋体" w:hAnsi="宋体" w:cs="宋体"/>
                <w:color w:val="auto"/>
                <w:sz w:val="24"/>
                <w:szCs w:val="24"/>
                <w:highlight w:val="none"/>
                <w:u w:val="single"/>
              </w:rPr>
              <w:t xml:space="preserve"> </w:t>
            </w:r>
            <w:r>
              <w:rPr>
                <w:rFonts w:ascii="宋体" w:hAnsi="宋体" w:cs="宋体"/>
                <w:color w:val="auto"/>
                <w:spacing w:val="-82"/>
                <w:sz w:val="24"/>
                <w:szCs w:val="24"/>
                <w:highlight w:val="none"/>
              </w:rPr>
              <w:t xml:space="preserve"> </w:t>
            </w:r>
            <w:r>
              <w:rPr>
                <w:rFonts w:ascii="宋体" w:hAnsi="宋体" w:cs="宋体"/>
                <w:color w:val="auto"/>
                <w:spacing w:val="-4"/>
                <w:sz w:val="24"/>
                <w:szCs w:val="24"/>
                <w:highlight w:val="none"/>
              </w:rPr>
              <w:t>邮政编码：</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542500</w:t>
            </w:r>
            <w:r>
              <w:rPr>
                <w:rFonts w:hint="eastAsia" w:ascii="宋体" w:cs="宋体"/>
                <w:color w:val="auto"/>
                <w:sz w:val="24"/>
                <w:szCs w:val="24"/>
                <w:highlight w:val="none"/>
                <w:u w:val="single"/>
              </w:rPr>
              <w:t xml:space="preserve"> </w:t>
            </w:r>
          </w:p>
          <w:p w14:paraId="72382B2D">
            <w:pPr>
              <w:spacing w:before="112"/>
              <w:jc w:val="left"/>
              <w:rPr>
                <w:rFonts w:ascii="宋体" w:cs="宋体"/>
                <w:color w:val="auto"/>
                <w:kern w:val="0"/>
                <w:sz w:val="24"/>
                <w:szCs w:val="24"/>
                <w:highlight w:val="none"/>
              </w:rPr>
            </w:pPr>
            <w:r>
              <w:rPr>
                <w:rFonts w:hint="eastAsia" w:ascii="宋体" w:hAnsi="宋体" w:cs="宋体"/>
                <w:b/>
                <w:bCs/>
                <w:color w:val="auto"/>
                <w:sz w:val="24"/>
                <w:szCs w:val="24"/>
                <w:highlight w:val="none"/>
              </w:rPr>
              <w:t>广西壮族自治区平乐公路养护中心</w:t>
            </w:r>
          </w:p>
          <w:p w14:paraId="615B0F90">
            <w:pPr>
              <w:spacing w:before="112"/>
              <w:jc w:val="left"/>
              <w:rPr>
                <w:rFonts w:ascii="宋体" w:cs="宋体"/>
                <w:color w:val="auto"/>
                <w:kern w:val="0"/>
                <w:sz w:val="24"/>
                <w:szCs w:val="24"/>
                <w:highlight w:val="none"/>
              </w:rPr>
            </w:pPr>
            <w:r>
              <w:rPr>
                <w:rFonts w:ascii="宋体" w:hAnsi="宋体" w:cs="宋体"/>
                <w:color w:val="auto"/>
                <w:spacing w:val="-4"/>
                <w:sz w:val="24"/>
                <w:szCs w:val="24"/>
                <w:highlight w:val="none"/>
              </w:rPr>
              <w:t>住    所：</w:t>
            </w:r>
            <w:r>
              <w:rPr>
                <w:rFonts w:hint="eastAsia" w:ascii="宋体" w:hAnsi="宋体" w:cs="宋体"/>
                <w:color w:val="auto"/>
                <w:sz w:val="24"/>
                <w:szCs w:val="24"/>
                <w:highlight w:val="none"/>
                <w:u w:val="single"/>
                <w:lang w:val="en-US" w:eastAsia="zh-CN"/>
              </w:rPr>
              <w:t>广西平乐县平乐镇安良街002号</w:t>
            </w:r>
            <w:r>
              <w:rPr>
                <w:rFonts w:hint="eastAsia" w:ascii="宋体" w:hAnsi="宋体" w:cs="宋体"/>
                <w:color w:val="auto"/>
                <w:sz w:val="24"/>
                <w:szCs w:val="24"/>
                <w:highlight w:val="none"/>
                <w:u w:val="single"/>
              </w:rPr>
              <w:t xml:space="preserve"> </w:t>
            </w:r>
            <w:r>
              <w:rPr>
                <w:rFonts w:ascii="宋体" w:hAnsi="宋体" w:cs="宋体"/>
                <w:color w:val="auto"/>
                <w:spacing w:val="-82"/>
                <w:sz w:val="24"/>
                <w:szCs w:val="24"/>
                <w:highlight w:val="none"/>
              </w:rPr>
              <w:t xml:space="preserve"> </w:t>
            </w:r>
            <w:r>
              <w:rPr>
                <w:rFonts w:ascii="宋体" w:hAnsi="宋体" w:cs="宋体"/>
                <w:color w:val="auto"/>
                <w:spacing w:val="-4"/>
                <w:sz w:val="24"/>
                <w:szCs w:val="24"/>
                <w:highlight w:val="none"/>
              </w:rPr>
              <w:t>邮政编码：</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542400 </w:t>
            </w:r>
          </w:p>
          <w:p w14:paraId="51EBF57D">
            <w:pPr>
              <w:spacing w:before="112"/>
              <w:jc w:val="left"/>
              <w:rPr>
                <w:rFonts w:ascii="宋体" w:cs="宋体"/>
                <w:color w:val="auto"/>
                <w:kern w:val="0"/>
                <w:sz w:val="24"/>
                <w:szCs w:val="24"/>
                <w:highlight w:val="none"/>
              </w:rPr>
            </w:pPr>
            <w:r>
              <w:rPr>
                <w:rFonts w:hint="eastAsia" w:ascii="宋体" w:hAnsi="宋体" w:cs="宋体"/>
                <w:b/>
                <w:bCs/>
                <w:color w:val="auto"/>
                <w:sz w:val="24"/>
                <w:szCs w:val="24"/>
                <w:highlight w:val="none"/>
              </w:rPr>
              <w:t>广西壮族自治区阳朔公路养护中心</w:t>
            </w:r>
          </w:p>
          <w:p w14:paraId="4B2D3219">
            <w:pPr>
              <w:rPr>
                <w:rFonts w:ascii="宋体" w:hAnsi="宋体" w:cs="宋体"/>
                <w:color w:val="auto"/>
                <w:sz w:val="24"/>
                <w:szCs w:val="24"/>
                <w:highlight w:val="none"/>
                <w:u w:val="single"/>
              </w:rPr>
            </w:pPr>
            <w:r>
              <w:rPr>
                <w:rFonts w:hint="eastAsia" w:ascii="宋体" w:hAnsi="宋体" w:cs="宋体"/>
                <w:color w:val="auto"/>
                <w:spacing w:val="-4"/>
                <w:sz w:val="24"/>
                <w:szCs w:val="24"/>
                <w:highlight w:val="none"/>
              </w:rPr>
              <w:t>住</w:t>
            </w:r>
            <w:r>
              <w:rPr>
                <w:rFonts w:ascii="宋体" w:hAnsi="宋体" w:cs="宋体"/>
                <w:color w:val="auto"/>
                <w:spacing w:val="-4"/>
                <w:sz w:val="24"/>
                <w:szCs w:val="24"/>
                <w:highlight w:val="none"/>
              </w:rPr>
              <w:t xml:space="preserve">  </w:t>
            </w:r>
            <w:r>
              <w:rPr>
                <w:rFonts w:hint="eastAsia" w:ascii="宋体" w:hAnsi="宋体" w:cs="宋体"/>
                <w:color w:val="auto"/>
                <w:spacing w:val="-4"/>
                <w:sz w:val="24"/>
                <w:szCs w:val="24"/>
                <w:highlight w:val="none"/>
              </w:rPr>
              <w:t xml:space="preserve"> </w:t>
            </w:r>
            <w:r>
              <w:rPr>
                <w:rFonts w:ascii="宋体" w:hAnsi="宋体" w:cs="宋体"/>
                <w:color w:val="auto"/>
                <w:spacing w:val="-4"/>
                <w:sz w:val="24"/>
                <w:szCs w:val="24"/>
                <w:highlight w:val="none"/>
              </w:rPr>
              <w:t xml:space="preserve"> </w:t>
            </w:r>
            <w:r>
              <w:rPr>
                <w:rFonts w:hint="eastAsia" w:ascii="宋体" w:hAnsi="宋体" w:cs="宋体"/>
                <w:color w:val="auto"/>
                <w:spacing w:val="-4"/>
                <w:sz w:val="24"/>
                <w:szCs w:val="24"/>
                <w:highlight w:val="none"/>
              </w:rPr>
              <w:t>所：</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‌桂林市阳朔县阳朔镇城西路150号‌</w:t>
            </w:r>
            <w:r>
              <w:rPr>
                <w:rFonts w:ascii="宋体" w:hAnsi="宋体" w:cs="宋体"/>
                <w:color w:val="auto"/>
                <w:sz w:val="24"/>
                <w:szCs w:val="24"/>
                <w:highlight w:val="none"/>
                <w:u w:val="single"/>
              </w:rPr>
              <w:t xml:space="preserve"> </w:t>
            </w:r>
            <w:r>
              <w:rPr>
                <w:rFonts w:ascii="宋体" w:hAnsi="宋体" w:cs="宋体"/>
                <w:color w:val="auto"/>
                <w:spacing w:val="-82"/>
                <w:sz w:val="24"/>
                <w:szCs w:val="24"/>
                <w:highlight w:val="none"/>
              </w:rPr>
              <w:t xml:space="preserve"> </w:t>
            </w:r>
            <w:r>
              <w:rPr>
                <w:rFonts w:hint="eastAsia" w:ascii="宋体" w:hAnsi="宋体" w:cs="宋体"/>
                <w:color w:val="auto"/>
                <w:spacing w:val="-4"/>
                <w:sz w:val="24"/>
                <w:szCs w:val="24"/>
                <w:highlight w:val="none"/>
              </w:rPr>
              <w:t>邮政编码：</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541900</w:t>
            </w:r>
            <w:r>
              <w:rPr>
                <w:rFonts w:ascii="宋体" w:hAnsi="宋体" w:cs="宋体"/>
                <w:color w:val="auto"/>
                <w:sz w:val="24"/>
                <w:szCs w:val="24"/>
                <w:highlight w:val="none"/>
                <w:u w:val="single"/>
              </w:rPr>
              <w:t xml:space="preserve"> </w:t>
            </w:r>
          </w:p>
          <w:p w14:paraId="094E763E">
            <w:pPr>
              <w:spacing w:before="112"/>
              <w:jc w:val="left"/>
              <w:rPr>
                <w:rFonts w:ascii="宋体" w:cs="宋体"/>
                <w:color w:val="auto"/>
                <w:kern w:val="0"/>
                <w:sz w:val="24"/>
                <w:szCs w:val="24"/>
                <w:highlight w:val="none"/>
              </w:rPr>
            </w:pPr>
            <w:r>
              <w:rPr>
                <w:rFonts w:hint="eastAsia" w:ascii="宋体" w:hAnsi="宋体" w:cs="宋体"/>
                <w:b/>
                <w:bCs/>
                <w:color w:val="auto"/>
                <w:sz w:val="24"/>
                <w:szCs w:val="24"/>
                <w:highlight w:val="none"/>
              </w:rPr>
              <w:t>广西壮族自治区灌阳公路养护中心</w:t>
            </w:r>
          </w:p>
          <w:p w14:paraId="4037B89E">
            <w:pPr>
              <w:rPr>
                <w:rFonts w:ascii="宋体" w:hAnsi="宋体" w:cs="宋体"/>
                <w:color w:val="auto"/>
                <w:sz w:val="24"/>
                <w:szCs w:val="24"/>
                <w:highlight w:val="none"/>
                <w:u w:val="single"/>
              </w:rPr>
            </w:pPr>
            <w:r>
              <w:rPr>
                <w:rFonts w:hint="eastAsia" w:ascii="宋体" w:hAnsi="宋体" w:cs="宋体"/>
                <w:color w:val="auto"/>
                <w:spacing w:val="-4"/>
                <w:sz w:val="24"/>
                <w:szCs w:val="24"/>
                <w:highlight w:val="none"/>
              </w:rPr>
              <w:t>住</w:t>
            </w:r>
            <w:r>
              <w:rPr>
                <w:rFonts w:ascii="宋体" w:hAnsi="宋体" w:cs="宋体"/>
                <w:color w:val="auto"/>
                <w:spacing w:val="-4"/>
                <w:sz w:val="24"/>
                <w:szCs w:val="24"/>
                <w:highlight w:val="none"/>
              </w:rPr>
              <w:t xml:space="preserve">  </w:t>
            </w:r>
            <w:r>
              <w:rPr>
                <w:rFonts w:hint="eastAsia" w:ascii="宋体" w:hAnsi="宋体" w:cs="宋体"/>
                <w:color w:val="auto"/>
                <w:spacing w:val="-4"/>
                <w:sz w:val="24"/>
                <w:szCs w:val="24"/>
                <w:highlight w:val="none"/>
              </w:rPr>
              <w:t xml:space="preserve"> </w:t>
            </w:r>
            <w:r>
              <w:rPr>
                <w:rFonts w:ascii="宋体" w:hAnsi="宋体" w:cs="宋体"/>
                <w:color w:val="auto"/>
                <w:spacing w:val="-4"/>
                <w:sz w:val="24"/>
                <w:szCs w:val="24"/>
                <w:highlight w:val="none"/>
              </w:rPr>
              <w:t xml:space="preserve"> </w:t>
            </w:r>
            <w:r>
              <w:rPr>
                <w:rFonts w:hint="eastAsia" w:ascii="宋体" w:hAnsi="宋体" w:cs="宋体"/>
                <w:color w:val="auto"/>
                <w:spacing w:val="-4"/>
                <w:sz w:val="24"/>
                <w:szCs w:val="24"/>
                <w:highlight w:val="none"/>
              </w:rPr>
              <w:t>所：</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桂林市灌阳县灌江北路169号</w:t>
            </w:r>
            <w:r>
              <w:rPr>
                <w:rFonts w:ascii="宋体" w:hAnsi="宋体" w:cs="宋体"/>
                <w:color w:val="auto"/>
                <w:sz w:val="24"/>
                <w:szCs w:val="24"/>
                <w:highlight w:val="none"/>
                <w:u w:val="single"/>
              </w:rPr>
              <w:t xml:space="preserve"> </w:t>
            </w:r>
            <w:r>
              <w:rPr>
                <w:rFonts w:ascii="宋体" w:hAnsi="宋体" w:cs="宋体"/>
                <w:color w:val="auto"/>
                <w:spacing w:val="-82"/>
                <w:sz w:val="24"/>
                <w:szCs w:val="24"/>
                <w:highlight w:val="none"/>
              </w:rPr>
              <w:t xml:space="preserve"> </w:t>
            </w:r>
            <w:r>
              <w:rPr>
                <w:rFonts w:hint="eastAsia" w:ascii="宋体" w:hAnsi="宋体" w:cs="宋体"/>
                <w:color w:val="auto"/>
                <w:spacing w:val="-4"/>
                <w:sz w:val="24"/>
                <w:szCs w:val="24"/>
                <w:highlight w:val="none"/>
              </w:rPr>
              <w:t>邮政编码：</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541600</w:t>
            </w:r>
            <w:r>
              <w:rPr>
                <w:rFonts w:ascii="宋体" w:hAnsi="宋体" w:cs="宋体"/>
                <w:color w:val="auto"/>
                <w:sz w:val="24"/>
                <w:szCs w:val="24"/>
                <w:highlight w:val="none"/>
                <w:u w:val="single"/>
              </w:rPr>
              <w:t xml:space="preserve"> </w:t>
            </w:r>
          </w:p>
          <w:p w14:paraId="58E0F5CB">
            <w:pPr>
              <w:rPr>
                <w:rFonts w:hint="eastAsia" w:ascii="宋体" w:hAnsi="宋体" w:eastAsia="宋体" w:cs="宋体"/>
                <w:sz w:val="24"/>
                <w:szCs w:val="24"/>
              </w:rPr>
            </w:pPr>
          </w:p>
          <w:p w14:paraId="72B10EE6">
            <w:pPr>
              <w:rPr>
                <w:rFonts w:hint="eastAsia" w:ascii="宋体" w:hAnsi="宋体" w:eastAsia="宋体" w:cs="宋体"/>
                <w:sz w:val="24"/>
                <w:szCs w:val="24"/>
              </w:rPr>
            </w:pPr>
          </w:p>
          <w:p w14:paraId="5728D051">
            <w:pPr>
              <w:rPr>
                <w:rFonts w:hint="eastAsia" w:ascii="宋体" w:hAnsi="宋体" w:eastAsia="宋体" w:cs="宋体"/>
                <w:sz w:val="24"/>
                <w:szCs w:val="24"/>
              </w:rPr>
            </w:pPr>
          </w:p>
          <w:p w14:paraId="015407C7">
            <w:pPr>
              <w:rPr>
                <w:rFonts w:hint="eastAsia" w:ascii="宋体" w:hAnsi="宋体" w:eastAsia="宋体" w:cs="宋体"/>
                <w:sz w:val="24"/>
                <w:szCs w:val="24"/>
              </w:rPr>
            </w:pPr>
          </w:p>
          <w:p w14:paraId="3D26A855">
            <w:pPr>
              <w:spacing w:before="112"/>
              <w:jc w:val="left"/>
              <w:rPr>
                <w:rFonts w:hint="eastAsia" w:ascii="宋体" w:hAnsi="宋体" w:eastAsia="宋体" w:cs="宋体"/>
                <w:sz w:val="24"/>
                <w:szCs w:val="24"/>
              </w:rPr>
            </w:pPr>
          </w:p>
        </w:tc>
      </w:tr>
      <w:tr w14:paraId="01FAED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575" w:type="dxa"/>
            <w:vAlign w:val="center"/>
          </w:tcPr>
          <w:p w14:paraId="6C127219">
            <w:pPr>
              <w:spacing w:before="69"/>
              <w:jc w:val="center"/>
              <w:rPr>
                <w:rFonts w:hint="eastAsia" w:ascii="宋体" w:hAnsi="宋体" w:eastAsia="宋体" w:cs="宋体"/>
                <w:sz w:val="24"/>
                <w:szCs w:val="24"/>
              </w:rPr>
            </w:pPr>
            <w:r>
              <w:rPr>
                <w:rFonts w:hint="eastAsia" w:ascii="宋体" w:hAnsi="宋体" w:eastAsia="宋体" w:cs="宋体"/>
                <w:sz w:val="24"/>
                <w:szCs w:val="24"/>
              </w:rPr>
              <w:t>2</w:t>
            </w:r>
          </w:p>
        </w:tc>
        <w:tc>
          <w:tcPr>
            <w:tcW w:w="958" w:type="dxa"/>
            <w:vAlign w:val="center"/>
          </w:tcPr>
          <w:p w14:paraId="0A3FCA86">
            <w:pPr>
              <w:spacing w:before="69"/>
              <w:jc w:val="center"/>
              <w:rPr>
                <w:rFonts w:hint="eastAsia" w:ascii="宋体" w:hAnsi="宋体" w:eastAsia="宋体" w:cs="宋体"/>
                <w:sz w:val="24"/>
                <w:szCs w:val="24"/>
              </w:rPr>
            </w:pPr>
            <w:r>
              <w:rPr>
                <w:rFonts w:hint="eastAsia" w:ascii="宋体" w:hAnsi="宋体" w:eastAsia="宋体" w:cs="宋体"/>
                <w:spacing w:val="-5"/>
                <w:sz w:val="24"/>
                <w:szCs w:val="24"/>
              </w:rPr>
              <w:t>1.1.2.7</w:t>
            </w:r>
          </w:p>
        </w:tc>
        <w:tc>
          <w:tcPr>
            <w:tcW w:w="7737" w:type="dxa"/>
            <w:vAlign w:val="center"/>
          </w:tcPr>
          <w:p w14:paraId="7B836B24">
            <w:pPr>
              <w:spacing w:before="114"/>
              <w:jc w:val="left"/>
              <w:rPr>
                <w:rFonts w:hint="eastAsia" w:ascii="宋体" w:hAnsi="宋体" w:eastAsia="宋体" w:cs="宋体"/>
                <w:spacing w:val="11"/>
                <w:sz w:val="24"/>
                <w:szCs w:val="24"/>
                <w:lang w:eastAsia="zh-CN"/>
              </w:rPr>
            </w:pPr>
            <w:r>
              <w:rPr>
                <w:rFonts w:hint="eastAsia" w:ascii="宋体" w:hAnsi="宋体" w:eastAsia="宋体" w:cs="宋体"/>
                <w:spacing w:val="11"/>
                <w:sz w:val="24"/>
                <w:szCs w:val="24"/>
              </w:rPr>
              <w:t>咨 询 人（监理人）：</w:t>
            </w:r>
            <w:r>
              <w:rPr>
                <w:rFonts w:hint="eastAsia" w:ascii="宋体" w:hAnsi="宋体" w:eastAsia="宋体" w:cs="宋体"/>
                <w:spacing w:val="11"/>
                <w:sz w:val="24"/>
                <w:szCs w:val="24"/>
                <w:u w:val="none"/>
                <w:lang w:eastAsia="zh-CN"/>
              </w:rPr>
              <w:t>本项目不委托咨询人（监理人）。发包人自行履行通用条款中和合同实施管理中涉及咨询人（监理人）的全部职责与义务</w:t>
            </w:r>
            <w:r>
              <w:rPr>
                <w:rFonts w:hint="eastAsia" w:ascii="宋体" w:hAnsi="宋体" w:eastAsia="宋体" w:cs="宋体"/>
                <w:color w:val="auto"/>
                <w:spacing w:val="11"/>
                <w:sz w:val="24"/>
                <w:szCs w:val="24"/>
                <w:lang w:eastAsia="zh-CN"/>
              </w:rPr>
              <w:t>。</w:t>
            </w:r>
          </w:p>
        </w:tc>
      </w:tr>
      <w:tr w14:paraId="7E2C2F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575" w:type="dxa"/>
            <w:vAlign w:val="center"/>
          </w:tcPr>
          <w:p w14:paraId="55D91465">
            <w:pPr>
              <w:spacing w:before="187"/>
              <w:jc w:val="center"/>
              <w:rPr>
                <w:rFonts w:hint="eastAsia" w:ascii="宋体" w:hAnsi="宋体" w:eastAsia="宋体" w:cs="宋体"/>
                <w:sz w:val="24"/>
                <w:szCs w:val="24"/>
              </w:rPr>
            </w:pPr>
            <w:r>
              <w:rPr>
                <w:rFonts w:hint="eastAsia" w:ascii="宋体" w:hAnsi="宋体" w:eastAsia="宋体" w:cs="宋体"/>
                <w:sz w:val="24"/>
                <w:szCs w:val="24"/>
              </w:rPr>
              <w:t>3</w:t>
            </w:r>
          </w:p>
        </w:tc>
        <w:tc>
          <w:tcPr>
            <w:tcW w:w="958" w:type="dxa"/>
            <w:vAlign w:val="center"/>
          </w:tcPr>
          <w:p w14:paraId="70EE20E0">
            <w:pPr>
              <w:spacing w:before="187"/>
              <w:jc w:val="center"/>
              <w:rPr>
                <w:rFonts w:hint="eastAsia" w:ascii="宋体" w:hAnsi="宋体" w:eastAsia="宋体" w:cs="宋体"/>
                <w:sz w:val="24"/>
                <w:szCs w:val="24"/>
              </w:rPr>
            </w:pPr>
            <w:r>
              <w:rPr>
                <w:rFonts w:hint="eastAsia" w:ascii="宋体" w:hAnsi="宋体" w:eastAsia="宋体" w:cs="宋体"/>
                <w:spacing w:val="-5"/>
                <w:sz w:val="24"/>
                <w:szCs w:val="24"/>
              </w:rPr>
              <w:t>1.1.4.5</w:t>
            </w:r>
          </w:p>
        </w:tc>
        <w:tc>
          <w:tcPr>
            <w:tcW w:w="7737" w:type="dxa"/>
            <w:vAlign w:val="center"/>
          </w:tcPr>
          <w:p w14:paraId="109D4154">
            <w:pPr>
              <w:spacing w:before="109"/>
              <w:jc w:val="left"/>
              <w:rPr>
                <w:rFonts w:hint="eastAsia" w:ascii="宋体" w:hAnsi="宋体" w:eastAsia="宋体" w:cs="宋体"/>
                <w:sz w:val="24"/>
                <w:szCs w:val="24"/>
              </w:rPr>
            </w:pPr>
            <w:r>
              <w:rPr>
                <w:rFonts w:hint="eastAsia" w:ascii="宋体" w:hAnsi="宋体" w:eastAsia="宋体" w:cs="宋体"/>
                <w:spacing w:val="-4"/>
                <w:sz w:val="24"/>
                <w:szCs w:val="24"/>
              </w:rPr>
              <w:t>缺陷责任期：</w:t>
            </w:r>
            <w:r>
              <w:rPr>
                <w:rFonts w:hint="eastAsia" w:ascii="宋体" w:hAnsi="宋体" w:eastAsia="宋体" w:cs="宋体"/>
                <w:spacing w:val="-58"/>
                <w:sz w:val="24"/>
                <w:szCs w:val="24"/>
              </w:rPr>
              <w:t xml:space="preserve"> </w:t>
            </w:r>
            <w:r>
              <w:rPr>
                <w:rFonts w:hint="eastAsia" w:ascii="宋体" w:hAnsi="宋体" w:eastAsia="宋体" w:cs="宋体"/>
                <w:spacing w:val="-4"/>
                <w:sz w:val="24"/>
                <w:szCs w:val="24"/>
              </w:rPr>
              <w:t>自实际交工日期起计算</w:t>
            </w:r>
            <w:r>
              <w:rPr>
                <w:rFonts w:hint="eastAsia" w:ascii="宋体" w:hAnsi="宋体" w:eastAsia="宋体" w:cs="宋体"/>
                <w:spacing w:val="-4"/>
                <w:sz w:val="24"/>
                <w:szCs w:val="24"/>
                <w:u w:val="single"/>
              </w:rPr>
              <w:t xml:space="preserve">  6个月 </w:t>
            </w:r>
            <w:r>
              <w:rPr>
                <w:rFonts w:hint="eastAsia" w:ascii="宋体" w:hAnsi="宋体" w:eastAsia="宋体" w:cs="宋体"/>
                <w:spacing w:val="-109"/>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"bookmark240" </w:instrText>
            </w:r>
            <w:r>
              <w:rPr>
                <w:rFonts w:hint="eastAsia" w:ascii="宋体" w:hAnsi="宋体" w:eastAsia="宋体" w:cs="宋体"/>
                <w:sz w:val="24"/>
                <w:szCs w:val="24"/>
              </w:rPr>
              <w:fldChar w:fldCharType="separate"/>
            </w:r>
            <w:r>
              <w:rPr>
                <w:rFonts w:hint="eastAsia" w:ascii="宋体" w:hAnsi="宋体" w:eastAsia="宋体" w:cs="宋体"/>
                <w:spacing w:val="-4"/>
                <w:position w:val="12"/>
                <w:sz w:val="24"/>
                <w:szCs w:val="24"/>
              </w:rPr>
              <w:t>①</w:t>
            </w:r>
            <w:r>
              <w:rPr>
                <w:rFonts w:hint="eastAsia" w:ascii="宋体" w:hAnsi="宋体" w:eastAsia="宋体" w:cs="宋体"/>
                <w:spacing w:val="-4"/>
                <w:position w:val="12"/>
                <w:sz w:val="24"/>
                <w:szCs w:val="24"/>
              </w:rPr>
              <w:fldChar w:fldCharType="end"/>
            </w:r>
          </w:p>
        </w:tc>
      </w:tr>
      <w:tr w14:paraId="273D80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575" w:type="dxa"/>
            <w:vAlign w:val="center"/>
          </w:tcPr>
          <w:p w14:paraId="1BAF0EB1">
            <w:pPr>
              <w:spacing w:before="188"/>
              <w:jc w:val="center"/>
              <w:rPr>
                <w:rFonts w:hint="eastAsia" w:ascii="宋体" w:hAnsi="宋体" w:eastAsia="宋体" w:cs="宋体"/>
                <w:sz w:val="24"/>
                <w:szCs w:val="24"/>
              </w:rPr>
            </w:pPr>
            <w:r>
              <w:rPr>
                <w:rFonts w:hint="eastAsia" w:ascii="宋体" w:hAnsi="宋体" w:eastAsia="宋体" w:cs="宋体"/>
                <w:sz w:val="24"/>
                <w:szCs w:val="24"/>
              </w:rPr>
              <w:t>4</w:t>
            </w:r>
          </w:p>
        </w:tc>
        <w:tc>
          <w:tcPr>
            <w:tcW w:w="958" w:type="dxa"/>
            <w:vAlign w:val="center"/>
          </w:tcPr>
          <w:p w14:paraId="6F47C0DB">
            <w:pPr>
              <w:spacing w:before="188"/>
              <w:jc w:val="center"/>
              <w:rPr>
                <w:rFonts w:hint="eastAsia" w:ascii="宋体" w:hAnsi="宋体" w:eastAsia="宋体" w:cs="宋体"/>
                <w:sz w:val="24"/>
                <w:szCs w:val="24"/>
              </w:rPr>
            </w:pPr>
            <w:r>
              <w:rPr>
                <w:rFonts w:hint="eastAsia" w:ascii="宋体" w:hAnsi="宋体" w:eastAsia="宋体" w:cs="宋体"/>
                <w:spacing w:val="-6"/>
                <w:sz w:val="24"/>
                <w:szCs w:val="24"/>
              </w:rPr>
              <w:t>1.5.1</w:t>
            </w:r>
          </w:p>
        </w:tc>
        <w:tc>
          <w:tcPr>
            <w:tcW w:w="7737" w:type="dxa"/>
            <w:vAlign w:val="center"/>
          </w:tcPr>
          <w:p w14:paraId="535A4739">
            <w:pPr>
              <w:spacing w:before="129"/>
              <w:jc w:val="left"/>
              <w:rPr>
                <w:rFonts w:hint="eastAsia" w:ascii="宋体" w:hAnsi="宋体" w:eastAsia="宋体" w:cs="宋体"/>
                <w:sz w:val="24"/>
                <w:szCs w:val="24"/>
              </w:rPr>
            </w:pPr>
            <w:r>
              <w:rPr>
                <w:rFonts w:hint="eastAsia" w:ascii="宋体" w:hAnsi="宋体" w:eastAsia="宋体" w:cs="宋体"/>
                <w:spacing w:val="-1"/>
                <w:sz w:val="24"/>
                <w:szCs w:val="24"/>
              </w:rPr>
              <w:t>提供图纸的期限：</w:t>
            </w:r>
            <w:r>
              <w:rPr>
                <w:rFonts w:hint="eastAsia" w:ascii="宋体" w:hAnsi="宋体" w:eastAsia="宋体" w:cs="宋体"/>
                <w:spacing w:val="-1"/>
                <w:sz w:val="24"/>
                <w:szCs w:val="24"/>
                <w:u w:val="single"/>
              </w:rPr>
              <w:t xml:space="preserve">  </w:t>
            </w:r>
            <w:r>
              <w:rPr>
                <w:rFonts w:hint="eastAsia" w:ascii="宋体" w:hAnsi="宋体" w:eastAsia="宋体" w:cs="宋体"/>
                <w:spacing w:val="-2"/>
                <w:sz w:val="24"/>
                <w:szCs w:val="24"/>
                <w:u w:val="single"/>
                <w:lang w:val="en-US" w:eastAsia="zh-CN"/>
              </w:rPr>
              <w:t>14</w:t>
            </w:r>
            <w:r>
              <w:rPr>
                <w:rFonts w:hint="eastAsia" w:ascii="宋体" w:hAnsi="宋体" w:eastAsia="宋体" w:cs="宋体"/>
                <w:spacing w:val="-1"/>
                <w:sz w:val="24"/>
                <w:szCs w:val="24"/>
                <w:u w:val="single"/>
              </w:rPr>
              <w:t xml:space="preserve"> </w:t>
            </w:r>
            <w:r>
              <w:rPr>
                <w:rFonts w:hint="eastAsia" w:ascii="宋体" w:hAnsi="宋体" w:eastAsia="宋体" w:cs="宋体"/>
                <w:spacing w:val="-105"/>
                <w:sz w:val="24"/>
                <w:szCs w:val="24"/>
              </w:rPr>
              <w:t xml:space="preserve"> </w:t>
            </w:r>
            <w:r>
              <w:rPr>
                <w:rFonts w:hint="eastAsia" w:ascii="宋体" w:hAnsi="宋体" w:eastAsia="宋体" w:cs="宋体"/>
                <w:spacing w:val="-1"/>
                <w:sz w:val="24"/>
                <w:szCs w:val="24"/>
              </w:rPr>
              <w:t>天</w:t>
            </w:r>
          </w:p>
        </w:tc>
      </w:tr>
      <w:tr w14:paraId="720AEA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575" w:type="dxa"/>
            <w:vAlign w:val="center"/>
          </w:tcPr>
          <w:p w14:paraId="039E38B8">
            <w:pPr>
              <w:spacing w:before="69"/>
              <w:jc w:val="center"/>
              <w:rPr>
                <w:rFonts w:hint="eastAsia" w:ascii="宋体" w:hAnsi="宋体" w:eastAsia="宋体" w:cs="宋体"/>
                <w:sz w:val="24"/>
                <w:szCs w:val="24"/>
              </w:rPr>
            </w:pPr>
            <w:r>
              <w:rPr>
                <w:rFonts w:hint="eastAsia" w:ascii="宋体" w:hAnsi="宋体" w:eastAsia="宋体" w:cs="宋体"/>
                <w:sz w:val="24"/>
                <w:szCs w:val="24"/>
              </w:rPr>
              <w:t>5</w:t>
            </w:r>
          </w:p>
        </w:tc>
        <w:tc>
          <w:tcPr>
            <w:tcW w:w="958" w:type="dxa"/>
            <w:vAlign w:val="center"/>
          </w:tcPr>
          <w:p w14:paraId="252F768D">
            <w:pPr>
              <w:spacing w:before="68"/>
              <w:jc w:val="center"/>
              <w:rPr>
                <w:rFonts w:hint="eastAsia" w:ascii="宋体" w:hAnsi="宋体" w:eastAsia="宋体" w:cs="宋体"/>
                <w:sz w:val="24"/>
                <w:szCs w:val="24"/>
              </w:rPr>
            </w:pPr>
            <w:r>
              <w:rPr>
                <w:rFonts w:hint="eastAsia" w:ascii="宋体" w:hAnsi="宋体" w:eastAsia="宋体" w:cs="宋体"/>
                <w:spacing w:val="-6"/>
                <w:sz w:val="24"/>
                <w:szCs w:val="24"/>
              </w:rPr>
              <w:t>1.5.3</w:t>
            </w:r>
          </w:p>
        </w:tc>
        <w:tc>
          <w:tcPr>
            <w:tcW w:w="7737" w:type="dxa"/>
            <w:vAlign w:val="center"/>
          </w:tcPr>
          <w:p w14:paraId="602E3A85">
            <w:pPr>
              <w:spacing w:before="127"/>
              <w:jc w:val="left"/>
              <w:rPr>
                <w:rFonts w:hint="eastAsia" w:ascii="宋体" w:hAnsi="宋体" w:eastAsia="宋体" w:cs="宋体"/>
                <w:sz w:val="24"/>
                <w:szCs w:val="24"/>
              </w:rPr>
            </w:pPr>
            <w:r>
              <w:rPr>
                <w:rFonts w:hint="eastAsia" w:ascii="宋体" w:hAnsi="宋体" w:eastAsia="宋体" w:cs="宋体"/>
                <w:spacing w:val="6"/>
                <w:sz w:val="24"/>
                <w:szCs w:val="24"/>
              </w:rPr>
              <w:t>图纸需要修改和补充的，应取得发包人同</w:t>
            </w:r>
            <w:r>
              <w:rPr>
                <w:rFonts w:hint="eastAsia" w:ascii="宋体" w:hAnsi="宋体" w:eastAsia="宋体" w:cs="宋体"/>
                <w:spacing w:val="5"/>
                <w:sz w:val="24"/>
                <w:szCs w:val="24"/>
              </w:rPr>
              <w:t>意后，在该养护工程或养护工程相应部位施工前的</w:t>
            </w:r>
            <w:r>
              <w:rPr>
                <w:rFonts w:hint="eastAsia" w:ascii="宋体" w:hAnsi="宋体" w:eastAsia="宋体" w:cs="宋体"/>
                <w:spacing w:val="-109"/>
                <w:sz w:val="24"/>
                <w:szCs w:val="24"/>
              </w:rPr>
              <w:t xml:space="preserve"> </w:t>
            </w:r>
            <w:r>
              <w:rPr>
                <w:rFonts w:hint="eastAsia" w:ascii="宋体" w:hAnsi="宋体" w:eastAsia="宋体" w:cs="宋体"/>
                <w:spacing w:val="6"/>
                <w:sz w:val="24"/>
                <w:szCs w:val="24"/>
                <w:u w:val="single"/>
              </w:rPr>
              <w:t xml:space="preserve">  </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u w:val="single"/>
                <w:lang w:val="en-US" w:eastAsia="zh-CN"/>
              </w:rPr>
              <w:t>14</w:t>
            </w:r>
            <w:r>
              <w:rPr>
                <w:rFonts w:hint="eastAsia" w:ascii="宋体" w:hAnsi="宋体" w:eastAsia="宋体" w:cs="宋体"/>
                <w:spacing w:val="6"/>
                <w:sz w:val="24"/>
                <w:szCs w:val="24"/>
                <w:u w:val="single"/>
              </w:rPr>
              <w:t xml:space="preserve">  </w:t>
            </w:r>
            <w:r>
              <w:rPr>
                <w:rFonts w:hint="eastAsia" w:ascii="宋体" w:hAnsi="宋体" w:eastAsia="宋体" w:cs="宋体"/>
                <w:spacing w:val="-102"/>
                <w:sz w:val="24"/>
                <w:szCs w:val="24"/>
              </w:rPr>
              <w:t xml:space="preserve"> </w:t>
            </w:r>
            <w:r>
              <w:rPr>
                <w:rFonts w:hint="eastAsia" w:ascii="宋体" w:hAnsi="宋体" w:eastAsia="宋体" w:cs="宋体"/>
                <w:spacing w:val="5"/>
                <w:sz w:val="24"/>
                <w:szCs w:val="24"/>
              </w:rPr>
              <w:t>天内签发图纸修改</w:t>
            </w:r>
            <w:bookmarkStart w:id="124" w:name="bookmark240"/>
            <w:bookmarkEnd w:id="124"/>
            <w:r>
              <w:rPr>
                <w:rFonts w:hint="eastAsia" w:ascii="宋体" w:hAnsi="宋体" w:eastAsia="宋体" w:cs="宋体"/>
                <w:spacing w:val="-3"/>
                <w:sz w:val="24"/>
                <w:szCs w:val="24"/>
              </w:rPr>
              <w:t>图给承包人</w:t>
            </w:r>
          </w:p>
        </w:tc>
      </w:tr>
    </w:tbl>
    <w:p w14:paraId="2E86485F">
      <w:pPr>
        <w:spacing w:before="62" w:line="226" w:lineRule="auto"/>
        <w:ind w:left="520"/>
        <w:rPr>
          <w:rFonts w:hint="eastAsia" w:ascii="宋体" w:hAnsi="宋体" w:eastAsia="宋体" w:cs="宋体"/>
          <w:sz w:val="24"/>
          <w:szCs w:val="24"/>
        </w:rPr>
      </w:pPr>
      <w:r>
        <w:rPr>
          <w:rFonts w:hint="eastAsia" w:ascii="宋体" w:hAnsi="宋体" w:eastAsia="宋体" w:cs="宋体"/>
          <w:spacing w:val="7"/>
          <w:sz w:val="24"/>
          <w:szCs w:val="24"/>
        </w:rPr>
        <w:t>① 养护工程缺陷责任期一般为</w:t>
      </w:r>
      <w:r>
        <w:rPr>
          <w:rFonts w:hint="eastAsia" w:ascii="宋体" w:hAnsi="宋体" w:eastAsia="宋体" w:cs="宋体"/>
          <w:spacing w:val="-34"/>
          <w:sz w:val="24"/>
          <w:szCs w:val="24"/>
        </w:rPr>
        <w:t xml:space="preserve"> </w:t>
      </w:r>
      <w:r>
        <w:rPr>
          <w:rFonts w:hint="eastAsia" w:ascii="宋体" w:hAnsi="宋体" w:eastAsia="宋体" w:cs="宋体"/>
          <w:spacing w:val="7"/>
          <w:sz w:val="24"/>
          <w:szCs w:val="24"/>
        </w:rPr>
        <w:t>6 个月，最长不超过</w:t>
      </w:r>
      <w:r>
        <w:rPr>
          <w:rFonts w:hint="eastAsia" w:ascii="宋体" w:hAnsi="宋体" w:eastAsia="宋体" w:cs="宋体"/>
          <w:spacing w:val="-21"/>
          <w:sz w:val="24"/>
          <w:szCs w:val="24"/>
        </w:rPr>
        <w:t xml:space="preserve"> </w:t>
      </w:r>
      <w:r>
        <w:rPr>
          <w:rFonts w:hint="eastAsia" w:ascii="宋体" w:hAnsi="宋体" w:eastAsia="宋体" w:cs="宋体"/>
          <w:spacing w:val="7"/>
          <w:sz w:val="24"/>
          <w:szCs w:val="24"/>
        </w:rPr>
        <w:t>12 个月。</w:t>
      </w:r>
    </w:p>
    <w:p w14:paraId="7BD45DDE">
      <w:pPr>
        <w:spacing w:line="226" w:lineRule="auto"/>
        <w:rPr>
          <w:rFonts w:hint="eastAsia" w:ascii="宋体" w:hAnsi="宋体" w:eastAsia="宋体" w:cs="宋体"/>
          <w:sz w:val="24"/>
          <w:szCs w:val="24"/>
        </w:rPr>
        <w:sectPr>
          <w:headerReference r:id="rId14" w:type="default"/>
          <w:footerReference r:id="rId15" w:type="default"/>
          <w:pgSz w:w="11905" w:h="16838"/>
          <w:pgMar w:top="1440" w:right="1134" w:bottom="1440" w:left="1134" w:header="0" w:footer="720" w:gutter="0"/>
          <w:pgNumType w:fmt="decimal"/>
          <w:cols w:space="0" w:num="1"/>
          <w:rtlGutter w:val="0"/>
          <w:docGrid w:linePitch="0" w:charSpace="0"/>
        </w:sectPr>
      </w:pPr>
    </w:p>
    <w:p w14:paraId="03B0DCB1">
      <w:pPr>
        <w:spacing w:before="55"/>
        <w:rPr>
          <w:rFonts w:hint="eastAsia" w:ascii="宋体" w:hAnsi="宋体" w:eastAsia="宋体" w:cs="宋体"/>
          <w:sz w:val="24"/>
          <w:szCs w:val="24"/>
        </w:rPr>
      </w:pPr>
    </w:p>
    <w:p w14:paraId="16144874">
      <w:pPr>
        <w:spacing w:before="55"/>
        <w:rPr>
          <w:rFonts w:hint="eastAsia" w:ascii="宋体" w:hAnsi="宋体" w:eastAsia="宋体" w:cs="宋体"/>
          <w:sz w:val="24"/>
          <w:szCs w:val="24"/>
        </w:rPr>
      </w:pPr>
    </w:p>
    <w:tbl>
      <w:tblPr>
        <w:tblStyle w:val="25"/>
        <w:tblW w:w="0" w:type="auto"/>
        <w:tblInd w:w="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74"/>
        <w:gridCol w:w="1386"/>
        <w:gridCol w:w="6888"/>
      </w:tblGrid>
      <w:tr w14:paraId="741D00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9" w:hRule="atLeast"/>
        </w:trPr>
        <w:tc>
          <w:tcPr>
            <w:tcW w:w="774" w:type="dxa"/>
          </w:tcPr>
          <w:p w14:paraId="2822557F">
            <w:pPr>
              <w:spacing w:before="128" w:line="208" w:lineRule="auto"/>
              <w:ind w:left="152"/>
              <w:rPr>
                <w:rFonts w:hint="eastAsia" w:ascii="宋体" w:hAnsi="宋体" w:eastAsia="宋体" w:cs="宋体"/>
                <w:sz w:val="24"/>
                <w:szCs w:val="24"/>
              </w:rPr>
            </w:pPr>
            <w:bookmarkStart w:id="125" w:name="bookmark241"/>
            <w:bookmarkEnd w:id="125"/>
            <w:r>
              <w:rPr>
                <w:rFonts w:hint="eastAsia" w:ascii="宋体" w:hAnsi="宋体" w:eastAsia="宋体" w:cs="宋体"/>
                <w:spacing w:val="-5"/>
                <w:sz w:val="24"/>
                <w:szCs w:val="24"/>
              </w:rPr>
              <w:t>序号</w:t>
            </w:r>
          </w:p>
        </w:tc>
        <w:tc>
          <w:tcPr>
            <w:tcW w:w="1386" w:type="dxa"/>
          </w:tcPr>
          <w:p w14:paraId="6614A16A">
            <w:pPr>
              <w:spacing w:before="128" w:line="208" w:lineRule="auto"/>
              <w:ind w:left="341"/>
              <w:rPr>
                <w:rFonts w:hint="eastAsia" w:ascii="宋体" w:hAnsi="宋体" w:eastAsia="宋体" w:cs="宋体"/>
                <w:sz w:val="24"/>
                <w:szCs w:val="24"/>
              </w:rPr>
            </w:pPr>
            <w:r>
              <w:rPr>
                <w:rFonts w:hint="eastAsia" w:ascii="宋体" w:hAnsi="宋体" w:eastAsia="宋体" w:cs="宋体"/>
                <w:spacing w:val="-4"/>
                <w:sz w:val="24"/>
                <w:szCs w:val="24"/>
              </w:rPr>
              <w:t>条目号</w:t>
            </w:r>
          </w:p>
        </w:tc>
        <w:tc>
          <w:tcPr>
            <w:tcW w:w="6888" w:type="dxa"/>
          </w:tcPr>
          <w:p w14:paraId="197F96E7">
            <w:pPr>
              <w:spacing w:before="128" w:line="208" w:lineRule="auto"/>
              <w:ind w:left="2848"/>
              <w:rPr>
                <w:rFonts w:hint="eastAsia" w:ascii="宋体" w:hAnsi="宋体" w:eastAsia="宋体" w:cs="宋体"/>
                <w:sz w:val="24"/>
                <w:szCs w:val="24"/>
              </w:rPr>
            </w:pPr>
            <w:r>
              <w:rPr>
                <w:rFonts w:hint="eastAsia" w:ascii="宋体" w:hAnsi="宋体" w:eastAsia="宋体" w:cs="宋体"/>
                <w:spacing w:val="-2"/>
                <w:sz w:val="24"/>
                <w:szCs w:val="24"/>
              </w:rPr>
              <w:t>信息或数据</w:t>
            </w:r>
          </w:p>
        </w:tc>
      </w:tr>
      <w:tr w14:paraId="278DE5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5" w:hRule="atLeast"/>
        </w:trPr>
        <w:tc>
          <w:tcPr>
            <w:tcW w:w="774" w:type="dxa"/>
          </w:tcPr>
          <w:p w14:paraId="656FDABF">
            <w:pPr>
              <w:pStyle w:val="29"/>
              <w:tabs>
                <w:tab w:val="left" w:pos="0"/>
              </w:tabs>
              <w:spacing w:line="314" w:lineRule="auto"/>
              <w:rPr>
                <w:rFonts w:hint="eastAsia" w:ascii="宋体" w:hAnsi="宋体" w:eastAsia="宋体" w:cs="宋体"/>
                <w:sz w:val="24"/>
                <w:szCs w:val="24"/>
              </w:rPr>
            </w:pPr>
          </w:p>
          <w:p w14:paraId="7467BBFD">
            <w:pPr>
              <w:spacing w:before="69" w:line="188" w:lineRule="auto"/>
              <w:ind w:left="334"/>
              <w:rPr>
                <w:rFonts w:hint="eastAsia" w:ascii="宋体" w:hAnsi="宋体" w:eastAsia="宋体" w:cs="宋体"/>
                <w:sz w:val="24"/>
                <w:szCs w:val="24"/>
              </w:rPr>
            </w:pPr>
            <w:r>
              <w:rPr>
                <w:rFonts w:hint="eastAsia" w:ascii="宋体" w:hAnsi="宋体" w:eastAsia="宋体" w:cs="宋体"/>
                <w:sz w:val="24"/>
                <w:szCs w:val="24"/>
              </w:rPr>
              <w:t>6</w:t>
            </w:r>
          </w:p>
        </w:tc>
        <w:tc>
          <w:tcPr>
            <w:tcW w:w="1386" w:type="dxa"/>
          </w:tcPr>
          <w:p w14:paraId="463A1BF5">
            <w:pPr>
              <w:pStyle w:val="29"/>
              <w:tabs>
                <w:tab w:val="left" w:pos="0"/>
              </w:tabs>
              <w:spacing w:line="314" w:lineRule="auto"/>
              <w:rPr>
                <w:rFonts w:hint="eastAsia" w:ascii="宋体" w:hAnsi="宋体" w:eastAsia="宋体" w:cs="宋体"/>
                <w:sz w:val="24"/>
                <w:szCs w:val="24"/>
              </w:rPr>
            </w:pPr>
          </w:p>
          <w:p w14:paraId="1F96EFD9">
            <w:pPr>
              <w:spacing w:before="69" w:line="188" w:lineRule="auto"/>
              <w:ind w:left="453"/>
              <w:rPr>
                <w:rFonts w:hint="eastAsia" w:ascii="宋体" w:hAnsi="宋体" w:eastAsia="宋体" w:cs="宋体"/>
                <w:sz w:val="24"/>
                <w:szCs w:val="24"/>
              </w:rPr>
            </w:pPr>
            <w:r>
              <w:rPr>
                <w:rFonts w:hint="eastAsia" w:ascii="宋体" w:hAnsi="宋体" w:eastAsia="宋体" w:cs="宋体"/>
                <w:spacing w:val="-1"/>
                <w:sz w:val="24"/>
                <w:szCs w:val="24"/>
              </w:rPr>
              <w:t>4.6.3</w:t>
            </w:r>
          </w:p>
        </w:tc>
        <w:tc>
          <w:tcPr>
            <w:tcW w:w="6888" w:type="dxa"/>
          </w:tcPr>
          <w:p w14:paraId="532093A7">
            <w:pPr>
              <w:spacing w:before="124" w:line="258" w:lineRule="auto"/>
              <w:ind w:left="118" w:right="105" w:hanging="4"/>
              <w:rPr>
                <w:rFonts w:hint="eastAsia" w:ascii="宋体" w:hAnsi="宋体" w:eastAsia="宋体" w:cs="宋体"/>
                <w:sz w:val="24"/>
                <w:szCs w:val="24"/>
              </w:rPr>
            </w:pPr>
            <w:r>
              <w:rPr>
                <w:rFonts w:hint="eastAsia" w:ascii="宋体" w:hAnsi="宋体" w:eastAsia="宋体" w:cs="宋体"/>
                <w:spacing w:val="7"/>
                <w:sz w:val="24"/>
                <w:szCs w:val="24"/>
              </w:rPr>
              <w:t>承包人安排在养护作业场地的主要管理人员</w:t>
            </w:r>
            <w:r>
              <w:rPr>
                <w:rFonts w:hint="eastAsia" w:ascii="宋体" w:hAnsi="宋体" w:eastAsia="宋体" w:cs="宋体"/>
                <w:spacing w:val="6"/>
                <w:sz w:val="24"/>
                <w:szCs w:val="24"/>
              </w:rPr>
              <w:t>、技术骨干和专职</w:t>
            </w:r>
            <w:r>
              <w:rPr>
                <w:rFonts w:hint="eastAsia" w:ascii="宋体" w:hAnsi="宋体" w:eastAsia="宋体" w:cs="宋体"/>
                <w:spacing w:val="-1"/>
                <w:sz w:val="24"/>
                <w:szCs w:val="24"/>
              </w:rPr>
              <w:t>安全生产管理人员每月在养护作业场地时间不得少于</w:t>
            </w:r>
            <w:r>
              <w:rPr>
                <w:rFonts w:hint="eastAsia" w:ascii="宋体" w:hAnsi="宋体" w:eastAsia="宋体" w:cs="宋体"/>
                <w:spacing w:val="-1"/>
                <w:sz w:val="24"/>
                <w:szCs w:val="24"/>
                <w:u w:val="single"/>
              </w:rPr>
              <w:t xml:space="preserve"> 22 </w:t>
            </w:r>
            <w:r>
              <w:rPr>
                <w:rFonts w:hint="eastAsia" w:ascii="宋体" w:hAnsi="宋体" w:eastAsia="宋体" w:cs="宋体"/>
                <w:spacing w:val="-94"/>
                <w:sz w:val="24"/>
                <w:szCs w:val="24"/>
              </w:rPr>
              <w:t xml:space="preserve"> </w:t>
            </w:r>
            <w:r>
              <w:rPr>
                <w:rFonts w:hint="eastAsia" w:ascii="宋体" w:hAnsi="宋体" w:eastAsia="宋体" w:cs="宋体"/>
                <w:spacing w:val="-1"/>
                <w:sz w:val="24"/>
                <w:szCs w:val="24"/>
              </w:rPr>
              <w:t>天。</w:t>
            </w:r>
          </w:p>
        </w:tc>
      </w:tr>
      <w:tr w14:paraId="29C7EA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5" w:hRule="atLeast"/>
        </w:trPr>
        <w:tc>
          <w:tcPr>
            <w:tcW w:w="774" w:type="dxa"/>
          </w:tcPr>
          <w:p w14:paraId="1C30E2BD">
            <w:pPr>
              <w:pStyle w:val="29"/>
              <w:tabs>
                <w:tab w:val="left" w:pos="0"/>
              </w:tabs>
              <w:spacing w:line="316" w:lineRule="auto"/>
              <w:rPr>
                <w:rFonts w:hint="eastAsia" w:ascii="宋体" w:hAnsi="宋体" w:eastAsia="宋体" w:cs="宋体"/>
                <w:sz w:val="24"/>
                <w:szCs w:val="24"/>
                <w:lang w:eastAsia="zh-CN"/>
              </w:rPr>
            </w:pPr>
          </w:p>
          <w:p w14:paraId="7C7B9559">
            <w:pPr>
              <w:spacing w:before="69" w:line="185" w:lineRule="auto"/>
              <w:ind w:left="332"/>
              <w:rPr>
                <w:rFonts w:hint="eastAsia" w:ascii="宋体" w:hAnsi="宋体" w:eastAsia="宋体" w:cs="宋体"/>
                <w:sz w:val="24"/>
                <w:szCs w:val="24"/>
              </w:rPr>
            </w:pPr>
            <w:r>
              <w:rPr>
                <w:rFonts w:hint="eastAsia" w:ascii="宋体" w:hAnsi="宋体" w:eastAsia="宋体" w:cs="宋体"/>
                <w:sz w:val="24"/>
                <w:szCs w:val="24"/>
              </w:rPr>
              <w:t>7</w:t>
            </w:r>
          </w:p>
        </w:tc>
        <w:tc>
          <w:tcPr>
            <w:tcW w:w="1386" w:type="dxa"/>
          </w:tcPr>
          <w:p w14:paraId="73861A62">
            <w:pPr>
              <w:pStyle w:val="29"/>
              <w:tabs>
                <w:tab w:val="left" w:pos="0"/>
              </w:tabs>
              <w:spacing w:line="313" w:lineRule="auto"/>
              <w:rPr>
                <w:rFonts w:hint="eastAsia" w:ascii="宋体" w:hAnsi="宋体" w:eastAsia="宋体" w:cs="宋体"/>
                <w:sz w:val="24"/>
                <w:szCs w:val="24"/>
              </w:rPr>
            </w:pPr>
          </w:p>
          <w:p w14:paraId="6A0D419E">
            <w:pPr>
              <w:spacing w:before="69" w:line="188" w:lineRule="auto"/>
              <w:ind w:left="550"/>
              <w:rPr>
                <w:rFonts w:hint="eastAsia" w:ascii="宋体" w:hAnsi="宋体" w:eastAsia="宋体" w:cs="宋体"/>
                <w:sz w:val="24"/>
                <w:szCs w:val="24"/>
              </w:rPr>
            </w:pPr>
            <w:r>
              <w:rPr>
                <w:rFonts w:hint="eastAsia" w:ascii="宋体" w:hAnsi="宋体" w:eastAsia="宋体" w:cs="宋体"/>
                <w:spacing w:val="-4"/>
                <w:sz w:val="24"/>
                <w:szCs w:val="24"/>
              </w:rPr>
              <w:t>5.2</w:t>
            </w:r>
          </w:p>
        </w:tc>
        <w:tc>
          <w:tcPr>
            <w:tcW w:w="6888" w:type="dxa"/>
          </w:tcPr>
          <w:p w14:paraId="5DF267C3">
            <w:pPr>
              <w:spacing w:before="126" w:line="219" w:lineRule="auto"/>
              <w:ind w:left="118"/>
              <w:rPr>
                <w:rFonts w:hint="eastAsia" w:ascii="宋体" w:hAnsi="宋体" w:eastAsia="宋体" w:cs="宋体"/>
                <w:sz w:val="24"/>
                <w:szCs w:val="24"/>
              </w:rPr>
            </w:pPr>
            <w:r>
              <w:rPr>
                <w:rFonts w:hint="eastAsia" w:ascii="宋体" w:hAnsi="宋体" w:eastAsia="宋体" w:cs="宋体"/>
                <w:spacing w:val="-1"/>
                <w:sz w:val="24"/>
                <w:szCs w:val="24"/>
              </w:rPr>
              <w:t>发包人是否提供材料或工程设备：</w:t>
            </w:r>
            <w:r>
              <w:rPr>
                <w:rFonts w:hint="eastAsia" w:ascii="宋体" w:hAnsi="宋体" w:eastAsia="宋体" w:cs="宋体"/>
                <w:spacing w:val="-1"/>
                <w:sz w:val="24"/>
                <w:szCs w:val="24"/>
                <w:u w:val="single"/>
              </w:rPr>
              <w:t xml:space="preserve">  否</w:t>
            </w:r>
            <w:r>
              <w:rPr>
                <w:rFonts w:hint="eastAsia" w:ascii="宋体" w:hAnsi="宋体" w:eastAsia="宋体" w:cs="宋体"/>
                <w:spacing w:val="2"/>
                <w:sz w:val="24"/>
                <w:szCs w:val="24"/>
                <w:u w:val="single"/>
              </w:rPr>
              <w:t xml:space="preserve">  </w:t>
            </w:r>
          </w:p>
          <w:p w14:paraId="693E5B42">
            <w:pPr>
              <w:spacing w:before="113" w:line="208" w:lineRule="auto"/>
              <w:ind w:left="118"/>
              <w:rPr>
                <w:rFonts w:hint="eastAsia" w:ascii="宋体" w:hAnsi="宋体" w:eastAsia="宋体" w:cs="宋体"/>
                <w:sz w:val="24"/>
                <w:szCs w:val="24"/>
              </w:rPr>
            </w:pPr>
            <w:r>
              <w:rPr>
                <w:rFonts w:hint="eastAsia" w:ascii="宋体" w:hAnsi="宋体" w:eastAsia="宋体" w:cs="宋体"/>
                <w:spacing w:val="-2"/>
                <w:sz w:val="24"/>
                <w:szCs w:val="24"/>
              </w:rPr>
              <w:t>如发包人负责提供部分材料或工程设备，相关规定如下：</w:t>
            </w:r>
            <w:r>
              <w:rPr>
                <w:rFonts w:hint="eastAsia" w:ascii="宋体" w:hAnsi="宋体" w:eastAsia="宋体" w:cs="宋体"/>
                <w:spacing w:val="-2"/>
                <w:sz w:val="24"/>
                <w:szCs w:val="24"/>
                <w:u w:val="single"/>
              </w:rPr>
              <w:t xml:space="preserve">   /</w:t>
            </w:r>
            <w:r>
              <w:rPr>
                <w:rFonts w:hint="eastAsia" w:ascii="宋体" w:hAnsi="宋体" w:eastAsia="宋体" w:cs="宋体"/>
                <w:spacing w:val="-3"/>
                <w:sz w:val="24"/>
                <w:szCs w:val="24"/>
                <w:u w:val="single"/>
              </w:rPr>
              <w:t xml:space="preserve">   </w:t>
            </w:r>
          </w:p>
        </w:tc>
      </w:tr>
      <w:tr w14:paraId="410369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04" w:hRule="atLeast"/>
        </w:trPr>
        <w:tc>
          <w:tcPr>
            <w:tcW w:w="774" w:type="dxa"/>
          </w:tcPr>
          <w:p w14:paraId="13582657">
            <w:pPr>
              <w:pStyle w:val="29"/>
              <w:tabs>
                <w:tab w:val="left" w:pos="0"/>
              </w:tabs>
              <w:spacing w:line="256" w:lineRule="auto"/>
              <w:rPr>
                <w:rFonts w:hint="eastAsia" w:ascii="宋体" w:hAnsi="宋体" w:eastAsia="宋体" w:cs="宋体"/>
                <w:sz w:val="24"/>
                <w:szCs w:val="24"/>
                <w:lang w:eastAsia="zh-CN"/>
              </w:rPr>
            </w:pPr>
          </w:p>
          <w:p w14:paraId="536ADD1C">
            <w:pPr>
              <w:pStyle w:val="29"/>
              <w:tabs>
                <w:tab w:val="left" w:pos="0"/>
              </w:tabs>
              <w:spacing w:line="256" w:lineRule="auto"/>
              <w:rPr>
                <w:rFonts w:hint="eastAsia" w:ascii="宋体" w:hAnsi="宋体" w:eastAsia="宋体" w:cs="宋体"/>
                <w:sz w:val="24"/>
                <w:szCs w:val="24"/>
                <w:lang w:eastAsia="zh-CN"/>
              </w:rPr>
            </w:pPr>
          </w:p>
          <w:p w14:paraId="4B0E2DC5">
            <w:pPr>
              <w:spacing w:before="69" w:line="188" w:lineRule="auto"/>
              <w:ind w:left="338"/>
              <w:rPr>
                <w:rFonts w:hint="eastAsia" w:ascii="宋体" w:hAnsi="宋体" w:eastAsia="宋体" w:cs="宋体"/>
                <w:sz w:val="24"/>
                <w:szCs w:val="24"/>
              </w:rPr>
            </w:pPr>
            <w:r>
              <w:rPr>
                <w:rFonts w:hint="eastAsia" w:ascii="宋体" w:hAnsi="宋体" w:eastAsia="宋体" w:cs="宋体"/>
                <w:sz w:val="24"/>
                <w:szCs w:val="24"/>
              </w:rPr>
              <w:t>8</w:t>
            </w:r>
          </w:p>
        </w:tc>
        <w:tc>
          <w:tcPr>
            <w:tcW w:w="1386" w:type="dxa"/>
          </w:tcPr>
          <w:p w14:paraId="39468E96">
            <w:pPr>
              <w:pStyle w:val="29"/>
              <w:tabs>
                <w:tab w:val="left" w:pos="0"/>
              </w:tabs>
              <w:spacing w:line="256" w:lineRule="auto"/>
              <w:rPr>
                <w:rFonts w:hint="eastAsia" w:ascii="宋体" w:hAnsi="宋体" w:eastAsia="宋体" w:cs="宋体"/>
                <w:sz w:val="24"/>
                <w:szCs w:val="24"/>
              </w:rPr>
            </w:pPr>
          </w:p>
          <w:p w14:paraId="6C9BEACD">
            <w:pPr>
              <w:pStyle w:val="29"/>
              <w:tabs>
                <w:tab w:val="left" w:pos="0"/>
              </w:tabs>
              <w:spacing w:line="256" w:lineRule="auto"/>
              <w:rPr>
                <w:rFonts w:hint="eastAsia" w:ascii="宋体" w:hAnsi="宋体" w:eastAsia="宋体" w:cs="宋体"/>
                <w:sz w:val="24"/>
                <w:szCs w:val="24"/>
              </w:rPr>
            </w:pPr>
          </w:p>
          <w:p w14:paraId="29493811">
            <w:pPr>
              <w:spacing w:before="69" w:line="188" w:lineRule="auto"/>
              <w:ind w:left="548"/>
              <w:rPr>
                <w:rFonts w:hint="eastAsia" w:ascii="宋体" w:hAnsi="宋体" w:eastAsia="宋体" w:cs="宋体"/>
                <w:sz w:val="24"/>
                <w:szCs w:val="24"/>
              </w:rPr>
            </w:pPr>
            <w:r>
              <w:rPr>
                <w:rFonts w:hint="eastAsia" w:ascii="宋体" w:hAnsi="宋体" w:eastAsia="宋体" w:cs="宋体"/>
                <w:spacing w:val="-4"/>
                <w:sz w:val="24"/>
                <w:szCs w:val="24"/>
              </w:rPr>
              <w:t>6.2</w:t>
            </w:r>
          </w:p>
        </w:tc>
        <w:tc>
          <w:tcPr>
            <w:tcW w:w="6888" w:type="dxa"/>
          </w:tcPr>
          <w:p w14:paraId="29741132">
            <w:pPr>
              <w:spacing w:before="124" w:line="219" w:lineRule="auto"/>
              <w:ind w:left="118"/>
              <w:rPr>
                <w:rFonts w:hint="eastAsia" w:ascii="宋体" w:hAnsi="宋体" w:eastAsia="宋体" w:cs="宋体"/>
                <w:sz w:val="24"/>
                <w:szCs w:val="24"/>
              </w:rPr>
            </w:pPr>
            <w:r>
              <w:rPr>
                <w:rFonts w:hint="eastAsia" w:ascii="宋体" w:hAnsi="宋体" w:eastAsia="宋体" w:cs="宋体"/>
                <w:spacing w:val="-1"/>
                <w:sz w:val="24"/>
                <w:szCs w:val="24"/>
              </w:rPr>
              <w:t>发包人是否提供养护作业设备和临时设施：</w:t>
            </w:r>
            <w:r>
              <w:rPr>
                <w:rFonts w:hint="eastAsia" w:ascii="宋体" w:hAnsi="宋体" w:eastAsia="宋体" w:cs="宋体"/>
                <w:spacing w:val="-1"/>
                <w:sz w:val="24"/>
                <w:szCs w:val="24"/>
                <w:u w:val="single"/>
              </w:rPr>
              <w:t xml:space="preserve">  否</w:t>
            </w:r>
            <w:r>
              <w:rPr>
                <w:rFonts w:hint="eastAsia" w:ascii="宋体" w:hAnsi="宋体" w:eastAsia="宋体" w:cs="宋体"/>
                <w:spacing w:val="4"/>
                <w:sz w:val="24"/>
                <w:szCs w:val="24"/>
                <w:u w:val="single"/>
              </w:rPr>
              <w:t xml:space="preserve">  </w:t>
            </w:r>
          </w:p>
          <w:p w14:paraId="50484ADB">
            <w:pPr>
              <w:spacing w:before="116" w:line="257" w:lineRule="auto"/>
              <w:ind w:left="121" w:right="105" w:hanging="3"/>
              <w:rPr>
                <w:rFonts w:hint="eastAsia" w:ascii="宋体" w:hAnsi="宋体" w:eastAsia="宋体" w:cs="宋体"/>
                <w:sz w:val="24"/>
                <w:szCs w:val="24"/>
              </w:rPr>
            </w:pPr>
            <w:r>
              <w:rPr>
                <w:rFonts w:hint="eastAsia" w:ascii="宋体" w:hAnsi="宋体" w:eastAsia="宋体" w:cs="宋体"/>
                <w:spacing w:val="6"/>
                <w:sz w:val="24"/>
                <w:szCs w:val="24"/>
              </w:rPr>
              <w:t>如发包人负责提供部分养护作业设备和临时设施，相关规定如</w:t>
            </w:r>
            <w:r>
              <w:rPr>
                <w:rFonts w:hint="eastAsia" w:ascii="宋体" w:hAnsi="宋体" w:eastAsia="宋体" w:cs="宋体"/>
                <w:spacing w:val="-9"/>
                <w:sz w:val="24"/>
                <w:szCs w:val="24"/>
              </w:rPr>
              <w:t>下：</w:t>
            </w:r>
            <w:r>
              <w:rPr>
                <w:rFonts w:hint="eastAsia" w:ascii="宋体" w:hAnsi="宋体" w:eastAsia="宋体" w:cs="宋体"/>
                <w:sz w:val="24"/>
                <w:szCs w:val="24"/>
                <w:u w:val="single"/>
              </w:rPr>
              <w:t xml:space="preserve"> /             </w:t>
            </w:r>
          </w:p>
        </w:tc>
      </w:tr>
      <w:tr w14:paraId="559810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04" w:hRule="atLeast"/>
        </w:trPr>
        <w:tc>
          <w:tcPr>
            <w:tcW w:w="774" w:type="dxa"/>
          </w:tcPr>
          <w:p w14:paraId="015591EC">
            <w:pPr>
              <w:pStyle w:val="29"/>
              <w:tabs>
                <w:tab w:val="left" w:pos="0"/>
              </w:tabs>
              <w:spacing w:line="256" w:lineRule="auto"/>
              <w:rPr>
                <w:rFonts w:hint="eastAsia" w:ascii="宋体" w:hAnsi="宋体" w:eastAsia="宋体" w:cs="宋体"/>
                <w:sz w:val="24"/>
                <w:szCs w:val="24"/>
                <w:lang w:eastAsia="zh-CN"/>
              </w:rPr>
            </w:pPr>
          </w:p>
          <w:p w14:paraId="7222E8F7">
            <w:pPr>
              <w:pStyle w:val="29"/>
              <w:tabs>
                <w:tab w:val="left" w:pos="0"/>
              </w:tabs>
              <w:spacing w:line="257" w:lineRule="auto"/>
              <w:rPr>
                <w:rFonts w:hint="eastAsia" w:ascii="宋体" w:hAnsi="宋体" w:eastAsia="宋体" w:cs="宋体"/>
                <w:sz w:val="24"/>
                <w:szCs w:val="24"/>
                <w:lang w:eastAsia="zh-CN"/>
              </w:rPr>
            </w:pPr>
          </w:p>
          <w:p w14:paraId="0CB975B7">
            <w:pPr>
              <w:spacing w:before="69" w:line="188" w:lineRule="auto"/>
              <w:ind w:left="333"/>
              <w:rPr>
                <w:rFonts w:hint="eastAsia" w:ascii="宋体" w:hAnsi="宋体" w:eastAsia="宋体" w:cs="宋体"/>
                <w:sz w:val="24"/>
                <w:szCs w:val="24"/>
              </w:rPr>
            </w:pPr>
            <w:r>
              <w:rPr>
                <w:rFonts w:hint="eastAsia" w:ascii="宋体" w:hAnsi="宋体" w:eastAsia="宋体" w:cs="宋体"/>
                <w:sz w:val="24"/>
                <w:szCs w:val="24"/>
              </w:rPr>
              <w:t>9</w:t>
            </w:r>
          </w:p>
        </w:tc>
        <w:tc>
          <w:tcPr>
            <w:tcW w:w="1386" w:type="dxa"/>
          </w:tcPr>
          <w:p w14:paraId="114E01A3">
            <w:pPr>
              <w:pStyle w:val="29"/>
              <w:tabs>
                <w:tab w:val="left" w:pos="0"/>
              </w:tabs>
              <w:spacing w:line="256" w:lineRule="auto"/>
              <w:rPr>
                <w:rFonts w:hint="eastAsia" w:ascii="宋体" w:hAnsi="宋体" w:eastAsia="宋体" w:cs="宋体"/>
                <w:sz w:val="24"/>
                <w:szCs w:val="24"/>
              </w:rPr>
            </w:pPr>
          </w:p>
          <w:p w14:paraId="51C64B34">
            <w:pPr>
              <w:pStyle w:val="29"/>
              <w:tabs>
                <w:tab w:val="left" w:pos="0"/>
              </w:tabs>
              <w:spacing w:line="257" w:lineRule="auto"/>
              <w:rPr>
                <w:rFonts w:hint="eastAsia" w:ascii="宋体" w:hAnsi="宋体" w:eastAsia="宋体" w:cs="宋体"/>
                <w:sz w:val="24"/>
                <w:szCs w:val="24"/>
              </w:rPr>
            </w:pPr>
          </w:p>
          <w:p w14:paraId="6B59AE9B">
            <w:pPr>
              <w:spacing w:before="69" w:line="188" w:lineRule="auto"/>
              <w:ind w:left="464"/>
              <w:rPr>
                <w:rFonts w:hint="eastAsia" w:ascii="宋体" w:hAnsi="宋体" w:eastAsia="宋体" w:cs="宋体"/>
                <w:sz w:val="24"/>
                <w:szCs w:val="24"/>
              </w:rPr>
            </w:pPr>
            <w:r>
              <w:rPr>
                <w:rFonts w:hint="eastAsia" w:ascii="宋体" w:hAnsi="宋体" w:eastAsia="宋体" w:cs="宋体"/>
                <w:spacing w:val="-3"/>
                <w:sz w:val="24"/>
                <w:szCs w:val="24"/>
              </w:rPr>
              <w:t>8.1.1</w:t>
            </w:r>
          </w:p>
        </w:tc>
        <w:tc>
          <w:tcPr>
            <w:tcW w:w="6888" w:type="dxa"/>
          </w:tcPr>
          <w:p w14:paraId="69532C72">
            <w:pPr>
              <w:spacing w:before="126" w:line="308" w:lineRule="auto"/>
              <w:ind w:left="130" w:right="105" w:hanging="12"/>
              <w:rPr>
                <w:rFonts w:hint="eastAsia" w:ascii="宋体" w:hAnsi="宋体" w:eastAsia="宋体" w:cs="宋体"/>
                <w:sz w:val="24"/>
                <w:szCs w:val="24"/>
                <w:highlight w:val="none"/>
              </w:rPr>
            </w:pPr>
            <w:r>
              <w:rPr>
                <w:rFonts w:hint="eastAsia" w:ascii="宋体" w:hAnsi="宋体" w:eastAsia="宋体" w:cs="宋体"/>
                <w:spacing w:val="16"/>
                <w:sz w:val="24"/>
                <w:szCs w:val="24"/>
              </w:rPr>
              <w:t>发包人提供测量基准点、基准线和水准点及其书面资料的期</w:t>
            </w:r>
            <w:r>
              <w:rPr>
                <w:rFonts w:hint="eastAsia" w:ascii="宋体" w:hAnsi="宋体" w:eastAsia="宋体" w:cs="宋体"/>
                <w:spacing w:val="-14"/>
                <w:sz w:val="24"/>
                <w:szCs w:val="24"/>
              </w:rPr>
              <w:t>限</w:t>
            </w:r>
            <w:r>
              <w:rPr>
                <w:rFonts w:hint="eastAsia" w:ascii="宋体" w:hAnsi="宋体" w:eastAsia="宋体" w:cs="宋体"/>
                <w:spacing w:val="-14"/>
                <w:sz w:val="24"/>
                <w:szCs w:val="24"/>
                <w:highlight w:val="none"/>
              </w:rPr>
              <w:t>：</w:t>
            </w:r>
            <w:r>
              <w:rPr>
                <w:rFonts w:hint="eastAsia" w:ascii="宋体" w:hAnsi="宋体" w:eastAsia="宋体" w:cs="宋体"/>
                <w:spacing w:val="-2"/>
                <w:sz w:val="24"/>
                <w:szCs w:val="24"/>
                <w:highlight w:val="none"/>
                <w:u w:val="single"/>
                <w:lang w:val="en-US" w:eastAsia="zh-CN"/>
              </w:rPr>
              <w:t>不提供</w:t>
            </w:r>
            <w:r>
              <w:rPr>
                <w:rFonts w:hint="eastAsia" w:ascii="宋体" w:hAnsi="宋体" w:eastAsia="宋体" w:cs="宋体"/>
                <w:sz w:val="24"/>
                <w:szCs w:val="24"/>
                <w:highlight w:val="none"/>
                <w:u w:val="single"/>
              </w:rPr>
              <w:t xml:space="preserve">  </w:t>
            </w:r>
          </w:p>
          <w:p w14:paraId="6E6F7A43">
            <w:pPr>
              <w:spacing w:before="1" w:line="204" w:lineRule="auto"/>
              <w:ind w:left="114"/>
              <w:rPr>
                <w:rFonts w:hint="eastAsia" w:ascii="宋体" w:hAnsi="宋体" w:eastAsia="宋体" w:cs="宋体"/>
                <w:sz w:val="24"/>
                <w:szCs w:val="24"/>
              </w:rPr>
            </w:pPr>
            <w:r>
              <w:rPr>
                <w:rFonts w:hint="eastAsia" w:ascii="宋体" w:hAnsi="宋体" w:eastAsia="宋体" w:cs="宋体"/>
                <w:spacing w:val="-2"/>
                <w:sz w:val="24"/>
                <w:szCs w:val="24"/>
              </w:rPr>
              <w:t>承包人将施工控制网资料报送发包人审批的期限：</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u w:val="single"/>
                <w:lang w:val="en-US" w:eastAsia="zh-CN"/>
              </w:rPr>
              <w:t>7天</w:t>
            </w:r>
            <w:r>
              <w:rPr>
                <w:rFonts w:hint="eastAsia" w:ascii="宋体" w:hAnsi="宋体" w:eastAsia="宋体" w:cs="宋体"/>
                <w:spacing w:val="-2"/>
                <w:sz w:val="24"/>
                <w:szCs w:val="24"/>
                <w:u w:val="single"/>
              </w:rPr>
              <w:t xml:space="preserve">     </w:t>
            </w:r>
          </w:p>
        </w:tc>
      </w:tr>
      <w:tr w14:paraId="533F44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5" w:hRule="atLeast"/>
        </w:trPr>
        <w:tc>
          <w:tcPr>
            <w:tcW w:w="774" w:type="dxa"/>
          </w:tcPr>
          <w:p w14:paraId="1DF30384">
            <w:pPr>
              <w:spacing w:before="186" w:line="181" w:lineRule="auto"/>
              <w:ind w:left="291"/>
              <w:rPr>
                <w:rFonts w:hint="eastAsia" w:ascii="宋体" w:hAnsi="宋体" w:eastAsia="宋体" w:cs="宋体"/>
                <w:sz w:val="24"/>
                <w:szCs w:val="24"/>
              </w:rPr>
            </w:pPr>
            <w:r>
              <w:rPr>
                <w:rFonts w:hint="eastAsia" w:ascii="宋体" w:hAnsi="宋体" w:eastAsia="宋体" w:cs="宋体"/>
                <w:spacing w:val="-15"/>
                <w:sz w:val="24"/>
                <w:szCs w:val="24"/>
              </w:rPr>
              <w:t>10</w:t>
            </w:r>
          </w:p>
        </w:tc>
        <w:tc>
          <w:tcPr>
            <w:tcW w:w="1386" w:type="dxa"/>
          </w:tcPr>
          <w:p w14:paraId="5B10F6A8">
            <w:pPr>
              <w:spacing w:before="186" w:line="181" w:lineRule="auto"/>
              <w:ind w:left="459"/>
              <w:rPr>
                <w:rFonts w:hint="eastAsia" w:ascii="宋体" w:hAnsi="宋体" w:eastAsia="宋体" w:cs="宋体"/>
                <w:sz w:val="24"/>
                <w:szCs w:val="24"/>
              </w:rPr>
            </w:pPr>
            <w:r>
              <w:rPr>
                <w:rFonts w:hint="eastAsia" w:ascii="宋体" w:hAnsi="宋体" w:eastAsia="宋体" w:cs="宋体"/>
                <w:spacing w:val="-2"/>
                <w:sz w:val="24"/>
                <w:szCs w:val="24"/>
              </w:rPr>
              <w:t>9.2.5</w:t>
            </w:r>
          </w:p>
        </w:tc>
        <w:tc>
          <w:tcPr>
            <w:tcW w:w="6888" w:type="dxa"/>
          </w:tcPr>
          <w:p w14:paraId="5D81CCC7">
            <w:pPr>
              <w:spacing w:before="110" w:line="219" w:lineRule="auto"/>
              <w:ind w:left="119"/>
              <w:rPr>
                <w:rFonts w:hint="eastAsia" w:ascii="宋体" w:hAnsi="宋体" w:eastAsia="宋体" w:cs="宋体"/>
                <w:sz w:val="24"/>
                <w:szCs w:val="24"/>
              </w:rPr>
            </w:pPr>
            <w:r>
              <w:rPr>
                <w:rFonts w:hint="eastAsia" w:ascii="宋体" w:hAnsi="宋体" w:eastAsia="宋体" w:cs="宋体"/>
                <w:spacing w:val="-1"/>
                <w:sz w:val="24"/>
                <w:szCs w:val="24"/>
              </w:rPr>
              <w:t>安全生产费用按最高投标限</w:t>
            </w:r>
            <w:r>
              <w:rPr>
                <w:rFonts w:hint="eastAsia" w:ascii="宋体" w:hAnsi="宋体" w:eastAsia="宋体" w:cs="宋体"/>
                <w:spacing w:val="-1"/>
                <w:sz w:val="24"/>
                <w:szCs w:val="24"/>
                <w:highlight w:val="none"/>
              </w:rPr>
              <w:t>价的</w:t>
            </w:r>
            <w:r>
              <w:rPr>
                <w:rFonts w:hint="eastAsia" w:ascii="宋体" w:hAnsi="宋体" w:eastAsia="宋体" w:cs="宋体"/>
                <w:spacing w:val="-1"/>
                <w:sz w:val="24"/>
                <w:szCs w:val="24"/>
                <w:highlight w:val="none"/>
                <w:u w:val="single"/>
              </w:rPr>
              <w:t xml:space="preserve">  1.5  </w:t>
            </w:r>
            <w:r>
              <w:rPr>
                <w:rFonts w:hint="eastAsia" w:ascii="宋体" w:hAnsi="宋体" w:eastAsia="宋体" w:cs="宋体"/>
                <w:spacing w:val="-111"/>
                <w:sz w:val="24"/>
                <w:szCs w:val="24"/>
                <w:highlight w:val="none"/>
              </w:rPr>
              <w:t xml:space="preserve"> </w:t>
            </w:r>
            <w:r>
              <w:rPr>
                <w:rFonts w:hint="eastAsia" w:ascii="宋体" w:hAnsi="宋体" w:eastAsia="宋体" w:cs="宋体"/>
                <w:spacing w:val="-1"/>
                <w:sz w:val="24"/>
                <w:szCs w:val="24"/>
                <w:highlight w:val="none"/>
              </w:rPr>
              <w:t>%</w:t>
            </w:r>
            <w:r>
              <w:rPr>
                <w:rFonts w:hint="eastAsia" w:ascii="宋体" w:hAnsi="宋体" w:eastAsia="宋体" w:cs="宋体"/>
                <w:spacing w:val="-2"/>
                <w:sz w:val="24"/>
                <w:szCs w:val="24"/>
                <w:highlight w:val="none"/>
              </w:rPr>
              <w:t>计取</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"bookmark242" </w:instrText>
            </w:r>
            <w:r>
              <w:rPr>
                <w:rFonts w:hint="eastAsia" w:ascii="宋体" w:hAnsi="宋体" w:eastAsia="宋体" w:cs="宋体"/>
                <w:sz w:val="24"/>
                <w:szCs w:val="24"/>
                <w:highlight w:val="none"/>
              </w:rPr>
              <w:fldChar w:fldCharType="separate"/>
            </w:r>
            <w:r>
              <w:rPr>
                <w:rFonts w:hint="eastAsia" w:ascii="宋体" w:hAnsi="宋体" w:eastAsia="宋体" w:cs="宋体"/>
                <w:spacing w:val="-2"/>
                <w:position w:val="11"/>
                <w:sz w:val="24"/>
                <w:szCs w:val="24"/>
                <w:highlight w:val="none"/>
              </w:rPr>
              <w:t>①</w:t>
            </w:r>
            <w:r>
              <w:rPr>
                <w:rFonts w:hint="eastAsia" w:ascii="宋体" w:hAnsi="宋体" w:eastAsia="宋体" w:cs="宋体"/>
                <w:spacing w:val="-2"/>
                <w:position w:val="11"/>
                <w:sz w:val="24"/>
                <w:szCs w:val="24"/>
                <w:highlight w:val="none"/>
              </w:rPr>
              <w:fldChar w:fldCharType="end"/>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安全生产费在工程量清单第100章中报价，该报价已包含本项目计量</w:t>
            </w:r>
            <w:r>
              <w:rPr>
                <w:rFonts w:hint="eastAsia" w:ascii="宋体" w:hAnsi="宋体" w:eastAsia="宋体" w:cs="宋体"/>
                <w:spacing w:val="-1"/>
                <w:sz w:val="24"/>
                <w:szCs w:val="24"/>
                <w:lang w:val="en-US" w:eastAsia="zh-CN"/>
              </w:rPr>
              <w:t>模式和绩效模式全部内容的安全生产费。</w:t>
            </w:r>
            <w:r>
              <w:rPr>
                <w:rFonts w:hint="eastAsia" w:ascii="宋体" w:hAnsi="宋体" w:eastAsia="宋体" w:cs="宋体"/>
                <w:spacing w:val="-1"/>
                <w:sz w:val="24"/>
                <w:szCs w:val="24"/>
              </w:rPr>
              <w:t>安全生产费用</w:t>
            </w:r>
            <w:r>
              <w:rPr>
                <w:rFonts w:hint="eastAsia" w:ascii="宋体" w:hAnsi="宋体" w:eastAsia="宋体" w:cs="宋体"/>
                <w:spacing w:val="-1"/>
                <w:sz w:val="24"/>
                <w:szCs w:val="24"/>
                <w:lang w:eastAsia="zh-CN"/>
              </w:rPr>
              <w:t>作为不可竞争报价，</w:t>
            </w:r>
            <w:r>
              <w:rPr>
                <w:rFonts w:hint="eastAsia" w:ascii="宋体" w:hAnsi="宋体" w:eastAsia="宋体" w:cs="宋体"/>
                <w:spacing w:val="-1"/>
                <w:sz w:val="24"/>
                <w:szCs w:val="24"/>
                <w:lang w:val="en-US" w:eastAsia="zh-CN"/>
              </w:rPr>
              <w:t>在本项目是固定报价，发包人在提供的工程量清单中已进行填写，投标人不需另行报价</w:t>
            </w:r>
            <w:r>
              <w:rPr>
                <w:rFonts w:hint="eastAsia" w:ascii="宋体" w:hAnsi="宋体" w:eastAsia="宋体" w:cs="宋体"/>
                <w:spacing w:val="-1"/>
                <w:sz w:val="24"/>
                <w:szCs w:val="24"/>
              </w:rPr>
              <w:t>。</w:t>
            </w:r>
          </w:p>
        </w:tc>
      </w:tr>
      <w:tr w14:paraId="6F9BAF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5" w:hRule="atLeast"/>
        </w:trPr>
        <w:tc>
          <w:tcPr>
            <w:tcW w:w="774" w:type="dxa"/>
          </w:tcPr>
          <w:p w14:paraId="6ACB52A4">
            <w:pPr>
              <w:spacing w:before="185" w:line="182" w:lineRule="auto"/>
              <w:ind w:left="296"/>
              <w:rPr>
                <w:rFonts w:hint="eastAsia" w:ascii="宋体" w:hAnsi="宋体" w:eastAsia="宋体" w:cs="宋体"/>
                <w:sz w:val="24"/>
                <w:szCs w:val="24"/>
              </w:rPr>
            </w:pPr>
            <w:r>
              <w:rPr>
                <w:rFonts w:hint="eastAsia" w:ascii="宋体" w:hAnsi="宋体" w:eastAsia="宋体" w:cs="宋体"/>
                <w:spacing w:val="-15"/>
                <w:sz w:val="24"/>
                <w:szCs w:val="24"/>
              </w:rPr>
              <w:t>11</w:t>
            </w:r>
          </w:p>
        </w:tc>
        <w:tc>
          <w:tcPr>
            <w:tcW w:w="1386" w:type="dxa"/>
          </w:tcPr>
          <w:p w14:paraId="485207D9">
            <w:pPr>
              <w:spacing w:before="185" w:line="182" w:lineRule="auto"/>
              <w:ind w:left="511"/>
              <w:rPr>
                <w:rFonts w:hint="eastAsia" w:ascii="宋体" w:hAnsi="宋体" w:eastAsia="宋体" w:cs="宋体"/>
                <w:sz w:val="24"/>
                <w:szCs w:val="24"/>
              </w:rPr>
            </w:pPr>
            <w:r>
              <w:rPr>
                <w:rFonts w:hint="eastAsia" w:ascii="宋体" w:hAnsi="宋体" w:eastAsia="宋体" w:cs="宋体"/>
                <w:spacing w:val="-10"/>
                <w:sz w:val="24"/>
                <w:szCs w:val="24"/>
              </w:rPr>
              <w:t>11.5</w:t>
            </w:r>
          </w:p>
        </w:tc>
        <w:tc>
          <w:tcPr>
            <w:tcW w:w="6888" w:type="dxa"/>
          </w:tcPr>
          <w:p w14:paraId="41E4B733">
            <w:pPr>
              <w:spacing w:before="127" w:line="206" w:lineRule="auto"/>
              <w:ind w:left="112"/>
              <w:rPr>
                <w:rFonts w:hint="eastAsia" w:ascii="宋体" w:hAnsi="宋体" w:eastAsia="宋体" w:cs="宋体"/>
                <w:sz w:val="24"/>
                <w:szCs w:val="24"/>
              </w:rPr>
            </w:pPr>
            <w:r>
              <w:rPr>
                <w:rFonts w:hint="eastAsia" w:ascii="宋体" w:hAnsi="宋体" w:eastAsia="宋体" w:cs="宋体"/>
                <w:spacing w:val="-2"/>
                <w:sz w:val="24"/>
                <w:szCs w:val="24"/>
              </w:rPr>
              <w:t>逾期交工违约金：</w:t>
            </w:r>
            <w:r>
              <w:rPr>
                <w:rFonts w:hint="eastAsia" w:ascii="宋体" w:hAnsi="宋体" w:eastAsia="宋体" w:cs="宋体"/>
                <w:spacing w:val="-2"/>
                <w:sz w:val="24"/>
                <w:szCs w:val="24"/>
                <w:u w:val="single"/>
              </w:rPr>
              <w:t xml:space="preserve">  500  </w:t>
            </w:r>
            <w:r>
              <w:rPr>
                <w:rFonts w:hint="eastAsia" w:ascii="宋体" w:hAnsi="宋体" w:eastAsia="宋体" w:cs="宋体"/>
                <w:spacing w:val="-98"/>
                <w:sz w:val="24"/>
                <w:szCs w:val="24"/>
              </w:rPr>
              <w:t xml:space="preserve"> </w:t>
            </w:r>
            <w:r>
              <w:rPr>
                <w:rFonts w:hint="eastAsia" w:ascii="宋体" w:hAnsi="宋体" w:eastAsia="宋体" w:cs="宋体"/>
                <w:spacing w:val="-2"/>
                <w:sz w:val="24"/>
                <w:szCs w:val="24"/>
              </w:rPr>
              <w:t>元/天</w:t>
            </w:r>
          </w:p>
        </w:tc>
      </w:tr>
      <w:tr w14:paraId="56B71F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5" w:hRule="atLeast"/>
        </w:trPr>
        <w:tc>
          <w:tcPr>
            <w:tcW w:w="774" w:type="dxa"/>
          </w:tcPr>
          <w:p w14:paraId="374E01FE">
            <w:pPr>
              <w:spacing w:before="185" w:line="182" w:lineRule="auto"/>
              <w:ind w:left="291"/>
              <w:rPr>
                <w:rFonts w:hint="eastAsia" w:ascii="宋体" w:hAnsi="宋体" w:eastAsia="宋体" w:cs="宋体"/>
                <w:sz w:val="24"/>
                <w:szCs w:val="24"/>
              </w:rPr>
            </w:pPr>
            <w:r>
              <w:rPr>
                <w:rFonts w:hint="eastAsia" w:ascii="宋体" w:hAnsi="宋体" w:eastAsia="宋体" w:cs="宋体"/>
                <w:spacing w:val="-15"/>
                <w:sz w:val="24"/>
                <w:szCs w:val="24"/>
              </w:rPr>
              <w:t>12</w:t>
            </w:r>
          </w:p>
        </w:tc>
        <w:tc>
          <w:tcPr>
            <w:tcW w:w="1386" w:type="dxa"/>
          </w:tcPr>
          <w:p w14:paraId="7CC7C782">
            <w:pPr>
              <w:spacing w:before="185" w:line="182" w:lineRule="auto"/>
              <w:ind w:left="511"/>
              <w:rPr>
                <w:rFonts w:hint="eastAsia" w:ascii="宋体" w:hAnsi="宋体" w:eastAsia="宋体" w:cs="宋体"/>
                <w:sz w:val="24"/>
                <w:szCs w:val="24"/>
              </w:rPr>
            </w:pPr>
            <w:r>
              <w:rPr>
                <w:rFonts w:hint="eastAsia" w:ascii="宋体" w:hAnsi="宋体" w:eastAsia="宋体" w:cs="宋体"/>
                <w:spacing w:val="-10"/>
                <w:sz w:val="24"/>
                <w:szCs w:val="24"/>
              </w:rPr>
              <w:t>11.5</w:t>
            </w:r>
          </w:p>
        </w:tc>
        <w:tc>
          <w:tcPr>
            <w:tcW w:w="6888" w:type="dxa"/>
          </w:tcPr>
          <w:p w14:paraId="09418B14">
            <w:pPr>
              <w:spacing w:before="107" w:line="221" w:lineRule="auto"/>
              <w:ind w:left="112"/>
              <w:rPr>
                <w:rFonts w:hint="eastAsia" w:ascii="宋体" w:hAnsi="宋体" w:eastAsia="宋体" w:cs="宋体"/>
                <w:sz w:val="24"/>
                <w:szCs w:val="24"/>
              </w:rPr>
            </w:pPr>
            <w:r>
              <w:rPr>
                <w:rFonts w:hint="eastAsia" w:ascii="宋体" w:hAnsi="宋体" w:eastAsia="宋体" w:cs="宋体"/>
                <w:spacing w:val="-1"/>
                <w:sz w:val="24"/>
                <w:szCs w:val="24"/>
              </w:rPr>
              <w:t>逾期交工违约金限额：</w:t>
            </w:r>
            <w:r>
              <w:rPr>
                <w:rFonts w:hint="eastAsia" w:ascii="宋体" w:hAnsi="宋体" w:eastAsia="宋体" w:cs="宋体"/>
                <w:spacing w:val="-1"/>
                <w:sz w:val="24"/>
                <w:szCs w:val="24"/>
                <w:u w:val="single"/>
              </w:rPr>
              <w:t xml:space="preserve"> 10 </w:t>
            </w:r>
            <w:r>
              <w:rPr>
                <w:rFonts w:hint="eastAsia" w:ascii="宋体" w:hAnsi="宋体" w:eastAsia="宋体" w:cs="宋体"/>
                <w:spacing w:val="-109"/>
                <w:sz w:val="24"/>
                <w:szCs w:val="24"/>
              </w:rPr>
              <w:t xml:space="preserve"> </w:t>
            </w:r>
            <w:r>
              <w:rPr>
                <w:rFonts w:hint="eastAsia" w:ascii="宋体" w:hAnsi="宋体" w:eastAsia="宋体" w:cs="宋体"/>
                <w:spacing w:val="-1"/>
                <w:sz w:val="24"/>
                <w:szCs w:val="24"/>
              </w:rPr>
              <w:t>%签约合同价</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"bookmark243" </w:instrText>
            </w:r>
            <w:r>
              <w:rPr>
                <w:rFonts w:hint="eastAsia" w:ascii="宋体" w:hAnsi="宋体" w:eastAsia="宋体" w:cs="宋体"/>
                <w:sz w:val="24"/>
                <w:szCs w:val="24"/>
              </w:rPr>
              <w:fldChar w:fldCharType="separate"/>
            </w:r>
            <w:r>
              <w:rPr>
                <w:rFonts w:hint="eastAsia" w:ascii="宋体" w:hAnsi="宋体" w:eastAsia="宋体" w:cs="宋体"/>
                <w:spacing w:val="-1"/>
                <w:position w:val="12"/>
                <w:sz w:val="24"/>
                <w:szCs w:val="24"/>
              </w:rPr>
              <w:t>②</w:t>
            </w:r>
            <w:r>
              <w:rPr>
                <w:rFonts w:hint="eastAsia" w:ascii="宋体" w:hAnsi="宋体" w:eastAsia="宋体" w:cs="宋体"/>
                <w:spacing w:val="-1"/>
                <w:position w:val="12"/>
                <w:sz w:val="24"/>
                <w:szCs w:val="24"/>
              </w:rPr>
              <w:fldChar w:fldCharType="end"/>
            </w:r>
          </w:p>
        </w:tc>
      </w:tr>
      <w:tr w14:paraId="43DA92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04" w:hRule="atLeast"/>
        </w:trPr>
        <w:tc>
          <w:tcPr>
            <w:tcW w:w="774" w:type="dxa"/>
          </w:tcPr>
          <w:p w14:paraId="1B860CE2">
            <w:pPr>
              <w:pStyle w:val="29"/>
              <w:tabs>
                <w:tab w:val="left" w:pos="0"/>
              </w:tabs>
              <w:spacing w:line="257" w:lineRule="auto"/>
              <w:rPr>
                <w:rFonts w:hint="eastAsia" w:ascii="宋体" w:hAnsi="宋体" w:eastAsia="宋体" w:cs="宋体"/>
                <w:sz w:val="24"/>
                <w:szCs w:val="24"/>
                <w:lang w:eastAsia="zh-CN"/>
              </w:rPr>
            </w:pPr>
          </w:p>
          <w:p w14:paraId="0D64BDAE">
            <w:pPr>
              <w:pStyle w:val="29"/>
              <w:tabs>
                <w:tab w:val="left" w:pos="0"/>
              </w:tabs>
              <w:spacing w:line="257" w:lineRule="auto"/>
              <w:rPr>
                <w:rFonts w:hint="eastAsia" w:ascii="宋体" w:hAnsi="宋体" w:eastAsia="宋体" w:cs="宋体"/>
                <w:sz w:val="24"/>
                <w:szCs w:val="24"/>
                <w:lang w:eastAsia="zh-CN"/>
              </w:rPr>
            </w:pPr>
          </w:p>
          <w:p w14:paraId="1D4AC14E">
            <w:pPr>
              <w:spacing w:before="69" w:line="188" w:lineRule="auto"/>
              <w:ind w:left="291"/>
              <w:rPr>
                <w:rFonts w:hint="eastAsia" w:ascii="宋体" w:hAnsi="宋体" w:eastAsia="宋体" w:cs="宋体"/>
                <w:sz w:val="24"/>
                <w:szCs w:val="24"/>
              </w:rPr>
            </w:pPr>
            <w:r>
              <w:rPr>
                <w:rFonts w:hint="eastAsia" w:ascii="宋体" w:hAnsi="宋体" w:eastAsia="宋体" w:cs="宋体"/>
                <w:spacing w:val="-15"/>
                <w:sz w:val="24"/>
                <w:szCs w:val="24"/>
              </w:rPr>
              <w:t>13</w:t>
            </w:r>
          </w:p>
        </w:tc>
        <w:tc>
          <w:tcPr>
            <w:tcW w:w="1386" w:type="dxa"/>
          </w:tcPr>
          <w:p w14:paraId="0C8A706F">
            <w:pPr>
              <w:pStyle w:val="29"/>
              <w:tabs>
                <w:tab w:val="left" w:pos="0"/>
              </w:tabs>
              <w:spacing w:line="257" w:lineRule="auto"/>
              <w:rPr>
                <w:rFonts w:hint="eastAsia" w:ascii="宋体" w:hAnsi="宋体" w:eastAsia="宋体" w:cs="宋体"/>
                <w:sz w:val="24"/>
                <w:szCs w:val="24"/>
              </w:rPr>
            </w:pPr>
          </w:p>
          <w:p w14:paraId="421A2A71">
            <w:pPr>
              <w:pStyle w:val="29"/>
              <w:tabs>
                <w:tab w:val="left" w:pos="0"/>
              </w:tabs>
              <w:spacing w:line="258" w:lineRule="auto"/>
              <w:rPr>
                <w:rFonts w:hint="eastAsia" w:ascii="宋体" w:hAnsi="宋体" w:eastAsia="宋体" w:cs="宋体"/>
                <w:sz w:val="24"/>
                <w:szCs w:val="24"/>
              </w:rPr>
            </w:pPr>
          </w:p>
          <w:p w14:paraId="52ED8F99">
            <w:pPr>
              <w:spacing w:before="68" w:line="188" w:lineRule="auto"/>
              <w:ind w:left="417"/>
              <w:rPr>
                <w:rFonts w:hint="eastAsia" w:ascii="宋体" w:hAnsi="宋体" w:eastAsia="宋体" w:cs="宋体"/>
                <w:sz w:val="24"/>
                <w:szCs w:val="24"/>
              </w:rPr>
            </w:pPr>
            <w:r>
              <w:rPr>
                <w:rFonts w:hint="eastAsia" w:ascii="宋体" w:hAnsi="宋体" w:eastAsia="宋体" w:cs="宋体"/>
                <w:spacing w:val="-5"/>
                <w:sz w:val="24"/>
                <w:szCs w:val="24"/>
              </w:rPr>
              <w:t>15.5.2</w:t>
            </w:r>
          </w:p>
        </w:tc>
        <w:tc>
          <w:tcPr>
            <w:tcW w:w="6888" w:type="dxa"/>
          </w:tcPr>
          <w:p w14:paraId="4E6EE20A">
            <w:pPr>
              <w:spacing w:before="129" w:line="273" w:lineRule="auto"/>
              <w:ind w:left="115" w:right="105" w:hanging="1"/>
              <w:rPr>
                <w:rFonts w:hint="eastAsia" w:ascii="宋体" w:hAnsi="宋体" w:eastAsia="宋体" w:cs="宋体"/>
                <w:sz w:val="24"/>
                <w:szCs w:val="24"/>
              </w:rPr>
            </w:pPr>
            <w:r>
              <w:rPr>
                <w:rFonts w:hint="eastAsia" w:ascii="宋体" w:hAnsi="宋体" w:eastAsia="宋体" w:cs="宋体"/>
                <w:spacing w:val="7"/>
                <w:sz w:val="24"/>
                <w:szCs w:val="24"/>
              </w:rPr>
              <w:t>承包人提出的合理化建议降低了合同价格或</w:t>
            </w:r>
            <w:r>
              <w:rPr>
                <w:rFonts w:hint="eastAsia" w:ascii="宋体" w:hAnsi="宋体" w:eastAsia="宋体" w:cs="宋体"/>
                <w:spacing w:val="6"/>
                <w:sz w:val="24"/>
                <w:szCs w:val="24"/>
              </w:rPr>
              <w:t>者提高了工程经济</w:t>
            </w:r>
            <w:r>
              <w:rPr>
                <w:rFonts w:hint="eastAsia" w:ascii="宋体" w:hAnsi="宋体" w:eastAsia="宋体" w:cs="宋体"/>
                <w:sz w:val="24"/>
                <w:szCs w:val="24"/>
              </w:rPr>
              <w:t>效益的，发包人按所节约成本的</w:t>
            </w:r>
            <w:r>
              <w:rPr>
                <w:rFonts w:hint="eastAsia" w:ascii="宋体" w:hAnsi="宋体" w:eastAsia="宋体" w:cs="宋体"/>
                <w:spacing w:val="-117"/>
                <w:sz w:val="24"/>
                <w:szCs w:val="24"/>
              </w:rPr>
              <w:t xml:space="preserve"> </w:t>
            </w:r>
            <w:r>
              <w:rPr>
                <w:rFonts w:hint="eastAsia" w:ascii="宋体" w:hAnsi="宋体" w:eastAsia="宋体" w:cs="宋体"/>
                <w:sz w:val="24"/>
                <w:szCs w:val="24"/>
                <w:u w:val="single"/>
              </w:rPr>
              <w:t xml:space="preserve">  / </w:t>
            </w:r>
            <w:r>
              <w:rPr>
                <w:rFonts w:hint="eastAsia" w:ascii="宋体" w:hAnsi="宋体" w:eastAsia="宋体" w:cs="宋体"/>
                <w:spacing w:val="-109"/>
                <w:sz w:val="24"/>
                <w:szCs w:val="24"/>
              </w:rPr>
              <w:t xml:space="preserve"> </w:t>
            </w:r>
            <w:r>
              <w:rPr>
                <w:rFonts w:hint="eastAsia" w:ascii="宋体" w:hAnsi="宋体" w:eastAsia="宋体" w:cs="宋体"/>
                <w:sz w:val="24"/>
                <w:szCs w:val="24"/>
              </w:rPr>
              <w:t>%或增加收益</w:t>
            </w:r>
            <w:r>
              <w:rPr>
                <w:rFonts w:hint="eastAsia" w:ascii="宋体" w:hAnsi="宋体" w:eastAsia="宋体" w:cs="宋体"/>
                <w:spacing w:val="-1"/>
                <w:sz w:val="24"/>
                <w:szCs w:val="24"/>
              </w:rPr>
              <w:t>的</w:t>
            </w:r>
            <w:r>
              <w:rPr>
                <w:rFonts w:hint="eastAsia" w:ascii="宋体" w:hAnsi="宋体" w:eastAsia="宋体" w:cs="宋体"/>
                <w:spacing w:val="-1"/>
                <w:sz w:val="24"/>
                <w:szCs w:val="24"/>
                <w:u w:val="single"/>
              </w:rPr>
              <w:t xml:space="preserve">  /  </w:t>
            </w:r>
            <w:r>
              <w:rPr>
                <w:rFonts w:hint="eastAsia" w:ascii="宋体" w:hAnsi="宋体" w:eastAsia="宋体" w:cs="宋体"/>
                <w:spacing w:val="-111"/>
                <w:sz w:val="24"/>
                <w:szCs w:val="24"/>
              </w:rPr>
              <w:t xml:space="preserve"> </w:t>
            </w:r>
            <w:r>
              <w:rPr>
                <w:rFonts w:hint="eastAsia" w:ascii="宋体" w:hAnsi="宋体" w:eastAsia="宋体" w:cs="宋体"/>
                <w:spacing w:val="-1"/>
                <w:sz w:val="24"/>
                <w:szCs w:val="24"/>
              </w:rPr>
              <w:t>%给予</w:t>
            </w:r>
            <w:r>
              <w:rPr>
                <w:rFonts w:hint="eastAsia" w:ascii="宋体" w:hAnsi="宋体" w:eastAsia="宋体" w:cs="宋体"/>
                <w:spacing w:val="-6"/>
                <w:sz w:val="24"/>
                <w:szCs w:val="24"/>
              </w:rPr>
              <w:t>奖励</w:t>
            </w:r>
          </w:p>
          <w:p w14:paraId="7D9E8DA6">
            <w:pPr>
              <w:rPr>
                <w:rFonts w:hint="eastAsia" w:ascii="宋体" w:hAnsi="宋体" w:eastAsia="宋体" w:cs="宋体"/>
                <w:sz w:val="24"/>
                <w:szCs w:val="24"/>
              </w:rPr>
            </w:pPr>
          </w:p>
        </w:tc>
      </w:tr>
      <w:tr w14:paraId="67C84E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04" w:hRule="atLeast"/>
        </w:trPr>
        <w:tc>
          <w:tcPr>
            <w:tcW w:w="774" w:type="dxa"/>
          </w:tcPr>
          <w:p w14:paraId="3E07DC36">
            <w:pPr>
              <w:pStyle w:val="29"/>
              <w:tabs>
                <w:tab w:val="left" w:pos="0"/>
              </w:tabs>
              <w:spacing w:line="356" w:lineRule="auto"/>
              <w:rPr>
                <w:rFonts w:hint="eastAsia" w:ascii="宋体" w:hAnsi="宋体" w:eastAsia="宋体" w:cs="宋体"/>
                <w:sz w:val="24"/>
                <w:szCs w:val="24"/>
                <w:lang w:eastAsia="zh-CN"/>
              </w:rPr>
            </w:pPr>
          </w:p>
          <w:p w14:paraId="2FC28FB8">
            <w:pPr>
              <w:pStyle w:val="29"/>
              <w:tabs>
                <w:tab w:val="left" w:pos="0"/>
              </w:tabs>
              <w:spacing w:line="357" w:lineRule="auto"/>
              <w:rPr>
                <w:rFonts w:hint="eastAsia" w:ascii="宋体" w:hAnsi="宋体" w:eastAsia="宋体" w:cs="宋体"/>
                <w:sz w:val="24"/>
                <w:szCs w:val="24"/>
                <w:lang w:eastAsia="zh-CN"/>
              </w:rPr>
            </w:pPr>
          </w:p>
          <w:p w14:paraId="27C38B68">
            <w:pPr>
              <w:spacing w:before="69" w:line="188" w:lineRule="auto"/>
              <w:ind w:left="291"/>
              <w:rPr>
                <w:rFonts w:hint="eastAsia" w:ascii="宋体" w:hAnsi="宋体" w:eastAsia="宋体" w:cs="宋体"/>
                <w:sz w:val="24"/>
                <w:szCs w:val="24"/>
              </w:rPr>
            </w:pPr>
            <w:r>
              <w:rPr>
                <w:rFonts w:hint="eastAsia" w:ascii="宋体" w:hAnsi="宋体" w:eastAsia="宋体" w:cs="宋体"/>
                <w:spacing w:val="-15"/>
                <w:sz w:val="24"/>
                <w:szCs w:val="24"/>
              </w:rPr>
              <w:t>14</w:t>
            </w:r>
          </w:p>
        </w:tc>
        <w:tc>
          <w:tcPr>
            <w:tcW w:w="1386" w:type="dxa"/>
          </w:tcPr>
          <w:p w14:paraId="34F0AAAF">
            <w:pPr>
              <w:pStyle w:val="29"/>
              <w:tabs>
                <w:tab w:val="left" w:pos="0"/>
              </w:tabs>
              <w:spacing w:line="356" w:lineRule="auto"/>
              <w:rPr>
                <w:rFonts w:hint="eastAsia" w:ascii="宋体" w:hAnsi="宋体" w:eastAsia="宋体" w:cs="宋体"/>
                <w:sz w:val="24"/>
                <w:szCs w:val="24"/>
              </w:rPr>
            </w:pPr>
          </w:p>
          <w:p w14:paraId="3865AFB1">
            <w:pPr>
              <w:pStyle w:val="29"/>
              <w:tabs>
                <w:tab w:val="left" w:pos="0"/>
              </w:tabs>
              <w:spacing w:line="357" w:lineRule="auto"/>
              <w:rPr>
                <w:rFonts w:hint="eastAsia" w:ascii="宋体" w:hAnsi="宋体" w:eastAsia="宋体" w:cs="宋体"/>
                <w:sz w:val="24"/>
                <w:szCs w:val="24"/>
              </w:rPr>
            </w:pPr>
          </w:p>
          <w:p w14:paraId="48F3EF20">
            <w:pPr>
              <w:spacing w:before="69" w:line="188" w:lineRule="auto"/>
              <w:ind w:left="506"/>
              <w:rPr>
                <w:rFonts w:hint="eastAsia" w:ascii="宋体" w:hAnsi="宋体" w:eastAsia="宋体" w:cs="宋体"/>
                <w:sz w:val="24"/>
                <w:szCs w:val="24"/>
              </w:rPr>
            </w:pPr>
            <w:r>
              <w:rPr>
                <w:rFonts w:hint="eastAsia" w:ascii="宋体" w:hAnsi="宋体" w:eastAsia="宋体" w:cs="宋体"/>
                <w:spacing w:val="-8"/>
                <w:sz w:val="24"/>
                <w:szCs w:val="24"/>
              </w:rPr>
              <w:t>16.1</w:t>
            </w:r>
          </w:p>
        </w:tc>
        <w:tc>
          <w:tcPr>
            <w:tcW w:w="6888" w:type="dxa"/>
          </w:tcPr>
          <w:p w14:paraId="46DD7936">
            <w:pPr>
              <w:spacing w:before="128" w:line="218" w:lineRule="auto"/>
              <w:ind w:left="133"/>
              <w:rPr>
                <w:rFonts w:hint="eastAsia" w:ascii="宋体" w:hAnsi="宋体" w:eastAsia="宋体" w:cs="宋体"/>
                <w:sz w:val="24"/>
                <w:szCs w:val="24"/>
              </w:rPr>
            </w:pPr>
            <w:r>
              <w:rPr>
                <w:rFonts w:hint="eastAsia" w:ascii="宋体" w:hAnsi="宋体" w:eastAsia="宋体" w:cs="宋体"/>
                <w:spacing w:val="-2"/>
                <w:sz w:val="24"/>
                <w:szCs w:val="24"/>
              </w:rPr>
              <w:t>因物价波动引起的价格调整按照以下原则处理：</w:t>
            </w:r>
          </w:p>
          <w:p w14:paraId="1B09A483">
            <w:pPr>
              <w:spacing w:before="117" w:line="197" w:lineRule="auto"/>
              <w:ind w:left="125"/>
              <w:rPr>
                <w:rFonts w:hint="eastAsia" w:ascii="宋体" w:hAnsi="宋体" w:eastAsia="宋体" w:cs="宋体"/>
                <w:sz w:val="24"/>
                <w:szCs w:val="24"/>
              </w:rPr>
            </w:pPr>
            <w:r>
              <w:rPr>
                <w:rFonts w:hint="eastAsia" w:ascii="宋体" w:hAnsi="宋体" w:eastAsia="宋体" w:cs="宋体"/>
                <w:sz w:val="24"/>
                <w:szCs w:val="24"/>
              </w:rPr>
              <w:t>□按第</w:t>
            </w:r>
            <w:r>
              <w:rPr>
                <w:rFonts w:hint="eastAsia" w:ascii="宋体" w:hAnsi="宋体" w:eastAsia="宋体" w:cs="宋体"/>
                <w:spacing w:val="-28"/>
                <w:sz w:val="24"/>
                <w:szCs w:val="24"/>
              </w:rPr>
              <w:t xml:space="preserve"> </w:t>
            </w:r>
            <w:r>
              <w:rPr>
                <w:rFonts w:hint="eastAsia" w:ascii="宋体" w:hAnsi="宋体" w:eastAsia="宋体" w:cs="宋体"/>
                <w:sz w:val="24"/>
                <w:szCs w:val="24"/>
              </w:rPr>
              <w:t>16.1.1 项调价，相关约定为：</w:t>
            </w:r>
            <w:r>
              <w:rPr>
                <w:rFonts w:hint="eastAsia" w:ascii="宋体" w:hAnsi="宋体" w:eastAsia="宋体" w:cs="宋体"/>
                <w:sz w:val="24"/>
                <w:szCs w:val="24"/>
                <w:u w:val="single"/>
              </w:rPr>
              <w:t xml:space="preserve">         /        </w:t>
            </w:r>
          </w:p>
          <w:p w14:paraId="3F3E311B">
            <w:pPr>
              <w:spacing w:before="59" w:line="199" w:lineRule="auto"/>
              <w:ind w:left="125"/>
              <w:rPr>
                <w:rFonts w:hint="eastAsia" w:ascii="宋体" w:hAnsi="宋体" w:eastAsia="宋体" w:cs="宋体"/>
                <w:sz w:val="24"/>
                <w:szCs w:val="24"/>
              </w:rPr>
            </w:pPr>
            <w:r>
              <w:rPr>
                <w:rFonts w:hint="eastAsia" w:ascii="宋体" w:hAnsi="宋体" w:eastAsia="宋体" w:cs="宋体"/>
                <w:sz w:val="24"/>
                <w:szCs w:val="24"/>
              </w:rPr>
              <w:t>□按第</w:t>
            </w:r>
            <w:r>
              <w:rPr>
                <w:rFonts w:hint="eastAsia" w:ascii="宋体" w:hAnsi="宋体" w:eastAsia="宋体" w:cs="宋体"/>
                <w:spacing w:val="-28"/>
                <w:sz w:val="24"/>
                <w:szCs w:val="24"/>
              </w:rPr>
              <w:t xml:space="preserve"> </w:t>
            </w:r>
            <w:r>
              <w:rPr>
                <w:rFonts w:hint="eastAsia" w:ascii="宋体" w:hAnsi="宋体" w:eastAsia="宋体" w:cs="宋体"/>
                <w:sz w:val="24"/>
                <w:szCs w:val="24"/>
              </w:rPr>
              <w:t>16.1.2 项调价，相关约定为：</w:t>
            </w:r>
            <w:r>
              <w:rPr>
                <w:rFonts w:hint="eastAsia" w:ascii="宋体" w:hAnsi="宋体" w:eastAsia="宋体" w:cs="宋体"/>
                <w:sz w:val="24"/>
                <w:szCs w:val="24"/>
                <w:u w:val="single"/>
              </w:rPr>
              <w:t xml:space="preserve">         /        </w:t>
            </w:r>
          </w:p>
          <w:p w14:paraId="6B61A15B">
            <w:pPr>
              <w:spacing w:before="60" w:line="265" w:lineRule="exact"/>
              <w:ind w:left="125"/>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position w:val="-1"/>
                <w:sz w:val="24"/>
                <w:szCs w:val="24"/>
              </w:rPr>
              <w:t>按第</w:t>
            </w:r>
            <w:r>
              <w:rPr>
                <w:rFonts w:hint="eastAsia" w:ascii="宋体" w:hAnsi="宋体" w:eastAsia="宋体" w:cs="宋体"/>
                <w:spacing w:val="-27"/>
                <w:position w:val="-1"/>
                <w:sz w:val="24"/>
                <w:szCs w:val="24"/>
              </w:rPr>
              <w:t xml:space="preserve"> </w:t>
            </w:r>
            <w:r>
              <w:rPr>
                <w:rFonts w:hint="eastAsia" w:ascii="宋体" w:hAnsi="宋体" w:eastAsia="宋体" w:cs="宋体"/>
                <w:position w:val="-1"/>
                <w:sz w:val="24"/>
                <w:szCs w:val="24"/>
              </w:rPr>
              <w:t>16.1.3 项约定不调价。</w:t>
            </w:r>
          </w:p>
        </w:tc>
      </w:tr>
      <w:tr w14:paraId="3CB7F8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5" w:hRule="atLeast"/>
        </w:trPr>
        <w:tc>
          <w:tcPr>
            <w:tcW w:w="774" w:type="dxa"/>
          </w:tcPr>
          <w:p w14:paraId="30C1D5AA">
            <w:pPr>
              <w:pStyle w:val="29"/>
              <w:tabs>
                <w:tab w:val="left" w:pos="0"/>
              </w:tabs>
              <w:spacing w:line="316" w:lineRule="auto"/>
              <w:rPr>
                <w:rFonts w:hint="eastAsia" w:ascii="宋体" w:hAnsi="宋体" w:eastAsia="宋体" w:cs="宋体"/>
                <w:sz w:val="24"/>
                <w:szCs w:val="24"/>
                <w:lang w:eastAsia="zh-CN"/>
              </w:rPr>
            </w:pPr>
          </w:p>
          <w:p w14:paraId="11273C4C">
            <w:pPr>
              <w:spacing w:before="69" w:line="188" w:lineRule="auto"/>
              <w:ind w:left="291"/>
              <w:rPr>
                <w:rFonts w:hint="eastAsia" w:ascii="宋体" w:hAnsi="宋体" w:eastAsia="宋体" w:cs="宋体"/>
                <w:sz w:val="24"/>
                <w:szCs w:val="24"/>
              </w:rPr>
            </w:pPr>
            <w:r>
              <w:rPr>
                <w:rFonts w:hint="eastAsia" w:ascii="宋体" w:hAnsi="宋体" w:eastAsia="宋体" w:cs="宋体"/>
                <w:spacing w:val="-15"/>
                <w:sz w:val="24"/>
                <w:szCs w:val="24"/>
              </w:rPr>
              <w:t>15</w:t>
            </w:r>
          </w:p>
        </w:tc>
        <w:tc>
          <w:tcPr>
            <w:tcW w:w="1386" w:type="dxa"/>
          </w:tcPr>
          <w:p w14:paraId="6CEFE90B">
            <w:pPr>
              <w:spacing w:before="188" w:line="188" w:lineRule="auto"/>
              <w:ind w:left="417"/>
              <w:rPr>
                <w:rFonts w:hint="eastAsia" w:ascii="宋体" w:hAnsi="宋体" w:eastAsia="宋体" w:cs="宋体"/>
                <w:sz w:val="24"/>
                <w:szCs w:val="24"/>
              </w:rPr>
            </w:pPr>
            <w:r>
              <w:rPr>
                <w:rFonts w:hint="eastAsia" w:ascii="宋体" w:hAnsi="宋体" w:eastAsia="宋体" w:cs="宋体"/>
                <w:spacing w:val="-5"/>
                <w:sz w:val="24"/>
                <w:szCs w:val="24"/>
              </w:rPr>
              <w:t>17.2.1</w:t>
            </w:r>
          </w:p>
          <w:p w14:paraId="651FFBF2">
            <w:pPr>
              <w:spacing w:before="126" w:line="203" w:lineRule="auto"/>
              <w:ind w:left="410"/>
              <w:rPr>
                <w:rFonts w:hint="eastAsia" w:ascii="宋体" w:hAnsi="宋体" w:eastAsia="宋体" w:cs="宋体"/>
                <w:sz w:val="24"/>
                <w:szCs w:val="24"/>
              </w:rPr>
            </w:pPr>
            <w:r>
              <w:rPr>
                <w:rFonts w:hint="eastAsia" w:ascii="宋体" w:hAnsi="宋体" w:eastAsia="宋体" w:cs="宋体"/>
                <w:spacing w:val="-7"/>
                <w:sz w:val="24"/>
                <w:szCs w:val="24"/>
              </w:rPr>
              <w:t>（1）</w:t>
            </w:r>
          </w:p>
        </w:tc>
        <w:tc>
          <w:tcPr>
            <w:tcW w:w="6888" w:type="dxa"/>
          </w:tcPr>
          <w:p w14:paraId="3CB21567">
            <w:pPr>
              <w:spacing w:before="309" w:line="233" w:lineRule="auto"/>
              <w:ind w:left="115"/>
              <w:rPr>
                <w:rFonts w:hint="eastAsia" w:ascii="宋体" w:hAnsi="宋体" w:eastAsia="宋体" w:cs="宋体"/>
                <w:sz w:val="24"/>
                <w:szCs w:val="24"/>
              </w:rPr>
            </w:pPr>
            <w:r>
              <w:rPr>
                <w:rFonts w:hint="eastAsia" w:ascii="宋体" w:hAnsi="宋体" w:eastAsia="宋体" w:cs="宋体"/>
                <w:spacing w:val="-2"/>
                <w:sz w:val="24"/>
                <w:szCs w:val="24"/>
              </w:rPr>
              <w:t>开工预付款金额：</w:t>
            </w:r>
            <w:r>
              <w:rPr>
                <w:rFonts w:hint="eastAsia" w:ascii="宋体" w:hAnsi="宋体" w:eastAsia="宋体" w:cs="宋体"/>
                <w:spacing w:val="-2"/>
                <w:sz w:val="24"/>
                <w:szCs w:val="24"/>
                <w:highlight w:val="none"/>
                <w:lang w:eastAsia="zh-CN"/>
              </w:rPr>
              <w:t>每年度合同金额的30%</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"bookmark244" </w:instrText>
            </w:r>
            <w:r>
              <w:rPr>
                <w:rFonts w:hint="eastAsia" w:ascii="宋体" w:hAnsi="宋体" w:eastAsia="宋体" w:cs="宋体"/>
                <w:sz w:val="24"/>
                <w:szCs w:val="24"/>
                <w:highlight w:val="none"/>
              </w:rPr>
              <w:fldChar w:fldCharType="separate"/>
            </w:r>
            <w:r>
              <w:rPr>
                <w:rFonts w:hint="eastAsia" w:ascii="宋体" w:hAnsi="宋体" w:eastAsia="宋体" w:cs="宋体"/>
                <w:spacing w:val="-2"/>
                <w:position w:val="12"/>
                <w:sz w:val="24"/>
                <w:szCs w:val="24"/>
                <w:highlight w:val="none"/>
              </w:rPr>
              <w:t>③</w:t>
            </w:r>
            <w:r>
              <w:rPr>
                <w:rFonts w:hint="eastAsia" w:ascii="宋体" w:hAnsi="宋体" w:eastAsia="宋体" w:cs="宋体"/>
                <w:spacing w:val="-2"/>
                <w:position w:val="12"/>
                <w:sz w:val="24"/>
                <w:szCs w:val="24"/>
                <w:highlight w:val="none"/>
              </w:rPr>
              <w:fldChar w:fldCharType="end"/>
            </w:r>
          </w:p>
        </w:tc>
      </w:tr>
      <w:tr w14:paraId="4E9181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5" w:hRule="atLeast"/>
        </w:trPr>
        <w:tc>
          <w:tcPr>
            <w:tcW w:w="774" w:type="dxa"/>
          </w:tcPr>
          <w:p w14:paraId="32E8879F">
            <w:pPr>
              <w:pStyle w:val="29"/>
              <w:tabs>
                <w:tab w:val="left" w:pos="0"/>
              </w:tabs>
              <w:spacing w:line="317" w:lineRule="auto"/>
              <w:rPr>
                <w:rFonts w:hint="eastAsia" w:ascii="宋体" w:hAnsi="宋体" w:eastAsia="宋体" w:cs="宋体"/>
                <w:sz w:val="24"/>
                <w:szCs w:val="24"/>
                <w:lang w:eastAsia="zh-CN"/>
              </w:rPr>
            </w:pPr>
          </w:p>
          <w:p w14:paraId="3A82CBD3">
            <w:pPr>
              <w:spacing w:before="69" w:line="188" w:lineRule="auto"/>
              <w:ind w:left="291"/>
              <w:rPr>
                <w:rFonts w:hint="eastAsia" w:ascii="宋体" w:hAnsi="宋体" w:eastAsia="宋体" w:cs="宋体"/>
                <w:sz w:val="24"/>
                <w:szCs w:val="24"/>
              </w:rPr>
            </w:pPr>
            <w:r>
              <w:rPr>
                <w:rFonts w:hint="eastAsia" w:ascii="宋体" w:hAnsi="宋体" w:eastAsia="宋体" w:cs="宋体"/>
                <w:spacing w:val="-15"/>
                <w:sz w:val="24"/>
                <w:szCs w:val="24"/>
              </w:rPr>
              <w:t>16</w:t>
            </w:r>
          </w:p>
        </w:tc>
        <w:tc>
          <w:tcPr>
            <w:tcW w:w="1386" w:type="dxa"/>
          </w:tcPr>
          <w:p w14:paraId="4B79838D">
            <w:pPr>
              <w:spacing w:before="189" w:line="188" w:lineRule="auto"/>
              <w:ind w:left="417"/>
              <w:rPr>
                <w:rFonts w:hint="eastAsia" w:ascii="宋体" w:hAnsi="宋体" w:eastAsia="宋体" w:cs="宋体"/>
                <w:sz w:val="24"/>
                <w:szCs w:val="24"/>
              </w:rPr>
            </w:pPr>
            <w:r>
              <w:rPr>
                <w:rFonts w:hint="eastAsia" w:ascii="宋体" w:hAnsi="宋体" w:eastAsia="宋体" w:cs="宋体"/>
                <w:spacing w:val="-5"/>
                <w:sz w:val="24"/>
                <w:szCs w:val="24"/>
              </w:rPr>
              <w:t>17.2.1</w:t>
            </w:r>
          </w:p>
          <w:p w14:paraId="3AE716F2">
            <w:pPr>
              <w:spacing w:before="124" w:line="204" w:lineRule="auto"/>
              <w:ind w:left="410"/>
              <w:rPr>
                <w:rFonts w:hint="eastAsia" w:ascii="宋体" w:hAnsi="宋体" w:eastAsia="宋体" w:cs="宋体"/>
                <w:sz w:val="24"/>
                <w:szCs w:val="24"/>
              </w:rPr>
            </w:pPr>
            <w:r>
              <w:rPr>
                <w:rFonts w:hint="eastAsia" w:ascii="宋体" w:hAnsi="宋体" w:eastAsia="宋体" w:cs="宋体"/>
                <w:spacing w:val="-7"/>
                <w:sz w:val="24"/>
                <w:szCs w:val="24"/>
              </w:rPr>
              <w:t>（2）</w:t>
            </w:r>
          </w:p>
        </w:tc>
        <w:tc>
          <w:tcPr>
            <w:tcW w:w="6888" w:type="dxa"/>
          </w:tcPr>
          <w:p w14:paraId="42DAEC75">
            <w:pPr>
              <w:spacing w:before="129" w:line="256" w:lineRule="auto"/>
              <w:ind w:left="133" w:right="108" w:hanging="19"/>
              <w:rPr>
                <w:rFonts w:hint="eastAsia" w:ascii="宋体" w:hAnsi="宋体" w:eastAsia="宋体" w:cs="宋体"/>
                <w:sz w:val="24"/>
                <w:szCs w:val="24"/>
              </w:rPr>
            </w:pPr>
            <w:r>
              <w:rPr>
                <w:rFonts w:hint="eastAsia" w:ascii="宋体" w:hAnsi="宋体" w:eastAsia="宋体" w:cs="宋体"/>
                <w:spacing w:val="9"/>
                <w:sz w:val="24"/>
                <w:szCs w:val="24"/>
              </w:rPr>
              <w:t>材料、设备预付款比例：</w:t>
            </w:r>
            <w:r>
              <w:rPr>
                <w:rFonts w:hint="eastAsia" w:ascii="宋体" w:hAnsi="宋体" w:eastAsia="宋体" w:cs="宋体"/>
                <w:spacing w:val="-94"/>
                <w:sz w:val="24"/>
                <w:szCs w:val="24"/>
              </w:rPr>
              <w:t xml:space="preserve"> I   </w:t>
            </w:r>
            <w:r>
              <w:rPr>
                <w:rFonts w:hint="eastAsia" w:ascii="宋体" w:hAnsi="宋体" w:eastAsia="宋体" w:cs="宋体"/>
                <w:spacing w:val="12"/>
                <w:sz w:val="24"/>
                <w:szCs w:val="24"/>
                <w:u w:val="single"/>
              </w:rPr>
              <w:t>沥青、沥青类</w:t>
            </w:r>
            <w:r>
              <w:rPr>
                <w:rFonts w:hint="eastAsia" w:ascii="宋体" w:hAnsi="宋体" w:eastAsia="宋体" w:cs="宋体"/>
                <w:spacing w:val="12"/>
                <w:sz w:val="24"/>
                <w:szCs w:val="24"/>
                <w:u w:val="single"/>
                <w:lang w:val="en-US" w:eastAsia="zh-CN"/>
              </w:rPr>
              <w:t>材料</w:t>
            </w:r>
            <w:r>
              <w:rPr>
                <w:rFonts w:hint="eastAsia" w:ascii="宋体" w:hAnsi="宋体" w:eastAsia="宋体" w:cs="宋体"/>
                <w:spacing w:val="12"/>
                <w:sz w:val="24"/>
                <w:szCs w:val="24"/>
                <w:u w:val="single"/>
              </w:rPr>
              <w:t xml:space="preserve">、碎石、砂、水泥、柴油 </w:t>
            </w:r>
            <w:r>
              <w:rPr>
                <w:rFonts w:hint="eastAsia" w:ascii="宋体" w:hAnsi="宋体" w:eastAsia="宋体" w:cs="宋体"/>
                <w:spacing w:val="-108"/>
                <w:sz w:val="24"/>
                <w:szCs w:val="24"/>
              </w:rPr>
              <w:t xml:space="preserve"> </w:t>
            </w:r>
            <w:r>
              <w:rPr>
                <w:rFonts w:hint="eastAsia" w:ascii="宋体" w:hAnsi="宋体" w:eastAsia="宋体" w:cs="宋体"/>
                <w:spacing w:val="9"/>
                <w:sz w:val="24"/>
                <w:szCs w:val="24"/>
              </w:rPr>
              <w:t>等主要材料、设备单据所列费用</w:t>
            </w:r>
            <w:r>
              <w:rPr>
                <w:rFonts w:hint="eastAsia" w:ascii="宋体" w:hAnsi="宋体" w:eastAsia="宋体" w:cs="宋体"/>
                <w:spacing w:val="-19"/>
                <w:position w:val="-1"/>
                <w:sz w:val="24"/>
                <w:szCs w:val="24"/>
              </w:rPr>
              <w:t>的</w:t>
            </w:r>
            <w:r>
              <w:rPr>
                <w:rFonts w:hint="eastAsia" w:ascii="宋体" w:hAnsi="宋体" w:eastAsia="宋体" w:cs="宋体"/>
                <w:spacing w:val="39"/>
                <w:position w:val="-1"/>
                <w:sz w:val="24"/>
                <w:szCs w:val="24"/>
                <w:u w:val="single"/>
              </w:rPr>
              <w:t xml:space="preserve">  70 </w:t>
            </w:r>
            <w:r>
              <w:rPr>
                <w:rFonts w:hint="eastAsia" w:ascii="宋体" w:hAnsi="宋体" w:eastAsia="宋体" w:cs="宋体"/>
                <w:spacing w:val="-110"/>
                <w:position w:val="-1"/>
                <w:sz w:val="24"/>
                <w:szCs w:val="24"/>
              </w:rPr>
              <w:t xml:space="preserve"> </w:t>
            </w:r>
            <w:r>
              <w:rPr>
                <w:rFonts w:hint="eastAsia" w:ascii="宋体" w:hAnsi="宋体" w:eastAsia="宋体" w:cs="宋体"/>
                <w:spacing w:val="-19"/>
                <w:position w:val="-1"/>
                <w:sz w:val="24"/>
                <w:szCs w:val="24"/>
              </w:rPr>
              <w:t>%</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"bookmark245" </w:instrText>
            </w:r>
            <w:r>
              <w:rPr>
                <w:rFonts w:hint="eastAsia" w:ascii="宋体" w:hAnsi="宋体" w:eastAsia="宋体" w:cs="宋体"/>
                <w:sz w:val="24"/>
                <w:szCs w:val="24"/>
              </w:rPr>
              <w:fldChar w:fldCharType="separate"/>
            </w:r>
            <w:r>
              <w:rPr>
                <w:rFonts w:hint="eastAsia" w:ascii="宋体" w:hAnsi="宋体" w:eastAsia="宋体" w:cs="宋体"/>
                <w:position w:val="10"/>
                <w:sz w:val="24"/>
                <w:szCs w:val="24"/>
              </w:rPr>
              <w:t>④</w:t>
            </w:r>
            <w:r>
              <w:rPr>
                <w:rFonts w:hint="eastAsia" w:ascii="宋体" w:hAnsi="宋体" w:eastAsia="宋体" w:cs="宋体"/>
                <w:position w:val="10"/>
                <w:sz w:val="24"/>
                <w:szCs w:val="24"/>
              </w:rPr>
              <w:fldChar w:fldCharType="end"/>
            </w:r>
          </w:p>
        </w:tc>
      </w:tr>
      <w:tr w14:paraId="246D50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7" w:hRule="atLeast"/>
        </w:trPr>
        <w:tc>
          <w:tcPr>
            <w:tcW w:w="774" w:type="dxa"/>
          </w:tcPr>
          <w:p w14:paraId="7FFF3B32">
            <w:pPr>
              <w:pStyle w:val="29"/>
              <w:tabs>
                <w:tab w:val="left" w:pos="0"/>
              </w:tabs>
              <w:spacing w:line="316" w:lineRule="auto"/>
              <w:rPr>
                <w:rFonts w:hint="eastAsia" w:ascii="宋体" w:hAnsi="宋体" w:eastAsia="宋体" w:cs="宋体"/>
                <w:sz w:val="24"/>
                <w:szCs w:val="24"/>
                <w:lang w:eastAsia="zh-CN"/>
              </w:rPr>
            </w:pPr>
          </w:p>
          <w:p w14:paraId="1EC51E3A">
            <w:pPr>
              <w:spacing w:before="69" w:line="188" w:lineRule="auto"/>
              <w:ind w:left="291"/>
              <w:rPr>
                <w:rFonts w:hint="eastAsia" w:ascii="宋体" w:hAnsi="宋体" w:eastAsia="宋体" w:cs="宋体"/>
                <w:sz w:val="24"/>
                <w:szCs w:val="24"/>
              </w:rPr>
            </w:pPr>
            <w:r>
              <w:rPr>
                <w:rFonts w:hint="eastAsia" w:ascii="宋体" w:hAnsi="宋体" w:eastAsia="宋体" w:cs="宋体"/>
                <w:spacing w:val="-15"/>
                <w:sz w:val="24"/>
                <w:szCs w:val="24"/>
              </w:rPr>
              <w:t>17</w:t>
            </w:r>
          </w:p>
        </w:tc>
        <w:tc>
          <w:tcPr>
            <w:tcW w:w="1386" w:type="dxa"/>
          </w:tcPr>
          <w:p w14:paraId="2F3D8790">
            <w:pPr>
              <w:pStyle w:val="29"/>
              <w:tabs>
                <w:tab w:val="left" w:pos="0"/>
              </w:tabs>
              <w:spacing w:line="316" w:lineRule="auto"/>
              <w:rPr>
                <w:rFonts w:hint="eastAsia" w:ascii="宋体" w:hAnsi="宋体" w:eastAsia="宋体" w:cs="宋体"/>
                <w:sz w:val="24"/>
                <w:szCs w:val="24"/>
              </w:rPr>
            </w:pPr>
          </w:p>
          <w:p w14:paraId="38EA64A6">
            <w:pPr>
              <w:spacing w:before="69" w:line="188" w:lineRule="auto"/>
              <w:ind w:left="417"/>
              <w:rPr>
                <w:rFonts w:hint="eastAsia" w:ascii="宋体" w:hAnsi="宋体" w:eastAsia="宋体" w:cs="宋体"/>
                <w:sz w:val="24"/>
                <w:szCs w:val="24"/>
              </w:rPr>
            </w:pPr>
            <w:r>
              <w:rPr>
                <w:rFonts w:hint="eastAsia" w:ascii="宋体" w:hAnsi="宋体" w:eastAsia="宋体" w:cs="宋体"/>
                <w:spacing w:val="-5"/>
                <w:sz w:val="24"/>
                <w:szCs w:val="24"/>
              </w:rPr>
              <w:t>17.3.2</w:t>
            </w:r>
          </w:p>
        </w:tc>
        <w:tc>
          <w:tcPr>
            <w:tcW w:w="6888" w:type="dxa"/>
          </w:tcPr>
          <w:p w14:paraId="5255DAFB">
            <w:pPr>
              <w:spacing w:before="128" w:line="257" w:lineRule="auto"/>
              <w:ind w:left="115" w:right="105" w:hanging="1"/>
              <w:rPr>
                <w:rFonts w:hint="eastAsia" w:ascii="宋体" w:hAnsi="宋体" w:eastAsia="宋体" w:cs="宋体"/>
                <w:sz w:val="24"/>
                <w:szCs w:val="24"/>
              </w:rPr>
            </w:pPr>
            <w:r>
              <w:rPr>
                <w:rFonts w:hint="eastAsia" w:ascii="宋体" w:hAnsi="宋体" w:eastAsia="宋体" w:cs="宋体"/>
                <w:spacing w:val="16"/>
                <w:sz w:val="24"/>
                <w:szCs w:val="24"/>
              </w:rPr>
              <w:t>承包人在每个付款周期末向发包人提交进度付款申请单的份</w:t>
            </w:r>
            <w:r>
              <w:rPr>
                <w:rFonts w:hint="eastAsia" w:ascii="宋体" w:hAnsi="宋体" w:eastAsia="宋体" w:cs="宋体"/>
                <w:spacing w:val="-2"/>
                <w:sz w:val="24"/>
                <w:szCs w:val="24"/>
              </w:rPr>
              <w:t>数：</w:t>
            </w:r>
            <w:r>
              <w:rPr>
                <w:rFonts w:hint="eastAsia" w:ascii="宋体" w:hAnsi="宋体" w:eastAsia="宋体" w:cs="宋体"/>
                <w:spacing w:val="-2"/>
                <w:sz w:val="24"/>
                <w:szCs w:val="24"/>
                <w:u w:val="single"/>
              </w:rPr>
              <w:t xml:space="preserve">3  </w:t>
            </w:r>
            <w:r>
              <w:rPr>
                <w:rFonts w:hint="eastAsia" w:ascii="宋体" w:hAnsi="宋体" w:eastAsia="宋体" w:cs="宋体"/>
                <w:spacing w:val="-109"/>
                <w:sz w:val="24"/>
                <w:szCs w:val="24"/>
              </w:rPr>
              <w:t xml:space="preserve"> </w:t>
            </w:r>
            <w:r>
              <w:rPr>
                <w:rFonts w:hint="eastAsia" w:ascii="宋体" w:hAnsi="宋体" w:eastAsia="宋体" w:cs="宋体"/>
                <w:spacing w:val="-2"/>
                <w:sz w:val="24"/>
                <w:szCs w:val="24"/>
              </w:rPr>
              <w:t>份</w:t>
            </w:r>
          </w:p>
        </w:tc>
      </w:tr>
    </w:tbl>
    <w:p w14:paraId="070675A1">
      <w:pPr>
        <w:spacing w:before="62" w:line="228" w:lineRule="auto"/>
        <w:ind w:left="520"/>
        <w:rPr>
          <w:rFonts w:hint="eastAsia" w:ascii="宋体" w:hAnsi="宋体" w:eastAsia="宋体" w:cs="宋体"/>
          <w:sz w:val="24"/>
          <w:szCs w:val="24"/>
        </w:rPr>
      </w:pPr>
      <w:bookmarkStart w:id="126" w:name="bookmark243"/>
      <w:bookmarkEnd w:id="126"/>
      <w:bookmarkStart w:id="127" w:name="bookmark242"/>
      <w:bookmarkEnd w:id="127"/>
      <w:r>
        <w:rPr>
          <w:rFonts w:hint="eastAsia" w:ascii="宋体" w:hAnsi="宋体" w:eastAsia="宋体" w:cs="宋体"/>
          <w:spacing w:val="6"/>
          <w:sz w:val="24"/>
          <w:szCs w:val="24"/>
        </w:rPr>
        <w:t>① 安全生产费的计取比例不应低于</w:t>
      </w:r>
      <w:r>
        <w:rPr>
          <w:rFonts w:hint="eastAsia" w:ascii="宋体" w:hAnsi="宋体" w:eastAsia="宋体" w:cs="宋体"/>
          <w:spacing w:val="-19"/>
          <w:sz w:val="24"/>
          <w:szCs w:val="24"/>
        </w:rPr>
        <w:t xml:space="preserve"> </w:t>
      </w:r>
      <w:r>
        <w:rPr>
          <w:rFonts w:hint="eastAsia" w:ascii="宋体" w:hAnsi="宋体" w:eastAsia="宋体" w:cs="宋体"/>
          <w:spacing w:val="6"/>
          <w:sz w:val="24"/>
          <w:szCs w:val="24"/>
        </w:rPr>
        <w:t>1.5%</w:t>
      </w:r>
      <w:r>
        <w:rPr>
          <w:rFonts w:hint="eastAsia" w:ascii="宋体" w:hAnsi="宋体" w:eastAsia="宋体" w:cs="宋体"/>
          <w:spacing w:val="-23"/>
          <w:sz w:val="24"/>
          <w:szCs w:val="24"/>
        </w:rPr>
        <w:t xml:space="preserve"> </w:t>
      </w:r>
      <w:r>
        <w:rPr>
          <w:rFonts w:hint="eastAsia" w:ascii="宋体" w:hAnsi="宋体" w:eastAsia="宋体" w:cs="宋体"/>
          <w:spacing w:val="6"/>
          <w:sz w:val="24"/>
          <w:szCs w:val="24"/>
        </w:rPr>
        <w:t>，且不高于</w:t>
      </w:r>
      <w:r>
        <w:rPr>
          <w:rFonts w:hint="eastAsia" w:ascii="宋体" w:hAnsi="宋体" w:eastAsia="宋体" w:cs="宋体"/>
          <w:spacing w:val="-34"/>
          <w:sz w:val="24"/>
          <w:szCs w:val="24"/>
        </w:rPr>
        <w:t xml:space="preserve"> </w:t>
      </w:r>
      <w:r>
        <w:rPr>
          <w:rFonts w:hint="eastAsia" w:ascii="宋体" w:hAnsi="宋体" w:eastAsia="宋体" w:cs="宋体"/>
          <w:spacing w:val="6"/>
          <w:sz w:val="24"/>
          <w:szCs w:val="24"/>
        </w:rPr>
        <w:t>3%。</w:t>
      </w:r>
    </w:p>
    <w:p w14:paraId="70E2A247">
      <w:pPr>
        <w:spacing w:before="165" w:line="226" w:lineRule="auto"/>
        <w:ind w:left="519"/>
        <w:rPr>
          <w:rFonts w:hint="eastAsia" w:ascii="宋体" w:hAnsi="宋体" w:eastAsia="宋体" w:cs="宋体"/>
          <w:sz w:val="24"/>
          <w:szCs w:val="24"/>
        </w:rPr>
      </w:pPr>
      <w:bookmarkStart w:id="128" w:name="bookmark244"/>
      <w:bookmarkEnd w:id="128"/>
      <w:r>
        <w:rPr>
          <w:rFonts w:hint="eastAsia" w:ascii="宋体" w:hAnsi="宋体" w:eastAsia="宋体" w:cs="宋体"/>
          <w:spacing w:val="7"/>
          <w:sz w:val="24"/>
          <w:szCs w:val="24"/>
        </w:rPr>
        <w:t>② 逾期交工违约金限额一般应为</w:t>
      </w:r>
      <w:r>
        <w:rPr>
          <w:rFonts w:hint="eastAsia" w:ascii="宋体" w:hAnsi="宋体" w:eastAsia="宋体" w:cs="宋体"/>
          <w:spacing w:val="-11"/>
          <w:sz w:val="24"/>
          <w:szCs w:val="24"/>
        </w:rPr>
        <w:t xml:space="preserve"> </w:t>
      </w:r>
      <w:r>
        <w:rPr>
          <w:rFonts w:hint="eastAsia" w:ascii="宋体" w:hAnsi="宋体" w:eastAsia="宋体" w:cs="宋体"/>
          <w:spacing w:val="7"/>
          <w:sz w:val="24"/>
          <w:szCs w:val="24"/>
        </w:rPr>
        <w:t>10%签约合同价。</w:t>
      </w:r>
    </w:p>
    <w:p w14:paraId="3457927D">
      <w:pPr>
        <w:spacing w:before="169" w:line="302" w:lineRule="auto"/>
        <w:ind w:left="122" w:right="267" w:firstLine="397"/>
        <w:rPr>
          <w:rFonts w:hint="eastAsia" w:ascii="宋体" w:hAnsi="宋体" w:eastAsia="宋体" w:cs="宋体"/>
          <w:sz w:val="24"/>
          <w:szCs w:val="24"/>
        </w:rPr>
      </w:pPr>
      <w:r>
        <w:rPr>
          <w:rFonts w:hint="eastAsia" w:ascii="宋体" w:hAnsi="宋体" w:eastAsia="宋体" w:cs="宋体"/>
          <w:spacing w:val="9"/>
          <w:sz w:val="24"/>
          <w:szCs w:val="24"/>
        </w:rPr>
        <w:t>③ 开工预付款金额原则上不低于签约合同价的</w:t>
      </w:r>
      <w:r>
        <w:rPr>
          <w:rFonts w:hint="eastAsia" w:ascii="宋体" w:hAnsi="宋体" w:eastAsia="宋体" w:cs="宋体"/>
          <w:spacing w:val="-17"/>
          <w:sz w:val="24"/>
          <w:szCs w:val="24"/>
        </w:rPr>
        <w:t xml:space="preserve"> </w:t>
      </w:r>
      <w:r>
        <w:rPr>
          <w:rFonts w:hint="eastAsia" w:ascii="宋体" w:hAnsi="宋体" w:eastAsia="宋体" w:cs="宋体"/>
          <w:spacing w:val="9"/>
          <w:sz w:val="24"/>
          <w:szCs w:val="24"/>
        </w:rPr>
        <w:t>10</w:t>
      </w:r>
      <w:r>
        <w:rPr>
          <w:rFonts w:hint="eastAsia" w:ascii="宋体" w:hAnsi="宋体" w:eastAsia="宋体" w:cs="宋体"/>
          <w:spacing w:val="17"/>
          <w:sz w:val="24"/>
          <w:szCs w:val="24"/>
        </w:rPr>
        <w:t>％，</w:t>
      </w:r>
      <w:r>
        <w:rPr>
          <w:rFonts w:hint="eastAsia" w:ascii="宋体" w:hAnsi="宋体" w:eastAsia="宋体" w:cs="宋体"/>
          <w:spacing w:val="9"/>
          <w:sz w:val="24"/>
          <w:szCs w:val="24"/>
        </w:rPr>
        <w:t>不高于签约合</w:t>
      </w:r>
      <w:r>
        <w:rPr>
          <w:rFonts w:hint="eastAsia" w:ascii="宋体" w:hAnsi="宋体" w:eastAsia="宋体" w:cs="宋体"/>
          <w:spacing w:val="8"/>
          <w:sz w:val="24"/>
          <w:szCs w:val="24"/>
        </w:rPr>
        <w:t>同价的</w:t>
      </w:r>
      <w:r>
        <w:rPr>
          <w:rFonts w:hint="eastAsia" w:ascii="宋体" w:hAnsi="宋体" w:eastAsia="宋体" w:cs="宋体"/>
          <w:spacing w:val="-34"/>
          <w:sz w:val="24"/>
          <w:szCs w:val="24"/>
        </w:rPr>
        <w:t xml:space="preserve"> </w:t>
      </w:r>
      <w:r>
        <w:rPr>
          <w:rFonts w:hint="eastAsia" w:ascii="宋体" w:hAnsi="宋体" w:eastAsia="宋体" w:cs="宋体"/>
          <w:spacing w:val="8"/>
          <w:sz w:val="24"/>
          <w:szCs w:val="24"/>
        </w:rPr>
        <w:t>30％</w:t>
      </w:r>
      <w:r>
        <w:rPr>
          <w:rFonts w:hint="eastAsia" w:ascii="宋体" w:hAnsi="宋体" w:eastAsia="宋体" w:cs="宋体"/>
          <w:spacing w:val="-55"/>
          <w:sz w:val="24"/>
          <w:szCs w:val="24"/>
        </w:rPr>
        <w:t xml:space="preserve"> </w:t>
      </w:r>
      <w:r>
        <w:rPr>
          <w:rFonts w:hint="eastAsia" w:ascii="宋体" w:hAnsi="宋体" w:eastAsia="宋体" w:cs="宋体"/>
          <w:spacing w:val="8"/>
          <w:sz w:val="24"/>
          <w:szCs w:val="24"/>
        </w:rPr>
        <w:t>。若发包人要</w:t>
      </w:r>
      <w:r>
        <w:rPr>
          <w:rFonts w:hint="eastAsia" w:ascii="宋体" w:hAnsi="宋体" w:eastAsia="宋体" w:cs="宋体"/>
          <w:spacing w:val="12"/>
          <w:sz w:val="24"/>
          <w:szCs w:val="24"/>
        </w:rPr>
        <w:t>求承包人提交的履约保证金额度不足以对开</w:t>
      </w:r>
      <w:r>
        <w:rPr>
          <w:rFonts w:hint="eastAsia" w:ascii="宋体" w:hAnsi="宋体" w:eastAsia="宋体" w:cs="宋体"/>
          <w:spacing w:val="11"/>
          <w:sz w:val="24"/>
          <w:szCs w:val="24"/>
        </w:rPr>
        <w:t>工预付款的正常使用承担保证责任，对于差额部分发包</w:t>
      </w:r>
      <w:bookmarkStart w:id="129" w:name="bookmark245"/>
      <w:bookmarkEnd w:id="129"/>
      <w:r>
        <w:rPr>
          <w:rFonts w:hint="eastAsia" w:ascii="宋体" w:hAnsi="宋体" w:eastAsia="宋体" w:cs="宋体"/>
          <w:spacing w:val="8"/>
          <w:sz w:val="24"/>
          <w:szCs w:val="24"/>
        </w:rPr>
        <w:t>人可要求承包人提供开工预付款担保。</w:t>
      </w:r>
    </w:p>
    <w:p w14:paraId="61BA160A">
      <w:pPr>
        <w:spacing w:before="166" w:line="226" w:lineRule="auto"/>
        <w:ind w:left="519"/>
        <w:rPr>
          <w:rFonts w:hint="eastAsia" w:ascii="宋体" w:hAnsi="宋体" w:eastAsia="宋体" w:cs="宋体"/>
          <w:sz w:val="24"/>
          <w:szCs w:val="24"/>
        </w:rPr>
        <w:sectPr>
          <w:footerReference r:id="rId16" w:type="default"/>
          <w:pgSz w:w="11905" w:h="16838"/>
          <w:pgMar w:top="1440" w:right="1134" w:bottom="1440" w:left="1134" w:header="0" w:footer="720" w:gutter="0"/>
          <w:pgNumType w:fmt="decimal"/>
          <w:cols w:space="0" w:num="1"/>
          <w:rtlGutter w:val="0"/>
          <w:docGrid w:linePitch="0" w:charSpace="0"/>
        </w:sectPr>
      </w:pPr>
      <w:r>
        <w:rPr>
          <w:rFonts w:hint="eastAsia" w:ascii="宋体" w:hAnsi="宋体" w:eastAsia="宋体" w:cs="宋体"/>
          <w:spacing w:val="8"/>
          <w:sz w:val="24"/>
          <w:szCs w:val="24"/>
        </w:rPr>
        <w:t>④ 指主要材料，一般应为70%～75%</w:t>
      </w:r>
      <w:r>
        <w:rPr>
          <w:rFonts w:hint="eastAsia" w:ascii="宋体" w:hAnsi="宋体" w:eastAsia="宋体" w:cs="宋体"/>
          <w:spacing w:val="-5"/>
          <w:sz w:val="24"/>
          <w:szCs w:val="24"/>
        </w:rPr>
        <w:t xml:space="preserve"> </w:t>
      </w:r>
      <w:r>
        <w:rPr>
          <w:rFonts w:hint="eastAsia" w:ascii="宋体" w:hAnsi="宋体" w:eastAsia="宋体" w:cs="宋体"/>
          <w:spacing w:val="8"/>
          <w:sz w:val="24"/>
          <w:szCs w:val="24"/>
        </w:rPr>
        <w:t>，最低不少于</w:t>
      </w:r>
      <w:r>
        <w:rPr>
          <w:rFonts w:hint="eastAsia" w:ascii="宋体" w:hAnsi="宋体" w:eastAsia="宋体" w:cs="宋体"/>
          <w:spacing w:val="-38"/>
          <w:sz w:val="24"/>
          <w:szCs w:val="24"/>
        </w:rPr>
        <w:t xml:space="preserve"> </w:t>
      </w:r>
      <w:r>
        <w:rPr>
          <w:rFonts w:hint="eastAsia" w:ascii="宋体" w:hAnsi="宋体" w:eastAsia="宋体" w:cs="宋体"/>
          <w:spacing w:val="8"/>
          <w:sz w:val="24"/>
          <w:szCs w:val="24"/>
        </w:rPr>
        <w:t>60%。</w:t>
      </w:r>
    </w:p>
    <w:tbl>
      <w:tblPr>
        <w:tblStyle w:val="25"/>
        <w:tblW w:w="0" w:type="auto"/>
        <w:tblInd w:w="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74"/>
        <w:gridCol w:w="1386"/>
        <w:gridCol w:w="6888"/>
      </w:tblGrid>
      <w:tr w14:paraId="28EC00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9" w:hRule="atLeast"/>
        </w:trPr>
        <w:tc>
          <w:tcPr>
            <w:tcW w:w="774" w:type="dxa"/>
          </w:tcPr>
          <w:p w14:paraId="623E93EF">
            <w:pPr>
              <w:spacing w:before="128" w:line="208" w:lineRule="auto"/>
              <w:ind w:left="152"/>
              <w:rPr>
                <w:rFonts w:hint="eastAsia" w:ascii="宋体" w:hAnsi="宋体" w:eastAsia="宋体" w:cs="宋体"/>
                <w:sz w:val="24"/>
                <w:szCs w:val="24"/>
              </w:rPr>
            </w:pPr>
            <w:bookmarkStart w:id="130" w:name="bookmark246"/>
            <w:bookmarkEnd w:id="130"/>
            <w:r>
              <w:rPr>
                <w:rFonts w:hint="eastAsia" w:ascii="宋体" w:hAnsi="宋体" w:eastAsia="宋体" w:cs="宋体"/>
                <w:spacing w:val="-5"/>
                <w:sz w:val="24"/>
                <w:szCs w:val="24"/>
              </w:rPr>
              <w:t>序号</w:t>
            </w:r>
          </w:p>
        </w:tc>
        <w:tc>
          <w:tcPr>
            <w:tcW w:w="1386" w:type="dxa"/>
          </w:tcPr>
          <w:p w14:paraId="1211AA00">
            <w:pPr>
              <w:spacing w:before="128" w:line="208" w:lineRule="auto"/>
              <w:ind w:left="341"/>
              <w:rPr>
                <w:rFonts w:hint="eastAsia" w:ascii="宋体" w:hAnsi="宋体" w:eastAsia="宋体" w:cs="宋体"/>
                <w:sz w:val="24"/>
                <w:szCs w:val="24"/>
              </w:rPr>
            </w:pPr>
            <w:r>
              <w:rPr>
                <w:rFonts w:hint="eastAsia" w:ascii="宋体" w:hAnsi="宋体" w:eastAsia="宋体" w:cs="宋体"/>
                <w:spacing w:val="-4"/>
                <w:sz w:val="24"/>
                <w:szCs w:val="24"/>
              </w:rPr>
              <w:t>条目号</w:t>
            </w:r>
          </w:p>
        </w:tc>
        <w:tc>
          <w:tcPr>
            <w:tcW w:w="6888" w:type="dxa"/>
          </w:tcPr>
          <w:p w14:paraId="06449B99">
            <w:pPr>
              <w:spacing w:before="128" w:line="208" w:lineRule="auto"/>
              <w:ind w:left="2848"/>
              <w:rPr>
                <w:rFonts w:hint="eastAsia" w:ascii="宋体" w:hAnsi="宋体" w:eastAsia="宋体" w:cs="宋体"/>
                <w:sz w:val="24"/>
                <w:szCs w:val="24"/>
              </w:rPr>
            </w:pPr>
            <w:r>
              <w:rPr>
                <w:rFonts w:hint="eastAsia" w:ascii="宋体" w:hAnsi="宋体" w:eastAsia="宋体" w:cs="宋体"/>
                <w:spacing w:val="-2"/>
                <w:sz w:val="24"/>
                <w:szCs w:val="24"/>
              </w:rPr>
              <w:t>信息或数据</w:t>
            </w:r>
          </w:p>
        </w:tc>
      </w:tr>
      <w:tr w14:paraId="3B4E8E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4" w:hRule="atLeast"/>
        </w:trPr>
        <w:tc>
          <w:tcPr>
            <w:tcW w:w="774" w:type="dxa"/>
          </w:tcPr>
          <w:p w14:paraId="20CDB3A7">
            <w:pPr>
              <w:pStyle w:val="29"/>
              <w:tabs>
                <w:tab w:val="left" w:pos="0"/>
              </w:tabs>
              <w:spacing w:line="314" w:lineRule="auto"/>
              <w:rPr>
                <w:rFonts w:hint="eastAsia" w:ascii="宋体" w:hAnsi="宋体" w:eastAsia="宋体" w:cs="宋体"/>
                <w:sz w:val="24"/>
                <w:szCs w:val="24"/>
              </w:rPr>
            </w:pPr>
          </w:p>
          <w:p w14:paraId="0427CADE">
            <w:pPr>
              <w:spacing w:before="69" w:line="188" w:lineRule="auto"/>
              <w:ind w:left="291"/>
              <w:rPr>
                <w:rFonts w:hint="eastAsia" w:ascii="宋体" w:hAnsi="宋体" w:eastAsia="宋体" w:cs="宋体"/>
                <w:sz w:val="24"/>
                <w:szCs w:val="24"/>
              </w:rPr>
            </w:pPr>
            <w:r>
              <w:rPr>
                <w:rFonts w:hint="eastAsia" w:ascii="宋体" w:hAnsi="宋体" w:eastAsia="宋体" w:cs="宋体"/>
                <w:spacing w:val="-15"/>
                <w:sz w:val="24"/>
                <w:szCs w:val="24"/>
              </w:rPr>
              <w:t>18</w:t>
            </w:r>
          </w:p>
        </w:tc>
        <w:tc>
          <w:tcPr>
            <w:tcW w:w="1386" w:type="dxa"/>
          </w:tcPr>
          <w:p w14:paraId="25BDE4BB">
            <w:pPr>
              <w:spacing w:before="183" w:line="188" w:lineRule="auto"/>
              <w:ind w:left="417"/>
              <w:rPr>
                <w:rFonts w:hint="eastAsia" w:ascii="宋体" w:hAnsi="宋体" w:eastAsia="宋体" w:cs="宋体"/>
                <w:sz w:val="24"/>
                <w:szCs w:val="24"/>
              </w:rPr>
            </w:pPr>
            <w:r>
              <w:rPr>
                <w:rFonts w:hint="eastAsia" w:ascii="宋体" w:hAnsi="宋体" w:eastAsia="宋体" w:cs="宋体"/>
                <w:spacing w:val="-5"/>
                <w:sz w:val="24"/>
                <w:szCs w:val="24"/>
              </w:rPr>
              <w:t>17.3.3</w:t>
            </w:r>
          </w:p>
          <w:p w14:paraId="5628C4F9">
            <w:pPr>
              <w:spacing w:before="126" w:line="206" w:lineRule="auto"/>
              <w:ind w:left="410"/>
              <w:rPr>
                <w:rFonts w:hint="eastAsia" w:ascii="宋体" w:hAnsi="宋体" w:eastAsia="宋体" w:cs="宋体"/>
                <w:sz w:val="24"/>
                <w:szCs w:val="24"/>
              </w:rPr>
            </w:pPr>
            <w:r>
              <w:rPr>
                <w:rFonts w:hint="eastAsia" w:ascii="宋体" w:hAnsi="宋体" w:eastAsia="宋体" w:cs="宋体"/>
                <w:spacing w:val="-7"/>
                <w:sz w:val="24"/>
                <w:szCs w:val="24"/>
              </w:rPr>
              <w:t>（2）</w:t>
            </w:r>
          </w:p>
        </w:tc>
        <w:tc>
          <w:tcPr>
            <w:tcW w:w="6888" w:type="dxa"/>
          </w:tcPr>
          <w:p w14:paraId="2BD9199E">
            <w:pPr>
              <w:spacing w:before="308" w:line="232" w:lineRule="auto"/>
              <w:ind w:left="112"/>
              <w:rPr>
                <w:rFonts w:hint="eastAsia" w:ascii="宋体" w:hAnsi="宋体" w:eastAsia="宋体" w:cs="宋体"/>
                <w:sz w:val="24"/>
                <w:szCs w:val="24"/>
              </w:rPr>
            </w:pPr>
            <w:r>
              <w:rPr>
                <w:rFonts w:hint="eastAsia" w:ascii="宋体" w:hAnsi="宋体" w:eastAsia="宋体" w:cs="宋体"/>
                <w:spacing w:val="-2"/>
                <w:sz w:val="24"/>
                <w:szCs w:val="24"/>
              </w:rPr>
              <w:t>逾期付款违约金的利率：</w:t>
            </w:r>
            <w:r>
              <w:rPr>
                <w:rFonts w:hint="eastAsia" w:ascii="宋体" w:hAnsi="宋体" w:eastAsia="宋体" w:cs="宋体"/>
                <w:spacing w:val="-2"/>
                <w:sz w:val="24"/>
                <w:szCs w:val="24"/>
                <w:u w:val="single"/>
              </w:rPr>
              <w:t xml:space="preserve">  0.5   </w:t>
            </w:r>
            <w:r>
              <w:rPr>
                <w:rFonts w:hint="eastAsia" w:ascii="宋体" w:hAnsi="宋体" w:eastAsia="宋体" w:cs="宋体"/>
                <w:spacing w:val="-91"/>
                <w:sz w:val="24"/>
                <w:szCs w:val="24"/>
              </w:rPr>
              <w:t xml:space="preserve"> </w:t>
            </w:r>
            <w:r>
              <w:rPr>
                <w:rFonts w:hint="eastAsia" w:ascii="宋体" w:hAnsi="宋体" w:eastAsia="宋体" w:cs="宋体"/>
                <w:spacing w:val="-2"/>
                <w:sz w:val="24"/>
                <w:szCs w:val="24"/>
              </w:rPr>
              <w:t>‰/天</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"bookmark247" </w:instrText>
            </w:r>
            <w:r>
              <w:rPr>
                <w:rFonts w:hint="eastAsia" w:ascii="宋体" w:hAnsi="宋体" w:eastAsia="宋体" w:cs="宋体"/>
                <w:sz w:val="24"/>
                <w:szCs w:val="24"/>
              </w:rPr>
              <w:fldChar w:fldCharType="separate"/>
            </w:r>
            <w:r>
              <w:rPr>
                <w:rFonts w:hint="eastAsia" w:ascii="宋体" w:hAnsi="宋体" w:eastAsia="宋体" w:cs="宋体"/>
                <w:spacing w:val="-2"/>
                <w:position w:val="11"/>
                <w:sz w:val="24"/>
                <w:szCs w:val="24"/>
              </w:rPr>
              <w:t>①</w:t>
            </w:r>
            <w:r>
              <w:rPr>
                <w:rFonts w:hint="eastAsia" w:ascii="宋体" w:hAnsi="宋体" w:eastAsia="宋体" w:cs="宋体"/>
                <w:spacing w:val="-2"/>
                <w:position w:val="11"/>
                <w:sz w:val="24"/>
                <w:szCs w:val="24"/>
              </w:rPr>
              <w:fldChar w:fldCharType="end"/>
            </w:r>
          </w:p>
        </w:tc>
      </w:tr>
      <w:tr w14:paraId="035AE7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4" w:hRule="atLeast"/>
        </w:trPr>
        <w:tc>
          <w:tcPr>
            <w:tcW w:w="774" w:type="dxa"/>
          </w:tcPr>
          <w:p w14:paraId="5E720A00">
            <w:pPr>
              <w:pStyle w:val="29"/>
              <w:tabs>
                <w:tab w:val="left" w:pos="0"/>
              </w:tabs>
              <w:spacing w:line="303" w:lineRule="auto"/>
              <w:rPr>
                <w:rFonts w:hint="eastAsia" w:ascii="宋体" w:hAnsi="宋体" w:eastAsia="宋体" w:cs="宋体"/>
                <w:sz w:val="24"/>
                <w:szCs w:val="24"/>
                <w:lang w:eastAsia="zh-CN"/>
              </w:rPr>
            </w:pPr>
          </w:p>
          <w:p w14:paraId="49DD0134">
            <w:pPr>
              <w:pStyle w:val="29"/>
              <w:tabs>
                <w:tab w:val="left" w:pos="0"/>
              </w:tabs>
              <w:spacing w:line="303" w:lineRule="auto"/>
              <w:rPr>
                <w:rFonts w:hint="eastAsia" w:ascii="宋体" w:hAnsi="宋体" w:eastAsia="宋体" w:cs="宋体"/>
                <w:sz w:val="24"/>
                <w:szCs w:val="24"/>
                <w:lang w:eastAsia="zh-CN"/>
              </w:rPr>
            </w:pPr>
          </w:p>
          <w:p w14:paraId="6917F8B6">
            <w:pPr>
              <w:pStyle w:val="29"/>
              <w:tabs>
                <w:tab w:val="left" w:pos="0"/>
              </w:tabs>
              <w:spacing w:line="304" w:lineRule="auto"/>
              <w:rPr>
                <w:rFonts w:hint="eastAsia" w:ascii="宋体" w:hAnsi="宋体" w:eastAsia="宋体" w:cs="宋体"/>
                <w:sz w:val="24"/>
                <w:szCs w:val="24"/>
                <w:lang w:eastAsia="zh-CN"/>
              </w:rPr>
            </w:pPr>
          </w:p>
          <w:p w14:paraId="6AC5FDAE">
            <w:pPr>
              <w:spacing w:before="69" w:line="188" w:lineRule="auto"/>
              <w:ind w:left="291"/>
              <w:rPr>
                <w:rFonts w:hint="eastAsia" w:ascii="宋体" w:hAnsi="宋体" w:eastAsia="宋体" w:cs="宋体"/>
                <w:sz w:val="24"/>
                <w:szCs w:val="24"/>
              </w:rPr>
            </w:pPr>
            <w:r>
              <w:rPr>
                <w:rFonts w:hint="eastAsia" w:ascii="宋体" w:hAnsi="宋体" w:eastAsia="宋体" w:cs="宋体"/>
                <w:spacing w:val="-15"/>
                <w:sz w:val="24"/>
                <w:szCs w:val="24"/>
              </w:rPr>
              <w:t>19</w:t>
            </w:r>
          </w:p>
        </w:tc>
        <w:tc>
          <w:tcPr>
            <w:tcW w:w="1386" w:type="dxa"/>
          </w:tcPr>
          <w:p w14:paraId="16411C32">
            <w:pPr>
              <w:pStyle w:val="29"/>
              <w:tabs>
                <w:tab w:val="left" w:pos="0"/>
              </w:tabs>
              <w:spacing w:line="303" w:lineRule="auto"/>
              <w:rPr>
                <w:rFonts w:hint="eastAsia" w:ascii="宋体" w:hAnsi="宋体" w:eastAsia="宋体" w:cs="宋体"/>
                <w:sz w:val="24"/>
                <w:szCs w:val="24"/>
              </w:rPr>
            </w:pPr>
          </w:p>
          <w:p w14:paraId="5A55653E">
            <w:pPr>
              <w:pStyle w:val="29"/>
              <w:tabs>
                <w:tab w:val="left" w:pos="0"/>
              </w:tabs>
              <w:spacing w:line="303" w:lineRule="auto"/>
              <w:rPr>
                <w:rFonts w:hint="eastAsia" w:ascii="宋体" w:hAnsi="宋体" w:eastAsia="宋体" w:cs="宋体"/>
                <w:sz w:val="24"/>
                <w:szCs w:val="24"/>
              </w:rPr>
            </w:pPr>
          </w:p>
          <w:p w14:paraId="2C737455">
            <w:pPr>
              <w:pStyle w:val="29"/>
              <w:tabs>
                <w:tab w:val="left" w:pos="0"/>
              </w:tabs>
              <w:spacing w:line="304" w:lineRule="auto"/>
              <w:rPr>
                <w:rFonts w:hint="eastAsia" w:ascii="宋体" w:hAnsi="宋体" w:eastAsia="宋体" w:cs="宋体"/>
                <w:sz w:val="24"/>
                <w:szCs w:val="24"/>
              </w:rPr>
            </w:pPr>
          </w:p>
          <w:p w14:paraId="11C5AC47">
            <w:pPr>
              <w:spacing w:before="69" w:line="188" w:lineRule="auto"/>
              <w:ind w:left="417"/>
              <w:rPr>
                <w:rFonts w:hint="eastAsia" w:ascii="宋体" w:hAnsi="宋体" w:eastAsia="宋体" w:cs="宋体"/>
                <w:sz w:val="24"/>
                <w:szCs w:val="24"/>
              </w:rPr>
            </w:pPr>
            <w:r>
              <w:rPr>
                <w:rFonts w:hint="eastAsia" w:ascii="宋体" w:hAnsi="宋体" w:eastAsia="宋体" w:cs="宋体"/>
                <w:spacing w:val="-5"/>
                <w:sz w:val="24"/>
                <w:szCs w:val="24"/>
              </w:rPr>
              <w:t>17.4.1</w:t>
            </w:r>
          </w:p>
        </w:tc>
        <w:tc>
          <w:tcPr>
            <w:tcW w:w="6888" w:type="dxa"/>
          </w:tcPr>
          <w:p w14:paraId="53254388">
            <w:pPr>
              <w:spacing w:before="2" w:line="323" w:lineRule="auto"/>
              <w:ind w:left="116" w:right="105" w:hanging="1"/>
              <w:rPr>
                <w:rFonts w:hint="eastAsia" w:ascii="宋体" w:hAnsi="宋体" w:eastAsia="宋体" w:cs="宋体"/>
                <w:sz w:val="24"/>
                <w:szCs w:val="24"/>
              </w:rPr>
            </w:pPr>
            <w:r>
              <w:rPr>
                <w:rFonts w:hint="eastAsia" w:ascii="宋体" w:hAnsi="宋体" w:eastAsia="宋体" w:cs="宋体"/>
                <w:spacing w:val="3"/>
                <w:sz w:val="24"/>
                <w:szCs w:val="24"/>
              </w:rPr>
              <w:t>质量保证金金额：</w:t>
            </w:r>
            <w:r>
              <w:rPr>
                <w:rFonts w:hint="eastAsia" w:ascii="宋体" w:hAnsi="宋体" w:eastAsia="宋体" w:cs="宋体"/>
                <w:spacing w:val="3"/>
                <w:sz w:val="24"/>
                <w:szCs w:val="24"/>
                <w:u w:val="single"/>
              </w:rPr>
              <w:t xml:space="preserve">  3   </w:t>
            </w:r>
            <w:r>
              <w:rPr>
                <w:rFonts w:hint="eastAsia" w:ascii="宋体" w:hAnsi="宋体" w:eastAsia="宋体" w:cs="宋体"/>
                <w:spacing w:val="-100"/>
                <w:sz w:val="24"/>
                <w:szCs w:val="24"/>
              </w:rPr>
              <w:t xml:space="preserve"> </w:t>
            </w:r>
            <w:r>
              <w:rPr>
                <w:rFonts w:hint="eastAsia" w:ascii="宋体" w:hAnsi="宋体" w:eastAsia="宋体" w:cs="宋体"/>
                <w:spacing w:val="3"/>
                <w:sz w:val="24"/>
                <w:szCs w:val="24"/>
              </w:rPr>
              <w:t>%合同价格</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"bookmark248" </w:instrText>
            </w:r>
            <w:r>
              <w:rPr>
                <w:rFonts w:hint="eastAsia" w:ascii="宋体" w:hAnsi="宋体" w:eastAsia="宋体" w:cs="宋体"/>
                <w:sz w:val="24"/>
                <w:szCs w:val="24"/>
              </w:rPr>
              <w:fldChar w:fldCharType="separate"/>
            </w:r>
            <w:r>
              <w:rPr>
                <w:rFonts w:hint="eastAsia" w:ascii="宋体" w:hAnsi="宋体" w:eastAsia="宋体" w:cs="宋体"/>
                <w:spacing w:val="3"/>
                <w:position w:val="12"/>
                <w:sz w:val="24"/>
                <w:szCs w:val="24"/>
              </w:rPr>
              <w:t>②</w:t>
            </w:r>
            <w:r>
              <w:rPr>
                <w:rFonts w:hint="eastAsia" w:ascii="宋体" w:hAnsi="宋体" w:eastAsia="宋体" w:cs="宋体"/>
                <w:spacing w:val="3"/>
                <w:position w:val="12"/>
                <w:sz w:val="24"/>
                <w:szCs w:val="24"/>
              </w:rPr>
              <w:fldChar w:fldCharType="end"/>
            </w:r>
            <w:r>
              <w:rPr>
                <w:rFonts w:hint="eastAsia" w:ascii="宋体" w:hAnsi="宋体" w:eastAsia="宋体" w:cs="宋体"/>
                <w:spacing w:val="-23"/>
                <w:position w:val="12"/>
                <w:sz w:val="24"/>
                <w:szCs w:val="24"/>
              </w:rPr>
              <w:t xml:space="preserve"> </w:t>
            </w:r>
            <w:r>
              <w:rPr>
                <w:rFonts w:hint="eastAsia" w:ascii="宋体" w:hAnsi="宋体" w:eastAsia="宋体" w:cs="宋体"/>
                <w:spacing w:val="3"/>
                <w:sz w:val="24"/>
                <w:szCs w:val="24"/>
              </w:rPr>
              <w:t>,</w:t>
            </w:r>
            <w:r>
              <w:rPr>
                <w:rFonts w:hint="eastAsia" w:ascii="宋体" w:hAnsi="宋体" w:eastAsia="宋体" w:cs="宋体"/>
                <w:spacing w:val="71"/>
                <w:sz w:val="24"/>
                <w:szCs w:val="24"/>
              </w:rPr>
              <w:t xml:space="preserve"> </w:t>
            </w:r>
            <w:r>
              <w:rPr>
                <w:rFonts w:hint="eastAsia" w:ascii="宋体" w:hAnsi="宋体" w:eastAsia="宋体" w:cs="宋体"/>
                <w:spacing w:val="3"/>
                <w:sz w:val="24"/>
                <w:szCs w:val="24"/>
              </w:rPr>
              <w:t>若交工验收时承包人具</w:t>
            </w:r>
            <w:r>
              <w:rPr>
                <w:rFonts w:hint="eastAsia" w:ascii="宋体" w:hAnsi="宋体" w:eastAsia="宋体" w:cs="宋体"/>
                <w:spacing w:val="6"/>
                <w:sz w:val="24"/>
                <w:szCs w:val="24"/>
              </w:rPr>
              <w:t>备被养护项目所在地省级交通运输主管部门评定的最高信用等</w:t>
            </w:r>
            <w:r>
              <w:rPr>
                <w:rFonts w:hint="eastAsia" w:ascii="宋体" w:hAnsi="宋体" w:eastAsia="宋体" w:cs="宋体"/>
                <w:spacing w:val="-1"/>
                <w:sz w:val="24"/>
                <w:szCs w:val="24"/>
              </w:rPr>
              <w:t>级，发包人给予</w:t>
            </w:r>
            <w:r>
              <w:rPr>
                <w:rFonts w:hint="eastAsia" w:ascii="宋体" w:hAnsi="宋体" w:eastAsia="宋体" w:cs="宋体"/>
                <w:spacing w:val="-1"/>
                <w:sz w:val="24"/>
                <w:szCs w:val="24"/>
                <w:u w:val="single"/>
              </w:rPr>
              <w:t xml:space="preserve">  2   </w:t>
            </w:r>
            <w:r>
              <w:rPr>
                <w:rFonts w:hint="eastAsia" w:ascii="宋体" w:hAnsi="宋体" w:eastAsia="宋体" w:cs="宋体"/>
                <w:spacing w:val="-107"/>
                <w:sz w:val="24"/>
                <w:szCs w:val="24"/>
              </w:rPr>
              <w:t xml:space="preserve"> </w:t>
            </w:r>
            <w:r>
              <w:rPr>
                <w:rFonts w:hint="eastAsia" w:ascii="宋体" w:hAnsi="宋体" w:eastAsia="宋体" w:cs="宋体"/>
                <w:spacing w:val="-1"/>
                <w:sz w:val="24"/>
                <w:szCs w:val="24"/>
              </w:rPr>
              <w:t>%合同价格质量保证金的优惠。</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"bookmark249" </w:instrText>
            </w:r>
            <w:r>
              <w:rPr>
                <w:rFonts w:hint="eastAsia" w:ascii="宋体" w:hAnsi="宋体" w:eastAsia="宋体" w:cs="宋体"/>
                <w:sz w:val="24"/>
                <w:szCs w:val="24"/>
              </w:rPr>
              <w:fldChar w:fldCharType="separate"/>
            </w:r>
            <w:r>
              <w:rPr>
                <w:rFonts w:hint="eastAsia" w:ascii="宋体" w:hAnsi="宋体" w:eastAsia="宋体" w:cs="宋体"/>
                <w:spacing w:val="-1"/>
                <w:position w:val="12"/>
                <w:sz w:val="24"/>
                <w:szCs w:val="24"/>
              </w:rPr>
              <w:t>③</w:t>
            </w:r>
            <w:r>
              <w:rPr>
                <w:rFonts w:hint="eastAsia" w:ascii="宋体" w:hAnsi="宋体" w:eastAsia="宋体" w:cs="宋体"/>
                <w:spacing w:val="-1"/>
                <w:position w:val="12"/>
                <w:sz w:val="24"/>
                <w:szCs w:val="24"/>
              </w:rPr>
              <w:fldChar w:fldCharType="end"/>
            </w:r>
          </w:p>
          <w:p w14:paraId="745B7BD0">
            <w:pPr>
              <w:spacing w:before="65" w:line="219" w:lineRule="auto"/>
              <w:ind w:left="115"/>
              <w:rPr>
                <w:rFonts w:hint="eastAsia" w:ascii="宋体" w:hAnsi="宋体" w:eastAsia="宋体" w:cs="宋体"/>
                <w:sz w:val="24"/>
                <w:szCs w:val="24"/>
              </w:rPr>
            </w:pPr>
            <w:r>
              <w:rPr>
                <w:rFonts w:hint="eastAsia" w:ascii="宋体" w:hAnsi="宋体" w:eastAsia="宋体" w:cs="宋体"/>
                <w:spacing w:val="-1"/>
                <w:sz w:val="24"/>
                <w:szCs w:val="24"/>
              </w:rPr>
              <w:t>质量保证金是否计付利息：</w:t>
            </w:r>
            <w:r>
              <w:rPr>
                <w:rFonts w:hint="eastAsia" w:ascii="宋体" w:hAnsi="宋体" w:eastAsia="宋体" w:cs="宋体"/>
                <w:sz w:val="24"/>
                <w:szCs w:val="24"/>
                <w:u w:val="single"/>
              </w:rPr>
              <w:t xml:space="preserve">     否       </w:t>
            </w:r>
          </w:p>
          <w:p w14:paraId="7B87BE3D">
            <w:pPr>
              <w:spacing w:before="113" w:line="206" w:lineRule="auto"/>
              <w:ind w:left="115"/>
              <w:rPr>
                <w:rFonts w:hint="eastAsia" w:ascii="宋体" w:hAnsi="宋体" w:eastAsia="宋体" w:cs="宋体"/>
                <w:sz w:val="24"/>
                <w:szCs w:val="24"/>
              </w:rPr>
            </w:pPr>
            <w:r>
              <w:rPr>
                <w:rFonts w:hint="eastAsia" w:ascii="宋体" w:hAnsi="宋体" w:eastAsia="宋体" w:cs="宋体"/>
                <w:spacing w:val="-1"/>
                <w:sz w:val="24"/>
                <w:szCs w:val="24"/>
              </w:rPr>
              <w:t>质量保证金利息的计算方式：</w:t>
            </w:r>
            <w:r>
              <w:rPr>
                <w:rFonts w:hint="eastAsia" w:ascii="宋体" w:hAnsi="宋体" w:eastAsia="宋体" w:cs="宋体"/>
                <w:sz w:val="24"/>
                <w:szCs w:val="24"/>
                <w:u w:val="single"/>
              </w:rPr>
              <w:t xml:space="preserve">       /      </w:t>
            </w:r>
          </w:p>
        </w:tc>
      </w:tr>
      <w:tr w14:paraId="27AA1B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5" w:hRule="atLeast"/>
        </w:trPr>
        <w:tc>
          <w:tcPr>
            <w:tcW w:w="774" w:type="dxa"/>
          </w:tcPr>
          <w:p w14:paraId="1A4CCE50">
            <w:pPr>
              <w:pStyle w:val="29"/>
              <w:tabs>
                <w:tab w:val="left" w:pos="0"/>
              </w:tabs>
              <w:spacing w:line="316" w:lineRule="auto"/>
              <w:rPr>
                <w:rFonts w:hint="eastAsia" w:ascii="宋体" w:hAnsi="宋体" w:eastAsia="宋体" w:cs="宋体"/>
                <w:sz w:val="24"/>
                <w:szCs w:val="24"/>
                <w:lang w:eastAsia="zh-CN"/>
              </w:rPr>
            </w:pPr>
          </w:p>
          <w:p w14:paraId="341AC744">
            <w:pPr>
              <w:spacing w:before="69" w:line="188" w:lineRule="auto"/>
              <w:ind w:left="268"/>
              <w:rPr>
                <w:rFonts w:hint="eastAsia" w:ascii="宋体" w:hAnsi="宋体" w:eastAsia="宋体" w:cs="宋体"/>
                <w:sz w:val="24"/>
                <w:szCs w:val="24"/>
              </w:rPr>
            </w:pPr>
            <w:r>
              <w:rPr>
                <w:rFonts w:hint="eastAsia" w:ascii="宋体" w:hAnsi="宋体" w:eastAsia="宋体" w:cs="宋体"/>
                <w:spacing w:val="-3"/>
                <w:sz w:val="24"/>
                <w:szCs w:val="24"/>
              </w:rPr>
              <w:t>20</w:t>
            </w:r>
          </w:p>
        </w:tc>
        <w:tc>
          <w:tcPr>
            <w:tcW w:w="1386" w:type="dxa"/>
          </w:tcPr>
          <w:p w14:paraId="16FB737A">
            <w:pPr>
              <w:spacing w:before="185" w:line="188" w:lineRule="auto"/>
              <w:ind w:left="417"/>
              <w:rPr>
                <w:rFonts w:hint="eastAsia" w:ascii="宋体" w:hAnsi="宋体" w:eastAsia="宋体" w:cs="宋体"/>
                <w:sz w:val="24"/>
                <w:szCs w:val="24"/>
              </w:rPr>
            </w:pPr>
            <w:r>
              <w:rPr>
                <w:rFonts w:hint="eastAsia" w:ascii="宋体" w:hAnsi="宋体" w:eastAsia="宋体" w:cs="宋体"/>
                <w:spacing w:val="-5"/>
                <w:sz w:val="24"/>
                <w:szCs w:val="24"/>
              </w:rPr>
              <w:t>17.5.1</w:t>
            </w:r>
          </w:p>
          <w:p w14:paraId="595A0A59">
            <w:pPr>
              <w:spacing w:before="126" w:line="205" w:lineRule="auto"/>
              <w:ind w:left="410"/>
              <w:rPr>
                <w:rFonts w:hint="eastAsia" w:ascii="宋体" w:hAnsi="宋体" w:eastAsia="宋体" w:cs="宋体"/>
                <w:sz w:val="24"/>
                <w:szCs w:val="24"/>
              </w:rPr>
            </w:pPr>
            <w:r>
              <w:rPr>
                <w:rFonts w:hint="eastAsia" w:ascii="宋体" w:hAnsi="宋体" w:eastAsia="宋体" w:cs="宋体"/>
                <w:spacing w:val="-7"/>
                <w:sz w:val="24"/>
                <w:szCs w:val="24"/>
              </w:rPr>
              <w:t>（1）</w:t>
            </w:r>
          </w:p>
        </w:tc>
        <w:tc>
          <w:tcPr>
            <w:tcW w:w="6888" w:type="dxa"/>
          </w:tcPr>
          <w:p w14:paraId="4C6A26EC">
            <w:pPr>
              <w:spacing w:before="126" w:line="257" w:lineRule="auto"/>
              <w:ind w:left="114" w:right="105"/>
              <w:rPr>
                <w:rFonts w:hint="eastAsia" w:ascii="宋体" w:hAnsi="宋体" w:eastAsia="宋体" w:cs="宋体"/>
                <w:sz w:val="24"/>
                <w:szCs w:val="24"/>
              </w:rPr>
            </w:pPr>
            <w:r>
              <w:rPr>
                <w:rFonts w:hint="eastAsia" w:ascii="宋体" w:hAnsi="宋体" w:eastAsia="宋体" w:cs="宋体"/>
                <w:spacing w:val="7"/>
                <w:sz w:val="24"/>
                <w:szCs w:val="24"/>
              </w:rPr>
              <w:t>承包人向发包人提交交工付款申请单（包括</w:t>
            </w:r>
            <w:r>
              <w:rPr>
                <w:rFonts w:hint="eastAsia" w:ascii="宋体" w:hAnsi="宋体" w:eastAsia="宋体" w:cs="宋体"/>
                <w:spacing w:val="6"/>
                <w:sz w:val="24"/>
                <w:szCs w:val="24"/>
              </w:rPr>
              <w:t>相关证明材料）的</w:t>
            </w:r>
            <w:r>
              <w:rPr>
                <w:rFonts w:hint="eastAsia" w:ascii="宋体" w:hAnsi="宋体" w:eastAsia="宋体" w:cs="宋体"/>
                <w:spacing w:val="-1"/>
                <w:sz w:val="24"/>
                <w:szCs w:val="24"/>
              </w:rPr>
              <w:t>份数：3</w:t>
            </w:r>
            <w:r>
              <w:rPr>
                <w:rFonts w:hint="eastAsia" w:ascii="宋体" w:hAnsi="宋体" w:eastAsia="宋体" w:cs="宋体"/>
                <w:spacing w:val="-1"/>
                <w:sz w:val="24"/>
                <w:szCs w:val="24"/>
                <w:u w:val="single"/>
              </w:rPr>
              <w:t xml:space="preserve">      </w:t>
            </w:r>
            <w:r>
              <w:rPr>
                <w:rFonts w:hint="eastAsia" w:ascii="宋体" w:hAnsi="宋体" w:eastAsia="宋体" w:cs="宋体"/>
                <w:spacing w:val="-111"/>
                <w:sz w:val="24"/>
                <w:szCs w:val="24"/>
              </w:rPr>
              <w:t xml:space="preserve"> </w:t>
            </w:r>
            <w:r>
              <w:rPr>
                <w:rFonts w:hint="eastAsia" w:ascii="宋体" w:hAnsi="宋体" w:eastAsia="宋体" w:cs="宋体"/>
                <w:spacing w:val="-1"/>
                <w:sz w:val="24"/>
                <w:szCs w:val="24"/>
              </w:rPr>
              <w:t>份</w:t>
            </w:r>
          </w:p>
        </w:tc>
      </w:tr>
      <w:tr w14:paraId="60FCC8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5" w:hRule="atLeast"/>
        </w:trPr>
        <w:tc>
          <w:tcPr>
            <w:tcW w:w="774" w:type="dxa"/>
          </w:tcPr>
          <w:p w14:paraId="32C40E05">
            <w:pPr>
              <w:pStyle w:val="29"/>
              <w:tabs>
                <w:tab w:val="left" w:pos="0"/>
              </w:tabs>
              <w:spacing w:line="315" w:lineRule="auto"/>
              <w:rPr>
                <w:rFonts w:hint="eastAsia" w:ascii="宋体" w:hAnsi="宋体" w:eastAsia="宋体" w:cs="宋体"/>
                <w:sz w:val="24"/>
                <w:szCs w:val="24"/>
                <w:lang w:eastAsia="zh-CN"/>
              </w:rPr>
            </w:pPr>
          </w:p>
          <w:p w14:paraId="41452953">
            <w:pPr>
              <w:spacing w:before="69" w:line="188" w:lineRule="auto"/>
              <w:ind w:left="268"/>
              <w:rPr>
                <w:rFonts w:hint="eastAsia" w:ascii="宋体" w:hAnsi="宋体" w:eastAsia="宋体" w:cs="宋体"/>
                <w:sz w:val="24"/>
                <w:szCs w:val="24"/>
              </w:rPr>
            </w:pPr>
            <w:r>
              <w:rPr>
                <w:rFonts w:hint="eastAsia" w:ascii="宋体" w:hAnsi="宋体" w:eastAsia="宋体" w:cs="宋体"/>
                <w:spacing w:val="-3"/>
                <w:sz w:val="24"/>
                <w:szCs w:val="24"/>
              </w:rPr>
              <w:t>21</w:t>
            </w:r>
          </w:p>
        </w:tc>
        <w:tc>
          <w:tcPr>
            <w:tcW w:w="1386" w:type="dxa"/>
          </w:tcPr>
          <w:p w14:paraId="0EDEE760">
            <w:pPr>
              <w:spacing w:before="187" w:line="188" w:lineRule="auto"/>
              <w:ind w:left="417"/>
              <w:rPr>
                <w:rFonts w:hint="eastAsia" w:ascii="宋体" w:hAnsi="宋体" w:eastAsia="宋体" w:cs="宋体"/>
                <w:sz w:val="24"/>
                <w:szCs w:val="24"/>
              </w:rPr>
            </w:pPr>
            <w:r>
              <w:rPr>
                <w:rFonts w:hint="eastAsia" w:ascii="宋体" w:hAnsi="宋体" w:eastAsia="宋体" w:cs="宋体"/>
                <w:spacing w:val="-5"/>
                <w:sz w:val="24"/>
                <w:szCs w:val="24"/>
              </w:rPr>
              <w:t>17.6.1</w:t>
            </w:r>
          </w:p>
          <w:p w14:paraId="1741BB6D">
            <w:pPr>
              <w:spacing w:before="123" w:line="206" w:lineRule="auto"/>
              <w:ind w:left="410"/>
              <w:rPr>
                <w:rFonts w:hint="eastAsia" w:ascii="宋体" w:hAnsi="宋体" w:eastAsia="宋体" w:cs="宋体"/>
                <w:sz w:val="24"/>
                <w:szCs w:val="24"/>
              </w:rPr>
            </w:pPr>
            <w:r>
              <w:rPr>
                <w:rFonts w:hint="eastAsia" w:ascii="宋体" w:hAnsi="宋体" w:eastAsia="宋体" w:cs="宋体"/>
                <w:spacing w:val="-7"/>
                <w:sz w:val="24"/>
                <w:szCs w:val="24"/>
              </w:rPr>
              <w:t>（1）</w:t>
            </w:r>
          </w:p>
        </w:tc>
        <w:tc>
          <w:tcPr>
            <w:tcW w:w="6888" w:type="dxa"/>
          </w:tcPr>
          <w:p w14:paraId="73673CE3">
            <w:pPr>
              <w:spacing w:before="129" w:line="256" w:lineRule="auto"/>
              <w:ind w:left="114" w:right="105"/>
              <w:rPr>
                <w:rFonts w:hint="eastAsia" w:ascii="宋体" w:hAnsi="宋体" w:eastAsia="宋体" w:cs="宋体"/>
                <w:sz w:val="24"/>
                <w:szCs w:val="24"/>
              </w:rPr>
            </w:pPr>
            <w:r>
              <w:rPr>
                <w:rFonts w:hint="eastAsia" w:ascii="宋体" w:hAnsi="宋体" w:eastAsia="宋体" w:cs="宋体"/>
                <w:spacing w:val="7"/>
                <w:sz w:val="24"/>
                <w:szCs w:val="24"/>
              </w:rPr>
              <w:t>承包人向发包人提交最终结清申请单（包括</w:t>
            </w:r>
            <w:r>
              <w:rPr>
                <w:rFonts w:hint="eastAsia" w:ascii="宋体" w:hAnsi="宋体" w:eastAsia="宋体" w:cs="宋体"/>
                <w:spacing w:val="6"/>
                <w:sz w:val="24"/>
                <w:szCs w:val="24"/>
              </w:rPr>
              <w:t>相关证明材料）的</w:t>
            </w:r>
            <w:r>
              <w:rPr>
                <w:rFonts w:hint="eastAsia" w:ascii="宋体" w:hAnsi="宋体" w:eastAsia="宋体" w:cs="宋体"/>
                <w:spacing w:val="-1"/>
                <w:sz w:val="24"/>
                <w:szCs w:val="24"/>
              </w:rPr>
              <w:t>份数：3</w:t>
            </w:r>
            <w:r>
              <w:rPr>
                <w:rFonts w:hint="eastAsia" w:ascii="宋体" w:hAnsi="宋体" w:eastAsia="宋体" w:cs="宋体"/>
                <w:spacing w:val="-1"/>
                <w:sz w:val="24"/>
                <w:szCs w:val="24"/>
                <w:u w:val="single"/>
              </w:rPr>
              <w:t xml:space="preserve">      </w:t>
            </w:r>
            <w:r>
              <w:rPr>
                <w:rFonts w:hint="eastAsia" w:ascii="宋体" w:hAnsi="宋体" w:eastAsia="宋体" w:cs="宋体"/>
                <w:spacing w:val="-111"/>
                <w:sz w:val="24"/>
                <w:szCs w:val="24"/>
              </w:rPr>
              <w:t xml:space="preserve"> </w:t>
            </w:r>
            <w:r>
              <w:rPr>
                <w:rFonts w:hint="eastAsia" w:ascii="宋体" w:hAnsi="宋体" w:eastAsia="宋体" w:cs="宋体"/>
                <w:spacing w:val="-1"/>
                <w:sz w:val="24"/>
                <w:szCs w:val="24"/>
              </w:rPr>
              <w:t>份</w:t>
            </w:r>
          </w:p>
        </w:tc>
      </w:tr>
      <w:tr w14:paraId="6DFEB1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5" w:hRule="atLeast"/>
        </w:trPr>
        <w:tc>
          <w:tcPr>
            <w:tcW w:w="774" w:type="dxa"/>
          </w:tcPr>
          <w:p w14:paraId="4F26DE95">
            <w:pPr>
              <w:pStyle w:val="29"/>
              <w:tabs>
                <w:tab w:val="left" w:pos="0"/>
              </w:tabs>
              <w:spacing w:line="316" w:lineRule="auto"/>
              <w:rPr>
                <w:rFonts w:hint="eastAsia" w:ascii="宋体" w:hAnsi="宋体" w:eastAsia="宋体" w:cs="宋体"/>
                <w:sz w:val="24"/>
                <w:szCs w:val="24"/>
                <w:lang w:eastAsia="zh-CN"/>
              </w:rPr>
            </w:pPr>
          </w:p>
          <w:p w14:paraId="6C89F409">
            <w:pPr>
              <w:spacing w:before="69" w:line="188" w:lineRule="auto"/>
              <w:ind w:left="268"/>
              <w:rPr>
                <w:rFonts w:hint="eastAsia" w:ascii="宋体" w:hAnsi="宋体" w:eastAsia="宋体" w:cs="宋体"/>
                <w:sz w:val="24"/>
                <w:szCs w:val="24"/>
              </w:rPr>
            </w:pPr>
            <w:r>
              <w:rPr>
                <w:rFonts w:hint="eastAsia" w:ascii="宋体" w:hAnsi="宋体" w:eastAsia="宋体" w:cs="宋体"/>
                <w:spacing w:val="-3"/>
                <w:sz w:val="24"/>
                <w:szCs w:val="24"/>
              </w:rPr>
              <w:t>22</w:t>
            </w:r>
          </w:p>
        </w:tc>
        <w:tc>
          <w:tcPr>
            <w:tcW w:w="1386" w:type="dxa"/>
          </w:tcPr>
          <w:p w14:paraId="0E813A94">
            <w:pPr>
              <w:pStyle w:val="29"/>
              <w:tabs>
                <w:tab w:val="left" w:pos="0"/>
              </w:tabs>
              <w:spacing w:line="316" w:lineRule="auto"/>
              <w:rPr>
                <w:rFonts w:hint="eastAsia" w:ascii="宋体" w:hAnsi="宋体" w:eastAsia="宋体" w:cs="宋体"/>
                <w:sz w:val="24"/>
                <w:szCs w:val="24"/>
              </w:rPr>
            </w:pPr>
          </w:p>
          <w:p w14:paraId="1BA7110B">
            <w:pPr>
              <w:spacing w:before="69" w:line="188" w:lineRule="auto"/>
              <w:ind w:left="417"/>
              <w:rPr>
                <w:rFonts w:hint="eastAsia" w:ascii="宋体" w:hAnsi="宋体" w:eastAsia="宋体" w:cs="宋体"/>
                <w:sz w:val="24"/>
                <w:szCs w:val="24"/>
              </w:rPr>
            </w:pPr>
            <w:r>
              <w:rPr>
                <w:rFonts w:hint="eastAsia" w:ascii="宋体" w:hAnsi="宋体" w:eastAsia="宋体" w:cs="宋体"/>
                <w:spacing w:val="-5"/>
                <w:sz w:val="24"/>
                <w:szCs w:val="24"/>
              </w:rPr>
              <w:t>18.3.1</w:t>
            </w:r>
          </w:p>
        </w:tc>
        <w:tc>
          <w:tcPr>
            <w:tcW w:w="6888" w:type="dxa"/>
          </w:tcPr>
          <w:p w14:paraId="0364EC68">
            <w:pPr>
              <w:spacing w:before="127" w:line="218" w:lineRule="auto"/>
              <w:ind w:left="114"/>
              <w:rPr>
                <w:rFonts w:hint="eastAsia" w:ascii="宋体" w:hAnsi="宋体" w:eastAsia="宋体" w:cs="宋体"/>
                <w:sz w:val="24"/>
                <w:szCs w:val="24"/>
              </w:rPr>
            </w:pPr>
            <w:r>
              <w:rPr>
                <w:rFonts w:hint="eastAsia" w:ascii="宋体" w:hAnsi="宋体" w:eastAsia="宋体" w:cs="宋体"/>
                <w:spacing w:val="-1"/>
                <w:sz w:val="24"/>
                <w:szCs w:val="24"/>
              </w:rPr>
              <w:t>承包人提供工程验收资料和验收申请报告的期限：</w:t>
            </w:r>
            <w:r>
              <w:rPr>
                <w:rFonts w:hint="eastAsia" w:ascii="宋体" w:hAnsi="宋体" w:eastAsia="宋体" w:cs="宋体"/>
                <w:spacing w:val="1"/>
                <w:sz w:val="24"/>
                <w:szCs w:val="24"/>
                <w:u w:val="single"/>
              </w:rPr>
              <w:t xml:space="preserve">   14天   </w:t>
            </w:r>
          </w:p>
          <w:p w14:paraId="0B07D335">
            <w:pPr>
              <w:spacing w:before="117" w:line="205" w:lineRule="auto"/>
              <w:ind w:left="114"/>
              <w:rPr>
                <w:rFonts w:hint="eastAsia" w:ascii="宋体" w:hAnsi="宋体" w:eastAsia="宋体" w:cs="宋体"/>
                <w:sz w:val="24"/>
                <w:szCs w:val="24"/>
              </w:rPr>
            </w:pPr>
            <w:r>
              <w:rPr>
                <w:rFonts w:hint="eastAsia" w:ascii="宋体" w:hAnsi="宋体" w:eastAsia="宋体" w:cs="宋体"/>
                <w:spacing w:val="-1"/>
                <w:sz w:val="24"/>
                <w:szCs w:val="24"/>
              </w:rPr>
              <w:t>承包人提供工程验收资料和验收申请报告的份数：</w:t>
            </w:r>
            <w:r>
              <w:rPr>
                <w:rFonts w:hint="eastAsia" w:ascii="宋体" w:hAnsi="宋体" w:eastAsia="宋体" w:cs="宋体"/>
                <w:spacing w:val="-1"/>
                <w:sz w:val="24"/>
                <w:szCs w:val="24"/>
                <w:u w:val="single"/>
              </w:rPr>
              <w:t xml:space="preserve">   3   </w:t>
            </w:r>
            <w:r>
              <w:rPr>
                <w:rFonts w:hint="eastAsia" w:ascii="宋体" w:hAnsi="宋体" w:eastAsia="宋体" w:cs="宋体"/>
                <w:spacing w:val="-93"/>
                <w:sz w:val="24"/>
                <w:szCs w:val="24"/>
              </w:rPr>
              <w:t xml:space="preserve"> </w:t>
            </w:r>
            <w:r>
              <w:rPr>
                <w:rFonts w:hint="eastAsia" w:ascii="宋体" w:hAnsi="宋体" w:eastAsia="宋体" w:cs="宋体"/>
                <w:spacing w:val="-1"/>
                <w:sz w:val="24"/>
                <w:szCs w:val="24"/>
              </w:rPr>
              <w:t>份</w:t>
            </w:r>
          </w:p>
        </w:tc>
      </w:tr>
      <w:tr w14:paraId="37E106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5" w:hRule="atLeast"/>
        </w:trPr>
        <w:tc>
          <w:tcPr>
            <w:tcW w:w="774" w:type="dxa"/>
          </w:tcPr>
          <w:p w14:paraId="178D37E3">
            <w:pPr>
              <w:spacing w:before="186" w:line="181" w:lineRule="auto"/>
              <w:ind w:left="268"/>
              <w:rPr>
                <w:rFonts w:hint="eastAsia" w:ascii="宋体" w:hAnsi="宋体" w:eastAsia="宋体" w:cs="宋体"/>
                <w:sz w:val="24"/>
                <w:szCs w:val="24"/>
              </w:rPr>
            </w:pPr>
            <w:r>
              <w:rPr>
                <w:rFonts w:hint="eastAsia" w:ascii="宋体" w:hAnsi="宋体" w:eastAsia="宋体" w:cs="宋体"/>
                <w:spacing w:val="-3"/>
                <w:sz w:val="24"/>
                <w:szCs w:val="24"/>
              </w:rPr>
              <w:t>23</w:t>
            </w:r>
          </w:p>
        </w:tc>
        <w:tc>
          <w:tcPr>
            <w:tcW w:w="1386" w:type="dxa"/>
          </w:tcPr>
          <w:p w14:paraId="222B2303">
            <w:pPr>
              <w:spacing w:before="186" w:line="181" w:lineRule="auto"/>
              <w:ind w:left="417"/>
              <w:rPr>
                <w:rFonts w:hint="eastAsia" w:ascii="宋体" w:hAnsi="宋体" w:eastAsia="宋体" w:cs="宋体"/>
                <w:sz w:val="24"/>
                <w:szCs w:val="24"/>
              </w:rPr>
            </w:pPr>
            <w:r>
              <w:rPr>
                <w:rFonts w:hint="eastAsia" w:ascii="宋体" w:hAnsi="宋体" w:eastAsia="宋体" w:cs="宋体"/>
                <w:spacing w:val="-5"/>
                <w:sz w:val="24"/>
                <w:szCs w:val="24"/>
              </w:rPr>
              <w:t>19.1.2</w:t>
            </w:r>
          </w:p>
        </w:tc>
        <w:tc>
          <w:tcPr>
            <w:tcW w:w="6888" w:type="dxa"/>
          </w:tcPr>
          <w:p w14:paraId="384C7ABF">
            <w:pPr>
              <w:spacing w:before="128" w:line="205" w:lineRule="auto"/>
              <w:ind w:left="114"/>
              <w:rPr>
                <w:rFonts w:hint="eastAsia" w:ascii="宋体" w:hAnsi="宋体" w:eastAsia="宋体" w:cs="宋体"/>
                <w:sz w:val="24"/>
                <w:szCs w:val="24"/>
              </w:rPr>
            </w:pPr>
            <w:r>
              <w:rPr>
                <w:rFonts w:hint="eastAsia" w:ascii="宋体" w:hAnsi="宋体" w:eastAsia="宋体" w:cs="宋体"/>
                <w:spacing w:val="-2"/>
                <w:sz w:val="24"/>
                <w:szCs w:val="24"/>
              </w:rPr>
              <w:t>缺陷责任期：</w:t>
            </w:r>
            <w:r>
              <w:rPr>
                <w:rFonts w:hint="eastAsia" w:ascii="宋体" w:hAnsi="宋体" w:eastAsia="宋体" w:cs="宋体"/>
                <w:sz w:val="24"/>
                <w:szCs w:val="24"/>
                <w:u w:val="single"/>
              </w:rPr>
              <w:t xml:space="preserve">    6个月  </w:t>
            </w:r>
          </w:p>
        </w:tc>
      </w:tr>
      <w:tr w14:paraId="15E69A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15" w:hRule="atLeast"/>
        </w:trPr>
        <w:tc>
          <w:tcPr>
            <w:tcW w:w="774" w:type="dxa"/>
          </w:tcPr>
          <w:p w14:paraId="5B45B030">
            <w:pPr>
              <w:pStyle w:val="29"/>
              <w:tabs>
                <w:tab w:val="left" w:pos="0"/>
              </w:tabs>
              <w:spacing w:line="468" w:lineRule="auto"/>
              <w:rPr>
                <w:rFonts w:hint="eastAsia" w:ascii="宋体" w:hAnsi="宋体" w:eastAsia="宋体" w:cs="宋体"/>
                <w:sz w:val="24"/>
                <w:szCs w:val="24"/>
              </w:rPr>
            </w:pPr>
          </w:p>
          <w:p w14:paraId="6EC188B0">
            <w:pPr>
              <w:spacing w:before="69" w:line="188" w:lineRule="auto"/>
              <w:ind w:left="268"/>
              <w:rPr>
                <w:rFonts w:hint="eastAsia" w:ascii="宋体" w:hAnsi="宋体" w:eastAsia="宋体" w:cs="宋体"/>
                <w:sz w:val="24"/>
                <w:szCs w:val="24"/>
              </w:rPr>
            </w:pPr>
            <w:r>
              <w:rPr>
                <w:rFonts w:hint="eastAsia" w:ascii="宋体" w:hAnsi="宋体" w:eastAsia="宋体" w:cs="宋体"/>
                <w:spacing w:val="-3"/>
                <w:sz w:val="24"/>
                <w:szCs w:val="24"/>
              </w:rPr>
              <w:t>24</w:t>
            </w:r>
          </w:p>
        </w:tc>
        <w:tc>
          <w:tcPr>
            <w:tcW w:w="1386" w:type="dxa"/>
          </w:tcPr>
          <w:p w14:paraId="7E4F4855">
            <w:pPr>
              <w:pStyle w:val="29"/>
              <w:tabs>
                <w:tab w:val="left" w:pos="0"/>
              </w:tabs>
              <w:spacing w:line="408" w:lineRule="auto"/>
              <w:rPr>
                <w:rFonts w:hint="eastAsia" w:ascii="宋体" w:hAnsi="宋体" w:eastAsia="宋体" w:cs="宋体"/>
                <w:sz w:val="24"/>
                <w:szCs w:val="24"/>
              </w:rPr>
            </w:pPr>
          </w:p>
          <w:p w14:paraId="7E0E928D">
            <w:pPr>
              <w:spacing w:before="69" w:line="188" w:lineRule="auto"/>
              <w:ind w:left="483"/>
              <w:rPr>
                <w:rFonts w:hint="eastAsia" w:ascii="宋体" w:hAnsi="宋体" w:eastAsia="宋体" w:cs="宋体"/>
                <w:sz w:val="24"/>
                <w:szCs w:val="24"/>
              </w:rPr>
            </w:pPr>
            <w:r>
              <w:rPr>
                <w:rFonts w:hint="eastAsia" w:ascii="宋体" w:hAnsi="宋体" w:eastAsia="宋体" w:cs="宋体"/>
                <w:spacing w:val="-2"/>
                <w:sz w:val="24"/>
                <w:szCs w:val="24"/>
              </w:rPr>
              <w:t>20.1</w:t>
            </w:r>
          </w:p>
        </w:tc>
        <w:tc>
          <w:tcPr>
            <w:tcW w:w="6888" w:type="dxa"/>
          </w:tcPr>
          <w:p w14:paraId="5AEE0402">
            <w:pPr>
              <w:spacing w:before="127" w:line="219" w:lineRule="auto"/>
              <w:ind w:left="114"/>
              <w:rPr>
                <w:rFonts w:hint="eastAsia" w:ascii="宋体" w:hAnsi="宋体" w:eastAsia="宋体" w:cs="宋体"/>
                <w:sz w:val="24"/>
                <w:szCs w:val="24"/>
              </w:rPr>
            </w:pPr>
            <w:r>
              <w:rPr>
                <w:rFonts w:hint="eastAsia" w:ascii="宋体" w:hAnsi="宋体" w:eastAsia="宋体" w:cs="宋体"/>
                <w:spacing w:val="1"/>
                <w:sz w:val="24"/>
                <w:szCs w:val="24"/>
              </w:rPr>
              <w:t>承包人投保安全生产责任保险</w:t>
            </w:r>
            <w:r>
              <w:rPr>
                <w:rFonts w:hint="eastAsia" w:ascii="宋体" w:hAnsi="宋体" w:eastAsia="宋体" w:cs="宋体"/>
                <w:spacing w:val="-14"/>
                <w:sz w:val="24"/>
                <w:szCs w:val="24"/>
              </w:rPr>
              <w:t>：</w:t>
            </w:r>
            <w:r>
              <w:rPr>
                <w:rFonts w:hint="eastAsia" w:ascii="宋体" w:hAnsi="宋体" w:eastAsia="宋体" w:cs="宋体"/>
                <w:sz w:val="24"/>
                <w:szCs w:val="24"/>
                <w:u w:val="single"/>
              </w:rPr>
              <w:t xml:space="preserve"> </w:t>
            </w:r>
            <w:r>
              <w:rPr>
                <w:rFonts w:hint="eastAsia" w:ascii="宋体" w:hAnsi="宋体" w:eastAsia="宋体" w:cs="宋体"/>
                <w:spacing w:val="1"/>
                <w:sz w:val="24"/>
                <w:szCs w:val="24"/>
                <w:u w:val="single"/>
              </w:rPr>
              <w:t xml:space="preserve">是 </w:t>
            </w:r>
          </w:p>
          <w:p w14:paraId="261057ED">
            <w:pPr>
              <w:tabs>
                <w:tab w:val="left" w:pos="0"/>
              </w:tabs>
              <w:spacing w:line="360" w:lineRule="auto"/>
              <w:ind w:firstLine="0" w:firstLineChars="0"/>
              <w:rPr>
                <w:rFonts w:hint="eastAsia" w:ascii="宋体" w:hAnsi="宋体" w:eastAsia="宋体" w:cs="宋体"/>
                <w:sz w:val="24"/>
                <w:szCs w:val="24"/>
                <w:highlight w:val="green"/>
                <w:u w:val="single"/>
              </w:rPr>
            </w:pPr>
            <w:r>
              <w:rPr>
                <w:rFonts w:hint="eastAsia" w:ascii="宋体" w:hAnsi="宋体" w:eastAsia="宋体" w:cs="宋体"/>
                <w:spacing w:val="-2"/>
                <w:sz w:val="24"/>
                <w:szCs w:val="24"/>
              </w:rPr>
              <w:t>安全生产责任保险保险金额</w:t>
            </w:r>
            <w:r>
              <w:rPr>
                <w:rFonts w:hint="eastAsia" w:ascii="宋体" w:hAnsi="宋体" w:eastAsia="宋体" w:cs="宋体"/>
                <w:spacing w:val="-2"/>
                <w:sz w:val="24"/>
                <w:szCs w:val="24"/>
                <w:u w:val="single"/>
              </w:rPr>
              <w:t>：</w:t>
            </w:r>
            <w:r>
              <w:rPr>
                <w:rFonts w:hint="eastAsia" w:ascii="宋体" w:hAnsi="宋体" w:eastAsia="宋体" w:cs="宋体"/>
                <w:sz w:val="24"/>
                <w:szCs w:val="24"/>
                <w:u w:val="single"/>
              </w:rPr>
              <w:t>承包人应根据《广西壮族自治区交通运输厅关于推进实施行业工程建设领域安全生产责任保险工作的通知》（桂交安监函〔2021〕89号）要求购买安全生产责任保险。购买的保险要求累计赔偿限额不低于1000万元，每次事故限额不低于500万元，每人伤亡赔偿限额不低于80万元，每人医疗费用赔偿限额不低于30万元，第三者财产损失赔偿限额不低于150万元。</w:t>
            </w:r>
            <w:r>
              <w:rPr>
                <w:rFonts w:hint="eastAsia" w:ascii="宋体" w:hAnsi="宋体" w:eastAsia="宋体" w:cs="宋体"/>
                <w:sz w:val="24"/>
                <w:szCs w:val="24"/>
                <w:highlight w:val="none"/>
                <w:u w:val="single"/>
              </w:rPr>
              <w:t>安全生产责任险</w:t>
            </w:r>
            <w:r>
              <w:rPr>
                <w:rFonts w:hint="eastAsia" w:ascii="宋体" w:hAnsi="宋体" w:eastAsia="宋体" w:cs="宋体"/>
                <w:sz w:val="24"/>
                <w:szCs w:val="24"/>
                <w:highlight w:val="none"/>
                <w:u w:val="single"/>
                <w:lang w:val="en-US" w:eastAsia="zh-CN"/>
              </w:rPr>
              <w:t>费用</w:t>
            </w:r>
            <w:r>
              <w:rPr>
                <w:rFonts w:hint="eastAsia" w:ascii="宋体" w:hAnsi="宋体" w:eastAsia="宋体" w:cs="宋体"/>
                <w:sz w:val="24"/>
                <w:szCs w:val="24"/>
                <w:highlight w:val="none"/>
                <w:u w:val="single"/>
              </w:rPr>
              <w:t>由承包人报价时列入</w:t>
            </w:r>
            <w:r>
              <w:rPr>
                <w:rFonts w:hint="eastAsia" w:ascii="宋体" w:hAnsi="宋体" w:eastAsia="宋体" w:cs="宋体"/>
                <w:sz w:val="24"/>
                <w:szCs w:val="24"/>
                <w:highlight w:val="none"/>
                <w:u w:val="single"/>
                <w:lang w:val="en-US" w:eastAsia="zh-CN"/>
              </w:rPr>
              <w:t>工程量</w:t>
            </w:r>
            <w:r>
              <w:rPr>
                <w:rFonts w:hint="eastAsia" w:ascii="宋体" w:hAnsi="宋体" w:eastAsia="宋体" w:cs="宋体"/>
                <w:sz w:val="24"/>
                <w:szCs w:val="24"/>
                <w:highlight w:val="none"/>
                <w:u w:val="single"/>
              </w:rPr>
              <w:t>清单第100章内，</w:t>
            </w:r>
            <w:r>
              <w:rPr>
                <w:rFonts w:hint="eastAsia" w:ascii="宋体" w:hAnsi="宋体" w:eastAsia="宋体" w:cs="宋体"/>
                <w:sz w:val="24"/>
                <w:szCs w:val="24"/>
                <w:highlight w:val="none"/>
                <w:u w:val="single"/>
                <w:lang w:val="en-US" w:eastAsia="zh-CN"/>
              </w:rPr>
              <w:t>报价应包含本项目计量模式和绩效模式全部内容的安全生产责任险报价。</w:t>
            </w:r>
            <w:r>
              <w:rPr>
                <w:rFonts w:hint="eastAsia" w:ascii="宋体" w:hAnsi="宋体" w:eastAsia="宋体" w:cs="宋体"/>
                <w:sz w:val="24"/>
                <w:szCs w:val="24"/>
                <w:highlight w:val="none"/>
                <w:u w:val="single"/>
              </w:rPr>
              <w:t>发包人核对保单无误后按</w:t>
            </w:r>
            <w:r>
              <w:rPr>
                <w:rFonts w:hint="eastAsia" w:ascii="宋体" w:hAnsi="宋体" w:eastAsia="宋体" w:cs="宋体"/>
                <w:sz w:val="24"/>
                <w:szCs w:val="24"/>
                <w:highlight w:val="none"/>
                <w:u w:val="single"/>
                <w:lang w:val="en-US" w:eastAsia="zh-CN"/>
              </w:rPr>
              <w:t>清单计量模式</w:t>
            </w:r>
            <w:r>
              <w:rPr>
                <w:rFonts w:hint="eastAsia" w:ascii="宋体" w:hAnsi="宋体" w:eastAsia="宋体" w:cs="宋体"/>
                <w:sz w:val="24"/>
                <w:szCs w:val="24"/>
                <w:highlight w:val="none"/>
                <w:u w:val="single"/>
              </w:rPr>
              <w:t>向承包人支付，最高</w:t>
            </w:r>
            <w:r>
              <w:rPr>
                <w:rFonts w:hint="eastAsia" w:ascii="宋体" w:hAnsi="宋体" w:eastAsia="宋体" w:cs="宋体"/>
                <w:sz w:val="24"/>
                <w:szCs w:val="24"/>
                <w:highlight w:val="none"/>
                <w:u w:val="single"/>
                <w:lang w:val="en-US" w:eastAsia="zh-CN"/>
              </w:rPr>
              <w:t>金额</w:t>
            </w:r>
            <w:r>
              <w:rPr>
                <w:rFonts w:hint="eastAsia" w:ascii="宋体" w:hAnsi="宋体" w:eastAsia="宋体" w:cs="宋体"/>
                <w:sz w:val="24"/>
                <w:szCs w:val="24"/>
                <w:highlight w:val="none"/>
                <w:u w:val="single"/>
              </w:rPr>
              <w:t>不超过</w:t>
            </w:r>
            <w:r>
              <w:rPr>
                <w:rFonts w:hint="eastAsia" w:ascii="宋体" w:hAnsi="宋体" w:eastAsia="宋体" w:cs="宋体"/>
                <w:sz w:val="24"/>
                <w:szCs w:val="24"/>
                <w:highlight w:val="none"/>
                <w:u w:val="single"/>
                <w:lang w:val="en-US" w:eastAsia="zh-CN"/>
              </w:rPr>
              <w:t>合同计量清单中安全生产</w:t>
            </w:r>
            <w:r>
              <w:rPr>
                <w:rFonts w:hint="eastAsia" w:ascii="宋体" w:hAnsi="宋体" w:eastAsia="宋体" w:cs="宋体"/>
                <w:sz w:val="24"/>
                <w:szCs w:val="24"/>
                <w:highlight w:val="none"/>
                <w:u w:val="single"/>
              </w:rPr>
              <w:t>责任险的总额。</w:t>
            </w:r>
          </w:p>
          <w:p w14:paraId="3B7B416A">
            <w:pPr>
              <w:spacing w:before="27" w:line="204" w:lineRule="auto"/>
              <w:ind w:left="115"/>
              <w:rPr>
                <w:rFonts w:hint="eastAsia" w:ascii="宋体" w:hAnsi="宋体" w:eastAsia="宋体" w:cs="宋体"/>
                <w:sz w:val="24"/>
                <w:szCs w:val="24"/>
                <w:lang w:eastAsia="zh-CN"/>
              </w:rPr>
            </w:pPr>
            <w:r>
              <w:rPr>
                <w:rFonts w:hint="eastAsia" w:ascii="宋体" w:hAnsi="宋体" w:eastAsia="宋体" w:cs="宋体"/>
                <w:spacing w:val="-3"/>
                <w:sz w:val="24"/>
                <w:szCs w:val="24"/>
                <w:highlight w:val="none"/>
              </w:rPr>
              <w:t>保险期限：</w:t>
            </w:r>
            <w:r>
              <w:rPr>
                <w:rFonts w:hint="eastAsia" w:ascii="宋体" w:hAnsi="宋体" w:eastAsia="宋体" w:cs="宋体"/>
                <w:spacing w:val="-3"/>
                <w:sz w:val="24"/>
                <w:szCs w:val="24"/>
                <w:highlight w:val="none"/>
                <w:u w:val="single"/>
              </w:rPr>
              <w:t>合同履行期</w:t>
            </w:r>
          </w:p>
        </w:tc>
      </w:tr>
      <w:tr w14:paraId="4AFFD5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5" w:hRule="atLeast"/>
        </w:trPr>
        <w:tc>
          <w:tcPr>
            <w:tcW w:w="774" w:type="dxa"/>
          </w:tcPr>
          <w:p w14:paraId="420562E4">
            <w:pPr>
              <w:pStyle w:val="29"/>
              <w:tabs>
                <w:tab w:val="left" w:pos="0"/>
              </w:tabs>
              <w:spacing w:line="316" w:lineRule="auto"/>
              <w:rPr>
                <w:rFonts w:hint="eastAsia" w:ascii="宋体" w:hAnsi="宋体" w:eastAsia="宋体" w:cs="宋体"/>
                <w:sz w:val="24"/>
                <w:szCs w:val="24"/>
                <w:lang w:eastAsia="zh-CN"/>
              </w:rPr>
            </w:pPr>
          </w:p>
          <w:p w14:paraId="4BA0CC9D">
            <w:pPr>
              <w:spacing w:before="69" w:line="188" w:lineRule="auto"/>
              <w:ind w:left="268"/>
              <w:rPr>
                <w:rFonts w:hint="eastAsia" w:ascii="宋体" w:hAnsi="宋体" w:eastAsia="宋体" w:cs="宋体"/>
                <w:sz w:val="24"/>
                <w:szCs w:val="24"/>
              </w:rPr>
            </w:pPr>
            <w:r>
              <w:rPr>
                <w:rFonts w:hint="eastAsia" w:ascii="宋体" w:hAnsi="宋体" w:eastAsia="宋体" w:cs="宋体"/>
                <w:spacing w:val="-3"/>
                <w:sz w:val="24"/>
                <w:szCs w:val="24"/>
              </w:rPr>
              <w:t>25</w:t>
            </w:r>
          </w:p>
        </w:tc>
        <w:tc>
          <w:tcPr>
            <w:tcW w:w="1386" w:type="dxa"/>
          </w:tcPr>
          <w:p w14:paraId="3B4B20B8">
            <w:pPr>
              <w:pStyle w:val="29"/>
              <w:tabs>
                <w:tab w:val="left" w:pos="0"/>
              </w:tabs>
              <w:spacing w:line="316" w:lineRule="auto"/>
              <w:rPr>
                <w:rFonts w:hint="eastAsia" w:ascii="宋体" w:hAnsi="宋体" w:eastAsia="宋体" w:cs="宋体"/>
                <w:sz w:val="24"/>
                <w:szCs w:val="24"/>
              </w:rPr>
            </w:pPr>
          </w:p>
          <w:p w14:paraId="04EFC34B">
            <w:pPr>
              <w:spacing w:before="69" w:line="188" w:lineRule="auto"/>
              <w:ind w:left="394"/>
              <w:rPr>
                <w:rFonts w:hint="eastAsia" w:ascii="宋体" w:hAnsi="宋体" w:eastAsia="宋体" w:cs="宋体"/>
                <w:sz w:val="24"/>
                <w:szCs w:val="24"/>
              </w:rPr>
            </w:pPr>
            <w:r>
              <w:rPr>
                <w:rFonts w:hint="eastAsia" w:ascii="宋体" w:hAnsi="宋体" w:eastAsia="宋体" w:cs="宋体"/>
                <w:spacing w:val="-1"/>
                <w:sz w:val="24"/>
                <w:szCs w:val="24"/>
              </w:rPr>
              <w:t>20.2.1</w:t>
            </w:r>
          </w:p>
        </w:tc>
        <w:tc>
          <w:tcPr>
            <w:tcW w:w="6888" w:type="dxa"/>
          </w:tcPr>
          <w:p w14:paraId="3D1762A0">
            <w:pPr>
              <w:tabs>
                <w:tab w:val="left" w:pos="0"/>
              </w:tabs>
              <w:spacing w:line="320" w:lineRule="exact"/>
              <w:rPr>
                <w:rFonts w:hint="eastAsia" w:ascii="宋体" w:hAnsi="宋体" w:eastAsia="宋体" w:cs="宋体"/>
                <w:sz w:val="24"/>
                <w:szCs w:val="24"/>
                <w:u w:val="single"/>
              </w:rPr>
            </w:pPr>
            <w:r>
              <w:rPr>
                <w:rFonts w:hint="eastAsia" w:ascii="宋体" w:hAnsi="宋体" w:eastAsia="宋体" w:cs="宋体"/>
                <w:spacing w:val="-3"/>
                <w:sz w:val="24"/>
                <w:szCs w:val="24"/>
              </w:rPr>
              <w:t>保险险种</w:t>
            </w:r>
            <w:r>
              <w:rPr>
                <w:rFonts w:hint="eastAsia" w:ascii="宋体" w:hAnsi="宋体" w:eastAsia="宋体" w:cs="宋体"/>
                <w:spacing w:val="-5"/>
                <w:sz w:val="24"/>
                <w:szCs w:val="24"/>
              </w:rPr>
              <w:t>：</w:t>
            </w:r>
            <w:r>
              <w:rPr>
                <w:rFonts w:hint="eastAsia" w:ascii="宋体" w:hAnsi="宋体" w:eastAsia="宋体" w:cs="宋体"/>
                <w:spacing w:val="20"/>
                <w:sz w:val="24"/>
                <w:szCs w:val="24"/>
                <w:u w:val="single"/>
              </w:rPr>
              <w:t xml:space="preserve"> </w:t>
            </w:r>
            <w:r>
              <w:rPr>
                <w:rFonts w:hint="eastAsia" w:ascii="宋体" w:hAnsi="宋体" w:eastAsia="宋体" w:cs="宋体"/>
                <w:sz w:val="24"/>
                <w:szCs w:val="24"/>
                <w:u w:val="single"/>
              </w:rPr>
              <w:t>工程保险、工伤保险、人身意外伤害险、其它保险；</w:t>
            </w:r>
          </w:p>
          <w:p w14:paraId="77C45C63">
            <w:pPr>
              <w:tabs>
                <w:tab w:val="left" w:pos="0"/>
              </w:tabs>
              <w:spacing w:line="320" w:lineRule="exact"/>
              <w:rPr>
                <w:rFonts w:hint="eastAsia" w:ascii="宋体" w:hAnsi="宋体" w:eastAsia="宋体" w:cs="宋体"/>
                <w:sz w:val="24"/>
                <w:szCs w:val="24"/>
                <w:u w:val="single"/>
              </w:rPr>
            </w:pPr>
            <w:r>
              <w:rPr>
                <w:rFonts w:hint="eastAsia" w:ascii="宋体" w:hAnsi="宋体" w:eastAsia="宋体" w:cs="宋体"/>
                <w:spacing w:val="20"/>
                <w:sz w:val="24"/>
                <w:szCs w:val="24"/>
                <w:u w:val="single"/>
              </w:rPr>
              <w:t xml:space="preserve">     </w:t>
            </w:r>
            <w:r>
              <w:rPr>
                <w:rFonts w:hint="eastAsia" w:ascii="宋体" w:hAnsi="宋体" w:eastAsia="宋体" w:cs="宋体"/>
                <w:spacing w:val="-88"/>
                <w:sz w:val="24"/>
                <w:szCs w:val="24"/>
              </w:rPr>
              <w:t xml:space="preserve"> </w:t>
            </w:r>
            <w:r>
              <w:rPr>
                <w:rFonts w:hint="eastAsia" w:ascii="宋体" w:hAnsi="宋体" w:eastAsia="宋体" w:cs="宋体"/>
                <w:spacing w:val="-5"/>
                <w:sz w:val="24"/>
                <w:szCs w:val="24"/>
              </w:rPr>
              <w:t>；</w:t>
            </w:r>
            <w:r>
              <w:rPr>
                <w:rFonts w:hint="eastAsia" w:ascii="宋体" w:hAnsi="宋体" w:eastAsia="宋体" w:cs="宋体"/>
                <w:spacing w:val="-3"/>
                <w:sz w:val="24"/>
                <w:szCs w:val="24"/>
              </w:rPr>
              <w:t>保险范围</w:t>
            </w:r>
            <w:r>
              <w:rPr>
                <w:rFonts w:hint="eastAsia" w:ascii="宋体" w:hAnsi="宋体" w:eastAsia="宋体" w:cs="宋体"/>
                <w:spacing w:val="-5"/>
                <w:sz w:val="24"/>
                <w:szCs w:val="24"/>
              </w:rPr>
              <w:t>：</w:t>
            </w:r>
            <w:r>
              <w:rPr>
                <w:rFonts w:hint="eastAsia" w:ascii="宋体" w:hAnsi="宋体" w:eastAsia="宋体" w:cs="宋体"/>
                <w:sz w:val="24"/>
                <w:szCs w:val="24"/>
                <w:u w:val="single"/>
              </w:rPr>
              <w:t xml:space="preserve">    承包人所承担的全部养护作业内容，包括但不限于路基、路面、桥梁、涵洞、安全设施及附属工程等在养护期间因自然灾害、意外事故造成的财产损失、第三者人身伤亡或财产损害，以及施工人员在作业过程中发生的人身意外伤害；</w:t>
            </w:r>
          </w:p>
          <w:p w14:paraId="034097CA">
            <w:pPr>
              <w:tabs>
                <w:tab w:val="left" w:pos="0"/>
              </w:tabs>
              <w:spacing w:line="320" w:lineRule="exact"/>
              <w:rPr>
                <w:rFonts w:hint="eastAsia" w:ascii="宋体" w:hAnsi="宋体" w:eastAsia="宋体" w:cs="宋体"/>
                <w:sz w:val="24"/>
                <w:szCs w:val="24"/>
                <w:u w:val="single"/>
              </w:rPr>
            </w:pPr>
            <w:r>
              <w:rPr>
                <w:rFonts w:hint="eastAsia" w:ascii="宋体" w:hAnsi="宋体" w:eastAsia="宋体" w:cs="宋体"/>
                <w:spacing w:val="-2"/>
                <w:sz w:val="24"/>
                <w:szCs w:val="24"/>
              </w:rPr>
              <w:t>保险金额</w:t>
            </w:r>
            <w:r>
              <w:rPr>
                <w:rFonts w:hint="eastAsia" w:ascii="宋体" w:hAnsi="宋体" w:eastAsia="宋体" w:cs="宋体"/>
                <w:spacing w:val="-6"/>
                <w:sz w:val="24"/>
                <w:szCs w:val="24"/>
              </w:rPr>
              <w:t>：</w:t>
            </w:r>
            <w:r>
              <w:rPr>
                <w:rFonts w:hint="eastAsia" w:ascii="宋体" w:hAnsi="宋体" w:eastAsia="宋体" w:cs="宋体"/>
                <w:spacing w:val="20"/>
                <w:sz w:val="24"/>
                <w:szCs w:val="24"/>
                <w:u w:val="single"/>
              </w:rPr>
              <w:t xml:space="preserve">  </w:t>
            </w:r>
            <w:r>
              <w:rPr>
                <w:rFonts w:hint="eastAsia" w:ascii="宋体" w:hAnsi="宋体" w:eastAsia="宋体" w:cs="宋体"/>
                <w:sz w:val="24"/>
                <w:szCs w:val="24"/>
                <w:u w:val="single"/>
              </w:rPr>
              <w:t xml:space="preserve"> 合同价的100%  </w:t>
            </w:r>
            <w:r>
              <w:rPr>
                <w:rFonts w:hint="eastAsia" w:ascii="宋体" w:hAnsi="宋体" w:eastAsia="宋体" w:cs="宋体"/>
                <w:spacing w:val="20"/>
                <w:sz w:val="24"/>
                <w:szCs w:val="24"/>
                <w:u w:val="single"/>
              </w:rPr>
              <w:t xml:space="preserve"> </w:t>
            </w:r>
            <w:r>
              <w:rPr>
                <w:rFonts w:hint="eastAsia" w:ascii="宋体" w:hAnsi="宋体" w:eastAsia="宋体" w:cs="宋体"/>
                <w:spacing w:val="-89"/>
                <w:sz w:val="24"/>
                <w:szCs w:val="24"/>
              </w:rPr>
              <w:t xml:space="preserve"> </w:t>
            </w:r>
            <w:r>
              <w:rPr>
                <w:rFonts w:hint="eastAsia" w:ascii="宋体" w:hAnsi="宋体" w:eastAsia="宋体" w:cs="宋体"/>
                <w:spacing w:val="-6"/>
                <w:sz w:val="24"/>
                <w:szCs w:val="24"/>
              </w:rPr>
              <w:t>；</w:t>
            </w:r>
            <w:r>
              <w:rPr>
                <w:rFonts w:hint="eastAsia" w:ascii="宋体" w:hAnsi="宋体" w:eastAsia="宋体" w:cs="宋体"/>
                <w:spacing w:val="-2"/>
                <w:sz w:val="24"/>
                <w:szCs w:val="24"/>
              </w:rPr>
              <w:t>保险费率：</w:t>
            </w:r>
            <w:r>
              <w:rPr>
                <w:rFonts w:hint="eastAsia" w:ascii="宋体" w:hAnsi="宋体" w:eastAsia="宋体" w:cs="宋体"/>
                <w:spacing w:val="-2"/>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3</w:t>
            </w:r>
            <w:r>
              <w:rPr>
                <w:rFonts w:hint="eastAsia" w:ascii="宋体" w:hAnsi="宋体" w:eastAsia="宋体" w:cs="宋体"/>
                <w:sz w:val="24"/>
                <w:szCs w:val="24"/>
                <w:u w:val="single"/>
              </w:rPr>
              <w:t xml:space="preserve">  </w:t>
            </w:r>
            <w:r>
              <w:rPr>
                <w:rFonts w:hint="eastAsia" w:ascii="宋体" w:hAnsi="宋体" w:eastAsia="宋体" w:cs="宋体"/>
                <w:spacing w:val="-2"/>
                <w:sz w:val="24"/>
                <w:szCs w:val="24"/>
                <w:u w:val="single"/>
              </w:rPr>
              <w:t xml:space="preserve"> </w:t>
            </w:r>
            <w:r>
              <w:rPr>
                <w:rFonts w:hint="eastAsia" w:ascii="宋体" w:hAnsi="宋体" w:eastAsia="宋体" w:cs="宋体"/>
                <w:spacing w:val="-111"/>
                <w:sz w:val="24"/>
                <w:szCs w:val="24"/>
              </w:rPr>
              <w:t xml:space="preserve"> </w:t>
            </w:r>
            <w:r>
              <w:rPr>
                <w:rFonts w:hint="eastAsia" w:ascii="宋体" w:hAnsi="宋体" w:eastAsia="宋体" w:cs="宋体"/>
                <w:spacing w:val="-2"/>
                <w:sz w:val="24"/>
                <w:szCs w:val="24"/>
              </w:rPr>
              <w:t>‰；保险期限：</w:t>
            </w:r>
            <w:r>
              <w:rPr>
                <w:rFonts w:hint="eastAsia" w:ascii="宋体" w:hAnsi="宋体" w:eastAsia="宋体" w:cs="宋体"/>
                <w:sz w:val="24"/>
                <w:szCs w:val="24"/>
                <w:u w:val="single"/>
              </w:rPr>
              <w:t xml:space="preserve">合同履行期 </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 xml:space="preserve">     </w:t>
            </w:r>
          </w:p>
          <w:p w14:paraId="55A038AE">
            <w:pPr>
              <w:tabs>
                <w:tab w:val="left" w:pos="0"/>
              </w:tabs>
              <w:spacing w:line="320" w:lineRule="exact"/>
              <w:rPr>
                <w:rFonts w:hint="eastAsia" w:ascii="宋体" w:hAnsi="宋体" w:eastAsia="宋体" w:cs="宋体"/>
                <w:sz w:val="24"/>
                <w:szCs w:val="24"/>
                <w:u w:val="single"/>
              </w:rPr>
            </w:pPr>
            <w:r>
              <w:rPr>
                <w:rFonts w:hint="eastAsia" w:ascii="宋体" w:hAnsi="宋体" w:eastAsia="宋体" w:cs="宋体"/>
                <w:sz w:val="24"/>
                <w:szCs w:val="24"/>
                <w:u w:val="single"/>
              </w:rPr>
              <w:t>工程保险、工伤保险、人身意外伤害险、其它保险的费用由承包人承担，发包人不予计量。</w:t>
            </w:r>
          </w:p>
          <w:p w14:paraId="1680D600">
            <w:pPr>
              <w:tabs>
                <w:tab w:val="left" w:pos="0"/>
              </w:tabs>
              <w:spacing w:line="320" w:lineRule="exact"/>
              <w:rPr>
                <w:rFonts w:hint="eastAsia" w:ascii="宋体" w:hAnsi="宋体" w:eastAsia="宋体" w:cs="宋体"/>
                <w:sz w:val="24"/>
                <w:szCs w:val="24"/>
                <w:u w:val="single"/>
              </w:rPr>
            </w:pPr>
          </w:p>
        </w:tc>
      </w:tr>
      <w:tr w14:paraId="7CF37A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04" w:hRule="atLeast"/>
        </w:trPr>
        <w:tc>
          <w:tcPr>
            <w:tcW w:w="774" w:type="dxa"/>
          </w:tcPr>
          <w:p w14:paraId="60E7B807">
            <w:pPr>
              <w:pStyle w:val="29"/>
              <w:tabs>
                <w:tab w:val="left" w:pos="0"/>
              </w:tabs>
              <w:spacing w:line="257" w:lineRule="auto"/>
              <w:rPr>
                <w:rFonts w:hint="eastAsia" w:ascii="宋体" w:hAnsi="宋体" w:eastAsia="宋体" w:cs="宋体"/>
                <w:sz w:val="24"/>
                <w:szCs w:val="24"/>
                <w:lang w:eastAsia="zh-CN"/>
              </w:rPr>
            </w:pPr>
          </w:p>
          <w:p w14:paraId="5E95C133">
            <w:pPr>
              <w:pStyle w:val="29"/>
              <w:tabs>
                <w:tab w:val="left" w:pos="0"/>
              </w:tabs>
              <w:spacing w:line="258" w:lineRule="auto"/>
              <w:rPr>
                <w:rFonts w:hint="eastAsia" w:ascii="宋体" w:hAnsi="宋体" w:eastAsia="宋体" w:cs="宋体"/>
                <w:sz w:val="24"/>
                <w:szCs w:val="24"/>
                <w:lang w:eastAsia="zh-CN"/>
              </w:rPr>
            </w:pPr>
          </w:p>
          <w:p w14:paraId="06A8C35D">
            <w:pPr>
              <w:spacing w:before="69" w:line="188" w:lineRule="auto"/>
              <w:ind w:left="268"/>
              <w:rPr>
                <w:rFonts w:hint="eastAsia" w:ascii="宋体" w:hAnsi="宋体" w:eastAsia="宋体" w:cs="宋体"/>
                <w:sz w:val="24"/>
                <w:szCs w:val="24"/>
              </w:rPr>
            </w:pPr>
            <w:r>
              <w:rPr>
                <w:rFonts w:hint="eastAsia" w:ascii="宋体" w:hAnsi="宋体" w:eastAsia="宋体" w:cs="宋体"/>
                <w:spacing w:val="-3"/>
                <w:sz w:val="24"/>
                <w:szCs w:val="24"/>
              </w:rPr>
              <w:t>26</w:t>
            </w:r>
          </w:p>
        </w:tc>
        <w:tc>
          <w:tcPr>
            <w:tcW w:w="1386" w:type="dxa"/>
          </w:tcPr>
          <w:p w14:paraId="7DDF2C38">
            <w:pPr>
              <w:pStyle w:val="29"/>
              <w:tabs>
                <w:tab w:val="left" w:pos="0"/>
              </w:tabs>
              <w:spacing w:line="315" w:lineRule="auto"/>
              <w:rPr>
                <w:rFonts w:hint="eastAsia" w:ascii="宋体" w:hAnsi="宋体" w:eastAsia="宋体" w:cs="宋体"/>
                <w:sz w:val="24"/>
                <w:szCs w:val="24"/>
              </w:rPr>
            </w:pPr>
          </w:p>
          <w:p w14:paraId="6CD609F5">
            <w:pPr>
              <w:spacing w:before="69" w:line="188" w:lineRule="auto"/>
              <w:ind w:left="394"/>
              <w:rPr>
                <w:rFonts w:hint="eastAsia" w:ascii="宋体" w:hAnsi="宋体" w:eastAsia="宋体" w:cs="宋体"/>
                <w:sz w:val="24"/>
                <w:szCs w:val="24"/>
              </w:rPr>
            </w:pPr>
            <w:r>
              <w:rPr>
                <w:rFonts w:hint="eastAsia" w:ascii="宋体" w:hAnsi="宋体" w:eastAsia="宋体" w:cs="宋体"/>
                <w:spacing w:val="-1"/>
                <w:sz w:val="24"/>
                <w:szCs w:val="24"/>
              </w:rPr>
              <w:t>20.2.2</w:t>
            </w:r>
          </w:p>
          <w:p w14:paraId="1E43548E">
            <w:pPr>
              <w:spacing w:before="125" w:line="232" w:lineRule="auto"/>
              <w:ind w:left="410"/>
              <w:rPr>
                <w:rFonts w:hint="eastAsia" w:ascii="宋体" w:hAnsi="宋体" w:eastAsia="宋体" w:cs="宋体"/>
                <w:sz w:val="24"/>
                <w:szCs w:val="24"/>
              </w:rPr>
            </w:pPr>
            <w:r>
              <w:rPr>
                <w:rFonts w:hint="eastAsia" w:ascii="宋体" w:hAnsi="宋体" w:eastAsia="宋体" w:cs="宋体"/>
                <w:spacing w:val="-7"/>
                <w:sz w:val="24"/>
                <w:szCs w:val="24"/>
              </w:rPr>
              <w:t>（2）</w:t>
            </w:r>
          </w:p>
        </w:tc>
        <w:tc>
          <w:tcPr>
            <w:tcW w:w="6888" w:type="dxa"/>
          </w:tcPr>
          <w:p w14:paraId="66160055">
            <w:pPr>
              <w:spacing w:before="129" w:line="219" w:lineRule="auto"/>
              <w:ind w:left="114"/>
              <w:rPr>
                <w:rFonts w:hint="eastAsia" w:ascii="宋体" w:hAnsi="宋体" w:eastAsia="宋体" w:cs="宋体"/>
                <w:sz w:val="24"/>
                <w:szCs w:val="24"/>
              </w:rPr>
            </w:pPr>
            <w:r>
              <w:rPr>
                <w:rFonts w:hint="eastAsia" w:ascii="宋体" w:hAnsi="宋体" w:eastAsia="宋体" w:cs="宋体"/>
                <w:spacing w:val="1"/>
                <w:sz w:val="24"/>
                <w:szCs w:val="24"/>
              </w:rPr>
              <w:t>第三者责任险的最低投保金额：</w:t>
            </w:r>
            <w:r>
              <w:rPr>
                <w:rFonts w:hint="eastAsia" w:ascii="宋体" w:hAnsi="宋体" w:eastAsia="宋体" w:cs="宋体"/>
                <w:spacing w:val="1"/>
                <w:sz w:val="24"/>
                <w:szCs w:val="24"/>
                <w:u w:val="single"/>
              </w:rPr>
              <w:t xml:space="preserve">   100  </w:t>
            </w:r>
            <w:r>
              <w:rPr>
                <w:rFonts w:hint="eastAsia" w:ascii="宋体" w:hAnsi="宋体" w:eastAsia="宋体" w:cs="宋体"/>
                <w:spacing w:val="-91"/>
                <w:sz w:val="24"/>
                <w:szCs w:val="24"/>
              </w:rPr>
              <w:t xml:space="preserve"> </w:t>
            </w:r>
            <w:r>
              <w:rPr>
                <w:rFonts w:hint="eastAsia" w:ascii="宋体" w:hAnsi="宋体" w:eastAsia="宋体" w:cs="宋体"/>
                <w:spacing w:val="1"/>
                <w:sz w:val="24"/>
                <w:szCs w:val="24"/>
              </w:rPr>
              <w:t>万元，事故次数不限（不</w:t>
            </w:r>
            <w:r>
              <w:rPr>
                <w:rFonts w:hint="eastAsia" w:ascii="宋体" w:hAnsi="宋体" w:eastAsia="宋体" w:cs="宋体"/>
                <w:spacing w:val="-2"/>
                <w:sz w:val="24"/>
                <w:szCs w:val="24"/>
              </w:rPr>
              <w:t>计免赔额）</w:t>
            </w:r>
          </w:p>
          <w:p w14:paraId="69309EA0">
            <w:pPr>
              <w:spacing w:before="129" w:line="219" w:lineRule="auto"/>
              <w:ind w:left="114"/>
              <w:rPr>
                <w:rFonts w:hint="eastAsia" w:ascii="宋体" w:hAnsi="宋体" w:eastAsia="宋体" w:cs="宋体"/>
                <w:spacing w:val="-2"/>
                <w:sz w:val="24"/>
                <w:szCs w:val="24"/>
              </w:rPr>
            </w:pPr>
            <w:r>
              <w:rPr>
                <w:rFonts w:hint="eastAsia" w:ascii="宋体" w:hAnsi="宋体" w:eastAsia="宋体" w:cs="宋体"/>
                <w:spacing w:val="-2"/>
                <w:sz w:val="24"/>
                <w:szCs w:val="24"/>
              </w:rPr>
              <w:t>保险费率：</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u w:val="single"/>
                <w:lang w:val="en-US" w:eastAsia="zh-CN"/>
              </w:rPr>
              <w:t>1.5</w:t>
            </w:r>
            <w:r>
              <w:rPr>
                <w:rFonts w:hint="eastAsia" w:ascii="宋体" w:hAnsi="宋体" w:eastAsia="宋体" w:cs="宋体"/>
                <w:spacing w:val="-2"/>
                <w:sz w:val="24"/>
                <w:szCs w:val="24"/>
                <w:u w:val="single"/>
              </w:rPr>
              <w:t xml:space="preserve">  </w:t>
            </w:r>
            <w:r>
              <w:rPr>
                <w:rFonts w:hint="eastAsia" w:ascii="宋体" w:hAnsi="宋体" w:eastAsia="宋体" w:cs="宋体"/>
                <w:spacing w:val="-104"/>
                <w:sz w:val="24"/>
                <w:szCs w:val="24"/>
              </w:rPr>
              <w:t xml:space="preserve"> </w:t>
            </w:r>
            <w:r>
              <w:rPr>
                <w:rFonts w:hint="eastAsia" w:ascii="宋体" w:hAnsi="宋体" w:eastAsia="宋体" w:cs="宋体"/>
                <w:spacing w:val="-2"/>
                <w:sz w:val="24"/>
                <w:szCs w:val="24"/>
              </w:rPr>
              <w:t>‰</w:t>
            </w:r>
          </w:p>
          <w:p w14:paraId="12AF285E">
            <w:pPr>
              <w:spacing w:before="116" w:line="219" w:lineRule="auto"/>
              <w:ind w:left="114"/>
              <w:rPr>
                <w:rFonts w:hint="eastAsia" w:ascii="宋体" w:hAnsi="宋体" w:eastAsia="宋体" w:cs="宋体"/>
                <w:sz w:val="24"/>
                <w:szCs w:val="24"/>
                <w:lang w:val="en-US" w:eastAsia="zh-CN"/>
              </w:rPr>
            </w:pPr>
            <w:r>
              <w:rPr>
                <w:rFonts w:hint="eastAsia" w:ascii="宋体" w:hAnsi="宋体" w:eastAsia="宋体" w:cs="宋体"/>
                <w:spacing w:val="2"/>
                <w:sz w:val="24"/>
                <w:szCs w:val="24"/>
              </w:rPr>
              <w:t>第三者责任险由</w:t>
            </w:r>
            <w:r>
              <w:rPr>
                <w:rFonts w:hint="eastAsia" w:ascii="宋体" w:hAnsi="宋体" w:eastAsia="宋体" w:cs="宋体"/>
                <w:spacing w:val="1"/>
                <w:sz w:val="24"/>
                <w:szCs w:val="24"/>
              </w:rPr>
              <w:t>承包人以承包人与发包人的名义</w:t>
            </w:r>
            <w:r>
              <w:rPr>
                <w:rFonts w:hint="eastAsia" w:ascii="宋体" w:hAnsi="宋体" w:eastAsia="宋体" w:cs="宋体"/>
                <w:spacing w:val="1"/>
                <w:sz w:val="24"/>
                <w:szCs w:val="24"/>
                <w:highlight w:val="none"/>
              </w:rPr>
              <w:t>联名投保。第三者责任险</w:t>
            </w:r>
            <w:r>
              <w:rPr>
                <w:rFonts w:hint="eastAsia" w:ascii="宋体" w:hAnsi="宋体" w:eastAsia="宋体" w:cs="宋体"/>
                <w:sz w:val="24"/>
                <w:szCs w:val="24"/>
                <w:highlight w:val="none"/>
                <w:u w:val="none"/>
                <w:lang w:val="en-US" w:eastAsia="zh-CN"/>
              </w:rPr>
              <w:t>费用</w:t>
            </w:r>
            <w:r>
              <w:rPr>
                <w:rFonts w:hint="eastAsia" w:ascii="宋体" w:hAnsi="宋体" w:eastAsia="宋体" w:cs="宋体"/>
                <w:sz w:val="24"/>
                <w:szCs w:val="24"/>
                <w:highlight w:val="none"/>
                <w:u w:val="none"/>
              </w:rPr>
              <w:t>由承包人报价时列入</w:t>
            </w:r>
            <w:r>
              <w:rPr>
                <w:rFonts w:hint="eastAsia" w:ascii="宋体" w:hAnsi="宋体" w:eastAsia="宋体" w:cs="宋体"/>
                <w:sz w:val="24"/>
                <w:szCs w:val="24"/>
                <w:highlight w:val="none"/>
                <w:u w:val="none"/>
                <w:lang w:val="en-US" w:eastAsia="zh-CN"/>
              </w:rPr>
              <w:t>工程量</w:t>
            </w:r>
            <w:r>
              <w:rPr>
                <w:rFonts w:hint="eastAsia" w:ascii="宋体" w:hAnsi="宋体" w:eastAsia="宋体" w:cs="宋体"/>
                <w:sz w:val="24"/>
                <w:szCs w:val="24"/>
                <w:highlight w:val="none"/>
                <w:u w:val="none"/>
              </w:rPr>
              <w:t>清单第100章内，</w:t>
            </w:r>
            <w:r>
              <w:rPr>
                <w:rFonts w:hint="eastAsia" w:ascii="宋体" w:hAnsi="宋体" w:eastAsia="宋体" w:cs="宋体"/>
                <w:sz w:val="24"/>
                <w:szCs w:val="24"/>
                <w:highlight w:val="none"/>
                <w:u w:val="none"/>
                <w:lang w:val="en-US" w:eastAsia="zh-CN"/>
              </w:rPr>
              <w:t>报价应包含本项目计量模式和绩效模式全部内容的</w:t>
            </w:r>
            <w:r>
              <w:rPr>
                <w:rFonts w:hint="eastAsia" w:ascii="宋体" w:hAnsi="宋体" w:eastAsia="宋体" w:cs="宋体"/>
                <w:spacing w:val="2"/>
                <w:sz w:val="24"/>
                <w:szCs w:val="24"/>
                <w:highlight w:val="none"/>
                <w:u w:val="none"/>
              </w:rPr>
              <w:t>第三者责任险</w:t>
            </w:r>
            <w:r>
              <w:rPr>
                <w:rFonts w:hint="eastAsia" w:ascii="宋体" w:hAnsi="宋体" w:eastAsia="宋体" w:cs="宋体"/>
                <w:sz w:val="24"/>
                <w:szCs w:val="24"/>
                <w:highlight w:val="none"/>
                <w:u w:val="none"/>
                <w:lang w:val="en-US" w:eastAsia="zh-CN"/>
              </w:rPr>
              <w:t>报价。</w:t>
            </w:r>
            <w:r>
              <w:rPr>
                <w:rFonts w:hint="eastAsia" w:ascii="宋体" w:hAnsi="宋体" w:eastAsia="宋体" w:cs="宋体"/>
                <w:spacing w:val="2"/>
                <w:sz w:val="24"/>
                <w:szCs w:val="24"/>
                <w:highlight w:val="none"/>
              </w:rPr>
              <w:t>发包人按投标工程量清单子目总额计量支付</w:t>
            </w:r>
            <w:r>
              <w:rPr>
                <w:rFonts w:hint="eastAsia" w:ascii="宋体" w:hAnsi="宋体" w:eastAsia="宋体" w:cs="宋体"/>
                <w:spacing w:val="-1"/>
                <w:sz w:val="24"/>
                <w:szCs w:val="24"/>
                <w:highlight w:val="none"/>
                <w:lang w:eastAsia="zh-CN"/>
              </w:rPr>
              <w:t>，</w:t>
            </w:r>
            <w:r>
              <w:rPr>
                <w:rFonts w:hint="eastAsia" w:ascii="宋体" w:hAnsi="宋体" w:eastAsia="宋体" w:cs="宋体"/>
                <w:spacing w:val="-1"/>
                <w:sz w:val="24"/>
                <w:szCs w:val="24"/>
                <w:highlight w:val="none"/>
                <w:lang w:val="en-US" w:eastAsia="zh-CN"/>
              </w:rPr>
              <w:t>超出部</w:t>
            </w:r>
            <w:r>
              <w:rPr>
                <w:rFonts w:hint="eastAsia" w:ascii="宋体" w:hAnsi="宋体" w:eastAsia="宋体" w:cs="宋体"/>
                <w:spacing w:val="-1"/>
                <w:sz w:val="24"/>
                <w:szCs w:val="24"/>
                <w:lang w:val="en-US" w:eastAsia="zh-CN"/>
              </w:rPr>
              <w:t>分由承包人自行承担。</w:t>
            </w:r>
          </w:p>
          <w:p w14:paraId="64B2B3E2">
            <w:pPr>
              <w:spacing w:before="112" w:line="205" w:lineRule="auto"/>
              <w:ind w:left="115"/>
              <w:rPr>
                <w:rFonts w:hint="eastAsia" w:ascii="宋体" w:hAnsi="宋体" w:eastAsia="宋体" w:cs="宋体"/>
                <w:sz w:val="24"/>
                <w:szCs w:val="24"/>
              </w:rPr>
            </w:pPr>
          </w:p>
        </w:tc>
      </w:tr>
      <w:tr w14:paraId="76BC35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9" w:hRule="atLeast"/>
        </w:trPr>
        <w:tc>
          <w:tcPr>
            <w:tcW w:w="774" w:type="dxa"/>
          </w:tcPr>
          <w:p w14:paraId="0E27279F">
            <w:pPr>
              <w:pStyle w:val="29"/>
              <w:tabs>
                <w:tab w:val="left" w:pos="0"/>
              </w:tabs>
              <w:spacing w:line="318" w:lineRule="auto"/>
              <w:rPr>
                <w:rFonts w:hint="eastAsia" w:ascii="宋体" w:hAnsi="宋体" w:eastAsia="宋体" w:cs="宋体"/>
                <w:sz w:val="24"/>
                <w:szCs w:val="24"/>
                <w:lang w:eastAsia="zh-CN"/>
              </w:rPr>
            </w:pPr>
          </w:p>
          <w:p w14:paraId="29466964">
            <w:pPr>
              <w:spacing w:before="69" w:line="188" w:lineRule="auto"/>
              <w:ind w:left="268"/>
              <w:rPr>
                <w:rFonts w:hint="eastAsia" w:ascii="宋体" w:hAnsi="宋体" w:eastAsia="宋体" w:cs="宋体"/>
                <w:sz w:val="24"/>
                <w:szCs w:val="24"/>
              </w:rPr>
            </w:pPr>
            <w:r>
              <w:rPr>
                <w:rFonts w:hint="eastAsia" w:ascii="宋体" w:hAnsi="宋体" w:eastAsia="宋体" w:cs="宋体"/>
                <w:spacing w:val="-3"/>
                <w:sz w:val="24"/>
                <w:szCs w:val="24"/>
              </w:rPr>
              <w:t>27</w:t>
            </w:r>
          </w:p>
        </w:tc>
        <w:tc>
          <w:tcPr>
            <w:tcW w:w="1386" w:type="dxa"/>
          </w:tcPr>
          <w:p w14:paraId="7FBEB276">
            <w:pPr>
              <w:pStyle w:val="29"/>
              <w:tabs>
                <w:tab w:val="left" w:pos="0"/>
              </w:tabs>
              <w:spacing w:line="318" w:lineRule="auto"/>
              <w:rPr>
                <w:rFonts w:hint="eastAsia" w:ascii="宋体" w:hAnsi="宋体" w:eastAsia="宋体" w:cs="宋体"/>
                <w:sz w:val="24"/>
                <w:szCs w:val="24"/>
              </w:rPr>
            </w:pPr>
          </w:p>
          <w:p w14:paraId="2DC5350D">
            <w:pPr>
              <w:spacing w:before="69" w:line="188" w:lineRule="auto"/>
              <w:ind w:left="483"/>
              <w:rPr>
                <w:rFonts w:hint="eastAsia" w:ascii="宋体" w:hAnsi="宋体" w:eastAsia="宋体" w:cs="宋体"/>
                <w:sz w:val="24"/>
                <w:szCs w:val="24"/>
              </w:rPr>
            </w:pPr>
            <w:r>
              <w:rPr>
                <w:rFonts w:hint="eastAsia" w:ascii="宋体" w:hAnsi="宋体" w:eastAsia="宋体" w:cs="宋体"/>
                <w:spacing w:val="-2"/>
                <w:sz w:val="24"/>
                <w:szCs w:val="24"/>
              </w:rPr>
              <w:t>24.1</w:t>
            </w:r>
          </w:p>
        </w:tc>
        <w:tc>
          <w:tcPr>
            <w:tcW w:w="6888" w:type="dxa"/>
          </w:tcPr>
          <w:p w14:paraId="25CE3D25">
            <w:pPr>
              <w:spacing w:before="129" w:line="219" w:lineRule="auto"/>
              <w:ind w:left="119"/>
              <w:rPr>
                <w:rFonts w:hint="eastAsia" w:ascii="宋体" w:hAnsi="宋体" w:eastAsia="宋体" w:cs="宋体"/>
                <w:sz w:val="24"/>
                <w:szCs w:val="24"/>
              </w:rPr>
            </w:pPr>
            <w:r>
              <w:rPr>
                <w:rFonts w:hint="eastAsia" w:ascii="宋体" w:hAnsi="宋体" w:eastAsia="宋体" w:cs="宋体"/>
                <w:spacing w:val="-2"/>
                <w:sz w:val="24"/>
                <w:szCs w:val="24"/>
              </w:rPr>
              <w:t>争议的最终解决方式：</w:t>
            </w:r>
            <w:r>
              <w:rPr>
                <w:rFonts w:hint="eastAsia" w:ascii="宋体" w:hAnsi="宋体" w:eastAsia="宋体" w:cs="宋体"/>
                <w:color w:val="000000"/>
                <w:kern w:val="0"/>
                <w:sz w:val="24"/>
                <w:szCs w:val="24"/>
                <w:u w:val="single"/>
              </w:rPr>
              <w:t>发包人所在地的人民法院诉讼。</w:t>
            </w:r>
          </w:p>
          <w:p w14:paraId="042E8A25">
            <w:pPr>
              <w:spacing w:before="115" w:line="207" w:lineRule="auto"/>
              <w:ind w:left="118"/>
              <w:rPr>
                <w:rFonts w:hint="eastAsia" w:ascii="宋体" w:hAnsi="宋体" w:eastAsia="宋体" w:cs="宋体"/>
                <w:sz w:val="24"/>
                <w:szCs w:val="24"/>
              </w:rPr>
            </w:pPr>
            <w:r>
              <w:rPr>
                <w:rFonts w:hint="eastAsia" w:ascii="宋体" w:hAnsi="宋体" w:eastAsia="宋体" w:cs="宋体"/>
                <w:spacing w:val="-1"/>
                <w:sz w:val="24"/>
                <w:szCs w:val="24"/>
              </w:rPr>
              <w:t>如采用仲裁，仲裁委员会名称：</w:t>
            </w:r>
            <w:r>
              <w:rPr>
                <w:rFonts w:hint="eastAsia" w:ascii="宋体" w:hAnsi="宋体" w:eastAsia="宋体" w:cs="宋体"/>
                <w:sz w:val="24"/>
                <w:szCs w:val="24"/>
                <w:u w:val="single"/>
              </w:rPr>
              <w:t xml:space="preserve">     /     </w:t>
            </w:r>
          </w:p>
        </w:tc>
      </w:tr>
    </w:tbl>
    <w:p w14:paraId="0F3F8A96">
      <w:pPr>
        <w:pStyle w:val="11"/>
        <w:spacing w:line="241" w:lineRule="auto"/>
        <w:rPr>
          <w:rFonts w:hint="eastAsia" w:ascii="宋体" w:hAnsi="宋体" w:eastAsia="宋体" w:cs="宋体"/>
          <w:sz w:val="24"/>
          <w:szCs w:val="24"/>
          <w:lang w:eastAsia="zh-CN"/>
        </w:rPr>
      </w:pPr>
    </w:p>
    <w:p w14:paraId="02033BB9">
      <w:pPr>
        <w:spacing w:before="62" w:line="308" w:lineRule="auto"/>
        <w:ind w:left="121" w:right="267" w:firstLine="399"/>
        <w:rPr>
          <w:rFonts w:hint="eastAsia" w:ascii="宋体" w:hAnsi="宋体" w:eastAsia="宋体" w:cs="宋体"/>
          <w:sz w:val="24"/>
          <w:szCs w:val="24"/>
        </w:rPr>
      </w:pPr>
      <w:bookmarkStart w:id="131" w:name="bookmark247"/>
      <w:bookmarkEnd w:id="131"/>
      <w:r>
        <w:rPr>
          <w:rFonts w:hint="eastAsia" w:ascii="宋体" w:hAnsi="宋体" w:eastAsia="宋体" w:cs="宋体"/>
          <w:spacing w:val="13"/>
          <w:sz w:val="24"/>
          <w:szCs w:val="24"/>
        </w:rPr>
        <w:t>① 利率按合同签订时全国银行间同业拆借中心公布的</w:t>
      </w:r>
      <w:r>
        <w:rPr>
          <w:rFonts w:hint="eastAsia" w:ascii="宋体" w:hAnsi="宋体" w:eastAsia="宋体" w:cs="宋体"/>
          <w:spacing w:val="-16"/>
          <w:sz w:val="24"/>
          <w:szCs w:val="24"/>
        </w:rPr>
        <w:t xml:space="preserve"> </w:t>
      </w:r>
      <w:r>
        <w:rPr>
          <w:rFonts w:hint="eastAsia" w:ascii="宋体" w:hAnsi="宋体" w:eastAsia="宋体" w:cs="宋体"/>
          <w:spacing w:val="13"/>
          <w:sz w:val="24"/>
          <w:szCs w:val="24"/>
        </w:rPr>
        <w:t>1</w:t>
      </w:r>
      <w:r>
        <w:rPr>
          <w:rFonts w:hint="eastAsia" w:ascii="宋体" w:hAnsi="宋体" w:eastAsia="宋体" w:cs="宋体"/>
          <w:spacing w:val="17"/>
          <w:w w:val="101"/>
          <w:sz w:val="24"/>
          <w:szCs w:val="24"/>
        </w:rPr>
        <w:t xml:space="preserve"> </w:t>
      </w:r>
      <w:r>
        <w:rPr>
          <w:rFonts w:hint="eastAsia" w:ascii="宋体" w:hAnsi="宋体" w:eastAsia="宋体" w:cs="宋体"/>
          <w:spacing w:val="13"/>
          <w:sz w:val="24"/>
          <w:szCs w:val="24"/>
        </w:rPr>
        <w:t>年期</w:t>
      </w:r>
      <w:r>
        <w:rPr>
          <w:rFonts w:hint="eastAsia" w:ascii="宋体" w:hAnsi="宋体" w:eastAsia="宋体" w:cs="宋体"/>
          <w:spacing w:val="12"/>
          <w:sz w:val="24"/>
          <w:szCs w:val="24"/>
        </w:rPr>
        <w:t>贷款市场报价利率</w:t>
      </w:r>
      <w:r>
        <w:rPr>
          <w:rFonts w:hint="eastAsia" w:ascii="宋体" w:hAnsi="宋体" w:eastAsia="宋体" w:cs="宋体"/>
          <w:spacing w:val="-38"/>
          <w:sz w:val="24"/>
          <w:szCs w:val="24"/>
        </w:rPr>
        <w:t xml:space="preserve"> </w:t>
      </w:r>
      <w:r>
        <w:rPr>
          <w:rFonts w:hint="eastAsia" w:ascii="宋体" w:hAnsi="宋体" w:eastAsia="宋体" w:cs="宋体"/>
          <w:sz w:val="24"/>
          <w:szCs w:val="24"/>
        </w:rPr>
        <w:t>LPR</w:t>
      </w:r>
      <w:r>
        <w:rPr>
          <w:rFonts w:hint="eastAsia" w:ascii="宋体" w:hAnsi="宋体" w:eastAsia="宋体" w:cs="宋体"/>
          <w:spacing w:val="12"/>
          <w:sz w:val="24"/>
          <w:szCs w:val="24"/>
        </w:rPr>
        <w:t>（不计复</w:t>
      </w:r>
      <w:bookmarkStart w:id="132" w:name="bookmark248"/>
      <w:bookmarkEnd w:id="132"/>
      <w:r>
        <w:rPr>
          <w:rFonts w:hint="eastAsia" w:ascii="宋体" w:hAnsi="宋体" w:eastAsia="宋体" w:cs="宋体"/>
          <w:spacing w:val="9"/>
          <w:sz w:val="24"/>
          <w:szCs w:val="24"/>
        </w:rPr>
        <w:t>利）加手续费为基础计算。发包人不能自行取消本项内容或降低利率。</w:t>
      </w:r>
    </w:p>
    <w:p w14:paraId="2E65A57B">
      <w:pPr>
        <w:spacing w:before="164" w:line="226" w:lineRule="auto"/>
        <w:ind w:left="519"/>
        <w:rPr>
          <w:rFonts w:hint="eastAsia" w:ascii="宋体" w:hAnsi="宋体" w:eastAsia="宋体" w:cs="宋体"/>
          <w:sz w:val="24"/>
          <w:szCs w:val="24"/>
        </w:rPr>
      </w:pPr>
      <w:bookmarkStart w:id="133" w:name="bookmark249"/>
      <w:bookmarkEnd w:id="133"/>
      <w:r>
        <w:rPr>
          <w:rFonts w:hint="eastAsia" w:ascii="宋体" w:hAnsi="宋体" w:eastAsia="宋体" w:cs="宋体"/>
          <w:spacing w:val="8"/>
          <w:sz w:val="24"/>
          <w:szCs w:val="24"/>
        </w:rPr>
        <w:t>② 质量保证金最高不超过合同价格的</w:t>
      </w:r>
      <w:r>
        <w:rPr>
          <w:rFonts w:hint="eastAsia" w:ascii="宋体" w:hAnsi="宋体" w:eastAsia="宋体" w:cs="宋体"/>
          <w:spacing w:val="-36"/>
          <w:sz w:val="24"/>
          <w:szCs w:val="24"/>
        </w:rPr>
        <w:t xml:space="preserve"> </w:t>
      </w:r>
      <w:r>
        <w:rPr>
          <w:rFonts w:hint="eastAsia" w:ascii="宋体" w:hAnsi="宋体" w:eastAsia="宋体" w:cs="宋体"/>
          <w:spacing w:val="8"/>
          <w:sz w:val="24"/>
          <w:szCs w:val="24"/>
        </w:rPr>
        <w:t>3%。</w:t>
      </w:r>
    </w:p>
    <w:p w14:paraId="2A59398D">
      <w:pPr>
        <w:spacing w:before="169" w:line="334" w:lineRule="auto"/>
        <w:ind w:left="122" w:right="267" w:firstLine="397"/>
        <w:rPr>
          <w:rFonts w:hint="eastAsia" w:ascii="宋体" w:hAnsi="宋体" w:eastAsia="宋体" w:cs="宋体"/>
          <w:sz w:val="24"/>
          <w:szCs w:val="24"/>
        </w:rPr>
      </w:pPr>
      <w:r>
        <w:rPr>
          <w:rFonts w:hint="eastAsia" w:ascii="宋体" w:hAnsi="宋体" w:eastAsia="宋体" w:cs="宋体"/>
          <w:spacing w:val="14"/>
          <w:sz w:val="24"/>
          <w:szCs w:val="24"/>
        </w:rPr>
        <w:t>③ 若交工验收时承包人具备被养护项目所在地省级交通运输主管部门评定的最高信</w:t>
      </w:r>
      <w:r>
        <w:rPr>
          <w:rFonts w:hint="eastAsia" w:ascii="宋体" w:hAnsi="宋体" w:eastAsia="宋体" w:cs="宋体"/>
          <w:spacing w:val="13"/>
          <w:sz w:val="24"/>
          <w:szCs w:val="24"/>
        </w:rPr>
        <w:t>用等级，发包人可在质量保证金方面给予一定的优惠奖励，例如发包人可给予承包人</w:t>
      </w:r>
      <w:r>
        <w:rPr>
          <w:rFonts w:hint="eastAsia" w:ascii="宋体" w:hAnsi="宋体" w:eastAsia="宋体" w:cs="宋体"/>
          <w:spacing w:val="-35"/>
          <w:sz w:val="24"/>
          <w:szCs w:val="24"/>
        </w:rPr>
        <w:t xml:space="preserve"> </w:t>
      </w:r>
      <w:r>
        <w:rPr>
          <w:rFonts w:hint="eastAsia" w:ascii="宋体" w:hAnsi="宋体" w:eastAsia="宋体" w:cs="宋体"/>
          <w:spacing w:val="13"/>
          <w:sz w:val="24"/>
          <w:szCs w:val="24"/>
        </w:rPr>
        <w:t>2%合同价格质量保证</w:t>
      </w:r>
      <w:r>
        <w:rPr>
          <w:rFonts w:hint="eastAsia" w:ascii="宋体" w:hAnsi="宋体" w:eastAsia="宋体" w:cs="宋体"/>
          <w:spacing w:val="8"/>
          <w:sz w:val="24"/>
          <w:szCs w:val="24"/>
        </w:rPr>
        <w:t>金的优惠，具体优惠幅度由发包人自行确定。</w:t>
      </w:r>
    </w:p>
    <w:p w14:paraId="34F8A016">
      <w:pPr>
        <w:widowControl/>
        <w:tabs>
          <w:tab w:val="left" w:pos="0"/>
        </w:tabs>
        <w:ind w:firstLine="482"/>
        <w:jc w:val="center"/>
        <w:rPr>
          <w:rFonts w:hint="eastAsia" w:ascii="宋体" w:hAnsi="宋体" w:eastAsia="宋体" w:cs="宋体"/>
          <w:b/>
          <w:bCs/>
          <w:kern w:val="0"/>
          <w:sz w:val="24"/>
          <w:szCs w:val="24"/>
        </w:rPr>
      </w:pPr>
    </w:p>
    <w:p w14:paraId="2ED4C8DD">
      <w:pPr>
        <w:spacing w:before="78" w:line="219" w:lineRule="auto"/>
        <w:ind w:left="485"/>
        <w:outlineLvl w:val="2"/>
        <w:rPr>
          <w:rFonts w:hint="eastAsia" w:ascii="宋体" w:hAnsi="宋体" w:eastAsia="宋体" w:cs="宋体"/>
          <w:sz w:val="24"/>
          <w:szCs w:val="24"/>
          <w:highlight w:val="none"/>
        </w:rPr>
      </w:pPr>
      <w:r>
        <w:rPr>
          <w:rFonts w:hint="eastAsia" w:ascii="宋体" w:hAnsi="宋体" w:eastAsia="宋体" w:cs="宋体"/>
          <w:b/>
          <w:bCs/>
          <w:sz w:val="24"/>
          <w:szCs w:val="24"/>
        </w:rPr>
        <w:br w:type="page"/>
      </w:r>
      <w:bookmarkStart w:id="134" w:name="_Toc30827"/>
      <w:bookmarkStart w:id="135" w:name="_Toc8703"/>
      <w:r>
        <w:rPr>
          <w:rFonts w:hint="eastAsia" w:ascii="宋体" w:hAnsi="宋体" w:eastAsia="宋体" w:cs="宋体"/>
          <w:b/>
          <w:bCs/>
          <w:spacing w:val="-3"/>
          <w:sz w:val="24"/>
          <w:szCs w:val="24"/>
          <w:highlight w:val="none"/>
        </w:rPr>
        <w:t>2.专用合同条款</w:t>
      </w:r>
      <w:bookmarkEnd w:id="134"/>
      <w:bookmarkEnd w:id="135"/>
    </w:p>
    <w:p w14:paraId="42FC64E9">
      <w:pPr>
        <w:spacing w:before="270" w:line="305" w:lineRule="auto"/>
        <w:ind w:left="12" w:firstLine="480"/>
        <w:rPr>
          <w:rFonts w:hint="eastAsia" w:ascii="宋体" w:hAnsi="宋体" w:eastAsia="宋体" w:cs="宋体"/>
          <w:spacing w:val="-7"/>
          <w:sz w:val="24"/>
          <w:szCs w:val="24"/>
          <w:highlight w:val="none"/>
        </w:rPr>
      </w:pPr>
      <w:r>
        <w:rPr>
          <w:rFonts w:hint="eastAsia" w:ascii="宋体" w:hAnsi="宋体" w:eastAsia="宋体" w:cs="宋体"/>
          <w:sz w:val="24"/>
          <w:szCs w:val="24"/>
          <w:highlight w:val="none"/>
        </w:rPr>
        <w:t>说明：本部分所列的专用合同条款是对“通用合同条款</w:t>
      </w:r>
      <w:r>
        <w:rPr>
          <w:rFonts w:hint="eastAsia" w:ascii="宋体" w:hAnsi="宋体" w:eastAsia="宋体" w:cs="宋体"/>
          <w:spacing w:val="-88"/>
          <w:sz w:val="24"/>
          <w:szCs w:val="24"/>
          <w:highlight w:val="none"/>
        </w:rPr>
        <w:t xml:space="preserve"> </w:t>
      </w:r>
      <w:r>
        <w:rPr>
          <w:rFonts w:hint="eastAsia" w:ascii="宋体" w:hAnsi="宋体" w:eastAsia="宋体" w:cs="宋体"/>
          <w:spacing w:val="-1"/>
          <w:sz w:val="24"/>
          <w:szCs w:val="24"/>
          <w:highlight w:val="none"/>
        </w:rPr>
        <w:t>”中规定必须在专用合</w:t>
      </w:r>
      <w:r>
        <w:rPr>
          <w:rFonts w:hint="eastAsia" w:ascii="宋体" w:hAnsi="宋体" w:eastAsia="宋体" w:cs="宋体"/>
          <w:sz w:val="24"/>
          <w:szCs w:val="24"/>
          <w:highlight w:val="none"/>
        </w:rPr>
        <w:t>同条款中明确的内容的集中，发包人编制的“专</w:t>
      </w:r>
      <w:r>
        <w:rPr>
          <w:rFonts w:hint="eastAsia" w:ascii="宋体" w:hAnsi="宋体" w:eastAsia="宋体" w:cs="宋体"/>
          <w:spacing w:val="-1"/>
          <w:sz w:val="24"/>
          <w:szCs w:val="24"/>
          <w:highlight w:val="none"/>
        </w:rPr>
        <w:t>用合同条款</w:t>
      </w:r>
      <w:r>
        <w:rPr>
          <w:rFonts w:hint="eastAsia" w:ascii="宋体" w:hAnsi="宋体" w:eastAsia="宋体" w:cs="宋体"/>
          <w:spacing w:val="-85"/>
          <w:sz w:val="24"/>
          <w:szCs w:val="24"/>
          <w:highlight w:val="none"/>
        </w:rPr>
        <w:t xml:space="preserve"> </w:t>
      </w:r>
      <w:r>
        <w:rPr>
          <w:rFonts w:hint="eastAsia" w:ascii="宋体" w:hAnsi="宋体" w:eastAsia="宋体" w:cs="宋体"/>
          <w:spacing w:val="-1"/>
          <w:sz w:val="24"/>
          <w:szCs w:val="24"/>
          <w:highlight w:val="none"/>
        </w:rPr>
        <w:t>”不限于本部分所列内</w:t>
      </w:r>
      <w:r>
        <w:rPr>
          <w:rFonts w:hint="eastAsia" w:ascii="宋体" w:hAnsi="宋体" w:eastAsia="宋体" w:cs="宋体"/>
          <w:spacing w:val="-7"/>
          <w:sz w:val="24"/>
          <w:szCs w:val="24"/>
          <w:highlight w:val="none"/>
        </w:rPr>
        <w:t>容。</w:t>
      </w:r>
    </w:p>
    <w:p w14:paraId="19B2A195">
      <w:pPr>
        <w:spacing w:line="220" w:lineRule="auto"/>
        <w:ind w:left="495"/>
        <w:outlineLvl w:val="3"/>
        <w:rPr>
          <w:rFonts w:hint="eastAsia" w:ascii="宋体" w:hAnsi="宋体" w:eastAsia="宋体" w:cs="宋体"/>
          <w:sz w:val="24"/>
          <w:szCs w:val="24"/>
          <w:highlight w:val="none"/>
          <w:lang w:eastAsia="zh-CN"/>
        </w:rPr>
      </w:pPr>
      <w:r>
        <w:rPr>
          <w:rFonts w:hint="eastAsia" w:ascii="宋体" w:hAnsi="宋体" w:eastAsia="宋体" w:cs="宋体"/>
          <w:b/>
          <w:bCs/>
          <w:spacing w:val="-4"/>
          <w:sz w:val="24"/>
          <w:szCs w:val="24"/>
          <w:highlight w:val="none"/>
          <w:lang w:eastAsia="zh-CN"/>
        </w:rPr>
        <w:t>1.一般约定</w:t>
      </w:r>
    </w:p>
    <w:p w14:paraId="68153680">
      <w:pPr>
        <w:spacing w:before="114" w:line="220" w:lineRule="auto"/>
        <w:ind w:left="495"/>
        <w:outlineLvl w:val="4"/>
        <w:rPr>
          <w:rFonts w:hint="eastAsia" w:ascii="宋体" w:hAnsi="宋体" w:eastAsia="宋体" w:cs="宋体"/>
          <w:b/>
          <w:bCs/>
          <w:spacing w:val="-5"/>
          <w:sz w:val="24"/>
          <w:szCs w:val="24"/>
          <w:highlight w:val="none"/>
          <w:lang w:eastAsia="zh-CN"/>
        </w:rPr>
      </w:pPr>
      <w:r>
        <w:rPr>
          <w:rFonts w:hint="eastAsia" w:ascii="宋体" w:hAnsi="宋体" w:eastAsia="宋体" w:cs="宋体"/>
          <w:b/>
          <w:bCs/>
          <w:spacing w:val="-5"/>
          <w:sz w:val="24"/>
          <w:szCs w:val="24"/>
          <w:highlight w:val="none"/>
          <w:lang w:eastAsia="zh-CN"/>
        </w:rPr>
        <w:t>1.1</w:t>
      </w:r>
      <w:r>
        <w:rPr>
          <w:rFonts w:hint="eastAsia" w:ascii="宋体" w:hAnsi="宋体" w:eastAsia="宋体" w:cs="宋体"/>
          <w:b/>
          <w:bCs/>
          <w:spacing w:val="5"/>
          <w:sz w:val="24"/>
          <w:szCs w:val="24"/>
          <w:highlight w:val="none"/>
          <w:lang w:eastAsia="zh-CN"/>
        </w:rPr>
        <w:t xml:space="preserve">  </w:t>
      </w:r>
      <w:r>
        <w:rPr>
          <w:rFonts w:hint="eastAsia" w:ascii="宋体" w:hAnsi="宋体" w:eastAsia="宋体" w:cs="宋体"/>
          <w:b/>
          <w:bCs/>
          <w:spacing w:val="-5"/>
          <w:sz w:val="24"/>
          <w:szCs w:val="24"/>
          <w:highlight w:val="none"/>
          <w:lang w:eastAsia="zh-CN"/>
        </w:rPr>
        <w:t>词语定义</w:t>
      </w:r>
    </w:p>
    <w:p w14:paraId="19130C47">
      <w:pPr>
        <w:spacing w:before="108" w:line="286" w:lineRule="auto"/>
        <w:ind w:right="164" w:firstLine="499"/>
        <w:rPr>
          <w:rFonts w:hint="eastAsia" w:ascii="宋体" w:hAnsi="宋体" w:eastAsia="宋体" w:cs="宋体"/>
          <w:sz w:val="24"/>
          <w:szCs w:val="24"/>
          <w:highlight w:val="none"/>
          <w:lang w:eastAsia="zh-CN"/>
        </w:rPr>
      </w:pPr>
      <w:r>
        <w:rPr>
          <w:rFonts w:hint="eastAsia" w:ascii="宋体" w:hAnsi="宋体" w:eastAsia="宋体" w:cs="宋体"/>
          <w:color w:val="000000"/>
          <w:kern w:val="0"/>
          <w:sz w:val="24"/>
          <w:szCs w:val="24"/>
          <w:highlight w:val="none"/>
        </w:rPr>
        <w:t xml:space="preserve">1.1.1 合同 </w:t>
      </w:r>
    </w:p>
    <w:p w14:paraId="6954607C">
      <w:pPr>
        <w:pStyle w:val="17"/>
        <w:spacing w:line="360" w:lineRule="auto"/>
        <w:ind w:firstLine="480" w:firstLineChars="200"/>
        <w:rPr>
          <w:rFonts w:hint="eastAsia" w:ascii="宋体" w:hAnsi="宋体" w:eastAsia="宋体" w:cs="宋体"/>
          <w:spacing w:val="-42"/>
          <w:sz w:val="24"/>
          <w:szCs w:val="24"/>
          <w:highlight w:val="none"/>
          <w:lang w:eastAsia="zh-CN"/>
        </w:rPr>
      </w:pPr>
      <w:r>
        <w:rPr>
          <w:rFonts w:hint="eastAsia" w:ascii="宋体" w:hAnsi="宋体" w:eastAsia="宋体" w:cs="宋体"/>
          <w:color w:val="000000"/>
          <w:sz w:val="24"/>
          <w:szCs w:val="24"/>
          <w:highlight w:val="none"/>
          <w:lang w:eastAsia="zh-CN"/>
        </w:rPr>
        <w:t xml:space="preserve">1.1.1.1 </w:t>
      </w:r>
      <w:r>
        <w:rPr>
          <w:rFonts w:hint="eastAsia" w:ascii="宋体" w:hAnsi="宋体" w:eastAsia="宋体" w:cs="宋体"/>
          <w:spacing w:val="1"/>
          <w:sz w:val="24"/>
          <w:szCs w:val="24"/>
          <w:highlight w:val="none"/>
          <w:lang w:eastAsia="zh-CN"/>
        </w:rPr>
        <w:t>合同文件（或称合同</w:t>
      </w:r>
      <w:r>
        <w:rPr>
          <w:rFonts w:hint="eastAsia" w:ascii="宋体" w:hAnsi="宋体" w:eastAsia="宋体" w:cs="宋体"/>
          <w:spacing w:val="-42"/>
          <w:sz w:val="24"/>
          <w:szCs w:val="24"/>
          <w:highlight w:val="none"/>
          <w:lang w:eastAsia="zh-CN"/>
        </w:rPr>
        <w:t>）：</w:t>
      </w:r>
    </w:p>
    <w:p w14:paraId="1539E913">
      <w:pPr>
        <w:pStyle w:val="17"/>
        <w:spacing w:line="360" w:lineRule="auto"/>
        <w:ind w:firstLine="708" w:firstLineChars="300"/>
        <w:rPr>
          <w:rFonts w:hint="eastAsia" w:ascii="宋体" w:hAnsi="宋体" w:eastAsia="宋体" w:cs="宋体"/>
          <w:spacing w:val="-2"/>
          <w:sz w:val="24"/>
          <w:szCs w:val="24"/>
          <w:highlight w:val="none"/>
          <w:lang w:eastAsia="zh-CN"/>
        </w:rPr>
      </w:pPr>
      <w:r>
        <w:rPr>
          <w:rFonts w:hint="eastAsia" w:ascii="宋体" w:hAnsi="宋体" w:eastAsia="宋体" w:cs="宋体"/>
          <w:spacing w:val="-2"/>
          <w:sz w:val="24"/>
          <w:szCs w:val="24"/>
          <w:highlight w:val="none"/>
          <w:lang w:eastAsia="zh-CN"/>
        </w:rPr>
        <w:t>本</w:t>
      </w:r>
      <w:r>
        <w:rPr>
          <w:rFonts w:hint="eastAsia" w:ascii="宋体" w:hAnsi="宋体" w:eastAsia="宋体" w:cs="宋体"/>
          <w:spacing w:val="-2"/>
          <w:sz w:val="24"/>
          <w:szCs w:val="24"/>
          <w:highlight w:val="none"/>
          <w:lang w:val="en-US" w:eastAsia="zh-CN"/>
        </w:rPr>
        <w:t>目</w:t>
      </w:r>
      <w:r>
        <w:rPr>
          <w:rFonts w:hint="eastAsia" w:ascii="宋体" w:hAnsi="宋体" w:eastAsia="宋体" w:cs="宋体"/>
          <w:spacing w:val="-2"/>
          <w:sz w:val="24"/>
          <w:szCs w:val="24"/>
          <w:highlight w:val="none"/>
          <w:lang w:eastAsia="zh-CN"/>
        </w:rPr>
        <w:t>“以及</w:t>
      </w:r>
      <w:r>
        <w:rPr>
          <w:rFonts w:hint="eastAsia" w:ascii="宋体" w:hAnsi="宋体" w:eastAsia="宋体" w:cs="宋体"/>
          <w:spacing w:val="-4"/>
          <w:sz w:val="24"/>
          <w:szCs w:val="24"/>
          <w:highlight w:val="none"/>
          <w:lang w:eastAsia="zh-CN"/>
        </w:rPr>
        <w:t>其</w:t>
      </w:r>
      <w:r>
        <w:rPr>
          <w:rFonts w:hint="eastAsia" w:ascii="宋体" w:hAnsi="宋体" w:eastAsia="宋体" w:cs="宋体"/>
          <w:spacing w:val="-2"/>
          <w:sz w:val="24"/>
          <w:szCs w:val="24"/>
          <w:highlight w:val="none"/>
          <w:lang w:eastAsia="zh-CN"/>
        </w:rPr>
        <w:t>他合同文件”修改为“以及</w:t>
      </w:r>
      <w:r>
        <w:rPr>
          <w:rFonts w:hint="eastAsia" w:ascii="宋体" w:hAnsi="宋体" w:eastAsia="宋体" w:cs="宋体"/>
          <w:sz w:val="24"/>
          <w:szCs w:val="24"/>
          <w:highlight w:val="none"/>
          <w:lang w:eastAsia="zh-CN"/>
        </w:rPr>
        <w:t>《广西壮族自治区桂林公路发展中心公路养护服务工作要求及考核办法》等</w:t>
      </w:r>
      <w:r>
        <w:rPr>
          <w:rFonts w:hint="eastAsia" w:ascii="宋体" w:hAnsi="宋体" w:eastAsia="宋体" w:cs="宋体"/>
          <w:spacing w:val="-4"/>
          <w:sz w:val="24"/>
          <w:szCs w:val="24"/>
          <w:highlight w:val="none"/>
          <w:lang w:eastAsia="zh-CN"/>
        </w:rPr>
        <w:t>其</w:t>
      </w:r>
      <w:r>
        <w:rPr>
          <w:rFonts w:hint="eastAsia" w:ascii="宋体" w:hAnsi="宋体" w:eastAsia="宋体" w:cs="宋体"/>
          <w:spacing w:val="-2"/>
          <w:sz w:val="24"/>
          <w:szCs w:val="24"/>
          <w:highlight w:val="none"/>
          <w:lang w:eastAsia="zh-CN"/>
        </w:rPr>
        <w:t>他合同文件”。</w:t>
      </w:r>
    </w:p>
    <w:p w14:paraId="1F7790A1">
      <w:pPr>
        <w:pStyle w:val="18"/>
        <w:numPr>
          <w:ilvl w:val="3"/>
          <w:numId w:val="10"/>
        </w:numPr>
        <w:spacing w:before="0" w:after="0"/>
        <w:ind w:firstLineChars="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技术规范：</w:t>
      </w:r>
    </w:p>
    <w:p w14:paraId="03ED7720">
      <w:pPr>
        <w:pStyle w:val="18"/>
        <w:spacing w:before="0" w:after="0"/>
        <w:ind w:left="411" w:firstLine="0" w:firstLineChars="0"/>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本</w:t>
      </w:r>
      <w:r>
        <w:rPr>
          <w:rFonts w:hint="eastAsia" w:ascii="宋体" w:hAnsi="宋体" w:eastAsia="宋体" w:cs="宋体"/>
          <w:spacing w:val="-2"/>
          <w:sz w:val="24"/>
          <w:szCs w:val="24"/>
          <w:highlight w:val="none"/>
          <w:lang w:val="en-US" w:eastAsia="zh-CN"/>
        </w:rPr>
        <w:t>目</w:t>
      </w:r>
      <w:r>
        <w:rPr>
          <w:rFonts w:hint="eastAsia" w:ascii="宋体" w:hAnsi="宋体" w:eastAsia="宋体" w:cs="宋体"/>
          <w:spacing w:val="-2"/>
          <w:sz w:val="24"/>
          <w:szCs w:val="24"/>
          <w:highlight w:val="none"/>
        </w:rPr>
        <w:t>补充：</w:t>
      </w:r>
    </w:p>
    <w:p w14:paraId="4AD231A5">
      <w:pPr>
        <w:pStyle w:val="18"/>
        <w:spacing w:before="0" w:after="0"/>
        <w:ind w:firstLine="420"/>
        <w:rPr>
          <w:rFonts w:hint="eastAsia" w:ascii="宋体" w:hAnsi="宋体" w:eastAsia="宋体" w:cs="宋体"/>
          <w:b/>
          <w:bCs/>
          <w:spacing w:val="-5"/>
          <w:sz w:val="24"/>
          <w:szCs w:val="24"/>
          <w:highlight w:val="none"/>
          <w:lang w:eastAsia="zh-CN"/>
        </w:rPr>
      </w:pPr>
      <w:r>
        <w:rPr>
          <w:rFonts w:hint="eastAsia" w:ascii="宋体" w:hAnsi="宋体" w:eastAsia="宋体" w:cs="宋体"/>
          <w:color w:val="000000"/>
          <w:kern w:val="0"/>
          <w:sz w:val="24"/>
          <w:szCs w:val="24"/>
          <w:highlight w:val="none"/>
        </w:rPr>
        <w:t>包括（但不限于）：</w:t>
      </w:r>
      <w:r>
        <w:rPr>
          <w:rFonts w:hint="eastAsia" w:ascii="宋体" w:hAnsi="宋体" w:eastAsia="宋体" w:cs="宋体"/>
          <w:sz w:val="24"/>
          <w:szCs w:val="24"/>
          <w:highlight w:val="none"/>
        </w:rPr>
        <w:t>《公路养护技术标准》（JTG5110—2023）、《公路路基养护技术规范》（JTG5150-2020)《公路水泥混凝土路面养护技术规范》（JTJ073.1-2001）《公路沥青路面养护技术规范》（JTG5142-2019）、《公路桥涵养护规范》（JTG5120-2021)、《公路隧道养护技术规范》（JTG H12-2015）、《公路交通安全设施施工技术规范》（JTG/T3671-2021)、</w:t>
      </w:r>
      <w:r>
        <w:rPr>
          <w:rFonts w:hint="eastAsia" w:ascii="宋体" w:hAnsi="宋体" w:eastAsia="宋体" w:cs="宋体"/>
          <w:color w:val="000000"/>
          <w:kern w:val="0"/>
          <w:sz w:val="24"/>
          <w:szCs w:val="24"/>
          <w:highlight w:val="none"/>
        </w:rPr>
        <w:t>交通运输</w:t>
      </w:r>
      <w:r>
        <w:rPr>
          <w:rFonts w:hint="eastAsia" w:ascii="宋体" w:hAnsi="宋体" w:eastAsia="宋体" w:cs="宋体"/>
          <w:kern w:val="0"/>
          <w:sz w:val="24"/>
          <w:szCs w:val="24"/>
          <w:highlight w:val="none"/>
        </w:rPr>
        <w:t>部</w:t>
      </w:r>
      <w:r>
        <w:rPr>
          <w:rFonts w:hint="eastAsia" w:ascii="宋体" w:hAnsi="宋体" w:eastAsia="宋体" w:cs="宋体"/>
          <w:sz w:val="24"/>
          <w:szCs w:val="24"/>
          <w:highlight w:val="none"/>
        </w:rPr>
        <w:t>（交办公路函〔2025〕1819号印发）</w:t>
      </w:r>
      <w:r>
        <w:rPr>
          <w:rFonts w:hint="eastAsia" w:ascii="宋体" w:hAnsi="宋体" w:eastAsia="宋体" w:cs="宋体"/>
          <w:kern w:val="0"/>
          <w:sz w:val="24"/>
          <w:szCs w:val="24"/>
          <w:highlight w:val="none"/>
        </w:rPr>
        <w:t>《</w:t>
      </w:r>
      <w:r>
        <w:rPr>
          <w:rFonts w:hint="eastAsia" w:ascii="宋体" w:hAnsi="宋体" w:eastAsia="宋体" w:cs="宋体"/>
          <w:color w:val="000000"/>
          <w:kern w:val="0"/>
          <w:sz w:val="24"/>
          <w:szCs w:val="24"/>
          <w:highlight w:val="none"/>
        </w:rPr>
        <w:t>公路养护项目合同范本》的技术规范和</w:t>
      </w:r>
      <w:r>
        <w:rPr>
          <w:rFonts w:hint="eastAsia" w:ascii="宋体" w:hAnsi="宋体" w:eastAsia="宋体" w:cs="宋体"/>
          <w:sz w:val="24"/>
          <w:szCs w:val="24"/>
          <w:highlight w:val="none"/>
        </w:rPr>
        <w:t>《公路养护工程质量检验评定标准》（JTG5220-2020）、《公路养护安全作业规程》（JTG H30-2015）等国家现行规范标准及</w:t>
      </w:r>
      <w:r>
        <w:rPr>
          <w:rFonts w:hint="eastAsia" w:ascii="宋体" w:hAnsi="宋体" w:eastAsia="宋体" w:cs="宋体"/>
          <w:sz w:val="24"/>
          <w:szCs w:val="24"/>
          <w:highlight w:val="none"/>
          <w:lang w:eastAsia="zh-CN"/>
        </w:rPr>
        <w:t>《广西壮族自治区桂林公路发展中心公路养护服务工作要求及考核办法》</w:t>
      </w:r>
      <w:r>
        <w:rPr>
          <w:rFonts w:hint="eastAsia" w:ascii="宋体" w:hAnsi="宋体" w:eastAsia="宋体" w:cs="宋体"/>
          <w:sz w:val="24"/>
          <w:szCs w:val="24"/>
          <w:highlight w:val="none"/>
        </w:rPr>
        <w:t>等及</w:t>
      </w:r>
      <w:r>
        <w:rPr>
          <w:rFonts w:hint="eastAsia" w:ascii="宋体" w:hAnsi="宋体" w:eastAsia="宋体" w:cs="宋体"/>
          <w:sz w:val="24"/>
          <w:szCs w:val="24"/>
          <w:highlight w:val="none"/>
          <w:lang w:val="en-US" w:eastAsia="zh-CN"/>
        </w:rPr>
        <w:t>行业主管部门</w:t>
      </w:r>
      <w:r>
        <w:rPr>
          <w:rFonts w:hint="eastAsia" w:ascii="宋体" w:hAnsi="宋体" w:eastAsia="宋体" w:cs="宋体"/>
          <w:sz w:val="24"/>
          <w:szCs w:val="24"/>
          <w:highlight w:val="none"/>
        </w:rPr>
        <w:t>相关技术要求文件。</w:t>
      </w:r>
    </w:p>
    <w:p w14:paraId="7010B4C8">
      <w:pPr>
        <w:keepNext w:val="0"/>
        <w:keepLines w:val="0"/>
        <w:pageBreakBefore w:val="0"/>
        <w:kinsoku/>
        <w:wordWrap/>
        <w:overflowPunct/>
        <w:topLinePunct w:val="0"/>
        <w:autoSpaceDE/>
        <w:autoSpaceDN/>
        <w:bidi w:val="0"/>
        <w:adjustRightInd/>
        <w:snapToGrid/>
        <w:spacing w:before="124" w:line="360" w:lineRule="auto"/>
        <w:ind w:left="508"/>
        <w:textAlignment w:val="auto"/>
        <w:rPr>
          <w:rFonts w:hint="eastAsia" w:ascii="宋体" w:hAnsi="宋体" w:eastAsia="宋体" w:cs="宋体"/>
          <w:sz w:val="24"/>
          <w:szCs w:val="24"/>
          <w:highlight w:val="none"/>
          <w:lang w:eastAsia="zh-CN"/>
        </w:rPr>
      </w:pPr>
      <w:r>
        <w:rPr>
          <w:rFonts w:hint="eastAsia" w:ascii="宋体" w:hAnsi="宋体" w:eastAsia="宋体" w:cs="宋体"/>
          <w:spacing w:val="-3"/>
          <w:sz w:val="24"/>
          <w:szCs w:val="24"/>
          <w:highlight w:val="none"/>
          <w:lang w:eastAsia="zh-CN"/>
        </w:rPr>
        <w:t>1.1.2 合同当事人和人员</w:t>
      </w:r>
    </w:p>
    <w:p w14:paraId="36486946">
      <w:pPr>
        <w:keepNext w:val="0"/>
        <w:keepLines w:val="0"/>
        <w:pageBreakBefore w:val="0"/>
        <w:kinsoku/>
        <w:wordWrap/>
        <w:overflowPunct/>
        <w:topLinePunct w:val="0"/>
        <w:autoSpaceDE/>
        <w:autoSpaceDN/>
        <w:bidi w:val="0"/>
        <w:adjustRightInd/>
        <w:snapToGrid/>
        <w:spacing w:before="112" w:line="360" w:lineRule="auto"/>
        <w:ind w:left="508"/>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spacing w:val="-3"/>
          <w:sz w:val="24"/>
          <w:szCs w:val="24"/>
          <w:highlight w:val="none"/>
          <w:lang w:eastAsia="zh-CN"/>
        </w:rPr>
        <w:t>1.1.2.2  发包</w:t>
      </w:r>
      <w:r>
        <w:rPr>
          <w:rFonts w:hint="eastAsia" w:ascii="宋体" w:hAnsi="宋体" w:eastAsia="宋体" w:cs="宋体"/>
          <w:color w:val="auto"/>
          <w:spacing w:val="-3"/>
          <w:sz w:val="24"/>
          <w:szCs w:val="24"/>
          <w:highlight w:val="none"/>
          <w:u w:val="none"/>
          <w:lang w:eastAsia="zh-CN"/>
        </w:rPr>
        <w:t>人：</w:t>
      </w:r>
      <w:r>
        <w:rPr>
          <w:rFonts w:hint="eastAsia" w:ascii="宋体" w:hAnsi="宋体" w:eastAsia="宋体" w:cs="宋体"/>
          <w:color w:val="auto"/>
          <w:sz w:val="24"/>
          <w:szCs w:val="24"/>
          <w:highlight w:val="none"/>
          <w:u w:val="single"/>
          <w:lang w:eastAsia="zh-CN"/>
        </w:rPr>
        <w:t xml:space="preserve"> </w:t>
      </w:r>
      <w:r>
        <w:rPr>
          <w:rFonts w:hint="eastAsia" w:asciiTheme="minorEastAsia" w:hAnsiTheme="minorEastAsia" w:eastAsiaTheme="minorEastAsia" w:cstheme="minorEastAsia"/>
          <w:color w:val="auto"/>
          <w:sz w:val="24"/>
          <w:szCs w:val="24"/>
          <w:u w:val="single"/>
          <w:lang w:eastAsia="zh-CN"/>
        </w:rPr>
        <w:t>广西壮族自治区恭城公路养护中心、 广西壮族自治区平乐公路养护中心、广西壮族自治区阳朔公路养护中心、广西壮族自治区灌阳公路养护中心</w:t>
      </w:r>
      <w:r>
        <w:rPr>
          <w:rFonts w:hint="eastAsia" w:ascii="宋体" w:hAnsi="宋体" w:eastAsia="宋体" w:cs="宋体"/>
          <w:color w:val="auto"/>
          <w:kern w:val="0"/>
          <w:sz w:val="24"/>
          <w:szCs w:val="24"/>
          <w:highlight w:val="none"/>
          <w:u w:val="single"/>
        </w:rPr>
        <w:t>。</w:t>
      </w:r>
    </w:p>
    <w:p w14:paraId="21FE4B65">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auto"/>
          <w:kern w:val="0"/>
          <w:sz w:val="24"/>
          <w:szCs w:val="24"/>
          <w:highlight w:val="none"/>
          <w:u w:val="single"/>
          <w:lang w:eastAsia="zh-CN"/>
        </w:rPr>
      </w:pPr>
      <w:r>
        <w:rPr>
          <w:rFonts w:hint="eastAsia" w:ascii="宋体" w:hAnsi="宋体" w:eastAsia="宋体" w:cs="宋体"/>
          <w:spacing w:val="-2"/>
          <w:sz w:val="24"/>
          <w:szCs w:val="24"/>
          <w:highlight w:val="none"/>
          <w:lang w:eastAsia="zh-CN"/>
        </w:rPr>
        <w:t>1.1.2.7  咨询人（监理人</w:t>
      </w:r>
      <w:r>
        <w:rPr>
          <w:rFonts w:hint="eastAsia" w:ascii="宋体" w:hAnsi="宋体" w:eastAsia="宋体" w:cs="宋体"/>
          <w:spacing w:val="-58"/>
          <w:sz w:val="24"/>
          <w:szCs w:val="24"/>
          <w:highlight w:val="none"/>
          <w:lang w:eastAsia="zh-CN"/>
        </w:rPr>
        <w:t>）：</w:t>
      </w:r>
      <w:r>
        <w:rPr>
          <w:rFonts w:hint="eastAsia" w:ascii="宋体" w:hAnsi="宋体" w:eastAsia="宋体" w:cs="宋体"/>
          <w:spacing w:val="11"/>
          <w:sz w:val="24"/>
          <w:szCs w:val="24"/>
          <w:highlight w:val="none"/>
          <w:u w:val="single"/>
          <w:lang w:eastAsia="zh-CN"/>
        </w:rPr>
        <w:t>本项目不委托咨询人（监理人）。发包人自行履行通用条款中和合同实施管理中涉及咨询人（监理人）的全部职责与义</w:t>
      </w:r>
      <w:r>
        <w:rPr>
          <w:rFonts w:hint="eastAsia" w:ascii="宋体" w:hAnsi="宋体" w:eastAsia="宋体" w:cs="宋体"/>
          <w:color w:val="auto"/>
          <w:spacing w:val="11"/>
          <w:sz w:val="24"/>
          <w:szCs w:val="24"/>
          <w:highlight w:val="none"/>
          <w:u w:val="single"/>
          <w:lang w:eastAsia="zh-CN"/>
        </w:rPr>
        <w:t>务</w:t>
      </w:r>
      <w:r>
        <w:rPr>
          <w:rFonts w:hint="eastAsia" w:ascii="宋体" w:hAnsi="宋体" w:eastAsia="宋体" w:cs="宋体"/>
          <w:b/>
          <w:bCs/>
          <w:color w:val="auto"/>
          <w:kern w:val="0"/>
          <w:sz w:val="24"/>
          <w:szCs w:val="24"/>
          <w:highlight w:val="none"/>
          <w:u w:val="single"/>
          <w:lang w:eastAsia="zh-CN"/>
        </w:rPr>
        <w:t>。</w:t>
      </w:r>
    </w:p>
    <w:p w14:paraId="22B9B853">
      <w:pPr>
        <w:keepNext w:val="0"/>
        <w:keepLines w:val="0"/>
        <w:pageBreakBefore w:val="0"/>
        <w:kinsoku/>
        <w:wordWrap/>
        <w:overflowPunct/>
        <w:topLinePunct w:val="0"/>
        <w:autoSpaceDE/>
        <w:autoSpaceDN/>
        <w:bidi w:val="0"/>
        <w:adjustRightInd/>
        <w:snapToGrid/>
        <w:spacing w:before="114" w:line="360" w:lineRule="auto"/>
        <w:ind w:left="508"/>
        <w:textAlignment w:val="auto"/>
        <w:rPr>
          <w:rFonts w:hint="eastAsia" w:ascii="宋体" w:hAnsi="宋体" w:eastAsia="宋体" w:cs="宋体"/>
          <w:color w:val="auto"/>
          <w:sz w:val="24"/>
          <w:szCs w:val="24"/>
          <w:highlight w:val="none"/>
          <w:u w:val="none"/>
          <w:lang w:eastAsia="zh-CN"/>
        </w:rPr>
      </w:pPr>
      <w:r>
        <w:rPr>
          <w:rFonts w:hint="eastAsia" w:ascii="宋体" w:hAnsi="宋体" w:eastAsia="宋体" w:cs="宋体"/>
          <w:color w:val="auto"/>
          <w:spacing w:val="-2"/>
          <w:sz w:val="24"/>
          <w:szCs w:val="24"/>
          <w:highlight w:val="none"/>
          <w:u w:val="none"/>
          <w:lang w:eastAsia="zh-CN"/>
        </w:rPr>
        <w:t>1.1.3  养护项目、养护工程和设备</w:t>
      </w:r>
    </w:p>
    <w:p w14:paraId="4CF80A3A">
      <w:pPr>
        <w:keepNext w:val="0"/>
        <w:keepLines w:val="0"/>
        <w:pageBreakBefore w:val="0"/>
        <w:tabs>
          <w:tab w:val="left" w:pos="0"/>
        </w:tabs>
        <w:kinsoku/>
        <w:wordWrap/>
        <w:overflowPunct/>
        <w:topLinePunct w:val="0"/>
        <w:autoSpaceDE/>
        <w:autoSpaceDN/>
        <w:bidi w:val="0"/>
        <w:adjustRightInd/>
        <w:snapToGrid/>
        <w:spacing w:line="360" w:lineRule="auto"/>
        <w:ind w:firstLine="708" w:firstLineChars="300"/>
        <w:textAlignment w:val="auto"/>
        <w:rPr>
          <w:rFonts w:hint="eastAsia" w:ascii="宋体" w:hAnsi="宋体" w:eastAsia="宋体" w:cs="宋体"/>
          <w:color w:val="auto"/>
          <w:spacing w:val="5"/>
          <w:sz w:val="24"/>
          <w:szCs w:val="24"/>
          <w:highlight w:val="none"/>
          <w:u w:val="none"/>
          <w:lang w:eastAsia="zh-CN"/>
        </w:rPr>
      </w:pPr>
      <w:r>
        <w:rPr>
          <w:rFonts w:hint="eastAsia" w:ascii="宋体" w:hAnsi="宋体" w:eastAsia="宋体" w:cs="宋体"/>
          <w:color w:val="auto"/>
          <w:spacing w:val="-2"/>
          <w:sz w:val="24"/>
          <w:szCs w:val="24"/>
          <w:highlight w:val="none"/>
          <w:u w:val="none"/>
          <w:lang w:eastAsia="zh-CN"/>
        </w:rPr>
        <w:t xml:space="preserve">1.1.3.1  </w:t>
      </w:r>
      <w:r>
        <w:rPr>
          <w:rFonts w:hint="eastAsia" w:ascii="宋体" w:hAnsi="宋体" w:eastAsia="宋体" w:cs="宋体"/>
          <w:color w:val="auto"/>
          <w:spacing w:val="5"/>
          <w:sz w:val="24"/>
          <w:szCs w:val="24"/>
          <w:highlight w:val="none"/>
          <w:u w:val="none"/>
          <w:lang w:eastAsia="zh-CN"/>
        </w:rPr>
        <w:t>养护项目：</w:t>
      </w:r>
      <w:r>
        <w:rPr>
          <w:rFonts w:hint="eastAsia" w:asciiTheme="minorEastAsia" w:hAnsiTheme="minorEastAsia" w:eastAsiaTheme="minorEastAsia" w:cstheme="minorEastAsia"/>
          <w:color w:val="auto"/>
          <w:spacing w:val="5"/>
          <w:sz w:val="24"/>
          <w:szCs w:val="24"/>
          <w:u w:val="single"/>
        </w:rPr>
        <w:t>一采三年实施的广西壮族自治区桂林公路发展中心</w:t>
      </w:r>
      <w:r>
        <w:rPr>
          <w:rFonts w:hint="eastAsia" w:asciiTheme="minorEastAsia" w:hAnsiTheme="minorEastAsia" w:eastAsiaTheme="minorEastAsia" w:cstheme="minorEastAsia"/>
          <w:color w:val="auto"/>
          <w:spacing w:val="5"/>
          <w:sz w:val="24"/>
          <w:szCs w:val="24"/>
          <w:u w:val="single"/>
          <w:lang w:eastAsia="zh-CN"/>
        </w:rPr>
        <w:t>南</w:t>
      </w:r>
      <w:r>
        <w:rPr>
          <w:rFonts w:hint="eastAsia" w:asciiTheme="minorEastAsia" w:hAnsiTheme="minorEastAsia" w:eastAsiaTheme="minorEastAsia" w:cstheme="minorEastAsia"/>
          <w:color w:val="auto"/>
          <w:spacing w:val="5"/>
          <w:sz w:val="24"/>
          <w:szCs w:val="24"/>
          <w:u w:val="single"/>
        </w:rPr>
        <w:t>片区2026年-2029年普通国省干线公路养护服务项目，包含</w:t>
      </w:r>
      <w:r>
        <w:rPr>
          <w:rFonts w:hint="eastAsia" w:asciiTheme="minorEastAsia" w:hAnsiTheme="minorEastAsia" w:eastAsiaTheme="minorEastAsia" w:cstheme="minorEastAsia"/>
          <w:color w:val="auto"/>
          <w:spacing w:val="5"/>
          <w:sz w:val="24"/>
          <w:szCs w:val="24"/>
          <w:u w:val="single"/>
          <w:lang w:val="en-US" w:eastAsia="zh-CN"/>
        </w:rPr>
        <w:t>A段（ 广西壮族自治区恭城公路养护中心</w:t>
      </w:r>
      <w:r>
        <w:rPr>
          <w:rFonts w:hint="eastAsia" w:asciiTheme="minorEastAsia" w:hAnsiTheme="minorEastAsia" w:eastAsiaTheme="minorEastAsia" w:cstheme="minorEastAsia"/>
          <w:color w:val="auto"/>
          <w:spacing w:val="5"/>
          <w:sz w:val="24"/>
          <w:szCs w:val="24"/>
          <w:u w:val="single"/>
          <w:lang w:eastAsia="zh-CN"/>
        </w:rPr>
        <w:t>）、</w:t>
      </w:r>
      <w:r>
        <w:rPr>
          <w:rFonts w:hint="eastAsia" w:asciiTheme="minorEastAsia" w:hAnsiTheme="minorEastAsia" w:eastAsiaTheme="minorEastAsia" w:cstheme="minorEastAsia"/>
          <w:color w:val="auto"/>
          <w:spacing w:val="5"/>
          <w:sz w:val="24"/>
          <w:szCs w:val="24"/>
          <w:u w:val="single"/>
          <w:lang w:val="en-US" w:eastAsia="zh-CN"/>
        </w:rPr>
        <w:t>B段（广西壮族自治区平乐公路养护中心</w:t>
      </w:r>
      <w:r>
        <w:rPr>
          <w:rFonts w:hint="eastAsia" w:asciiTheme="minorEastAsia" w:hAnsiTheme="minorEastAsia" w:eastAsiaTheme="minorEastAsia" w:cstheme="minorEastAsia"/>
          <w:color w:val="auto"/>
          <w:spacing w:val="5"/>
          <w:sz w:val="24"/>
          <w:szCs w:val="24"/>
          <w:u w:val="single"/>
          <w:lang w:eastAsia="zh-CN"/>
        </w:rPr>
        <w:t>）、</w:t>
      </w:r>
      <w:r>
        <w:rPr>
          <w:rFonts w:hint="eastAsia" w:asciiTheme="minorEastAsia" w:hAnsiTheme="minorEastAsia" w:eastAsiaTheme="minorEastAsia" w:cstheme="minorEastAsia"/>
          <w:color w:val="auto"/>
          <w:spacing w:val="5"/>
          <w:sz w:val="24"/>
          <w:szCs w:val="24"/>
          <w:u w:val="single"/>
          <w:lang w:val="en-US" w:eastAsia="zh-CN"/>
        </w:rPr>
        <w:t>C段（广西壮族自治区阳朔公路养护中心</w:t>
      </w:r>
      <w:r>
        <w:rPr>
          <w:rFonts w:hint="eastAsia" w:asciiTheme="minorEastAsia" w:hAnsiTheme="minorEastAsia" w:eastAsiaTheme="minorEastAsia" w:cstheme="minorEastAsia"/>
          <w:color w:val="auto"/>
          <w:spacing w:val="5"/>
          <w:sz w:val="24"/>
          <w:szCs w:val="24"/>
          <w:u w:val="single"/>
          <w:lang w:eastAsia="zh-CN"/>
        </w:rPr>
        <w:t>）、</w:t>
      </w:r>
      <w:r>
        <w:rPr>
          <w:rFonts w:hint="eastAsia" w:asciiTheme="minorEastAsia" w:hAnsiTheme="minorEastAsia" w:eastAsiaTheme="minorEastAsia" w:cstheme="minorEastAsia"/>
          <w:color w:val="auto"/>
          <w:spacing w:val="5"/>
          <w:sz w:val="24"/>
          <w:szCs w:val="24"/>
          <w:u w:val="single"/>
          <w:lang w:val="en-US" w:eastAsia="zh-CN"/>
        </w:rPr>
        <w:t>D段（</w:t>
      </w:r>
      <w:r>
        <w:rPr>
          <w:rFonts w:hint="eastAsia" w:asciiTheme="minorEastAsia" w:hAnsiTheme="minorEastAsia" w:eastAsiaTheme="minorEastAsia" w:cstheme="minorEastAsia"/>
          <w:color w:val="auto"/>
          <w:sz w:val="24"/>
          <w:szCs w:val="24"/>
          <w:u w:val="single"/>
          <w:lang w:eastAsia="zh-CN"/>
        </w:rPr>
        <w:t>广西壮族自治区灌阳公路养护中心</w:t>
      </w:r>
      <w:r>
        <w:rPr>
          <w:rFonts w:hint="eastAsia" w:asciiTheme="minorEastAsia" w:hAnsiTheme="minorEastAsia" w:eastAsiaTheme="minorEastAsia" w:cstheme="minorEastAsia"/>
          <w:color w:val="auto"/>
          <w:spacing w:val="5"/>
          <w:sz w:val="24"/>
          <w:szCs w:val="24"/>
          <w:u w:val="single"/>
          <w:lang w:val="en-US" w:eastAsia="zh-CN"/>
        </w:rPr>
        <w:t>）</w:t>
      </w:r>
      <w:r>
        <w:rPr>
          <w:rFonts w:hint="eastAsia" w:ascii="宋体" w:hAnsi="宋体" w:eastAsia="宋体" w:cs="宋体"/>
          <w:color w:val="auto"/>
          <w:spacing w:val="5"/>
          <w:sz w:val="24"/>
          <w:szCs w:val="24"/>
          <w:highlight w:val="none"/>
          <w:u w:val="single"/>
          <w:lang w:eastAsia="zh-CN"/>
        </w:rPr>
        <w:t>。</w:t>
      </w:r>
    </w:p>
    <w:p w14:paraId="7A23D964">
      <w:pPr>
        <w:keepNext w:val="0"/>
        <w:keepLines w:val="0"/>
        <w:pageBreakBefore w:val="0"/>
        <w:kinsoku/>
        <w:wordWrap/>
        <w:overflowPunct/>
        <w:topLinePunct w:val="0"/>
        <w:autoSpaceDE/>
        <w:autoSpaceDN/>
        <w:bidi w:val="0"/>
        <w:adjustRightInd/>
        <w:snapToGrid/>
        <w:spacing w:before="116" w:line="360" w:lineRule="auto"/>
        <w:ind w:left="508"/>
        <w:textAlignment w:val="auto"/>
        <w:rPr>
          <w:rFonts w:hint="eastAsia" w:ascii="宋体" w:hAnsi="宋体" w:eastAsia="宋体" w:cs="宋体"/>
          <w:spacing w:val="-2"/>
          <w:sz w:val="24"/>
          <w:szCs w:val="24"/>
          <w:highlight w:val="none"/>
          <w:u w:val="single"/>
          <w:lang w:eastAsia="zh-CN"/>
        </w:rPr>
      </w:pPr>
      <w:r>
        <w:rPr>
          <w:rFonts w:hint="eastAsia" w:ascii="宋体" w:hAnsi="宋体" w:eastAsia="宋体" w:cs="宋体"/>
          <w:spacing w:val="-2"/>
          <w:sz w:val="24"/>
          <w:szCs w:val="24"/>
          <w:highlight w:val="none"/>
          <w:lang w:eastAsia="zh-CN"/>
        </w:rPr>
        <w:t>1.1.3.2  养护工程：</w:t>
      </w:r>
      <w:r>
        <w:rPr>
          <w:rFonts w:hint="eastAsia" w:ascii="宋体" w:hAnsi="宋体" w:eastAsia="宋体" w:cs="宋体"/>
          <w:spacing w:val="5"/>
          <w:sz w:val="24"/>
          <w:szCs w:val="24"/>
          <w:highlight w:val="none"/>
          <w:u w:val="single"/>
          <w:lang w:val="en-US" w:eastAsia="zh-CN"/>
        </w:rPr>
        <w:t>/</w:t>
      </w:r>
    </w:p>
    <w:p w14:paraId="47E48CD7">
      <w:pPr>
        <w:keepNext w:val="0"/>
        <w:keepLines w:val="0"/>
        <w:pageBreakBefore w:val="0"/>
        <w:widowControl w:val="0"/>
        <w:kinsoku/>
        <w:wordWrap/>
        <w:overflowPunct/>
        <w:topLinePunct w:val="0"/>
        <w:autoSpaceDE/>
        <w:autoSpaceDN/>
        <w:bidi w:val="0"/>
        <w:adjustRightInd/>
        <w:snapToGrid/>
        <w:spacing w:before="116" w:line="360" w:lineRule="auto"/>
        <w:ind w:left="508"/>
        <w:textAlignment w:val="auto"/>
        <w:rPr>
          <w:rFonts w:hint="eastAsia" w:ascii="宋体" w:hAnsi="宋体" w:eastAsia="宋体" w:cs="宋体"/>
          <w:spacing w:val="5"/>
          <w:sz w:val="24"/>
          <w:szCs w:val="24"/>
          <w:highlight w:val="none"/>
          <w:u w:val="single"/>
        </w:rPr>
      </w:pPr>
      <w:r>
        <w:rPr>
          <w:rFonts w:hint="eastAsia" w:ascii="宋体" w:hAnsi="宋体" w:eastAsia="宋体" w:cs="宋体"/>
          <w:spacing w:val="-2"/>
          <w:sz w:val="24"/>
          <w:szCs w:val="24"/>
          <w:highlight w:val="none"/>
          <w:lang w:eastAsia="zh-CN"/>
        </w:rPr>
        <w:t>1.1.3.3 日常养护：</w:t>
      </w:r>
      <w:r>
        <w:rPr>
          <w:rFonts w:hint="eastAsia" w:ascii="宋体" w:hAnsi="宋体" w:eastAsia="宋体" w:cs="宋体"/>
          <w:spacing w:val="5"/>
          <w:sz w:val="24"/>
          <w:szCs w:val="24"/>
          <w:highlight w:val="none"/>
          <w:u w:val="single"/>
        </w:rPr>
        <w:t>指养护工程以外的养护作业，包括日常保养和日常维修。</w:t>
      </w:r>
    </w:p>
    <w:p w14:paraId="24FA70EC">
      <w:pPr>
        <w:keepNext w:val="0"/>
        <w:keepLines w:val="0"/>
        <w:pageBreakBefore w:val="0"/>
        <w:widowControl w:val="0"/>
        <w:kinsoku/>
        <w:wordWrap/>
        <w:overflowPunct/>
        <w:topLinePunct w:val="0"/>
        <w:autoSpaceDE/>
        <w:autoSpaceDN/>
        <w:bidi w:val="0"/>
        <w:adjustRightInd/>
        <w:snapToGrid/>
        <w:spacing w:before="116" w:line="360" w:lineRule="auto"/>
        <w:ind w:firstLine="500" w:firstLineChars="200"/>
        <w:textAlignment w:val="auto"/>
        <w:rPr>
          <w:rFonts w:hint="eastAsia" w:ascii="宋体" w:hAnsi="宋体" w:eastAsia="宋体" w:cs="宋体"/>
          <w:spacing w:val="5"/>
          <w:sz w:val="24"/>
          <w:szCs w:val="24"/>
          <w:highlight w:val="none"/>
          <w:u w:val="none"/>
        </w:rPr>
      </w:pPr>
      <w:r>
        <w:rPr>
          <w:rFonts w:hint="eastAsia" w:ascii="宋体" w:hAnsi="宋体" w:eastAsia="宋体" w:cs="宋体"/>
          <w:spacing w:val="5"/>
          <w:sz w:val="24"/>
          <w:szCs w:val="24"/>
          <w:highlight w:val="none"/>
          <w:u w:val="none"/>
        </w:rPr>
        <w:t>具体工作内容：</w:t>
      </w:r>
    </w:p>
    <w:p w14:paraId="1DA3C426">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日常维修主要内容包含：路基和支挡结构及水沟等排水系统维修、路面维修、桥梁维修、涵洞维修、隧道设施维修、交通安全设施维修、公路绿化美化、公路停车区和服务区设施维修、候车亭维修、养护站房维修及预警监测设施安装等，按合同工程量清单子目计量支付，以清单模式管理。</w:t>
      </w:r>
    </w:p>
    <w:p w14:paraId="1D16575A">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应急处置主要内容包含：清理塌方（单处≥5m³）、清理落石（单处≥0.5m³）、清理倒伏路树及危树（地径≥10cm）、路基路面损毁修复、路基边坡防护、路侧护栏损坏修复、桥梁涵洞隧道损毁修护、冬季除冰雪等，按合同工程量清单子目计量支付，以清单模式管理。</w:t>
      </w:r>
    </w:p>
    <w:p w14:paraId="5BBE89C5">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）冬季除冰雪主要内容包含：撒布融雪剂、破冰融冰等费用按合同工程量清单子目计量支付，以清单模式管理。</w:t>
      </w:r>
    </w:p>
    <w:p w14:paraId="33DA91A0">
      <w:pPr>
        <w:spacing w:line="360" w:lineRule="auto"/>
        <w:ind w:firstLine="42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不可预见的专项养护主要内容包含：候车亭整治、重要节点路段提升（县城出入口、产业园区出入口、旅游景区出入口、省际交界路段）、公路路面防洒落治理、过境公路排水系统治堵、路域环境整治、公路护栏提升等，按合同工程量清单子目计量支付，以清单模式管理。</w:t>
      </w:r>
    </w:p>
    <w:p w14:paraId="4B6C98D7">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（5）为适应公路养护高质量发展要求，公路日常养护作业应逐步实现机械化。</w:t>
      </w:r>
    </w:p>
    <w:p w14:paraId="05AE0BC7">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①路面日常保洁应采用道路清扫车、洒水车进行清扫或冲洗，2026年起实现机械化路段覆盖率50%，2027年起实现机械化路段覆盖率100%。</w:t>
      </w:r>
    </w:p>
    <w:p w14:paraId="5FC45215">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②路树应采用高枝修剪车（或综合绿化车）进行修剪，2026年起实现机械化路段覆盖率50%，2027年起实现机械化路段覆盖率100%。</w:t>
      </w:r>
    </w:p>
    <w:p w14:paraId="5B266126">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③公路边沟应采用轮胎式挖掘机进行清理，2026年起实现机械化路段覆盖率50%，2027年起实现机械化路段覆盖率100%。</w:t>
      </w:r>
    </w:p>
    <w:p w14:paraId="5B92AC18">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④道路中央及两侧护栏、隧道内壁应采用清洗车刷洗，2026年起实现机械化覆盖率100%。</w:t>
      </w:r>
    </w:p>
    <w:p w14:paraId="049DF4A7">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⑤路基维修、路面维修、桥涵维修、隧道维修、交通安全设施维修等宜采用机械化作业。</w:t>
      </w:r>
    </w:p>
    <w:p w14:paraId="3886E5B9">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bCs/>
          <w:color w:val="auto"/>
          <w:spacing w:val="0"/>
          <w:w w:val="100"/>
          <w:position w:val="0"/>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⑥应急处置宜采用机械化作业。</w:t>
      </w:r>
    </w:p>
    <w:p w14:paraId="0F502B4E">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pacing w:val="0"/>
          <w:w w:val="100"/>
          <w:position w:val="0"/>
          <w:sz w:val="24"/>
          <w:szCs w:val="24"/>
          <w:highlight w:val="none"/>
          <w:lang w:val="en-US" w:eastAsia="zh-CN"/>
        </w:rPr>
        <w:t>⑦公路巡查检查应采用车载智能识别系统，2026年起实现智能巡查检查覆盖率50%以上。</w:t>
      </w:r>
    </w:p>
    <w:p w14:paraId="21C7D538">
      <w:pPr>
        <w:keepNext w:val="0"/>
        <w:keepLines w:val="0"/>
        <w:pageBreakBefore w:val="0"/>
        <w:widowControl w:val="0"/>
        <w:kinsoku/>
        <w:wordWrap/>
        <w:overflowPunct/>
        <w:topLinePunct w:val="0"/>
        <w:autoSpaceDE/>
        <w:autoSpaceDN/>
        <w:bidi w:val="0"/>
        <w:adjustRightInd/>
        <w:snapToGrid/>
        <w:spacing w:before="116" w:line="360" w:lineRule="auto"/>
        <w:ind w:left="508"/>
        <w:textAlignment w:val="auto"/>
        <w:rPr>
          <w:rFonts w:hint="eastAsia" w:ascii="宋体" w:hAnsi="宋体" w:eastAsia="宋体" w:cs="宋体"/>
          <w:sz w:val="24"/>
          <w:szCs w:val="24"/>
          <w:highlight w:val="none"/>
          <w:lang w:eastAsia="zh-CN"/>
        </w:rPr>
      </w:pPr>
      <w:r>
        <w:rPr>
          <w:rFonts w:hint="eastAsia" w:ascii="宋体" w:hAnsi="宋体" w:eastAsia="宋体" w:cs="宋体"/>
          <w:spacing w:val="-9"/>
          <w:sz w:val="24"/>
          <w:szCs w:val="24"/>
          <w:highlight w:val="none"/>
          <w:lang w:eastAsia="zh-CN"/>
        </w:rPr>
        <w:t>1.1.4   日期</w:t>
      </w:r>
    </w:p>
    <w:p w14:paraId="2778B1D3">
      <w:pPr>
        <w:keepNext w:val="0"/>
        <w:keepLines w:val="0"/>
        <w:pageBreakBefore w:val="0"/>
        <w:widowControl w:val="0"/>
        <w:kinsoku/>
        <w:wordWrap/>
        <w:overflowPunct/>
        <w:topLinePunct w:val="0"/>
        <w:autoSpaceDE/>
        <w:autoSpaceDN/>
        <w:bidi w:val="0"/>
        <w:adjustRightInd/>
        <w:snapToGrid/>
        <w:spacing w:before="112" w:line="360" w:lineRule="auto"/>
        <w:ind w:firstLine="702" w:firstLineChars="300"/>
        <w:textAlignment w:val="auto"/>
        <w:rPr>
          <w:rFonts w:hint="eastAsia" w:ascii="宋体" w:hAnsi="宋体" w:eastAsia="宋体" w:cs="宋体"/>
          <w:spacing w:val="5"/>
          <w:sz w:val="24"/>
          <w:szCs w:val="24"/>
          <w:highlight w:val="none"/>
          <w:u w:val="single"/>
        </w:rPr>
      </w:pPr>
      <w:r>
        <w:rPr>
          <w:rFonts w:hint="eastAsia" w:ascii="宋体" w:hAnsi="宋体" w:eastAsia="宋体" w:cs="宋体"/>
          <w:spacing w:val="-3"/>
          <w:sz w:val="24"/>
          <w:szCs w:val="24"/>
          <w:highlight w:val="none"/>
          <w:lang w:eastAsia="zh-CN"/>
        </w:rPr>
        <w:t>1.1.4.</w:t>
      </w:r>
      <w:r>
        <w:rPr>
          <w:rFonts w:hint="eastAsia" w:ascii="宋体" w:hAnsi="宋体" w:eastAsia="宋体" w:cs="宋体"/>
          <w:spacing w:val="-3"/>
          <w:sz w:val="24"/>
          <w:szCs w:val="24"/>
          <w:highlight w:val="none"/>
          <w:u w:val="none"/>
          <w:lang w:eastAsia="zh-CN"/>
        </w:rPr>
        <w:t>3  工期：</w:t>
      </w:r>
      <w:r>
        <w:rPr>
          <w:rFonts w:hint="eastAsia" w:ascii="宋体" w:hAnsi="宋体" w:eastAsia="宋体" w:cs="宋体"/>
          <w:spacing w:val="5"/>
          <w:sz w:val="24"/>
          <w:szCs w:val="24"/>
          <w:highlight w:val="none"/>
          <w:u w:val="none"/>
          <w:lang w:eastAsia="zh-CN"/>
        </w:rPr>
        <w:t xml:space="preserve"> </w:t>
      </w:r>
      <w:r>
        <w:rPr>
          <w:rFonts w:hint="eastAsia" w:ascii="宋体" w:hAnsi="宋体" w:eastAsia="宋体" w:cs="宋体"/>
          <w:spacing w:val="5"/>
          <w:sz w:val="24"/>
          <w:szCs w:val="24"/>
          <w:highlight w:val="none"/>
          <w:u w:val="single"/>
        </w:rPr>
        <w:t>2026年5月1日至2029年4月30日，36个月。2026年12月31日、2027年12月31日、2028年12月31日、2029年4月30日作为合同节点，分期进行考核与决算。</w:t>
      </w:r>
    </w:p>
    <w:p w14:paraId="615241AC">
      <w:pPr>
        <w:keepNext w:val="0"/>
        <w:keepLines w:val="0"/>
        <w:pageBreakBefore w:val="0"/>
        <w:widowControl w:val="0"/>
        <w:kinsoku/>
        <w:wordWrap/>
        <w:overflowPunct/>
        <w:topLinePunct w:val="0"/>
        <w:autoSpaceDE/>
        <w:autoSpaceDN/>
        <w:bidi w:val="0"/>
        <w:adjustRightInd/>
        <w:snapToGrid/>
        <w:spacing w:before="114" w:line="360" w:lineRule="auto"/>
        <w:ind w:left="20" w:firstLine="479"/>
        <w:textAlignment w:val="auto"/>
        <w:rPr>
          <w:rFonts w:hint="eastAsia" w:ascii="宋体" w:hAnsi="宋体" w:eastAsia="宋体" w:cs="宋体"/>
          <w:spacing w:val="5"/>
          <w:sz w:val="24"/>
          <w:szCs w:val="24"/>
          <w:highlight w:val="none"/>
          <w:lang w:val="en-US" w:eastAsia="zh-CN"/>
        </w:rPr>
      </w:pPr>
      <w:r>
        <w:rPr>
          <w:rFonts w:hint="eastAsia" w:ascii="宋体" w:hAnsi="宋体" w:eastAsia="宋体" w:cs="宋体"/>
          <w:spacing w:val="5"/>
          <w:sz w:val="24"/>
          <w:szCs w:val="24"/>
          <w:highlight w:val="none"/>
          <w:u w:val="none"/>
          <w:lang w:val="en-US" w:eastAsia="zh-CN"/>
        </w:rPr>
        <w:t>补充：</w:t>
      </w:r>
      <w:r>
        <w:rPr>
          <w:rFonts w:hint="eastAsia" w:ascii="宋体" w:hAnsi="宋体" w:eastAsia="宋体" w:cs="宋体"/>
          <w:spacing w:val="5"/>
          <w:sz w:val="24"/>
          <w:szCs w:val="24"/>
          <w:highlight w:val="none"/>
        </w:rPr>
        <w:t>1.1.5.4  暂列金额：</w:t>
      </w:r>
      <w:r>
        <w:rPr>
          <w:rFonts w:hint="eastAsia" w:ascii="宋体" w:hAnsi="宋体" w:eastAsia="宋体" w:cs="宋体"/>
          <w:spacing w:val="5"/>
          <w:sz w:val="24"/>
          <w:szCs w:val="24"/>
          <w:highlight w:val="none"/>
          <w:u w:val="none"/>
        </w:rPr>
        <w:t>暂列金额</w:t>
      </w:r>
      <w:r>
        <w:rPr>
          <w:rFonts w:hint="eastAsia" w:ascii="宋体" w:hAnsi="宋体" w:eastAsia="宋体" w:cs="宋体"/>
          <w:spacing w:val="4"/>
          <w:sz w:val="24"/>
          <w:szCs w:val="24"/>
          <w:highlight w:val="none"/>
          <w:u w:val="none"/>
        </w:rPr>
        <w:t>用于</w:t>
      </w:r>
      <w:r>
        <w:rPr>
          <w:rFonts w:hint="eastAsia" w:ascii="宋体" w:hAnsi="宋体" w:eastAsia="宋体" w:cs="宋体"/>
          <w:spacing w:val="-2"/>
          <w:sz w:val="24"/>
          <w:szCs w:val="24"/>
          <w:highlight w:val="none"/>
          <w:u w:val="none"/>
          <w:lang w:val="en-US" w:eastAsia="zh-CN"/>
        </w:rPr>
        <w:t>智能化养护、</w:t>
      </w:r>
      <w:r>
        <w:rPr>
          <w:rFonts w:hint="eastAsia" w:ascii="宋体" w:hAnsi="宋体" w:eastAsia="宋体" w:cs="宋体"/>
          <w:spacing w:val="-2"/>
          <w:sz w:val="24"/>
          <w:szCs w:val="24"/>
          <w:highlight w:val="none"/>
          <w:u w:val="none"/>
        </w:rPr>
        <w:t>应急和不可预见的专项养护工程（工作）</w:t>
      </w:r>
      <w:r>
        <w:rPr>
          <w:rFonts w:hint="eastAsia" w:ascii="宋体" w:hAnsi="宋体" w:eastAsia="宋体" w:cs="宋体"/>
          <w:spacing w:val="-3"/>
          <w:sz w:val="24"/>
          <w:szCs w:val="24"/>
          <w:highlight w:val="none"/>
          <w:u w:val="none"/>
          <w:lang w:eastAsia="zh-CN"/>
        </w:rPr>
        <w:t>。</w:t>
      </w:r>
      <w:r>
        <w:rPr>
          <w:rFonts w:hint="eastAsia" w:ascii="宋体" w:hAnsi="宋体" w:eastAsia="宋体" w:cs="宋体"/>
          <w:spacing w:val="-3"/>
          <w:sz w:val="24"/>
          <w:szCs w:val="24"/>
          <w:highlight w:val="none"/>
          <w:u w:val="none"/>
          <w:lang w:val="en-US" w:eastAsia="zh-CN"/>
        </w:rPr>
        <w:t>属于工程量清单子目的项目按清单子目报价计量，不属于工程量清单子目的项目根据发包人现场签证按计日工单价计量。</w:t>
      </w:r>
      <w:r>
        <w:rPr>
          <w:rFonts w:hint="eastAsia" w:ascii="宋体" w:hAnsi="宋体" w:eastAsia="宋体" w:cs="宋体"/>
          <w:spacing w:val="5"/>
          <w:sz w:val="24"/>
          <w:szCs w:val="24"/>
          <w:highlight w:val="none"/>
        </w:rPr>
        <w:t>暂列金额</w:t>
      </w:r>
      <w:r>
        <w:rPr>
          <w:rFonts w:hint="eastAsia" w:ascii="宋体" w:hAnsi="宋体" w:eastAsia="宋体" w:cs="宋体"/>
          <w:spacing w:val="5"/>
          <w:sz w:val="24"/>
          <w:szCs w:val="24"/>
          <w:highlight w:val="none"/>
          <w:lang w:val="en-US" w:eastAsia="zh-CN"/>
        </w:rPr>
        <w:t>按最高限价的5%在工程量清单报价汇总表中报价，分年度计算，包含计量模式和绩效模式所需的</w:t>
      </w:r>
      <w:r>
        <w:rPr>
          <w:rFonts w:hint="eastAsia" w:ascii="宋体" w:hAnsi="宋体" w:eastAsia="宋体" w:cs="宋体"/>
          <w:spacing w:val="5"/>
          <w:sz w:val="24"/>
          <w:szCs w:val="24"/>
          <w:highlight w:val="none"/>
        </w:rPr>
        <w:t>暂列金额</w:t>
      </w:r>
      <w:r>
        <w:rPr>
          <w:rFonts w:hint="eastAsia" w:ascii="宋体" w:hAnsi="宋体" w:eastAsia="宋体" w:cs="宋体"/>
          <w:spacing w:val="5"/>
          <w:sz w:val="24"/>
          <w:szCs w:val="24"/>
          <w:highlight w:val="none"/>
          <w:lang w:val="en-US" w:eastAsia="zh-CN"/>
        </w:rPr>
        <w:t>。本项目暂列金额作为不可竞争的固定报价，发包人在提供的工程量清单中已进行填写，投标人不需另行报价。</w:t>
      </w:r>
    </w:p>
    <w:p w14:paraId="5EAA83D9">
      <w:pPr>
        <w:keepNext w:val="0"/>
        <w:keepLines w:val="0"/>
        <w:pageBreakBefore w:val="0"/>
        <w:widowControl w:val="0"/>
        <w:kinsoku/>
        <w:wordWrap/>
        <w:overflowPunct/>
        <w:topLinePunct w:val="0"/>
        <w:autoSpaceDE/>
        <w:autoSpaceDN/>
        <w:bidi w:val="0"/>
        <w:adjustRightInd/>
        <w:snapToGrid/>
        <w:spacing w:before="106" w:line="360" w:lineRule="auto"/>
        <w:ind w:left="495"/>
        <w:textAlignment w:val="auto"/>
        <w:outlineLvl w:val="4"/>
        <w:rPr>
          <w:rFonts w:hint="eastAsia" w:ascii="宋体" w:hAnsi="宋体" w:eastAsia="宋体" w:cs="宋体"/>
          <w:sz w:val="24"/>
          <w:szCs w:val="24"/>
          <w:highlight w:val="none"/>
          <w:lang w:eastAsia="zh-CN"/>
        </w:rPr>
      </w:pPr>
      <w:r>
        <w:rPr>
          <w:rFonts w:hint="eastAsia" w:ascii="宋体" w:hAnsi="宋体" w:eastAsia="宋体" w:cs="宋体"/>
          <w:b/>
          <w:bCs/>
          <w:spacing w:val="-3"/>
          <w:sz w:val="24"/>
          <w:szCs w:val="24"/>
          <w:highlight w:val="none"/>
          <w:lang w:eastAsia="zh-CN"/>
        </w:rPr>
        <w:t>1.12  施工产生资源的归属</w:t>
      </w:r>
    </w:p>
    <w:p w14:paraId="12693784">
      <w:pPr>
        <w:keepNext w:val="0"/>
        <w:keepLines w:val="0"/>
        <w:pageBreakBefore w:val="0"/>
        <w:widowControl w:val="0"/>
        <w:kinsoku/>
        <w:wordWrap/>
        <w:overflowPunct/>
        <w:topLinePunct w:val="0"/>
        <w:autoSpaceDE/>
        <w:autoSpaceDN/>
        <w:bidi w:val="0"/>
        <w:adjustRightInd/>
        <w:snapToGrid/>
        <w:spacing w:before="124" w:line="360" w:lineRule="auto"/>
        <w:ind w:firstLine="476" w:firstLineChars="200"/>
        <w:textAlignment w:val="auto"/>
        <w:rPr>
          <w:rFonts w:hint="eastAsia" w:ascii="宋体" w:hAnsi="宋体" w:eastAsia="宋体" w:cs="宋体"/>
          <w:sz w:val="24"/>
          <w:szCs w:val="24"/>
          <w:highlight w:val="none"/>
          <w:u w:val="single"/>
          <w:lang w:eastAsia="zh-CN"/>
        </w:rPr>
      </w:pPr>
      <w:r>
        <w:rPr>
          <w:rFonts w:hint="eastAsia" w:ascii="宋体" w:hAnsi="宋体" w:eastAsia="宋体" w:cs="宋体"/>
          <w:spacing w:val="-1"/>
          <w:sz w:val="24"/>
          <w:szCs w:val="24"/>
          <w:highlight w:val="none"/>
          <w:u w:val="none"/>
          <w:lang w:eastAsia="zh-CN"/>
        </w:rPr>
        <w:t>本项目施工产生的可再生利用资源包括</w:t>
      </w:r>
      <w:r>
        <w:rPr>
          <w:rFonts w:hint="eastAsia" w:ascii="宋体" w:hAnsi="宋体" w:eastAsia="宋体" w:cs="宋体"/>
          <w:spacing w:val="2"/>
          <w:sz w:val="24"/>
          <w:szCs w:val="24"/>
          <w:highlight w:val="none"/>
          <w:u w:val="none"/>
          <w:lang w:eastAsia="zh-CN"/>
        </w:rPr>
        <w:t>：</w:t>
      </w:r>
      <w:r>
        <w:rPr>
          <w:rFonts w:hint="eastAsia" w:ascii="宋体" w:hAnsi="宋体" w:eastAsia="宋体" w:cs="宋体"/>
          <w:sz w:val="24"/>
          <w:szCs w:val="24"/>
          <w:highlight w:val="none"/>
          <w:u w:val="none"/>
          <w:lang w:eastAsia="zh-CN"/>
        </w:rPr>
        <w:t xml:space="preserve"> </w:t>
      </w:r>
      <w:r>
        <w:rPr>
          <w:rFonts w:hint="eastAsia" w:ascii="宋体" w:hAnsi="宋体" w:eastAsia="宋体" w:cs="宋体"/>
          <w:sz w:val="24"/>
          <w:szCs w:val="24"/>
          <w:highlight w:val="none"/>
          <w:u w:val="single"/>
          <w:lang w:eastAsia="zh-CN"/>
        </w:rPr>
        <w:t>更换拆除的交通安全设施、隧道更换拆除的机电设备和管理设施、路基砌体拆除的片石、桥涵结构拆除的钢筋或管线、路面修复铣刨的旧路面碎石等。</w:t>
      </w:r>
    </w:p>
    <w:p w14:paraId="3AFB94AA">
      <w:pPr>
        <w:keepNext w:val="0"/>
        <w:keepLines w:val="0"/>
        <w:pageBreakBefore w:val="0"/>
        <w:widowControl w:val="0"/>
        <w:kinsoku/>
        <w:wordWrap/>
        <w:overflowPunct/>
        <w:topLinePunct w:val="0"/>
        <w:autoSpaceDE/>
        <w:autoSpaceDN/>
        <w:bidi w:val="0"/>
        <w:adjustRightInd/>
        <w:snapToGrid/>
        <w:spacing w:before="115" w:line="360" w:lineRule="auto"/>
        <w:ind w:left="499"/>
        <w:textAlignment w:val="auto"/>
        <w:rPr>
          <w:rFonts w:hint="eastAsia" w:ascii="宋体" w:hAnsi="宋体" w:eastAsia="宋体" w:cs="宋体"/>
          <w:b/>
          <w:bCs/>
          <w:sz w:val="24"/>
          <w:szCs w:val="24"/>
          <w:highlight w:val="none"/>
          <w:u w:val="single"/>
          <w:lang w:eastAsia="zh-CN"/>
        </w:rPr>
      </w:pPr>
      <w:r>
        <w:rPr>
          <w:rFonts w:hint="eastAsia" w:ascii="宋体" w:hAnsi="宋体" w:eastAsia="宋体" w:cs="宋体"/>
          <w:spacing w:val="-5"/>
          <w:sz w:val="24"/>
          <w:szCs w:val="24"/>
          <w:highlight w:val="none"/>
          <w:u w:val="none"/>
          <w:lang w:eastAsia="zh-CN"/>
        </w:rPr>
        <w:t>资源归属</w:t>
      </w:r>
      <w:r>
        <w:rPr>
          <w:rFonts w:hint="eastAsia" w:ascii="宋体" w:hAnsi="宋体" w:eastAsia="宋体" w:cs="宋体"/>
          <w:sz w:val="24"/>
          <w:szCs w:val="24"/>
          <w:highlight w:val="none"/>
          <w:u w:val="none"/>
          <w:lang w:eastAsia="zh-CN"/>
        </w:rPr>
        <w:t>：</w:t>
      </w:r>
      <w:r>
        <w:rPr>
          <w:rFonts w:hint="eastAsia" w:ascii="宋体" w:hAnsi="宋体" w:eastAsia="宋体" w:cs="宋体"/>
          <w:b/>
          <w:bCs/>
          <w:sz w:val="24"/>
          <w:szCs w:val="24"/>
          <w:highlight w:val="none"/>
          <w:u w:val="single"/>
        </w:rPr>
        <w:t>发包人</w:t>
      </w:r>
      <w:r>
        <w:rPr>
          <w:rFonts w:hint="eastAsia" w:ascii="宋体" w:hAnsi="宋体" w:eastAsia="宋体" w:cs="宋体"/>
          <w:b/>
          <w:bCs/>
          <w:sz w:val="24"/>
          <w:szCs w:val="24"/>
          <w:highlight w:val="none"/>
          <w:u w:val="single"/>
          <w:lang w:eastAsia="zh-CN"/>
        </w:rPr>
        <w:t>；</w:t>
      </w:r>
    </w:p>
    <w:p w14:paraId="17EF8B63">
      <w:pPr>
        <w:spacing w:line="360" w:lineRule="auto"/>
        <w:ind w:firstLine="420"/>
        <w:rPr>
          <w:rFonts w:hint="default" w:ascii="宋体" w:hAnsi="宋体" w:eastAsia="宋体" w:cs="宋体"/>
          <w:color w:val="auto"/>
          <w:sz w:val="24"/>
          <w:szCs w:val="24"/>
          <w:highlight w:val="none"/>
          <w:u w:val="none"/>
          <w:lang w:val="en-US" w:eastAsia="zh-CN"/>
        </w:rPr>
      </w:pPr>
      <w:bookmarkStart w:id="136" w:name="bookmark81"/>
      <w:bookmarkEnd w:id="136"/>
      <w:bookmarkStart w:id="137" w:name="bookmark82"/>
      <w:bookmarkEnd w:id="137"/>
      <w:r>
        <w:rPr>
          <w:rFonts w:hint="eastAsia" w:ascii="宋体" w:hAnsi="宋体" w:eastAsia="宋体" w:cs="宋体"/>
          <w:color w:val="auto"/>
          <w:sz w:val="24"/>
          <w:szCs w:val="24"/>
          <w:highlight w:val="none"/>
          <w:u w:val="none"/>
          <w:lang w:val="en-US" w:eastAsia="zh-CN"/>
        </w:rPr>
        <w:t>费用承担：</w:t>
      </w:r>
      <w:r>
        <w:rPr>
          <w:rFonts w:hint="eastAsia" w:ascii="宋体" w:hAnsi="宋体" w:eastAsia="宋体" w:cs="宋体"/>
          <w:color w:val="auto"/>
          <w:sz w:val="24"/>
          <w:szCs w:val="24"/>
          <w:highlight w:val="none"/>
          <w:u w:val="single"/>
          <w:lang w:val="en-US" w:eastAsia="zh-CN"/>
        </w:rPr>
        <w:t>承包人不能私自处置可循环再生利用资源，一般处置方式：根据现场需要，可就地再生利用的则由承包人报告发包人登记数量后就地使用，双方协商估价（或进行第三方评估或进行标准定额预算）抵扣调减使用项目的承包价，不能或不需要就地利用的，则由承包人免费运送至发包人指定的就近地点或仓库存放（运送范围不超过承包范围路段，超出范围的发包人另行计价支付）。无法循环再生利用的废料应集中弃运至路线外的垃圾场妥善处理。</w:t>
      </w:r>
    </w:p>
    <w:p w14:paraId="5036702D">
      <w:pPr>
        <w:keepNext w:val="0"/>
        <w:keepLines w:val="0"/>
        <w:pageBreakBefore w:val="0"/>
        <w:widowControl/>
        <w:kinsoku w:val="0"/>
        <w:wordWrap/>
        <w:overflowPunct/>
        <w:topLinePunct w:val="0"/>
        <w:autoSpaceDE w:val="0"/>
        <w:autoSpaceDN w:val="0"/>
        <w:bidi w:val="0"/>
        <w:adjustRightInd w:val="0"/>
        <w:snapToGrid w:val="0"/>
        <w:spacing w:before="124" w:line="360" w:lineRule="auto"/>
        <w:ind w:firstLine="476" w:firstLineChars="200"/>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spacing w:val="-1"/>
          <w:sz w:val="24"/>
          <w:szCs w:val="24"/>
          <w:highlight w:val="none"/>
          <w:u w:val="none"/>
          <w:lang w:eastAsia="zh-CN"/>
        </w:rPr>
        <w:t>利益划分：</w:t>
      </w:r>
      <w:r>
        <w:rPr>
          <w:rFonts w:hint="eastAsia" w:ascii="宋体" w:hAnsi="宋体" w:eastAsia="宋体" w:cs="宋体"/>
          <w:color w:val="auto"/>
          <w:sz w:val="24"/>
          <w:szCs w:val="24"/>
          <w:highlight w:val="none"/>
          <w:u w:val="single"/>
          <w:lang w:val="en-US" w:eastAsia="zh-CN"/>
        </w:rPr>
        <w:t>在养护或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发包人。发包人和承包人应按文物行政部门要求采取妥善保护措施，由此导致费用增加由发包人承担。承包人发现文物后不及时报告或隐瞒不报，致使文物丢失或损坏的，应赔偿损失，并承担相应的法律责任。严禁以路树修剪的名义盗采保护树种，承包人非法采伐保护树种的，应赔偿损失，并承担相应的法律责任。</w:t>
      </w:r>
    </w:p>
    <w:p w14:paraId="35DE9F34">
      <w:pPr>
        <w:spacing w:before="78" w:line="219" w:lineRule="auto"/>
        <w:ind w:left="486"/>
        <w:outlineLvl w:val="3"/>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4.承包人</w:t>
      </w:r>
    </w:p>
    <w:p w14:paraId="25151F91">
      <w:pPr>
        <w:spacing w:before="114" w:line="219" w:lineRule="auto"/>
        <w:ind w:left="486"/>
        <w:outlineLvl w:val="4"/>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4.1  承包人的一般义务</w:t>
      </w:r>
    </w:p>
    <w:p w14:paraId="174150CC">
      <w:pPr>
        <w:spacing w:before="126" w:line="219" w:lineRule="auto"/>
        <w:ind w:left="483"/>
        <w:rPr>
          <w:rFonts w:hint="eastAsia" w:ascii="宋体" w:hAnsi="宋体" w:eastAsia="宋体" w:cs="宋体"/>
          <w:sz w:val="24"/>
          <w:szCs w:val="24"/>
          <w:highlight w:val="none"/>
          <w:u w:val="none"/>
        </w:rPr>
      </w:pPr>
      <w:r>
        <w:rPr>
          <w:rFonts w:hint="eastAsia" w:ascii="宋体" w:hAnsi="宋体" w:eastAsia="宋体" w:cs="宋体"/>
          <w:spacing w:val="-2"/>
          <w:sz w:val="24"/>
          <w:szCs w:val="24"/>
          <w:highlight w:val="none"/>
          <w:u w:val="none"/>
        </w:rPr>
        <w:t>4.1.11 其他义务</w:t>
      </w:r>
    </w:p>
    <w:p w14:paraId="0FCFDEC8">
      <w:pPr>
        <w:widowControl/>
        <w:tabs>
          <w:tab w:val="left" w:pos="0"/>
        </w:tabs>
        <w:spacing w:line="360" w:lineRule="auto"/>
        <w:ind w:firstLine="420"/>
        <w:rPr>
          <w:rFonts w:hint="eastAsia" w:ascii="宋体" w:hAnsi="宋体" w:eastAsia="宋体" w:cs="宋体"/>
          <w:color w:val="auto"/>
          <w:spacing w:val="-1"/>
          <w:sz w:val="24"/>
          <w:szCs w:val="24"/>
          <w:highlight w:val="none"/>
          <w:u w:val="none"/>
        </w:rPr>
      </w:pPr>
      <w:r>
        <w:rPr>
          <w:rFonts w:hint="eastAsia" w:ascii="宋体" w:hAnsi="宋体" w:eastAsia="宋体" w:cs="宋体"/>
          <w:color w:val="auto"/>
          <w:spacing w:val="-1"/>
          <w:sz w:val="24"/>
          <w:szCs w:val="24"/>
          <w:highlight w:val="none"/>
          <w:u w:val="none"/>
        </w:rPr>
        <w:t>本项补充：</w:t>
      </w:r>
      <w:r>
        <w:rPr>
          <w:rFonts w:hint="eastAsia" w:ascii="宋体" w:hAnsi="宋体" w:eastAsia="宋体" w:cs="宋体"/>
          <w:color w:val="auto"/>
          <w:kern w:val="0"/>
          <w:sz w:val="24"/>
          <w:szCs w:val="24"/>
          <w:highlight w:val="none"/>
          <w:u w:val="single"/>
        </w:rPr>
        <w:t>承包人应履行以下其他义务：</w:t>
      </w:r>
    </w:p>
    <w:p w14:paraId="39ACA120">
      <w:pPr>
        <w:spacing w:line="360" w:lineRule="auto"/>
        <w:ind w:firstLine="420"/>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（1）承包人应承担并支付</w:t>
      </w:r>
      <w:r>
        <w:rPr>
          <w:rFonts w:hint="eastAsia" w:ascii="宋体" w:hAnsi="宋体" w:eastAsia="宋体" w:cs="宋体"/>
          <w:sz w:val="24"/>
          <w:szCs w:val="24"/>
          <w:highlight w:val="none"/>
          <w:u w:val="single"/>
          <w:lang w:val="en-US" w:eastAsia="zh-CN"/>
        </w:rPr>
        <w:t>日常养护</w:t>
      </w:r>
      <w:r>
        <w:rPr>
          <w:rFonts w:hint="eastAsia" w:ascii="宋体" w:hAnsi="宋体" w:eastAsia="宋体" w:cs="宋体"/>
          <w:sz w:val="24"/>
          <w:szCs w:val="24"/>
          <w:highlight w:val="none"/>
          <w:u w:val="single"/>
        </w:rPr>
        <w:t>所需的石料、砂、砾石等其他当地材料所发生的料场使用费、资源费（税）及其他开支或补偿</w:t>
      </w:r>
      <w:r>
        <w:rPr>
          <w:rFonts w:hint="eastAsia" w:ascii="宋体" w:hAnsi="宋体" w:eastAsia="宋体" w:cs="宋体"/>
          <w:sz w:val="24"/>
          <w:szCs w:val="24"/>
          <w:highlight w:val="none"/>
          <w:u w:val="single"/>
          <w:lang w:val="en-US" w:eastAsia="zh-CN"/>
        </w:rPr>
        <w:t>等</w:t>
      </w:r>
      <w:r>
        <w:rPr>
          <w:rFonts w:hint="eastAsia" w:ascii="宋体" w:hAnsi="宋体" w:eastAsia="宋体" w:cs="宋体"/>
          <w:sz w:val="24"/>
          <w:szCs w:val="24"/>
          <w:highlight w:val="none"/>
          <w:u w:val="single"/>
        </w:rPr>
        <w:t>费</w:t>
      </w:r>
      <w:r>
        <w:rPr>
          <w:rFonts w:hint="eastAsia" w:ascii="宋体" w:hAnsi="宋体" w:eastAsia="宋体" w:cs="宋体"/>
          <w:sz w:val="24"/>
          <w:szCs w:val="24"/>
          <w:highlight w:val="none"/>
          <w:u w:val="single"/>
          <w:lang w:val="en-US" w:eastAsia="zh-CN"/>
        </w:rPr>
        <w:t>用</w:t>
      </w:r>
      <w:r>
        <w:rPr>
          <w:rFonts w:hint="eastAsia" w:ascii="宋体" w:hAnsi="宋体" w:eastAsia="宋体" w:cs="宋体"/>
          <w:sz w:val="24"/>
          <w:szCs w:val="24"/>
          <w:highlight w:val="none"/>
          <w:u w:val="single"/>
        </w:rPr>
        <w:t>。发包人应协助</w:t>
      </w:r>
      <w:r>
        <w:rPr>
          <w:rFonts w:hint="eastAsia" w:ascii="宋体" w:hAnsi="宋体" w:eastAsia="宋体" w:cs="宋体"/>
          <w:sz w:val="24"/>
          <w:szCs w:val="24"/>
          <w:highlight w:val="none"/>
          <w:u w:val="single"/>
          <w:lang w:val="en-US" w:eastAsia="zh-CN"/>
        </w:rPr>
        <w:t>承包人</w:t>
      </w:r>
      <w:r>
        <w:rPr>
          <w:rFonts w:hint="eastAsia" w:ascii="宋体" w:hAnsi="宋体" w:eastAsia="宋体" w:cs="宋体"/>
          <w:sz w:val="24"/>
          <w:szCs w:val="24"/>
          <w:highlight w:val="none"/>
          <w:u w:val="single"/>
        </w:rPr>
        <w:t>办理料场租用手续及解决使用过程中的有关问题</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rPr>
        <w:t>协助办理的成功与否，不免除根据合同文件规定的承包人的一切责任。</w:t>
      </w:r>
    </w:p>
    <w:p w14:paraId="05B783C2">
      <w:pPr>
        <w:spacing w:line="360" w:lineRule="auto"/>
        <w:ind w:right="412"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（2）承包人应严格落实《保障农民工工资支付条例》（中华人民共和国国务院令第724号）、《关于明确农民工工资保证金制度有关问题的通知》（桂薪联发﹝2016﹞2 号）、《广西壮族自治区人力资源和社会保障厅等 8 部门关于印发广西壮族自治区工程建设领域农民工工资专用账户管理暂行办法实施细则的通知》（桂人社规〔2022〕5 号）的相关要求，规范农民工工资支付等行为。承包人还应执行《广西壮族自治区人力资源和社会保障厅 广西壮族自治区住房和城乡建设厅 广西壮族自治区交通运输厅 广西壮族自治区水利厅 中国银行保险监督管理委员会广西监管局关于印发广西壮族自治区工程建设领域农民工工资保证金规定实施办法的通知》（桂人社规〔2021〕16号）要求。承包人必须对农民工工资保障金的问题作出以下承诺，提交“农民工工资保证金承诺书”。</w:t>
      </w:r>
    </w:p>
    <w:p w14:paraId="26A465A7">
      <w:pPr>
        <w:spacing w:line="360" w:lineRule="auto"/>
        <w:ind w:right="412" w:firstLine="480" w:firstLineChars="2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a.承包人应遵守国家有关拖欠工程款和民工工资的法律、法规，及时支付材料、设备货款及民工工资等费用。承包人不得以任何借口拖欠材料、设备货款及民工工资等费用，如出现此</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类</w:t>
      </w:r>
      <w:r>
        <w:rPr>
          <w:rFonts w:hint="eastAsia" w:ascii="宋体" w:hAnsi="宋体" w:eastAsia="宋体" w:cs="宋体"/>
          <w:color w:val="000000" w:themeColor="text1"/>
          <w:sz w:val="24"/>
          <w:szCs w:val="24"/>
          <w:highlight w:val="none"/>
          <w:u w:val="single"/>
          <w14:textFill>
            <w14:solidFill>
              <w14:schemeClr w14:val="tx1"/>
            </w14:solidFill>
          </w14:textFill>
        </w:rPr>
        <w:t>现象，发包人有权从应付给承包人的工程款中冻结相应款项</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对恶意拖欠和拒</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不</w:t>
      </w:r>
      <w:r>
        <w:rPr>
          <w:rFonts w:hint="eastAsia" w:ascii="宋体" w:hAnsi="宋体" w:eastAsia="宋体" w:cs="宋体"/>
          <w:color w:val="000000" w:themeColor="text1"/>
          <w:sz w:val="24"/>
          <w:szCs w:val="24"/>
          <w:highlight w:val="none"/>
          <w:u w:val="single"/>
          <w14:textFill>
            <w14:solidFill>
              <w14:schemeClr w14:val="tx1"/>
            </w14:solidFill>
          </w14:textFill>
        </w:rPr>
        <w:t>支付工程款和民工工资的</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情形</w:t>
      </w:r>
      <w:r>
        <w:rPr>
          <w:rFonts w:hint="eastAsia" w:ascii="宋体" w:hAnsi="宋体" w:eastAsia="宋体" w:cs="宋体"/>
          <w:color w:val="000000" w:themeColor="text1"/>
          <w:sz w:val="24"/>
          <w:szCs w:val="24"/>
          <w:highlight w:val="none"/>
          <w:u w:val="single"/>
          <w14:textFill>
            <w14:solidFill>
              <w14:schemeClr w14:val="tx1"/>
            </w14:solidFill>
          </w14:textFill>
        </w:rPr>
        <w:t>，作为不良记录纳入公路市场信用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评价</w:t>
      </w:r>
      <w:r>
        <w:rPr>
          <w:rFonts w:hint="eastAsia" w:ascii="宋体" w:hAnsi="宋体" w:eastAsia="宋体" w:cs="宋体"/>
          <w:color w:val="000000" w:themeColor="text1"/>
          <w:sz w:val="24"/>
          <w:szCs w:val="24"/>
          <w:highlight w:val="none"/>
          <w:u w:val="single"/>
          <w14:textFill>
            <w14:solidFill>
              <w14:schemeClr w14:val="tx1"/>
            </w14:solidFill>
          </w14:textFill>
        </w:rPr>
        <w:t>管理。</w:t>
      </w:r>
    </w:p>
    <w:p w14:paraId="3270FC01">
      <w:pPr>
        <w:spacing w:line="360" w:lineRule="auto"/>
        <w:ind w:right="412" w:firstLine="480" w:firstLineChars="200"/>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b.承包人是民工工资支付行为的主体，承包人的项目经理是民工工资支付的责任人。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承包人</w:t>
      </w:r>
      <w:r>
        <w:rPr>
          <w:rFonts w:hint="eastAsia" w:ascii="宋体" w:hAnsi="宋体" w:eastAsia="宋体" w:cs="宋体"/>
          <w:color w:val="000000" w:themeColor="text1"/>
          <w:sz w:val="24"/>
          <w:szCs w:val="24"/>
          <w:highlight w:val="none"/>
          <w:u w:val="single"/>
          <w14:textFill>
            <w14:solidFill>
              <w14:schemeClr w14:val="tx1"/>
            </w14:solidFill>
          </w14:textFill>
        </w:rPr>
        <w:t>要建立全体民工花名册和工资支付表，确保将工资直接发放给民工本人。工资支付表应如实记录支付单位、支付时间、支付对象、支付数额、支付对象的身份证号和签字等信息。民工花名册和工资支付表应报</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发包</w:t>
      </w:r>
      <w:r>
        <w:rPr>
          <w:rFonts w:hint="eastAsia" w:ascii="宋体" w:hAnsi="宋体" w:eastAsia="宋体" w:cs="宋体"/>
          <w:color w:val="000000" w:themeColor="text1"/>
          <w:sz w:val="24"/>
          <w:szCs w:val="24"/>
          <w:highlight w:val="none"/>
          <w:u w:val="single"/>
          <w14:textFill>
            <w14:solidFill>
              <w14:schemeClr w14:val="tx1"/>
            </w14:solidFill>
          </w14:textFill>
        </w:rPr>
        <w:t>人备查。</w:t>
      </w:r>
    </w:p>
    <w:p w14:paraId="53556748">
      <w:pPr>
        <w:spacing w:line="360" w:lineRule="auto"/>
        <w:ind w:right="249"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（3）检查、整改及维护稳定</w:t>
      </w:r>
    </w:p>
    <w:p w14:paraId="009E27CE">
      <w:pPr>
        <w:spacing w:line="360" w:lineRule="auto"/>
        <w:ind w:right="249"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a.与本项目相关的审计和稽查、检查等活动，承包人应派专人积极予以配合。</w:t>
      </w:r>
    </w:p>
    <w:p w14:paraId="663D633A">
      <w:pPr>
        <w:spacing w:line="360" w:lineRule="auto"/>
        <w:ind w:right="249"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b.发包人有权监督检查承包人的供货合同。</w:t>
      </w:r>
    </w:p>
    <w:p w14:paraId="65302150">
      <w:pPr>
        <w:spacing w:line="360" w:lineRule="auto"/>
        <w:ind w:right="249"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c.维护社会稳定，避免发生群众上访事件。</w:t>
      </w:r>
    </w:p>
    <w:p w14:paraId="4AA7FBDC">
      <w:pPr>
        <w:spacing w:line="360" w:lineRule="auto"/>
        <w:ind w:right="249"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d.承包人应自觉接受行业主管部门、质量监督单位、公路管理机构等部门监督检查，对指出的问题进行认真整改，及时反馈处理结果。</w:t>
      </w:r>
    </w:p>
    <w:p w14:paraId="4EC3691E">
      <w:pPr>
        <w:spacing w:line="360" w:lineRule="auto"/>
        <w:ind w:right="249"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（4）合同实施时承包人应投入足够的技术和管理人员以满足养护服务需要，承包人应按照合同约定的最低人员要求投入。为满足日常养护实际需要，发包人有权要求承包人增加相应技术和管理人员。</w:t>
      </w:r>
    </w:p>
    <w:p w14:paraId="517B9BD4">
      <w:pPr>
        <w:spacing w:line="360" w:lineRule="auto"/>
        <w:ind w:right="249"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（5）承包人应响应“壮美公路”行动</w:t>
      </w:r>
    </w:p>
    <w:p w14:paraId="2F7E1C26">
      <w:pPr>
        <w:spacing w:line="360" w:lineRule="auto"/>
        <w:ind w:right="249"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a.承包人应根</w:t>
      </w:r>
      <w:r>
        <w:rPr>
          <w:rFonts w:hint="eastAsia" w:ascii="宋体" w:hAnsi="宋体" w:eastAsia="宋体" w:cs="宋体"/>
          <w:color w:val="auto"/>
          <w:sz w:val="24"/>
          <w:szCs w:val="24"/>
          <w:highlight w:val="none"/>
          <w:u w:val="single"/>
          <w:lang w:val="en-US" w:eastAsia="zh-CN"/>
        </w:rPr>
        <w:t>据《中共广西壮族自治区交通厅党组关于印发自治区交通运输系统“美丽广西·清洁乡村”交通行动实施方案的通知》（桂交党宣[2013]15号）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精神，响应号召，以清洁公路、清洁水路、清洁运输为目标，大力实施交通运输尤其是农村交通运输环境的净化、绿化、美化，为群众创造畅通、高效、平安、绿色的交通运输环境及服务，以实现“生态环境美、文明风尚美、平安和谐美”的“三美交通”。</w:t>
      </w:r>
    </w:p>
    <w:p w14:paraId="030DD9DD">
      <w:pPr>
        <w:spacing w:line="360" w:lineRule="auto"/>
        <w:ind w:right="249"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b.具体要求：本项目强化养护作业路段的环境整治，避免扬尘污染环境及抛洒物造成公路损坏，做好水土保持、环境保护工作；养护作业期间维持良好通车秩序；承包人应派专人参与“壮美公路”的相关活动。</w:t>
      </w:r>
    </w:p>
    <w:p w14:paraId="2418C907">
      <w:pPr>
        <w:spacing w:line="360" w:lineRule="auto"/>
        <w:ind w:right="249"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6）为响应国家富农、强农、惠农、兴农、助农及“乡村振兴”等政策，推动农村富余劳动力转移就业，增加当地农民劳务收入，改善当地农民经济生活，承包人在实施本项目当中，在同等基础条件下优先聘请项目当地农民工作为养护工人。</w:t>
      </w:r>
    </w:p>
    <w:p w14:paraId="0B398975">
      <w:pPr>
        <w:spacing w:line="360" w:lineRule="auto"/>
        <w:ind w:right="249"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（7）除不可抗拒的自然灾害外，养护维修作业在任何情况下应保持公路安全畅通。</w:t>
      </w:r>
    </w:p>
    <w:p w14:paraId="431314A0">
      <w:pPr>
        <w:spacing w:line="360" w:lineRule="auto"/>
        <w:ind w:right="249"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（8）承包人每月按时向发包人提供本合同约定的有关数据资料，保证发包人及时、准确、全面掌握道路状况，自觉接受并配合发包人和相关部门的监督检查，积极参加发包人组织的各类评比活动。</w:t>
      </w:r>
    </w:p>
    <w:p w14:paraId="0FF06023">
      <w:pPr>
        <w:spacing w:line="360" w:lineRule="auto"/>
        <w:ind w:right="249"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（9）做好抢险救灾的准备工作，在紧急情况下，应积极配合发包人和有关部门做好排除路障、清理现场、保通保畅等工作。</w:t>
      </w:r>
    </w:p>
    <w:p w14:paraId="62D43A1F">
      <w:pPr>
        <w:spacing w:line="360" w:lineRule="auto"/>
        <w:ind w:right="249" w:firstLine="480" w:firstLineChars="200"/>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（10）发包人的养护站场作为公路附属设施，承包人须按合同承包范围纳入日常养护。</w:t>
      </w:r>
    </w:p>
    <w:p w14:paraId="203BB86D">
      <w:pPr>
        <w:spacing w:before="104" w:line="220" w:lineRule="auto"/>
        <w:ind w:left="486"/>
        <w:outlineLvl w:val="4"/>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4.2  履约保证金</w:t>
      </w:r>
    </w:p>
    <w:p w14:paraId="12C3EC3B">
      <w:pPr>
        <w:pStyle w:val="9"/>
        <w:spacing w:line="360" w:lineRule="auto"/>
        <w:ind w:firstLine="708" w:firstLineChars="300"/>
        <w:rPr>
          <w:rFonts w:hint="eastAsia" w:ascii="宋体" w:hAnsi="宋体" w:eastAsia="宋体" w:cs="宋体"/>
          <w:sz w:val="24"/>
          <w:szCs w:val="24"/>
          <w:highlight w:val="none"/>
          <w:u w:val="single"/>
          <w:lang w:eastAsia="zh-CN"/>
        </w:rPr>
      </w:pPr>
      <w:r>
        <w:rPr>
          <w:rFonts w:hint="eastAsia" w:ascii="宋体" w:hAnsi="宋体" w:eastAsia="宋体" w:cs="宋体"/>
          <w:spacing w:val="-2"/>
          <w:sz w:val="24"/>
          <w:szCs w:val="24"/>
          <w:highlight w:val="none"/>
          <w:lang w:eastAsia="zh-CN"/>
        </w:rPr>
        <w:t>4.2.1</w:t>
      </w:r>
      <w:r>
        <w:rPr>
          <w:rFonts w:hint="eastAsia" w:ascii="宋体" w:hAnsi="宋体" w:eastAsia="宋体" w:cs="宋体"/>
          <w:color w:val="auto"/>
          <w:sz w:val="24"/>
          <w:szCs w:val="24"/>
          <w:highlight w:val="none"/>
          <w:lang w:eastAsia="zh-CN"/>
        </w:rPr>
        <w:t>承包人提交履约保证金的形式为：</w:t>
      </w:r>
      <w:r>
        <w:rPr>
          <w:rFonts w:hint="eastAsia" w:ascii="宋体" w:hAnsi="宋体" w:eastAsia="宋体" w:cs="宋体"/>
          <w:color w:val="auto"/>
          <w:sz w:val="24"/>
          <w:szCs w:val="24"/>
          <w:highlight w:val="none"/>
          <w:u w:val="single"/>
          <w:lang w:eastAsia="zh-CN"/>
        </w:rPr>
        <w:t>银行保函/现金/担保机构保函/保险担保保函</w:t>
      </w:r>
      <w:r>
        <w:rPr>
          <w:rFonts w:hint="eastAsia" w:ascii="宋体" w:hAnsi="宋体" w:eastAsia="宋体" w:cs="宋体"/>
          <w:color w:val="auto"/>
          <w:sz w:val="24"/>
          <w:szCs w:val="24"/>
          <w:highlight w:val="none"/>
          <w:lang w:eastAsia="zh-CN"/>
        </w:rPr>
        <w:t>，金额为</w:t>
      </w:r>
      <w:r>
        <w:rPr>
          <w:rFonts w:hint="eastAsia" w:ascii="宋体" w:hAnsi="宋体" w:eastAsia="宋体" w:cs="宋体"/>
          <w:color w:val="auto"/>
          <w:sz w:val="24"/>
          <w:szCs w:val="24"/>
          <w:highlight w:val="none"/>
          <w:u w:val="single"/>
          <w:lang w:eastAsia="zh-CN"/>
        </w:rPr>
        <w:t xml:space="preserve"> 合同价的2% </w:t>
      </w:r>
      <w:r>
        <w:rPr>
          <w:rFonts w:hint="eastAsia" w:ascii="宋体" w:hAnsi="宋体" w:eastAsia="宋体" w:cs="宋体"/>
          <w:color w:val="auto"/>
          <w:sz w:val="24"/>
          <w:szCs w:val="24"/>
          <w:highlight w:val="none"/>
          <w:lang w:eastAsia="zh-CN"/>
        </w:rPr>
        <w:t xml:space="preserve"> ，期限为</w:t>
      </w:r>
      <w:r>
        <w:rPr>
          <w:rFonts w:hint="eastAsia"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签订合同开始至合同履行完毕</w:t>
      </w:r>
      <w:r>
        <w:rPr>
          <w:rFonts w:hint="eastAsia" w:ascii="宋体" w:hAnsi="宋体" w:eastAsia="宋体" w:cs="宋体"/>
          <w:color w:val="auto"/>
          <w:sz w:val="24"/>
          <w:szCs w:val="24"/>
          <w:highlight w:val="none"/>
          <w:u w:val="single"/>
          <w:lang w:eastAsia="zh-CN"/>
        </w:rPr>
        <w:t>且</w:t>
      </w:r>
      <w:r>
        <w:rPr>
          <w:rFonts w:hint="eastAsia" w:ascii="宋体" w:hAnsi="宋体" w:eastAsia="宋体" w:cs="宋体"/>
          <w:color w:val="auto"/>
          <w:sz w:val="24"/>
          <w:szCs w:val="24"/>
          <w:highlight w:val="none"/>
          <w:u w:val="single"/>
          <w:lang w:val="en-US" w:eastAsia="zh-CN"/>
        </w:rPr>
        <w:t>验收合格，</w:t>
      </w:r>
      <w:r>
        <w:rPr>
          <w:rFonts w:hint="eastAsia" w:ascii="宋体" w:hAnsi="宋体" w:eastAsia="宋体" w:cs="宋体"/>
          <w:color w:val="auto"/>
          <w:sz w:val="24"/>
          <w:szCs w:val="24"/>
          <w:highlight w:val="none"/>
          <w:u w:val="single"/>
          <w:lang w:eastAsia="zh-CN"/>
        </w:rPr>
        <w:t>履约保证金需在合同签订</w:t>
      </w:r>
      <w:r>
        <w:rPr>
          <w:rFonts w:hint="eastAsia" w:ascii="宋体" w:hAnsi="宋体" w:eastAsia="宋体" w:cs="宋体"/>
          <w:color w:val="auto"/>
          <w:sz w:val="24"/>
          <w:szCs w:val="24"/>
          <w:highlight w:val="none"/>
          <w:u w:val="single"/>
          <w:lang w:val="en-US" w:eastAsia="zh-CN"/>
        </w:rPr>
        <w:t>前完成</w:t>
      </w:r>
      <w:r>
        <w:rPr>
          <w:rFonts w:hint="eastAsia" w:ascii="宋体" w:hAnsi="宋体" w:eastAsia="宋体" w:cs="宋体"/>
          <w:color w:val="auto"/>
          <w:sz w:val="24"/>
          <w:szCs w:val="24"/>
          <w:highlight w:val="none"/>
          <w:u w:val="single"/>
          <w:lang w:eastAsia="zh-CN"/>
        </w:rPr>
        <w:t>提交。</w:t>
      </w:r>
    </w:p>
    <w:p w14:paraId="333B878F">
      <w:pPr>
        <w:spacing w:before="106" w:line="220" w:lineRule="auto"/>
        <w:ind w:left="486"/>
        <w:outlineLvl w:val="4"/>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4.3 转包、分包</w:t>
      </w:r>
    </w:p>
    <w:p w14:paraId="0CA633F4">
      <w:pPr>
        <w:spacing w:before="124" w:line="219" w:lineRule="auto"/>
        <w:ind w:firstLine="720" w:firstLineChars="300"/>
        <w:rPr>
          <w:rFonts w:hint="eastAsia" w:ascii="宋体" w:hAnsi="宋体" w:eastAsia="宋体" w:cs="宋体"/>
          <w:color w:val="FF0000"/>
          <w:sz w:val="24"/>
          <w:szCs w:val="24"/>
          <w:highlight w:val="none"/>
          <w:u w:val="single"/>
        </w:rPr>
      </w:pPr>
      <w:r>
        <w:rPr>
          <w:rFonts w:hint="eastAsia" w:ascii="宋体" w:hAnsi="宋体" w:eastAsia="宋体" w:cs="宋体"/>
          <w:sz w:val="24"/>
          <w:szCs w:val="24"/>
          <w:highlight w:val="none"/>
        </w:rPr>
        <w:t>4.3.2 本项目允许分包的范围：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color w:val="FF0000"/>
          <w:sz w:val="24"/>
          <w:szCs w:val="24"/>
          <w:highlight w:val="none"/>
          <w:u w:val="single"/>
        </w:rPr>
        <w:t xml:space="preserve"> </w:t>
      </w:r>
    </w:p>
    <w:p w14:paraId="2C4DB893">
      <w:pPr>
        <w:spacing w:before="118" w:line="285" w:lineRule="auto"/>
        <w:ind w:firstLine="474"/>
        <w:rPr>
          <w:rFonts w:hint="eastAsia" w:ascii="宋体" w:hAnsi="宋体" w:eastAsia="宋体" w:cs="宋体"/>
          <w:b/>
          <w:bCs/>
          <w:color w:val="FF0000"/>
          <w:spacing w:val="-7"/>
          <w:position w:val="1"/>
          <w:sz w:val="24"/>
          <w:szCs w:val="24"/>
          <w:highlight w:val="none"/>
        </w:rPr>
      </w:pPr>
      <w:r>
        <w:rPr>
          <w:rFonts w:hint="eastAsia" w:ascii="宋体" w:hAnsi="宋体" w:eastAsia="宋体" w:cs="宋体"/>
          <w:sz w:val="24"/>
          <w:szCs w:val="24"/>
          <w:highlight w:val="none"/>
        </w:rPr>
        <w:t>4.3.3  分包人应满足的资格能力条件：</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color w:val="FF0000"/>
          <w:sz w:val="24"/>
          <w:szCs w:val="24"/>
          <w:highlight w:val="none"/>
          <w:u w:val="single"/>
        </w:rPr>
        <w:t xml:space="preserve"> </w:t>
      </w:r>
    </w:p>
    <w:p w14:paraId="5F575A39">
      <w:pPr>
        <w:spacing w:before="106" w:line="219" w:lineRule="auto"/>
        <w:ind w:left="486"/>
        <w:outlineLvl w:val="4"/>
        <w:rPr>
          <w:rFonts w:hint="eastAsia" w:ascii="宋体" w:hAnsi="宋体" w:eastAsia="宋体" w:cs="宋体"/>
          <w:sz w:val="24"/>
          <w:szCs w:val="24"/>
          <w:highlight w:val="none"/>
        </w:rPr>
      </w:pPr>
      <w:bookmarkStart w:id="138" w:name="bookmark250"/>
      <w:bookmarkEnd w:id="138"/>
      <w:r>
        <w:rPr>
          <w:rFonts w:hint="eastAsia" w:ascii="宋体" w:hAnsi="宋体" w:eastAsia="宋体" w:cs="宋体"/>
          <w:b/>
          <w:bCs/>
          <w:spacing w:val="-2"/>
          <w:sz w:val="24"/>
          <w:szCs w:val="24"/>
          <w:highlight w:val="none"/>
        </w:rPr>
        <w:t>4.5  承包人项目经理和项目总工</w:t>
      </w:r>
    </w:p>
    <w:p w14:paraId="218410D9">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6" w:firstLineChars="200"/>
        <w:textAlignment w:val="baseline"/>
        <w:outlineLvl w:val="4"/>
        <w:rPr>
          <w:rFonts w:hint="eastAsia" w:ascii="宋体" w:hAnsi="宋体" w:eastAsia="宋体" w:cs="宋体"/>
          <w:color w:val="000000" w:themeColor="text1"/>
          <w:spacing w:val="-1"/>
          <w:sz w:val="24"/>
          <w:szCs w:val="24"/>
          <w:highlight w:val="none"/>
          <w:u w:val="single"/>
          <w:lang w:val="en-US" w:eastAsia="zh-CN"/>
          <w14:textFill>
            <w14:solidFill>
              <w14:schemeClr w14:val="tx1"/>
            </w14:solidFill>
          </w14:textFill>
        </w:rPr>
      </w:pPr>
      <w:bookmarkStart w:id="139" w:name="bookmark251"/>
      <w:bookmarkEnd w:id="139"/>
      <w:r>
        <w:rPr>
          <w:rFonts w:hint="eastAsia" w:ascii="宋体" w:hAnsi="宋体" w:eastAsia="宋体" w:cs="宋体"/>
          <w:spacing w:val="-1"/>
          <w:sz w:val="24"/>
          <w:szCs w:val="24"/>
          <w:highlight w:val="yellow"/>
        </w:rPr>
        <w:t>4.5.1  承包人项目经理和项目总工的驻场要求</w:t>
      </w:r>
      <w:r>
        <w:rPr>
          <w:rFonts w:hint="eastAsia" w:ascii="宋体" w:hAnsi="宋体" w:eastAsia="宋体" w:cs="宋体"/>
          <w:spacing w:val="-1"/>
          <w:sz w:val="24"/>
          <w:szCs w:val="24"/>
          <w:highlight w:val="none"/>
        </w:rPr>
        <w:t>：</w:t>
      </w:r>
      <w:r>
        <w:rPr>
          <w:rFonts w:hint="eastAsia" w:ascii="宋体" w:hAnsi="宋体" w:eastAsia="宋体" w:cs="宋体"/>
          <w:spacing w:val="-1"/>
          <w:sz w:val="24"/>
          <w:szCs w:val="24"/>
          <w:highlight w:val="none"/>
          <w:u w:val="single"/>
        </w:rPr>
        <w:t>项目经理和项目总工应在合同签订后7天内到职。如更换，应经发包人同意，未经发包人批准的按照项目经理10万元、项目总工8万元进行处罚。项目经理和项目总工在养护作业场地的驻场要求每月不少于22天，未征得发包人批准无故缺勤的按项目经理1000元/天、项目总工800元/天进行处罚。项目经理和项目总工不得在其他项目上任职。</w:t>
      </w:r>
    </w:p>
    <w:p w14:paraId="1804B285">
      <w:pPr>
        <w:spacing w:before="78" w:line="219" w:lineRule="auto"/>
        <w:ind w:firstLine="474" w:firstLineChars="200"/>
        <w:outlineLvl w:val="4"/>
        <w:rPr>
          <w:rFonts w:hint="eastAsia" w:ascii="宋体" w:hAnsi="宋体" w:eastAsia="宋体" w:cs="宋体"/>
          <w:sz w:val="24"/>
          <w:szCs w:val="24"/>
          <w:highlight w:val="yellow"/>
        </w:rPr>
      </w:pPr>
      <w:r>
        <w:rPr>
          <w:rFonts w:hint="eastAsia" w:ascii="宋体" w:hAnsi="宋体" w:eastAsia="宋体" w:cs="宋体"/>
          <w:b/>
          <w:bCs/>
          <w:spacing w:val="-2"/>
          <w:sz w:val="24"/>
          <w:szCs w:val="24"/>
          <w:highlight w:val="yellow"/>
        </w:rPr>
        <w:t>4.6  承包人人员的管理</w:t>
      </w:r>
    </w:p>
    <w:p w14:paraId="127CF1D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96" w:firstLineChars="200"/>
        <w:textAlignment w:val="baseline"/>
        <w:outlineLvl w:val="4"/>
        <w:rPr>
          <w:rFonts w:hint="eastAsia" w:ascii="宋体" w:hAnsi="宋体" w:eastAsia="宋体" w:cs="宋体"/>
          <w:color w:val="FF0000"/>
          <w:spacing w:val="-1"/>
          <w:sz w:val="24"/>
          <w:szCs w:val="24"/>
          <w:highlight w:val="none"/>
        </w:rPr>
      </w:pPr>
      <w:r>
        <w:rPr>
          <w:rFonts w:hint="eastAsia" w:ascii="宋体" w:hAnsi="宋体" w:eastAsia="宋体" w:cs="宋体"/>
          <w:spacing w:val="4"/>
          <w:sz w:val="24"/>
          <w:szCs w:val="24"/>
          <w:highlight w:val="none"/>
        </w:rPr>
        <w:t xml:space="preserve">4.6.3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现场负责人、专职安全员、资料员应在合同签订后7天内到职。如更换，应经发包人同意，未经批准的按照项目现场负责人3万元、专职安全员3万元、资料员2万元进行处罚。现场负责人、专职安全员、资料员在养护作业场地的驻场要求每月不少于22天，未征得发包人批准无故缺勤的按现场负责人600元/天、专职安全员600元/天、资料员500元进行处罚。现场负责人、专职安全员、资料员不得在其他项目上任职。</w:t>
      </w:r>
    </w:p>
    <w:p w14:paraId="0B793270">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2"/>
        <w:textAlignment w:val="baseline"/>
        <w:rPr>
          <w:rFonts w:hint="eastAsia" w:ascii="宋体" w:hAnsi="宋体" w:eastAsia="宋体" w:cs="宋体"/>
          <w:kern w:val="0"/>
          <w:sz w:val="24"/>
          <w:szCs w:val="24"/>
          <w:highlight w:val="none"/>
        </w:rPr>
      </w:pPr>
      <w:r>
        <w:rPr>
          <w:rFonts w:hint="eastAsia" w:ascii="宋体" w:hAnsi="宋体" w:eastAsia="宋体" w:cs="宋体"/>
          <w:b/>
          <w:bCs/>
          <w:color w:val="000000"/>
          <w:kern w:val="0"/>
          <w:sz w:val="24"/>
          <w:szCs w:val="24"/>
          <w:highlight w:val="none"/>
        </w:rPr>
        <w:t xml:space="preserve">4.9 保障承包人人员的合法权益 </w:t>
      </w:r>
    </w:p>
    <w:p w14:paraId="6F400F0C">
      <w:pPr>
        <w:tabs>
          <w:tab w:val="left" w:pos="0"/>
        </w:tabs>
        <w:ind w:firstLine="420"/>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rPr>
        <w:t>4.9.3 本</w:t>
      </w:r>
      <w:r>
        <w:rPr>
          <w:rFonts w:hint="eastAsia" w:ascii="宋体" w:hAnsi="宋体" w:eastAsia="宋体" w:cs="宋体"/>
          <w:color w:val="000000"/>
          <w:kern w:val="0"/>
          <w:sz w:val="24"/>
          <w:szCs w:val="24"/>
          <w:highlight w:val="none"/>
          <w:lang w:val="en-US" w:eastAsia="zh-CN"/>
        </w:rPr>
        <w:t>项</w:t>
      </w:r>
      <w:r>
        <w:rPr>
          <w:rFonts w:hint="eastAsia" w:ascii="宋体" w:hAnsi="宋体" w:eastAsia="宋体" w:cs="宋体"/>
          <w:color w:val="000000"/>
          <w:kern w:val="0"/>
          <w:sz w:val="24"/>
          <w:szCs w:val="24"/>
          <w:highlight w:val="none"/>
        </w:rPr>
        <w:t>补充</w:t>
      </w:r>
      <w:r>
        <w:rPr>
          <w:rFonts w:hint="eastAsia" w:ascii="宋体" w:hAnsi="宋体" w:eastAsia="宋体" w:cs="宋体"/>
          <w:spacing w:val="-2"/>
          <w:sz w:val="24"/>
          <w:szCs w:val="24"/>
          <w:highlight w:val="none"/>
        </w:rPr>
        <w:t>：</w:t>
      </w:r>
      <w:r>
        <w:rPr>
          <w:rFonts w:hint="eastAsia" w:ascii="宋体" w:hAnsi="宋体" w:eastAsia="宋体" w:cs="宋体"/>
          <w:sz w:val="24"/>
          <w:szCs w:val="24"/>
          <w:highlight w:val="none"/>
        </w:rPr>
        <w:t>在远离城镇的施工场地，还应配备必要的伤病防治和急救的医疗药品和设施。</w:t>
      </w:r>
    </w:p>
    <w:p w14:paraId="552800F4">
      <w:pPr>
        <w:spacing w:before="2" w:line="217" w:lineRule="auto"/>
        <w:ind w:left="477"/>
        <w:outlineLvl w:val="3"/>
        <w:rPr>
          <w:rFonts w:hint="eastAsia" w:ascii="宋体" w:hAnsi="宋体" w:eastAsia="宋体" w:cs="宋体"/>
          <w:spacing w:val="-1"/>
          <w:sz w:val="24"/>
          <w:szCs w:val="24"/>
          <w:highlight w:val="none"/>
          <w:lang w:eastAsia="zh-CN"/>
        </w:rPr>
      </w:pPr>
      <w:r>
        <w:rPr>
          <w:rFonts w:hint="eastAsia" w:ascii="宋体" w:hAnsi="宋体" w:eastAsia="宋体" w:cs="宋体"/>
          <w:b/>
          <w:bCs/>
          <w:color w:val="000000"/>
          <w:kern w:val="0"/>
          <w:sz w:val="24"/>
          <w:szCs w:val="24"/>
          <w:highlight w:val="none"/>
        </w:rPr>
        <w:t>4.11 合同价款应专款专用</w:t>
      </w:r>
    </w:p>
    <w:p w14:paraId="74DF71A6">
      <w:pPr>
        <w:keepNext w:val="0"/>
        <w:keepLines w:val="0"/>
        <w:pageBreakBefore w:val="0"/>
        <w:widowControl/>
        <w:kinsoku w:val="0"/>
        <w:wordWrap/>
        <w:overflowPunct/>
        <w:topLinePunct w:val="0"/>
        <w:autoSpaceDE w:val="0"/>
        <w:autoSpaceDN w:val="0"/>
        <w:bidi w:val="0"/>
        <w:adjustRightInd w:val="0"/>
        <w:snapToGrid w:val="0"/>
        <w:spacing w:before="2" w:line="360" w:lineRule="auto"/>
        <w:ind w:left="477" w:firstLine="0"/>
        <w:textAlignment w:val="baseline"/>
        <w:outlineLvl w:val="3"/>
        <w:rPr>
          <w:rFonts w:hint="eastAsia" w:ascii="宋体" w:hAnsi="宋体" w:eastAsia="宋体" w:cs="宋体"/>
          <w:kern w:val="0"/>
          <w:sz w:val="24"/>
          <w:szCs w:val="24"/>
          <w:highlight w:val="none"/>
        </w:rPr>
      </w:pPr>
      <w:r>
        <w:rPr>
          <w:rFonts w:hint="eastAsia" w:ascii="宋体" w:hAnsi="宋体" w:eastAsia="宋体" w:cs="宋体"/>
          <w:spacing w:val="-1"/>
          <w:sz w:val="24"/>
          <w:szCs w:val="24"/>
          <w:highlight w:val="none"/>
          <w:lang w:eastAsia="zh-CN"/>
        </w:rPr>
        <w:t>发包人按合同约定支付给承包人的各项价款应专用于养护项目。</w:t>
      </w:r>
    </w:p>
    <w:p w14:paraId="21C0A6A7">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spacing w:val="-2"/>
          <w:sz w:val="24"/>
          <w:szCs w:val="24"/>
          <w:highlight w:val="none"/>
        </w:rPr>
      </w:pPr>
      <w:r>
        <w:rPr>
          <w:rFonts w:hint="eastAsia" w:ascii="宋体" w:hAnsi="宋体" w:eastAsia="宋体" w:cs="宋体"/>
          <w:color w:val="000000"/>
          <w:kern w:val="0"/>
          <w:sz w:val="24"/>
          <w:szCs w:val="24"/>
          <w:highlight w:val="none"/>
        </w:rPr>
        <w:t>本款补充</w:t>
      </w:r>
      <w:r>
        <w:rPr>
          <w:rFonts w:hint="eastAsia" w:ascii="宋体" w:hAnsi="宋体" w:eastAsia="宋体" w:cs="宋体"/>
          <w:spacing w:val="-2"/>
          <w:sz w:val="24"/>
          <w:szCs w:val="24"/>
          <w:highlight w:val="none"/>
        </w:rPr>
        <w:t>：</w:t>
      </w:r>
    </w:p>
    <w:p w14:paraId="3C62F30B">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承包人必须在发包人指定银行开设本项目资金监管账户，并与发包人、银行共同签订《项目资金监管协议》，接受发包人和银行对资金的监管。承包人应</w:t>
      </w:r>
      <w:r>
        <w:rPr>
          <w:rFonts w:hint="eastAsia" w:ascii="宋体" w:hAnsi="宋体" w:eastAsia="宋体" w:cs="宋体"/>
          <w:color w:val="auto"/>
          <w:sz w:val="24"/>
          <w:szCs w:val="24"/>
          <w:highlight w:val="none"/>
          <w:lang w:val="en-US" w:eastAsia="zh-CN"/>
        </w:rPr>
        <w:t>授权给</w:t>
      </w:r>
      <w:r>
        <w:rPr>
          <w:rFonts w:hint="eastAsia" w:ascii="宋体" w:hAnsi="宋体" w:eastAsia="宋体" w:cs="宋体"/>
          <w:color w:val="auto"/>
          <w:sz w:val="24"/>
          <w:szCs w:val="24"/>
          <w:highlight w:val="none"/>
        </w:rPr>
        <w:t>发包人进行开户银行项目资金的查询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发包人</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不定期对承包人项目资金使用情况进行检查，</w:t>
      </w:r>
      <w:r>
        <w:rPr>
          <w:rFonts w:hint="eastAsia" w:ascii="宋体" w:hAnsi="宋体" w:eastAsia="宋体" w:cs="宋体"/>
          <w:color w:val="auto"/>
          <w:sz w:val="24"/>
          <w:szCs w:val="24"/>
          <w:highlight w:val="none"/>
          <w:lang w:val="en-US" w:eastAsia="zh-CN"/>
        </w:rPr>
        <w:t>如</w:t>
      </w:r>
      <w:r>
        <w:rPr>
          <w:rFonts w:hint="eastAsia" w:ascii="宋体" w:hAnsi="宋体" w:eastAsia="宋体" w:cs="宋体"/>
          <w:color w:val="auto"/>
          <w:sz w:val="24"/>
          <w:szCs w:val="24"/>
          <w:highlight w:val="none"/>
        </w:rPr>
        <w:t>发现问题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责令承包人限期</w:t>
      </w:r>
      <w:r>
        <w:rPr>
          <w:rFonts w:hint="eastAsia" w:ascii="宋体" w:hAnsi="宋体" w:eastAsia="宋体" w:cs="宋体"/>
          <w:color w:val="auto"/>
          <w:sz w:val="24"/>
          <w:szCs w:val="24"/>
          <w:highlight w:val="none"/>
          <w:lang w:val="en-US" w:eastAsia="zh-CN"/>
        </w:rPr>
        <w:t>整改</w:t>
      </w:r>
      <w:r>
        <w:rPr>
          <w:rFonts w:hint="eastAsia" w:ascii="宋体" w:hAnsi="宋体" w:eastAsia="宋体" w:cs="宋体"/>
          <w:color w:val="auto"/>
          <w:sz w:val="24"/>
          <w:szCs w:val="24"/>
          <w:highlight w:val="none"/>
          <w:lang w:eastAsia="zh-CN"/>
        </w:rPr>
        <w:t>。</w:t>
      </w:r>
    </w:p>
    <w:p w14:paraId="1DFC716A">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承包人违反下述规定的，发包人</w:t>
      </w:r>
      <w:r>
        <w:rPr>
          <w:rFonts w:hint="eastAsia" w:ascii="宋体" w:hAnsi="宋体" w:eastAsia="宋体" w:cs="宋体"/>
          <w:color w:val="auto"/>
          <w:sz w:val="24"/>
          <w:szCs w:val="24"/>
          <w:highlight w:val="none"/>
          <w:lang w:val="en-US" w:eastAsia="zh-CN"/>
        </w:rPr>
        <w:t>可中</w:t>
      </w:r>
      <w:r>
        <w:rPr>
          <w:rFonts w:hint="eastAsia" w:ascii="宋体" w:hAnsi="宋体" w:eastAsia="宋体" w:cs="宋体"/>
          <w:color w:val="auto"/>
          <w:sz w:val="24"/>
          <w:szCs w:val="24"/>
          <w:highlight w:val="none"/>
        </w:rPr>
        <w:t>止其任何款项的支付。</w:t>
      </w:r>
    </w:p>
    <w:p w14:paraId="7909BA23">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（1）凡不在发包人指定银行开户的承包人，发包人将不对其支付任何款项。</w:t>
      </w:r>
    </w:p>
    <w:p w14:paraId="2C18FD35">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（2）根据中国人民银行有关规定，每个承包人只能在一个银行开立一个结算账户，同时开通网上银行，并办理制单锁和审核锁，承包人保管制单锁，审核锁交由发包人保管，审核锁在项目</w:t>
      </w:r>
      <w:r>
        <w:rPr>
          <w:rFonts w:hint="eastAsia" w:ascii="宋体" w:hAnsi="宋体" w:eastAsia="宋体" w:cs="宋体"/>
          <w:color w:val="auto"/>
          <w:kern w:val="0"/>
          <w:sz w:val="24"/>
          <w:szCs w:val="24"/>
          <w:highlight w:val="none"/>
        </w:rPr>
        <w:t>缺陷责任期（包含延期）结束</w:t>
      </w:r>
      <w:r>
        <w:rPr>
          <w:rFonts w:hint="eastAsia" w:ascii="宋体" w:hAnsi="宋体" w:eastAsia="宋体" w:cs="宋体"/>
          <w:color w:val="auto"/>
          <w:sz w:val="24"/>
          <w:szCs w:val="24"/>
          <w:highlight w:val="none"/>
        </w:rPr>
        <w:t>后7天内归还承包人。</w:t>
      </w:r>
    </w:p>
    <w:p w14:paraId="417E297B">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合同执行期间，发包人或发包人委托的公路审计部门有权不定期检查或审计承包人项目经理部的财务收支情况，承包人必须严格财经纪律，确保项目经理部的财务收支能客观、真实的反映合同实际成本，承包人及项目经理部必须接受发包人或发包人委托部门的监督和检查。</w:t>
      </w:r>
    </w:p>
    <w:p w14:paraId="79D789B7">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合同执行期间，为确保本项目资金专款专用，承包人在收到发包人支付的款项后，向发包人提供资金使用计划，详细说明资金使用流向，经发包人批准并在发包人的监督下使用，必须优先支付工人特别是农民工的工资，其次是材料价款以及日常养护直接成本，并做好记录备案。</w:t>
      </w:r>
    </w:p>
    <w:p w14:paraId="6756F6D9">
      <w:pPr>
        <w:spacing w:line="219" w:lineRule="auto"/>
        <w:ind w:left="486"/>
        <w:outlineLvl w:val="4"/>
        <w:rPr>
          <w:rFonts w:hint="eastAsia" w:ascii="宋体" w:hAnsi="宋体" w:eastAsia="宋体" w:cs="宋体"/>
          <w:sz w:val="24"/>
          <w:szCs w:val="24"/>
          <w:highlight w:val="none"/>
          <w:lang w:eastAsia="zh-CN"/>
        </w:rPr>
      </w:pPr>
      <w:r>
        <w:rPr>
          <w:rFonts w:hint="eastAsia" w:ascii="宋体" w:hAnsi="宋体" w:eastAsia="宋体" w:cs="宋体"/>
          <w:b/>
          <w:bCs/>
          <w:spacing w:val="-2"/>
          <w:sz w:val="24"/>
          <w:szCs w:val="24"/>
          <w:highlight w:val="none"/>
          <w:lang w:eastAsia="zh-CN"/>
        </w:rPr>
        <w:t>4.12  承包人现场查勘</w:t>
      </w:r>
    </w:p>
    <w:p w14:paraId="25542723">
      <w:pPr>
        <w:spacing w:before="106" w:line="233" w:lineRule="auto"/>
        <w:ind w:left="483"/>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4.12.2  发包人向承包人提供养护项目的相关图纸和资料包括</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"bookmark252" </w:instrText>
      </w:r>
      <w:r>
        <w:rPr>
          <w:rFonts w:hint="eastAsia" w:ascii="宋体" w:hAnsi="宋体" w:eastAsia="宋体" w:cs="宋体"/>
          <w:sz w:val="24"/>
          <w:szCs w:val="24"/>
          <w:highlight w:val="none"/>
        </w:rPr>
        <w:fldChar w:fldCharType="separate"/>
      </w:r>
      <w:r>
        <w:rPr>
          <w:rFonts w:hint="eastAsia" w:ascii="宋体" w:hAnsi="宋体" w:eastAsia="宋体" w:cs="宋体"/>
          <w:position w:val="12"/>
          <w:sz w:val="24"/>
          <w:szCs w:val="24"/>
          <w:highlight w:val="none"/>
          <w:lang w:eastAsia="zh-CN"/>
        </w:rPr>
        <w:t>①</w:t>
      </w:r>
      <w:r>
        <w:rPr>
          <w:rFonts w:hint="eastAsia" w:ascii="宋体" w:hAnsi="宋体" w:eastAsia="宋体" w:cs="宋体"/>
          <w:position w:val="12"/>
          <w:sz w:val="24"/>
          <w:szCs w:val="24"/>
          <w:highlight w:val="none"/>
          <w:lang w:eastAsia="zh-CN"/>
        </w:rPr>
        <w:fldChar w:fldCharType="end"/>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u w:val="single"/>
          <w:lang w:val="en-US" w:eastAsia="zh-CN"/>
        </w:rPr>
        <w:t>/</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lang w:eastAsia="zh-CN"/>
        </w:rPr>
        <w:t>。</w:t>
      </w:r>
    </w:p>
    <w:p w14:paraId="79597E7E">
      <w:pPr>
        <w:spacing w:before="105" w:line="219" w:lineRule="auto"/>
        <w:ind w:left="486"/>
        <w:outlineLvl w:val="4"/>
        <w:rPr>
          <w:rFonts w:hint="eastAsia" w:ascii="宋体" w:hAnsi="宋体" w:eastAsia="宋体" w:cs="宋体"/>
          <w:sz w:val="24"/>
          <w:szCs w:val="24"/>
          <w:highlight w:val="none"/>
          <w:lang w:eastAsia="zh-CN"/>
        </w:rPr>
      </w:pPr>
      <w:r>
        <w:rPr>
          <w:rFonts w:hint="eastAsia" w:ascii="宋体" w:hAnsi="宋体" w:eastAsia="宋体" w:cs="宋体"/>
          <w:b/>
          <w:bCs/>
          <w:spacing w:val="-2"/>
          <w:sz w:val="24"/>
          <w:szCs w:val="24"/>
          <w:highlight w:val="none"/>
          <w:lang w:eastAsia="zh-CN"/>
        </w:rPr>
        <w:t>4.13  不利物质条件</w:t>
      </w:r>
    </w:p>
    <w:p w14:paraId="240274DF">
      <w:pPr>
        <w:spacing w:before="125" w:line="219" w:lineRule="auto"/>
        <w:ind w:left="483"/>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4.13.1 不利物质条件特殊约定：</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lang w:eastAsia="zh-CN"/>
        </w:rPr>
        <w:t>。</w:t>
      </w:r>
    </w:p>
    <w:p w14:paraId="4902AE75">
      <w:pPr>
        <w:spacing w:before="79" w:line="219" w:lineRule="auto"/>
        <w:ind w:firstLine="474" w:firstLineChars="200"/>
        <w:outlineLvl w:val="3"/>
        <w:rPr>
          <w:rFonts w:hint="eastAsia" w:ascii="宋体" w:hAnsi="宋体" w:eastAsia="宋体" w:cs="宋体"/>
          <w:b/>
          <w:bCs/>
          <w:spacing w:val="-2"/>
          <w:sz w:val="24"/>
          <w:szCs w:val="24"/>
          <w:highlight w:val="none"/>
        </w:rPr>
      </w:pPr>
    </w:p>
    <w:p w14:paraId="550A3E5C">
      <w:pPr>
        <w:spacing w:before="79" w:line="219" w:lineRule="auto"/>
        <w:ind w:firstLine="474" w:firstLineChars="200"/>
        <w:outlineLvl w:val="3"/>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5.  材料和工程设备</w:t>
      </w:r>
    </w:p>
    <w:p w14:paraId="007A5C22">
      <w:pPr>
        <w:spacing w:before="116" w:line="219" w:lineRule="auto"/>
        <w:ind w:left="488"/>
        <w:outlineLvl w:val="4"/>
        <w:rPr>
          <w:rFonts w:hint="eastAsia" w:ascii="宋体" w:hAnsi="宋体" w:eastAsia="宋体" w:cs="宋体"/>
          <w:sz w:val="24"/>
          <w:szCs w:val="24"/>
          <w:highlight w:val="none"/>
          <w:lang w:eastAsia="zh-CN"/>
        </w:rPr>
      </w:pPr>
      <w:r>
        <w:rPr>
          <w:rFonts w:hint="eastAsia" w:ascii="宋体" w:hAnsi="宋体" w:eastAsia="宋体" w:cs="宋体"/>
          <w:b/>
          <w:bCs/>
          <w:spacing w:val="-2"/>
          <w:sz w:val="24"/>
          <w:szCs w:val="24"/>
          <w:highlight w:val="none"/>
          <w:lang w:eastAsia="zh-CN"/>
        </w:rPr>
        <w:t>5.1  承包人提供的材料和工程设备</w:t>
      </w:r>
    </w:p>
    <w:p w14:paraId="2510239D">
      <w:pPr>
        <w:keepNext w:val="0"/>
        <w:keepLines w:val="0"/>
        <w:pageBreakBefore w:val="0"/>
        <w:widowControl/>
        <w:kinsoku w:val="0"/>
        <w:wordWrap/>
        <w:overflowPunct/>
        <w:topLinePunct w:val="0"/>
        <w:autoSpaceDE w:val="0"/>
        <w:autoSpaceDN w:val="0"/>
        <w:bidi w:val="0"/>
        <w:adjustRightInd w:val="0"/>
        <w:snapToGrid w:val="0"/>
        <w:spacing w:before="116" w:line="360" w:lineRule="auto"/>
        <w:ind w:right="181" w:firstLine="482"/>
        <w:textAlignment w:val="baseline"/>
        <w:rPr>
          <w:rFonts w:hint="eastAsia" w:ascii="宋体" w:hAnsi="宋体" w:eastAsia="宋体" w:cs="宋体"/>
          <w:sz w:val="24"/>
          <w:szCs w:val="24"/>
          <w:highlight w:val="none"/>
          <w:u w:val="single"/>
          <w:lang w:eastAsia="zh-CN"/>
        </w:rPr>
      </w:pPr>
      <w:r>
        <w:rPr>
          <w:rFonts w:hint="eastAsia" w:ascii="宋体" w:hAnsi="宋体" w:eastAsia="宋体" w:cs="宋体"/>
          <w:spacing w:val="-1"/>
          <w:sz w:val="24"/>
          <w:szCs w:val="24"/>
          <w:highlight w:val="none"/>
          <w:lang w:eastAsia="zh-CN"/>
        </w:rPr>
        <w:t>5.1.2 本项约定为：</w:t>
      </w:r>
      <w:r>
        <w:rPr>
          <w:rFonts w:hint="eastAsia" w:ascii="宋体" w:hAnsi="宋体" w:eastAsia="宋体" w:cs="宋体"/>
          <w:spacing w:val="4"/>
          <w:sz w:val="24"/>
          <w:szCs w:val="24"/>
          <w:highlight w:val="none"/>
          <w:u w:val="single"/>
          <w:lang w:eastAsia="zh-CN"/>
        </w:rPr>
        <w:t>承包人应将各项材</w:t>
      </w:r>
      <w:r>
        <w:rPr>
          <w:rFonts w:hint="eastAsia" w:ascii="宋体" w:hAnsi="宋体" w:eastAsia="宋体" w:cs="宋体"/>
          <w:spacing w:val="3"/>
          <w:sz w:val="24"/>
          <w:szCs w:val="24"/>
          <w:highlight w:val="none"/>
          <w:u w:val="single"/>
          <w:lang w:eastAsia="zh-CN"/>
        </w:rPr>
        <w:t>料和工程设备的供货人及品</w:t>
      </w:r>
      <w:r>
        <w:rPr>
          <w:rFonts w:hint="eastAsia" w:ascii="宋体" w:hAnsi="宋体" w:eastAsia="宋体" w:cs="宋体"/>
          <w:spacing w:val="1"/>
          <w:sz w:val="24"/>
          <w:szCs w:val="24"/>
          <w:highlight w:val="none"/>
          <w:u w:val="single"/>
          <w:lang w:eastAsia="zh-CN"/>
        </w:rPr>
        <w:t>种、规格、数量和供货时间等报送</w:t>
      </w:r>
      <w:r>
        <w:rPr>
          <w:rFonts w:hint="eastAsia" w:ascii="宋体" w:hAnsi="宋体" w:eastAsia="宋体" w:cs="宋体"/>
          <w:spacing w:val="1"/>
          <w:sz w:val="24"/>
          <w:szCs w:val="24"/>
          <w:highlight w:val="none"/>
          <w:u w:val="single"/>
          <w:lang w:val="en-US" w:eastAsia="zh-CN"/>
        </w:rPr>
        <w:t>发包</w:t>
      </w:r>
      <w:r>
        <w:rPr>
          <w:rFonts w:hint="eastAsia" w:ascii="宋体" w:hAnsi="宋体" w:eastAsia="宋体" w:cs="宋体"/>
          <w:spacing w:val="1"/>
          <w:sz w:val="24"/>
          <w:szCs w:val="24"/>
          <w:highlight w:val="none"/>
          <w:u w:val="single"/>
          <w:lang w:eastAsia="zh-CN"/>
        </w:rPr>
        <w:t>人审批。承包人应</w:t>
      </w:r>
      <w:r>
        <w:rPr>
          <w:rFonts w:hint="eastAsia" w:ascii="宋体" w:hAnsi="宋体" w:eastAsia="宋体" w:cs="宋体"/>
          <w:sz w:val="24"/>
          <w:szCs w:val="24"/>
          <w:highlight w:val="none"/>
          <w:u w:val="single"/>
          <w:lang w:eastAsia="zh-CN"/>
        </w:rPr>
        <w:t>向</w:t>
      </w:r>
      <w:r>
        <w:rPr>
          <w:rFonts w:hint="eastAsia" w:ascii="宋体" w:hAnsi="宋体" w:eastAsia="宋体" w:cs="宋体"/>
          <w:sz w:val="24"/>
          <w:szCs w:val="24"/>
          <w:highlight w:val="none"/>
          <w:u w:val="single"/>
          <w:lang w:val="en-US" w:eastAsia="zh-CN"/>
        </w:rPr>
        <w:t>发包</w:t>
      </w:r>
      <w:r>
        <w:rPr>
          <w:rFonts w:hint="eastAsia" w:ascii="宋体" w:hAnsi="宋体" w:eastAsia="宋体" w:cs="宋体"/>
          <w:sz w:val="24"/>
          <w:szCs w:val="24"/>
          <w:highlight w:val="none"/>
          <w:u w:val="single"/>
          <w:lang w:eastAsia="zh-CN"/>
        </w:rPr>
        <w:t>人提交其负责提供</w:t>
      </w:r>
      <w:r>
        <w:rPr>
          <w:rFonts w:hint="eastAsia" w:ascii="宋体" w:hAnsi="宋体" w:eastAsia="宋体" w:cs="宋体"/>
          <w:spacing w:val="-1"/>
          <w:sz w:val="24"/>
          <w:szCs w:val="24"/>
          <w:highlight w:val="none"/>
          <w:u w:val="single"/>
          <w:lang w:eastAsia="zh-CN"/>
        </w:rPr>
        <w:t>的材料和工程设备的质量证明文件，并满足合同约定的质量标准。</w:t>
      </w:r>
    </w:p>
    <w:p w14:paraId="6FA8C5E6">
      <w:pPr>
        <w:widowControl/>
        <w:tabs>
          <w:tab w:val="left" w:pos="0"/>
        </w:tabs>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 xml:space="preserve">5.2 发包人提供的材料和工程设备 </w:t>
      </w:r>
    </w:p>
    <w:p w14:paraId="4D246E9B">
      <w:pPr>
        <w:spacing w:before="116" w:line="278" w:lineRule="auto"/>
        <w:ind w:right="183" w:firstLine="482"/>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本款补充：</w:t>
      </w:r>
    </w:p>
    <w:p w14:paraId="3B13FFFE">
      <w:pPr>
        <w:spacing w:before="116" w:line="278" w:lineRule="auto"/>
        <w:ind w:left="0" w:right="183" w:firstLine="482"/>
        <w:outlineLvl w:val="9"/>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发包人不提供养护施工材料和施工设备。</w:t>
      </w:r>
      <w:r>
        <w:rPr>
          <w:rFonts w:hint="eastAsia" w:ascii="宋体" w:hAnsi="宋体" w:eastAsia="宋体" w:cs="宋体"/>
          <w:spacing w:val="-1"/>
          <w:sz w:val="24"/>
          <w:szCs w:val="24"/>
          <w:highlight w:val="none"/>
          <w:lang w:val="en-US" w:eastAsia="zh-CN"/>
        </w:rPr>
        <w:t>在</w:t>
      </w:r>
      <w:r>
        <w:rPr>
          <w:rFonts w:hint="eastAsia" w:ascii="宋体" w:hAnsi="宋体" w:eastAsia="宋体" w:cs="宋体"/>
          <w:spacing w:val="-1"/>
          <w:sz w:val="24"/>
          <w:szCs w:val="24"/>
          <w:highlight w:val="none"/>
          <w:lang w:eastAsia="zh-CN"/>
        </w:rPr>
        <w:t>应急抢险</w:t>
      </w:r>
      <w:r>
        <w:rPr>
          <w:rFonts w:hint="eastAsia" w:ascii="宋体" w:hAnsi="宋体" w:eastAsia="宋体" w:cs="宋体"/>
          <w:spacing w:val="-1"/>
          <w:sz w:val="24"/>
          <w:szCs w:val="24"/>
          <w:highlight w:val="none"/>
          <w:lang w:val="en-US" w:eastAsia="zh-CN"/>
        </w:rPr>
        <w:t>等</w:t>
      </w:r>
      <w:r>
        <w:rPr>
          <w:rFonts w:hint="eastAsia" w:ascii="宋体" w:hAnsi="宋体" w:eastAsia="宋体" w:cs="宋体"/>
          <w:spacing w:val="-1"/>
          <w:sz w:val="24"/>
          <w:szCs w:val="24"/>
          <w:highlight w:val="none"/>
          <w:lang w:eastAsia="zh-CN"/>
        </w:rPr>
        <w:t>紧</w:t>
      </w:r>
      <w:r>
        <w:rPr>
          <w:rFonts w:hint="eastAsia" w:ascii="宋体" w:hAnsi="宋体" w:eastAsia="宋体" w:cs="宋体"/>
          <w:spacing w:val="-1"/>
          <w:sz w:val="24"/>
          <w:szCs w:val="24"/>
          <w:highlight w:val="none"/>
          <w:lang w:val="en-US" w:eastAsia="zh-CN"/>
        </w:rPr>
        <w:t>急</w:t>
      </w:r>
      <w:r>
        <w:rPr>
          <w:rFonts w:hint="eastAsia" w:ascii="宋体" w:hAnsi="宋体" w:eastAsia="宋体" w:cs="宋体"/>
          <w:spacing w:val="-1"/>
          <w:sz w:val="24"/>
          <w:szCs w:val="24"/>
          <w:highlight w:val="none"/>
          <w:lang w:eastAsia="zh-CN"/>
        </w:rPr>
        <w:t>情形时，发包人可</w:t>
      </w:r>
      <w:r>
        <w:rPr>
          <w:rFonts w:hint="eastAsia" w:ascii="宋体" w:hAnsi="宋体" w:eastAsia="宋体" w:cs="宋体"/>
          <w:spacing w:val="-1"/>
          <w:sz w:val="24"/>
          <w:szCs w:val="24"/>
          <w:highlight w:val="none"/>
          <w:lang w:val="en-US" w:eastAsia="zh-CN"/>
        </w:rPr>
        <w:t>采取按市场价租用等方式</w:t>
      </w:r>
      <w:r>
        <w:rPr>
          <w:rFonts w:hint="eastAsia" w:ascii="宋体" w:hAnsi="宋体" w:eastAsia="宋体" w:cs="宋体"/>
          <w:spacing w:val="-1"/>
          <w:sz w:val="24"/>
          <w:szCs w:val="24"/>
          <w:highlight w:val="none"/>
          <w:lang w:eastAsia="zh-CN"/>
        </w:rPr>
        <w:t>向承包人有偿提供工程设备使用，设备使用的燃油、电力、耗材等日常运维费用由承包人承担，相关费用从承包人计量款中抵扣。</w:t>
      </w:r>
    </w:p>
    <w:p w14:paraId="0C605C3F">
      <w:pPr>
        <w:spacing w:before="78" w:line="219" w:lineRule="auto"/>
        <w:ind w:left="480"/>
        <w:outlineLvl w:val="2"/>
        <w:rPr>
          <w:rFonts w:ascii="宋体" w:hAnsi="宋体" w:eastAsia="宋体" w:cs="宋体"/>
          <w:color w:val="auto"/>
          <w:sz w:val="24"/>
          <w:szCs w:val="24"/>
          <w:highlight w:val="none"/>
          <w:lang w:eastAsia="zh-CN"/>
        </w:rPr>
      </w:pPr>
      <w:bookmarkStart w:id="140" w:name="_Toc20540"/>
      <w:r>
        <w:rPr>
          <w:rFonts w:ascii="Times New Roman" w:hAnsi="Times New Roman" w:eastAsia="Times New Roman" w:cs="Times New Roman"/>
          <w:b/>
          <w:bCs/>
          <w:color w:val="auto"/>
          <w:spacing w:val="-2"/>
          <w:sz w:val="24"/>
          <w:szCs w:val="24"/>
          <w:highlight w:val="none"/>
          <w:lang w:eastAsia="zh-CN"/>
        </w:rPr>
        <w:t xml:space="preserve">6.  </w:t>
      </w:r>
      <w:r>
        <w:rPr>
          <w:rFonts w:ascii="宋体" w:hAnsi="宋体" w:eastAsia="宋体" w:cs="宋体"/>
          <w:b/>
          <w:bCs/>
          <w:color w:val="auto"/>
          <w:spacing w:val="-2"/>
          <w:sz w:val="24"/>
          <w:szCs w:val="24"/>
          <w:highlight w:val="none"/>
          <w:lang w:eastAsia="zh-CN"/>
        </w:rPr>
        <w:t>养护作业设备和临时设施</w:t>
      </w:r>
      <w:bookmarkEnd w:id="140"/>
    </w:p>
    <w:p w14:paraId="4FDC1AB7">
      <w:pPr>
        <w:spacing w:before="126" w:line="219" w:lineRule="auto"/>
        <w:ind w:left="484"/>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 xml:space="preserve">6.2 发包人提供的养护作业设备和临时设施 </w:t>
      </w:r>
    </w:p>
    <w:p w14:paraId="42615BF6">
      <w:pPr>
        <w:spacing w:before="126" w:line="219" w:lineRule="auto"/>
        <w:ind w:left="484"/>
        <w:rPr>
          <w:rFonts w:hint="eastAsia" w:ascii="宋体" w:hAnsi="宋体" w:eastAsia="宋体" w:cs="宋体"/>
          <w:b/>
          <w:bCs/>
          <w:spacing w:val="-3"/>
          <w:sz w:val="24"/>
          <w:szCs w:val="24"/>
          <w:highlight w:val="none"/>
          <w:lang w:eastAsia="zh-CN"/>
        </w:rPr>
      </w:pPr>
      <w:r>
        <w:rPr>
          <w:rFonts w:hint="eastAsia" w:ascii="宋体" w:hAnsi="宋体" w:eastAsia="宋体" w:cs="宋体"/>
          <w:spacing w:val="-1"/>
          <w:sz w:val="24"/>
          <w:szCs w:val="24"/>
          <w:highlight w:val="none"/>
          <w:lang w:eastAsia="zh-CN"/>
        </w:rPr>
        <w:t>本项目发包人不提供养护作业设备和临时设施。</w:t>
      </w:r>
    </w:p>
    <w:p w14:paraId="166884C2">
      <w:pPr>
        <w:spacing w:before="78" w:line="219" w:lineRule="auto"/>
        <w:ind w:left="488"/>
        <w:outlineLvl w:val="3"/>
        <w:rPr>
          <w:rFonts w:hint="eastAsia" w:ascii="宋体" w:hAnsi="宋体" w:eastAsia="宋体" w:cs="宋体"/>
          <w:sz w:val="24"/>
          <w:szCs w:val="24"/>
          <w:highlight w:val="none"/>
          <w:lang w:eastAsia="zh-CN"/>
        </w:rPr>
      </w:pPr>
      <w:r>
        <w:rPr>
          <w:rFonts w:hint="eastAsia" w:ascii="宋体" w:hAnsi="宋体" w:eastAsia="宋体" w:cs="宋体"/>
          <w:b/>
          <w:bCs/>
          <w:spacing w:val="-3"/>
          <w:sz w:val="24"/>
          <w:szCs w:val="24"/>
          <w:highlight w:val="none"/>
          <w:lang w:eastAsia="zh-CN"/>
        </w:rPr>
        <w:t>7.交通运输</w:t>
      </w:r>
    </w:p>
    <w:p w14:paraId="6E65207E">
      <w:pPr>
        <w:spacing w:before="116" w:line="219" w:lineRule="auto"/>
        <w:ind w:left="488"/>
        <w:outlineLvl w:val="4"/>
        <w:rPr>
          <w:rFonts w:hint="eastAsia" w:ascii="宋体" w:hAnsi="宋体" w:eastAsia="宋体" w:cs="宋体"/>
          <w:sz w:val="24"/>
          <w:szCs w:val="24"/>
          <w:highlight w:val="none"/>
          <w:lang w:eastAsia="zh-CN"/>
        </w:rPr>
      </w:pPr>
      <w:r>
        <w:rPr>
          <w:rFonts w:hint="eastAsia" w:ascii="宋体" w:hAnsi="宋体" w:eastAsia="宋体" w:cs="宋体"/>
          <w:b/>
          <w:bCs/>
          <w:spacing w:val="-2"/>
          <w:sz w:val="24"/>
          <w:szCs w:val="24"/>
          <w:highlight w:val="none"/>
          <w:lang w:eastAsia="zh-CN"/>
        </w:rPr>
        <w:t>7.2  养护路段内交通</w:t>
      </w:r>
    </w:p>
    <w:p w14:paraId="1D0C9CCA">
      <w:pPr>
        <w:spacing w:before="123" w:line="219" w:lineRule="auto"/>
        <w:ind w:left="489"/>
        <w:rPr>
          <w:rFonts w:hint="eastAsia" w:ascii="宋体" w:hAnsi="宋体" w:eastAsia="宋体" w:cs="宋体"/>
          <w:b/>
          <w:bCs/>
          <w:spacing w:val="-1"/>
          <w:sz w:val="24"/>
          <w:szCs w:val="24"/>
          <w:highlight w:val="none"/>
          <w:lang w:eastAsia="zh-CN"/>
        </w:rPr>
      </w:pPr>
      <w:r>
        <w:rPr>
          <w:rFonts w:hint="eastAsia" w:ascii="宋体" w:hAnsi="宋体" w:eastAsia="宋体" w:cs="宋体"/>
          <w:spacing w:val="-1"/>
          <w:sz w:val="24"/>
          <w:szCs w:val="24"/>
          <w:highlight w:val="none"/>
          <w:lang w:eastAsia="zh-CN"/>
        </w:rPr>
        <w:t>承包人使用养护路段产生的通行费的特殊约定：</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u w:val="single"/>
          <w:lang w:val="en-US" w:eastAsia="zh-CN"/>
        </w:rPr>
        <w:t>/</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lang w:eastAsia="zh-CN"/>
        </w:rPr>
        <w:t>。</w:t>
      </w:r>
    </w:p>
    <w:p w14:paraId="13D3AA3F">
      <w:pPr>
        <w:spacing w:before="126" w:line="219" w:lineRule="auto"/>
        <w:ind w:left="484"/>
        <w:rPr>
          <w:rFonts w:hint="eastAsia" w:ascii="宋体" w:hAnsi="宋体" w:eastAsia="宋体" w:cs="宋体"/>
          <w:spacing w:val="-1"/>
          <w:sz w:val="24"/>
          <w:szCs w:val="24"/>
          <w:highlight w:val="none"/>
          <w:lang w:eastAsia="zh-CN"/>
        </w:rPr>
      </w:pPr>
      <w:r>
        <w:rPr>
          <w:rFonts w:hint="eastAsia" w:ascii="宋体" w:hAnsi="宋体" w:eastAsia="宋体" w:cs="宋体"/>
          <w:b/>
          <w:bCs/>
          <w:spacing w:val="-1"/>
          <w:sz w:val="24"/>
          <w:szCs w:val="24"/>
          <w:highlight w:val="none"/>
          <w:lang w:eastAsia="zh-CN"/>
        </w:rPr>
        <w:t>8. 测量放线</w:t>
      </w:r>
      <w:r>
        <w:rPr>
          <w:rFonts w:hint="eastAsia" w:ascii="宋体" w:hAnsi="宋体" w:eastAsia="宋体" w:cs="宋体"/>
          <w:spacing w:val="-1"/>
          <w:sz w:val="24"/>
          <w:szCs w:val="24"/>
          <w:highlight w:val="none"/>
          <w:lang w:eastAsia="zh-CN"/>
        </w:rPr>
        <w:t xml:space="preserve"> </w:t>
      </w:r>
    </w:p>
    <w:p w14:paraId="4619B7C5">
      <w:pPr>
        <w:spacing w:before="126" w:line="310" w:lineRule="auto"/>
        <w:ind w:left="10" w:right="61" w:firstLine="479"/>
        <w:rPr>
          <w:rFonts w:hint="eastAsia" w:ascii="宋体" w:hAnsi="宋体" w:eastAsia="宋体" w:cs="宋体"/>
          <w:b/>
          <w:bCs/>
          <w:spacing w:val="-2"/>
          <w:sz w:val="24"/>
          <w:szCs w:val="24"/>
          <w:highlight w:val="none"/>
          <w:lang w:eastAsia="zh-CN"/>
        </w:rPr>
      </w:pPr>
      <w:r>
        <w:rPr>
          <w:rFonts w:hint="eastAsia" w:ascii="宋体" w:hAnsi="宋体" w:eastAsia="宋体" w:cs="宋体"/>
          <w:spacing w:val="2"/>
          <w:sz w:val="24"/>
          <w:szCs w:val="24"/>
          <w:highlight w:val="none"/>
          <w:lang w:eastAsia="zh-CN"/>
        </w:rPr>
        <w:t>本</w:t>
      </w:r>
      <w:r>
        <w:rPr>
          <w:rFonts w:hint="eastAsia" w:ascii="宋体" w:hAnsi="宋体" w:eastAsia="宋体" w:cs="宋体"/>
          <w:spacing w:val="2"/>
          <w:sz w:val="24"/>
          <w:szCs w:val="24"/>
          <w:highlight w:val="none"/>
          <w:lang w:val="en-US" w:eastAsia="zh-CN"/>
        </w:rPr>
        <w:t>条</w:t>
      </w:r>
      <w:r>
        <w:rPr>
          <w:rFonts w:hint="eastAsia" w:ascii="宋体" w:hAnsi="宋体" w:eastAsia="宋体" w:cs="宋体"/>
          <w:spacing w:val="2"/>
          <w:sz w:val="24"/>
          <w:szCs w:val="24"/>
          <w:highlight w:val="none"/>
          <w:lang w:eastAsia="zh-CN"/>
        </w:rPr>
        <w:t>修改为：发包人不提供测量基准点、基准线和水准点等测量资料，养护作业如需测量放线的由承包人按现场情况自行完成。</w:t>
      </w:r>
    </w:p>
    <w:p w14:paraId="2718BA19">
      <w:pPr>
        <w:spacing w:before="79" w:line="219" w:lineRule="auto"/>
        <w:ind w:left="487"/>
        <w:outlineLvl w:val="3"/>
        <w:rPr>
          <w:rFonts w:hint="eastAsia" w:ascii="宋体" w:hAnsi="宋体" w:eastAsia="宋体" w:cs="宋体"/>
          <w:sz w:val="24"/>
          <w:szCs w:val="24"/>
          <w:highlight w:val="none"/>
          <w:lang w:eastAsia="zh-CN"/>
        </w:rPr>
      </w:pPr>
      <w:r>
        <w:rPr>
          <w:rFonts w:hint="eastAsia" w:ascii="宋体" w:hAnsi="宋体" w:eastAsia="宋体" w:cs="宋体"/>
          <w:b/>
          <w:bCs/>
          <w:spacing w:val="-2"/>
          <w:sz w:val="24"/>
          <w:szCs w:val="24"/>
          <w:highlight w:val="none"/>
          <w:lang w:eastAsia="zh-CN"/>
        </w:rPr>
        <w:t>9.养护作业安全、治安保卫和环境保护</w:t>
      </w:r>
    </w:p>
    <w:p w14:paraId="266138C5">
      <w:pPr>
        <w:spacing w:before="126" w:line="310" w:lineRule="auto"/>
        <w:ind w:left="10" w:right="61" w:firstLine="479"/>
        <w:rPr>
          <w:rFonts w:hint="eastAsia" w:ascii="宋体" w:hAnsi="宋体" w:eastAsia="宋体" w:cs="宋体"/>
          <w:spacing w:val="2"/>
          <w:sz w:val="24"/>
          <w:szCs w:val="24"/>
          <w:highlight w:val="none"/>
          <w:lang w:eastAsia="zh-CN"/>
        </w:rPr>
      </w:pPr>
      <w:r>
        <w:rPr>
          <w:rFonts w:hint="eastAsia" w:ascii="宋体" w:hAnsi="宋体" w:eastAsia="宋体" w:cs="宋体"/>
          <w:b/>
          <w:bCs/>
          <w:spacing w:val="-2"/>
          <w:sz w:val="24"/>
          <w:szCs w:val="24"/>
          <w:highlight w:val="none"/>
          <w:lang w:eastAsia="zh-CN"/>
        </w:rPr>
        <w:t>9.2  承包人的养护</w:t>
      </w:r>
      <w:r>
        <w:rPr>
          <w:rFonts w:hint="eastAsia" w:ascii="宋体" w:hAnsi="宋体" w:eastAsia="宋体" w:cs="宋体"/>
          <w:b/>
          <w:bCs/>
          <w:spacing w:val="-2"/>
          <w:sz w:val="24"/>
          <w:szCs w:val="24"/>
          <w:highlight w:val="none"/>
          <w:lang w:val="en-US" w:eastAsia="zh-CN"/>
        </w:rPr>
        <w:t>作业</w:t>
      </w:r>
      <w:r>
        <w:rPr>
          <w:rFonts w:hint="eastAsia" w:ascii="宋体" w:hAnsi="宋体" w:eastAsia="宋体" w:cs="宋体"/>
          <w:b/>
          <w:bCs/>
          <w:spacing w:val="-2"/>
          <w:sz w:val="24"/>
          <w:szCs w:val="24"/>
          <w:highlight w:val="none"/>
          <w:lang w:eastAsia="zh-CN"/>
        </w:rPr>
        <w:t>安全责</w:t>
      </w:r>
      <w:r>
        <w:rPr>
          <w:rFonts w:hint="eastAsia" w:ascii="宋体" w:hAnsi="宋体" w:eastAsia="宋体" w:cs="宋体"/>
          <w:spacing w:val="2"/>
          <w:sz w:val="24"/>
          <w:szCs w:val="24"/>
          <w:highlight w:val="none"/>
          <w:lang w:eastAsia="zh-CN"/>
        </w:rPr>
        <w:t>任</w:t>
      </w:r>
    </w:p>
    <w:p w14:paraId="3F5547E3">
      <w:pPr>
        <w:spacing w:before="126" w:line="310" w:lineRule="auto"/>
        <w:ind w:left="10" w:right="61" w:firstLine="479"/>
        <w:rPr>
          <w:rFonts w:hint="eastAsia" w:ascii="宋体" w:hAnsi="宋体" w:eastAsia="宋体" w:cs="宋体"/>
          <w:spacing w:val="2"/>
          <w:sz w:val="24"/>
          <w:szCs w:val="24"/>
          <w:highlight w:val="none"/>
          <w:lang w:eastAsia="zh-CN"/>
        </w:rPr>
      </w:pPr>
      <w:r>
        <w:rPr>
          <w:rFonts w:hint="eastAsia" w:ascii="宋体" w:hAnsi="宋体" w:eastAsia="宋体" w:cs="宋体"/>
          <w:spacing w:val="2"/>
          <w:sz w:val="24"/>
          <w:szCs w:val="24"/>
          <w:highlight w:val="none"/>
          <w:lang w:eastAsia="zh-CN"/>
        </w:rPr>
        <w:t>9.2.5本项补充：</w:t>
      </w:r>
    </w:p>
    <w:p w14:paraId="7767651A">
      <w:pPr>
        <w:keepNext w:val="0"/>
        <w:keepLines w:val="0"/>
        <w:pageBreakBefore w:val="0"/>
        <w:widowControl/>
        <w:kinsoku w:val="0"/>
        <w:wordWrap/>
        <w:overflowPunct/>
        <w:topLinePunct w:val="0"/>
        <w:autoSpaceDE w:val="0"/>
        <w:autoSpaceDN w:val="0"/>
        <w:bidi w:val="0"/>
        <w:adjustRightInd w:val="0"/>
        <w:snapToGrid w:val="0"/>
        <w:spacing w:before="126" w:line="360" w:lineRule="auto"/>
        <w:ind w:left="10" w:right="61" w:firstLine="479"/>
        <w:textAlignment w:val="baseline"/>
        <w:rPr>
          <w:rFonts w:hint="eastAsia" w:ascii="宋体" w:hAnsi="宋体" w:eastAsia="宋体" w:cs="宋体"/>
          <w:spacing w:val="2"/>
          <w:sz w:val="24"/>
          <w:szCs w:val="24"/>
          <w:highlight w:val="none"/>
          <w:lang w:eastAsia="zh-CN"/>
        </w:rPr>
      </w:pPr>
      <w:r>
        <w:rPr>
          <w:rFonts w:hint="eastAsia" w:ascii="宋体" w:hAnsi="宋体" w:eastAsia="宋体" w:cs="宋体"/>
          <w:spacing w:val="2"/>
          <w:sz w:val="24"/>
          <w:szCs w:val="24"/>
          <w:highlight w:val="none"/>
          <w:lang w:eastAsia="zh-CN"/>
        </w:rPr>
        <w:t>发包人在日常检查中发现承包人</w:t>
      </w:r>
      <w:r>
        <w:rPr>
          <w:rFonts w:hint="eastAsia" w:ascii="宋体" w:hAnsi="宋体" w:eastAsia="宋体" w:cs="宋体"/>
          <w:spacing w:val="2"/>
          <w:sz w:val="24"/>
          <w:szCs w:val="24"/>
          <w:highlight w:val="none"/>
          <w:lang w:val="en-US" w:eastAsia="zh-CN"/>
        </w:rPr>
        <w:t>在养护作业现场</w:t>
      </w:r>
      <w:r>
        <w:rPr>
          <w:rFonts w:hint="eastAsia" w:ascii="宋体" w:hAnsi="宋体" w:eastAsia="宋体" w:cs="宋体"/>
          <w:spacing w:val="2"/>
          <w:sz w:val="24"/>
          <w:szCs w:val="24"/>
          <w:highlight w:val="none"/>
          <w:lang w:eastAsia="zh-CN"/>
        </w:rPr>
        <w:t>安全防护设施和用具（含交通标志牌、安全危险告知牌、安全隐患告知牌等）不齐全或缺</w:t>
      </w:r>
      <w:r>
        <w:rPr>
          <w:rFonts w:hint="eastAsia" w:ascii="宋体" w:hAnsi="宋体" w:eastAsia="宋体" w:cs="宋体"/>
          <w:spacing w:val="2"/>
          <w:sz w:val="24"/>
          <w:szCs w:val="24"/>
          <w:highlight w:val="none"/>
          <w:lang w:val="en-US" w:eastAsia="zh-CN"/>
        </w:rPr>
        <w:t>失</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可</w:t>
      </w:r>
      <w:r>
        <w:rPr>
          <w:rFonts w:hint="eastAsia" w:ascii="宋体" w:hAnsi="宋体" w:eastAsia="宋体" w:cs="宋体"/>
          <w:spacing w:val="2"/>
          <w:sz w:val="24"/>
          <w:szCs w:val="24"/>
          <w:highlight w:val="none"/>
          <w:lang w:eastAsia="zh-CN"/>
        </w:rPr>
        <w:t>按照合同有关规定指令承包人纠正和整改。承包人拒不整改或整改不彻底的，发包人有权</w:t>
      </w:r>
      <w:r>
        <w:rPr>
          <w:rFonts w:hint="eastAsia" w:ascii="宋体" w:hAnsi="宋体" w:eastAsia="宋体" w:cs="宋体"/>
          <w:spacing w:val="2"/>
          <w:sz w:val="24"/>
          <w:szCs w:val="24"/>
          <w:highlight w:val="none"/>
          <w:lang w:val="en-US" w:eastAsia="zh-CN"/>
        </w:rPr>
        <w:t>指定</w:t>
      </w:r>
      <w:r>
        <w:rPr>
          <w:rFonts w:hint="eastAsia" w:ascii="宋体" w:hAnsi="宋体" w:eastAsia="宋体" w:cs="宋体"/>
          <w:spacing w:val="2"/>
          <w:sz w:val="24"/>
          <w:szCs w:val="24"/>
          <w:highlight w:val="none"/>
          <w:lang w:eastAsia="zh-CN"/>
        </w:rPr>
        <w:t>购置安全防护设施和用具，安排</w:t>
      </w:r>
      <w:r>
        <w:rPr>
          <w:rFonts w:hint="eastAsia" w:ascii="宋体" w:hAnsi="宋体" w:eastAsia="宋体" w:cs="宋体"/>
          <w:spacing w:val="2"/>
          <w:sz w:val="24"/>
          <w:szCs w:val="24"/>
          <w:highlight w:val="none"/>
          <w:lang w:val="en-US" w:eastAsia="zh-CN"/>
        </w:rPr>
        <w:t>他</w:t>
      </w:r>
      <w:r>
        <w:rPr>
          <w:rFonts w:hint="eastAsia" w:ascii="宋体" w:hAnsi="宋体" w:eastAsia="宋体" w:cs="宋体"/>
          <w:spacing w:val="2"/>
          <w:sz w:val="24"/>
          <w:szCs w:val="24"/>
          <w:highlight w:val="none"/>
          <w:lang w:eastAsia="zh-CN"/>
        </w:rPr>
        <w:t>人</w:t>
      </w:r>
      <w:r>
        <w:rPr>
          <w:rFonts w:hint="eastAsia" w:ascii="宋体" w:hAnsi="宋体" w:eastAsia="宋体" w:cs="宋体"/>
          <w:spacing w:val="2"/>
          <w:sz w:val="24"/>
          <w:szCs w:val="24"/>
          <w:highlight w:val="none"/>
          <w:lang w:val="en-US" w:eastAsia="zh-CN"/>
        </w:rPr>
        <w:t>实施</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由此产生的</w:t>
      </w:r>
      <w:r>
        <w:rPr>
          <w:rFonts w:hint="eastAsia" w:ascii="宋体" w:hAnsi="宋体" w:eastAsia="宋体" w:cs="宋体"/>
          <w:spacing w:val="2"/>
          <w:sz w:val="24"/>
          <w:szCs w:val="24"/>
          <w:highlight w:val="none"/>
          <w:lang w:eastAsia="zh-CN"/>
        </w:rPr>
        <w:t>费用由承包人负责，</w:t>
      </w:r>
      <w:r>
        <w:rPr>
          <w:rFonts w:hint="eastAsia" w:ascii="宋体" w:hAnsi="宋体" w:eastAsia="宋体" w:cs="宋体"/>
          <w:spacing w:val="2"/>
          <w:sz w:val="24"/>
          <w:szCs w:val="24"/>
          <w:highlight w:val="none"/>
          <w:lang w:val="en-US" w:eastAsia="zh-CN"/>
        </w:rPr>
        <w:t>从</w:t>
      </w:r>
      <w:r>
        <w:rPr>
          <w:rFonts w:hint="eastAsia" w:ascii="宋体" w:hAnsi="宋体" w:eastAsia="宋体" w:cs="宋体"/>
          <w:spacing w:val="2"/>
          <w:sz w:val="24"/>
          <w:szCs w:val="24"/>
          <w:highlight w:val="none"/>
          <w:lang w:eastAsia="zh-CN"/>
        </w:rPr>
        <w:t>承包人计量</w:t>
      </w:r>
      <w:r>
        <w:rPr>
          <w:rFonts w:hint="eastAsia" w:ascii="宋体" w:hAnsi="宋体" w:eastAsia="宋体" w:cs="宋体"/>
          <w:spacing w:val="2"/>
          <w:sz w:val="24"/>
          <w:szCs w:val="24"/>
          <w:highlight w:val="none"/>
          <w:lang w:val="en-US" w:eastAsia="zh-CN"/>
        </w:rPr>
        <w:t>款中</w:t>
      </w:r>
      <w:r>
        <w:rPr>
          <w:rFonts w:hint="eastAsia" w:ascii="宋体" w:hAnsi="宋体" w:eastAsia="宋体" w:cs="宋体"/>
          <w:spacing w:val="2"/>
          <w:sz w:val="24"/>
          <w:szCs w:val="24"/>
          <w:highlight w:val="none"/>
          <w:lang w:eastAsia="zh-CN"/>
        </w:rPr>
        <w:t>扣除。</w:t>
      </w:r>
    </w:p>
    <w:p w14:paraId="16B773C4">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spacing w:val="2"/>
          <w:sz w:val="24"/>
          <w:szCs w:val="24"/>
          <w:highlight w:val="none"/>
          <w:u w:val="single"/>
          <w:lang w:eastAsia="zh-CN"/>
        </w:rPr>
      </w:pPr>
      <w:r>
        <w:rPr>
          <w:rFonts w:hint="eastAsia" w:ascii="宋体" w:hAnsi="宋体" w:eastAsia="宋体" w:cs="宋体"/>
          <w:spacing w:val="2"/>
          <w:sz w:val="24"/>
          <w:szCs w:val="24"/>
          <w:highlight w:val="none"/>
        </w:rPr>
        <w:t>9.2.8承包人在养护作业场地配置专职安全生产管理人</w:t>
      </w:r>
      <w:r>
        <w:rPr>
          <w:rFonts w:hint="eastAsia" w:ascii="宋体" w:hAnsi="宋体" w:eastAsia="宋体" w:cs="宋体"/>
          <w:spacing w:val="1"/>
          <w:sz w:val="24"/>
          <w:szCs w:val="24"/>
          <w:highlight w:val="none"/>
        </w:rPr>
        <w:t>员的数量：</w:t>
      </w:r>
      <w:r>
        <w:rPr>
          <w:rFonts w:hint="eastAsia" w:ascii="宋体" w:hAnsi="宋体" w:eastAsia="宋体" w:cs="宋体"/>
          <w:spacing w:val="2"/>
          <w:sz w:val="24"/>
          <w:szCs w:val="24"/>
          <w:highlight w:val="none"/>
          <w:lang w:eastAsia="zh-CN"/>
        </w:rPr>
        <w:t xml:space="preserve"> </w:t>
      </w:r>
      <w:r>
        <w:rPr>
          <w:rFonts w:hint="eastAsia" w:ascii="宋体" w:hAnsi="宋体" w:eastAsia="宋体" w:cs="宋体"/>
          <w:spacing w:val="2"/>
          <w:sz w:val="24"/>
          <w:szCs w:val="24"/>
          <w:highlight w:val="none"/>
          <w:u w:val="single"/>
          <w:lang w:eastAsia="zh-CN"/>
        </w:rPr>
        <w:t xml:space="preserve"> A</w:t>
      </w:r>
      <w:r>
        <w:rPr>
          <w:rFonts w:hint="eastAsia" w:ascii="宋体" w:hAnsi="宋体" w:eastAsia="宋体" w:cs="宋体"/>
          <w:spacing w:val="2"/>
          <w:sz w:val="24"/>
          <w:szCs w:val="24"/>
          <w:highlight w:val="none"/>
          <w:u w:val="single"/>
          <w:lang w:val="en-US" w:eastAsia="zh-CN"/>
        </w:rPr>
        <w:t>段</w:t>
      </w:r>
      <w:r>
        <w:rPr>
          <w:rFonts w:hint="eastAsia" w:ascii="宋体" w:hAnsi="宋体" w:eastAsia="宋体" w:cs="宋体"/>
          <w:spacing w:val="2"/>
          <w:sz w:val="24"/>
          <w:szCs w:val="24"/>
          <w:highlight w:val="none"/>
          <w:u w:val="single"/>
          <w:lang w:eastAsia="zh-CN"/>
        </w:rPr>
        <w:t>、B</w:t>
      </w:r>
      <w:r>
        <w:rPr>
          <w:rFonts w:hint="eastAsia" w:ascii="宋体" w:hAnsi="宋体" w:eastAsia="宋体" w:cs="宋体"/>
          <w:spacing w:val="2"/>
          <w:sz w:val="24"/>
          <w:szCs w:val="24"/>
          <w:highlight w:val="none"/>
          <w:u w:val="single"/>
          <w:lang w:val="en-US" w:eastAsia="zh-CN"/>
        </w:rPr>
        <w:t>段</w:t>
      </w:r>
      <w:r>
        <w:rPr>
          <w:rFonts w:hint="eastAsia" w:ascii="宋体" w:hAnsi="宋体" w:eastAsia="宋体" w:cs="宋体"/>
          <w:spacing w:val="2"/>
          <w:sz w:val="24"/>
          <w:szCs w:val="24"/>
          <w:highlight w:val="none"/>
          <w:u w:val="single"/>
          <w:lang w:eastAsia="zh-CN"/>
        </w:rPr>
        <w:t>、C段、</w:t>
      </w:r>
      <w:r>
        <w:rPr>
          <w:rFonts w:hint="eastAsia" w:ascii="宋体" w:hAnsi="宋体" w:eastAsia="宋体" w:cs="宋体"/>
          <w:spacing w:val="2"/>
          <w:sz w:val="24"/>
          <w:szCs w:val="24"/>
          <w:highlight w:val="none"/>
          <w:u w:val="single"/>
          <w:lang w:val="en-US" w:eastAsia="zh-CN"/>
        </w:rPr>
        <w:t>D段</w:t>
      </w:r>
      <w:r>
        <w:rPr>
          <w:rFonts w:hint="eastAsia" w:ascii="宋体" w:hAnsi="宋体" w:eastAsia="宋体" w:cs="宋体"/>
          <w:spacing w:val="2"/>
          <w:sz w:val="24"/>
          <w:szCs w:val="24"/>
          <w:highlight w:val="none"/>
          <w:u w:val="single"/>
          <w:lang w:eastAsia="zh-CN"/>
        </w:rPr>
        <w:t>各安排1  人；</w:t>
      </w:r>
      <w:r>
        <w:rPr>
          <w:rFonts w:hint="eastAsia" w:ascii="宋体" w:hAnsi="宋体" w:eastAsia="宋体" w:cs="宋体"/>
          <w:spacing w:val="2"/>
          <w:sz w:val="24"/>
          <w:szCs w:val="24"/>
          <w:highlight w:val="none"/>
          <w:lang w:eastAsia="zh-CN"/>
        </w:rPr>
        <w:t>专职安全生产管理人员应满足的条件：</w:t>
      </w:r>
      <w:r>
        <w:rPr>
          <w:rFonts w:hint="eastAsia" w:ascii="宋体" w:hAnsi="宋体" w:eastAsia="宋体" w:cs="宋体"/>
          <w:spacing w:val="2"/>
          <w:sz w:val="24"/>
          <w:szCs w:val="24"/>
          <w:highlight w:val="none"/>
          <w:u w:val="single"/>
          <w:lang w:eastAsia="zh-CN"/>
        </w:rPr>
        <w:t xml:space="preserve"> 有效安全生产“三类人员”C类证书” 。</w:t>
      </w:r>
    </w:p>
    <w:p w14:paraId="5498AA77">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82"/>
        <w:textAlignment w:val="baseline"/>
        <w:outlineLvl w:val="4"/>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9.2.9项补充：</w:t>
      </w:r>
    </w:p>
    <w:p w14:paraId="200F300A">
      <w:pPr>
        <w:tabs>
          <w:tab w:val="left" w:pos="0"/>
        </w:tabs>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日常</w:t>
      </w:r>
      <w:r>
        <w:rPr>
          <w:rFonts w:hint="eastAsia" w:ascii="宋体" w:hAnsi="宋体" w:eastAsia="宋体" w:cs="宋体"/>
          <w:sz w:val="24"/>
          <w:szCs w:val="24"/>
          <w:highlight w:val="none"/>
        </w:rPr>
        <w:t>养护作业必须严格执行国家颁布的《中华人民共和国公路法》、《中华人民共和国安全生产法》、《道路交通标志和标线》（GB5768-2022）、《公路工程施工安全技术规程》（JTJ076）、《公路养护技术标准》（JTG 5110—2023）、《公路养护安全作业规程》（JTG H30-2015）等国家及交通部门颁发的有关安全生产的法律法规、标准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制度</w:t>
      </w:r>
      <w:r>
        <w:rPr>
          <w:rFonts w:hint="eastAsia" w:ascii="宋体" w:hAnsi="宋体" w:eastAsia="宋体" w:cs="宋体"/>
          <w:sz w:val="24"/>
          <w:szCs w:val="24"/>
          <w:highlight w:val="none"/>
          <w:lang w:val="en-US" w:eastAsia="zh-CN"/>
        </w:rPr>
        <w:t>以及《广西壮族自治区桂林公路发展中心公路养护服务工作要求及考核办法》</w:t>
      </w:r>
      <w:r>
        <w:rPr>
          <w:rFonts w:hint="eastAsia" w:ascii="宋体" w:hAnsi="宋体" w:eastAsia="宋体" w:cs="宋体"/>
          <w:sz w:val="24"/>
          <w:szCs w:val="24"/>
          <w:highlight w:val="none"/>
        </w:rPr>
        <w:t>，按照有关规定设置施工标志、标牌、水马等安</w:t>
      </w:r>
      <w:r>
        <w:rPr>
          <w:rFonts w:hint="eastAsia" w:ascii="宋体" w:hAnsi="宋体" w:eastAsia="宋体" w:cs="宋体"/>
          <w:sz w:val="24"/>
          <w:szCs w:val="24"/>
          <w:highlight w:val="none"/>
          <w:lang w:val="en-US" w:eastAsia="zh-CN"/>
        </w:rPr>
        <w:t>防</w:t>
      </w:r>
      <w:r>
        <w:rPr>
          <w:rFonts w:hint="eastAsia" w:ascii="宋体" w:hAnsi="宋体" w:eastAsia="宋体" w:cs="宋体"/>
          <w:sz w:val="24"/>
          <w:szCs w:val="24"/>
          <w:highlight w:val="none"/>
        </w:rPr>
        <w:t>设施，</w:t>
      </w:r>
      <w:r>
        <w:rPr>
          <w:rFonts w:hint="eastAsia" w:ascii="宋体" w:hAnsi="宋体" w:eastAsia="宋体" w:cs="宋体"/>
          <w:sz w:val="24"/>
          <w:szCs w:val="24"/>
          <w:highlight w:val="none"/>
          <w:lang w:val="en-US" w:eastAsia="zh-CN"/>
        </w:rPr>
        <w:t>并</w:t>
      </w:r>
      <w:r>
        <w:rPr>
          <w:rFonts w:hint="eastAsia" w:ascii="宋体" w:hAnsi="宋体" w:eastAsia="宋体" w:cs="宋体"/>
          <w:sz w:val="24"/>
          <w:szCs w:val="24"/>
          <w:highlight w:val="none"/>
        </w:rPr>
        <w:t>派专人维护。路上作业人员应统一着桔红色反光标志服，挂戴上岗标识</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合同清单</w:t>
      </w:r>
      <w:r>
        <w:rPr>
          <w:rFonts w:hint="eastAsia" w:ascii="宋体" w:hAnsi="宋体" w:eastAsia="宋体" w:cs="宋体"/>
          <w:sz w:val="24"/>
          <w:szCs w:val="24"/>
          <w:highlight w:val="none"/>
        </w:rPr>
        <w:t>报价</w:t>
      </w:r>
      <w:r>
        <w:rPr>
          <w:rFonts w:hint="eastAsia" w:ascii="宋体" w:hAnsi="宋体" w:eastAsia="宋体" w:cs="宋体"/>
          <w:sz w:val="24"/>
          <w:szCs w:val="24"/>
          <w:highlight w:val="none"/>
          <w:lang w:val="en-US" w:eastAsia="zh-CN"/>
        </w:rPr>
        <w:t>已包含</w:t>
      </w:r>
      <w:r>
        <w:rPr>
          <w:rFonts w:hint="eastAsia" w:ascii="宋体" w:hAnsi="宋体" w:eastAsia="宋体" w:cs="宋体"/>
          <w:sz w:val="24"/>
          <w:szCs w:val="24"/>
          <w:highlight w:val="none"/>
        </w:rPr>
        <w:t>上述设施所需费用及施工、生活用水用电</w:t>
      </w:r>
      <w:r>
        <w:rPr>
          <w:rFonts w:hint="eastAsia" w:ascii="宋体" w:hAnsi="宋体" w:eastAsia="宋体" w:cs="宋体"/>
          <w:sz w:val="24"/>
          <w:szCs w:val="24"/>
          <w:highlight w:val="none"/>
          <w:lang w:val="en-US" w:eastAsia="zh-CN"/>
        </w:rPr>
        <w:t>等</w:t>
      </w:r>
      <w:r>
        <w:rPr>
          <w:rFonts w:hint="eastAsia" w:ascii="宋体" w:hAnsi="宋体" w:eastAsia="宋体" w:cs="宋体"/>
          <w:sz w:val="24"/>
          <w:szCs w:val="24"/>
          <w:highlight w:val="none"/>
        </w:rPr>
        <w:t>费用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发包人不单独进行计量支付。</w:t>
      </w:r>
    </w:p>
    <w:p w14:paraId="4772666A">
      <w:pPr>
        <w:tabs>
          <w:tab w:val="left" w:pos="0"/>
        </w:tabs>
        <w:spacing w:line="360" w:lineRule="auto"/>
        <w:ind w:firstLine="48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养护作业材料不得随意堆放；机械设备停放不得影响行车安全；日常养护产生的土方、垃圾等杂物，不得随意倾倒于公路用地范围内。发包人应按《广西壮族自治区桂林公路发展中心公路养护服务工作要求及考核办法》处理。</w:t>
      </w:r>
    </w:p>
    <w:p w14:paraId="4738E289">
      <w:pPr>
        <w:widowControl/>
        <w:tabs>
          <w:tab w:val="left" w:pos="0"/>
        </w:tabs>
        <w:ind w:firstLine="422"/>
        <w:rPr>
          <w:rFonts w:hint="eastAsia" w:ascii="宋体" w:hAnsi="宋体" w:eastAsia="宋体" w:cs="宋体"/>
          <w:sz w:val="24"/>
          <w:szCs w:val="24"/>
          <w:highlight w:val="none"/>
        </w:rPr>
      </w:pPr>
      <w:r>
        <w:rPr>
          <w:rFonts w:hint="eastAsia" w:ascii="宋体" w:hAnsi="宋体" w:eastAsia="宋体" w:cs="宋体"/>
          <w:b/>
          <w:bCs/>
          <w:color w:val="000000"/>
          <w:kern w:val="0"/>
          <w:sz w:val="24"/>
          <w:szCs w:val="24"/>
          <w:highlight w:val="none"/>
        </w:rPr>
        <w:t xml:space="preserve">9.5 事故处理 </w:t>
      </w:r>
      <w:r>
        <w:rPr>
          <w:rFonts w:hint="eastAsia" w:ascii="宋体" w:hAnsi="宋体" w:eastAsia="宋体" w:cs="宋体"/>
          <w:color w:val="000000"/>
          <w:kern w:val="0"/>
          <w:sz w:val="24"/>
          <w:szCs w:val="24"/>
          <w:highlight w:val="none"/>
        </w:rPr>
        <w:t xml:space="preserve"> </w:t>
      </w:r>
    </w:p>
    <w:p w14:paraId="685374AA">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本款补充第9.5.1项：</w:t>
      </w:r>
    </w:p>
    <w:p w14:paraId="00B029E3">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9.5.1 责任与费用划分</w:t>
      </w:r>
    </w:p>
    <w:p w14:paraId="7998203A">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b/>
          <w:bCs/>
          <w:spacing w:val="-3"/>
          <w:sz w:val="24"/>
          <w:szCs w:val="24"/>
          <w:highlight w:val="none"/>
        </w:rPr>
      </w:pPr>
      <w:r>
        <w:rPr>
          <w:rFonts w:hint="eastAsia" w:ascii="宋体" w:hAnsi="宋体" w:eastAsia="宋体" w:cs="宋体"/>
          <w:sz w:val="24"/>
          <w:szCs w:val="24"/>
          <w:highlight w:val="none"/>
        </w:rPr>
        <w:t>因承包人</w:t>
      </w:r>
      <w:r>
        <w:rPr>
          <w:rFonts w:hint="eastAsia" w:ascii="宋体" w:hAnsi="宋体" w:eastAsia="宋体" w:cs="宋体"/>
          <w:sz w:val="24"/>
          <w:szCs w:val="24"/>
          <w:highlight w:val="none"/>
          <w:lang w:val="en-US" w:eastAsia="zh-CN"/>
        </w:rPr>
        <w:t>日常</w:t>
      </w:r>
      <w:r>
        <w:rPr>
          <w:rFonts w:hint="eastAsia" w:ascii="宋体" w:hAnsi="宋体" w:eastAsia="宋体" w:cs="宋体"/>
          <w:sz w:val="24"/>
          <w:szCs w:val="24"/>
          <w:highlight w:val="none"/>
        </w:rPr>
        <w:t>养护作业操作不当、安全措施缺失、未按规范作业等原因直接导致的事故，由承包人承担全部责任，并承担因此发生的一切费用（包括但不限于抢险抢修费、第三方人身财产损害赔偿、发包人代为处理产生的费用等）。</w:t>
      </w:r>
      <w:r>
        <w:rPr>
          <w:rFonts w:hint="eastAsia" w:ascii="宋体" w:hAnsi="宋体" w:eastAsia="宋体" w:cs="宋体"/>
          <w:sz w:val="24"/>
          <w:szCs w:val="24"/>
          <w:highlight w:val="none"/>
          <w:lang w:val="en-US" w:eastAsia="zh-CN"/>
        </w:rPr>
        <w:t>合同养护</w:t>
      </w:r>
      <w:r>
        <w:rPr>
          <w:rFonts w:hint="eastAsia" w:ascii="宋体" w:hAnsi="宋体" w:eastAsia="宋体" w:cs="宋体"/>
          <w:sz w:val="24"/>
          <w:szCs w:val="24"/>
          <w:highlight w:val="none"/>
        </w:rPr>
        <w:t>路段上发生的第三方交通事故或其他非承包人直接责任导致的突发事件，承包人应履行合同约定的抢险保通义务。</w:t>
      </w:r>
    </w:p>
    <w:p w14:paraId="3D1BAC10">
      <w:pPr>
        <w:spacing w:before="78" w:line="220" w:lineRule="auto"/>
        <w:ind w:left="495"/>
        <w:outlineLvl w:val="3"/>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10.  进度计划</w:t>
      </w:r>
    </w:p>
    <w:p w14:paraId="70583F1E">
      <w:pPr>
        <w:spacing w:before="115" w:line="220" w:lineRule="auto"/>
        <w:ind w:left="495"/>
        <w:outlineLvl w:val="4"/>
        <w:rPr>
          <w:rFonts w:hint="eastAsia" w:ascii="宋体" w:hAnsi="宋体" w:eastAsia="宋体" w:cs="宋体"/>
          <w:sz w:val="24"/>
          <w:szCs w:val="24"/>
          <w:highlight w:val="none"/>
          <w:lang w:eastAsia="zh-CN"/>
        </w:rPr>
      </w:pPr>
      <w:r>
        <w:rPr>
          <w:rFonts w:hint="eastAsia" w:ascii="宋体" w:hAnsi="宋体" w:eastAsia="宋体" w:cs="宋体"/>
          <w:b/>
          <w:bCs/>
          <w:spacing w:val="-3"/>
          <w:sz w:val="24"/>
          <w:szCs w:val="24"/>
          <w:highlight w:val="none"/>
          <w:lang w:eastAsia="zh-CN"/>
        </w:rPr>
        <w:t>10.1  合同进度计划</w:t>
      </w:r>
    </w:p>
    <w:p w14:paraId="0C787306">
      <w:pPr>
        <w:keepNext w:val="0"/>
        <w:keepLines w:val="0"/>
        <w:pageBreakBefore w:val="0"/>
        <w:widowControl/>
        <w:kinsoku w:val="0"/>
        <w:wordWrap/>
        <w:overflowPunct/>
        <w:topLinePunct w:val="0"/>
        <w:autoSpaceDE w:val="0"/>
        <w:autoSpaceDN w:val="0"/>
        <w:bidi w:val="0"/>
        <w:adjustRightInd w:val="0"/>
        <w:snapToGrid w:val="0"/>
        <w:spacing w:before="123" w:line="360" w:lineRule="auto"/>
        <w:ind w:firstLine="480" w:firstLineChars="200"/>
        <w:textAlignment w:val="baseline"/>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lang w:eastAsia="zh-CN"/>
        </w:rPr>
        <w:t>承包人向</w:t>
      </w:r>
      <w:r>
        <w:rPr>
          <w:rFonts w:hint="eastAsia" w:ascii="宋体" w:hAnsi="宋体" w:eastAsia="宋体" w:cs="宋体"/>
          <w:sz w:val="24"/>
          <w:szCs w:val="24"/>
          <w:highlight w:val="none"/>
          <w:lang w:val="en-US" w:eastAsia="zh-CN"/>
        </w:rPr>
        <w:t>发包</w:t>
      </w:r>
      <w:r>
        <w:rPr>
          <w:rFonts w:hint="eastAsia" w:ascii="宋体" w:hAnsi="宋体" w:eastAsia="宋体" w:cs="宋体"/>
          <w:sz w:val="24"/>
          <w:szCs w:val="24"/>
          <w:highlight w:val="none"/>
          <w:lang w:eastAsia="zh-CN"/>
        </w:rPr>
        <w:t>人报送的养护作业方案内容：</w:t>
      </w:r>
      <w:r>
        <w:rPr>
          <w:rFonts w:hint="eastAsia" w:ascii="宋体" w:hAnsi="宋体" w:eastAsia="宋体" w:cs="宋体"/>
          <w:sz w:val="24"/>
          <w:szCs w:val="24"/>
          <w:highlight w:val="none"/>
          <w:u w:val="single"/>
          <w:lang w:eastAsia="zh-CN"/>
        </w:rPr>
        <w:t xml:space="preserve"> 总体</w:t>
      </w:r>
      <w:r>
        <w:rPr>
          <w:rFonts w:hint="eastAsia" w:ascii="宋体" w:hAnsi="宋体" w:eastAsia="宋体" w:cs="宋体"/>
          <w:sz w:val="24"/>
          <w:szCs w:val="24"/>
          <w:highlight w:val="none"/>
          <w:u w:val="single"/>
          <w:lang w:val="en-US" w:eastAsia="zh-CN"/>
        </w:rPr>
        <w:t>计划</w:t>
      </w:r>
      <w:r>
        <w:rPr>
          <w:rFonts w:hint="eastAsia" w:ascii="宋体" w:hAnsi="宋体" w:eastAsia="宋体" w:cs="宋体"/>
          <w:sz w:val="24"/>
          <w:szCs w:val="24"/>
          <w:highlight w:val="none"/>
          <w:u w:val="single"/>
          <w:lang w:eastAsia="zh-CN"/>
        </w:rPr>
        <w:t>、</w:t>
      </w:r>
      <w:r>
        <w:rPr>
          <w:rFonts w:hint="eastAsia" w:ascii="宋体" w:hAnsi="宋体" w:eastAsia="宋体" w:cs="宋体"/>
          <w:sz w:val="24"/>
          <w:szCs w:val="24"/>
          <w:highlight w:val="none"/>
          <w:u w:val="single"/>
          <w:lang w:val="en-US" w:eastAsia="zh-CN"/>
        </w:rPr>
        <w:t>年度和月度计划</w:t>
      </w:r>
      <w:r>
        <w:rPr>
          <w:rFonts w:hint="eastAsia" w:ascii="宋体" w:hAnsi="宋体" w:eastAsia="宋体" w:cs="宋体"/>
          <w:sz w:val="24"/>
          <w:szCs w:val="24"/>
          <w:highlight w:val="none"/>
          <w:u w:val="single"/>
          <w:lang w:eastAsia="zh-CN"/>
        </w:rPr>
        <w:t>、组织机构等；路基、路面、桥涵、隧道、交通工程及沿线设施、养护站房、停车区、服务区及候车亭等公路基础设施的养护作业方案</w:t>
      </w:r>
      <w:r>
        <w:rPr>
          <w:rFonts w:hint="eastAsia" w:ascii="宋体" w:hAnsi="宋体" w:eastAsia="宋体" w:cs="宋体"/>
          <w:sz w:val="24"/>
          <w:szCs w:val="24"/>
          <w:highlight w:val="none"/>
          <w:u w:val="single"/>
          <w:lang w:val="en-US" w:eastAsia="zh-CN"/>
        </w:rPr>
        <w:t>；养护作业效果</w:t>
      </w:r>
      <w:r>
        <w:rPr>
          <w:rFonts w:hint="eastAsia" w:ascii="宋体" w:hAnsi="宋体" w:eastAsia="宋体" w:cs="宋体"/>
          <w:sz w:val="24"/>
          <w:szCs w:val="24"/>
          <w:highlight w:val="none"/>
          <w:u w:val="single"/>
          <w:lang w:eastAsia="zh-CN"/>
        </w:rPr>
        <w:t>及保障措施说明</w:t>
      </w:r>
      <w:r>
        <w:rPr>
          <w:rFonts w:hint="eastAsia" w:ascii="宋体" w:hAnsi="宋体" w:eastAsia="宋体" w:cs="宋体"/>
          <w:sz w:val="24"/>
          <w:szCs w:val="24"/>
          <w:highlight w:val="none"/>
          <w:u w:val="single"/>
          <w:lang w:val="en-US" w:eastAsia="zh-CN"/>
        </w:rPr>
        <w:t>；</w:t>
      </w:r>
      <w:r>
        <w:rPr>
          <w:rFonts w:hint="eastAsia" w:ascii="宋体" w:hAnsi="宋体" w:eastAsia="宋体" w:cs="宋体"/>
          <w:sz w:val="24"/>
          <w:szCs w:val="24"/>
          <w:highlight w:val="none"/>
          <w:u w:val="single"/>
          <w:lang w:eastAsia="zh-CN"/>
        </w:rPr>
        <w:t>养护</w:t>
      </w:r>
      <w:r>
        <w:rPr>
          <w:rFonts w:hint="eastAsia" w:ascii="宋体" w:hAnsi="宋体" w:eastAsia="宋体" w:cs="宋体"/>
          <w:sz w:val="24"/>
          <w:szCs w:val="24"/>
          <w:highlight w:val="none"/>
          <w:u w:val="single"/>
          <w:lang w:val="en-US" w:eastAsia="zh-CN"/>
        </w:rPr>
        <w:t>作业</w:t>
      </w:r>
      <w:r>
        <w:rPr>
          <w:rFonts w:hint="eastAsia" w:ascii="宋体" w:hAnsi="宋体" w:eastAsia="宋体" w:cs="宋体"/>
          <w:sz w:val="24"/>
          <w:szCs w:val="24"/>
          <w:highlight w:val="none"/>
          <w:u w:val="single"/>
          <w:lang w:eastAsia="zh-CN"/>
        </w:rPr>
        <w:t>标准化、专业化、机械化、智能化</w:t>
      </w:r>
      <w:r>
        <w:rPr>
          <w:rFonts w:hint="eastAsia" w:ascii="宋体" w:hAnsi="宋体" w:eastAsia="宋体" w:cs="宋体"/>
          <w:sz w:val="24"/>
          <w:szCs w:val="24"/>
          <w:highlight w:val="none"/>
          <w:u w:val="single"/>
          <w:lang w:val="en-US" w:eastAsia="zh-CN"/>
        </w:rPr>
        <w:t>方案等</w:t>
      </w:r>
      <w:r>
        <w:rPr>
          <w:rFonts w:hint="eastAsia" w:ascii="宋体" w:hAnsi="宋体" w:eastAsia="宋体" w:cs="宋体"/>
          <w:sz w:val="24"/>
          <w:szCs w:val="24"/>
          <w:highlight w:val="none"/>
          <w:u w:val="single"/>
          <w:lang w:eastAsia="zh-CN"/>
        </w:rPr>
        <w:t>。</w:t>
      </w:r>
    </w:p>
    <w:p w14:paraId="42EE25B8">
      <w:pPr>
        <w:spacing w:before="106" w:line="219" w:lineRule="auto"/>
        <w:ind w:left="495"/>
        <w:outlineLvl w:val="4"/>
        <w:rPr>
          <w:rFonts w:hint="eastAsia" w:ascii="宋体" w:hAnsi="宋体" w:eastAsia="宋体" w:cs="宋体"/>
          <w:sz w:val="24"/>
          <w:szCs w:val="24"/>
          <w:highlight w:val="none"/>
          <w:lang w:eastAsia="zh-CN"/>
        </w:rPr>
      </w:pPr>
      <w:r>
        <w:rPr>
          <w:rFonts w:hint="eastAsia" w:ascii="宋体" w:hAnsi="宋体" w:eastAsia="宋体" w:cs="宋体"/>
          <w:b/>
          <w:bCs/>
          <w:spacing w:val="-3"/>
          <w:sz w:val="24"/>
          <w:szCs w:val="24"/>
          <w:highlight w:val="none"/>
          <w:lang w:eastAsia="zh-CN"/>
        </w:rPr>
        <w:t>10.2  合同进度计划的修订</w:t>
      </w:r>
    </w:p>
    <w:p w14:paraId="27952BBF">
      <w:pPr>
        <w:spacing w:before="125" w:line="218" w:lineRule="auto"/>
        <w:ind w:left="489"/>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lang w:eastAsia="zh-CN"/>
        </w:rPr>
        <w:t>承包人向</w:t>
      </w:r>
      <w:r>
        <w:rPr>
          <w:rFonts w:hint="eastAsia" w:ascii="宋体" w:hAnsi="宋体" w:eastAsia="宋体" w:cs="宋体"/>
          <w:spacing w:val="-1"/>
          <w:sz w:val="24"/>
          <w:szCs w:val="24"/>
          <w:highlight w:val="none"/>
          <w:lang w:val="en-US" w:eastAsia="zh-CN"/>
        </w:rPr>
        <w:t>发包</w:t>
      </w:r>
      <w:r>
        <w:rPr>
          <w:rFonts w:hint="eastAsia" w:ascii="宋体" w:hAnsi="宋体" w:eastAsia="宋体" w:cs="宋体"/>
          <w:spacing w:val="-1"/>
          <w:sz w:val="24"/>
          <w:szCs w:val="24"/>
          <w:highlight w:val="none"/>
          <w:lang w:eastAsia="zh-CN"/>
        </w:rPr>
        <w:t>人提交修订合同进度计划的申请报告的期限为：</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u w:val="single"/>
          <w:lang w:val="en-US" w:eastAsia="zh-CN"/>
        </w:rPr>
        <w:t>7</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96"/>
          <w:sz w:val="24"/>
          <w:szCs w:val="24"/>
          <w:highlight w:val="none"/>
          <w:lang w:eastAsia="zh-CN"/>
        </w:rPr>
        <w:t xml:space="preserve"> </w:t>
      </w:r>
      <w:r>
        <w:rPr>
          <w:rFonts w:hint="eastAsia" w:ascii="宋体" w:hAnsi="宋体" w:eastAsia="宋体" w:cs="宋体"/>
          <w:spacing w:val="-1"/>
          <w:sz w:val="24"/>
          <w:szCs w:val="24"/>
          <w:highlight w:val="none"/>
          <w:lang w:eastAsia="zh-CN"/>
        </w:rPr>
        <w:t>天。</w:t>
      </w:r>
    </w:p>
    <w:p w14:paraId="6FD8A4B7">
      <w:pPr>
        <w:spacing w:before="116" w:line="219" w:lineRule="auto"/>
        <w:ind w:left="498"/>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lang w:eastAsia="zh-CN"/>
        </w:rPr>
        <w:t>咨询人批复承包人修订的合同进度计划的期限为：</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u w:val="single"/>
          <w:lang w:val="en-US" w:eastAsia="zh-CN"/>
        </w:rPr>
        <w:t>7</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2"/>
          <w:sz w:val="24"/>
          <w:szCs w:val="24"/>
          <w:highlight w:val="none"/>
          <w:u w:val="single"/>
          <w:lang w:eastAsia="zh-CN"/>
        </w:rPr>
        <w:t xml:space="preserve">  </w:t>
      </w:r>
      <w:r>
        <w:rPr>
          <w:rFonts w:hint="eastAsia" w:ascii="宋体" w:hAnsi="宋体" w:eastAsia="宋体" w:cs="宋体"/>
          <w:spacing w:val="-106"/>
          <w:sz w:val="24"/>
          <w:szCs w:val="24"/>
          <w:highlight w:val="none"/>
          <w:lang w:eastAsia="zh-CN"/>
        </w:rPr>
        <w:t xml:space="preserve"> </w:t>
      </w:r>
      <w:r>
        <w:rPr>
          <w:rFonts w:hint="eastAsia" w:ascii="宋体" w:hAnsi="宋体" w:eastAsia="宋体" w:cs="宋体"/>
          <w:spacing w:val="-2"/>
          <w:sz w:val="24"/>
          <w:szCs w:val="24"/>
          <w:highlight w:val="none"/>
          <w:lang w:eastAsia="zh-CN"/>
        </w:rPr>
        <w:t>天。</w:t>
      </w:r>
    </w:p>
    <w:p w14:paraId="5E0EE3B4">
      <w:pPr>
        <w:spacing w:before="106" w:line="219" w:lineRule="auto"/>
        <w:ind w:left="495"/>
        <w:outlineLvl w:val="4"/>
        <w:rPr>
          <w:rFonts w:hint="eastAsia" w:ascii="宋体" w:hAnsi="宋体" w:eastAsia="宋体" w:cs="宋体"/>
          <w:sz w:val="24"/>
          <w:szCs w:val="24"/>
          <w:highlight w:val="none"/>
          <w:lang w:eastAsia="zh-CN"/>
        </w:rPr>
      </w:pPr>
      <w:r>
        <w:rPr>
          <w:rFonts w:hint="eastAsia" w:ascii="宋体" w:hAnsi="宋体" w:eastAsia="宋体" w:cs="宋体"/>
          <w:b/>
          <w:bCs/>
          <w:spacing w:val="-3"/>
          <w:sz w:val="24"/>
          <w:szCs w:val="24"/>
          <w:highlight w:val="none"/>
          <w:lang w:eastAsia="zh-CN"/>
        </w:rPr>
        <w:t>10.3  年度作业计划</w:t>
      </w:r>
    </w:p>
    <w:p w14:paraId="5C9DFC8C">
      <w:pPr>
        <w:spacing w:before="126" w:line="219" w:lineRule="auto"/>
        <w:ind w:left="489"/>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lang w:eastAsia="zh-CN"/>
        </w:rPr>
        <w:t>承包人向</w:t>
      </w:r>
      <w:r>
        <w:rPr>
          <w:rFonts w:hint="eastAsia" w:ascii="宋体" w:hAnsi="宋体" w:eastAsia="宋体" w:cs="宋体"/>
          <w:spacing w:val="-1"/>
          <w:sz w:val="24"/>
          <w:szCs w:val="24"/>
          <w:highlight w:val="none"/>
          <w:lang w:val="en-US" w:eastAsia="zh-CN"/>
        </w:rPr>
        <w:t>发包</w:t>
      </w:r>
      <w:r>
        <w:rPr>
          <w:rFonts w:hint="eastAsia" w:ascii="宋体" w:hAnsi="宋体" w:eastAsia="宋体" w:cs="宋体"/>
          <w:spacing w:val="-1"/>
          <w:sz w:val="24"/>
          <w:szCs w:val="24"/>
          <w:highlight w:val="none"/>
          <w:lang w:eastAsia="zh-CN"/>
        </w:rPr>
        <w:t>人提交下一年度的养护作业计划的内容</w:t>
      </w:r>
      <w:r>
        <w:rPr>
          <w:rFonts w:hint="eastAsia" w:ascii="宋体" w:hAnsi="宋体" w:eastAsia="宋体" w:cs="宋体"/>
          <w:spacing w:val="6"/>
          <w:sz w:val="24"/>
          <w:szCs w:val="24"/>
          <w:highlight w:val="none"/>
          <w:lang w:eastAsia="zh-CN"/>
        </w:rPr>
        <w:t>：</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月度计划</w:t>
      </w:r>
      <w:r>
        <w:rPr>
          <w:rFonts w:hint="eastAsia" w:ascii="宋体" w:hAnsi="宋体" w:eastAsia="宋体" w:cs="宋体"/>
          <w:sz w:val="24"/>
          <w:szCs w:val="24"/>
          <w:highlight w:val="none"/>
          <w:u w:val="single"/>
          <w:lang w:eastAsia="zh-CN"/>
        </w:rPr>
        <w:t>、养护作业方案、</w:t>
      </w:r>
      <w:r>
        <w:rPr>
          <w:rFonts w:hint="eastAsia" w:ascii="宋体" w:hAnsi="宋体" w:eastAsia="宋体" w:cs="宋体"/>
          <w:sz w:val="24"/>
          <w:szCs w:val="24"/>
          <w:highlight w:val="none"/>
          <w:u w:val="single"/>
          <w:lang w:val="en-US" w:eastAsia="zh-CN"/>
        </w:rPr>
        <w:t>效果</w:t>
      </w:r>
      <w:r>
        <w:rPr>
          <w:rFonts w:hint="eastAsia" w:ascii="宋体" w:hAnsi="宋体" w:eastAsia="宋体" w:cs="宋体"/>
          <w:sz w:val="24"/>
          <w:szCs w:val="24"/>
          <w:highlight w:val="none"/>
          <w:u w:val="single"/>
          <w:lang w:eastAsia="zh-CN"/>
        </w:rPr>
        <w:t>及保障措施说明</w:t>
      </w:r>
      <w:r>
        <w:rPr>
          <w:rFonts w:hint="eastAsia" w:ascii="宋体" w:hAnsi="宋体" w:eastAsia="宋体" w:cs="宋体"/>
          <w:sz w:val="24"/>
          <w:szCs w:val="24"/>
          <w:highlight w:val="none"/>
          <w:u w:val="single"/>
          <w:lang w:val="en-US" w:eastAsia="zh-CN"/>
        </w:rPr>
        <w:t xml:space="preserve">等  </w:t>
      </w:r>
      <w:r>
        <w:rPr>
          <w:rFonts w:hint="eastAsia" w:ascii="宋体" w:hAnsi="宋体" w:eastAsia="宋体" w:cs="宋体"/>
          <w:spacing w:val="6"/>
          <w:sz w:val="24"/>
          <w:szCs w:val="24"/>
          <w:highlight w:val="none"/>
          <w:lang w:eastAsia="zh-CN"/>
        </w:rPr>
        <w:t>；</w:t>
      </w:r>
    </w:p>
    <w:p w14:paraId="72DFDA84">
      <w:pPr>
        <w:spacing w:before="114" w:line="219" w:lineRule="auto"/>
        <w:ind w:left="489"/>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lang w:eastAsia="zh-CN"/>
        </w:rPr>
        <w:t>承包人向</w:t>
      </w:r>
      <w:r>
        <w:rPr>
          <w:rFonts w:hint="eastAsia" w:ascii="宋体" w:hAnsi="宋体" w:eastAsia="宋体" w:cs="宋体"/>
          <w:spacing w:val="-1"/>
          <w:sz w:val="24"/>
          <w:szCs w:val="24"/>
          <w:highlight w:val="none"/>
          <w:lang w:val="en-US" w:eastAsia="zh-CN"/>
        </w:rPr>
        <w:t>发包</w:t>
      </w:r>
      <w:r>
        <w:rPr>
          <w:rFonts w:hint="eastAsia" w:ascii="宋体" w:hAnsi="宋体" w:eastAsia="宋体" w:cs="宋体"/>
          <w:spacing w:val="-1"/>
          <w:sz w:val="24"/>
          <w:szCs w:val="24"/>
          <w:highlight w:val="none"/>
          <w:lang w:eastAsia="zh-CN"/>
        </w:rPr>
        <w:t>人提交下一年度的养护作业计划的期限为</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u w:val="single"/>
          <w:lang w:val="en-US" w:eastAsia="zh-CN"/>
        </w:rPr>
        <w:t>14</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96"/>
          <w:sz w:val="24"/>
          <w:szCs w:val="24"/>
          <w:highlight w:val="none"/>
          <w:lang w:eastAsia="zh-CN"/>
        </w:rPr>
        <w:t xml:space="preserve"> </w:t>
      </w:r>
      <w:r>
        <w:rPr>
          <w:rFonts w:hint="eastAsia" w:ascii="宋体" w:hAnsi="宋体" w:eastAsia="宋体" w:cs="宋体"/>
          <w:spacing w:val="-1"/>
          <w:sz w:val="24"/>
          <w:szCs w:val="24"/>
          <w:highlight w:val="none"/>
          <w:lang w:eastAsia="zh-CN"/>
        </w:rPr>
        <w:t>天。</w:t>
      </w:r>
    </w:p>
    <w:p w14:paraId="5F325241">
      <w:pPr>
        <w:spacing w:line="219" w:lineRule="auto"/>
        <w:ind w:firstLine="474" w:firstLineChars="200"/>
        <w:outlineLvl w:val="9"/>
        <w:rPr>
          <w:rFonts w:hint="eastAsia" w:ascii="宋体" w:hAnsi="宋体" w:eastAsia="宋体" w:cs="宋体"/>
          <w:b/>
          <w:bCs/>
          <w:spacing w:val="-2"/>
          <w:sz w:val="24"/>
          <w:szCs w:val="24"/>
          <w:highlight w:val="none"/>
        </w:rPr>
      </w:pPr>
    </w:p>
    <w:p w14:paraId="098E6B28">
      <w:pPr>
        <w:spacing w:before="106" w:line="219" w:lineRule="auto"/>
        <w:ind w:left="495"/>
        <w:outlineLvl w:val="4"/>
        <w:rPr>
          <w:rFonts w:hint="eastAsia" w:ascii="宋体" w:hAnsi="宋体" w:eastAsia="宋体" w:cs="宋体"/>
          <w:b/>
          <w:bCs/>
          <w:spacing w:val="-3"/>
          <w:sz w:val="24"/>
          <w:szCs w:val="24"/>
          <w:highlight w:val="none"/>
          <w:lang w:eastAsia="zh-CN"/>
        </w:rPr>
      </w:pPr>
      <w:bookmarkStart w:id="141" w:name="bookmark252"/>
      <w:bookmarkEnd w:id="141"/>
      <w:bookmarkStart w:id="142" w:name="bookmark86"/>
      <w:bookmarkEnd w:id="142"/>
      <w:bookmarkStart w:id="143" w:name="bookmark85"/>
      <w:bookmarkEnd w:id="143"/>
      <w:bookmarkStart w:id="144" w:name="bookmark90"/>
      <w:bookmarkEnd w:id="144"/>
      <w:bookmarkStart w:id="145" w:name="bookmark87"/>
      <w:bookmarkEnd w:id="145"/>
      <w:bookmarkStart w:id="146" w:name="bookmark88"/>
      <w:bookmarkEnd w:id="146"/>
      <w:bookmarkStart w:id="147" w:name="bookmark89"/>
      <w:bookmarkEnd w:id="147"/>
      <w:r>
        <w:rPr>
          <w:rFonts w:hint="eastAsia" w:ascii="宋体" w:hAnsi="宋体" w:eastAsia="宋体" w:cs="宋体"/>
          <w:b/>
          <w:bCs/>
          <w:spacing w:val="-3"/>
          <w:sz w:val="24"/>
          <w:szCs w:val="24"/>
          <w:highlight w:val="none"/>
          <w:lang w:eastAsia="zh-CN"/>
        </w:rPr>
        <w:t>10.5</w:t>
      </w:r>
      <w:r>
        <w:rPr>
          <w:rFonts w:hint="eastAsia" w:ascii="宋体" w:hAnsi="宋体" w:eastAsia="宋体" w:cs="宋体"/>
          <w:b/>
          <w:bCs/>
          <w:spacing w:val="-3"/>
          <w:sz w:val="24"/>
          <w:szCs w:val="24"/>
          <w:highlight w:val="none"/>
          <w:lang w:val="en-US" w:eastAsia="zh-CN"/>
        </w:rPr>
        <w:t xml:space="preserve">  </w:t>
      </w:r>
      <w:r>
        <w:rPr>
          <w:rFonts w:hint="eastAsia" w:ascii="宋体" w:hAnsi="宋体" w:eastAsia="宋体" w:cs="宋体"/>
          <w:b/>
          <w:bCs/>
          <w:spacing w:val="-3"/>
          <w:sz w:val="24"/>
          <w:szCs w:val="24"/>
          <w:highlight w:val="none"/>
          <w:lang w:eastAsia="zh-CN"/>
        </w:rPr>
        <w:t>月度</w:t>
      </w:r>
      <w:r>
        <w:rPr>
          <w:rFonts w:hint="eastAsia" w:ascii="宋体" w:hAnsi="宋体" w:eastAsia="宋体" w:cs="宋体"/>
          <w:b/>
          <w:bCs/>
          <w:spacing w:val="-3"/>
          <w:sz w:val="24"/>
          <w:szCs w:val="24"/>
          <w:highlight w:val="none"/>
          <w:lang w:val="en-US" w:eastAsia="zh-CN"/>
        </w:rPr>
        <w:t>养护</w:t>
      </w:r>
      <w:r>
        <w:rPr>
          <w:rFonts w:hint="eastAsia" w:ascii="宋体" w:hAnsi="宋体" w:eastAsia="宋体" w:cs="宋体"/>
          <w:b/>
          <w:bCs/>
          <w:spacing w:val="-3"/>
          <w:sz w:val="24"/>
          <w:szCs w:val="24"/>
          <w:highlight w:val="none"/>
          <w:lang w:eastAsia="zh-CN"/>
        </w:rPr>
        <w:t>作业计划</w:t>
      </w:r>
    </w:p>
    <w:p w14:paraId="5F66D057">
      <w:pPr>
        <w:keepNext w:val="0"/>
        <w:keepLines w:val="0"/>
        <w:pageBreakBefore w:val="0"/>
        <w:widowControl/>
        <w:kinsoku w:val="0"/>
        <w:wordWrap/>
        <w:overflowPunct/>
        <w:topLinePunct w:val="0"/>
        <w:autoSpaceDE w:val="0"/>
        <w:autoSpaceDN w:val="0"/>
        <w:bidi w:val="0"/>
        <w:adjustRightInd w:val="0"/>
        <w:snapToGrid w:val="0"/>
        <w:spacing w:before="126" w:line="360" w:lineRule="auto"/>
        <w:ind w:firstLine="476" w:firstLineChars="200"/>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本条增加10.5</w:t>
      </w:r>
      <w:r>
        <w:rPr>
          <w:rFonts w:hint="eastAsia" w:ascii="宋体" w:hAnsi="宋体" w:eastAsia="宋体" w:cs="宋体"/>
          <w:spacing w:val="-1"/>
          <w:sz w:val="24"/>
          <w:szCs w:val="24"/>
          <w:highlight w:val="none"/>
          <w:lang w:val="en-US" w:eastAsia="zh-CN"/>
        </w:rPr>
        <w:t>款</w:t>
      </w:r>
      <w:r>
        <w:rPr>
          <w:rFonts w:hint="eastAsia" w:ascii="宋体" w:hAnsi="宋体" w:eastAsia="宋体" w:cs="宋体"/>
          <w:spacing w:val="-1"/>
          <w:sz w:val="24"/>
          <w:szCs w:val="24"/>
          <w:highlight w:val="none"/>
          <w:lang w:eastAsia="zh-CN"/>
        </w:rPr>
        <w:t xml:space="preserve">： </w:t>
      </w:r>
    </w:p>
    <w:p w14:paraId="519321B9">
      <w:pPr>
        <w:keepNext w:val="0"/>
        <w:keepLines w:val="0"/>
        <w:pageBreakBefore w:val="0"/>
        <w:widowControl/>
        <w:kinsoku w:val="0"/>
        <w:wordWrap/>
        <w:overflowPunct/>
        <w:topLinePunct w:val="0"/>
        <w:autoSpaceDE w:val="0"/>
        <w:autoSpaceDN w:val="0"/>
        <w:bidi w:val="0"/>
        <w:adjustRightInd w:val="0"/>
        <w:snapToGrid w:val="0"/>
        <w:spacing w:before="126" w:line="360" w:lineRule="auto"/>
        <w:ind w:firstLine="476" w:firstLineChars="200"/>
        <w:textAlignment w:val="baseline"/>
        <w:rPr>
          <w:rFonts w:hint="eastAsia" w:ascii="宋体" w:hAnsi="宋体" w:eastAsia="宋体" w:cs="宋体"/>
          <w:b/>
          <w:bCs/>
          <w:spacing w:val="-3"/>
          <w:sz w:val="24"/>
          <w:szCs w:val="24"/>
          <w:highlight w:val="none"/>
        </w:rPr>
      </w:pPr>
      <w:r>
        <w:rPr>
          <w:rFonts w:hint="eastAsia" w:ascii="宋体" w:hAnsi="宋体" w:eastAsia="宋体" w:cs="宋体"/>
          <w:spacing w:val="-1"/>
          <w:sz w:val="24"/>
          <w:szCs w:val="24"/>
          <w:highlight w:val="none"/>
          <w:lang w:eastAsia="zh-CN"/>
        </w:rPr>
        <w:t>承包人应在每月下旬向发包人提交下月度</w:t>
      </w:r>
      <w:r>
        <w:rPr>
          <w:rFonts w:hint="eastAsia" w:ascii="宋体" w:hAnsi="宋体" w:eastAsia="宋体" w:cs="宋体"/>
          <w:spacing w:val="-1"/>
          <w:sz w:val="24"/>
          <w:szCs w:val="24"/>
          <w:highlight w:val="none"/>
          <w:lang w:val="en-US" w:eastAsia="zh-CN"/>
        </w:rPr>
        <w:t>养护</w:t>
      </w:r>
      <w:r>
        <w:rPr>
          <w:rFonts w:hint="eastAsia" w:ascii="宋体" w:hAnsi="宋体" w:eastAsia="宋体" w:cs="宋体"/>
          <w:spacing w:val="-1"/>
          <w:sz w:val="24"/>
          <w:szCs w:val="24"/>
          <w:highlight w:val="none"/>
          <w:lang w:eastAsia="zh-CN"/>
        </w:rPr>
        <w:t>作业计划，报发包人审批。发包人也可以在每月下旬直接向承包人下达</w:t>
      </w:r>
      <w:r>
        <w:rPr>
          <w:rFonts w:hint="eastAsia" w:ascii="宋体" w:hAnsi="宋体" w:eastAsia="宋体" w:cs="宋体"/>
          <w:spacing w:val="-1"/>
          <w:sz w:val="24"/>
          <w:szCs w:val="24"/>
          <w:highlight w:val="none"/>
          <w:lang w:val="en-US" w:eastAsia="zh-CN"/>
        </w:rPr>
        <w:t>下月</w:t>
      </w:r>
      <w:r>
        <w:rPr>
          <w:rFonts w:hint="eastAsia" w:ascii="宋体" w:hAnsi="宋体" w:eastAsia="宋体" w:cs="宋体"/>
          <w:spacing w:val="-1"/>
          <w:sz w:val="24"/>
          <w:szCs w:val="24"/>
          <w:highlight w:val="none"/>
          <w:lang w:eastAsia="zh-CN"/>
        </w:rPr>
        <w:t>度</w:t>
      </w:r>
      <w:r>
        <w:rPr>
          <w:rFonts w:hint="eastAsia" w:ascii="宋体" w:hAnsi="宋体" w:eastAsia="宋体" w:cs="宋体"/>
          <w:spacing w:val="-1"/>
          <w:sz w:val="24"/>
          <w:szCs w:val="24"/>
          <w:highlight w:val="none"/>
          <w:lang w:val="en-US" w:eastAsia="zh-CN"/>
        </w:rPr>
        <w:t>养护</w:t>
      </w:r>
      <w:r>
        <w:rPr>
          <w:rFonts w:hint="eastAsia" w:ascii="宋体" w:hAnsi="宋体" w:eastAsia="宋体" w:cs="宋体"/>
          <w:spacing w:val="-1"/>
          <w:sz w:val="24"/>
          <w:szCs w:val="24"/>
          <w:highlight w:val="none"/>
          <w:lang w:eastAsia="zh-CN"/>
        </w:rPr>
        <w:t>作业计划或根据实际需要下达工作</w:t>
      </w:r>
      <w:r>
        <w:rPr>
          <w:rFonts w:hint="eastAsia" w:ascii="宋体" w:hAnsi="宋体" w:eastAsia="宋体" w:cs="宋体"/>
          <w:spacing w:val="-1"/>
          <w:sz w:val="24"/>
          <w:szCs w:val="24"/>
          <w:highlight w:val="none"/>
          <w:lang w:val="en-US" w:eastAsia="zh-CN"/>
        </w:rPr>
        <w:t>任务</w:t>
      </w:r>
      <w:r>
        <w:rPr>
          <w:rFonts w:hint="eastAsia" w:ascii="宋体" w:hAnsi="宋体" w:eastAsia="宋体" w:cs="宋体"/>
          <w:spacing w:val="-1"/>
          <w:sz w:val="24"/>
          <w:szCs w:val="24"/>
          <w:highlight w:val="none"/>
          <w:lang w:eastAsia="zh-CN"/>
        </w:rPr>
        <w:t>指令。承包人应按</w:t>
      </w:r>
      <w:r>
        <w:rPr>
          <w:rFonts w:hint="eastAsia" w:ascii="宋体" w:hAnsi="宋体" w:eastAsia="宋体" w:cs="宋体"/>
          <w:spacing w:val="-1"/>
          <w:sz w:val="24"/>
          <w:szCs w:val="24"/>
          <w:highlight w:val="none"/>
          <w:lang w:val="en-US" w:eastAsia="zh-CN"/>
        </w:rPr>
        <w:t>发包人</w:t>
      </w:r>
      <w:r>
        <w:rPr>
          <w:rFonts w:hint="eastAsia" w:ascii="宋体" w:hAnsi="宋体" w:eastAsia="宋体" w:cs="宋体"/>
          <w:spacing w:val="-1"/>
          <w:sz w:val="24"/>
          <w:szCs w:val="24"/>
          <w:highlight w:val="none"/>
          <w:lang w:eastAsia="zh-CN"/>
        </w:rPr>
        <w:t>批准的月度</w:t>
      </w:r>
      <w:r>
        <w:rPr>
          <w:rFonts w:hint="eastAsia" w:ascii="宋体" w:hAnsi="宋体" w:eastAsia="宋体" w:cs="宋体"/>
          <w:spacing w:val="-1"/>
          <w:sz w:val="24"/>
          <w:szCs w:val="24"/>
          <w:highlight w:val="none"/>
          <w:lang w:val="en-US" w:eastAsia="zh-CN"/>
        </w:rPr>
        <w:t>养护</w:t>
      </w:r>
      <w:r>
        <w:rPr>
          <w:rFonts w:hint="eastAsia" w:ascii="宋体" w:hAnsi="宋体" w:eastAsia="宋体" w:cs="宋体"/>
          <w:spacing w:val="-1"/>
          <w:sz w:val="24"/>
          <w:szCs w:val="24"/>
          <w:highlight w:val="none"/>
          <w:lang w:eastAsia="zh-CN"/>
        </w:rPr>
        <w:t>作业计划、</w:t>
      </w:r>
      <w:r>
        <w:rPr>
          <w:rFonts w:hint="eastAsia" w:ascii="宋体" w:hAnsi="宋体" w:eastAsia="宋体" w:cs="宋体"/>
          <w:spacing w:val="-1"/>
          <w:sz w:val="24"/>
          <w:szCs w:val="24"/>
          <w:highlight w:val="none"/>
          <w:lang w:val="en-US" w:eastAsia="zh-CN"/>
        </w:rPr>
        <w:t>发包人直接下达</w:t>
      </w:r>
      <w:r>
        <w:rPr>
          <w:rFonts w:hint="eastAsia" w:ascii="宋体" w:hAnsi="宋体" w:eastAsia="宋体" w:cs="宋体"/>
          <w:spacing w:val="-1"/>
          <w:sz w:val="24"/>
          <w:szCs w:val="24"/>
          <w:highlight w:val="none"/>
          <w:lang w:eastAsia="zh-CN"/>
        </w:rPr>
        <w:t>的月度</w:t>
      </w:r>
      <w:r>
        <w:rPr>
          <w:rFonts w:hint="eastAsia" w:ascii="宋体" w:hAnsi="宋体" w:eastAsia="宋体" w:cs="宋体"/>
          <w:spacing w:val="-1"/>
          <w:sz w:val="24"/>
          <w:szCs w:val="24"/>
          <w:highlight w:val="none"/>
          <w:lang w:val="en-US" w:eastAsia="zh-CN"/>
        </w:rPr>
        <w:t>养护</w:t>
      </w:r>
      <w:r>
        <w:rPr>
          <w:rFonts w:hint="eastAsia" w:ascii="宋体" w:hAnsi="宋体" w:eastAsia="宋体" w:cs="宋体"/>
          <w:spacing w:val="-1"/>
          <w:sz w:val="24"/>
          <w:szCs w:val="24"/>
          <w:highlight w:val="none"/>
          <w:lang w:eastAsia="zh-CN"/>
        </w:rPr>
        <w:t>作业计划</w:t>
      </w:r>
      <w:r>
        <w:rPr>
          <w:rFonts w:hint="eastAsia" w:ascii="宋体" w:hAnsi="宋体" w:eastAsia="宋体" w:cs="宋体"/>
          <w:spacing w:val="-1"/>
          <w:sz w:val="24"/>
          <w:szCs w:val="24"/>
          <w:highlight w:val="none"/>
          <w:lang w:val="en-US" w:eastAsia="zh-CN"/>
        </w:rPr>
        <w:t>及</w:t>
      </w:r>
      <w:r>
        <w:rPr>
          <w:rFonts w:hint="eastAsia" w:ascii="宋体" w:hAnsi="宋体" w:eastAsia="宋体" w:cs="宋体"/>
          <w:spacing w:val="-1"/>
          <w:sz w:val="24"/>
          <w:szCs w:val="24"/>
          <w:highlight w:val="none"/>
          <w:lang w:eastAsia="zh-CN"/>
        </w:rPr>
        <w:t>工作</w:t>
      </w:r>
      <w:r>
        <w:rPr>
          <w:rFonts w:hint="eastAsia" w:ascii="宋体" w:hAnsi="宋体" w:eastAsia="宋体" w:cs="宋体"/>
          <w:spacing w:val="-1"/>
          <w:sz w:val="24"/>
          <w:szCs w:val="24"/>
          <w:highlight w:val="none"/>
          <w:lang w:val="en-US" w:eastAsia="zh-CN"/>
        </w:rPr>
        <w:t>任务</w:t>
      </w:r>
      <w:r>
        <w:rPr>
          <w:rFonts w:hint="eastAsia" w:ascii="宋体" w:hAnsi="宋体" w:eastAsia="宋体" w:cs="宋体"/>
          <w:spacing w:val="-1"/>
          <w:sz w:val="24"/>
          <w:szCs w:val="24"/>
          <w:highlight w:val="none"/>
          <w:lang w:eastAsia="zh-CN"/>
        </w:rPr>
        <w:t>指令执行，</w:t>
      </w:r>
      <w:r>
        <w:rPr>
          <w:rFonts w:hint="eastAsia" w:ascii="宋体" w:hAnsi="宋体" w:eastAsia="宋体" w:cs="宋体"/>
          <w:spacing w:val="-1"/>
          <w:sz w:val="24"/>
          <w:szCs w:val="24"/>
          <w:highlight w:val="none"/>
          <w:lang w:val="en-US" w:eastAsia="zh-CN"/>
        </w:rPr>
        <w:t>不按发包人批准或下达计划实施的养护作业，发包人不予计量支付。</w:t>
      </w:r>
      <w:r>
        <w:rPr>
          <w:rFonts w:hint="eastAsia" w:ascii="宋体" w:hAnsi="宋体" w:eastAsia="宋体" w:cs="宋体"/>
          <w:spacing w:val="-1"/>
          <w:sz w:val="24"/>
          <w:szCs w:val="24"/>
          <w:highlight w:val="none"/>
          <w:lang w:eastAsia="zh-CN"/>
        </w:rPr>
        <w:t xml:space="preserve"> </w:t>
      </w:r>
      <w:bookmarkStart w:id="148" w:name="bookmark92"/>
      <w:bookmarkEnd w:id="148"/>
      <w:bookmarkStart w:id="149" w:name="bookmark91"/>
      <w:bookmarkEnd w:id="149"/>
    </w:p>
    <w:p w14:paraId="06E64573">
      <w:pPr>
        <w:spacing w:before="78" w:line="221" w:lineRule="auto"/>
        <w:ind w:left="485"/>
        <w:outlineLvl w:val="3"/>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11.  开工和交工</w:t>
      </w:r>
    </w:p>
    <w:p w14:paraId="2C1292EB">
      <w:pPr>
        <w:spacing w:before="35" w:line="219" w:lineRule="auto"/>
        <w:ind w:left="485"/>
        <w:outlineLvl w:val="4"/>
        <w:rPr>
          <w:rFonts w:hint="eastAsia" w:ascii="宋体" w:hAnsi="宋体" w:eastAsia="宋体" w:cs="宋体"/>
          <w:sz w:val="24"/>
          <w:szCs w:val="24"/>
          <w:highlight w:val="none"/>
          <w:lang w:eastAsia="zh-CN"/>
        </w:rPr>
      </w:pPr>
      <w:r>
        <w:rPr>
          <w:rFonts w:hint="eastAsia" w:ascii="宋体" w:hAnsi="宋体" w:eastAsia="宋体" w:cs="宋体"/>
          <w:b/>
          <w:bCs/>
          <w:spacing w:val="-3"/>
          <w:sz w:val="24"/>
          <w:szCs w:val="24"/>
          <w:highlight w:val="none"/>
          <w:lang w:eastAsia="zh-CN"/>
        </w:rPr>
        <w:t>11.4 异常恶劣的气候条件</w:t>
      </w:r>
    </w:p>
    <w:p w14:paraId="42F6F2D2">
      <w:pPr>
        <w:keepNext w:val="0"/>
        <w:keepLines w:val="0"/>
        <w:pageBreakBefore w:val="0"/>
        <w:widowControl/>
        <w:kinsoku w:val="0"/>
        <w:wordWrap/>
        <w:overflowPunct/>
        <w:topLinePunct w:val="0"/>
        <w:autoSpaceDE w:val="0"/>
        <w:autoSpaceDN w:val="0"/>
        <w:bidi w:val="0"/>
        <w:adjustRightInd w:val="0"/>
        <w:snapToGrid w:val="0"/>
        <w:spacing w:before="269" w:line="360" w:lineRule="auto"/>
        <w:ind w:left="481"/>
        <w:textAlignment w:val="baseline"/>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lang w:eastAsia="zh-CN"/>
        </w:rPr>
        <w:t>异常恶劣的气候条件的范围：</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u w:val="single"/>
          <w:lang w:val="en-US" w:eastAsia="zh-CN"/>
        </w:rPr>
        <w:t>/</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lang w:eastAsia="zh-CN"/>
        </w:rPr>
        <w:t>。</w:t>
      </w:r>
    </w:p>
    <w:p w14:paraId="2888AFA9">
      <w:pPr>
        <w:keepNext w:val="0"/>
        <w:keepLines w:val="0"/>
        <w:pageBreakBefore w:val="0"/>
        <w:widowControl/>
        <w:kinsoku w:val="0"/>
        <w:wordWrap/>
        <w:overflowPunct/>
        <w:topLinePunct w:val="0"/>
        <w:autoSpaceDE w:val="0"/>
        <w:autoSpaceDN w:val="0"/>
        <w:bidi w:val="0"/>
        <w:adjustRightInd w:val="0"/>
        <w:snapToGrid w:val="0"/>
        <w:spacing w:before="78" w:line="360" w:lineRule="auto"/>
        <w:ind w:left="485"/>
        <w:textAlignment w:val="baseline"/>
        <w:outlineLvl w:val="3"/>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11.  开工和交工</w:t>
      </w:r>
    </w:p>
    <w:p w14:paraId="6BE5E65B">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2"/>
        <w:textAlignment w:val="baseline"/>
        <w:rPr>
          <w:rFonts w:hint="eastAsia" w:ascii="宋体" w:hAnsi="宋体" w:eastAsia="宋体" w:cs="宋体"/>
          <w:kern w:val="0"/>
          <w:sz w:val="24"/>
          <w:szCs w:val="24"/>
          <w:highlight w:val="none"/>
        </w:rPr>
      </w:pPr>
      <w:r>
        <w:rPr>
          <w:rFonts w:hint="eastAsia" w:ascii="宋体" w:hAnsi="宋体" w:eastAsia="宋体" w:cs="宋体"/>
          <w:b/>
          <w:bCs/>
          <w:color w:val="000000"/>
          <w:kern w:val="0"/>
          <w:sz w:val="24"/>
          <w:szCs w:val="24"/>
          <w:highlight w:val="none"/>
        </w:rPr>
        <w:t xml:space="preserve">11.5 承包人引起的工期延误 </w:t>
      </w:r>
    </w:p>
    <w:p w14:paraId="12310632">
      <w:pPr>
        <w:keepNext w:val="0"/>
        <w:keepLines w:val="0"/>
        <w:pageBreakBefore w:val="0"/>
        <w:widowControl/>
        <w:kinsoku w:val="0"/>
        <w:wordWrap/>
        <w:overflowPunct/>
        <w:topLinePunct w:val="0"/>
        <w:autoSpaceDE w:val="0"/>
        <w:autoSpaceDN w:val="0"/>
        <w:bidi w:val="0"/>
        <w:adjustRightInd w:val="0"/>
        <w:snapToGrid w:val="0"/>
        <w:spacing w:before="122" w:line="360" w:lineRule="auto"/>
        <w:ind w:firstLine="510"/>
        <w:textAlignment w:val="baseline"/>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本款修改为：由于承包人原因，未能按</w:t>
      </w:r>
      <w:r>
        <w:rPr>
          <w:rFonts w:hint="eastAsia" w:ascii="宋体" w:hAnsi="宋体" w:eastAsia="宋体" w:cs="宋体"/>
          <w:sz w:val="24"/>
          <w:szCs w:val="24"/>
          <w:highlight w:val="none"/>
          <w:lang w:val="en-US" w:eastAsia="zh-CN"/>
        </w:rPr>
        <w:t>年度、月度</w:t>
      </w:r>
      <w:r>
        <w:rPr>
          <w:rFonts w:hint="eastAsia" w:ascii="宋体" w:hAnsi="宋体" w:eastAsia="宋体" w:cs="宋体"/>
          <w:sz w:val="24"/>
          <w:szCs w:val="24"/>
          <w:highlight w:val="none"/>
        </w:rPr>
        <w:t>进度计划完成</w:t>
      </w:r>
      <w:r>
        <w:rPr>
          <w:rFonts w:hint="eastAsia" w:ascii="宋体" w:hAnsi="宋体" w:eastAsia="宋体" w:cs="宋体"/>
          <w:sz w:val="24"/>
          <w:szCs w:val="24"/>
          <w:highlight w:val="none"/>
          <w:lang w:val="en-US" w:eastAsia="zh-CN"/>
        </w:rPr>
        <w:t>的</w:t>
      </w:r>
      <w:r>
        <w:rPr>
          <w:rFonts w:hint="eastAsia" w:ascii="宋体" w:hAnsi="宋体" w:eastAsia="宋体" w:cs="宋体"/>
          <w:sz w:val="24"/>
          <w:szCs w:val="24"/>
          <w:highlight w:val="none"/>
        </w:rPr>
        <w:t>或发包人认为承包人</w:t>
      </w:r>
      <w:r>
        <w:rPr>
          <w:rFonts w:hint="eastAsia" w:ascii="宋体" w:hAnsi="宋体" w:eastAsia="宋体" w:cs="宋体"/>
          <w:sz w:val="24"/>
          <w:szCs w:val="24"/>
          <w:highlight w:val="none"/>
          <w:lang w:val="en-US" w:eastAsia="zh-CN"/>
        </w:rPr>
        <w:t>无法完成年度、月度</w:t>
      </w:r>
      <w:r>
        <w:rPr>
          <w:rFonts w:hint="eastAsia" w:ascii="宋体" w:hAnsi="宋体" w:eastAsia="宋体" w:cs="宋体"/>
          <w:sz w:val="24"/>
          <w:szCs w:val="24"/>
          <w:highlight w:val="none"/>
        </w:rPr>
        <w:t>进度</w:t>
      </w:r>
      <w:r>
        <w:rPr>
          <w:rFonts w:hint="eastAsia" w:ascii="宋体" w:hAnsi="宋体" w:eastAsia="宋体" w:cs="宋体"/>
          <w:sz w:val="24"/>
          <w:szCs w:val="24"/>
          <w:highlight w:val="none"/>
          <w:lang w:val="en-US" w:eastAsia="zh-CN"/>
        </w:rPr>
        <w:t>计划的</w:t>
      </w:r>
      <w:r>
        <w:rPr>
          <w:rFonts w:hint="eastAsia" w:ascii="宋体" w:hAnsi="宋体" w:eastAsia="宋体" w:cs="宋体"/>
          <w:sz w:val="24"/>
          <w:szCs w:val="24"/>
          <w:highlight w:val="none"/>
        </w:rPr>
        <w:t>，发包人</w:t>
      </w:r>
      <w:r>
        <w:rPr>
          <w:rFonts w:hint="eastAsia" w:ascii="宋体" w:hAnsi="宋体" w:eastAsia="宋体" w:cs="宋体"/>
          <w:sz w:val="24"/>
          <w:szCs w:val="24"/>
          <w:highlight w:val="none"/>
          <w:lang w:val="en-US" w:eastAsia="zh-CN"/>
        </w:rPr>
        <w:t>应</w:t>
      </w:r>
      <w:r>
        <w:rPr>
          <w:rFonts w:hint="eastAsia" w:ascii="宋体" w:hAnsi="宋体" w:eastAsia="宋体" w:cs="宋体"/>
          <w:sz w:val="24"/>
          <w:szCs w:val="24"/>
          <w:highlight w:val="none"/>
        </w:rPr>
        <w:t>按</w:t>
      </w:r>
      <w:r>
        <w:rPr>
          <w:rFonts w:hint="eastAsia" w:ascii="宋体" w:hAnsi="宋体" w:eastAsia="宋体" w:cs="宋体"/>
          <w:sz w:val="24"/>
          <w:szCs w:val="24"/>
          <w:highlight w:val="none"/>
          <w:lang w:val="en-US" w:eastAsia="zh-CN"/>
        </w:rPr>
        <w:t>《广西壮族自治区桂林公路发展中心公路养护服务工作要求及考核办法》</w:t>
      </w:r>
      <w:r>
        <w:rPr>
          <w:rFonts w:hint="eastAsia" w:ascii="宋体" w:hAnsi="宋体" w:eastAsia="宋体" w:cs="宋体"/>
          <w:sz w:val="24"/>
          <w:szCs w:val="24"/>
          <w:highlight w:val="none"/>
        </w:rPr>
        <w:t>处理，并有权指定第三方实施</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相关费用</w:t>
      </w:r>
      <w:r>
        <w:rPr>
          <w:rFonts w:hint="eastAsia" w:ascii="宋体" w:hAnsi="宋体" w:eastAsia="宋体" w:cs="宋体"/>
          <w:sz w:val="24"/>
          <w:szCs w:val="24"/>
          <w:highlight w:val="none"/>
          <w:lang w:val="en-US" w:eastAsia="zh-CN"/>
        </w:rPr>
        <w:t>及损失</w:t>
      </w:r>
      <w:r>
        <w:rPr>
          <w:rFonts w:hint="eastAsia" w:ascii="宋体" w:hAnsi="宋体" w:eastAsia="宋体" w:cs="宋体"/>
          <w:sz w:val="24"/>
          <w:szCs w:val="24"/>
          <w:highlight w:val="none"/>
        </w:rPr>
        <w:t>由承包人</w:t>
      </w:r>
      <w:r>
        <w:rPr>
          <w:rFonts w:hint="eastAsia" w:ascii="宋体" w:hAnsi="宋体" w:eastAsia="宋体" w:cs="宋体"/>
          <w:sz w:val="24"/>
          <w:szCs w:val="24"/>
          <w:highlight w:val="none"/>
          <w:lang w:val="en-US" w:eastAsia="zh-CN"/>
        </w:rPr>
        <w:t>承担。</w:t>
      </w:r>
    </w:p>
    <w:p w14:paraId="2FDDCA1D">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2"/>
        <w:textAlignment w:val="baseline"/>
        <w:rPr>
          <w:rFonts w:hint="eastAsia" w:ascii="宋体" w:hAnsi="宋体" w:eastAsia="宋体" w:cs="宋体"/>
          <w:kern w:val="0"/>
          <w:sz w:val="24"/>
          <w:szCs w:val="24"/>
          <w:highlight w:val="none"/>
        </w:rPr>
      </w:pPr>
      <w:r>
        <w:rPr>
          <w:rFonts w:hint="eastAsia" w:ascii="宋体" w:hAnsi="宋体" w:eastAsia="宋体" w:cs="宋体"/>
          <w:b/>
          <w:bCs/>
          <w:color w:val="000000"/>
          <w:kern w:val="0"/>
          <w:sz w:val="24"/>
          <w:szCs w:val="24"/>
          <w:highlight w:val="none"/>
        </w:rPr>
        <w:t xml:space="preserve">11.6 工作时间的限制 </w:t>
      </w:r>
    </w:p>
    <w:p w14:paraId="02546293">
      <w:pPr>
        <w:keepNext w:val="0"/>
        <w:keepLines w:val="0"/>
        <w:pageBreakBefore w:val="0"/>
        <w:widowControl/>
        <w:kinsoku w:val="0"/>
        <w:wordWrap/>
        <w:overflowPunct/>
        <w:topLinePunct w:val="0"/>
        <w:autoSpaceDE w:val="0"/>
        <w:autoSpaceDN w:val="0"/>
        <w:bidi w:val="0"/>
        <w:adjustRightInd w:val="0"/>
        <w:snapToGrid w:val="0"/>
        <w:spacing w:before="122" w:line="360" w:lineRule="auto"/>
        <w:ind w:firstLine="510"/>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本款将“本款不适用于习惯上或养护项目本身要求实行连续生产的作业”修改为“本款约定不适用于习惯上或养护项目本身要求实行连续生产的作业，包含应急处置或应急养护。” </w:t>
      </w:r>
    </w:p>
    <w:p w14:paraId="28ABC359">
      <w:pPr>
        <w:spacing w:before="122" w:line="307" w:lineRule="auto"/>
        <w:ind w:firstLine="510"/>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rPr>
        <w:t>12.</w:t>
      </w:r>
      <w:r>
        <w:rPr>
          <w:rFonts w:hint="eastAsia" w:ascii="宋体" w:hAnsi="宋体" w:eastAsia="宋体" w:cs="宋体"/>
          <w:b/>
          <w:bCs/>
          <w:spacing w:val="8"/>
          <w:sz w:val="24"/>
          <w:szCs w:val="24"/>
          <w:highlight w:val="none"/>
        </w:rPr>
        <w:t xml:space="preserve">  </w:t>
      </w:r>
      <w:r>
        <w:rPr>
          <w:rFonts w:hint="eastAsia" w:ascii="宋体" w:hAnsi="宋体" w:eastAsia="宋体" w:cs="宋体"/>
          <w:b/>
          <w:bCs/>
          <w:spacing w:val="-5"/>
          <w:sz w:val="24"/>
          <w:szCs w:val="24"/>
          <w:highlight w:val="none"/>
        </w:rPr>
        <w:t>暂停养护作业</w:t>
      </w:r>
    </w:p>
    <w:p w14:paraId="25A88D3F">
      <w:pPr>
        <w:spacing w:before="116" w:line="219" w:lineRule="auto"/>
        <w:ind w:left="485"/>
        <w:outlineLvl w:val="4"/>
        <w:rPr>
          <w:rFonts w:hint="eastAsia" w:ascii="宋体" w:hAnsi="宋体" w:eastAsia="宋体" w:cs="宋体"/>
          <w:sz w:val="24"/>
          <w:szCs w:val="24"/>
          <w:highlight w:val="none"/>
          <w:lang w:eastAsia="zh-CN"/>
        </w:rPr>
      </w:pPr>
      <w:r>
        <w:rPr>
          <w:rFonts w:hint="eastAsia" w:ascii="宋体" w:hAnsi="宋体" w:eastAsia="宋体" w:cs="宋体"/>
          <w:b/>
          <w:bCs/>
          <w:spacing w:val="-3"/>
          <w:sz w:val="24"/>
          <w:szCs w:val="24"/>
          <w:highlight w:val="none"/>
          <w:lang w:eastAsia="zh-CN"/>
        </w:rPr>
        <w:t>12.1  承包人暂停养护作业的责任</w:t>
      </w:r>
    </w:p>
    <w:p w14:paraId="32ADECF9">
      <w:pPr>
        <w:spacing w:before="125" w:line="219" w:lineRule="auto"/>
        <w:ind w:left="497"/>
        <w:rPr>
          <w:rFonts w:hint="eastAsia" w:ascii="宋体" w:hAnsi="宋体" w:eastAsia="宋体" w:cs="宋体"/>
          <w:b/>
          <w:bCs/>
          <w:spacing w:val="-3"/>
          <w:sz w:val="24"/>
          <w:szCs w:val="24"/>
          <w:highlight w:val="none"/>
        </w:rPr>
      </w:pPr>
      <w:r>
        <w:rPr>
          <w:rFonts w:hint="eastAsia" w:ascii="宋体" w:hAnsi="宋体" w:eastAsia="宋体" w:cs="宋体"/>
          <w:spacing w:val="-1"/>
          <w:sz w:val="24"/>
          <w:szCs w:val="24"/>
          <w:highlight w:val="none"/>
          <w:lang w:eastAsia="zh-CN"/>
        </w:rPr>
        <w:t>12.1  （6）由承包人承担的其他暂停养护作业情形：</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u w:val="single"/>
          <w:lang w:val="en-US" w:eastAsia="zh-CN"/>
        </w:rPr>
        <w:t>/</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lang w:eastAsia="zh-CN"/>
        </w:rPr>
        <w:t>。</w:t>
      </w:r>
    </w:p>
    <w:p w14:paraId="691CDD0C">
      <w:pPr>
        <w:keepNext w:val="0"/>
        <w:keepLines w:val="0"/>
        <w:pageBreakBefore w:val="0"/>
        <w:widowControl/>
        <w:kinsoku w:val="0"/>
        <w:wordWrap/>
        <w:overflowPunct/>
        <w:topLinePunct w:val="0"/>
        <w:autoSpaceDE w:val="0"/>
        <w:autoSpaceDN w:val="0"/>
        <w:bidi w:val="0"/>
        <w:adjustRightInd w:val="0"/>
        <w:snapToGrid w:val="0"/>
        <w:spacing w:before="78" w:line="360" w:lineRule="auto"/>
        <w:ind w:left="485"/>
        <w:textAlignment w:val="baseline"/>
        <w:outlineLvl w:val="3"/>
        <w:rPr>
          <w:rFonts w:hint="eastAsia" w:ascii="宋体" w:hAnsi="宋体" w:eastAsia="宋体" w:cs="宋体"/>
          <w:b/>
          <w:bCs/>
          <w:spacing w:val="-3"/>
          <w:sz w:val="24"/>
          <w:szCs w:val="24"/>
          <w:highlight w:val="none"/>
        </w:rPr>
      </w:pPr>
      <w:r>
        <w:rPr>
          <w:rFonts w:hint="eastAsia" w:ascii="宋体" w:hAnsi="宋体" w:eastAsia="宋体" w:cs="宋体"/>
          <w:b/>
          <w:bCs/>
          <w:spacing w:val="-3"/>
          <w:sz w:val="24"/>
          <w:szCs w:val="24"/>
          <w:highlight w:val="none"/>
        </w:rPr>
        <w:t xml:space="preserve">13. </w:t>
      </w:r>
      <w:r>
        <w:rPr>
          <w:rFonts w:hint="eastAsia" w:ascii="宋体" w:hAnsi="宋体" w:eastAsia="宋体" w:cs="宋体"/>
          <w:b/>
          <w:bCs/>
          <w:spacing w:val="-3"/>
          <w:sz w:val="24"/>
          <w:szCs w:val="24"/>
          <w:highlight w:val="none"/>
          <w:lang w:val="en-US" w:eastAsia="zh-CN"/>
        </w:rPr>
        <w:t xml:space="preserve"> </w:t>
      </w:r>
      <w:r>
        <w:rPr>
          <w:rFonts w:hint="eastAsia" w:ascii="宋体" w:hAnsi="宋体" w:eastAsia="宋体" w:cs="宋体"/>
          <w:b/>
          <w:bCs/>
          <w:spacing w:val="-3"/>
          <w:sz w:val="24"/>
          <w:szCs w:val="24"/>
          <w:highlight w:val="none"/>
        </w:rPr>
        <w:t xml:space="preserve">养护质量 </w:t>
      </w:r>
    </w:p>
    <w:p w14:paraId="4C6DFEEB">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76" w:firstLineChars="200"/>
        <w:textAlignment w:val="baseline"/>
        <w:rPr>
          <w:rFonts w:hint="eastAsia" w:ascii="宋体" w:hAnsi="宋体" w:eastAsia="宋体" w:cs="宋体"/>
          <w:spacing w:val="-1"/>
          <w:kern w:val="2"/>
          <w:sz w:val="24"/>
          <w:szCs w:val="24"/>
          <w:highlight w:val="none"/>
          <w:lang w:val="en-US" w:eastAsia="zh-CN" w:bidi="ar-SA"/>
        </w:rPr>
      </w:pPr>
      <w:r>
        <w:rPr>
          <w:rFonts w:hint="eastAsia" w:ascii="宋体" w:hAnsi="宋体" w:eastAsia="宋体" w:cs="宋体"/>
          <w:spacing w:val="-1"/>
          <w:kern w:val="2"/>
          <w:sz w:val="24"/>
          <w:szCs w:val="24"/>
          <w:highlight w:val="none"/>
          <w:lang w:val="en-US" w:eastAsia="zh-CN" w:bidi="ar-SA"/>
        </w:rPr>
        <w:t xml:space="preserve">13.1 养护质量要求 </w:t>
      </w:r>
    </w:p>
    <w:p w14:paraId="02187DDC">
      <w:pPr>
        <w:pStyle w:val="17"/>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eastAsia" w:ascii="宋体" w:hAnsi="宋体" w:eastAsia="宋体" w:cs="宋体"/>
          <w:b/>
          <w:bCs/>
          <w:spacing w:val="-7"/>
          <w:sz w:val="24"/>
          <w:szCs w:val="24"/>
          <w:highlight w:val="none"/>
        </w:rPr>
      </w:pPr>
      <w:r>
        <w:rPr>
          <w:rFonts w:hint="eastAsia" w:ascii="宋体" w:hAnsi="宋体" w:eastAsia="宋体" w:cs="宋体"/>
          <w:spacing w:val="-1"/>
          <w:kern w:val="2"/>
          <w:sz w:val="24"/>
          <w:szCs w:val="24"/>
          <w:highlight w:val="none"/>
          <w:lang w:val="en-US" w:eastAsia="zh-CN" w:bidi="ar-SA"/>
        </w:rPr>
        <w:t>13.1.1 本项细化为：养护项目质量验收应合格并符合《公路养护技术标准》（JTG 5110—2023）、《公路路基养护技术规范》（JTG5150-2020)、《公路水泥混凝土路面养护技术规范》（JTJ 073.1-2001）、《公路沥青路面养护技术规范》（JTG 5142-2019）、《公路桥涵养护规范》（JTG5120-2021)、《公路隧道养护技术规范》（JTG H12-2015）、《公路交通安全设施施工技术规范》（JTG/T 3671-2021)、《公路养护工程质量检验评定标准》（JTG 5220-2020）及《广西壮族自治区桂林公路发展中心公路养护服务工作要求及考核办法》的要求。</w:t>
      </w:r>
    </w:p>
    <w:p w14:paraId="72DEB924">
      <w:pPr>
        <w:spacing w:before="78" w:line="221" w:lineRule="auto"/>
        <w:ind w:left="485"/>
        <w:outlineLvl w:val="3"/>
        <w:rPr>
          <w:rFonts w:hint="eastAsia" w:ascii="宋体" w:hAnsi="宋体" w:eastAsia="宋体" w:cs="宋体"/>
          <w:sz w:val="24"/>
          <w:szCs w:val="24"/>
          <w:highlight w:val="none"/>
        </w:rPr>
      </w:pPr>
      <w:r>
        <w:rPr>
          <w:rFonts w:hint="eastAsia" w:ascii="宋体" w:hAnsi="宋体" w:eastAsia="宋体" w:cs="宋体"/>
          <w:b/>
          <w:bCs/>
          <w:spacing w:val="-7"/>
          <w:sz w:val="24"/>
          <w:szCs w:val="24"/>
          <w:highlight w:val="none"/>
        </w:rPr>
        <w:t>15.</w:t>
      </w:r>
      <w:r>
        <w:rPr>
          <w:rFonts w:hint="eastAsia" w:ascii="宋体" w:hAnsi="宋体" w:eastAsia="宋体" w:cs="宋体"/>
          <w:b/>
          <w:bCs/>
          <w:spacing w:val="6"/>
          <w:sz w:val="24"/>
          <w:szCs w:val="24"/>
          <w:highlight w:val="none"/>
        </w:rPr>
        <w:t xml:space="preserve">  </w:t>
      </w:r>
      <w:r>
        <w:rPr>
          <w:rFonts w:hint="eastAsia" w:ascii="宋体" w:hAnsi="宋体" w:eastAsia="宋体" w:cs="宋体"/>
          <w:b/>
          <w:bCs/>
          <w:spacing w:val="-7"/>
          <w:sz w:val="24"/>
          <w:szCs w:val="24"/>
          <w:highlight w:val="none"/>
        </w:rPr>
        <w:t>变更</w:t>
      </w:r>
    </w:p>
    <w:p w14:paraId="3131545A">
      <w:pPr>
        <w:spacing w:before="111" w:line="218" w:lineRule="auto"/>
        <w:ind w:left="485"/>
        <w:outlineLvl w:val="4"/>
        <w:rPr>
          <w:rFonts w:hint="eastAsia" w:ascii="宋体" w:hAnsi="宋体" w:eastAsia="宋体" w:cs="宋体"/>
          <w:sz w:val="24"/>
          <w:szCs w:val="24"/>
          <w:highlight w:val="none"/>
          <w:lang w:eastAsia="zh-CN"/>
        </w:rPr>
      </w:pPr>
      <w:r>
        <w:rPr>
          <w:rFonts w:hint="eastAsia" w:ascii="宋体" w:hAnsi="宋体" w:eastAsia="宋体" w:cs="宋体"/>
          <w:b/>
          <w:bCs/>
          <w:spacing w:val="-3"/>
          <w:sz w:val="24"/>
          <w:szCs w:val="24"/>
          <w:highlight w:val="none"/>
          <w:lang w:eastAsia="zh-CN"/>
        </w:rPr>
        <w:t>15.4  变更的估价原则</w:t>
      </w:r>
    </w:p>
    <w:p w14:paraId="78C3FEDE">
      <w:pPr>
        <w:spacing w:before="127" w:line="304" w:lineRule="auto"/>
        <w:ind w:right="46" w:firstLine="497"/>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lang w:eastAsia="zh-CN"/>
        </w:rPr>
        <w:t>15.4.4  变更工作在已标价工程量清单中无适用或类似子目的单价时，确定其单</w:t>
      </w:r>
      <w:r>
        <w:rPr>
          <w:rFonts w:hint="eastAsia" w:ascii="宋体" w:hAnsi="宋体" w:eastAsia="宋体" w:cs="宋体"/>
          <w:spacing w:val="-1"/>
          <w:sz w:val="24"/>
          <w:szCs w:val="24"/>
          <w:highlight w:val="none"/>
          <w:lang w:eastAsia="zh-CN"/>
        </w:rPr>
        <w:t>价遵循的原则为：</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z w:val="24"/>
          <w:szCs w:val="24"/>
          <w:highlight w:val="none"/>
          <w:u w:val="single"/>
          <w:lang w:eastAsia="zh-CN"/>
        </w:rPr>
        <w:t>参考同期造价信息部门公布的信息价，按公路日常养护、养护工程定额组价计算，由发包人与承包人双方商定或确定单价  。</w:t>
      </w:r>
    </w:p>
    <w:p w14:paraId="6E9DDF3E">
      <w:pPr>
        <w:spacing w:before="1" w:line="217" w:lineRule="auto"/>
        <w:ind w:left="485"/>
        <w:outlineLvl w:val="4"/>
        <w:rPr>
          <w:rFonts w:hint="eastAsia" w:ascii="宋体" w:hAnsi="宋体" w:eastAsia="宋体" w:cs="宋体"/>
          <w:sz w:val="24"/>
          <w:szCs w:val="24"/>
          <w:highlight w:val="none"/>
          <w:lang w:eastAsia="zh-CN"/>
        </w:rPr>
      </w:pPr>
      <w:r>
        <w:rPr>
          <w:rFonts w:hint="eastAsia" w:ascii="宋体" w:hAnsi="宋体" w:eastAsia="宋体" w:cs="宋体"/>
          <w:b/>
          <w:bCs/>
          <w:spacing w:val="-6"/>
          <w:sz w:val="24"/>
          <w:szCs w:val="24"/>
          <w:highlight w:val="none"/>
          <w:lang w:eastAsia="zh-CN"/>
        </w:rPr>
        <w:t>15.8</w:t>
      </w:r>
      <w:r>
        <w:rPr>
          <w:rFonts w:hint="eastAsia" w:ascii="宋体" w:hAnsi="宋体" w:eastAsia="宋体" w:cs="宋体"/>
          <w:b/>
          <w:bCs/>
          <w:spacing w:val="19"/>
          <w:w w:val="101"/>
          <w:sz w:val="24"/>
          <w:szCs w:val="24"/>
          <w:highlight w:val="none"/>
          <w:lang w:eastAsia="zh-CN"/>
        </w:rPr>
        <w:t xml:space="preserve"> </w:t>
      </w:r>
      <w:r>
        <w:rPr>
          <w:rFonts w:hint="eastAsia" w:ascii="宋体" w:hAnsi="宋体" w:eastAsia="宋体" w:cs="宋体"/>
          <w:b/>
          <w:bCs/>
          <w:spacing w:val="-6"/>
          <w:sz w:val="24"/>
          <w:szCs w:val="24"/>
          <w:highlight w:val="none"/>
          <w:lang w:eastAsia="zh-CN"/>
        </w:rPr>
        <w:t>暂估价</w:t>
      </w:r>
    </w:p>
    <w:p w14:paraId="2A24DEF1">
      <w:pPr>
        <w:spacing w:before="127" w:line="218" w:lineRule="auto"/>
        <w:ind w:firstLine="476" w:firstLineChars="200"/>
        <w:jc w:val="both"/>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lang w:eastAsia="zh-CN"/>
        </w:rPr>
        <w:t>按暂估价确定的工程、材料、工程设备、服务的实施主体为：</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b/>
          <w:bCs/>
          <w:color w:val="auto"/>
          <w:spacing w:val="-2"/>
          <w:sz w:val="24"/>
          <w:szCs w:val="24"/>
          <w:highlight w:val="none"/>
          <w:u w:val="single"/>
          <w:lang w:eastAsia="zh-CN"/>
        </w:rPr>
        <w:t xml:space="preserve"> </w:t>
      </w:r>
      <w:r>
        <w:rPr>
          <w:rFonts w:hint="eastAsia" w:ascii="宋体" w:hAnsi="宋体" w:eastAsia="宋体" w:cs="宋体"/>
          <w:b/>
          <w:bCs/>
          <w:color w:val="auto"/>
          <w:spacing w:val="-2"/>
          <w:sz w:val="24"/>
          <w:szCs w:val="24"/>
          <w:highlight w:val="none"/>
          <w:u w:val="single"/>
        </w:rPr>
        <w:t>承包人</w:t>
      </w:r>
      <w:r>
        <w:rPr>
          <w:rFonts w:hint="eastAsia" w:ascii="宋体" w:hAnsi="宋体" w:eastAsia="宋体" w:cs="宋体"/>
          <w:b/>
          <w:bCs/>
          <w:color w:val="auto"/>
          <w:spacing w:val="-2"/>
          <w:sz w:val="24"/>
          <w:szCs w:val="24"/>
          <w:highlight w:val="none"/>
          <w:u w:val="single"/>
          <w:lang w:eastAsia="zh-CN"/>
        </w:rPr>
        <w:t>。</w:t>
      </w:r>
      <w:r>
        <w:rPr>
          <w:rFonts w:hint="eastAsia" w:ascii="宋体" w:hAnsi="宋体" w:eastAsia="宋体" w:cs="宋体"/>
          <w:spacing w:val="-2"/>
          <w:sz w:val="24"/>
          <w:szCs w:val="24"/>
          <w:highlight w:val="none"/>
          <w:u w:val="single"/>
          <w:lang w:eastAsia="zh-CN"/>
        </w:rPr>
        <w:t xml:space="preserve">          </w:t>
      </w:r>
    </w:p>
    <w:p w14:paraId="48889114">
      <w:pPr>
        <w:spacing w:before="78" w:line="218" w:lineRule="auto"/>
        <w:ind w:left="485"/>
        <w:outlineLvl w:val="3"/>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rPr>
        <w:t>16.</w:t>
      </w:r>
      <w:r>
        <w:rPr>
          <w:rFonts w:hint="eastAsia" w:ascii="宋体" w:hAnsi="宋体" w:eastAsia="宋体" w:cs="宋体"/>
          <w:b/>
          <w:bCs/>
          <w:spacing w:val="5"/>
          <w:sz w:val="24"/>
          <w:szCs w:val="24"/>
          <w:highlight w:val="none"/>
        </w:rPr>
        <w:t xml:space="preserve">  </w:t>
      </w:r>
      <w:r>
        <w:rPr>
          <w:rFonts w:hint="eastAsia" w:ascii="宋体" w:hAnsi="宋体" w:eastAsia="宋体" w:cs="宋体"/>
          <w:b/>
          <w:bCs/>
          <w:spacing w:val="-5"/>
          <w:sz w:val="24"/>
          <w:szCs w:val="24"/>
          <w:highlight w:val="none"/>
        </w:rPr>
        <w:t>价格调整</w:t>
      </w:r>
    </w:p>
    <w:p w14:paraId="18868193">
      <w:pPr>
        <w:keepNext w:val="0"/>
        <w:keepLines w:val="0"/>
        <w:pageBreakBefore w:val="0"/>
        <w:widowControl/>
        <w:kinsoku w:val="0"/>
        <w:wordWrap/>
        <w:overflowPunct/>
        <w:topLinePunct w:val="0"/>
        <w:autoSpaceDE w:val="0"/>
        <w:autoSpaceDN w:val="0"/>
        <w:bidi w:val="0"/>
        <w:adjustRightInd w:val="0"/>
        <w:snapToGrid w:val="0"/>
        <w:spacing w:before="118" w:line="360" w:lineRule="auto"/>
        <w:ind w:left="485"/>
        <w:textAlignment w:val="baseline"/>
        <w:outlineLvl w:val="4"/>
        <w:rPr>
          <w:rFonts w:hint="eastAsia" w:ascii="宋体" w:hAnsi="宋体" w:eastAsia="宋体" w:cs="宋体"/>
          <w:b/>
          <w:bCs/>
          <w:spacing w:val="-2"/>
          <w:sz w:val="24"/>
          <w:szCs w:val="24"/>
          <w:highlight w:val="none"/>
          <w:lang w:eastAsia="zh-CN"/>
        </w:rPr>
      </w:pPr>
      <w:r>
        <w:rPr>
          <w:rFonts w:hint="eastAsia" w:ascii="宋体" w:hAnsi="宋体" w:eastAsia="宋体" w:cs="宋体"/>
          <w:b/>
          <w:bCs/>
          <w:spacing w:val="-2"/>
          <w:sz w:val="24"/>
          <w:szCs w:val="24"/>
          <w:highlight w:val="none"/>
          <w:lang w:eastAsia="zh-CN"/>
        </w:rPr>
        <w:t>16.1  物价波动引起的价格调整</w:t>
      </w:r>
    </w:p>
    <w:p w14:paraId="12A6936A">
      <w:pPr>
        <w:keepNext w:val="0"/>
        <w:keepLines w:val="0"/>
        <w:pageBreakBefore w:val="0"/>
        <w:widowControl/>
        <w:kinsoku w:val="0"/>
        <w:wordWrap/>
        <w:overflowPunct/>
        <w:topLinePunct w:val="0"/>
        <w:autoSpaceDE w:val="0"/>
        <w:autoSpaceDN w:val="0"/>
        <w:bidi w:val="0"/>
        <w:adjustRightInd w:val="0"/>
        <w:snapToGrid w:val="0"/>
        <w:spacing w:before="118" w:line="360" w:lineRule="auto"/>
        <w:ind w:left="485"/>
        <w:textAlignment w:val="baseline"/>
        <w:outlineLvl w:val="4"/>
        <w:rPr>
          <w:rFonts w:hint="eastAsia" w:ascii="宋体" w:hAnsi="宋体" w:eastAsia="宋体" w:cs="宋体"/>
          <w:b/>
          <w:bCs/>
          <w:spacing w:val="-2"/>
          <w:sz w:val="24"/>
          <w:szCs w:val="24"/>
          <w:highlight w:val="none"/>
          <w:lang w:val="en-US" w:eastAsia="zh-CN"/>
        </w:rPr>
      </w:pPr>
      <w:r>
        <w:rPr>
          <w:rFonts w:hint="eastAsia" w:ascii="宋体" w:hAnsi="宋体" w:eastAsia="宋体" w:cs="宋体"/>
          <w:b/>
          <w:bCs/>
          <w:spacing w:val="-2"/>
          <w:sz w:val="24"/>
          <w:szCs w:val="24"/>
          <w:highlight w:val="none"/>
          <w:lang w:val="en-US" w:eastAsia="zh-CN"/>
        </w:rPr>
        <w:t>本款修改为：</w:t>
      </w:r>
    </w:p>
    <w:p w14:paraId="204E7311">
      <w:pPr>
        <w:keepNext w:val="0"/>
        <w:keepLines w:val="0"/>
        <w:pageBreakBefore w:val="0"/>
        <w:widowControl/>
        <w:kinsoku w:val="0"/>
        <w:wordWrap/>
        <w:overflowPunct/>
        <w:topLinePunct w:val="0"/>
        <w:autoSpaceDE w:val="0"/>
        <w:autoSpaceDN w:val="0"/>
        <w:bidi w:val="0"/>
        <w:adjustRightInd w:val="0"/>
        <w:snapToGrid w:val="0"/>
        <w:spacing w:before="117" w:line="360" w:lineRule="auto"/>
        <w:ind w:firstLine="476" w:firstLineChars="200"/>
        <w:textAlignment w:val="baseline"/>
        <w:rPr>
          <w:rFonts w:hint="eastAsia" w:ascii="宋体" w:hAnsi="宋体" w:eastAsia="宋体" w:cs="宋体"/>
          <w:spacing w:val="-1"/>
          <w:sz w:val="24"/>
          <w:szCs w:val="24"/>
          <w:highlight w:val="none"/>
          <w:lang w:val="en-US" w:eastAsia="zh-CN"/>
        </w:rPr>
      </w:pPr>
      <w:r>
        <w:rPr>
          <w:rFonts w:hint="eastAsia" w:ascii="宋体" w:hAnsi="宋体" w:eastAsia="宋体" w:cs="宋体"/>
          <w:spacing w:val="-1"/>
          <w:sz w:val="24"/>
          <w:szCs w:val="24"/>
          <w:highlight w:val="none"/>
          <w:lang w:eastAsia="zh-CN"/>
        </w:rPr>
        <w:t>在合同履行期间，由于人工、材料和设备价格的上涨而引起养护成本增加的风险由承包人自行承担，合同价</w:t>
      </w:r>
      <w:r>
        <w:rPr>
          <w:rFonts w:hint="eastAsia" w:ascii="宋体" w:hAnsi="宋体" w:eastAsia="宋体" w:cs="宋体"/>
          <w:spacing w:val="-1"/>
          <w:sz w:val="24"/>
          <w:szCs w:val="24"/>
          <w:highlight w:val="none"/>
          <w:lang w:val="en-US" w:eastAsia="zh-CN"/>
        </w:rPr>
        <w:t>不予</w:t>
      </w:r>
      <w:r>
        <w:rPr>
          <w:rFonts w:hint="eastAsia" w:ascii="宋体" w:hAnsi="宋体" w:eastAsia="宋体" w:cs="宋体"/>
          <w:spacing w:val="-1"/>
          <w:sz w:val="24"/>
          <w:szCs w:val="24"/>
          <w:highlight w:val="none"/>
          <w:lang w:eastAsia="zh-CN"/>
        </w:rPr>
        <w:t>调整。</w:t>
      </w:r>
    </w:p>
    <w:p w14:paraId="57515E29">
      <w:pPr>
        <w:keepNext w:val="0"/>
        <w:keepLines w:val="0"/>
        <w:pageBreakBefore w:val="0"/>
        <w:widowControl/>
        <w:kinsoku w:val="0"/>
        <w:wordWrap/>
        <w:overflowPunct/>
        <w:topLinePunct w:val="0"/>
        <w:autoSpaceDE w:val="0"/>
        <w:autoSpaceDN w:val="0"/>
        <w:bidi w:val="0"/>
        <w:adjustRightInd w:val="0"/>
        <w:snapToGrid w:val="0"/>
        <w:spacing w:before="127" w:line="360" w:lineRule="auto"/>
        <w:ind w:left="497"/>
        <w:textAlignment w:val="baseline"/>
        <w:rPr>
          <w:rFonts w:hint="eastAsia" w:ascii="宋体" w:hAnsi="宋体" w:eastAsia="宋体" w:cs="宋体"/>
          <w:sz w:val="24"/>
          <w:szCs w:val="24"/>
          <w:highlight w:val="none"/>
          <w:lang w:eastAsia="zh-CN"/>
        </w:rPr>
      </w:pPr>
      <w:r>
        <w:rPr>
          <w:rFonts w:hint="eastAsia" w:ascii="宋体" w:hAnsi="宋体" w:eastAsia="宋体" w:cs="宋体"/>
          <w:spacing w:val="-2"/>
          <w:sz w:val="24"/>
          <w:szCs w:val="24"/>
          <w:highlight w:val="none"/>
          <w:lang w:eastAsia="zh-CN"/>
        </w:rPr>
        <w:t>16.1.1  采用造价信息调整价格差额</w:t>
      </w:r>
    </w:p>
    <w:p w14:paraId="45A4A97C">
      <w:pPr>
        <w:keepNext w:val="0"/>
        <w:keepLines w:val="0"/>
        <w:pageBreakBefore w:val="0"/>
        <w:widowControl/>
        <w:kinsoku w:val="0"/>
        <w:wordWrap/>
        <w:overflowPunct/>
        <w:topLinePunct w:val="0"/>
        <w:autoSpaceDE w:val="0"/>
        <w:autoSpaceDN w:val="0"/>
        <w:bidi w:val="0"/>
        <w:adjustRightInd w:val="0"/>
        <w:snapToGrid w:val="0"/>
        <w:spacing w:before="117" w:line="360" w:lineRule="auto"/>
        <w:ind w:left="497"/>
        <w:textAlignment w:val="baseline"/>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lang w:eastAsia="zh-CN"/>
        </w:rPr>
        <w:t>16.1.1.1  需要进行价格调整的材</w:t>
      </w:r>
      <w:r>
        <w:rPr>
          <w:rFonts w:hint="eastAsia" w:ascii="宋体" w:hAnsi="宋体" w:eastAsia="宋体" w:cs="宋体"/>
          <w:spacing w:val="-2"/>
          <w:sz w:val="24"/>
          <w:szCs w:val="24"/>
          <w:highlight w:val="none"/>
          <w:lang w:eastAsia="zh-CN"/>
        </w:rPr>
        <w:t>料的种类为</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lang w:eastAsia="zh-CN"/>
        </w:rPr>
        <w:t>；</w:t>
      </w:r>
    </w:p>
    <w:p w14:paraId="5BB821D2">
      <w:pPr>
        <w:keepNext w:val="0"/>
        <w:keepLines w:val="0"/>
        <w:pageBreakBefore w:val="0"/>
        <w:widowControl/>
        <w:kinsoku w:val="0"/>
        <w:wordWrap/>
        <w:overflowPunct/>
        <w:topLinePunct w:val="0"/>
        <w:autoSpaceDE w:val="0"/>
        <w:autoSpaceDN w:val="0"/>
        <w:bidi w:val="0"/>
        <w:adjustRightInd w:val="0"/>
        <w:snapToGrid w:val="0"/>
        <w:spacing w:before="115" w:line="360" w:lineRule="auto"/>
        <w:ind w:left="482"/>
        <w:textAlignment w:val="baseline"/>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lang w:eastAsia="zh-CN"/>
        </w:rPr>
        <w:t>发布的养护项目所在地的材料信息价机构</w:t>
      </w:r>
      <w:r>
        <w:rPr>
          <w:rFonts w:hint="eastAsia" w:ascii="宋体" w:hAnsi="宋体" w:eastAsia="宋体" w:cs="宋体"/>
          <w:spacing w:val="1"/>
          <w:sz w:val="24"/>
          <w:szCs w:val="24"/>
          <w:highlight w:val="none"/>
          <w:lang w:eastAsia="zh-CN"/>
        </w:rPr>
        <w:t>：</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pacing w:val="1"/>
          <w:sz w:val="24"/>
          <w:szCs w:val="24"/>
          <w:highlight w:val="none"/>
          <w:lang w:eastAsia="zh-CN"/>
        </w:rPr>
        <w:t>；</w:t>
      </w:r>
    </w:p>
    <w:p w14:paraId="3EE40B95">
      <w:pPr>
        <w:keepNext w:val="0"/>
        <w:keepLines w:val="0"/>
        <w:pageBreakBefore w:val="0"/>
        <w:widowControl/>
        <w:kinsoku w:val="0"/>
        <w:wordWrap/>
        <w:overflowPunct/>
        <w:topLinePunct w:val="0"/>
        <w:autoSpaceDE w:val="0"/>
        <w:autoSpaceDN w:val="0"/>
        <w:bidi w:val="0"/>
        <w:adjustRightInd w:val="0"/>
        <w:snapToGrid w:val="0"/>
        <w:spacing w:before="117" w:line="360" w:lineRule="auto"/>
        <w:ind w:left="479"/>
        <w:textAlignment w:val="baseline"/>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lang w:eastAsia="zh-CN"/>
        </w:rPr>
        <w:t>承包人在本计量周期内已完成实体工程量的材料数量</w:t>
      </w:r>
      <w:r>
        <w:rPr>
          <w:rFonts w:hint="eastAsia" w:ascii="宋体" w:hAnsi="宋体" w:eastAsia="宋体" w:cs="宋体"/>
          <w:spacing w:val="6"/>
          <w:sz w:val="24"/>
          <w:szCs w:val="24"/>
          <w:highlight w:val="none"/>
          <w:lang w:eastAsia="zh-CN"/>
        </w:rPr>
        <w:t>：</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pacing w:val="6"/>
          <w:sz w:val="24"/>
          <w:szCs w:val="24"/>
          <w:highlight w:val="none"/>
          <w:lang w:eastAsia="zh-CN"/>
        </w:rPr>
        <w:t>；</w:t>
      </w:r>
    </w:p>
    <w:p w14:paraId="0906167C">
      <w:pPr>
        <w:spacing w:before="117" w:line="218" w:lineRule="auto"/>
        <w:ind w:left="480"/>
        <w:rPr>
          <w:rFonts w:hint="eastAsia" w:ascii="宋体" w:hAnsi="宋体" w:eastAsia="宋体" w:cs="宋体"/>
          <w:b/>
          <w:bCs/>
          <w:spacing w:val="-3"/>
          <w:sz w:val="24"/>
          <w:szCs w:val="24"/>
          <w:highlight w:val="none"/>
          <w:lang w:eastAsia="zh-CN"/>
        </w:rPr>
      </w:pPr>
      <w:r>
        <w:rPr>
          <w:rFonts w:hint="eastAsia" w:ascii="宋体" w:hAnsi="宋体" w:eastAsia="宋体" w:cs="宋体"/>
          <w:spacing w:val="-1"/>
          <w:sz w:val="24"/>
          <w:szCs w:val="24"/>
          <w:highlight w:val="none"/>
          <w:lang w:eastAsia="zh-CN"/>
        </w:rPr>
        <w:t>风险幅度系数：</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u w:val="single"/>
          <w:lang w:val="en-US" w:eastAsia="zh-CN"/>
        </w:rPr>
        <w:t>/</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lang w:eastAsia="zh-CN"/>
        </w:rPr>
        <w:t>。</w:t>
      </w:r>
    </w:p>
    <w:p w14:paraId="3599B119">
      <w:pPr>
        <w:spacing w:before="78" w:line="219" w:lineRule="auto"/>
        <w:ind w:left="485"/>
        <w:outlineLvl w:val="3"/>
        <w:rPr>
          <w:rFonts w:hint="eastAsia" w:ascii="宋体" w:hAnsi="宋体" w:eastAsia="宋体" w:cs="宋体"/>
          <w:sz w:val="24"/>
          <w:szCs w:val="24"/>
          <w:highlight w:val="none"/>
          <w:lang w:eastAsia="zh-CN"/>
        </w:rPr>
      </w:pPr>
      <w:r>
        <w:rPr>
          <w:rFonts w:hint="eastAsia" w:ascii="宋体" w:hAnsi="宋体" w:eastAsia="宋体" w:cs="宋体"/>
          <w:b/>
          <w:bCs/>
          <w:spacing w:val="-3"/>
          <w:sz w:val="24"/>
          <w:szCs w:val="24"/>
          <w:highlight w:val="none"/>
          <w:lang w:eastAsia="zh-CN"/>
        </w:rPr>
        <w:t>17.  计量与支付</w:t>
      </w:r>
    </w:p>
    <w:p w14:paraId="3280F8DC">
      <w:pPr>
        <w:spacing w:before="113" w:line="221" w:lineRule="auto"/>
        <w:ind w:left="485"/>
        <w:outlineLvl w:val="4"/>
        <w:rPr>
          <w:rFonts w:hint="eastAsia" w:ascii="宋体" w:hAnsi="宋体" w:eastAsia="宋体" w:cs="宋体"/>
          <w:sz w:val="24"/>
          <w:szCs w:val="24"/>
          <w:highlight w:val="none"/>
          <w:lang w:eastAsia="zh-CN"/>
        </w:rPr>
      </w:pPr>
      <w:r>
        <w:rPr>
          <w:rFonts w:hint="eastAsia" w:ascii="宋体" w:hAnsi="宋体" w:eastAsia="宋体" w:cs="宋体"/>
          <w:b/>
          <w:bCs/>
          <w:spacing w:val="-6"/>
          <w:sz w:val="24"/>
          <w:szCs w:val="24"/>
          <w:highlight w:val="none"/>
          <w:lang w:eastAsia="zh-CN"/>
        </w:rPr>
        <w:t>17.1</w:t>
      </w:r>
      <w:r>
        <w:rPr>
          <w:rFonts w:hint="eastAsia" w:ascii="宋体" w:hAnsi="宋体" w:eastAsia="宋体" w:cs="宋体"/>
          <w:b/>
          <w:bCs/>
          <w:spacing w:val="7"/>
          <w:sz w:val="24"/>
          <w:szCs w:val="24"/>
          <w:highlight w:val="none"/>
          <w:lang w:eastAsia="zh-CN"/>
        </w:rPr>
        <w:t xml:space="preserve">  </w:t>
      </w:r>
      <w:r>
        <w:rPr>
          <w:rFonts w:hint="eastAsia" w:ascii="宋体" w:hAnsi="宋体" w:eastAsia="宋体" w:cs="宋体"/>
          <w:b/>
          <w:bCs/>
          <w:spacing w:val="-6"/>
          <w:sz w:val="24"/>
          <w:szCs w:val="24"/>
          <w:highlight w:val="none"/>
          <w:lang w:eastAsia="zh-CN"/>
        </w:rPr>
        <w:t>计量</w:t>
      </w:r>
    </w:p>
    <w:p w14:paraId="61B40AD6">
      <w:pPr>
        <w:spacing w:before="123" w:line="220" w:lineRule="auto"/>
        <w:ind w:left="497"/>
        <w:rPr>
          <w:rFonts w:hint="eastAsia" w:ascii="宋体" w:hAnsi="宋体" w:eastAsia="宋体" w:cs="宋体"/>
          <w:sz w:val="24"/>
          <w:szCs w:val="24"/>
          <w:highlight w:val="none"/>
          <w:lang w:eastAsia="zh-CN"/>
        </w:rPr>
      </w:pPr>
      <w:r>
        <w:rPr>
          <w:rFonts w:hint="eastAsia" w:ascii="宋体" w:hAnsi="宋体" w:eastAsia="宋体" w:cs="宋体"/>
          <w:spacing w:val="-3"/>
          <w:sz w:val="24"/>
          <w:szCs w:val="24"/>
          <w:highlight w:val="none"/>
          <w:lang w:eastAsia="zh-CN"/>
        </w:rPr>
        <w:t>17.1.3  计量周期</w:t>
      </w:r>
    </w:p>
    <w:p w14:paraId="4EA06CE8">
      <w:pPr>
        <w:spacing w:before="115" w:line="218" w:lineRule="auto"/>
        <w:ind w:left="490"/>
        <w:rPr>
          <w:rFonts w:hint="eastAsia" w:ascii="宋体" w:hAnsi="宋体" w:eastAsia="宋体" w:cs="宋体"/>
          <w:sz w:val="24"/>
          <w:szCs w:val="24"/>
          <w:highlight w:val="none"/>
          <w:lang w:val="en-US" w:eastAsia="zh-CN"/>
        </w:rPr>
      </w:pPr>
      <w:r>
        <w:rPr>
          <w:rFonts w:hint="eastAsia" w:ascii="宋体" w:hAnsi="宋体" w:eastAsia="宋体" w:cs="宋体"/>
          <w:spacing w:val="-1"/>
          <w:sz w:val="24"/>
          <w:szCs w:val="24"/>
          <w:highlight w:val="none"/>
          <w:lang w:eastAsia="zh-CN"/>
        </w:rPr>
        <w:t>（2）总价子目的计量周期：</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4"/>
          <w:sz w:val="24"/>
          <w:szCs w:val="24"/>
          <w:highlight w:val="none"/>
          <w:u w:val="single"/>
        </w:rPr>
        <w:t>按</w:t>
      </w:r>
      <w:r>
        <w:rPr>
          <w:rFonts w:hint="eastAsia" w:ascii="宋体" w:hAnsi="宋体" w:eastAsia="宋体" w:cs="宋体"/>
          <w:spacing w:val="4"/>
          <w:sz w:val="24"/>
          <w:szCs w:val="24"/>
          <w:highlight w:val="none"/>
          <w:u w:val="single"/>
          <w:lang w:val="en-US" w:eastAsia="zh-CN"/>
        </w:rPr>
        <w:t>实际支出进度</w:t>
      </w:r>
      <w:r>
        <w:rPr>
          <w:rFonts w:hint="eastAsia" w:ascii="宋体" w:hAnsi="宋体" w:eastAsia="宋体" w:cs="宋体"/>
          <w:spacing w:val="4"/>
          <w:sz w:val="24"/>
          <w:szCs w:val="24"/>
          <w:highlight w:val="none"/>
          <w:u w:val="single"/>
          <w:lang w:eastAsia="zh-CN"/>
        </w:rPr>
        <w:t>。</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u w:val="single"/>
          <w:lang w:val="en-US" w:eastAsia="zh-CN"/>
        </w:rPr>
        <w:t xml:space="preserve">          </w:t>
      </w:r>
    </w:p>
    <w:p w14:paraId="3D5AB37C">
      <w:pPr>
        <w:spacing w:before="117" w:line="218" w:lineRule="auto"/>
        <w:ind w:left="497"/>
        <w:rPr>
          <w:rFonts w:hint="eastAsia" w:ascii="宋体" w:hAnsi="宋体" w:eastAsia="宋体" w:cs="宋体"/>
          <w:sz w:val="24"/>
          <w:szCs w:val="24"/>
          <w:highlight w:val="none"/>
          <w:lang w:eastAsia="zh-CN"/>
        </w:rPr>
      </w:pPr>
      <w:r>
        <w:rPr>
          <w:rFonts w:hint="eastAsia" w:ascii="宋体" w:hAnsi="宋体" w:eastAsia="宋体" w:cs="宋体"/>
          <w:spacing w:val="-2"/>
          <w:sz w:val="24"/>
          <w:szCs w:val="24"/>
          <w:highlight w:val="none"/>
          <w:lang w:eastAsia="zh-CN"/>
        </w:rPr>
        <w:t>17.1.5  总价子目的计量</w:t>
      </w:r>
    </w:p>
    <w:p w14:paraId="5FCF0B5B">
      <w:pPr>
        <w:spacing w:before="115" w:line="218" w:lineRule="auto"/>
        <w:ind w:left="480" w:firstLine="236" w:firstLineChars="100"/>
        <w:rPr>
          <w:rFonts w:hint="eastAsia" w:ascii="宋体" w:hAnsi="宋体" w:eastAsia="宋体" w:cs="宋体"/>
          <w:sz w:val="24"/>
          <w:szCs w:val="24"/>
          <w:highlight w:val="none"/>
          <w:lang w:eastAsia="zh-CN"/>
        </w:rPr>
      </w:pPr>
      <w:r>
        <w:rPr>
          <w:rFonts w:hint="eastAsia" w:ascii="宋体" w:hAnsi="宋体" w:eastAsia="宋体" w:cs="宋体"/>
          <w:spacing w:val="-2"/>
          <w:sz w:val="24"/>
          <w:szCs w:val="24"/>
          <w:highlight w:val="none"/>
          <w:lang w:eastAsia="zh-CN"/>
        </w:rPr>
        <w:t>本项第（2）</w:t>
      </w:r>
      <w:r>
        <w:rPr>
          <w:rFonts w:hint="eastAsia" w:ascii="宋体" w:hAnsi="宋体" w:eastAsia="宋体" w:cs="宋体"/>
          <w:spacing w:val="-64"/>
          <w:sz w:val="24"/>
          <w:szCs w:val="24"/>
          <w:highlight w:val="none"/>
          <w:lang w:eastAsia="zh-CN"/>
        </w:rPr>
        <w:t xml:space="preserve"> </w:t>
      </w:r>
      <w:r>
        <w:rPr>
          <w:rFonts w:hint="eastAsia" w:ascii="宋体" w:hAnsi="宋体" w:eastAsia="宋体" w:cs="宋体"/>
          <w:spacing w:val="-2"/>
          <w:sz w:val="24"/>
          <w:szCs w:val="24"/>
          <w:highlight w:val="none"/>
          <w:lang w:eastAsia="zh-CN"/>
        </w:rPr>
        <w:t>目补充：合同总价支付分解表为：</w:t>
      </w:r>
      <w:r>
        <w:rPr>
          <w:rFonts w:hint="eastAsia" w:ascii="宋体" w:hAnsi="宋体" w:eastAsia="宋体" w:cs="宋体"/>
          <w:spacing w:val="-2"/>
          <w:sz w:val="24"/>
          <w:szCs w:val="24"/>
          <w:highlight w:val="none"/>
          <w:u w:val="single"/>
          <w:lang w:eastAsia="zh-CN"/>
        </w:rPr>
        <w:t xml:space="preserve">  </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u w:val="single"/>
          <w:lang w:val="en-US" w:eastAsia="zh-CN"/>
        </w:rPr>
        <w:t>/</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2"/>
          <w:sz w:val="24"/>
          <w:szCs w:val="24"/>
          <w:highlight w:val="none"/>
          <w:u w:val="single"/>
          <w:lang w:eastAsia="zh-CN"/>
        </w:rPr>
        <w:t xml:space="preserve">   </w:t>
      </w:r>
      <w:r>
        <w:rPr>
          <w:rFonts w:hint="eastAsia" w:ascii="宋体" w:hAnsi="宋体" w:eastAsia="宋体" w:cs="宋体"/>
          <w:spacing w:val="-2"/>
          <w:sz w:val="24"/>
          <w:szCs w:val="24"/>
          <w:highlight w:val="none"/>
          <w:lang w:eastAsia="zh-CN"/>
        </w:rPr>
        <w:t>。</w:t>
      </w:r>
    </w:p>
    <w:p w14:paraId="45817D7E">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708" w:firstLineChars="300"/>
        <w:textAlignment w:val="baseline"/>
        <w:rPr>
          <w:rFonts w:hint="eastAsia" w:ascii="宋体" w:hAnsi="宋体" w:eastAsia="宋体" w:cs="宋体"/>
          <w:spacing w:val="4"/>
          <w:sz w:val="24"/>
          <w:szCs w:val="24"/>
          <w:highlight w:val="none"/>
          <w:u w:val="single"/>
        </w:rPr>
      </w:pPr>
      <w:r>
        <w:rPr>
          <w:rFonts w:hint="eastAsia" w:ascii="宋体" w:hAnsi="宋体" w:eastAsia="宋体" w:cs="宋体"/>
          <w:spacing w:val="-2"/>
          <w:sz w:val="24"/>
          <w:szCs w:val="24"/>
          <w:highlight w:val="none"/>
          <w:lang w:eastAsia="zh-CN"/>
        </w:rPr>
        <w:t>本项第（5）</w:t>
      </w:r>
      <w:r>
        <w:rPr>
          <w:rFonts w:hint="eastAsia" w:ascii="宋体" w:hAnsi="宋体" w:eastAsia="宋体" w:cs="宋体"/>
          <w:spacing w:val="-52"/>
          <w:sz w:val="24"/>
          <w:szCs w:val="24"/>
          <w:highlight w:val="none"/>
          <w:lang w:eastAsia="zh-CN"/>
        </w:rPr>
        <w:t xml:space="preserve"> </w:t>
      </w:r>
      <w:r>
        <w:rPr>
          <w:rFonts w:hint="eastAsia" w:ascii="宋体" w:hAnsi="宋体" w:eastAsia="宋体" w:cs="宋体"/>
          <w:spacing w:val="-2"/>
          <w:sz w:val="24"/>
          <w:szCs w:val="24"/>
          <w:highlight w:val="none"/>
          <w:lang w:eastAsia="zh-CN"/>
        </w:rPr>
        <w:t>目补充：总价子目的支付原则和支付进度为：</w:t>
      </w:r>
      <w:r>
        <w:rPr>
          <w:rFonts w:hint="eastAsia" w:ascii="宋体" w:hAnsi="宋体" w:eastAsia="宋体" w:cs="宋体"/>
          <w:spacing w:val="-2"/>
          <w:sz w:val="24"/>
          <w:szCs w:val="24"/>
          <w:highlight w:val="none"/>
          <w:u w:val="single"/>
          <w:lang w:eastAsia="zh-CN"/>
        </w:rPr>
        <w:t xml:space="preserve"> </w:t>
      </w:r>
      <w:r>
        <w:rPr>
          <w:rFonts w:hint="eastAsia" w:ascii="宋体" w:hAnsi="宋体" w:eastAsia="宋体" w:cs="宋体"/>
          <w:spacing w:val="4"/>
          <w:sz w:val="24"/>
          <w:szCs w:val="24"/>
          <w:highlight w:val="none"/>
          <w:u w:val="single"/>
        </w:rPr>
        <w:t>按实际支出费用和进度计量</w:t>
      </w:r>
      <w:r>
        <w:rPr>
          <w:rFonts w:hint="eastAsia" w:ascii="宋体" w:hAnsi="宋体" w:eastAsia="宋体" w:cs="宋体"/>
          <w:spacing w:val="4"/>
          <w:sz w:val="24"/>
          <w:szCs w:val="24"/>
          <w:highlight w:val="none"/>
          <w:u w:val="single"/>
          <w:lang w:eastAsia="zh-CN"/>
        </w:rPr>
        <w:t>，</w:t>
      </w:r>
      <w:r>
        <w:rPr>
          <w:rFonts w:hint="eastAsia" w:ascii="宋体" w:hAnsi="宋体" w:eastAsia="宋体" w:cs="宋体"/>
          <w:spacing w:val="4"/>
          <w:sz w:val="24"/>
          <w:szCs w:val="24"/>
          <w:highlight w:val="none"/>
          <w:u w:val="single"/>
        </w:rPr>
        <w:t>计量</w:t>
      </w:r>
      <w:r>
        <w:rPr>
          <w:rFonts w:hint="eastAsia" w:ascii="宋体" w:hAnsi="宋体" w:eastAsia="宋体" w:cs="宋体"/>
          <w:spacing w:val="4"/>
          <w:sz w:val="24"/>
          <w:szCs w:val="24"/>
          <w:highlight w:val="none"/>
          <w:u w:val="single"/>
          <w:lang w:val="en-US" w:eastAsia="zh-CN"/>
        </w:rPr>
        <w:t>总</w:t>
      </w:r>
      <w:r>
        <w:rPr>
          <w:rFonts w:hint="eastAsia" w:ascii="宋体" w:hAnsi="宋体" w:eastAsia="宋体" w:cs="宋体"/>
          <w:spacing w:val="4"/>
          <w:sz w:val="24"/>
          <w:szCs w:val="24"/>
          <w:highlight w:val="none"/>
          <w:u w:val="single"/>
        </w:rPr>
        <w:t>额不得超过总价子目</w:t>
      </w:r>
      <w:r>
        <w:rPr>
          <w:rFonts w:hint="eastAsia" w:ascii="宋体" w:hAnsi="宋体" w:eastAsia="宋体" w:cs="宋体"/>
          <w:spacing w:val="4"/>
          <w:sz w:val="24"/>
          <w:szCs w:val="24"/>
          <w:highlight w:val="none"/>
          <w:u w:val="single"/>
          <w:lang w:val="en-US" w:eastAsia="zh-CN"/>
        </w:rPr>
        <w:t>合同</w:t>
      </w:r>
      <w:r>
        <w:rPr>
          <w:rFonts w:hint="eastAsia" w:ascii="宋体" w:hAnsi="宋体" w:eastAsia="宋体" w:cs="宋体"/>
          <w:spacing w:val="4"/>
          <w:sz w:val="24"/>
          <w:szCs w:val="24"/>
          <w:highlight w:val="none"/>
          <w:u w:val="single"/>
        </w:rPr>
        <w:t>价</w:t>
      </w:r>
      <w:r>
        <w:rPr>
          <w:rFonts w:hint="eastAsia" w:ascii="宋体" w:hAnsi="宋体" w:eastAsia="宋体" w:cs="宋体"/>
          <w:spacing w:val="4"/>
          <w:sz w:val="24"/>
          <w:szCs w:val="24"/>
          <w:highlight w:val="none"/>
          <w:u w:val="single"/>
          <w:lang w:eastAsia="zh-CN"/>
        </w:rPr>
        <w:t>。</w:t>
      </w:r>
      <w:r>
        <w:rPr>
          <w:rFonts w:hint="eastAsia" w:ascii="宋体" w:hAnsi="宋体" w:eastAsia="宋体" w:cs="宋体"/>
          <w:spacing w:val="4"/>
          <w:sz w:val="24"/>
          <w:szCs w:val="24"/>
          <w:highlight w:val="none"/>
          <w:u w:val="single"/>
        </w:rPr>
        <w:t>由承包人提供</w:t>
      </w:r>
      <w:r>
        <w:rPr>
          <w:rFonts w:hint="eastAsia" w:ascii="宋体" w:hAnsi="宋体" w:eastAsia="宋体" w:cs="宋体"/>
          <w:spacing w:val="4"/>
          <w:sz w:val="24"/>
          <w:szCs w:val="24"/>
          <w:highlight w:val="none"/>
          <w:u w:val="single"/>
          <w:lang w:val="en-US" w:eastAsia="zh-CN"/>
        </w:rPr>
        <w:t>相关</w:t>
      </w:r>
      <w:r>
        <w:rPr>
          <w:rFonts w:hint="eastAsia" w:ascii="宋体" w:hAnsi="宋体" w:eastAsia="宋体" w:cs="宋体"/>
          <w:spacing w:val="4"/>
          <w:sz w:val="24"/>
          <w:szCs w:val="24"/>
          <w:highlight w:val="none"/>
          <w:u w:val="single"/>
        </w:rPr>
        <w:t>证明材料，保险费需提供符合要求的保险合同及发票；安全生产费需提供现场安全作业设施有效发票及实物验收单，现场安全维护人员工资薪酬等证明材料；</w:t>
      </w:r>
      <w:r>
        <w:rPr>
          <w:rFonts w:hint="eastAsia" w:ascii="宋体" w:hAnsi="宋体" w:eastAsia="宋体" w:cs="宋体"/>
          <w:spacing w:val="4"/>
          <w:sz w:val="24"/>
          <w:szCs w:val="24"/>
          <w:highlight w:val="none"/>
          <w:u w:val="single"/>
          <w:lang w:val="en-US" w:eastAsia="zh-CN"/>
        </w:rPr>
        <w:t>公路养护文件资料</w:t>
      </w:r>
      <w:r>
        <w:rPr>
          <w:rFonts w:hint="eastAsia" w:ascii="宋体" w:hAnsi="宋体" w:eastAsia="宋体" w:cs="宋体"/>
          <w:spacing w:val="4"/>
          <w:sz w:val="24"/>
          <w:szCs w:val="24"/>
          <w:highlight w:val="none"/>
          <w:u w:val="single"/>
        </w:rPr>
        <w:t>需提交经发包人验收合格</w:t>
      </w:r>
      <w:r>
        <w:rPr>
          <w:rFonts w:hint="eastAsia" w:ascii="宋体" w:hAnsi="宋体" w:eastAsia="宋体" w:cs="宋体"/>
          <w:spacing w:val="4"/>
          <w:sz w:val="24"/>
          <w:szCs w:val="24"/>
          <w:highlight w:val="none"/>
          <w:u w:val="single"/>
          <w:lang w:eastAsia="zh-CN"/>
        </w:rPr>
        <w:t>。</w:t>
      </w:r>
    </w:p>
    <w:p w14:paraId="0781580E">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2"/>
        <w:textAlignment w:val="baseline"/>
        <w:rPr>
          <w:rFonts w:hint="eastAsia" w:ascii="宋体" w:hAnsi="宋体" w:eastAsia="宋体" w:cs="宋体"/>
          <w:spacing w:val="-2"/>
          <w:sz w:val="24"/>
          <w:szCs w:val="24"/>
          <w:highlight w:val="none"/>
          <w:lang w:eastAsia="zh-CN"/>
        </w:rPr>
      </w:pPr>
      <w:r>
        <w:rPr>
          <w:rFonts w:hint="eastAsia" w:ascii="宋体" w:hAnsi="宋体" w:eastAsia="宋体" w:cs="宋体"/>
          <w:spacing w:val="-2"/>
          <w:sz w:val="24"/>
          <w:szCs w:val="24"/>
          <w:highlight w:val="none"/>
          <w:lang w:eastAsia="zh-CN"/>
        </w:rPr>
        <w:t xml:space="preserve">17.2 预付款 </w:t>
      </w:r>
    </w:p>
    <w:p w14:paraId="1F4B4D3F">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2"/>
        <w:textAlignment w:val="baseline"/>
        <w:rPr>
          <w:rFonts w:hint="eastAsia" w:ascii="宋体" w:hAnsi="宋体" w:eastAsia="宋体" w:cs="宋体"/>
          <w:spacing w:val="-2"/>
          <w:sz w:val="24"/>
          <w:szCs w:val="24"/>
          <w:highlight w:val="none"/>
          <w:lang w:eastAsia="zh-CN"/>
        </w:rPr>
      </w:pPr>
      <w:r>
        <w:rPr>
          <w:rFonts w:hint="eastAsia" w:ascii="宋体" w:hAnsi="宋体" w:eastAsia="宋体" w:cs="宋体"/>
          <w:spacing w:val="-2"/>
          <w:sz w:val="24"/>
          <w:szCs w:val="24"/>
          <w:highlight w:val="none"/>
          <w:lang w:eastAsia="zh-CN"/>
        </w:rPr>
        <w:t>17.2.1 预付款</w:t>
      </w:r>
    </w:p>
    <w:p w14:paraId="5D61686E">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2"/>
        <w:textAlignment w:val="baseline"/>
        <w:rPr>
          <w:rFonts w:hint="eastAsia" w:ascii="宋体" w:hAnsi="宋体" w:eastAsia="宋体" w:cs="宋体"/>
          <w:spacing w:val="-2"/>
          <w:sz w:val="24"/>
          <w:szCs w:val="24"/>
          <w:highlight w:val="none"/>
          <w:lang w:eastAsia="zh-CN"/>
        </w:rPr>
      </w:pPr>
      <w:r>
        <w:rPr>
          <w:rFonts w:hint="eastAsia" w:ascii="宋体" w:hAnsi="宋体" w:eastAsia="宋体" w:cs="宋体"/>
          <w:spacing w:val="-2"/>
          <w:sz w:val="24"/>
          <w:szCs w:val="24"/>
          <w:highlight w:val="none"/>
          <w:lang w:eastAsia="zh-CN"/>
        </w:rPr>
        <w:t>本项17.2.1．（1）目补充：</w:t>
      </w:r>
    </w:p>
    <w:p w14:paraId="3C3A7219">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2"/>
        <w:textAlignment w:val="baseline"/>
        <w:rPr>
          <w:rFonts w:hint="eastAsia" w:ascii="宋体" w:hAnsi="宋体" w:eastAsia="宋体" w:cs="宋体"/>
          <w:spacing w:val="-2"/>
          <w:sz w:val="24"/>
          <w:szCs w:val="24"/>
          <w:highlight w:val="none"/>
          <w:lang w:eastAsia="zh-CN"/>
        </w:rPr>
      </w:pPr>
      <w:r>
        <w:rPr>
          <w:rFonts w:hint="eastAsia" w:ascii="宋体" w:hAnsi="宋体" w:eastAsia="宋体" w:cs="宋体"/>
          <w:spacing w:val="-2"/>
          <w:sz w:val="24"/>
          <w:szCs w:val="24"/>
          <w:highlight w:val="none"/>
          <w:lang w:eastAsia="zh-CN"/>
        </w:rPr>
        <w:t>开工预付款的金额为每年度合同金额的30%。2026年度在第二季度内支付，2027年度、2028年度、2029年度在第一季度支付。</w:t>
      </w:r>
    </w:p>
    <w:p w14:paraId="5F3700E1">
      <w:pPr>
        <w:keepNext w:val="0"/>
        <w:keepLines w:val="0"/>
        <w:pageBreakBefore w:val="0"/>
        <w:widowControl/>
        <w:kinsoku w:val="0"/>
        <w:wordWrap/>
        <w:overflowPunct/>
        <w:topLinePunct w:val="0"/>
        <w:autoSpaceDE w:val="0"/>
        <w:autoSpaceDN w:val="0"/>
        <w:bidi w:val="0"/>
        <w:adjustRightInd w:val="0"/>
        <w:snapToGrid w:val="0"/>
        <w:spacing w:before="78" w:line="360" w:lineRule="auto"/>
        <w:ind w:left="485"/>
        <w:textAlignment w:val="baseline"/>
        <w:outlineLvl w:val="4"/>
        <w:rPr>
          <w:rFonts w:hint="eastAsia" w:ascii="宋体" w:hAnsi="宋体" w:eastAsia="宋体" w:cs="宋体"/>
          <w:sz w:val="24"/>
          <w:szCs w:val="24"/>
          <w:highlight w:val="none"/>
          <w:lang w:eastAsia="zh-CN"/>
        </w:rPr>
      </w:pPr>
      <w:r>
        <w:rPr>
          <w:rFonts w:hint="eastAsia" w:ascii="宋体" w:hAnsi="宋体" w:eastAsia="宋体" w:cs="宋体"/>
          <w:b/>
          <w:bCs/>
          <w:spacing w:val="-3"/>
          <w:sz w:val="24"/>
          <w:szCs w:val="24"/>
          <w:highlight w:val="none"/>
          <w:lang w:eastAsia="zh-CN"/>
        </w:rPr>
        <w:t>17.3 工程进度付款</w:t>
      </w:r>
    </w:p>
    <w:p w14:paraId="4039CE67">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2"/>
        <w:textAlignment w:val="baseline"/>
        <w:rPr>
          <w:rFonts w:hint="eastAsia" w:ascii="宋体" w:hAnsi="宋体" w:eastAsia="宋体" w:cs="宋体"/>
          <w:spacing w:val="-2"/>
          <w:sz w:val="24"/>
          <w:szCs w:val="24"/>
          <w:highlight w:val="none"/>
          <w:lang w:eastAsia="zh-CN"/>
        </w:rPr>
      </w:pPr>
      <w:r>
        <w:rPr>
          <w:rFonts w:hint="eastAsia" w:ascii="宋体" w:hAnsi="宋体" w:eastAsia="宋体" w:cs="宋体"/>
          <w:spacing w:val="-2"/>
          <w:sz w:val="24"/>
          <w:szCs w:val="24"/>
          <w:highlight w:val="none"/>
          <w:lang w:eastAsia="zh-CN"/>
        </w:rPr>
        <w:t xml:space="preserve">17.3.5 农民工工资支付 </w:t>
      </w:r>
    </w:p>
    <w:p w14:paraId="5F7B9839">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2"/>
        <w:textAlignment w:val="baseline"/>
        <w:rPr>
          <w:rFonts w:hint="eastAsia" w:ascii="宋体" w:hAnsi="宋体" w:eastAsia="宋体" w:cs="宋体"/>
          <w:spacing w:val="-2"/>
          <w:sz w:val="24"/>
          <w:szCs w:val="24"/>
          <w:highlight w:val="none"/>
          <w:lang w:eastAsia="zh-CN"/>
        </w:rPr>
      </w:pPr>
      <w:r>
        <w:rPr>
          <w:rFonts w:hint="eastAsia" w:ascii="宋体" w:hAnsi="宋体" w:eastAsia="宋体" w:cs="宋体"/>
          <w:spacing w:val="-2"/>
          <w:sz w:val="24"/>
          <w:szCs w:val="24"/>
          <w:highlight w:val="none"/>
          <w:lang w:eastAsia="zh-CN"/>
        </w:rPr>
        <w:t>本目补充：承包人提供上月用工人员工资支付凭据后，发包人才予以计量支付。</w:t>
      </w:r>
    </w:p>
    <w:p w14:paraId="13558633">
      <w:pPr>
        <w:keepNext w:val="0"/>
        <w:keepLines w:val="0"/>
        <w:pageBreakBefore w:val="0"/>
        <w:widowControl/>
        <w:kinsoku w:val="0"/>
        <w:wordWrap/>
        <w:overflowPunct/>
        <w:topLinePunct w:val="0"/>
        <w:autoSpaceDE w:val="0"/>
        <w:autoSpaceDN w:val="0"/>
        <w:bidi w:val="0"/>
        <w:adjustRightInd w:val="0"/>
        <w:snapToGrid w:val="0"/>
        <w:spacing w:before="125" w:line="360" w:lineRule="auto"/>
        <w:ind w:left="497"/>
        <w:textAlignment w:val="baseline"/>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lang w:eastAsia="zh-CN"/>
        </w:rPr>
        <w:t>17.3.6  安全生产费支付比例：</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4"/>
          <w:sz w:val="24"/>
          <w:szCs w:val="24"/>
          <w:highlight w:val="none"/>
          <w:u w:val="single"/>
        </w:rPr>
        <w:t>按</w:t>
      </w:r>
      <w:r>
        <w:rPr>
          <w:rFonts w:hint="eastAsia" w:ascii="宋体" w:hAnsi="宋体" w:eastAsia="宋体" w:cs="宋体"/>
          <w:spacing w:val="4"/>
          <w:sz w:val="24"/>
          <w:szCs w:val="24"/>
          <w:highlight w:val="none"/>
          <w:u w:val="single"/>
          <w:lang w:val="en-US" w:eastAsia="zh-CN"/>
        </w:rPr>
        <w:t>实际支出进度</w:t>
      </w:r>
      <w:r>
        <w:rPr>
          <w:rFonts w:hint="eastAsia" w:ascii="宋体" w:hAnsi="宋体" w:eastAsia="宋体" w:cs="宋体"/>
          <w:spacing w:val="4"/>
          <w:sz w:val="24"/>
          <w:szCs w:val="24"/>
          <w:highlight w:val="none"/>
          <w:u w:val="single"/>
          <w:lang w:eastAsia="zh-CN"/>
        </w:rPr>
        <w:t xml:space="preserve">     </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lang w:eastAsia="zh-CN"/>
        </w:rPr>
        <w:t>。</w:t>
      </w:r>
    </w:p>
    <w:p w14:paraId="2350EC0E">
      <w:pPr>
        <w:keepNext w:val="0"/>
        <w:keepLines w:val="0"/>
        <w:pageBreakBefore w:val="0"/>
        <w:widowControl/>
        <w:kinsoku w:val="0"/>
        <w:wordWrap/>
        <w:overflowPunct/>
        <w:topLinePunct w:val="0"/>
        <w:autoSpaceDE w:val="0"/>
        <w:autoSpaceDN w:val="0"/>
        <w:bidi w:val="0"/>
        <w:adjustRightInd w:val="0"/>
        <w:snapToGrid w:val="0"/>
        <w:spacing w:before="125" w:line="360" w:lineRule="auto"/>
        <w:ind w:firstLine="476" w:firstLineChars="200"/>
        <w:textAlignment w:val="baseline"/>
        <w:rPr>
          <w:rFonts w:hint="eastAsia" w:ascii="宋体" w:hAnsi="宋体" w:eastAsia="宋体" w:cs="宋体"/>
          <w:spacing w:val="4"/>
          <w:sz w:val="24"/>
          <w:szCs w:val="24"/>
          <w:highlight w:val="none"/>
          <w:u w:val="single"/>
          <w:lang w:eastAsia="zh-CN"/>
        </w:rPr>
      </w:pPr>
      <w:r>
        <w:rPr>
          <w:rFonts w:hint="eastAsia" w:ascii="宋体" w:hAnsi="宋体" w:eastAsia="宋体" w:cs="宋体"/>
          <w:spacing w:val="-1"/>
          <w:sz w:val="24"/>
          <w:szCs w:val="24"/>
          <w:highlight w:val="none"/>
          <w:lang w:eastAsia="zh-CN"/>
        </w:rPr>
        <w:t>安全生产费支付条件：</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4"/>
          <w:sz w:val="24"/>
          <w:szCs w:val="24"/>
          <w:highlight w:val="none"/>
          <w:u w:val="single"/>
        </w:rPr>
        <w:t>安全生产费需提供现场安全作业设施有效发票及实物验收单，现场安全维护人员工资薪酬等证明材料。</w:t>
      </w:r>
    </w:p>
    <w:p w14:paraId="6F3B25C8">
      <w:pPr>
        <w:keepNext w:val="0"/>
        <w:keepLines w:val="0"/>
        <w:pageBreakBefore w:val="0"/>
        <w:widowControl/>
        <w:kinsoku w:val="0"/>
        <w:wordWrap/>
        <w:overflowPunct/>
        <w:topLinePunct w:val="0"/>
        <w:autoSpaceDE w:val="0"/>
        <w:autoSpaceDN w:val="0"/>
        <w:bidi w:val="0"/>
        <w:adjustRightInd w:val="0"/>
        <w:snapToGrid w:val="0"/>
        <w:spacing w:before="78" w:line="360" w:lineRule="auto"/>
        <w:ind w:left="495"/>
        <w:textAlignment w:val="baseline"/>
        <w:outlineLvl w:val="4"/>
        <w:rPr>
          <w:rFonts w:hint="eastAsia" w:ascii="宋体" w:hAnsi="宋体" w:eastAsia="宋体" w:cs="宋体"/>
          <w:sz w:val="24"/>
          <w:szCs w:val="24"/>
          <w:highlight w:val="none"/>
        </w:rPr>
      </w:pPr>
      <w:r>
        <w:rPr>
          <w:rFonts w:hint="eastAsia" w:ascii="宋体" w:hAnsi="宋体" w:eastAsia="宋体" w:cs="宋体"/>
          <w:b/>
          <w:bCs/>
          <w:spacing w:val="-3"/>
          <w:sz w:val="24"/>
          <w:szCs w:val="24"/>
          <w:highlight w:val="none"/>
        </w:rPr>
        <w:t>17.</w:t>
      </w:r>
      <w:r>
        <w:rPr>
          <w:rFonts w:hint="eastAsia" w:ascii="宋体" w:hAnsi="宋体" w:eastAsia="宋体" w:cs="宋体"/>
          <w:b/>
          <w:bCs/>
          <w:spacing w:val="-3"/>
          <w:sz w:val="24"/>
          <w:szCs w:val="24"/>
          <w:highlight w:val="none"/>
          <w:lang w:val="en-US" w:eastAsia="zh-CN"/>
        </w:rPr>
        <w:t>7</w:t>
      </w:r>
      <w:r>
        <w:rPr>
          <w:rFonts w:hint="eastAsia" w:ascii="宋体" w:hAnsi="宋体" w:eastAsia="宋体" w:cs="宋体"/>
          <w:b/>
          <w:bCs/>
          <w:spacing w:val="-3"/>
          <w:sz w:val="24"/>
          <w:szCs w:val="24"/>
          <w:highlight w:val="none"/>
        </w:rPr>
        <w:t xml:space="preserve">  财政资金申请与支付</w:t>
      </w:r>
    </w:p>
    <w:p w14:paraId="673F6916">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20"/>
        <w:textAlignment w:val="baseline"/>
        <w:rPr>
          <w:rFonts w:hint="eastAsia" w:ascii="宋体" w:hAnsi="宋体" w:eastAsia="宋体" w:cs="宋体"/>
          <w:b/>
          <w:bCs/>
          <w:spacing w:val="-1"/>
          <w:sz w:val="24"/>
          <w:szCs w:val="24"/>
          <w:highlight w:val="none"/>
          <w:lang w:eastAsia="zh-CN"/>
        </w:rPr>
      </w:pPr>
      <w:r>
        <w:rPr>
          <w:rFonts w:hint="eastAsia" w:ascii="宋体" w:hAnsi="宋体" w:eastAsia="宋体" w:cs="宋体"/>
          <w:spacing w:val="-1"/>
          <w:sz w:val="24"/>
          <w:szCs w:val="24"/>
          <w:highlight w:val="none"/>
        </w:rPr>
        <w:t>养护项目资金来源为：</w:t>
      </w:r>
      <w:r>
        <w:rPr>
          <w:rFonts w:hint="eastAsia" w:ascii="宋体" w:hAnsi="宋体" w:eastAsia="宋体" w:cs="宋体"/>
          <w:spacing w:val="-1"/>
          <w:sz w:val="24"/>
          <w:szCs w:val="24"/>
          <w:highlight w:val="none"/>
          <w:u w:val="single"/>
          <w:lang w:val="en-US" w:eastAsia="zh-CN"/>
        </w:rPr>
        <w:t>财政资金</w:t>
      </w:r>
      <w:r>
        <w:rPr>
          <w:rFonts w:hint="eastAsia" w:ascii="宋体" w:hAnsi="宋体" w:eastAsia="宋体" w:cs="宋体"/>
          <w:spacing w:val="-1"/>
          <w:sz w:val="24"/>
          <w:szCs w:val="24"/>
          <w:highlight w:val="none"/>
          <w:lang w:val="en-US" w:eastAsia="zh-CN"/>
        </w:rPr>
        <w:t>。</w:t>
      </w:r>
      <w:bookmarkStart w:id="150" w:name="bookmark101"/>
      <w:bookmarkEnd w:id="150"/>
      <w:bookmarkStart w:id="151" w:name="bookmark102"/>
      <w:bookmarkEnd w:id="151"/>
    </w:p>
    <w:p w14:paraId="4C7018B7">
      <w:pPr>
        <w:keepNext w:val="0"/>
        <w:keepLines w:val="0"/>
        <w:pageBreakBefore w:val="0"/>
        <w:widowControl/>
        <w:kinsoku w:val="0"/>
        <w:wordWrap/>
        <w:overflowPunct/>
        <w:topLinePunct w:val="0"/>
        <w:autoSpaceDE w:val="0"/>
        <w:autoSpaceDN w:val="0"/>
        <w:bidi w:val="0"/>
        <w:adjustRightInd w:val="0"/>
        <w:snapToGrid w:val="0"/>
        <w:spacing w:before="125" w:line="360" w:lineRule="auto"/>
        <w:ind w:left="497"/>
        <w:textAlignment w:val="baseline"/>
        <w:rPr>
          <w:rFonts w:hint="eastAsia" w:ascii="宋体" w:hAnsi="宋体" w:eastAsia="宋体" w:cs="宋体"/>
          <w:b/>
          <w:bCs/>
          <w:spacing w:val="-1"/>
          <w:sz w:val="24"/>
          <w:szCs w:val="24"/>
          <w:highlight w:val="none"/>
          <w:lang w:eastAsia="zh-CN"/>
        </w:rPr>
      </w:pPr>
      <w:r>
        <w:rPr>
          <w:rFonts w:hint="eastAsia" w:ascii="宋体" w:hAnsi="宋体" w:eastAsia="宋体" w:cs="宋体"/>
          <w:b/>
          <w:bCs/>
          <w:spacing w:val="-1"/>
          <w:sz w:val="24"/>
          <w:szCs w:val="24"/>
          <w:highlight w:val="none"/>
          <w:lang w:eastAsia="zh-CN"/>
        </w:rPr>
        <w:t>18.工程验收</w:t>
      </w:r>
    </w:p>
    <w:p w14:paraId="22CA9476">
      <w:pPr>
        <w:keepNext w:val="0"/>
        <w:keepLines w:val="0"/>
        <w:pageBreakBefore w:val="0"/>
        <w:widowControl/>
        <w:kinsoku w:val="0"/>
        <w:wordWrap/>
        <w:overflowPunct/>
        <w:topLinePunct w:val="0"/>
        <w:autoSpaceDE w:val="0"/>
        <w:autoSpaceDN w:val="0"/>
        <w:bidi w:val="0"/>
        <w:adjustRightInd w:val="0"/>
        <w:snapToGrid w:val="0"/>
        <w:spacing w:before="125" w:line="360" w:lineRule="auto"/>
        <w:ind w:left="497"/>
        <w:textAlignment w:val="baseline"/>
        <w:rPr>
          <w:rFonts w:hint="eastAsia" w:ascii="宋体" w:hAnsi="宋体" w:eastAsia="宋体" w:cs="宋体"/>
          <w:spacing w:val="-1"/>
          <w:sz w:val="24"/>
          <w:szCs w:val="24"/>
          <w:highlight w:val="none"/>
          <w:lang w:val="en-US" w:eastAsia="zh-CN"/>
        </w:rPr>
      </w:pPr>
      <w:r>
        <w:rPr>
          <w:rFonts w:hint="eastAsia" w:ascii="宋体" w:hAnsi="宋体" w:eastAsia="宋体" w:cs="宋体"/>
          <w:spacing w:val="-1"/>
          <w:sz w:val="24"/>
          <w:szCs w:val="24"/>
          <w:highlight w:val="none"/>
          <w:lang w:eastAsia="zh-CN"/>
        </w:rPr>
        <w:t>18.1.1验收单位：</w:t>
      </w:r>
      <w:r>
        <w:rPr>
          <w:rFonts w:hint="eastAsia" w:ascii="宋体" w:hAnsi="宋体" w:eastAsia="宋体" w:cs="宋体"/>
          <w:spacing w:val="-1"/>
          <w:sz w:val="24"/>
          <w:szCs w:val="24"/>
          <w:highlight w:val="none"/>
          <w:u w:val="single"/>
          <w:lang w:val="en-US" w:eastAsia="zh-CN"/>
        </w:rPr>
        <w:t xml:space="preserve">  </w:t>
      </w:r>
      <w:r>
        <w:rPr>
          <w:rFonts w:hint="eastAsia" w:ascii="宋体" w:hAnsi="宋体" w:eastAsia="宋体" w:cs="宋体"/>
          <w:spacing w:val="-1"/>
          <w:sz w:val="24"/>
          <w:szCs w:val="24"/>
          <w:highlight w:val="none"/>
          <w:u w:val="single"/>
          <w:lang w:eastAsia="zh-CN"/>
        </w:rPr>
        <w:t>发包人</w:t>
      </w:r>
      <w:r>
        <w:rPr>
          <w:rFonts w:hint="eastAsia" w:ascii="宋体" w:hAnsi="宋体" w:eastAsia="宋体" w:cs="宋体"/>
          <w:spacing w:val="-1"/>
          <w:sz w:val="24"/>
          <w:szCs w:val="24"/>
          <w:highlight w:val="none"/>
          <w:u w:val="single"/>
          <w:lang w:val="en-US" w:eastAsia="zh-CN"/>
        </w:rPr>
        <w:t xml:space="preserve">   </w:t>
      </w:r>
    </w:p>
    <w:p w14:paraId="39A2E5F6">
      <w:pPr>
        <w:keepNext w:val="0"/>
        <w:keepLines w:val="0"/>
        <w:pageBreakBefore w:val="0"/>
        <w:widowControl/>
        <w:kinsoku w:val="0"/>
        <w:wordWrap/>
        <w:overflowPunct/>
        <w:topLinePunct w:val="0"/>
        <w:autoSpaceDE w:val="0"/>
        <w:autoSpaceDN w:val="0"/>
        <w:bidi w:val="0"/>
        <w:adjustRightInd w:val="0"/>
        <w:snapToGrid w:val="0"/>
        <w:spacing w:before="125" w:line="360" w:lineRule="auto"/>
        <w:ind w:left="497"/>
        <w:textAlignment w:val="baseline"/>
        <w:rPr>
          <w:rFonts w:hint="eastAsia" w:ascii="宋体" w:hAnsi="宋体" w:eastAsia="宋体" w:cs="宋体"/>
          <w:spacing w:val="-1"/>
          <w:sz w:val="24"/>
          <w:szCs w:val="24"/>
          <w:highlight w:val="none"/>
          <w:u w:val="single"/>
          <w:lang w:val="en-US" w:eastAsia="zh-CN"/>
        </w:rPr>
      </w:pPr>
      <w:r>
        <w:rPr>
          <w:rFonts w:hint="eastAsia" w:ascii="宋体" w:hAnsi="宋体" w:eastAsia="宋体" w:cs="宋体"/>
          <w:spacing w:val="-1"/>
          <w:sz w:val="24"/>
          <w:szCs w:val="24"/>
          <w:highlight w:val="none"/>
          <w:lang w:eastAsia="zh-CN"/>
        </w:rPr>
        <w:t>18.1.2本项目工程验收方式：</w:t>
      </w:r>
      <w:r>
        <w:rPr>
          <w:rFonts w:hint="eastAsia" w:ascii="宋体" w:hAnsi="宋体" w:eastAsia="宋体" w:cs="宋体"/>
          <w:spacing w:val="-1"/>
          <w:sz w:val="24"/>
          <w:szCs w:val="24"/>
          <w:highlight w:val="none"/>
          <w:u w:val="single"/>
          <w:lang w:val="en-US" w:eastAsia="zh-CN"/>
        </w:rPr>
        <w:t>按照合同约定的技术标准和质量要求及《广西壮族自治区桂林公路发展中心公路养护服务工作要求及考核办法》。</w:t>
      </w:r>
    </w:p>
    <w:p w14:paraId="1A839E25">
      <w:pPr>
        <w:keepNext w:val="0"/>
        <w:keepLines w:val="0"/>
        <w:pageBreakBefore w:val="0"/>
        <w:widowControl/>
        <w:kinsoku w:val="0"/>
        <w:wordWrap/>
        <w:overflowPunct/>
        <w:topLinePunct w:val="0"/>
        <w:autoSpaceDE w:val="0"/>
        <w:autoSpaceDN w:val="0"/>
        <w:bidi w:val="0"/>
        <w:adjustRightInd w:val="0"/>
        <w:snapToGrid w:val="0"/>
        <w:spacing w:before="125" w:line="360" w:lineRule="auto"/>
        <w:ind w:left="497"/>
        <w:textAlignment w:val="baseline"/>
        <w:rPr>
          <w:rFonts w:hint="eastAsia" w:ascii="宋体" w:hAnsi="宋体" w:eastAsia="宋体" w:cs="宋体"/>
          <w:spacing w:val="-1"/>
          <w:sz w:val="24"/>
          <w:szCs w:val="24"/>
          <w:highlight w:val="none"/>
          <w:lang w:val="en-US" w:eastAsia="zh-CN"/>
        </w:rPr>
      </w:pPr>
      <w:r>
        <w:rPr>
          <w:rFonts w:hint="eastAsia" w:ascii="宋体" w:hAnsi="宋体" w:eastAsia="宋体" w:cs="宋体"/>
          <w:spacing w:val="-1"/>
          <w:sz w:val="24"/>
          <w:szCs w:val="24"/>
          <w:highlight w:val="none"/>
          <w:lang w:val="en-US" w:eastAsia="zh-CN"/>
        </w:rPr>
        <w:t>本项目验收时间：</w:t>
      </w:r>
      <w:r>
        <w:rPr>
          <w:rFonts w:hint="eastAsia" w:ascii="宋体" w:hAnsi="宋体" w:eastAsia="宋体" w:cs="宋体"/>
          <w:spacing w:val="-1"/>
          <w:sz w:val="24"/>
          <w:szCs w:val="24"/>
          <w:highlight w:val="none"/>
          <w:u w:val="single"/>
          <w:lang w:val="en-US" w:eastAsia="zh-CN"/>
        </w:rPr>
        <w:t>《广西壮族自治区桂林公路发展中心公路养护服务工作要求及考核办法》。</w:t>
      </w:r>
    </w:p>
    <w:p w14:paraId="05056139">
      <w:pPr>
        <w:keepNext w:val="0"/>
        <w:keepLines w:val="0"/>
        <w:pageBreakBefore w:val="0"/>
        <w:widowControl/>
        <w:kinsoku w:val="0"/>
        <w:wordWrap/>
        <w:overflowPunct/>
        <w:topLinePunct w:val="0"/>
        <w:autoSpaceDE w:val="0"/>
        <w:autoSpaceDN w:val="0"/>
        <w:bidi w:val="0"/>
        <w:adjustRightInd w:val="0"/>
        <w:snapToGrid w:val="0"/>
        <w:spacing w:before="125" w:line="360" w:lineRule="auto"/>
        <w:ind w:left="497"/>
        <w:textAlignment w:val="baseline"/>
        <w:rPr>
          <w:rFonts w:hint="eastAsia" w:ascii="宋体" w:hAnsi="宋体" w:eastAsia="宋体" w:cs="宋体"/>
          <w:spacing w:val="-1"/>
          <w:sz w:val="24"/>
          <w:szCs w:val="24"/>
          <w:highlight w:val="none"/>
          <w:lang w:val="en-US" w:eastAsia="zh-CN"/>
        </w:rPr>
      </w:pPr>
      <w:r>
        <w:rPr>
          <w:rFonts w:hint="eastAsia" w:ascii="宋体" w:hAnsi="宋体" w:eastAsia="宋体" w:cs="宋体"/>
          <w:spacing w:val="-1"/>
          <w:sz w:val="24"/>
          <w:szCs w:val="24"/>
          <w:highlight w:val="none"/>
          <w:lang w:eastAsia="zh-CN"/>
        </w:rPr>
        <w:t>18.7</w:t>
      </w:r>
      <w:r>
        <w:rPr>
          <w:rFonts w:hint="eastAsia" w:ascii="宋体" w:hAnsi="宋体" w:eastAsia="宋体" w:cs="宋体"/>
          <w:spacing w:val="-1"/>
          <w:sz w:val="24"/>
          <w:szCs w:val="24"/>
          <w:highlight w:val="none"/>
          <w:lang w:val="en-US" w:eastAsia="zh-CN"/>
        </w:rPr>
        <w:t xml:space="preserve">   </w:t>
      </w:r>
      <w:r>
        <w:rPr>
          <w:rFonts w:hint="eastAsia" w:ascii="宋体" w:hAnsi="宋体" w:eastAsia="宋体" w:cs="宋体"/>
          <w:spacing w:val="-1"/>
          <w:sz w:val="24"/>
          <w:szCs w:val="24"/>
          <w:highlight w:val="none"/>
          <w:lang w:eastAsia="zh-CN"/>
        </w:rPr>
        <w:t>公路养护资料文件移交</w:t>
      </w:r>
    </w:p>
    <w:p w14:paraId="494C8B1E">
      <w:pPr>
        <w:keepNext w:val="0"/>
        <w:keepLines w:val="0"/>
        <w:pageBreakBefore w:val="0"/>
        <w:widowControl/>
        <w:kinsoku w:val="0"/>
        <w:wordWrap/>
        <w:overflowPunct/>
        <w:topLinePunct w:val="0"/>
        <w:autoSpaceDE w:val="0"/>
        <w:autoSpaceDN w:val="0"/>
        <w:bidi w:val="0"/>
        <w:adjustRightInd w:val="0"/>
        <w:snapToGrid w:val="0"/>
        <w:spacing w:before="125" w:line="360" w:lineRule="auto"/>
        <w:ind w:left="497"/>
        <w:textAlignment w:val="baseline"/>
        <w:rPr>
          <w:rFonts w:hint="eastAsia" w:ascii="宋体" w:hAnsi="宋体" w:eastAsia="宋体" w:cs="宋体"/>
          <w:b/>
          <w:bCs/>
          <w:sz w:val="24"/>
          <w:szCs w:val="24"/>
          <w:highlight w:val="none"/>
        </w:rPr>
      </w:pPr>
      <w:r>
        <w:rPr>
          <w:rFonts w:hint="eastAsia" w:ascii="宋体" w:hAnsi="宋体" w:eastAsia="宋体" w:cs="宋体"/>
          <w:spacing w:val="-1"/>
          <w:sz w:val="24"/>
          <w:szCs w:val="24"/>
          <w:highlight w:val="none"/>
          <w:lang w:eastAsia="zh-CN"/>
        </w:rPr>
        <w:t>本条增加18.7款：</w:t>
      </w:r>
    </w:p>
    <w:p w14:paraId="22080700">
      <w:pPr>
        <w:keepNext w:val="0"/>
        <w:keepLines w:val="0"/>
        <w:pageBreakBefore w:val="0"/>
        <w:widowControl/>
        <w:kinsoku w:val="0"/>
        <w:wordWrap/>
        <w:overflowPunct/>
        <w:topLinePunct w:val="0"/>
        <w:autoSpaceDE w:val="0"/>
        <w:autoSpaceDN w:val="0"/>
        <w:bidi w:val="0"/>
        <w:adjustRightInd w:val="0"/>
        <w:snapToGrid w:val="0"/>
        <w:spacing w:before="125" w:line="360" w:lineRule="auto"/>
        <w:ind w:left="497"/>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18.7.1 公路养护资料文件移交按照以下要求办理：</w:t>
      </w:r>
    </w:p>
    <w:p w14:paraId="6BD48A1D">
      <w:pPr>
        <w:keepNext w:val="0"/>
        <w:keepLines w:val="0"/>
        <w:pageBreakBefore w:val="0"/>
        <w:widowControl/>
        <w:kinsoku w:val="0"/>
        <w:wordWrap/>
        <w:overflowPunct/>
        <w:topLinePunct w:val="0"/>
        <w:autoSpaceDE w:val="0"/>
        <w:autoSpaceDN w:val="0"/>
        <w:bidi w:val="0"/>
        <w:adjustRightInd w:val="0"/>
        <w:snapToGrid w:val="0"/>
        <w:spacing w:before="125" w:line="360" w:lineRule="auto"/>
        <w:ind w:left="499"/>
        <w:textAlignment w:val="baseline"/>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（1）每年12月移交当年全部公路养护资料文件；</w:t>
      </w:r>
    </w:p>
    <w:p w14:paraId="5D609910">
      <w:pPr>
        <w:keepNext w:val="0"/>
        <w:keepLines w:val="0"/>
        <w:pageBreakBefore w:val="0"/>
        <w:widowControl/>
        <w:kinsoku w:val="0"/>
        <w:wordWrap/>
        <w:overflowPunct/>
        <w:topLinePunct w:val="0"/>
        <w:autoSpaceDE w:val="0"/>
        <w:autoSpaceDN w:val="0"/>
        <w:bidi w:val="0"/>
        <w:adjustRightInd w:val="0"/>
        <w:snapToGrid w:val="0"/>
        <w:spacing w:before="125" w:line="360" w:lineRule="auto"/>
        <w:ind w:left="499"/>
        <w:textAlignment w:val="baseline"/>
        <w:rPr>
          <w:rFonts w:hint="eastAsia" w:ascii="宋体" w:hAnsi="宋体" w:eastAsia="宋体" w:cs="宋体"/>
          <w:spacing w:val="-1"/>
          <w:sz w:val="24"/>
          <w:szCs w:val="24"/>
          <w:highlight w:val="none"/>
          <w:u w:val="single"/>
          <w:lang w:eastAsia="zh-CN"/>
        </w:rPr>
      </w:pPr>
      <w:r>
        <w:rPr>
          <w:rFonts w:hint="eastAsia" w:ascii="宋体" w:hAnsi="宋体" w:eastAsia="宋体" w:cs="宋体"/>
          <w:spacing w:val="-1"/>
          <w:sz w:val="24"/>
          <w:szCs w:val="24"/>
          <w:highlight w:val="none"/>
          <w:lang w:eastAsia="zh-CN"/>
        </w:rPr>
        <w:t>（2）公路养护资料文件包含：</w:t>
      </w:r>
      <w:r>
        <w:rPr>
          <w:rFonts w:hint="eastAsia" w:ascii="宋体" w:hAnsi="宋体" w:eastAsia="宋体" w:cs="宋体"/>
          <w:sz w:val="24"/>
          <w:szCs w:val="24"/>
          <w:highlight w:val="none"/>
          <w:u w:val="single"/>
        </w:rPr>
        <w:t>公路养护巡查巡检资料、养护服务验收、项目总体验收、各项绩效考核、公路技术状况评定、试验检测、评价和评估、公路的技术状况数据、公路设施的养护数据及资料，合同执行期间的所有档案资料、信息系统、合同完成情况总结报告</w:t>
      </w:r>
      <w:r>
        <w:rPr>
          <w:rFonts w:hint="eastAsia" w:ascii="宋体" w:hAnsi="宋体" w:eastAsia="宋体" w:cs="宋体"/>
          <w:spacing w:val="-1"/>
          <w:sz w:val="24"/>
          <w:szCs w:val="24"/>
          <w:highlight w:val="none"/>
          <w:u w:val="single"/>
          <w:lang w:eastAsia="zh-CN"/>
        </w:rPr>
        <w:t>等。</w:t>
      </w:r>
    </w:p>
    <w:p w14:paraId="705E144A">
      <w:pPr>
        <w:spacing w:before="125" w:line="219" w:lineRule="auto"/>
        <w:ind w:firstLine="476" w:firstLineChars="200"/>
        <w:rPr>
          <w:rFonts w:hint="eastAsia" w:ascii="宋体" w:hAnsi="宋体" w:eastAsia="宋体" w:cs="宋体"/>
          <w:b/>
          <w:bCs/>
          <w:spacing w:val="-5"/>
          <w:sz w:val="24"/>
          <w:szCs w:val="24"/>
          <w:highlight w:val="none"/>
        </w:rPr>
      </w:pPr>
      <w:r>
        <w:rPr>
          <w:rFonts w:hint="eastAsia" w:ascii="宋体" w:hAnsi="宋体" w:eastAsia="宋体" w:cs="宋体"/>
          <w:spacing w:val="-1"/>
          <w:sz w:val="24"/>
          <w:szCs w:val="24"/>
          <w:highlight w:val="none"/>
          <w:lang w:eastAsia="zh-CN"/>
        </w:rPr>
        <w:t>18.7.2</w:t>
      </w:r>
      <w:r>
        <w:rPr>
          <w:rFonts w:hint="eastAsia" w:ascii="宋体" w:hAnsi="宋体" w:eastAsia="宋体" w:cs="宋体"/>
          <w:spacing w:val="-1"/>
          <w:sz w:val="24"/>
          <w:szCs w:val="24"/>
          <w:highlight w:val="none"/>
          <w:lang w:val="en-US" w:eastAsia="zh-CN"/>
        </w:rPr>
        <w:t xml:space="preserve">   </w:t>
      </w:r>
      <w:r>
        <w:rPr>
          <w:rFonts w:hint="eastAsia" w:ascii="宋体" w:hAnsi="宋体" w:eastAsia="宋体" w:cs="宋体"/>
          <w:spacing w:val="-1"/>
          <w:sz w:val="24"/>
          <w:szCs w:val="24"/>
          <w:highlight w:val="none"/>
          <w:lang w:eastAsia="zh-CN"/>
        </w:rPr>
        <w:t>发包人应在收到承包人提交的公路</w:t>
      </w:r>
      <w:r>
        <w:rPr>
          <w:rFonts w:hint="eastAsia" w:ascii="宋体" w:hAnsi="宋体" w:eastAsia="宋体" w:cs="宋体"/>
          <w:spacing w:val="-1"/>
          <w:sz w:val="24"/>
          <w:szCs w:val="24"/>
          <w:highlight w:val="none"/>
          <w:lang w:val="en-US" w:eastAsia="zh-CN"/>
        </w:rPr>
        <w:t>养护</w:t>
      </w:r>
      <w:r>
        <w:rPr>
          <w:rFonts w:hint="eastAsia" w:ascii="宋体" w:hAnsi="宋体" w:eastAsia="宋体" w:cs="宋体"/>
          <w:spacing w:val="-1"/>
          <w:sz w:val="24"/>
          <w:szCs w:val="24"/>
          <w:highlight w:val="none"/>
          <w:lang w:eastAsia="zh-CN"/>
        </w:rPr>
        <w:t>资料</w:t>
      </w:r>
      <w:r>
        <w:rPr>
          <w:rFonts w:hint="eastAsia" w:ascii="宋体" w:hAnsi="宋体" w:eastAsia="宋体" w:cs="宋体"/>
          <w:spacing w:val="-1"/>
          <w:sz w:val="24"/>
          <w:szCs w:val="24"/>
          <w:highlight w:val="none"/>
          <w:lang w:val="en-US" w:eastAsia="zh-CN"/>
        </w:rPr>
        <w:t>文件</w:t>
      </w:r>
      <w:r>
        <w:rPr>
          <w:rFonts w:hint="eastAsia" w:ascii="宋体" w:hAnsi="宋体" w:eastAsia="宋体" w:cs="宋体"/>
          <w:spacing w:val="-1"/>
          <w:sz w:val="24"/>
          <w:szCs w:val="24"/>
          <w:highlight w:val="none"/>
          <w:lang w:eastAsia="zh-CN"/>
        </w:rPr>
        <w:t>移交申请的 30 天内，核实确认，</w:t>
      </w:r>
      <w:r>
        <w:rPr>
          <w:rFonts w:hint="eastAsia" w:ascii="宋体" w:hAnsi="宋体" w:eastAsia="宋体" w:cs="宋体"/>
          <w:spacing w:val="-1"/>
          <w:sz w:val="24"/>
          <w:szCs w:val="24"/>
          <w:highlight w:val="none"/>
          <w:lang w:val="en-US" w:eastAsia="zh-CN"/>
        </w:rPr>
        <w:t>并</w:t>
      </w:r>
      <w:r>
        <w:rPr>
          <w:rFonts w:hint="eastAsia" w:ascii="宋体" w:hAnsi="宋体" w:eastAsia="宋体" w:cs="宋体"/>
          <w:spacing w:val="-1"/>
          <w:sz w:val="24"/>
          <w:szCs w:val="24"/>
          <w:highlight w:val="none"/>
          <w:lang w:eastAsia="zh-CN"/>
        </w:rPr>
        <w:t>出具签认移交证明。</w:t>
      </w:r>
      <w:bookmarkStart w:id="152" w:name="bookmark104"/>
      <w:bookmarkEnd w:id="152"/>
      <w:bookmarkStart w:id="153" w:name="bookmark103"/>
      <w:bookmarkEnd w:id="153"/>
    </w:p>
    <w:p w14:paraId="66DB038F">
      <w:pPr>
        <w:keepNext w:val="0"/>
        <w:keepLines w:val="0"/>
        <w:pageBreakBefore w:val="0"/>
        <w:widowControl/>
        <w:kinsoku w:val="0"/>
        <w:wordWrap/>
        <w:overflowPunct/>
        <w:topLinePunct w:val="0"/>
        <w:autoSpaceDE w:val="0"/>
        <w:autoSpaceDN w:val="0"/>
        <w:bidi w:val="0"/>
        <w:adjustRightInd w:val="0"/>
        <w:snapToGrid w:val="0"/>
        <w:spacing w:before="79" w:line="360" w:lineRule="auto"/>
        <w:ind w:left="485"/>
        <w:textAlignment w:val="baseline"/>
        <w:outlineLvl w:val="3"/>
        <w:rPr>
          <w:rFonts w:hint="eastAsia" w:ascii="宋体" w:hAnsi="宋体" w:eastAsia="宋体" w:cs="宋体"/>
          <w:sz w:val="24"/>
          <w:szCs w:val="24"/>
          <w:highlight w:val="none"/>
        </w:rPr>
      </w:pPr>
      <w:r>
        <w:rPr>
          <w:rFonts w:hint="eastAsia" w:ascii="宋体" w:hAnsi="宋体" w:eastAsia="宋体" w:cs="宋体"/>
          <w:b/>
          <w:bCs/>
          <w:spacing w:val="-5"/>
          <w:sz w:val="24"/>
          <w:szCs w:val="24"/>
          <w:highlight w:val="none"/>
        </w:rPr>
        <w:t>20.</w:t>
      </w:r>
      <w:r>
        <w:rPr>
          <w:rFonts w:hint="eastAsia" w:ascii="宋体" w:hAnsi="宋体" w:eastAsia="宋体" w:cs="宋体"/>
          <w:b/>
          <w:bCs/>
          <w:spacing w:val="6"/>
          <w:sz w:val="24"/>
          <w:szCs w:val="24"/>
          <w:highlight w:val="none"/>
        </w:rPr>
        <w:t xml:space="preserve">  </w:t>
      </w:r>
      <w:r>
        <w:rPr>
          <w:rFonts w:hint="eastAsia" w:ascii="宋体" w:hAnsi="宋体" w:eastAsia="宋体" w:cs="宋体"/>
          <w:b/>
          <w:bCs/>
          <w:spacing w:val="-5"/>
          <w:sz w:val="24"/>
          <w:szCs w:val="24"/>
          <w:highlight w:val="none"/>
        </w:rPr>
        <w:t>保险</w:t>
      </w:r>
    </w:p>
    <w:p w14:paraId="4F9A7F00">
      <w:pPr>
        <w:keepNext w:val="0"/>
        <w:keepLines w:val="0"/>
        <w:pageBreakBefore w:val="0"/>
        <w:widowControl/>
        <w:kinsoku w:val="0"/>
        <w:wordWrap/>
        <w:overflowPunct/>
        <w:topLinePunct w:val="0"/>
        <w:autoSpaceDE w:val="0"/>
        <w:autoSpaceDN w:val="0"/>
        <w:bidi w:val="0"/>
        <w:adjustRightInd w:val="0"/>
        <w:snapToGrid w:val="0"/>
        <w:spacing w:before="115" w:line="360" w:lineRule="auto"/>
        <w:ind w:left="485"/>
        <w:textAlignment w:val="baseline"/>
        <w:outlineLvl w:val="4"/>
        <w:rPr>
          <w:rFonts w:hint="eastAsia" w:ascii="宋体" w:hAnsi="宋体" w:eastAsia="宋体" w:cs="宋体"/>
          <w:b/>
          <w:bCs/>
          <w:spacing w:val="-2"/>
          <w:sz w:val="24"/>
          <w:szCs w:val="24"/>
          <w:highlight w:val="none"/>
        </w:rPr>
      </w:pPr>
      <w:r>
        <w:rPr>
          <w:rFonts w:hint="eastAsia" w:ascii="宋体" w:hAnsi="宋体" w:eastAsia="宋体" w:cs="宋体"/>
          <w:b/>
          <w:bCs/>
          <w:spacing w:val="-2"/>
          <w:sz w:val="24"/>
          <w:szCs w:val="24"/>
          <w:highlight w:val="none"/>
        </w:rPr>
        <w:t>20.1 安全生产责任保险</w:t>
      </w:r>
    </w:p>
    <w:p w14:paraId="523EB59D">
      <w:pPr>
        <w:tabs>
          <w:tab w:val="left" w:pos="0"/>
        </w:tabs>
        <w:spacing w:line="360" w:lineRule="auto"/>
        <w:ind w:firstLine="0" w:firstLineChars="0"/>
        <w:rPr>
          <w:rFonts w:hint="eastAsia" w:ascii="宋体" w:hAnsi="宋体" w:eastAsia="宋体" w:cs="宋体"/>
          <w:spacing w:val="-1"/>
          <w:sz w:val="24"/>
          <w:szCs w:val="24"/>
          <w:highlight w:val="none"/>
          <w:u w:val="single"/>
          <w:lang w:eastAsia="zh-CN"/>
        </w:rPr>
      </w:pPr>
      <w:r>
        <w:rPr>
          <w:rFonts w:hint="eastAsia" w:ascii="宋体" w:hAnsi="宋体" w:eastAsia="宋体" w:cs="宋体"/>
          <w:b/>
          <w:bCs/>
          <w:spacing w:val="-2"/>
          <w:sz w:val="24"/>
          <w:szCs w:val="24"/>
          <w:highlight w:val="none"/>
        </w:rPr>
        <w:t xml:space="preserve">本款补充： </w:t>
      </w:r>
      <w:r>
        <w:rPr>
          <w:rFonts w:hint="eastAsia" w:ascii="宋体" w:hAnsi="宋体" w:eastAsia="宋体" w:cs="宋体"/>
          <w:spacing w:val="-1"/>
          <w:sz w:val="24"/>
          <w:szCs w:val="24"/>
          <w:highlight w:val="none"/>
          <w:u w:val="single"/>
          <w:lang w:eastAsia="zh-CN"/>
        </w:rPr>
        <w:t>安全生产责任保险保险金额：</w:t>
      </w:r>
      <w:r>
        <w:rPr>
          <w:rFonts w:hint="eastAsia" w:ascii="宋体" w:hAnsi="宋体" w:eastAsia="宋体" w:cs="宋体"/>
          <w:sz w:val="24"/>
          <w:szCs w:val="24"/>
          <w:highlight w:val="none"/>
          <w:u w:val="single"/>
        </w:rPr>
        <w:t>承包人应根据《广西壮族自治区交通运输厅关于推进实施行业工程建设领域安全生产责任保险工作的通知》（桂交安监函〔2021〕89号）要求购买安全生产责任保险。购买的保险要求累计赔偿限额不低于1000万元，每次事故限额不低于500万元，每人伤亡赔偿限额不低于80万元，每人医疗费用赔偿限额不低于30万元，第三者财产损失赔偿限额不低于150万元。安全生产责任险</w:t>
      </w:r>
      <w:r>
        <w:rPr>
          <w:rFonts w:hint="eastAsia" w:ascii="宋体" w:hAnsi="宋体" w:eastAsia="宋体" w:cs="宋体"/>
          <w:sz w:val="24"/>
          <w:szCs w:val="24"/>
          <w:highlight w:val="none"/>
          <w:u w:val="single"/>
          <w:lang w:val="en-US" w:eastAsia="zh-CN"/>
        </w:rPr>
        <w:t>费用</w:t>
      </w:r>
      <w:r>
        <w:rPr>
          <w:rFonts w:hint="eastAsia" w:ascii="宋体" w:hAnsi="宋体" w:eastAsia="宋体" w:cs="宋体"/>
          <w:sz w:val="24"/>
          <w:szCs w:val="24"/>
          <w:highlight w:val="none"/>
          <w:u w:val="single"/>
        </w:rPr>
        <w:t>由承包人报价时列入</w:t>
      </w:r>
      <w:r>
        <w:rPr>
          <w:rFonts w:hint="eastAsia" w:ascii="宋体" w:hAnsi="宋体" w:eastAsia="宋体" w:cs="宋体"/>
          <w:sz w:val="24"/>
          <w:szCs w:val="24"/>
          <w:highlight w:val="none"/>
          <w:u w:val="single"/>
          <w:lang w:val="en-US" w:eastAsia="zh-CN"/>
        </w:rPr>
        <w:t>工程量</w:t>
      </w:r>
      <w:r>
        <w:rPr>
          <w:rFonts w:hint="eastAsia" w:ascii="宋体" w:hAnsi="宋体" w:eastAsia="宋体" w:cs="宋体"/>
          <w:sz w:val="24"/>
          <w:szCs w:val="24"/>
          <w:highlight w:val="none"/>
          <w:u w:val="single"/>
        </w:rPr>
        <w:t>清单第100章内，</w:t>
      </w:r>
      <w:r>
        <w:rPr>
          <w:rFonts w:hint="eastAsia" w:ascii="宋体" w:hAnsi="宋体" w:eastAsia="宋体" w:cs="宋体"/>
          <w:sz w:val="24"/>
          <w:szCs w:val="24"/>
          <w:highlight w:val="none"/>
          <w:u w:val="single"/>
          <w:lang w:val="en-US" w:eastAsia="zh-CN"/>
        </w:rPr>
        <w:t>报价应包含本项目计量模式和绩效模式全部内容的安全生产责任险报价。</w:t>
      </w:r>
      <w:r>
        <w:rPr>
          <w:rFonts w:hint="eastAsia" w:ascii="宋体" w:hAnsi="宋体" w:eastAsia="宋体" w:cs="宋体"/>
          <w:sz w:val="24"/>
          <w:szCs w:val="24"/>
          <w:highlight w:val="none"/>
          <w:u w:val="single"/>
        </w:rPr>
        <w:t>发包人核对保单无误后按</w:t>
      </w:r>
      <w:r>
        <w:rPr>
          <w:rFonts w:hint="eastAsia" w:ascii="宋体" w:hAnsi="宋体" w:eastAsia="宋体" w:cs="宋体"/>
          <w:sz w:val="24"/>
          <w:szCs w:val="24"/>
          <w:highlight w:val="none"/>
          <w:u w:val="single"/>
          <w:lang w:val="en-US" w:eastAsia="zh-CN"/>
        </w:rPr>
        <w:t>清单计量模式</w:t>
      </w:r>
      <w:r>
        <w:rPr>
          <w:rFonts w:hint="eastAsia" w:ascii="宋体" w:hAnsi="宋体" w:eastAsia="宋体" w:cs="宋体"/>
          <w:sz w:val="24"/>
          <w:szCs w:val="24"/>
          <w:highlight w:val="none"/>
          <w:u w:val="single"/>
        </w:rPr>
        <w:t>向承包人支付，最高</w:t>
      </w:r>
      <w:r>
        <w:rPr>
          <w:rFonts w:hint="eastAsia" w:ascii="宋体" w:hAnsi="宋体" w:eastAsia="宋体" w:cs="宋体"/>
          <w:sz w:val="24"/>
          <w:szCs w:val="24"/>
          <w:highlight w:val="none"/>
          <w:u w:val="single"/>
          <w:lang w:val="en-US" w:eastAsia="zh-CN"/>
        </w:rPr>
        <w:t>金额</w:t>
      </w:r>
      <w:r>
        <w:rPr>
          <w:rFonts w:hint="eastAsia" w:ascii="宋体" w:hAnsi="宋体" w:eastAsia="宋体" w:cs="宋体"/>
          <w:sz w:val="24"/>
          <w:szCs w:val="24"/>
          <w:highlight w:val="none"/>
          <w:u w:val="single"/>
        </w:rPr>
        <w:t>不超过</w:t>
      </w:r>
      <w:r>
        <w:rPr>
          <w:rFonts w:hint="eastAsia" w:ascii="宋体" w:hAnsi="宋体" w:eastAsia="宋体" w:cs="宋体"/>
          <w:sz w:val="24"/>
          <w:szCs w:val="24"/>
          <w:highlight w:val="none"/>
          <w:u w:val="single"/>
          <w:lang w:val="en-US" w:eastAsia="zh-CN"/>
        </w:rPr>
        <w:t>合同计量清单中安全生产</w:t>
      </w:r>
      <w:r>
        <w:rPr>
          <w:rFonts w:hint="eastAsia" w:ascii="宋体" w:hAnsi="宋体" w:eastAsia="宋体" w:cs="宋体"/>
          <w:sz w:val="24"/>
          <w:szCs w:val="24"/>
          <w:highlight w:val="none"/>
          <w:u w:val="single"/>
        </w:rPr>
        <w:t>责任险的总额。</w:t>
      </w:r>
      <w:r>
        <w:rPr>
          <w:rFonts w:hint="eastAsia" w:ascii="宋体" w:hAnsi="宋体" w:eastAsia="宋体" w:cs="宋体"/>
          <w:spacing w:val="-1"/>
          <w:sz w:val="24"/>
          <w:szCs w:val="24"/>
          <w:highlight w:val="none"/>
          <w:u w:val="single"/>
          <w:lang w:val="en-US" w:eastAsia="zh-CN"/>
        </w:rPr>
        <w:t xml:space="preserve"> </w:t>
      </w:r>
      <w:r>
        <w:rPr>
          <w:rFonts w:hint="eastAsia" w:ascii="宋体" w:hAnsi="宋体" w:eastAsia="宋体" w:cs="宋体"/>
          <w:spacing w:val="-1"/>
          <w:sz w:val="24"/>
          <w:szCs w:val="24"/>
          <w:highlight w:val="none"/>
          <w:u w:val="single"/>
          <w:lang w:eastAsia="zh-CN"/>
        </w:rPr>
        <w:t>保险期限</w:t>
      </w:r>
      <w:r>
        <w:rPr>
          <w:rFonts w:hint="eastAsia" w:ascii="宋体" w:hAnsi="宋体" w:eastAsia="宋体" w:cs="宋体"/>
          <w:spacing w:val="-1"/>
          <w:sz w:val="24"/>
          <w:szCs w:val="24"/>
          <w:highlight w:val="none"/>
          <w:u w:val="single"/>
          <w:lang w:val="en-US" w:eastAsia="zh-CN"/>
        </w:rPr>
        <w:t>为</w:t>
      </w:r>
      <w:r>
        <w:rPr>
          <w:rFonts w:hint="eastAsia" w:ascii="宋体" w:hAnsi="宋体" w:eastAsia="宋体" w:cs="宋体"/>
          <w:spacing w:val="-1"/>
          <w:sz w:val="24"/>
          <w:szCs w:val="24"/>
          <w:highlight w:val="none"/>
          <w:u w:val="single"/>
          <w:lang w:eastAsia="zh-CN"/>
        </w:rPr>
        <w:t>合同履行期。</w:t>
      </w:r>
    </w:p>
    <w:p w14:paraId="260A0E73">
      <w:pPr>
        <w:keepNext w:val="0"/>
        <w:keepLines w:val="0"/>
        <w:pageBreakBefore w:val="0"/>
        <w:widowControl/>
        <w:kinsoku w:val="0"/>
        <w:wordWrap/>
        <w:overflowPunct/>
        <w:topLinePunct w:val="0"/>
        <w:autoSpaceDE w:val="0"/>
        <w:autoSpaceDN w:val="0"/>
        <w:bidi w:val="0"/>
        <w:adjustRightInd w:val="0"/>
        <w:snapToGrid w:val="0"/>
        <w:spacing w:line="360" w:lineRule="auto"/>
        <w:ind w:left="476"/>
        <w:textAlignment w:val="baseline"/>
        <w:outlineLvl w:val="3"/>
        <w:rPr>
          <w:rFonts w:hint="eastAsia" w:ascii="宋体" w:hAnsi="宋体" w:eastAsia="宋体" w:cs="宋体"/>
          <w:sz w:val="24"/>
          <w:szCs w:val="24"/>
          <w:highlight w:val="none"/>
          <w:lang w:eastAsia="zh-CN"/>
        </w:rPr>
      </w:pPr>
      <w:r>
        <w:rPr>
          <w:rFonts w:hint="eastAsia" w:ascii="宋体" w:hAnsi="宋体" w:eastAsia="宋体" w:cs="宋体"/>
          <w:b/>
          <w:bCs/>
          <w:spacing w:val="-2"/>
          <w:sz w:val="24"/>
          <w:szCs w:val="24"/>
          <w:highlight w:val="none"/>
          <w:lang w:eastAsia="zh-CN"/>
        </w:rPr>
        <w:t>20.2  工程保险及第三者责任险</w:t>
      </w:r>
    </w:p>
    <w:p w14:paraId="3FEA51B4">
      <w:pPr>
        <w:keepNext w:val="0"/>
        <w:keepLines w:val="0"/>
        <w:pageBreakBefore w:val="0"/>
        <w:widowControl/>
        <w:kinsoku w:val="0"/>
        <w:wordWrap/>
        <w:overflowPunct/>
        <w:topLinePunct w:val="0"/>
        <w:autoSpaceDE w:val="0"/>
        <w:autoSpaceDN w:val="0"/>
        <w:bidi w:val="0"/>
        <w:adjustRightInd w:val="0"/>
        <w:snapToGrid w:val="0"/>
        <w:spacing w:line="360" w:lineRule="auto"/>
        <w:ind w:left="475"/>
        <w:textAlignment w:val="baseline"/>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lang w:eastAsia="zh-CN"/>
        </w:rPr>
        <w:t>20.2.2  第三者责任险</w:t>
      </w:r>
    </w:p>
    <w:p w14:paraId="5B16CD22">
      <w:pPr>
        <w:keepNext w:val="0"/>
        <w:keepLines w:val="0"/>
        <w:pageBreakBefore w:val="0"/>
        <w:widowControl/>
        <w:kinsoku w:val="0"/>
        <w:wordWrap/>
        <w:overflowPunct/>
        <w:topLinePunct w:val="0"/>
        <w:autoSpaceDE w:val="0"/>
        <w:autoSpaceDN w:val="0"/>
        <w:bidi w:val="0"/>
        <w:adjustRightInd w:val="0"/>
        <w:snapToGrid w:val="0"/>
        <w:spacing w:before="96" w:line="360" w:lineRule="auto"/>
        <w:jc w:val="left"/>
        <w:textAlignment w:val="baseline"/>
        <w:rPr>
          <w:rFonts w:hint="eastAsia" w:ascii="宋体" w:hAnsi="宋体" w:eastAsia="宋体" w:cs="宋体"/>
          <w:spacing w:val="-1"/>
          <w:sz w:val="24"/>
          <w:szCs w:val="24"/>
          <w:highlight w:val="none"/>
          <w:lang w:val="en-US" w:eastAsia="zh-CN"/>
        </w:rPr>
      </w:pPr>
      <w:r>
        <w:rPr>
          <w:rFonts w:hint="eastAsia" w:ascii="宋体" w:hAnsi="宋体" w:eastAsia="宋体" w:cs="宋体"/>
          <w:spacing w:val="-1"/>
          <w:sz w:val="24"/>
          <w:szCs w:val="24"/>
          <w:highlight w:val="none"/>
          <w:lang w:val="en-US" w:eastAsia="zh-CN"/>
        </w:rPr>
        <w:t xml:space="preserve">   </w:t>
      </w:r>
      <w:r>
        <w:rPr>
          <w:rFonts w:hint="eastAsia" w:ascii="宋体" w:hAnsi="宋体" w:eastAsia="宋体" w:cs="宋体"/>
          <w:spacing w:val="-1"/>
          <w:sz w:val="24"/>
          <w:szCs w:val="24"/>
          <w:highlight w:val="none"/>
          <w:lang w:eastAsia="zh-CN"/>
        </w:rPr>
        <w:t xml:space="preserve">20.2.2 </w:t>
      </w:r>
      <w:r>
        <w:rPr>
          <w:rFonts w:hint="eastAsia" w:ascii="宋体" w:hAnsi="宋体" w:eastAsia="宋体" w:cs="宋体"/>
          <w:spacing w:val="-2"/>
          <w:sz w:val="24"/>
          <w:szCs w:val="24"/>
          <w:highlight w:val="none"/>
          <w:lang w:eastAsia="zh-CN"/>
        </w:rPr>
        <w:t>（2）</w:t>
      </w:r>
      <w:r>
        <w:rPr>
          <w:rFonts w:hint="eastAsia" w:ascii="宋体" w:hAnsi="宋体" w:eastAsia="宋体" w:cs="宋体"/>
          <w:spacing w:val="-2"/>
          <w:sz w:val="24"/>
          <w:szCs w:val="24"/>
          <w:highlight w:val="none"/>
          <w:lang w:val="en-US" w:eastAsia="zh-CN"/>
        </w:rPr>
        <w:t>补充：</w:t>
      </w:r>
      <w:r>
        <w:rPr>
          <w:rFonts w:hint="eastAsia" w:ascii="宋体" w:hAnsi="宋体" w:eastAsia="宋体" w:cs="宋体"/>
          <w:spacing w:val="-1"/>
          <w:sz w:val="24"/>
          <w:szCs w:val="24"/>
          <w:highlight w:val="none"/>
          <w:lang w:eastAsia="zh-CN"/>
        </w:rPr>
        <w:t>第三者责任险</w:t>
      </w:r>
      <w:r>
        <w:rPr>
          <w:rFonts w:hint="eastAsia" w:ascii="宋体" w:hAnsi="宋体" w:eastAsia="宋体" w:cs="宋体"/>
          <w:spacing w:val="-1"/>
          <w:sz w:val="24"/>
          <w:szCs w:val="24"/>
          <w:highlight w:val="none"/>
          <w:lang w:val="en-US" w:eastAsia="zh-CN"/>
        </w:rPr>
        <w:t>保险</w:t>
      </w:r>
      <w:r>
        <w:rPr>
          <w:rFonts w:hint="eastAsia" w:ascii="宋体" w:hAnsi="宋体" w:eastAsia="宋体" w:cs="宋体"/>
          <w:spacing w:val="-1"/>
          <w:sz w:val="24"/>
          <w:szCs w:val="24"/>
          <w:highlight w:val="none"/>
          <w:lang w:eastAsia="zh-CN"/>
        </w:rPr>
        <w:t>费率</w:t>
      </w:r>
      <w:r>
        <w:rPr>
          <w:rFonts w:hint="eastAsia" w:ascii="宋体" w:hAnsi="宋体" w:eastAsia="宋体" w:cs="宋体"/>
          <w:spacing w:val="-1"/>
          <w:sz w:val="24"/>
          <w:szCs w:val="24"/>
          <w:highlight w:val="none"/>
          <w:lang w:val="en-US" w:eastAsia="zh-CN"/>
        </w:rPr>
        <w:t>为1.5</w:t>
      </w:r>
      <w:r>
        <w:rPr>
          <w:rFonts w:hint="eastAsia" w:ascii="宋体" w:hAnsi="宋体" w:eastAsia="宋体" w:cs="宋体"/>
          <w:spacing w:val="-1"/>
          <w:sz w:val="24"/>
          <w:szCs w:val="24"/>
          <w:highlight w:val="none"/>
          <w:lang w:eastAsia="zh-CN"/>
        </w:rPr>
        <w:t xml:space="preserve"> ‰，最低投保金额不低于合同价的100%（其中第三者责任险最低投保金额为100万元），保险期限</w:t>
      </w:r>
      <w:r>
        <w:rPr>
          <w:rFonts w:hint="eastAsia" w:ascii="宋体" w:hAnsi="宋体" w:eastAsia="宋体" w:cs="宋体"/>
          <w:spacing w:val="-1"/>
          <w:sz w:val="24"/>
          <w:szCs w:val="24"/>
          <w:highlight w:val="none"/>
          <w:lang w:val="en-US" w:eastAsia="zh-CN"/>
        </w:rPr>
        <w:t>为</w:t>
      </w:r>
      <w:r>
        <w:rPr>
          <w:rFonts w:hint="eastAsia" w:ascii="宋体" w:hAnsi="宋体" w:eastAsia="宋体" w:cs="宋体"/>
          <w:spacing w:val="-1"/>
          <w:sz w:val="24"/>
          <w:szCs w:val="24"/>
          <w:highlight w:val="none"/>
          <w:lang w:eastAsia="zh-CN"/>
        </w:rPr>
        <w:t>合同履行期。</w:t>
      </w:r>
      <w:r>
        <w:rPr>
          <w:rFonts w:hint="eastAsia" w:ascii="宋体" w:hAnsi="宋体" w:eastAsia="宋体" w:cs="宋体"/>
          <w:spacing w:val="2"/>
          <w:sz w:val="24"/>
          <w:szCs w:val="24"/>
          <w:highlight w:val="none"/>
        </w:rPr>
        <w:t>第三者责任险由</w:t>
      </w:r>
      <w:r>
        <w:rPr>
          <w:rFonts w:hint="eastAsia" w:ascii="宋体" w:hAnsi="宋体" w:eastAsia="宋体" w:cs="宋体"/>
          <w:spacing w:val="1"/>
          <w:sz w:val="24"/>
          <w:szCs w:val="24"/>
          <w:highlight w:val="none"/>
        </w:rPr>
        <w:t>承包人以承包人与发包人的名义联名投保。第三者责任险</w:t>
      </w:r>
      <w:r>
        <w:rPr>
          <w:rFonts w:hint="eastAsia" w:ascii="宋体" w:hAnsi="宋体" w:eastAsia="宋体" w:cs="宋体"/>
          <w:sz w:val="24"/>
          <w:szCs w:val="24"/>
          <w:highlight w:val="none"/>
          <w:u w:val="none"/>
          <w:lang w:val="en-US" w:eastAsia="zh-CN"/>
        </w:rPr>
        <w:t>费用</w:t>
      </w:r>
      <w:r>
        <w:rPr>
          <w:rFonts w:hint="eastAsia" w:ascii="宋体" w:hAnsi="宋体" w:eastAsia="宋体" w:cs="宋体"/>
          <w:sz w:val="24"/>
          <w:szCs w:val="24"/>
          <w:highlight w:val="none"/>
          <w:u w:val="none"/>
        </w:rPr>
        <w:t>由承包人报价时列入</w:t>
      </w:r>
      <w:r>
        <w:rPr>
          <w:rFonts w:hint="eastAsia" w:ascii="宋体" w:hAnsi="宋体" w:eastAsia="宋体" w:cs="宋体"/>
          <w:sz w:val="24"/>
          <w:szCs w:val="24"/>
          <w:highlight w:val="none"/>
          <w:u w:val="none"/>
          <w:lang w:val="en-US" w:eastAsia="zh-CN"/>
        </w:rPr>
        <w:t>工程量</w:t>
      </w:r>
      <w:r>
        <w:rPr>
          <w:rFonts w:hint="eastAsia" w:ascii="宋体" w:hAnsi="宋体" w:eastAsia="宋体" w:cs="宋体"/>
          <w:sz w:val="24"/>
          <w:szCs w:val="24"/>
          <w:highlight w:val="none"/>
          <w:u w:val="none"/>
        </w:rPr>
        <w:t>清单第100章内，</w:t>
      </w:r>
      <w:r>
        <w:rPr>
          <w:rFonts w:hint="eastAsia" w:ascii="宋体" w:hAnsi="宋体" w:eastAsia="宋体" w:cs="宋体"/>
          <w:sz w:val="24"/>
          <w:szCs w:val="24"/>
          <w:highlight w:val="none"/>
          <w:u w:val="none"/>
          <w:lang w:val="en-US" w:eastAsia="zh-CN"/>
        </w:rPr>
        <w:t>报价应包含本项目计量模式和绩效模式全部内容的</w:t>
      </w:r>
      <w:r>
        <w:rPr>
          <w:rFonts w:hint="eastAsia" w:ascii="宋体" w:hAnsi="宋体" w:eastAsia="宋体" w:cs="宋体"/>
          <w:spacing w:val="2"/>
          <w:sz w:val="24"/>
          <w:szCs w:val="24"/>
          <w:highlight w:val="none"/>
          <w:u w:val="none"/>
        </w:rPr>
        <w:t>第三者责任险</w:t>
      </w:r>
      <w:r>
        <w:rPr>
          <w:rFonts w:hint="eastAsia" w:ascii="宋体" w:hAnsi="宋体" w:eastAsia="宋体" w:cs="宋体"/>
          <w:sz w:val="24"/>
          <w:szCs w:val="24"/>
          <w:highlight w:val="none"/>
          <w:u w:val="none"/>
          <w:lang w:val="en-US" w:eastAsia="zh-CN"/>
        </w:rPr>
        <w:t>报价。</w:t>
      </w:r>
      <w:r>
        <w:rPr>
          <w:rFonts w:hint="eastAsia" w:ascii="宋体" w:hAnsi="宋体" w:eastAsia="宋体" w:cs="宋体"/>
          <w:spacing w:val="-1"/>
          <w:sz w:val="24"/>
          <w:szCs w:val="24"/>
          <w:highlight w:val="none"/>
          <w:lang w:val="en-US" w:eastAsia="zh-CN"/>
        </w:rPr>
        <w:t>承包人按合同清单子目计量，超出部分由承包人自行承担。</w:t>
      </w:r>
    </w:p>
    <w:p w14:paraId="77CED484">
      <w:pPr>
        <w:spacing w:before="115" w:line="220" w:lineRule="auto"/>
        <w:ind w:left="485"/>
        <w:outlineLvl w:val="4"/>
        <w:rPr>
          <w:rFonts w:hint="eastAsia" w:ascii="宋体" w:hAnsi="宋体" w:eastAsia="宋体" w:cs="宋体"/>
          <w:sz w:val="24"/>
          <w:szCs w:val="24"/>
          <w:highlight w:val="none"/>
        </w:rPr>
      </w:pPr>
      <w:r>
        <w:rPr>
          <w:rFonts w:hint="eastAsia" w:ascii="宋体" w:hAnsi="宋体" w:eastAsia="宋体" w:cs="宋体"/>
          <w:b/>
          <w:bCs/>
          <w:spacing w:val="-2"/>
          <w:sz w:val="24"/>
          <w:szCs w:val="24"/>
          <w:highlight w:val="none"/>
        </w:rPr>
        <w:t>20.6  对各项保险的一般要求</w:t>
      </w:r>
    </w:p>
    <w:p w14:paraId="0E53CAB7">
      <w:pPr>
        <w:spacing w:before="121" w:line="311" w:lineRule="auto"/>
        <w:ind w:left="26" w:firstLine="458"/>
        <w:rPr>
          <w:rFonts w:hint="eastAsia" w:ascii="宋体" w:hAnsi="宋体" w:eastAsia="宋体" w:cs="宋体"/>
          <w:spacing w:val="-9"/>
          <w:sz w:val="24"/>
          <w:szCs w:val="24"/>
        </w:rPr>
      </w:pPr>
      <w:r>
        <w:rPr>
          <w:rFonts w:hint="eastAsia" w:ascii="宋体" w:hAnsi="宋体" w:eastAsia="宋体" w:cs="宋体"/>
          <w:spacing w:val="-11"/>
          <w:sz w:val="24"/>
          <w:szCs w:val="24"/>
        </w:rPr>
        <w:t>20.6.1   承</w:t>
      </w:r>
      <w:r>
        <w:rPr>
          <w:rFonts w:hint="eastAsia" w:ascii="宋体" w:hAnsi="宋体" w:eastAsia="宋体" w:cs="宋体"/>
          <w:spacing w:val="-61"/>
          <w:sz w:val="24"/>
          <w:szCs w:val="24"/>
        </w:rPr>
        <w:t xml:space="preserve"> </w:t>
      </w:r>
      <w:r>
        <w:rPr>
          <w:rFonts w:hint="eastAsia" w:ascii="宋体" w:hAnsi="宋体" w:eastAsia="宋体" w:cs="宋体"/>
          <w:spacing w:val="-11"/>
          <w:sz w:val="24"/>
          <w:szCs w:val="24"/>
        </w:rPr>
        <w:t>包</w:t>
      </w:r>
      <w:r>
        <w:rPr>
          <w:rFonts w:hint="eastAsia" w:ascii="宋体" w:hAnsi="宋体" w:eastAsia="宋体" w:cs="宋体"/>
          <w:spacing w:val="-60"/>
          <w:sz w:val="24"/>
          <w:szCs w:val="24"/>
        </w:rPr>
        <w:t xml:space="preserve"> </w:t>
      </w:r>
      <w:r>
        <w:rPr>
          <w:rFonts w:hint="eastAsia" w:ascii="宋体" w:hAnsi="宋体" w:eastAsia="宋体" w:cs="宋体"/>
          <w:spacing w:val="-11"/>
          <w:sz w:val="24"/>
          <w:szCs w:val="24"/>
        </w:rPr>
        <w:t>人</w:t>
      </w:r>
      <w:r>
        <w:rPr>
          <w:rFonts w:hint="eastAsia" w:ascii="宋体" w:hAnsi="宋体" w:eastAsia="宋体" w:cs="宋体"/>
          <w:spacing w:val="-41"/>
          <w:sz w:val="24"/>
          <w:szCs w:val="24"/>
        </w:rPr>
        <w:t xml:space="preserve"> </w:t>
      </w:r>
      <w:r>
        <w:rPr>
          <w:rFonts w:hint="eastAsia" w:ascii="宋体" w:hAnsi="宋体" w:eastAsia="宋体" w:cs="宋体"/>
          <w:spacing w:val="-11"/>
          <w:sz w:val="24"/>
          <w:szCs w:val="24"/>
        </w:rPr>
        <w:t>向</w:t>
      </w:r>
      <w:r>
        <w:rPr>
          <w:rFonts w:hint="eastAsia" w:ascii="宋体" w:hAnsi="宋体" w:eastAsia="宋体" w:cs="宋体"/>
          <w:spacing w:val="-59"/>
          <w:sz w:val="24"/>
          <w:szCs w:val="24"/>
        </w:rPr>
        <w:t xml:space="preserve"> </w:t>
      </w:r>
      <w:r>
        <w:rPr>
          <w:rFonts w:hint="eastAsia" w:ascii="宋体" w:hAnsi="宋体" w:eastAsia="宋体" w:cs="宋体"/>
          <w:spacing w:val="-11"/>
          <w:sz w:val="24"/>
          <w:szCs w:val="24"/>
        </w:rPr>
        <w:t>发</w:t>
      </w:r>
      <w:r>
        <w:rPr>
          <w:rFonts w:hint="eastAsia" w:ascii="宋体" w:hAnsi="宋体" w:eastAsia="宋体" w:cs="宋体"/>
          <w:spacing w:val="-62"/>
          <w:sz w:val="24"/>
          <w:szCs w:val="24"/>
        </w:rPr>
        <w:t xml:space="preserve"> </w:t>
      </w:r>
      <w:r>
        <w:rPr>
          <w:rFonts w:hint="eastAsia" w:ascii="宋体" w:hAnsi="宋体" w:eastAsia="宋体" w:cs="宋体"/>
          <w:spacing w:val="-11"/>
          <w:sz w:val="24"/>
          <w:szCs w:val="24"/>
        </w:rPr>
        <w:t>包</w:t>
      </w:r>
      <w:r>
        <w:rPr>
          <w:rFonts w:hint="eastAsia" w:ascii="宋体" w:hAnsi="宋体" w:eastAsia="宋体" w:cs="宋体"/>
          <w:spacing w:val="-61"/>
          <w:sz w:val="24"/>
          <w:szCs w:val="24"/>
        </w:rPr>
        <w:t xml:space="preserve"> </w:t>
      </w:r>
      <w:r>
        <w:rPr>
          <w:rFonts w:hint="eastAsia" w:ascii="宋体" w:hAnsi="宋体" w:eastAsia="宋体" w:cs="宋体"/>
          <w:spacing w:val="-11"/>
          <w:sz w:val="24"/>
          <w:szCs w:val="24"/>
        </w:rPr>
        <w:t>人</w:t>
      </w:r>
      <w:r>
        <w:rPr>
          <w:rFonts w:hint="eastAsia" w:ascii="宋体" w:hAnsi="宋体" w:eastAsia="宋体" w:cs="宋体"/>
          <w:spacing w:val="-62"/>
          <w:sz w:val="24"/>
          <w:szCs w:val="24"/>
        </w:rPr>
        <w:t xml:space="preserve"> </w:t>
      </w:r>
      <w:r>
        <w:rPr>
          <w:rFonts w:hint="eastAsia" w:ascii="宋体" w:hAnsi="宋体" w:eastAsia="宋体" w:cs="宋体"/>
          <w:spacing w:val="-11"/>
          <w:sz w:val="24"/>
          <w:szCs w:val="24"/>
        </w:rPr>
        <w:t>提</w:t>
      </w:r>
      <w:r>
        <w:rPr>
          <w:rFonts w:hint="eastAsia" w:ascii="宋体" w:hAnsi="宋体" w:eastAsia="宋体" w:cs="宋体"/>
          <w:spacing w:val="-60"/>
          <w:sz w:val="24"/>
          <w:szCs w:val="24"/>
        </w:rPr>
        <w:t xml:space="preserve"> </w:t>
      </w:r>
      <w:r>
        <w:rPr>
          <w:rFonts w:hint="eastAsia" w:ascii="宋体" w:hAnsi="宋体" w:eastAsia="宋体" w:cs="宋体"/>
          <w:spacing w:val="-11"/>
          <w:sz w:val="24"/>
          <w:szCs w:val="24"/>
        </w:rPr>
        <w:t>交</w:t>
      </w:r>
      <w:r>
        <w:rPr>
          <w:rFonts w:hint="eastAsia" w:ascii="宋体" w:hAnsi="宋体" w:eastAsia="宋体" w:cs="宋体"/>
          <w:spacing w:val="-60"/>
          <w:sz w:val="24"/>
          <w:szCs w:val="24"/>
        </w:rPr>
        <w:t xml:space="preserve"> </w:t>
      </w:r>
      <w:r>
        <w:rPr>
          <w:rFonts w:hint="eastAsia" w:ascii="宋体" w:hAnsi="宋体" w:eastAsia="宋体" w:cs="宋体"/>
          <w:spacing w:val="-11"/>
          <w:sz w:val="24"/>
          <w:szCs w:val="24"/>
        </w:rPr>
        <w:t>各</w:t>
      </w:r>
      <w:r>
        <w:rPr>
          <w:rFonts w:hint="eastAsia" w:ascii="宋体" w:hAnsi="宋体" w:eastAsia="宋体" w:cs="宋体"/>
          <w:spacing w:val="-59"/>
          <w:sz w:val="24"/>
          <w:szCs w:val="24"/>
        </w:rPr>
        <w:t xml:space="preserve"> </w:t>
      </w:r>
      <w:r>
        <w:rPr>
          <w:rFonts w:hint="eastAsia" w:ascii="宋体" w:hAnsi="宋体" w:eastAsia="宋体" w:cs="宋体"/>
          <w:spacing w:val="-11"/>
          <w:sz w:val="24"/>
          <w:szCs w:val="24"/>
        </w:rPr>
        <w:t>项</w:t>
      </w:r>
      <w:r>
        <w:rPr>
          <w:rFonts w:hint="eastAsia" w:ascii="宋体" w:hAnsi="宋体" w:eastAsia="宋体" w:cs="宋体"/>
          <w:spacing w:val="-61"/>
          <w:sz w:val="24"/>
          <w:szCs w:val="24"/>
        </w:rPr>
        <w:t xml:space="preserve"> </w:t>
      </w:r>
      <w:r>
        <w:rPr>
          <w:rFonts w:hint="eastAsia" w:ascii="宋体" w:hAnsi="宋体" w:eastAsia="宋体" w:cs="宋体"/>
          <w:spacing w:val="-11"/>
          <w:sz w:val="24"/>
          <w:szCs w:val="24"/>
        </w:rPr>
        <w:t>保</w:t>
      </w:r>
      <w:r>
        <w:rPr>
          <w:rFonts w:hint="eastAsia" w:ascii="宋体" w:hAnsi="宋体" w:eastAsia="宋体" w:cs="宋体"/>
          <w:spacing w:val="-52"/>
          <w:sz w:val="24"/>
          <w:szCs w:val="24"/>
        </w:rPr>
        <w:t xml:space="preserve"> </w:t>
      </w:r>
      <w:r>
        <w:rPr>
          <w:rFonts w:hint="eastAsia" w:ascii="宋体" w:hAnsi="宋体" w:eastAsia="宋体" w:cs="宋体"/>
          <w:spacing w:val="-11"/>
          <w:sz w:val="24"/>
          <w:szCs w:val="24"/>
        </w:rPr>
        <w:t>险</w:t>
      </w:r>
      <w:r>
        <w:rPr>
          <w:rFonts w:hint="eastAsia" w:ascii="宋体" w:hAnsi="宋体" w:eastAsia="宋体" w:cs="宋体"/>
          <w:spacing w:val="-61"/>
          <w:sz w:val="24"/>
          <w:szCs w:val="24"/>
        </w:rPr>
        <w:t xml:space="preserve"> </w:t>
      </w:r>
      <w:r>
        <w:rPr>
          <w:rFonts w:hint="eastAsia" w:ascii="宋体" w:hAnsi="宋体" w:eastAsia="宋体" w:cs="宋体"/>
          <w:spacing w:val="-11"/>
          <w:sz w:val="24"/>
          <w:szCs w:val="24"/>
        </w:rPr>
        <w:t>生</w:t>
      </w:r>
      <w:r>
        <w:rPr>
          <w:rFonts w:hint="eastAsia" w:ascii="宋体" w:hAnsi="宋体" w:eastAsia="宋体" w:cs="宋体"/>
          <w:spacing w:val="-57"/>
          <w:sz w:val="24"/>
          <w:szCs w:val="24"/>
        </w:rPr>
        <w:t xml:space="preserve"> </w:t>
      </w:r>
      <w:r>
        <w:rPr>
          <w:rFonts w:hint="eastAsia" w:ascii="宋体" w:hAnsi="宋体" w:eastAsia="宋体" w:cs="宋体"/>
          <w:spacing w:val="-11"/>
          <w:sz w:val="24"/>
          <w:szCs w:val="24"/>
        </w:rPr>
        <w:t>效</w:t>
      </w:r>
      <w:r>
        <w:rPr>
          <w:rFonts w:hint="eastAsia" w:ascii="宋体" w:hAnsi="宋体" w:eastAsia="宋体" w:cs="宋体"/>
          <w:spacing w:val="-43"/>
          <w:sz w:val="24"/>
          <w:szCs w:val="24"/>
        </w:rPr>
        <w:t xml:space="preserve"> </w:t>
      </w:r>
      <w:r>
        <w:rPr>
          <w:rFonts w:hint="eastAsia" w:ascii="宋体" w:hAnsi="宋体" w:eastAsia="宋体" w:cs="宋体"/>
          <w:spacing w:val="-11"/>
          <w:sz w:val="24"/>
          <w:szCs w:val="24"/>
        </w:rPr>
        <w:t>的</w:t>
      </w:r>
      <w:r>
        <w:rPr>
          <w:rFonts w:hint="eastAsia" w:ascii="宋体" w:hAnsi="宋体" w:eastAsia="宋体" w:cs="宋体"/>
          <w:spacing w:val="-62"/>
          <w:sz w:val="24"/>
          <w:szCs w:val="24"/>
        </w:rPr>
        <w:t xml:space="preserve"> </w:t>
      </w:r>
      <w:r>
        <w:rPr>
          <w:rFonts w:hint="eastAsia" w:ascii="宋体" w:hAnsi="宋体" w:eastAsia="宋体" w:cs="宋体"/>
          <w:spacing w:val="-11"/>
          <w:sz w:val="24"/>
          <w:szCs w:val="24"/>
        </w:rPr>
        <w:t>证</w:t>
      </w:r>
      <w:r>
        <w:rPr>
          <w:rFonts w:hint="eastAsia" w:ascii="宋体" w:hAnsi="宋体" w:eastAsia="宋体" w:cs="宋体"/>
          <w:spacing w:val="-66"/>
          <w:sz w:val="24"/>
          <w:szCs w:val="24"/>
        </w:rPr>
        <w:t xml:space="preserve"> </w:t>
      </w:r>
      <w:r>
        <w:rPr>
          <w:rFonts w:hint="eastAsia" w:ascii="宋体" w:hAnsi="宋体" w:eastAsia="宋体" w:cs="宋体"/>
          <w:spacing w:val="-11"/>
          <w:sz w:val="24"/>
          <w:szCs w:val="24"/>
        </w:rPr>
        <w:t>据</w:t>
      </w:r>
      <w:r>
        <w:rPr>
          <w:rFonts w:hint="eastAsia" w:ascii="宋体" w:hAnsi="宋体" w:eastAsia="宋体" w:cs="宋体"/>
          <w:spacing w:val="-62"/>
          <w:sz w:val="24"/>
          <w:szCs w:val="24"/>
        </w:rPr>
        <w:t xml:space="preserve"> </w:t>
      </w:r>
      <w:r>
        <w:rPr>
          <w:rFonts w:hint="eastAsia" w:ascii="宋体" w:hAnsi="宋体" w:eastAsia="宋体" w:cs="宋体"/>
          <w:spacing w:val="-11"/>
          <w:sz w:val="24"/>
          <w:szCs w:val="24"/>
        </w:rPr>
        <w:t>和</w:t>
      </w:r>
      <w:r>
        <w:rPr>
          <w:rFonts w:hint="eastAsia" w:ascii="宋体" w:hAnsi="宋体" w:eastAsia="宋体" w:cs="宋体"/>
          <w:spacing w:val="-62"/>
          <w:sz w:val="24"/>
          <w:szCs w:val="24"/>
        </w:rPr>
        <w:t xml:space="preserve"> </w:t>
      </w:r>
      <w:r>
        <w:rPr>
          <w:rFonts w:hint="eastAsia" w:ascii="宋体" w:hAnsi="宋体" w:eastAsia="宋体" w:cs="宋体"/>
          <w:spacing w:val="-11"/>
          <w:sz w:val="24"/>
          <w:szCs w:val="24"/>
        </w:rPr>
        <w:t>保</w:t>
      </w:r>
      <w:r>
        <w:rPr>
          <w:rFonts w:hint="eastAsia" w:ascii="宋体" w:hAnsi="宋体" w:eastAsia="宋体" w:cs="宋体"/>
          <w:spacing w:val="-49"/>
          <w:sz w:val="24"/>
          <w:szCs w:val="24"/>
        </w:rPr>
        <w:t xml:space="preserve"> </w:t>
      </w:r>
      <w:r>
        <w:rPr>
          <w:rFonts w:hint="eastAsia" w:ascii="宋体" w:hAnsi="宋体" w:eastAsia="宋体" w:cs="宋体"/>
          <w:spacing w:val="-11"/>
          <w:sz w:val="24"/>
          <w:szCs w:val="24"/>
        </w:rPr>
        <w:t>险</w:t>
      </w:r>
      <w:r>
        <w:rPr>
          <w:rFonts w:hint="eastAsia" w:ascii="宋体" w:hAnsi="宋体" w:eastAsia="宋体" w:cs="宋体"/>
          <w:spacing w:val="-61"/>
          <w:sz w:val="24"/>
          <w:szCs w:val="24"/>
        </w:rPr>
        <w:t xml:space="preserve"> </w:t>
      </w:r>
      <w:r>
        <w:rPr>
          <w:rFonts w:hint="eastAsia" w:ascii="宋体" w:hAnsi="宋体" w:eastAsia="宋体" w:cs="宋体"/>
          <w:spacing w:val="-11"/>
          <w:sz w:val="24"/>
          <w:szCs w:val="24"/>
        </w:rPr>
        <w:t>单</w:t>
      </w:r>
      <w:r>
        <w:rPr>
          <w:rFonts w:hint="eastAsia" w:ascii="宋体" w:hAnsi="宋体" w:eastAsia="宋体" w:cs="宋体"/>
          <w:spacing w:val="-60"/>
          <w:sz w:val="24"/>
          <w:szCs w:val="24"/>
        </w:rPr>
        <w:t xml:space="preserve"> </w:t>
      </w:r>
      <w:r>
        <w:rPr>
          <w:rFonts w:hint="eastAsia" w:ascii="宋体" w:hAnsi="宋体" w:eastAsia="宋体" w:cs="宋体"/>
          <w:spacing w:val="-11"/>
          <w:sz w:val="24"/>
          <w:szCs w:val="24"/>
        </w:rPr>
        <w:t>副</w:t>
      </w:r>
      <w:r>
        <w:rPr>
          <w:rFonts w:hint="eastAsia" w:ascii="宋体" w:hAnsi="宋体" w:eastAsia="宋体" w:cs="宋体"/>
          <w:spacing w:val="-62"/>
          <w:sz w:val="24"/>
          <w:szCs w:val="24"/>
        </w:rPr>
        <w:t xml:space="preserve"> </w:t>
      </w:r>
      <w:r>
        <w:rPr>
          <w:rFonts w:hint="eastAsia" w:ascii="宋体" w:hAnsi="宋体" w:eastAsia="宋体" w:cs="宋体"/>
          <w:spacing w:val="-11"/>
          <w:sz w:val="24"/>
          <w:szCs w:val="24"/>
        </w:rPr>
        <w:t>本</w:t>
      </w:r>
      <w:r>
        <w:rPr>
          <w:rFonts w:hint="eastAsia" w:ascii="宋体" w:hAnsi="宋体" w:eastAsia="宋体" w:cs="宋体"/>
          <w:spacing w:val="-43"/>
          <w:sz w:val="24"/>
          <w:szCs w:val="24"/>
        </w:rPr>
        <w:t xml:space="preserve"> </w:t>
      </w:r>
      <w:r>
        <w:rPr>
          <w:rFonts w:hint="eastAsia" w:ascii="宋体" w:hAnsi="宋体" w:eastAsia="宋体" w:cs="宋体"/>
          <w:spacing w:val="-11"/>
          <w:sz w:val="24"/>
          <w:szCs w:val="24"/>
        </w:rPr>
        <w:t>的</w:t>
      </w:r>
      <w:r>
        <w:rPr>
          <w:rFonts w:hint="eastAsia" w:ascii="宋体" w:hAnsi="宋体" w:eastAsia="宋体" w:cs="宋体"/>
          <w:spacing w:val="-60"/>
          <w:sz w:val="24"/>
          <w:szCs w:val="24"/>
        </w:rPr>
        <w:t xml:space="preserve"> </w:t>
      </w:r>
      <w:r>
        <w:rPr>
          <w:rFonts w:hint="eastAsia" w:ascii="宋体" w:hAnsi="宋体" w:eastAsia="宋体" w:cs="宋体"/>
          <w:spacing w:val="-11"/>
          <w:sz w:val="24"/>
          <w:szCs w:val="24"/>
        </w:rPr>
        <w:t>期</w:t>
      </w:r>
      <w:r>
        <w:rPr>
          <w:rFonts w:hint="eastAsia" w:ascii="宋体" w:hAnsi="宋体" w:eastAsia="宋体" w:cs="宋体"/>
          <w:spacing w:val="-9"/>
          <w:sz w:val="24"/>
          <w:szCs w:val="24"/>
        </w:rPr>
        <w:t>限：</w:t>
      </w:r>
      <w:r>
        <w:rPr>
          <w:rFonts w:hint="eastAsia" w:ascii="宋体" w:hAnsi="宋体" w:eastAsia="宋体" w:cs="宋体"/>
          <w:sz w:val="24"/>
          <w:szCs w:val="24"/>
          <w:u w:val="single"/>
        </w:rPr>
        <w:t xml:space="preserve">   正式开工前   </w:t>
      </w:r>
      <w:r>
        <w:rPr>
          <w:rFonts w:hint="eastAsia" w:ascii="宋体" w:hAnsi="宋体" w:eastAsia="宋体" w:cs="宋体"/>
          <w:spacing w:val="-9"/>
          <w:sz w:val="24"/>
          <w:szCs w:val="24"/>
        </w:rPr>
        <w:t>。</w:t>
      </w:r>
    </w:p>
    <w:p w14:paraId="36EEE6E2">
      <w:pPr>
        <w:spacing w:before="79" w:line="219" w:lineRule="auto"/>
        <w:ind w:left="485"/>
        <w:outlineLvl w:val="3"/>
        <w:rPr>
          <w:rFonts w:hint="eastAsia" w:ascii="宋体" w:hAnsi="宋体" w:eastAsia="宋体" w:cs="宋体"/>
          <w:sz w:val="24"/>
          <w:szCs w:val="24"/>
        </w:rPr>
      </w:pPr>
      <w:bookmarkStart w:id="154" w:name="bookmark105"/>
      <w:bookmarkEnd w:id="154"/>
      <w:bookmarkStart w:id="155" w:name="bookmark106"/>
      <w:bookmarkEnd w:id="155"/>
      <w:bookmarkStart w:id="156" w:name="bookmark108"/>
      <w:bookmarkEnd w:id="156"/>
      <w:bookmarkStart w:id="157" w:name="bookmark107"/>
      <w:bookmarkEnd w:id="157"/>
      <w:r>
        <w:rPr>
          <w:rFonts w:hint="eastAsia" w:ascii="宋体" w:hAnsi="宋体" w:eastAsia="宋体" w:cs="宋体"/>
          <w:b/>
          <w:bCs/>
          <w:spacing w:val="-4"/>
          <w:sz w:val="24"/>
          <w:szCs w:val="24"/>
        </w:rPr>
        <w:t>21.</w:t>
      </w:r>
      <w:r>
        <w:rPr>
          <w:rFonts w:hint="eastAsia" w:ascii="宋体" w:hAnsi="宋体" w:eastAsia="宋体" w:cs="宋体"/>
          <w:b/>
          <w:bCs/>
          <w:spacing w:val="6"/>
          <w:sz w:val="24"/>
          <w:szCs w:val="24"/>
        </w:rPr>
        <w:t xml:space="preserve">  </w:t>
      </w:r>
      <w:r>
        <w:rPr>
          <w:rFonts w:hint="eastAsia" w:ascii="宋体" w:hAnsi="宋体" w:eastAsia="宋体" w:cs="宋体"/>
          <w:b/>
          <w:bCs/>
          <w:spacing w:val="-4"/>
          <w:sz w:val="24"/>
          <w:szCs w:val="24"/>
        </w:rPr>
        <w:t>不可抗力</w:t>
      </w:r>
    </w:p>
    <w:p w14:paraId="66214BB7">
      <w:pPr>
        <w:spacing w:before="116" w:line="219" w:lineRule="auto"/>
        <w:ind w:left="485"/>
        <w:outlineLvl w:val="4"/>
        <w:rPr>
          <w:rFonts w:hint="eastAsia" w:ascii="宋体" w:hAnsi="宋体" w:eastAsia="宋体" w:cs="宋体"/>
          <w:sz w:val="24"/>
          <w:szCs w:val="24"/>
          <w:lang w:eastAsia="zh-CN"/>
        </w:rPr>
      </w:pPr>
      <w:r>
        <w:rPr>
          <w:rFonts w:hint="eastAsia" w:ascii="宋体" w:hAnsi="宋体" w:eastAsia="宋体" w:cs="宋体"/>
          <w:b/>
          <w:bCs/>
          <w:spacing w:val="-2"/>
          <w:sz w:val="24"/>
          <w:szCs w:val="24"/>
          <w:lang w:eastAsia="zh-CN"/>
        </w:rPr>
        <w:t>21.1  不可抗力的确认</w:t>
      </w:r>
    </w:p>
    <w:p w14:paraId="224561D7">
      <w:pPr>
        <w:spacing w:before="126" w:line="219" w:lineRule="auto"/>
        <w:ind w:left="485"/>
        <w:rPr>
          <w:rFonts w:hint="eastAsia" w:ascii="宋体" w:hAnsi="宋体" w:eastAsia="宋体" w:cs="宋体"/>
          <w:b/>
          <w:bCs/>
          <w:spacing w:val="-2"/>
          <w:sz w:val="24"/>
          <w:szCs w:val="24"/>
        </w:rPr>
      </w:pPr>
      <w:r>
        <w:rPr>
          <w:rFonts w:hint="eastAsia" w:ascii="宋体" w:hAnsi="宋体" w:eastAsia="宋体" w:cs="宋体"/>
          <w:sz w:val="24"/>
          <w:szCs w:val="24"/>
          <w:lang w:eastAsia="zh-CN"/>
        </w:rPr>
        <w:t>21.1.1  （5）不可抗力的其他情形：</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w:t>
      </w:r>
      <w:r>
        <w:rPr>
          <w:rFonts w:hint="eastAsia" w:ascii="宋体" w:hAnsi="宋体" w:eastAsia="宋体" w:cs="宋体"/>
          <w:sz w:val="24"/>
          <w:szCs w:val="24"/>
          <w:u w:val="single"/>
          <w:lang w:eastAsia="zh-CN"/>
        </w:rPr>
        <w:t xml:space="preserve"> </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w:t>
      </w:r>
    </w:p>
    <w:p w14:paraId="53B6FBCA">
      <w:pPr>
        <w:spacing w:before="109" w:line="219" w:lineRule="auto"/>
        <w:ind w:left="485"/>
        <w:outlineLvl w:val="4"/>
        <w:rPr>
          <w:rFonts w:hint="eastAsia" w:ascii="宋体" w:hAnsi="宋体" w:eastAsia="宋体" w:cs="宋体"/>
          <w:b/>
          <w:bCs/>
          <w:spacing w:val="-2"/>
          <w:sz w:val="24"/>
          <w:szCs w:val="24"/>
        </w:rPr>
      </w:pPr>
      <w:r>
        <w:rPr>
          <w:rFonts w:hint="eastAsia" w:ascii="宋体" w:hAnsi="宋体" w:eastAsia="宋体" w:cs="宋体"/>
          <w:b/>
          <w:bCs/>
          <w:spacing w:val="-2"/>
          <w:sz w:val="24"/>
          <w:szCs w:val="24"/>
        </w:rPr>
        <w:t>22.违约</w:t>
      </w:r>
    </w:p>
    <w:p w14:paraId="2CBBBCF0">
      <w:pPr>
        <w:spacing w:before="109" w:line="219" w:lineRule="auto"/>
        <w:ind w:left="485"/>
        <w:outlineLvl w:val="4"/>
        <w:rPr>
          <w:rFonts w:hint="eastAsia" w:ascii="宋体" w:hAnsi="宋体" w:eastAsia="宋体" w:cs="宋体"/>
          <w:b/>
          <w:bCs/>
          <w:spacing w:val="-2"/>
          <w:sz w:val="24"/>
          <w:szCs w:val="24"/>
        </w:rPr>
      </w:pPr>
      <w:r>
        <w:rPr>
          <w:rFonts w:hint="eastAsia" w:ascii="宋体" w:hAnsi="宋体" w:eastAsia="宋体" w:cs="宋体"/>
          <w:b/>
          <w:bCs/>
          <w:spacing w:val="-2"/>
          <w:sz w:val="24"/>
          <w:szCs w:val="24"/>
        </w:rPr>
        <w:t>22.1  承包人违约</w:t>
      </w:r>
    </w:p>
    <w:p w14:paraId="62D19DC7">
      <w:pPr>
        <w:spacing w:before="126" w:line="219" w:lineRule="auto"/>
        <w:ind w:left="476"/>
        <w:rPr>
          <w:rFonts w:hint="eastAsia" w:ascii="宋体" w:hAnsi="宋体" w:eastAsia="宋体" w:cs="宋体"/>
          <w:sz w:val="24"/>
          <w:szCs w:val="24"/>
        </w:rPr>
      </w:pPr>
      <w:r>
        <w:rPr>
          <w:rFonts w:hint="eastAsia" w:ascii="宋体" w:hAnsi="宋体" w:eastAsia="宋体" w:cs="宋体"/>
          <w:spacing w:val="-1"/>
          <w:sz w:val="24"/>
          <w:szCs w:val="24"/>
        </w:rPr>
        <w:t>22.1.1  承包人违约的情形</w:t>
      </w:r>
    </w:p>
    <w:p w14:paraId="016C5ACF">
      <w:pPr>
        <w:spacing w:before="116" w:line="219" w:lineRule="auto"/>
        <w:ind w:left="480"/>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highlight w:val="none"/>
          <w:lang w:val="en-US" w:eastAsia="zh-CN"/>
        </w:rPr>
        <w:t>本目增加：</w:t>
      </w:r>
    </w:p>
    <w:p w14:paraId="356FCAF7">
      <w:pPr>
        <w:spacing w:before="116" w:line="219" w:lineRule="auto"/>
        <w:ind w:left="480" w:firstLine="0"/>
        <w:rPr>
          <w:rFonts w:hint="eastAsia" w:ascii="宋体" w:hAnsi="宋体" w:eastAsia="宋体" w:cs="宋体"/>
          <w:sz w:val="24"/>
          <w:szCs w:val="24"/>
        </w:rPr>
      </w:pPr>
      <w:r>
        <w:rPr>
          <w:rFonts w:hint="eastAsia" w:ascii="宋体" w:hAnsi="宋体" w:eastAsia="宋体" w:cs="宋体"/>
          <w:spacing w:val="-1"/>
          <w:sz w:val="24"/>
          <w:szCs w:val="24"/>
          <w:lang w:eastAsia="zh-CN"/>
        </w:rPr>
        <w:t>（</w:t>
      </w:r>
      <w:r>
        <w:rPr>
          <w:rFonts w:hint="eastAsia" w:ascii="宋体" w:hAnsi="宋体" w:eastAsia="宋体" w:cs="宋体"/>
          <w:spacing w:val="-1"/>
          <w:sz w:val="24"/>
          <w:szCs w:val="24"/>
          <w:lang w:val="en-US" w:eastAsia="zh-CN"/>
        </w:rPr>
        <w:t>14</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未经发包人批准，承包人自行暂停养护作业</w:t>
      </w:r>
      <w:r>
        <w:rPr>
          <w:rFonts w:hint="eastAsia" w:ascii="宋体" w:hAnsi="宋体" w:eastAsia="宋体" w:cs="宋体"/>
          <w:spacing w:val="-1"/>
          <w:sz w:val="24"/>
          <w:szCs w:val="24"/>
          <w:lang w:val="en-US" w:eastAsia="zh-CN"/>
        </w:rPr>
        <w:t>的</w:t>
      </w:r>
      <w:r>
        <w:rPr>
          <w:rFonts w:hint="eastAsia" w:ascii="宋体" w:hAnsi="宋体" w:eastAsia="宋体" w:cs="宋体"/>
          <w:spacing w:val="-1"/>
          <w:sz w:val="24"/>
          <w:szCs w:val="24"/>
          <w:lang w:eastAsia="zh-CN"/>
        </w:rPr>
        <w:t>；</w:t>
      </w:r>
    </w:p>
    <w:p w14:paraId="3836B70E">
      <w:pPr>
        <w:spacing w:before="114" w:line="264" w:lineRule="auto"/>
        <w:ind w:left="5" w:firstLine="490"/>
        <w:rPr>
          <w:rFonts w:hint="eastAsia" w:ascii="宋体" w:hAnsi="宋体" w:eastAsia="宋体" w:cs="宋体"/>
          <w:spacing w:val="4"/>
          <w:sz w:val="24"/>
          <w:szCs w:val="24"/>
        </w:rPr>
      </w:pPr>
      <w:r>
        <w:rPr>
          <w:rFonts w:hint="eastAsia" w:ascii="宋体" w:hAnsi="宋体" w:eastAsia="宋体" w:cs="宋体"/>
          <w:spacing w:val="-1"/>
          <w:sz w:val="24"/>
          <w:szCs w:val="24"/>
        </w:rPr>
        <w:t>（1</w:t>
      </w:r>
      <w:r>
        <w:rPr>
          <w:rFonts w:hint="eastAsia" w:ascii="宋体" w:hAnsi="宋体" w:eastAsia="宋体" w:cs="宋体"/>
          <w:spacing w:val="-1"/>
          <w:sz w:val="24"/>
          <w:szCs w:val="24"/>
          <w:lang w:val="en-US" w:eastAsia="zh-CN"/>
        </w:rPr>
        <w:t>5</w:t>
      </w:r>
      <w:r>
        <w:rPr>
          <w:rFonts w:hint="eastAsia" w:ascii="宋体" w:hAnsi="宋体" w:eastAsia="宋体" w:cs="宋体"/>
          <w:spacing w:val="-1"/>
          <w:sz w:val="24"/>
          <w:szCs w:val="24"/>
        </w:rPr>
        <w:t>）</w:t>
      </w:r>
      <w:r>
        <w:rPr>
          <w:rFonts w:hint="eastAsia" w:ascii="宋体" w:hAnsi="宋体" w:eastAsia="宋体" w:cs="宋体"/>
          <w:spacing w:val="4"/>
          <w:sz w:val="24"/>
          <w:szCs w:val="24"/>
        </w:rPr>
        <w:t>承包人在合同期限内企业解散、破产、承包人违法经营违法被相关部门停业3个月以上难以履行合同的；</w:t>
      </w:r>
    </w:p>
    <w:p w14:paraId="0F085A68">
      <w:pPr>
        <w:widowControl/>
        <w:numPr>
          <w:ilvl w:val="-1"/>
          <w:numId w:val="0"/>
        </w:numPr>
        <w:spacing w:before="114" w:line="264" w:lineRule="auto"/>
        <w:ind w:left="5" w:firstLine="490"/>
        <w:rPr>
          <w:rFonts w:hint="eastAsia" w:ascii="宋体" w:hAnsi="宋体" w:eastAsia="宋体" w:cs="宋体"/>
          <w:spacing w:val="4"/>
          <w:sz w:val="24"/>
          <w:szCs w:val="24"/>
        </w:rPr>
      </w:pPr>
      <w:r>
        <w:rPr>
          <w:rFonts w:hint="eastAsia" w:ascii="宋体" w:hAnsi="宋体" w:eastAsia="宋体" w:cs="宋体"/>
          <w:spacing w:val="4"/>
          <w:sz w:val="24"/>
          <w:szCs w:val="24"/>
          <w:lang w:eastAsia="zh-CN"/>
        </w:rPr>
        <w:t>（</w:t>
      </w:r>
      <w:r>
        <w:rPr>
          <w:rFonts w:hint="eastAsia" w:ascii="宋体" w:hAnsi="宋体" w:eastAsia="宋体" w:cs="宋体"/>
          <w:spacing w:val="4"/>
          <w:sz w:val="24"/>
          <w:szCs w:val="24"/>
          <w:lang w:val="en-US" w:eastAsia="zh-CN"/>
        </w:rPr>
        <w:t>16</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未</w:t>
      </w:r>
      <w:r>
        <w:rPr>
          <w:rFonts w:hint="eastAsia" w:ascii="宋体" w:hAnsi="宋体" w:eastAsia="宋体" w:cs="宋体"/>
          <w:spacing w:val="4"/>
          <w:sz w:val="24"/>
          <w:szCs w:val="24"/>
          <w:lang w:val="en-US" w:eastAsia="zh-CN"/>
        </w:rPr>
        <w:t>能</w:t>
      </w:r>
      <w:r>
        <w:rPr>
          <w:rFonts w:hint="eastAsia" w:ascii="宋体" w:hAnsi="宋体" w:eastAsia="宋体" w:cs="宋体"/>
          <w:spacing w:val="4"/>
          <w:sz w:val="24"/>
          <w:szCs w:val="24"/>
        </w:rPr>
        <w:t>按下达的月度</w:t>
      </w:r>
      <w:r>
        <w:rPr>
          <w:rFonts w:hint="eastAsia" w:ascii="宋体" w:hAnsi="宋体" w:eastAsia="宋体" w:cs="宋体"/>
          <w:spacing w:val="4"/>
          <w:sz w:val="24"/>
          <w:szCs w:val="24"/>
          <w:lang w:val="en-US" w:eastAsia="zh-CN"/>
        </w:rPr>
        <w:t>日常维修</w:t>
      </w:r>
      <w:r>
        <w:rPr>
          <w:rFonts w:hint="eastAsia" w:ascii="宋体" w:hAnsi="宋体" w:eastAsia="宋体" w:cs="宋体"/>
          <w:spacing w:val="4"/>
          <w:sz w:val="24"/>
          <w:szCs w:val="24"/>
        </w:rPr>
        <w:t>作业计划或工作</w:t>
      </w:r>
      <w:r>
        <w:rPr>
          <w:rFonts w:hint="eastAsia" w:ascii="宋体" w:hAnsi="宋体" w:eastAsia="宋体" w:cs="宋体"/>
          <w:spacing w:val="4"/>
          <w:sz w:val="24"/>
          <w:szCs w:val="24"/>
          <w:lang w:val="en-US" w:eastAsia="zh-CN"/>
        </w:rPr>
        <w:t>任务</w:t>
      </w:r>
      <w:r>
        <w:rPr>
          <w:rFonts w:hint="eastAsia" w:ascii="宋体" w:hAnsi="宋体" w:eastAsia="宋体" w:cs="宋体"/>
          <w:spacing w:val="4"/>
          <w:sz w:val="24"/>
          <w:szCs w:val="24"/>
        </w:rPr>
        <w:t>指令完成的；</w:t>
      </w:r>
    </w:p>
    <w:p w14:paraId="6FFEC27C">
      <w:pPr>
        <w:widowControl/>
        <w:numPr>
          <w:ilvl w:val="-1"/>
          <w:numId w:val="0"/>
        </w:numPr>
        <w:spacing w:before="114" w:line="264" w:lineRule="auto"/>
        <w:ind w:left="5" w:firstLine="490"/>
        <w:rPr>
          <w:rFonts w:hint="eastAsia" w:ascii="宋体" w:hAnsi="宋体" w:eastAsia="宋体" w:cs="宋体"/>
          <w:spacing w:val="4"/>
          <w:sz w:val="24"/>
          <w:szCs w:val="24"/>
        </w:rPr>
      </w:pPr>
      <w:r>
        <w:rPr>
          <w:rFonts w:hint="eastAsia" w:ascii="宋体" w:hAnsi="宋体" w:eastAsia="宋体" w:cs="宋体"/>
          <w:spacing w:val="4"/>
          <w:sz w:val="24"/>
          <w:szCs w:val="24"/>
          <w:lang w:val="en-US" w:eastAsia="zh-CN"/>
        </w:rPr>
        <w:t>（17）因日常维修</w:t>
      </w:r>
      <w:r>
        <w:rPr>
          <w:rFonts w:hint="eastAsia" w:ascii="宋体" w:hAnsi="宋体" w:eastAsia="宋体" w:cs="宋体"/>
          <w:spacing w:val="4"/>
          <w:sz w:val="24"/>
          <w:szCs w:val="24"/>
        </w:rPr>
        <w:t>质量</w:t>
      </w:r>
      <w:r>
        <w:rPr>
          <w:rFonts w:hint="eastAsia" w:ascii="宋体" w:hAnsi="宋体" w:eastAsia="宋体" w:cs="宋体"/>
          <w:spacing w:val="4"/>
          <w:sz w:val="24"/>
          <w:szCs w:val="24"/>
          <w:lang w:val="en-US" w:eastAsia="zh-CN"/>
        </w:rPr>
        <w:t>问题造成损失，导致社会不良影响的；</w:t>
      </w:r>
    </w:p>
    <w:p w14:paraId="369E40BF">
      <w:pPr>
        <w:widowControl/>
        <w:numPr>
          <w:ilvl w:val="-1"/>
          <w:numId w:val="0"/>
        </w:numPr>
        <w:spacing w:before="114" w:line="264" w:lineRule="auto"/>
        <w:ind w:left="5" w:firstLine="490"/>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eastAsia="zh-CN"/>
        </w:rPr>
        <w:t>（</w:t>
      </w:r>
      <w:r>
        <w:rPr>
          <w:rFonts w:hint="eastAsia" w:ascii="宋体" w:hAnsi="宋体" w:eastAsia="宋体" w:cs="宋体"/>
          <w:spacing w:val="4"/>
          <w:sz w:val="24"/>
          <w:szCs w:val="24"/>
          <w:lang w:val="en-US" w:eastAsia="zh-CN"/>
        </w:rPr>
        <w:t>18</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因日常</w:t>
      </w:r>
      <w:r>
        <w:rPr>
          <w:rFonts w:hint="eastAsia" w:ascii="宋体" w:hAnsi="宋体" w:eastAsia="宋体" w:cs="宋体"/>
          <w:spacing w:val="4"/>
          <w:sz w:val="24"/>
          <w:szCs w:val="24"/>
          <w:lang w:val="en-US" w:eastAsia="zh-CN"/>
        </w:rPr>
        <w:t>维修</w:t>
      </w:r>
      <w:r>
        <w:rPr>
          <w:rFonts w:hint="eastAsia" w:ascii="宋体" w:hAnsi="宋体" w:eastAsia="宋体" w:cs="宋体"/>
          <w:spacing w:val="4"/>
          <w:sz w:val="24"/>
          <w:szCs w:val="24"/>
        </w:rPr>
        <w:t>工作受到</w:t>
      </w:r>
      <w:r>
        <w:rPr>
          <w:rFonts w:hint="eastAsia" w:ascii="宋体" w:hAnsi="宋体" w:eastAsia="宋体" w:cs="宋体"/>
          <w:spacing w:val="4"/>
          <w:sz w:val="24"/>
          <w:szCs w:val="24"/>
          <w:lang w:val="en-US" w:eastAsia="zh-CN"/>
        </w:rPr>
        <w:t>行业主管部门或上级公路管理机构下发</w:t>
      </w:r>
      <w:r>
        <w:rPr>
          <w:rFonts w:hint="eastAsia" w:ascii="宋体" w:hAnsi="宋体" w:eastAsia="宋体" w:cs="宋体"/>
          <w:spacing w:val="4"/>
          <w:sz w:val="24"/>
          <w:szCs w:val="24"/>
        </w:rPr>
        <w:t>整改通知、警告、通报的；</w:t>
      </w:r>
    </w:p>
    <w:p w14:paraId="1E6D2F61">
      <w:pPr>
        <w:widowControl/>
        <w:numPr>
          <w:ilvl w:val="0"/>
          <w:numId w:val="0"/>
        </w:numPr>
        <w:spacing w:before="114" w:line="264" w:lineRule="auto"/>
        <w:ind w:left="5" w:firstLine="490"/>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w:t>
      </w:r>
      <w:r>
        <w:rPr>
          <w:rFonts w:hint="eastAsia" w:ascii="宋体" w:hAnsi="宋体" w:eastAsia="宋体" w:cs="宋体"/>
          <w:spacing w:val="4"/>
          <w:sz w:val="24"/>
          <w:szCs w:val="24"/>
          <w:lang w:val="en-US" w:eastAsia="zh-CN"/>
        </w:rPr>
        <w:t>19</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lang w:val="en-US" w:eastAsia="zh-CN"/>
        </w:rPr>
        <w:t>因承包人原因，日常维修作业造成安全生产责任事故的</w:t>
      </w:r>
      <w:r>
        <w:rPr>
          <w:rFonts w:hint="eastAsia" w:ascii="宋体" w:hAnsi="宋体" w:eastAsia="宋体" w:cs="宋体"/>
          <w:spacing w:val="4"/>
          <w:sz w:val="24"/>
          <w:szCs w:val="24"/>
        </w:rPr>
        <w:t>；</w:t>
      </w:r>
    </w:p>
    <w:p w14:paraId="6B09A1FD">
      <w:pPr>
        <w:spacing w:before="123" w:line="219" w:lineRule="auto"/>
        <w:ind w:left="485"/>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eastAsia="zh-CN"/>
        </w:rPr>
        <w:t>22.1.2  对承包人违约的处理</w:t>
      </w:r>
    </w:p>
    <w:p w14:paraId="630A617B">
      <w:pPr>
        <w:spacing w:before="115" w:line="304" w:lineRule="auto"/>
        <w:ind w:left="9" w:firstLine="491"/>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（4）当承包人发生第</w:t>
      </w:r>
      <w:r>
        <w:rPr>
          <w:rFonts w:hint="eastAsia" w:ascii="宋体" w:hAnsi="宋体" w:eastAsia="宋体" w:cs="宋体"/>
          <w:spacing w:val="-50"/>
          <w:sz w:val="24"/>
          <w:szCs w:val="24"/>
          <w:lang w:eastAsia="zh-CN"/>
        </w:rPr>
        <w:t xml:space="preserve"> </w:t>
      </w:r>
      <w:r>
        <w:rPr>
          <w:rFonts w:hint="eastAsia" w:ascii="宋体" w:hAnsi="宋体" w:eastAsia="宋体" w:cs="宋体"/>
          <w:spacing w:val="3"/>
          <w:sz w:val="24"/>
          <w:szCs w:val="24"/>
          <w:lang w:eastAsia="zh-CN"/>
        </w:rPr>
        <w:t>22.1.1</w:t>
      </w:r>
      <w:r>
        <w:rPr>
          <w:rFonts w:hint="eastAsia" w:ascii="宋体" w:hAnsi="宋体" w:eastAsia="宋体" w:cs="宋体"/>
          <w:spacing w:val="18"/>
          <w:sz w:val="24"/>
          <w:szCs w:val="24"/>
          <w:lang w:eastAsia="zh-CN"/>
        </w:rPr>
        <w:t xml:space="preserve"> </w:t>
      </w:r>
      <w:r>
        <w:rPr>
          <w:rFonts w:hint="eastAsia" w:ascii="宋体" w:hAnsi="宋体" w:eastAsia="宋体" w:cs="宋体"/>
          <w:spacing w:val="3"/>
          <w:sz w:val="24"/>
          <w:szCs w:val="24"/>
          <w:lang w:eastAsia="zh-CN"/>
        </w:rPr>
        <w:t>项约定的违约情况时，发包人有权向</w:t>
      </w:r>
      <w:r>
        <w:rPr>
          <w:rFonts w:hint="eastAsia" w:ascii="宋体" w:hAnsi="宋体" w:eastAsia="宋体" w:cs="宋体"/>
          <w:spacing w:val="2"/>
          <w:sz w:val="24"/>
          <w:szCs w:val="24"/>
          <w:lang w:eastAsia="zh-CN"/>
        </w:rPr>
        <w:t>承包人课以</w:t>
      </w:r>
      <w:r>
        <w:rPr>
          <w:rFonts w:hint="eastAsia" w:ascii="宋体" w:hAnsi="宋体" w:eastAsia="宋体" w:cs="宋体"/>
          <w:spacing w:val="-1"/>
          <w:sz w:val="24"/>
          <w:szCs w:val="24"/>
          <w:lang w:eastAsia="zh-CN"/>
        </w:rPr>
        <w:t>违约金，具体约定如下</w:t>
      </w:r>
      <w:r>
        <w:rPr>
          <w:rFonts w:hint="eastAsia" w:ascii="宋体" w:hAnsi="宋体" w:eastAsia="宋体" w:cs="宋体"/>
          <w:spacing w:val="-1"/>
          <w:sz w:val="24"/>
          <w:szCs w:val="24"/>
          <w:highlight w:val="none"/>
          <w:lang w:eastAsia="zh-CN"/>
        </w:rPr>
        <w:t>：</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u w:val="single"/>
          <w:lang w:val="en-US" w:eastAsia="zh-CN"/>
        </w:rPr>
        <w:t>按《广西壮族自治区桂林公路发展中心公路养护服务工作要求及考核办法》处理</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u w:val="single"/>
          <w:lang w:eastAsia="zh-CN"/>
        </w:rPr>
        <w:t xml:space="preserve"> </w:t>
      </w:r>
    </w:p>
    <w:p w14:paraId="395702C4">
      <w:pPr>
        <w:spacing w:line="220" w:lineRule="auto"/>
        <w:ind w:left="485"/>
        <w:outlineLvl w:val="4"/>
        <w:rPr>
          <w:rFonts w:hint="eastAsia" w:ascii="宋体" w:hAnsi="宋体" w:eastAsia="宋体" w:cs="宋体"/>
          <w:sz w:val="24"/>
          <w:szCs w:val="24"/>
        </w:rPr>
      </w:pPr>
      <w:bookmarkStart w:id="158" w:name="bookmark253"/>
      <w:bookmarkEnd w:id="158"/>
      <w:r>
        <w:rPr>
          <w:rFonts w:hint="eastAsia" w:ascii="宋体" w:hAnsi="宋体" w:eastAsia="宋体" w:cs="宋体"/>
          <w:b/>
          <w:bCs/>
          <w:spacing w:val="-2"/>
          <w:sz w:val="24"/>
          <w:szCs w:val="24"/>
        </w:rPr>
        <w:t>22.2  发包人违约</w:t>
      </w:r>
    </w:p>
    <w:p w14:paraId="16E5668F">
      <w:pPr>
        <w:spacing w:before="125" w:line="220" w:lineRule="auto"/>
        <w:ind w:left="485"/>
        <w:rPr>
          <w:rFonts w:hint="eastAsia" w:ascii="宋体" w:hAnsi="宋体" w:eastAsia="宋体" w:cs="宋体"/>
          <w:sz w:val="24"/>
          <w:szCs w:val="24"/>
        </w:rPr>
      </w:pPr>
      <w:r>
        <w:rPr>
          <w:rFonts w:hint="eastAsia" w:ascii="宋体" w:hAnsi="宋体" w:eastAsia="宋体" w:cs="宋体"/>
          <w:spacing w:val="-1"/>
          <w:sz w:val="24"/>
          <w:szCs w:val="24"/>
        </w:rPr>
        <w:t>22.2.2  对发包人违约的处理</w:t>
      </w:r>
    </w:p>
    <w:p w14:paraId="4B4A0988">
      <w:pPr>
        <w:spacing w:before="113" w:line="309" w:lineRule="auto"/>
        <w:ind w:left="10" w:right="2" w:firstLine="482"/>
        <w:rPr>
          <w:rFonts w:hint="eastAsia" w:ascii="黑体" w:hAnsi="黑体" w:eastAsia="黑体" w:cs="黑体"/>
          <w:spacing w:val="7"/>
          <w:sz w:val="32"/>
          <w:szCs w:val="32"/>
          <w:lang w:val="en-US" w:eastAsia="zh-CN"/>
        </w:rPr>
      </w:pPr>
      <w:r>
        <w:rPr>
          <w:rFonts w:hint="eastAsia" w:ascii="宋体" w:hAnsi="宋体" w:eastAsia="宋体" w:cs="宋体"/>
          <w:spacing w:val="1"/>
          <w:sz w:val="24"/>
          <w:szCs w:val="24"/>
        </w:rPr>
        <w:t>发包人无正当理由不按时返还履约保证金或</w:t>
      </w:r>
      <w:r>
        <w:rPr>
          <w:rFonts w:hint="eastAsia" w:ascii="宋体" w:hAnsi="宋体" w:eastAsia="宋体" w:cs="宋体"/>
          <w:sz w:val="24"/>
          <w:szCs w:val="24"/>
        </w:rPr>
        <w:t>质量保证金的，发包人应向承包人</w:t>
      </w:r>
      <w:r>
        <w:rPr>
          <w:rFonts w:hint="eastAsia" w:ascii="宋体" w:hAnsi="宋体" w:eastAsia="宋体" w:cs="宋体"/>
          <w:spacing w:val="-1"/>
          <w:sz w:val="24"/>
          <w:szCs w:val="24"/>
        </w:rPr>
        <w:t>支付的违约金如下：</w:t>
      </w:r>
      <w:r>
        <w:rPr>
          <w:rFonts w:hint="eastAsia" w:ascii="宋体" w:hAnsi="宋体" w:eastAsia="宋体" w:cs="宋体"/>
          <w:spacing w:val="-1"/>
          <w:sz w:val="24"/>
          <w:szCs w:val="24"/>
          <w:u w:val="single"/>
        </w:rPr>
        <w:t xml:space="preserve"> /</w:t>
      </w:r>
      <w:r>
        <w:rPr>
          <w:rFonts w:hint="eastAsia" w:ascii="宋体" w:hAnsi="宋体" w:eastAsia="宋体" w:cs="宋体"/>
          <w:spacing w:val="-1"/>
          <w:sz w:val="24"/>
          <w:szCs w:val="24"/>
          <w:highlight w:val="none"/>
          <w:u w:val="single"/>
        </w:rPr>
        <w:t xml:space="preserve"> </w:t>
      </w:r>
      <w:r>
        <w:rPr>
          <w:rFonts w:hint="eastAsia" w:ascii="宋体" w:hAnsi="宋体" w:eastAsia="宋体" w:cs="宋体"/>
          <w:spacing w:val="-1"/>
          <w:sz w:val="24"/>
          <w:szCs w:val="24"/>
          <w:highlight w:val="none"/>
        </w:rPr>
        <w:t>。</w:t>
      </w:r>
    </w:p>
    <w:p w14:paraId="397801A1">
      <w:pPr>
        <w:rPr>
          <w:rFonts w:hint="eastAsia" w:ascii="黑体" w:hAnsi="黑体" w:eastAsia="黑体" w:cs="黑体"/>
          <w:spacing w:val="7"/>
          <w:sz w:val="32"/>
          <w:szCs w:val="32"/>
          <w:lang w:val="en-US" w:eastAsia="zh-CN"/>
        </w:rPr>
      </w:pPr>
    </w:p>
    <w:p w14:paraId="22A058B9">
      <w:pPr>
        <w:widowControl/>
        <w:tabs>
          <w:tab w:val="left" w:pos="0"/>
        </w:tabs>
        <w:jc w:val="both"/>
        <w:rPr>
          <w:rFonts w:ascii="黑体" w:hAnsi="黑体" w:eastAsia="黑体" w:cs="黑体"/>
          <w:spacing w:val="7"/>
          <w:sz w:val="32"/>
          <w:szCs w:val="32"/>
          <w:lang w:eastAsia="zh-CN"/>
        </w:rPr>
      </w:pPr>
      <w:r>
        <w:rPr>
          <w:rFonts w:hint="eastAsia" w:ascii="黑体" w:hAnsi="黑体" w:eastAsia="黑体" w:cs="黑体"/>
          <w:spacing w:val="7"/>
          <w:sz w:val="32"/>
          <w:szCs w:val="32"/>
          <w:lang w:val="en-US" w:eastAsia="zh-CN"/>
        </w:rPr>
        <w:t>二</w:t>
      </w:r>
      <w:r>
        <w:rPr>
          <w:rFonts w:hint="eastAsia" w:ascii="黑体" w:hAnsi="黑体" w:eastAsia="黑体" w:cs="黑体"/>
          <w:spacing w:val="7"/>
          <w:sz w:val="32"/>
          <w:szCs w:val="32"/>
          <w:lang w:eastAsia="zh-CN"/>
        </w:rPr>
        <w:t>、</w:t>
      </w:r>
      <w:r>
        <w:rPr>
          <w:rFonts w:ascii="黑体" w:hAnsi="黑体" w:eastAsia="黑体" w:cs="黑体"/>
          <w:spacing w:val="7"/>
          <w:sz w:val="32"/>
          <w:szCs w:val="32"/>
          <w:lang w:eastAsia="zh-CN"/>
        </w:rPr>
        <w:t>基于计量模式</w:t>
      </w:r>
      <w:r>
        <w:rPr>
          <w:rFonts w:hint="eastAsia" w:ascii="黑体" w:hAnsi="黑体" w:eastAsia="黑体" w:cs="黑体"/>
          <w:spacing w:val="7"/>
          <w:sz w:val="32"/>
          <w:szCs w:val="32"/>
          <w:lang w:val="en-US" w:eastAsia="zh-CN"/>
        </w:rPr>
        <w:t>的</w:t>
      </w:r>
      <w:r>
        <w:rPr>
          <w:rFonts w:ascii="黑体" w:hAnsi="黑体" w:eastAsia="黑体" w:cs="黑体"/>
          <w:spacing w:val="7"/>
          <w:sz w:val="32"/>
          <w:szCs w:val="32"/>
          <w:lang w:eastAsia="zh-CN"/>
        </w:rPr>
        <w:t>工程量清单计量规则</w:t>
      </w:r>
    </w:p>
    <w:p w14:paraId="3B52A7BD">
      <w:pPr>
        <w:tabs>
          <w:tab w:val="left" w:pos="0"/>
        </w:tabs>
        <w:ind w:firstLine="480"/>
        <w:rPr>
          <w:rFonts w:hint="eastAsia" w:cs="宋体"/>
          <w:sz w:val="24"/>
          <w:szCs w:val="28"/>
        </w:rPr>
      </w:pPr>
    </w:p>
    <w:p w14:paraId="7ECC11B4">
      <w:pPr>
        <w:spacing w:before="113" w:line="309" w:lineRule="auto"/>
        <w:ind w:left="10" w:right="2" w:firstLine="48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项目“工程量清单计量规则”采用《交通运输部办公厅关于印发《公路养护项目合同范本》的通知》（交办公路函〔2025〕1819号）中工程量清单计量规则，除专用合同条款另有约定外，均按《公路养护项目合同范本》中所列内容执行并作为本项目合同组成部分。</w:t>
      </w:r>
    </w:p>
    <w:p w14:paraId="7C1E8285">
      <w:pPr>
        <w:keepNext w:val="0"/>
        <w:keepLines w:val="0"/>
        <w:pageBreakBefore w:val="0"/>
        <w:kinsoku/>
        <w:wordWrap/>
        <w:overflowPunct/>
        <w:topLinePunct w:val="0"/>
        <w:autoSpaceDE/>
        <w:autoSpaceDN/>
        <w:bidi w:val="0"/>
        <w:adjustRightInd/>
        <w:snapToGrid/>
        <w:spacing w:line="360" w:lineRule="auto"/>
        <w:ind w:left="476" w:firstLine="472" w:firstLineChars="200"/>
        <w:textAlignment w:val="auto"/>
        <w:outlineLvl w:val="9"/>
        <w:rPr>
          <w:rFonts w:hint="eastAsia" w:ascii="Times New Roman" w:hAnsi="Times New Roman" w:eastAsia="Times New Roman" w:cs="Times New Roman"/>
          <w:b w:val="0"/>
          <w:bCs w:val="0"/>
          <w:spacing w:val="-2"/>
          <w:sz w:val="24"/>
          <w:szCs w:val="24"/>
          <w:lang w:val="en-US" w:eastAsia="zh-CN"/>
        </w:rPr>
      </w:pPr>
    </w:p>
    <w:p w14:paraId="2E9062BE">
      <w:pPr>
        <w:rPr>
          <w:rFonts w:hint="eastAsia" w:ascii="黑体" w:hAnsi="黑体" w:eastAsia="黑体" w:cs="黑体"/>
          <w:spacing w:val="7"/>
          <w:sz w:val="32"/>
          <w:szCs w:val="32"/>
          <w:lang w:val="en-US" w:eastAsia="zh-CN"/>
        </w:rPr>
      </w:pPr>
    </w:p>
    <w:p w14:paraId="0201CCB0">
      <w:pPr>
        <w:widowControl/>
        <w:tabs>
          <w:tab w:val="left" w:pos="0"/>
        </w:tabs>
        <w:jc w:val="both"/>
        <w:rPr>
          <w:rFonts w:hint="eastAsia" w:ascii="黑体" w:hAnsi="黑体" w:eastAsia="黑体" w:cs="黑体"/>
          <w:spacing w:val="7"/>
          <w:sz w:val="32"/>
          <w:szCs w:val="32"/>
          <w:lang w:val="en-US" w:eastAsia="zh-CN"/>
        </w:rPr>
      </w:pPr>
      <w:r>
        <w:rPr>
          <w:rFonts w:hint="eastAsia" w:ascii="黑体" w:hAnsi="黑体" w:eastAsia="黑体" w:cs="黑体"/>
          <w:spacing w:val="7"/>
          <w:sz w:val="32"/>
          <w:szCs w:val="32"/>
          <w:lang w:val="en-US" w:eastAsia="zh-CN"/>
        </w:rPr>
        <w:t>三、基于绩效模式的专用合同条款</w:t>
      </w:r>
    </w:p>
    <w:p w14:paraId="6441136B">
      <w:pPr>
        <w:spacing w:before="78" w:line="219" w:lineRule="auto"/>
        <w:ind w:left="767"/>
        <w:jc w:val="center"/>
        <w:rPr>
          <w:rFonts w:ascii="宋体" w:hAnsi="宋体" w:cs="宋体"/>
          <w:spacing w:val="-7"/>
          <w:sz w:val="32"/>
          <w:szCs w:val="32"/>
        </w:rPr>
      </w:pPr>
    </w:p>
    <w:p w14:paraId="6A276278">
      <w:pPr>
        <w:spacing w:before="78" w:line="219" w:lineRule="auto"/>
        <w:ind w:left="767"/>
        <w:jc w:val="center"/>
        <w:rPr>
          <w:rFonts w:ascii="宋体" w:hAnsi="宋体" w:cs="宋体"/>
          <w:sz w:val="24"/>
          <w:szCs w:val="24"/>
        </w:rPr>
      </w:pPr>
      <w:r>
        <w:rPr>
          <w:rFonts w:ascii="宋体" w:hAnsi="宋体" w:cs="宋体"/>
          <w:spacing w:val="-7"/>
          <w:sz w:val="32"/>
          <w:szCs w:val="32"/>
        </w:rPr>
        <w:t>说</w:t>
      </w:r>
      <w:r>
        <w:rPr>
          <w:rFonts w:ascii="宋体" w:hAnsi="宋体" w:cs="宋体"/>
          <w:spacing w:val="16"/>
          <w:sz w:val="32"/>
          <w:szCs w:val="32"/>
        </w:rPr>
        <w:t xml:space="preserve">  </w:t>
      </w:r>
      <w:r>
        <w:rPr>
          <w:rFonts w:ascii="宋体" w:hAnsi="宋体" w:cs="宋体"/>
          <w:spacing w:val="-7"/>
          <w:sz w:val="32"/>
          <w:szCs w:val="32"/>
        </w:rPr>
        <w:t>明</w:t>
      </w:r>
    </w:p>
    <w:p w14:paraId="4366A555">
      <w:pPr>
        <w:spacing w:before="113" w:line="286" w:lineRule="auto"/>
        <w:ind w:right="187" w:firstLine="480" w:firstLineChars="200"/>
        <w:rPr>
          <w:rFonts w:hint="eastAsia" w:ascii="宋体" w:hAnsi="宋体" w:eastAsia="宋体" w:cs="宋体"/>
          <w:sz w:val="24"/>
          <w:szCs w:val="24"/>
        </w:rPr>
      </w:pPr>
      <w:r>
        <w:rPr>
          <w:rFonts w:hint="eastAsia" w:ascii="宋体" w:hAnsi="宋体" w:eastAsia="宋体" w:cs="宋体"/>
          <w:sz w:val="24"/>
          <w:szCs w:val="24"/>
        </w:rPr>
        <w:t>1.发包人在编制“专用合同条款</w:t>
      </w:r>
      <w:r>
        <w:rPr>
          <w:rFonts w:hint="eastAsia" w:ascii="宋体" w:hAnsi="宋体" w:eastAsia="宋体" w:cs="宋体"/>
          <w:spacing w:val="-83"/>
          <w:sz w:val="24"/>
          <w:szCs w:val="24"/>
        </w:rPr>
        <w:t xml:space="preserve"> </w:t>
      </w:r>
      <w:r>
        <w:rPr>
          <w:rFonts w:hint="eastAsia" w:ascii="宋体" w:hAnsi="宋体" w:eastAsia="宋体" w:cs="宋体"/>
          <w:sz w:val="24"/>
          <w:szCs w:val="24"/>
        </w:rPr>
        <w:t>”时，“通用合同条款</w:t>
      </w:r>
      <w:r>
        <w:rPr>
          <w:rFonts w:hint="eastAsia" w:ascii="宋体" w:hAnsi="宋体" w:eastAsia="宋体" w:cs="宋体"/>
          <w:spacing w:val="-83"/>
          <w:sz w:val="24"/>
          <w:szCs w:val="24"/>
        </w:rPr>
        <w:t xml:space="preserve"> </w:t>
      </w:r>
      <w:r>
        <w:rPr>
          <w:rFonts w:hint="eastAsia" w:ascii="宋体" w:hAnsi="宋体" w:eastAsia="宋体" w:cs="宋体"/>
          <w:spacing w:val="-1"/>
          <w:sz w:val="24"/>
          <w:szCs w:val="24"/>
        </w:rPr>
        <w:t>”的内容宜不加修改地</w:t>
      </w:r>
      <w:r>
        <w:rPr>
          <w:rFonts w:hint="eastAsia" w:ascii="宋体" w:hAnsi="宋体" w:eastAsia="宋体" w:cs="宋体"/>
          <w:sz w:val="24"/>
          <w:szCs w:val="24"/>
        </w:rPr>
        <w:t>直接引用，“专用合同条款</w:t>
      </w:r>
      <w:r>
        <w:rPr>
          <w:rFonts w:hint="eastAsia" w:ascii="宋体" w:hAnsi="宋体" w:eastAsia="宋体" w:cs="宋体"/>
          <w:spacing w:val="-83"/>
          <w:sz w:val="24"/>
          <w:szCs w:val="24"/>
        </w:rPr>
        <w:t xml:space="preserve"> </w:t>
      </w:r>
      <w:r>
        <w:rPr>
          <w:rFonts w:hint="eastAsia" w:ascii="宋体" w:hAnsi="宋体" w:eastAsia="宋体" w:cs="宋体"/>
          <w:sz w:val="24"/>
          <w:szCs w:val="24"/>
        </w:rPr>
        <w:t>”可以根据项目的具体</w:t>
      </w:r>
      <w:r>
        <w:rPr>
          <w:rFonts w:hint="eastAsia" w:ascii="宋体" w:hAnsi="宋体" w:eastAsia="宋体" w:cs="宋体"/>
          <w:spacing w:val="-1"/>
          <w:sz w:val="24"/>
          <w:szCs w:val="24"/>
        </w:rPr>
        <w:t>特点和实际需要，对“通用合同</w:t>
      </w:r>
      <w:r>
        <w:rPr>
          <w:rFonts w:hint="eastAsia" w:ascii="宋体" w:hAnsi="宋体" w:eastAsia="宋体" w:cs="宋体"/>
          <w:sz w:val="24"/>
          <w:szCs w:val="24"/>
        </w:rPr>
        <w:t>条款</w:t>
      </w:r>
      <w:r>
        <w:rPr>
          <w:rFonts w:hint="eastAsia" w:ascii="宋体" w:hAnsi="宋体" w:eastAsia="宋体" w:cs="宋体"/>
          <w:spacing w:val="-86"/>
          <w:sz w:val="24"/>
          <w:szCs w:val="24"/>
        </w:rPr>
        <w:t xml:space="preserve"> </w:t>
      </w:r>
      <w:r>
        <w:rPr>
          <w:rFonts w:hint="eastAsia" w:ascii="宋体" w:hAnsi="宋体" w:eastAsia="宋体" w:cs="宋体"/>
          <w:sz w:val="24"/>
          <w:szCs w:val="24"/>
        </w:rPr>
        <w:t>”进行补充、完善或修改。发包人补充、完善或修改</w:t>
      </w:r>
      <w:r>
        <w:rPr>
          <w:rFonts w:hint="eastAsia" w:ascii="宋体" w:hAnsi="宋体" w:eastAsia="宋体" w:cs="宋体"/>
          <w:spacing w:val="-1"/>
          <w:sz w:val="24"/>
          <w:szCs w:val="24"/>
        </w:rPr>
        <w:t>的内容，不得违反法律、</w:t>
      </w:r>
      <w:r>
        <w:rPr>
          <w:rFonts w:hint="eastAsia" w:ascii="宋体" w:hAnsi="宋体" w:eastAsia="宋体" w:cs="宋体"/>
          <w:spacing w:val="-2"/>
          <w:sz w:val="24"/>
          <w:szCs w:val="24"/>
        </w:rPr>
        <w:t>行政法规的强制性规定和平等、</w:t>
      </w:r>
      <w:r>
        <w:rPr>
          <w:rFonts w:hint="eastAsia" w:ascii="宋体" w:hAnsi="宋体" w:eastAsia="宋体" w:cs="宋体"/>
          <w:spacing w:val="-71"/>
          <w:sz w:val="24"/>
          <w:szCs w:val="24"/>
        </w:rPr>
        <w:t xml:space="preserve"> </w:t>
      </w:r>
      <w:r>
        <w:rPr>
          <w:rFonts w:hint="eastAsia" w:ascii="宋体" w:hAnsi="宋体" w:eastAsia="宋体" w:cs="宋体"/>
          <w:spacing w:val="-2"/>
          <w:sz w:val="24"/>
          <w:szCs w:val="24"/>
        </w:rPr>
        <w:t>自愿、公平</w:t>
      </w:r>
      <w:r>
        <w:rPr>
          <w:rFonts w:hint="eastAsia" w:ascii="宋体" w:hAnsi="宋体" w:eastAsia="宋体" w:cs="宋体"/>
          <w:spacing w:val="-3"/>
          <w:sz w:val="24"/>
          <w:szCs w:val="24"/>
        </w:rPr>
        <w:t>和诚实信用原则。</w:t>
      </w:r>
    </w:p>
    <w:p w14:paraId="6A0EB0C9">
      <w:pPr>
        <w:spacing w:before="114" w:line="219" w:lineRule="auto"/>
        <w:ind w:firstLine="476" w:firstLineChars="200"/>
        <w:rPr>
          <w:rFonts w:hint="eastAsia" w:ascii="宋体" w:hAnsi="宋体" w:eastAsia="宋体" w:cs="宋体"/>
          <w:sz w:val="24"/>
          <w:szCs w:val="24"/>
        </w:rPr>
      </w:pPr>
      <w:r>
        <w:rPr>
          <w:rFonts w:hint="eastAsia" w:ascii="宋体" w:hAnsi="宋体" w:eastAsia="宋体" w:cs="宋体"/>
          <w:spacing w:val="-1"/>
          <w:sz w:val="24"/>
          <w:szCs w:val="24"/>
        </w:rPr>
        <w:t>2.专用合同条款的编号应与通用合同条款的编号一致。</w:t>
      </w:r>
    </w:p>
    <w:p w14:paraId="62BB481A">
      <w:pPr>
        <w:spacing w:before="116" w:line="219" w:lineRule="auto"/>
        <w:ind w:firstLine="476" w:firstLineChars="200"/>
        <w:rPr>
          <w:rFonts w:hint="eastAsia" w:ascii="宋体" w:hAnsi="宋体" w:eastAsia="宋体" w:cs="宋体"/>
          <w:sz w:val="24"/>
          <w:szCs w:val="24"/>
        </w:rPr>
      </w:pPr>
      <w:r>
        <w:rPr>
          <w:rFonts w:hint="eastAsia" w:ascii="宋体" w:hAnsi="宋体" w:eastAsia="宋体" w:cs="宋体"/>
          <w:spacing w:val="-1"/>
          <w:sz w:val="24"/>
          <w:szCs w:val="24"/>
        </w:rPr>
        <w:t>3.专用合同条款可按下列方式进行补充、完善或修改：</w:t>
      </w:r>
    </w:p>
    <w:p w14:paraId="007B6C20">
      <w:pPr>
        <w:spacing w:before="115" w:line="263" w:lineRule="auto"/>
        <w:ind w:right="187" w:firstLine="484" w:firstLineChars="200"/>
        <w:rPr>
          <w:rFonts w:hint="eastAsia" w:ascii="宋体" w:hAnsi="宋体" w:eastAsia="宋体" w:cs="宋体"/>
          <w:sz w:val="24"/>
          <w:szCs w:val="24"/>
        </w:rPr>
      </w:pPr>
      <w:r>
        <w:rPr>
          <w:rFonts w:hint="eastAsia" w:ascii="宋体" w:hAnsi="宋体" w:eastAsia="宋体" w:cs="宋体"/>
          <w:spacing w:val="1"/>
          <w:sz w:val="24"/>
          <w:szCs w:val="24"/>
        </w:rPr>
        <w:t>（1）“专用合同条款</w:t>
      </w:r>
      <w:r>
        <w:rPr>
          <w:rFonts w:hint="eastAsia" w:ascii="宋体" w:hAnsi="宋体" w:eastAsia="宋体" w:cs="宋体"/>
          <w:spacing w:val="-62"/>
          <w:sz w:val="24"/>
          <w:szCs w:val="24"/>
        </w:rPr>
        <w:t xml:space="preserve"> </w:t>
      </w:r>
      <w:r>
        <w:rPr>
          <w:rFonts w:hint="eastAsia" w:ascii="宋体" w:hAnsi="宋体" w:eastAsia="宋体" w:cs="宋体"/>
          <w:spacing w:val="1"/>
          <w:sz w:val="24"/>
          <w:szCs w:val="24"/>
        </w:rPr>
        <w:t>”需要增加“通用合同条款</w:t>
      </w:r>
      <w:r>
        <w:rPr>
          <w:rFonts w:hint="eastAsia" w:ascii="宋体" w:hAnsi="宋体" w:eastAsia="宋体" w:cs="宋体"/>
          <w:spacing w:val="-78"/>
          <w:sz w:val="24"/>
          <w:szCs w:val="24"/>
        </w:rPr>
        <w:t xml:space="preserve"> </w:t>
      </w:r>
      <w:r>
        <w:rPr>
          <w:rFonts w:hint="eastAsia" w:ascii="宋体" w:hAnsi="宋体" w:eastAsia="宋体" w:cs="宋体"/>
          <w:spacing w:val="1"/>
          <w:sz w:val="24"/>
          <w:szCs w:val="24"/>
        </w:rPr>
        <w:t>”中未包括的条款时，应用</w:t>
      </w:r>
      <w:r>
        <w:rPr>
          <w:rFonts w:hint="eastAsia" w:ascii="宋体" w:hAnsi="宋体" w:eastAsia="宋体" w:cs="宋体"/>
          <w:spacing w:val="-2"/>
          <w:sz w:val="24"/>
          <w:szCs w:val="24"/>
        </w:rPr>
        <w:t>“补充某条某款某项某目</w:t>
      </w:r>
      <w:r>
        <w:rPr>
          <w:rFonts w:hint="eastAsia" w:ascii="宋体" w:hAnsi="宋体" w:eastAsia="宋体" w:cs="宋体"/>
          <w:spacing w:val="-79"/>
          <w:sz w:val="24"/>
          <w:szCs w:val="24"/>
        </w:rPr>
        <w:t xml:space="preserve"> </w:t>
      </w:r>
      <w:r>
        <w:rPr>
          <w:rFonts w:hint="eastAsia" w:ascii="宋体" w:hAnsi="宋体" w:eastAsia="宋体" w:cs="宋体"/>
          <w:spacing w:val="-2"/>
          <w:sz w:val="24"/>
          <w:szCs w:val="24"/>
        </w:rPr>
        <w:t>”的文字形式表达；</w:t>
      </w:r>
    </w:p>
    <w:p w14:paraId="5E0741C6">
      <w:pPr>
        <w:spacing w:before="115" w:line="264" w:lineRule="auto"/>
        <w:ind w:right="246" w:firstLine="452" w:firstLineChars="200"/>
        <w:rPr>
          <w:rFonts w:hint="eastAsia" w:ascii="宋体" w:hAnsi="宋体" w:eastAsia="宋体" w:cs="宋体"/>
          <w:sz w:val="24"/>
          <w:szCs w:val="24"/>
        </w:rPr>
      </w:pPr>
      <w:r>
        <w:rPr>
          <w:rFonts w:hint="eastAsia" w:ascii="宋体" w:hAnsi="宋体" w:eastAsia="宋体" w:cs="宋体"/>
          <w:spacing w:val="-7"/>
          <w:sz w:val="24"/>
          <w:szCs w:val="24"/>
        </w:rPr>
        <w:t>（2）“专用合同条款</w:t>
      </w:r>
      <w:r>
        <w:rPr>
          <w:rFonts w:hint="eastAsia" w:ascii="宋体" w:hAnsi="宋体" w:eastAsia="宋体" w:cs="宋体"/>
          <w:spacing w:val="-72"/>
          <w:sz w:val="24"/>
          <w:szCs w:val="24"/>
        </w:rPr>
        <w:t xml:space="preserve"> </w:t>
      </w:r>
      <w:r>
        <w:rPr>
          <w:rFonts w:hint="eastAsia" w:ascii="宋体" w:hAnsi="宋体" w:eastAsia="宋体" w:cs="宋体"/>
          <w:spacing w:val="-7"/>
          <w:sz w:val="24"/>
          <w:szCs w:val="24"/>
        </w:rPr>
        <w:t>”需要补充“通用合同条款</w:t>
      </w:r>
      <w:r>
        <w:rPr>
          <w:rFonts w:hint="eastAsia" w:ascii="宋体" w:hAnsi="宋体" w:eastAsia="宋体" w:cs="宋体"/>
          <w:spacing w:val="-88"/>
          <w:sz w:val="24"/>
          <w:szCs w:val="24"/>
        </w:rPr>
        <w:t xml:space="preserve"> </w:t>
      </w:r>
      <w:r>
        <w:rPr>
          <w:rFonts w:hint="eastAsia" w:ascii="宋体" w:hAnsi="宋体" w:eastAsia="宋体" w:cs="宋体"/>
          <w:spacing w:val="-7"/>
          <w:sz w:val="24"/>
          <w:szCs w:val="24"/>
        </w:rPr>
        <w:t>”中已有条款的相关内容时，</w:t>
      </w:r>
      <w:r>
        <w:rPr>
          <w:rFonts w:hint="eastAsia" w:ascii="宋体" w:hAnsi="宋体" w:eastAsia="宋体" w:cs="宋体"/>
          <w:spacing w:val="-2"/>
          <w:sz w:val="24"/>
          <w:szCs w:val="24"/>
        </w:rPr>
        <w:t>应用“某条某款某项某目完善为</w:t>
      </w:r>
      <w:r>
        <w:rPr>
          <w:rFonts w:hint="eastAsia" w:ascii="宋体" w:hAnsi="宋体" w:eastAsia="宋体" w:cs="宋体"/>
          <w:spacing w:val="-85"/>
          <w:sz w:val="24"/>
          <w:szCs w:val="24"/>
        </w:rPr>
        <w:t xml:space="preserve"> </w:t>
      </w:r>
      <w:r>
        <w:rPr>
          <w:rFonts w:hint="eastAsia" w:ascii="宋体" w:hAnsi="宋体" w:eastAsia="宋体" w:cs="宋体"/>
          <w:spacing w:val="-2"/>
          <w:sz w:val="24"/>
          <w:szCs w:val="24"/>
        </w:rPr>
        <w:t>”的文字形式表达；</w:t>
      </w:r>
    </w:p>
    <w:p w14:paraId="036B2F78">
      <w:pPr>
        <w:spacing w:before="113" w:line="264" w:lineRule="auto"/>
        <w:ind w:right="246" w:firstLine="452" w:firstLineChars="200"/>
        <w:rPr>
          <w:rFonts w:hint="eastAsia" w:ascii="宋体" w:hAnsi="宋体" w:eastAsia="宋体" w:cs="宋体"/>
          <w:sz w:val="24"/>
          <w:szCs w:val="24"/>
        </w:rPr>
      </w:pPr>
      <w:r>
        <w:rPr>
          <w:rFonts w:hint="eastAsia" w:ascii="宋体" w:hAnsi="宋体" w:eastAsia="宋体" w:cs="宋体"/>
          <w:spacing w:val="-7"/>
          <w:sz w:val="24"/>
          <w:szCs w:val="24"/>
        </w:rPr>
        <w:t>（3）“专用合同条款</w:t>
      </w:r>
      <w:r>
        <w:rPr>
          <w:rFonts w:hint="eastAsia" w:ascii="宋体" w:hAnsi="宋体" w:eastAsia="宋体" w:cs="宋体"/>
          <w:spacing w:val="-72"/>
          <w:sz w:val="24"/>
          <w:szCs w:val="24"/>
        </w:rPr>
        <w:t xml:space="preserve"> </w:t>
      </w:r>
      <w:r>
        <w:rPr>
          <w:rFonts w:hint="eastAsia" w:ascii="宋体" w:hAnsi="宋体" w:eastAsia="宋体" w:cs="宋体"/>
          <w:spacing w:val="-7"/>
          <w:sz w:val="24"/>
          <w:szCs w:val="24"/>
        </w:rPr>
        <w:t>”需要修正“通用合同条款</w:t>
      </w:r>
      <w:r>
        <w:rPr>
          <w:rFonts w:hint="eastAsia" w:ascii="宋体" w:hAnsi="宋体" w:eastAsia="宋体" w:cs="宋体"/>
          <w:spacing w:val="-88"/>
          <w:sz w:val="24"/>
          <w:szCs w:val="24"/>
        </w:rPr>
        <w:t xml:space="preserve"> </w:t>
      </w:r>
      <w:r>
        <w:rPr>
          <w:rFonts w:hint="eastAsia" w:ascii="宋体" w:hAnsi="宋体" w:eastAsia="宋体" w:cs="宋体"/>
          <w:spacing w:val="-7"/>
          <w:sz w:val="24"/>
          <w:szCs w:val="24"/>
        </w:rPr>
        <w:t>”中已有条款的相关内容时，</w:t>
      </w:r>
      <w:r>
        <w:rPr>
          <w:rFonts w:hint="eastAsia" w:ascii="宋体" w:hAnsi="宋体" w:eastAsia="宋体" w:cs="宋体"/>
          <w:spacing w:val="-2"/>
          <w:sz w:val="24"/>
          <w:szCs w:val="24"/>
        </w:rPr>
        <w:t>应用“某条某款某项某目修改为</w:t>
      </w:r>
      <w:r>
        <w:rPr>
          <w:rFonts w:hint="eastAsia" w:ascii="宋体" w:hAnsi="宋体" w:eastAsia="宋体" w:cs="宋体"/>
          <w:spacing w:val="-85"/>
          <w:sz w:val="24"/>
          <w:szCs w:val="24"/>
        </w:rPr>
        <w:t xml:space="preserve"> </w:t>
      </w:r>
      <w:r>
        <w:rPr>
          <w:rFonts w:hint="eastAsia" w:ascii="宋体" w:hAnsi="宋体" w:eastAsia="宋体" w:cs="宋体"/>
          <w:spacing w:val="-2"/>
          <w:sz w:val="24"/>
          <w:szCs w:val="24"/>
        </w:rPr>
        <w:t>”的文字形式表达。</w:t>
      </w:r>
    </w:p>
    <w:p w14:paraId="3316A738">
      <w:pPr>
        <w:spacing w:before="79" w:line="219" w:lineRule="auto"/>
        <w:ind w:left="767"/>
        <w:outlineLvl w:val="2"/>
        <w:rPr>
          <w:rFonts w:hint="eastAsia" w:ascii="宋体" w:hAnsi="宋体" w:eastAsia="宋体" w:cs="宋体"/>
          <w:sz w:val="24"/>
          <w:szCs w:val="24"/>
        </w:rPr>
      </w:pPr>
      <w:bookmarkStart w:id="159" w:name="bookmark140"/>
      <w:bookmarkEnd w:id="159"/>
      <w:bookmarkStart w:id="160" w:name="bookmark139"/>
      <w:bookmarkEnd w:id="160"/>
      <w:bookmarkStart w:id="161" w:name="_Toc13006"/>
      <w:bookmarkStart w:id="162" w:name="_Toc18760"/>
      <w:r>
        <w:rPr>
          <w:rFonts w:hint="eastAsia" w:ascii="宋体" w:hAnsi="宋体" w:eastAsia="宋体" w:cs="宋体"/>
          <w:b/>
          <w:bCs/>
          <w:spacing w:val="-3"/>
          <w:sz w:val="24"/>
          <w:szCs w:val="24"/>
        </w:rPr>
        <w:t>1.专用合同条款数据表</w:t>
      </w:r>
      <w:bookmarkEnd w:id="161"/>
      <w:bookmarkEnd w:id="162"/>
    </w:p>
    <w:p w14:paraId="7DDE4902">
      <w:pPr>
        <w:spacing w:before="271" w:line="219" w:lineRule="auto"/>
        <w:ind w:left="767"/>
        <w:rPr>
          <w:rFonts w:hint="eastAsia" w:ascii="宋体" w:hAnsi="宋体" w:eastAsia="宋体" w:cs="宋体"/>
          <w:spacing w:val="-1"/>
          <w:sz w:val="24"/>
          <w:szCs w:val="24"/>
        </w:rPr>
      </w:pPr>
      <w:r>
        <w:rPr>
          <w:rFonts w:hint="eastAsia" w:ascii="宋体" w:hAnsi="宋体" w:eastAsia="宋体" w:cs="宋体"/>
          <w:spacing w:val="1"/>
          <w:sz w:val="24"/>
          <w:szCs w:val="24"/>
        </w:rPr>
        <w:t>说明：本数据表是专用合同条款中适用于本项</w:t>
      </w:r>
      <w:r>
        <w:rPr>
          <w:rFonts w:hint="eastAsia" w:ascii="宋体" w:hAnsi="宋体" w:eastAsia="宋体" w:cs="宋体"/>
          <w:sz w:val="24"/>
          <w:szCs w:val="24"/>
        </w:rPr>
        <w:t>目的信息和数据的归纳与提示，是专用合同条款的组成部分。编写者应仔细校</w:t>
      </w:r>
      <w:r>
        <w:rPr>
          <w:rFonts w:hint="eastAsia" w:ascii="宋体" w:hAnsi="宋体" w:eastAsia="宋体" w:cs="宋体"/>
          <w:spacing w:val="-1"/>
          <w:sz w:val="24"/>
          <w:szCs w:val="24"/>
        </w:rPr>
        <w:t>核，避免数据出现差错或不一致。</w:t>
      </w:r>
    </w:p>
    <w:p w14:paraId="63C4AF9A">
      <w:pPr>
        <w:spacing w:before="271" w:line="219" w:lineRule="auto"/>
        <w:ind w:left="767"/>
        <w:rPr>
          <w:rFonts w:hint="eastAsia" w:ascii="宋体" w:hAnsi="宋体" w:eastAsia="宋体" w:cs="宋体"/>
          <w:spacing w:val="-1"/>
          <w:sz w:val="24"/>
          <w:szCs w:val="24"/>
        </w:rPr>
      </w:pPr>
    </w:p>
    <w:tbl>
      <w:tblPr>
        <w:tblStyle w:val="25"/>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0" w:type="dxa"/>
          <w:bottom w:w="0" w:type="dxa"/>
          <w:right w:w="0" w:type="dxa"/>
        </w:tblCellMar>
      </w:tblPr>
      <w:tblGrid>
        <w:gridCol w:w="696"/>
        <w:gridCol w:w="811"/>
        <w:gridCol w:w="7763"/>
      </w:tblGrid>
      <w:tr w14:paraId="714F36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Header/>
          <w:jc w:val="center"/>
        </w:trPr>
        <w:tc>
          <w:tcPr>
            <w:tcW w:w="696" w:type="dxa"/>
            <w:vAlign w:val="center"/>
          </w:tcPr>
          <w:p w14:paraId="1A647F5E">
            <w:pPr>
              <w:spacing w:before="140"/>
              <w:jc w:val="center"/>
              <w:rPr>
                <w:rFonts w:hint="eastAsia" w:ascii="宋体" w:hAnsi="宋体" w:eastAsia="宋体" w:cs="宋体"/>
                <w:b/>
                <w:sz w:val="24"/>
                <w:szCs w:val="24"/>
              </w:rPr>
            </w:pPr>
            <w:r>
              <w:rPr>
                <w:rFonts w:hint="eastAsia" w:ascii="宋体" w:hAnsi="宋体" w:eastAsia="宋体" w:cs="宋体"/>
                <w:b/>
                <w:spacing w:val="-5"/>
                <w:sz w:val="24"/>
                <w:szCs w:val="24"/>
              </w:rPr>
              <w:t>序号</w:t>
            </w:r>
          </w:p>
        </w:tc>
        <w:tc>
          <w:tcPr>
            <w:tcW w:w="811" w:type="dxa"/>
            <w:vAlign w:val="center"/>
          </w:tcPr>
          <w:p w14:paraId="2FD63B62">
            <w:pPr>
              <w:spacing w:before="140"/>
              <w:jc w:val="center"/>
              <w:rPr>
                <w:rFonts w:hint="eastAsia" w:ascii="宋体" w:hAnsi="宋体" w:eastAsia="宋体" w:cs="宋体"/>
                <w:b/>
                <w:sz w:val="24"/>
                <w:szCs w:val="24"/>
              </w:rPr>
            </w:pPr>
            <w:r>
              <w:rPr>
                <w:rFonts w:hint="eastAsia" w:ascii="宋体" w:hAnsi="宋体" w:eastAsia="宋体" w:cs="宋体"/>
                <w:b/>
                <w:spacing w:val="-4"/>
                <w:sz w:val="24"/>
                <w:szCs w:val="24"/>
              </w:rPr>
              <w:t>条目号</w:t>
            </w:r>
          </w:p>
        </w:tc>
        <w:tc>
          <w:tcPr>
            <w:tcW w:w="7763" w:type="dxa"/>
            <w:shd w:val="clear" w:color="auto" w:fill="FFFFFF"/>
            <w:vAlign w:val="center"/>
          </w:tcPr>
          <w:p w14:paraId="57729F74">
            <w:pPr>
              <w:spacing w:before="140"/>
              <w:jc w:val="center"/>
              <w:rPr>
                <w:rFonts w:hint="eastAsia" w:ascii="宋体" w:hAnsi="宋体" w:eastAsia="宋体" w:cs="宋体"/>
                <w:b/>
                <w:sz w:val="24"/>
                <w:szCs w:val="24"/>
              </w:rPr>
            </w:pPr>
            <w:r>
              <w:rPr>
                <w:rFonts w:hint="eastAsia" w:ascii="宋体" w:hAnsi="宋体" w:eastAsia="宋体" w:cs="宋体"/>
                <w:b/>
                <w:spacing w:val="-2"/>
                <w:sz w:val="24"/>
                <w:szCs w:val="24"/>
              </w:rPr>
              <w:t>信息或数据</w:t>
            </w:r>
          </w:p>
        </w:tc>
      </w:tr>
      <w:tr w14:paraId="149B1F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972" w:hRule="atLeast"/>
          <w:jc w:val="center"/>
        </w:trPr>
        <w:tc>
          <w:tcPr>
            <w:tcW w:w="696" w:type="dxa"/>
            <w:vAlign w:val="center"/>
          </w:tcPr>
          <w:p w14:paraId="04CC5311">
            <w:pPr>
              <w:spacing w:before="69"/>
              <w:jc w:val="center"/>
              <w:rPr>
                <w:rFonts w:hint="eastAsia" w:ascii="宋体" w:hAnsi="宋体" w:eastAsia="宋体" w:cs="宋体"/>
                <w:sz w:val="24"/>
                <w:szCs w:val="24"/>
              </w:rPr>
            </w:pPr>
            <w:r>
              <w:rPr>
                <w:rFonts w:hint="eastAsia" w:ascii="宋体" w:hAnsi="宋体" w:eastAsia="宋体" w:cs="宋体"/>
                <w:sz w:val="24"/>
                <w:szCs w:val="24"/>
              </w:rPr>
              <w:t>1</w:t>
            </w:r>
          </w:p>
        </w:tc>
        <w:tc>
          <w:tcPr>
            <w:tcW w:w="811" w:type="dxa"/>
            <w:shd w:val="clear" w:color="auto" w:fill="FFFFFF"/>
            <w:vAlign w:val="center"/>
          </w:tcPr>
          <w:p w14:paraId="3FD2B313">
            <w:pPr>
              <w:spacing w:before="69"/>
              <w:jc w:val="center"/>
              <w:rPr>
                <w:rFonts w:hint="eastAsia" w:ascii="宋体" w:hAnsi="宋体" w:eastAsia="宋体" w:cs="宋体"/>
                <w:sz w:val="24"/>
                <w:szCs w:val="24"/>
              </w:rPr>
            </w:pPr>
            <w:r>
              <w:rPr>
                <w:rFonts w:hint="eastAsia" w:ascii="宋体" w:hAnsi="宋体" w:eastAsia="宋体" w:cs="宋体"/>
                <w:spacing w:val="-5"/>
                <w:sz w:val="24"/>
                <w:szCs w:val="24"/>
              </w:rPr>
              <w:t>1.1.2.2</w:t>
            </w:r>
          </w:p>
        </w:tc>
        <w:tc>
          <w:tcPr>
            <w:tcW w:w="7763" w:type="dxa"/>
            <w:shd w:val="clear" w:color="auto" w:fill="FFFFFF"/>
            <w:vAlign w:val="center"/>
          </w:tcPr>
          <w:p w14:paraId="686415B9">
            <w:pPr>
              <w:spacing w:before="112"/>
              <w:jc w:val="left"/>
              <w:rPr>
                <w:rFonts w:hint="eastAsia" w:ascii="宋体" w:hAnsi="宋体" w:eastAsia="宋体" w:cs="宋体"/>
                <w:color w:val="auto"/>
                <w:spacing w:val="-17"/>
                <w:sz w:val="24"/>
                <w:szCs w:val="24"/>
                <w:highlight w:val="none"/>
              </w:rPr>
            </w:pPr>
            <w:r>
              <w:rPr>
                <w:rFonts w:hint="eastAsia" w:ascii="宋体" w:hAnsi="宋体" w:eastAsia="宋体" w:cs="宋体"/>
                <w:color w:val="auto"/>
                <w:spacing w:val="-17"/>
                <w:sz w:val="24"/>
                <w:szCs w:val="24"/>
                <w:highlight w:val="none"/>
              </w:rPr>
              <w:t>发</w:t>
            </w:r>
            <w:r>
              <w:rPr>
                <w:rFonts w:hint="eastAsia" w:ascii="宋体" w:hAnsi="宋体" w:eastAsia="宋体" w:cs="宋体"/>
                <w:color w:val="auto"/>
                <w:spacing w:val="11"/>
                <w:sz w:val="24"/>
                <w:szCs w:val="24"/>
                <w:highlight w:val="none"/>
              </w:rPr>
              <w:t xml:space="preserve"> </w:t>
            </w:r>
            <w:r>
              <w:rPr>
                <w:rFonts w:hint="eastAsia" w:ascii="宋体" w:hAnsi="宋体" w:eastAsia="宋体" w:cs="宋体"/>
                <w:color w:val="auto"/>
                <w:spacing w:val="-17"/>
                <w:sz w:val="24"/>
                <w:szCs w:val="24"/>
                <w:highlight w:val="none"/>
              </w:rPr>
              <w:t>包</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17"/>
                <w:sz w:val="24"/>
                <w:szCs w:val="24"/>
                <w:highlight w:val="none"/>
              </w:rPr>
              <w:t>人</w:t>
            </w:r>
            <w:r>
              <w:rPr>
                <w:rFonts w:hint="eastAsia" w:ascii="宋体" w:hAnsi="宋体" w:eastAsia="宋体" w:cs="宋体"/>
                <w:color w:val="auto"/>
                <w:spacing w:val="-90"/>
                <w:sz w:val="24"/>
                <w:szCs w:val="24"/>
                <w:highlight w:val="none"/>
              </w:rPr>
              <w:t xml:space="preserve"> </w:t>
            </w:r>
            <w:r>
              <w:rPr>
                <w:rFonts w:hint="eastAsia" w:ascii="宋体" w:hAnsi="宋体" w:eastAsia="宋体" w:cs="宋体"/>
                <w:color w:val="auto"/>
                <w:spacing w:val="-17"/>
                <w:sz w:val="24"/>
                <w:szCs w:val="24"/>
                <w:highlight w:val="none"/>
              </w:rPr>
              <w:t>：</w:t>
            </w:r>
          </w:p>
          <w:p w14:paraId="67EB2E1A">
            <w:pPr>
              <w:spacing w:before="112"/>
              <w:jc w:val="left"/>
              <w:rPr>
                <w:rFonts w:ascii="宋体" w:cs="宋体"/>
                <w:color w:val="auto"/>
                <w:kern w:val="0"/>
                <w:sz w:val="24"/>
                <w:szCs w:val="24"/>
                <w:highlight w:val="none"/>
              </w:rPr>
            </w:pPr>
            <w:r>
              <w:rPr>
                <w:rFonts w:hint="eastAsia" w:ascii="宋体" w:cs="宋体"/>
                <w:b/>
                <w:bCs/>
                <w:color w:val="auto"/>
                <w:sz w:val="24"/>
                <w:szCs w:val="24"/>
                <w:highlight w:val="none"/>
              </w:rPr>
              <w:t>广西壮族自治区恭城公路养护中心（牵头单位）</w:t>
            </w:r>
          </w:p>
          <w:p w14:paraId="3366C874">
            <w:pPr>
              <w:spacing w:before="112"/>
              <w:jc w:val="left"/>
              <w:rPr>
                <w:rFonts w:ascii="宋体" w:cs="宋体"/>
                <w:color w:val="auto"/>
                <w:kern w:val="0"/>
                <w:sz w:val="24"/>
                <w:szCs w:val="24"/>
                <w:highlight w:val="none"/>
              </w:rPr>
            </w:pPr>
            <w:r>
              <w:rPr>
                <w:rFonts w:ascii="宋体" w:hAnsi="宋体" w:cs="宋体"/>
                <w:color w:val="auto"/>
                <w:spacing w:val="-4"/>
                <w:sz w:val="24"/>
                <w:szCs w:val="24"/>
                <w:highlight w:val="none"/>
              </w:rPr>
              <w:t>住    所：</w:t>
            </w:r>
            <w:r>
              <w:rPr>
                <w:rFonts w:hint="eastAsia" w:ascii="宋体" w:hAnsi="宋体" w:cs="宋体"/>
                <w:color w:val="auto"/>
                <w:sz w:val="24"/>
                <w:szCs w:val="24"/>
                <w:highlight w:val="none"/>
                <w:u w:val="single"/>
                <w:lang w:val="en-US" w:eastAsia="zh-CN"/>
              </w:rPr>
              <w:t>桂林市恭城镇城中西路八巷3号</w:t>
            </w:r>
            <w:r>
              <w:rPr>
                <w:rFonts w:hint="eastAsia" w:ascii="宋体" w:hAnsi="宋体" w:cs="宋体"/>
                <w:color w:val="auto"/>
                <w:sz w:val="24"/>
                <w:szCs w:val="24"/>
                <w:highlight w:val="none"/>
                <w:u w:val="single"/>
              </w:rPr>
              <w:t xml:space="preserve"> </w:t>
            </w:r>
            <w:r>
              <w:rPr>
                <w:rFonts w:ascii="宋体" w:hAnsi="宋体" w:cs="宋体"/>
                <w:color w:val="auto"/>
                <w:spacing w:val="-82"/>
                <w:sz w:val="24"/>
                <w:szCs w:val="24"/>
                <w:highlight w:val="none"/>
              </w:rPr>
              <w:t xml:space="preserve"> </w:t>
            </w:r>
            <w:r>
              <w:rPr>
                <w:rFonts w:ascii="宋体" w:hAnsi="宋体" w:cs="宋体"/>
                <w:color w:val="auto"/>
                <w:spacing w:val="-4"/>
                <w:sz w:val="24"/>
                <w:szCs w:val="24"/>
                <w:highlight w:val="none"/>
              </w:rPr>
              <w:t>邮政编码：</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542500</w:t>
            </w:r>
            <w:r>
              <w:rPr>
                <w:rFonts w:hint="eastAsia" w:ascii="宋体" w:cs="宋体"/>
                <w:color w:val="auto"/>
                <w:sz w:val="24"/>
                <w:szCs w:val="24"/>
                <w:highlight w:val="none"/>
                <w:u w:val="single"/>
              </w:rPr>
              <w:t xml:space="preserve"> </w:t>
            </w:r>
          </w:p>
          <w:p w14:paraId="337833AF">
            <w:pPr>
              <w:spacing w:before="112"/>
              <w:jc w:val="left"/>
              <w:rPr>
                <w:rFonts w:ascii="宋体" w:cs="宋体"/>
                <w:color w:val="auto"/>
                <w:kern w:val="0"/>
                <w:sz w:val="24"/>
                <w:szCs w:val="24"/>
                <w:highlight w:val="none"/>
              </w:rPr>
            </w:pPr>
            <w:r>
              <w:rPr>
                <w:rFonts w:hint="eastAsia" w:ascii="宋体" w:hAnsi="宋体" w:cs="宋体"/>
                <w:b/>
                <w:bCs/>
                <w:color w:val="auto"/>
                <w:sz w:val="24"/>
                <w:szCs w:val="24"/>
                <w:highlight w:val="none"/>
              </w:rPr>
              <w:t>广西壮族自治区平乐公路养护中心</w:t>
            </w:r>
          </w:p>
          <w:p w14:paraId="242232F7">
            <w:pPr>
              <w:spacing w:before="112"/>
              <w:jc w:val="left"/>
              <w:rPr>
                <w:rFonts w:ascii="宋体" w:cs="宋体"/>
                <w:color w:val="auto"/>
                <w:kern w:val="0"/>
                <w:sz w:val="24"/>
                <w:szCs w:val="24"/>
                <w:highlight w:val="none"/>
              </w:rPr>
            </w:pPr>
            <w:r>
              <w:rPr>
                <w:rFonts w:ascii="宋体" w:hAnsi="宋体" w:cs="宋体"/>
                <w:color w:val="auto"/>
                <w:spacing w:val="-4"/>
                <w:sz w:val="24"/>
                <w:szCs w:val="24"/>
                <w:highlight w:val="none"/>
              </w:rPr>
              <w:t>住    所：</w:t>
            </w:r>
            <w:r>
              <w:rPr>
                <w:rFonts w:hint="eastAsia" w:ascii="宋体" w:hAnsi="宋体" w:cs="宋体"/>
                <w:color w:val="auto"/>
                <w:sz w:val="24"/>
                <w:szCs w:val="24"/>
                <w:highlight w:val="none"/>
                <w:u w:val="single"/>
                <w:lang w:val="en-US" w:eastAsia="zh-CN"/>
              </w:rPr>
              <w:t>广西平乐县平乐镇安良街002号</w:t>
            </w:r>
            <w:r>
              <w:rPr>
                <w:rFonts w:hint="eastAsia" w:ascii="宋体" w:hAnsi="宋体" w:cs="宋体"/>
                <w:color w:val="auto"/>
                <w:sz w:val="24"/>
                <w:szCs w:val="24"/>
                <w:highlight w:val="none"/>
                <w:u w:val="single"/>
              </w:rPr>
              <w:t xml:space="preserve"> </w:t>
            </w:r>
            <w:r>
              <w:rPr>
                <w:rFonts w:ascii="宋体" w:hAnsi="宋体" w:cs="宋体"/>
                <w:color w:val="auto"/>
                <w:spacing w:val="-82"/>
                <w:sz w:val="24"/>
                <w:szCs w:val="24"/>
                <w:highlight w:val="none"/>
              </w:rPr>
              <w:t xml:space="preserve"> </w:t>
            </w:r>
            <w:r>
              <w:rPr>
                <w:rFonts w:ascii="宋体" w:hAnsi="宋体" w:cs="宋体"/>
                <w:color w:val="auto"/>
                <w:spacing w:val="-4"/>
                <w:sz w:val="24"/>
                <w:szCs w:val="24"/>
                <w:highlight w:val="none"/>
              </w:rPr>
              <w:t>邮政编码：</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542400 </w:t>
            </w:r>
          </w:p>
          <w:p w14:paraId="10981205">
            <w:pPr>
              <w:spacing w:before="112"/>
              <w:jc w:val="left"/>
              <w:rPr>
                <w:rFonts w:ascii="宋体" w:cs="宋体"/>
                <w:color w:val="auto"/>
                <w:kern w:val="0"/>
                <w:sz w:val="24"/>
                <w:szCs w:val="24"/>
                <w:highlight w:val="none"/>
              </w:rPr>
            </w:pPr>
            <w:r>
              <w:rPr>
                <w:rFonts w:hint="eastAsia" w:ascii="宋体" w:hAnsi="宋体" w:cs="宋体"/>
                <w:b/>
                <w:bCs/>
                <w:color w:val="auto"/>
                <w:sz w:val="24"/>
                <w:szCs w:val="24"/>
                <w:highlight w:val="none"/>
              </w:rPr>
              <w:t>广西壮族自治区阳朔公路养护中心</w:t>
            </w:r>
          </w:p>
          <w:p w14:paraId="6B1E3116">
            <w:pPr>
              <w:rPr>
                <w:rFonts w:ascii="宋体" w:hAnsi="宋体" w:cs="宋体"/>
                <w:color w:val="auto"/>
                <w:sz w:val="24"/>
                <w:szCs w:val="24"/>
                <w:highlight w:val="none"/>
                <w:u w:val="single"/>
              </w:rPr>
            </w:pPr>
            <w:r>
              <w:rPr>
                <w:rFonts w:hint="eastAsia" w:ascii="宋体" w:hAnsi="宋体" w:cs="宋体"/>
                <w:color w:val="auto"/>
                <w:spacing w:val="-4"/>
                <w:sz w:val="24"/>
                <w:szCs w:val="24"/>
                <w:highlight w:val="none"/>
              </w:rPr>
              <w:t>住</w:t>
            </w:r>
            <w:r>
              <w:rPr>
                <w:rFonts w:ascii="宋体" w:hAnsi="宋体" w:cs="宋体"/>
                <w:color w:val="auto"/>
                <w:spacing w:val="-4"/>
                <w:sz w:val="24"/>
                <w:szCs w:val="24"/>
                <w:highlight w:val="none"/>
              </w:rPr>
              <w:t xml:space="preserve">  </w:t>
            </w:r>
            <w:r>
              <w:rPr>
                <w:rFonts w:hint="eastAsia" w:ascii="宋体" w:hAnsi="宋体" w:cs="宋体"/>
                <w:color w:val="auto"/>
                <w:spacing w:val="-4"/>
                <w:sz w:val="24"/>
                <w:szCs w:val="24"/>
                <w:highlight w:val="none"/>
              </w:rPr>
              <w:t xml:space="preserve"> </w:t>
            </w:r>
            <w:r>
              <w:rPr>
                <w:rFonts w:ascii="宋体" w:hAnsi="宋体" w:cs="宋体"/>
                <w:color w:val="auto"/>
                <w:spacing w:val="-4"/>
                <w:sz w:val="24"/>
                <w:szCs w:val="24"/>
                <w:highlight w:val="none"/>
              </w:rPr>
              <w:t xml:space="preserve"> </w:t>
            </w:r>
            <w:r>
              <w:rPr>
                <w:rFonts w:hint="eastAsia" w:ascii="宋体" w:hAnsi="宋体" w:cs="宋体"/>
                <w:color w:val="auto"/>
                <w:spacing w:val="-4"/>
                <w:sz w:val="24"/>
                <w:szCs w:val="24"/>
                <w:highlight w:val="none"/>
              </w:rPr>
              <w:t>所：</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‌桂林市阳朔县阳朔镇城西路150号‌</w:t>
            </w:r>
            <w:r>
              <w:rPr>
                <w:rFonts w:ascii="宋体" w:hAnsi="宋体" w:cs="宋体"/>
                <w:color w:val="auto"/>
                <w:sz w:val="24"/>
                <w:szCs w:val="24"/>
                <w:highlight w:val="none"/>
                <w:u w:val="single"/>
              </w:rPr>
              <w:t xml:space="preserve"> </w:t>
            </w:r>
            <w:r>
              <w:rPr>
                <w:rFonts w:ascii="宋体" w:hAnsi="宋体" w:cs="宋体"/>
                <w:color w:val="auto"/>
                <w:spacing w:val="-82"/>
                <w:sz w:val="24"/>
                <w:szCs w:val="24"/>
                <w:highlight w:val="none"/>
              </w:rPr>
              <w:t xml:space="preserve"> </w:t>
            </w:r>
            <w:r>
              <w:rPr>
                <w:rFonts w:hint="eastAsia" w:ascii="宋体" w:hAnsi="宋体" w:cs="宋体"/>
                <w:color w:val="auto"/>
                <w:spacing w:val="-4"/>
                <w:sz w:val="24"/>
                <w:szCs w:val="24"/>
                <w:highlight w:val="none"/>
              </w:rPr>
              <w:t>邮政编码：</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541900</w:t>
            </w:r>
            <w:r>
              <w:rPr>
                <w:rFonts w:ascii="宋体" w:hAnsi="宋体" w:cs="宋体"/>
                <w:color w:val="auto"/>
                <w:sz w:val="24"/>
                <w:szCs w:val="24"/>
                <w:highlight w:val="none"/>
                <w:u w:val="single"/>
              </w:rPr>
              <w:t xml:space="preserve"> </w:t>
            </w:r>
          </w:p>
          <w:p w14:paraId="4DE313DE">
            <w:pPr>
              <w:spacing w:before="112"/>
              <w:jc w:val="left"/>
              <w:rPr>
                <w:rFonts w:ascii="宋体" w:cs="宋体"/>
                <w:color w:val="auto"/>
                <w:kern w:val="0"/>
                <w:sz w:val="24"/>
                <w:szCs w:val="24"/>
                <w:highlight w:val="none"/>
              </w:rPr>
            </w:pPr>
            <w:r>
              <w:rPr>
                <w:rFonts w:hint="eastAsia" w:ascii="宋体" w:hAnsi="宋体" w:cs="宋体"/>
                <w:b/>
                <w:bCs/>
                <w:color w:val="auto"/>
                <w:sz w:val="24"/>
                <w:szCs w:val="24"/>
                <w:highlight w:val="none"/>
              </w:rPr>
              <w:t>广西壮族自治区灌阳公路养护中心</w:t>
            </w:r>
          </w:p>
          <w:p w14:paraId="4F25F367">
            <w:pPr>
              <w:rPr>
                <w:rFonts w:ascii="宋体" w:hAnsi="宋体" w:cs="宋体"/>
                <w:color w:val="auto"/>
                <w:sz w:val="24"/>
                <w:szCs w:val="24"/>
                <w:highlight w:val="none"/>
                <w:u w:val="single"/>
              </w:rPr>
            </w:pPr>
            <w:r>
              <w:rPr>
                <w:rFonts w:hint="eastAsia" w:ascii="宋体" w:hAnsi="宋体" w:cs="宋体"/>
                <w:color w:val="auto"/>
                <w:spacing w:val="-4"/>
                <w:sz w:val="24"/>
                <w:szCs w:val="24"/>
                <w:highlight w:val="none"/>
              </w:rPr>
              <w:t>住</w:t>
            </w:r>
            <w:r>
              <w:rPr>
                <w:rFonts w:ascii="宋体" w:hAnsi="宋体" w:cs="宋体"/>
                <w:color w:val="auto"/>
                <w:spacing w:val="-4"/>
                <w:sz w:val="24"/>
                <w:szCs w:val="24"/>
                <w:highlight w:val="none"/>
              </w:rPr>
              <w:t xml:space="preserve">  </w:t>
            </w:r>
            <w:r>
              <w:rPr>
                <w:rFonts w:hint="eastAsia" w:ascii="宋体" w:hAnsi="宋体" w:cs="宋体"/>
                <w:color w:val="auto"/>
                <w:spacing w:val="-4"/>
                <w:sz w:val="24"/>
                <w:szCs w:val="24"/>
                <w:highlight w:val="none"/>
              </w:rPr>
              <w:t xml:space="preserve"> </w:t>
            </w:r>
            <w:r>
              <w:rPr>
                <w:rFonts w:ascii="宋体" w:hAnsi="宋体" w:cs="宋体"/>
                <w:color w:val="auto"/>
                <w:spacing w:val="-4"/>
                <w:sz w:val="24"/>
                <w:szCs w:val="24"/>
                <w:highlight w:val="none"/>
              </w:rPr>
              <w:t xml:space="preserve"> </w:t>
            </w:r>
            <w:r>
              <w:rPr>
                <w:rFonts w:hint="eastAsia" w:ascii="宋体" w:hAnsi="宋体" w:cs="宋体"/>
                <w:color w:val="auto"/>
                <w:spacing w:val="-4"/>
                <w:sz w:val="24"/>
                <w:szCs w:val="24"/>
                <w:highlight w:val="none"/>
              </w:rPr>
              <w:t>所：</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桂林市灌阳县灌江北路169号</w:t>
            </w:r>
            <w:r>
              <w:rPr>
                <w:rFonts w:ascii="宋体" w:hAnsi="宋体" w:cs="宋体"/>
                <w:color w:val="auto"/>
                <w:sz w:val="24"/>
                <w:szCs w:val="24"/>
                <w:highlight w:val="none"/>
                <w:u w:val="single"/>
              </w:rPr>
              <w:t xml:space="preserve"> </w:t>
            </w:r>
            <w:r>
              <w:rPr>
                <w:rFonts w:ascii="宋体" w:hAnsi="宋体" w:cs="宋体"/>
                <w:color w:val="auto"/>
                <w:spacing w:val="-82"/>
                <w:sz w:val="24"/>
                <w:szCs w:val="24"/>
                <w:highlight w:val="none"/>
              </w:rPr>
              <w:t xml:space="preserve"> </w:t>
            </w:r>
            <w:r>
              <w:rPr>
                <w:rFonts w:hint="eastAsia" w:ascii="宋体" w:hAnsi="宋体" w:cs="宋体"/>
                <w:color w:val="auto"/>
                <w:spacing w:val="-4"/>
                <w:sz w:val="24"/>
                <w:szCs w:val="24"/>
                <w:highlight w:val="none"/>
              </w:rPr>
              <w:t>邮政编码：</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541600</w:t>
            </w:r>
            <w:r>
              <w:rPr>
                <w:rFonts w:ascii="宋体" w:hAnsi="宋体" w:cs="宋体"/>
                <w:color w:val="auto"/>
                <w:sz w:val="24"/>
                <w:szCs w:val="24"/>
                <w:highlight w:val="none"/>
                <w:u w:val="single"/>
              </w:rPr>
              <w:t xml:space="preserve"> </w:t>
            </w:r>
          </w:p>
          <w:p w14:paraId="1E99623E">
            <w:pPr>
              <w:rPr>
                <w:rFonts w:hint="eastAsia" w:ascii="宋体" w:hAnsi="宋体" w:eastAsia="宋体" w:cs="宋体"/>
                <w:color w:val="auto"/>
                <w:kern w:val="0"/>
                <w:sz w:val="24"/>
                <w:szCs w:val="24"/>
                <w:highlight w:val="none"/>
              </w:rPr>
            </w:pPr>
          </w:p>
        </w:tc>
      </w:tr>
      <w:tr w14:paraId="716113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6" w:type="dxa"/>
            <w:vAlign w:val="center"/>
          </w:tcPr>
          <w:p w14:paraId="0AB4E9E2">
            <w:pPr>
              <w:spacing w:before="69"/>
              <w:jc w:val="center"/>
              <w:rPr>
                <w:rFonts w:hint="eastAsia" w:ascii="宋体" w:hAnsi="宋体" w:eastAsia="宋体" w:cs="宋体"/>
                <w:sz w:val="24"/>
                <w:szCs w:val="24"/>
              </w:rPr>
            </w:pPr>
            <w:r>
              <w:rPr>
                <w:rFonts w:hint="eastAsia" w:ascii="宋体" w:hAnsi="宋体" w:eastAsia="宋体" w:cs="宋体"/>
                <w:sz w:val="24"/>
                <w:szCs w:val="24"/>
              </w:rPr>
              <w:t>2</w:t>
            </w:r>
          </w:p>
        </w:tc>
        <w:tc>
          <w:tcPr>
            <w:tcW w:w="811" w:type="dxa"/>
            <w:shd w:val="clear" w:color="auto" w:fill="FFFFFF"/>
            <w:vAlign w:val="center"/>
          </w:tcPr>
          <w:p w14:paraId="6A2E17AA">
            <w:pPr>
              <w:spacing w:before="69"/>
              <w:jc w:val="center"/>
              <w:rPr>
                <w:rFonts w:hint="eastAsia" w:ascii="宋体" w:hAnsi="宋体" w:eastAsia="宋体" w:cs="宋体"/>
                <w:sz w:val="24"/>
                <w:szCs w:val="24"/>
              </w:rPr>
            </w:pPr>
            <w:r>
              <w:rPr>
                <w:rFonts w:hint="eastAsia" w:ascii="宋体" w:hAnsi="宋体" w:eastAsia="宋体" w:cs="宋体"/>
                <w:spacing w:val="-5"/>
                <w:sz w:val="24"/>
                <w:szCs w:val="24"/>
              </w:rPr>
              <w:t>1.1.2.7</w:t>
            </w:r>
          </w:p>
        </w:tc>
        <w:tc>
          <w:tcPr>
            <w:tcW w:w="7763" w:type="dxa"/>
            <w:vAlign w:val="center"/>
          </w:tcPr>
          <w:p w14:paraId="0DA34639">
            <w:pPr>
              <w:spacing w:before="114"/>
              <w:jc w:val="left"/>
              <w:rPr>
                <w:rFonts w:hint="eastAsia" w:ascii="宋体" w:hAnsi="宋体" w:eastAsia="宋体" w:cs="宋体"/>
                <w:sz w:val="24"/>
                <w:szCs w:val="24"/>
                <w:lang w:eastAsia="zh-CN"/>
              </w:rPr>
            </w:pPr>
            <w:r>
              <w:rPr>
                <w:rFonts w:hint="eastAsia" w:ascii="宋体" w:hAnsi="宋体" w:eastAsia="宋体" w:cs="宋体"/>
                <w:spacing w:val="-4"/>
                <w:sz w:val="24"/>
                <w:szCs w:val="24"/>
              </w:rPr>
              <w:t>咨 询</w:t>
            </w:r>
            <w:r>
              <w:rPr>
                <w:rFonts w:hint="eastAsia" w:ascii="宋体" w:hAnsi="宋体" w:eastAsia="宋体" w:cs="宋体"/>
                <w:spacing w:val="12"/>
                <w:sz w:val="24"/>
                <w:szCs w:val="24"/>
              </w:rPr>
              <w:t xml:space="preserve"> </w:t>
            </w:r>
            <w:r>
              <w:rPr>
                <w:rFonts w:hint="eastAsia" w:ascii="宋体" w:hAnsi="宋体" w:eastAsia="宋体" w:cs="宋体"/>
                <w:spacing w:val="-4"/>
                <w:sz w:val="24"/>
                <w:szCs w:val="24"/>
              </w:rPr>
              <w:t>人（监理人</w:t>
            </w:r>
            <w:r>
              <w:rPr>
                <w:rFonts w:hint="eastAsia" w:ascii="宋体" w:hAnsi="宋体" w:eastAsia="宋体" w:cs="宋体"/>
                <w:spacing w:val="-60"/>
                <w:sz w:val="24"/>
                <w:szCs w:val="24"/>
              </w:rPr>
              <w:t>）：</w:t>
            </w:r>
            <w:r>
              <w:rPr>
                <w:rFonts w:hint="eastAsia" w:ascii="宋体" w:hAnsi="宋体" w:eastAsia="宋体" w:cs="宋体"/>
                <w:color w:val="auto"/>
                <w:spacing w:val="11"/>
                <w:sz w:val="24"/>
                <w:szCs w:val="24"/>
                <w:u w:val="none"/>
                <w:lang w:eastAsia="zh-CN"/>
              </w:rPr>
              <w:t>本项目不委托咨询人（监理人）。发包人自行履行通用条款中和合同实施管理中涉及咨询人（监理人）的全部职责与义务</w:t>
            </w:r>
            <w:r>
              <w:rPr>
                <w:rFonts w:hint="eastAsia" w:ascii="宋体" w:hAnsi="宋体" w:eastAsia="宋体" w:cs="宋体"/>
                <w:color w:val="auto"/>
                <w:sz w:val="24"/>
                <w:szCs w:val="24"/>
                <w:lang w:eastAsia="zh-CN"/>
              </w:rPr>
              <w:t>。</w:t>
            </w:r>
          </w:p>
        </w:tc>
      </w:tr>
      <w:tr w14:paraId="16DB05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6" w:type="dxa"/>
            <w:vAlign w:val="center"/>
          </w:tcPr>
          <w:p w14:paraId="134DE3E5">
            <w:pPr>
              <w:spacing w:before="69"/>
              <w:jc w:val="center"/>
              <w:rPr>
                <w:rFonts w:hint="eastAsia" w:ascii="宋体" w:hAnsi="宋体" w:eastAsia="宋体" w:cs="宋体"/>
                <w:sz w:val="24"/>
                <w:szCs w:val="24"/>
              </w:rPr>
            </w:pPr>
            <w:r>
              <w:rPr>
                <w:rFonts w:hint="eastAsia" w:ascii="宋体" w:hAnsi="宋体" w:eastAsia="宋体" w:cs="宋体"/>
                <w:sz w:val="24"/>
                <w:szCs w:val="24"/>
              </w:rPr>
              <w:t>3</w:t>
            </w:r>
          </w:p>
        </w:tc>
        <w:tc>
          <w:tcPr>
            <w:tcW w:w="811" w:type="dxa"/>
            <w:shd w:val="clear" w:color="auto" w:fill="FFFFFF"/>
            <w:vAlign w:val="center"/>
          </w:tcPr>
          <w:p w14:paraId="5ABBF186">
            <w:pPr>
              <w:spacing w:before="69"/>
              <w:jc w:val="center"/>
              <w:rPr>
                <w:rFonts w:hint="eastAsia" w:ascii="宋体" w:hAnsi="宋体" w:eastAsia="宋体" w:cs="宋体"/>
                <w:sz w:val="24"/>
                <w:szCs w:val="24"/>
              </w:rPr>
            </w:pPr>
            <w:r>
              <w:rPr>
                <w:rFonts w:hint="eastAsia" w:ascii="宋体" w:hAnsi="宋体" w:eastAsia="宋体" w:cs="宋体"/>
                <w:spacing w:val="-5"/>
                <w:sz w:val="24"/>
                <w:szCs w:val="24"/>
              </w:rPr>
              <w:t>1.1.4.3</w:t>
            </w:r>
          </w:p>
        </w:tc>
        <w:tc>
          <w:tcPr>
            <w:tcW w:w="7763" w:type="dxa"/>
            <w:vAlign w:val="center"/>
          </w:tcPr>
          <w:p w14:paraId="4C0213C4">
            <w:pPr>
              <w:spacing w:before="129"/>
              <w:jc w:val="left"/>
              <w:rPr>
                <w:rFonts w:hint="eastAsia" w:ascii="宋体" w:hAnsi="宋体" w:eastAsia="宋体" w:cs="宋体"/>
                <w:sz w:val="24"/>
                <w:szCs w:val="24"/>
              </w:rPr>
            </w:pPr>
            <w:r>
              <w:rPr>
                <w:rFonts w:hint="eastAsia" w:ascii="宋体" w:hAnsi="宋体" w:eastAsia="宋体" w:cs="宋体"/>
                <w:spacing w:val="-1"/>
                <w:sz w:val="24"/>
                <w:szCs w:val="24"/>
              </w:rPr>
              <w:t>项目总体完成时间：从开工日期算起</w:t>
            </w:r>
            <w:r>
              <w:rPr>
                <w:rFonts w:hint="eastAsia" w:ascii="宋体" w:hAnsi="宋体" w:eastAsia="宋体" w:cs="宋体"/>
                <w:spacing w:val="-1"/>
                <w:sz w:val="24"/>
                <w:szCs w:val="24"/>
                <w:u w:val="single"/>
              </w:rPr>
              <w:t xml:space="preserve">   36   </w:t>
            </w:r>
            <w:r>
              <w:rPr>
                <w:rFonts w:hint="eastAsia" w:ascii="宋体" w:hAnsi="宋体" w:eastAsia="宋体" w:cs="宋体"/>
                <w:spacing w:val="-111"/>
                <w:sz w:val="24"/>
                <w:szCs w:val="24"/>
              </w:rPr>
              <w:t xml:space="preserve"> </w:t>
            </w:r>
            <w:r>
              <w:rPr>
                <w:rFonts w:hint="eastAsia" w:ascii="宋体" w:hAnsi="宋体" w:eastAsia="宋体" w:cs="宋体"/>
                <w:spacing w:val="-1"/>
                <w:sz w:val="24"/>
                <w:szCs w:val="24"/>
              </w:rPr>
              <w:t>个月</w:t>
            </w:r>
          </w:p>
          <w:p w14:paraId="6A5BBC54">
            <w:pPr>
              <w:spacing w:before="113"/>
              <w:jc w:val="left"/>
              <w:rPr>
                <w:rFonts w:hint="eastAsia" w:ascii="宋体" w:hAnsi="宋体" w:eastAsia="宋体" w:cs="宋体"/>
                <w:sz w:val="24"/>
                <w:szCs w:val="24"/>
              </w:rPr>
            </w:pPr>
            <w:r>
              <w:rPr>
                <w:rFonts w:hint="eastAsia" w:ascii="宋体" w:hAnsi="宋体" w:eastAsia="宋体" w:cs="宋体"/>
                <w:spacing w:val="-1"/>
                <w:sz w:val="24"/>
                <w:szCs w:val="24"/>
              </w:rPr>
              <w:t>发包人指定实施的养护工程完成时间：从开工日期算起</w:t>
            </w:r>
            <w:r>
              <w:rPr>
                <w:rFonts w:hint="eastAsia" w:ascii="宋体" w:hAnsi="宋体" w:eastAsia="宋体" w:cs="宋体"/>
                <w:spacing w:val="-1"/>
                <w:sz w:val="24"/>
                <w:szCs w:val="24"/>
                <w:u w:val="single"/>
                <w:lang w:val="en-US" w:eastAsia="zh-CN"/>
              </w:rPr>
              <w:t xml:space="preserve"> /</w:t>
            </w:r>
            <w:r>
              <w:rPr>
                <w:rFonts w:hint="eastAsia" w:ascii="宋体" w:hAnsi="宋体" w:eastAsia="宋体" w:cs="宋体"/>
                <w:spacing w:val="-1"/>
                <w:sz w:val="24"/>
                <w:szCs w:val="24"/>
                <w:u w:val="single"/>
              </w:rPr>
              <w:t xml:space="preserve"> </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1"/>
                <w:sz w:val="24"/>
                <w:szCs w:val="24"/>
              </w:rPr>
              <w:t>个月</w:t>
            </w:r>
          </w:p>
        </w:tc>
      </w:tr>
      <w:tr w14:paraId="2AE1C3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6" w:type="dxa"/>
            <w:vAlign w:val="center"/>
          </w:tcPr>
          <w:p w14:paraId="647947D4">
            <w:pPr>
              <w:spacing w:before="69"/>
              <w:jc w:val="center"/>
              <w:rPr>
                <w:rFonts w:hint="eastAsia" w:ascii="宋体" w:hAnsi="宋体" w:eastAsia="宋体" w:cs="宋体"/>
                <w:sz w:val="24"/>
                <w:szCs w:val="24"/>
              </w:rPr>
            </w:pPr>
            <w:r>
              <w:rPr>
                <w:rFonts w:hint="eastAsia" w:ascii="宋体" w:hAnsi="宋体" w:eastAsia="宋体" w:cs="宋体"/>
                <w:sz w:val="24"/>
                <w:szCs w:val="24"/>
              </w:rPr>
              <w:t>4</w:t>
            </w:r>
          </w:p>
        </w:tc>
        <w:tc>
          <w:tcPr>
            <w:tcW w:w="811" w:type="dxa"/>
            <w:vAlign w:val="center"/>
          </w:tcPr>
          <w:p w14:paraId="13B41185">
            <w:pPr>
              <w:spacing w:before="69"/>
              <w:jc w:val="center"/>
              <w:rPr>
                <w:rFonts w:hint="eastAsia" w:ascii="宋体" w:hAnsi="宋体" w:eastAsia="宋体" w:cs="宋体"/>
                <w:sz w:val="24"/>
                <w:szCs w:val="24"/>
              </w:rPr>
            </w:pPr>
            <w:r>
              <w:rPr>
                <w:rFonts w:hint="eastAsia" w:ascii="宋体" w:hAnsi="宋体" w:eastAsia="宋体" w:cs="宋体"/>
                <w:spacing w:val="-5"/>
                <w:sz w:val="24"/>
                <w:szCs w:val="24"/>
              </w:rPr>
              <w:t>1.1.4.4</w:t>
            </w:r>
          </w:p>
        </w:tc>
        <w:tc>
          <w:tcPr>
            <w:tcW w:w="7763" w:type="dxa"/>
            <w:vAlign w:val="center"/>
          </w:tcPr>
          <w:p w14:paraId="27A2CC92">
            <w:pPr>
              <w:spacing w:before="128"/>
              <w:jc w:val="left"/>
              <w:rPr>
                <w:rFonts w:hint="eastAsia" w:ascii="宋体" w:hAnsi="宋体" w:eastAsia="宋体" w:cs="宋体"/>
                <w:sz w:val="24"/>
                <w:szCs w:val="24"/>
              </w:rPr>
            </w:pPr>
            <w:r>
              <w:rPr>
                <w:rFonts w:hint="eastAsia" w:ascii="宋体" w:hAnsi="宋体" w:eastAsia="宋体" w:cs="宋体"/>
                <w:spacing w:val="-2"/>
                <w:sz w:val="24"/>
                <w:szCs w:val="24"/>
              </w:rPr>
              <w:t>项目总体完成日期：</w:t>
            </w:r>
            <w:r>
              <w:rPr>
                <w:rFonts w:hint="eastAsia" w:ascii="宋体" w:hAnsi="宋体" w:eastAsia="宋体" w:cs="宋体"/>
                <w:sz w:val="24"/>
                <w:szCs w:val="24"/>
                <w:u w:val="single"/>
              </w:rPr>
              <w:t xml:space="preserve">  2029年4月30日           </w:t>
            </w:r>
          </w:p>
          <w:p w14:paraId="1B7EC86E">
            <w:pPr>
              <w:spacing w:before="115"/>
              <w:jc w:val="left"/>
              <w:rPr>
                <w:rFonts w:hint="eastAsia" w:ascii="宋体" w:hAnsi="宋体" w:eastAsia="宋体" w:cs="宋体"/>
                <w:sz w:val="24"/>
                <w:szCs w:val="24"/>
              </w:rPr>
            </w:pPr>
            <w:r>
              <w:rPr>
                <w:rFonts w:hint="eastAsia" w:ascii="宋体" w:hAnsi="宋体" w:eastAsia="宋体" w:cs="宋体"/>
                <w:spacing w:val="-1"/>
                <w:sz w:val="24"/>
                <w:szCs w:val="24"/>
              </w:rPr>
              <w:t>发包人指定实施的养护工程完成日期：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w:t>
            </w:r>
            <w:r>
              <w:rPr>
                <w:rFonts w:hint="eastAsia" w:ascii="宋体" w:hAnsi="宋体" w:eastAsia="宋体" w:cs="宋体"/>
                <w:sz w:val="24"/>
                <w:szCs w:val="24"/>
                <w:u w:val="single"/>
              </w:rPr>
              <w:t xml:space="preserve">  </w:t>
            </w:r>
          </w:p>
        </w:tc>
      </w:tr>
      <w:tr w14:paraId="6B933C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6" w:type="dxa"/>
            <w:vAlign w:val="center"/>
          </w:tcPr>
          <w:p w14:paraId="1BDBD93F">
            <w:pPr>
              <w:spacing w:before="204"/>
              <w:jc w:val="center"/>
              <w:rPr>
                <w:rFonts w:hint="eastAsia" w:ascii="宋体" w:hAnsi="宋体" w:eastAsia="宋体" w:cs="宋体"/>
                <w:sz w:val="24"/>
                <w:szCs w:val="24"/>
              </w:rPr>
            </w:pPr>
            <w:r>
              <w:rPr>
                <w:rFonts w:hint="eastAsia" w:ascii="宋体" w:hAnsi="宋体" w:eastAsia="宋体" w:cs="宋体"/>
                <w:sz w:val="24"/>
                <w:szCs w:val="24"/>
              </w:rPr>
              <w:t>5</w:t>
            </w:r>
          </w:p>
        </w:tc>
        <w:tc>
          <w:tcPr>
            <w:tcW w:w="811" w:type="dxa"/>
            <w:vAlign w:val="center"/>
          </w:tcPr>
          <w:p w14:paraId="46AC8775">
            <w:pPr>
              <w:spacing w:before="201"/>
              <w:jc w:val="center"/>
              <w:rPr>
                <w:rFonts w:hint="eastAsia" w:ascii="宋体" w:hAnsi="宋体" w:eastAsia="宋体" w:cs="宋体"/>
                <w:sz w:val="24"/>
                <w:szCs w:val="24"/>
              </w:rPr>
            </w:pPr>
            <w:r>
              <w:rPr>
                <w:rFonts w:hint="eastAsia" w:ascii="宋体" w:hAnsi="宋体" w:eastAsia="宋体" w:cs="宋体"/>
                <w:spacing w:val="-6"/>
                <w:sz w:val="24"/>
                <w:szCs w:val="24"/>
              </w:rPr>
              <w:t>1.5.1</w:t>
            </w:r>
          </w:p>
        </w:tc>
        <w:tc>
          <w:tcPr>
            <w:tcW w:w="7763" w:type="dxa"/>
            <w:vAlign w:val="center"/>
          </w:tcPr>
          <w:p w14:paraId="7B257C2B">
            <w:pPr>
              <w:spacing w:before="143"/>
              <w:jc w:val="left"/>
              <w:rPr>
                <w:rFonts w:hint="eastAsia" w:ascii="宋体" w:hAnsi="宋体" w:eastAsia="宋体" w:cs="宋体"/>
                <w:sz w:val="24"/>
                <w:szCs w:val="24"/>
              </w:rPr>
            </w:pPr>
            <w:r>
              <w:rPr>
                <w:rFonts w:hint="eastAsia" w:ascii="宋体" w:hAnsi="宋体" w:eastAsia="宋体" w:cs="宋体"/>
                <w:spacing w:val="-1"/>
                <w:sz w:val="24"/>
                <w:szCs w:val="24"/>
              </w:rPr>
              <w:t>提供图纸的期限：</w:t>
            </w:r>
            <w:r>
              <w:rPr>
                <w:rFonts w:hint="eastAsia" w:ascii="宋体" w:hAnsi="宋体" w:eastAsia="宋体" w:cs="宋体"/>
                <w:spacing w:val="-1"/>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pacing w:val="-105"/>
                <w:sz w:val="24"/>
                <w:szCs w:val="24"/>
              </w:rPr>
              <w:t xml:space="preserve"> </w:t>
            </w:r>
            <w:r>
              <w:rPr>
                <w:rFonts w:hint="eastAsia" w:ascii="宋体" w:hAnsi="宋体" w:eastAsia="宋体" w:cs="宋体"/>
                <w:spacing w:val="-1"/>
                <w:sz w:val="24"/>
                <w:szCs w:val="24"/>
              </w:rPr>
              <w:t>天</w:t>
            </w:r>
          </w:p>
        </w:tc>
      </w:tr>
      <w:tr w14:paraId="173768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6" w:type="dxa"/>
            <w:vAlign w:val="center"/>
          </w:tcPr>
          <w:p w14:paraId="048AC28A">
            <w:pPr>
              <w:spacing w:before="69"/>
              <w:jc w:val="center"/>
              <w:rPr>
                <w:rFonts w:hint="eastAsia" w:ascii="宋体" w:hAnsi="宋体" w:eastAsia="宋体" w:cs="宋体"/>
                <w:sz w:val="24"/>
                <w:szCs w:val="24"/>
              </w:rPr>
            </w:pPr>
            <w:r>
              <w:rPr>
                <w:rFonts w:hint="eastAsia" w:ascii="宋体" w:hAnsi="宋体" w:eastAsia="宋体" w:cs="宋体"/>
                <w:sz w:val="24"/>
                <w:szCs w:val="24"/>
              </w:rPr>
              <w:t>6</w:t>
            </w:r>
          </w:p>
        </w:tc>
        <w:tc>
          <w:tcPr>
            <w:tcW w:w="811" w:type="dxa"/>
            <w:vAlign w:val="center"/>
          </w:tcPr>
          <w:p w14:paraId="450608BA">
            <w:pPr>
              <w:spacing w:before="69"/>
              <w:jc w:val="center"/>
              <w:rPr>
                <w:rFonts w:hint="eastAsia" w:ascii="宋体" w:hAnsi="宋体" w:eastAsia="宋体" w:cs="宋体"/>
                <w:sz w:val="24"/>
                <w:szCs w:val="24"/>
              </w:rPr>
            </w:pPr>
            <w:r>
              <w:rPr>
                <w:rFonts w:hint="eastAsia" w:ascii="宋体" w:hAnsi="宋体" w:eastAsia="宋体" w:cs="宋体"/>
                <w:spacing w:val="-6"/>
                <w:sz w:val="24"/>
                <w:szCs w:val="24"/>
              </w:rPr>
              <w:t>1.5.3</w:t>
            </w:r>
          </w:p>
        </w:tc>
        <w:tc>
          <w:tcPr>
            <w:tcW w:w="7763" w:type="dxa"/>
            <w:vAlign w:val="center"/>
          </w:tcPr>
          <w:p w14:paraId="1F6A1C76">
            <w:pPr>
              <w:spacing w:before="128"/>
              <w:jc w:val="left"/>
              <w:rPr>
                <w:rFonts w:hint="eastAsia" w:ascii="宋体" w:hAnsi="宋体" w:eastAsia="宋体" w:cs="宋体"/>
                <w:sz w:val="24"/>
                <w:szCs w:val="24"/>
              </w:rPr>
            </w:pPr>
            <w:r>
              <w:rPr>
                <w:rFonts w:hint="eastAsia" w:ascii="宋体" w:hAnsi="宋体" w:eastAsia="宋体" w:cs="宋体"/>
                <w:spacing w:val="13"/>
                <w:sz w:val="24"/>
                <w:szCs w:val="24"/>
              </w:rPr>
              <w:t>图纸需要修改和补充的，应取得发包人同意</w:t>
            </w:r>
            <w:r>
              <w:rPr>
                <w:rFonts w:hint="eastAsia" w:ascii="宋体" w:hAnsi="宋体" w:eastAsia="宋体" w:cs="宋体"/>
                <w:spacing w:val="4"/>
                <w:sz w:val="24"/>
                <w:szCs w:val="24"/>
              </w:rPr>
              <w:t>后，在该养护工程或养护工程相应部位施工前的</w:t>
            </w:r>
            <w:r>
              <w:rPr>
                <w:rFonts w:hint="eastAsia" w:ascii="宋体" w:hAnsi="宋体" w:eastAsia="宋体" w:cs="宋体"/>
                <w:spacing w:val="-116"/>
                <w:sz w:val="24"/>
                <w:szCs w:val="24"/>
              </w:rPr>
              <w:t xml:space="preserve"> </w:t>
            </w:r>
            <w:r>
              <w:rPr>
                <w:rFonts w:hint="eastAsia" w:ascii="宋体" w:hAnsi="宋体" w:eastAsia="宋体" w:cs="宋体"/>
                <w:spacing w:val="6"/>
                <w:sz w:val="24"/>
                <w:szCs w:val="24"/>
                <w:u w:val="single"/>
              </w:rPr>
              <w:t xml:space="preserve"> </w:t>
            </w:r>
            <w:r>
              <w:rPr>
                <w:rFonts w:hint="eastAsia" w:ascii="宋体" w:hAnsi="宋体" w:eastAsia="宋体" w:cs="宋体"/>
                <w:spacing w:val="6"/>
                <w:sz w:val="24"/>
                <w:szCs w:val="24"/>
                <w:u w:val="single"/>
                <w:lang w:val="en-US" w:eastAsia="zh-CN"/>
              </w:rPr>
              <w:t>/</w:t>
            </w:r>
            <w:r>
              <w:rPr>
                <w:rFonts w:hint="eastAsia" w:ascii="宋体" w:hAnsi="宋体" w:eastAsia="宋体" w:cs="宋体"/>
                <w:spacing w:val="6"/>
                <w:sz w:val="24"/>
                <w:szCs w:val="24"/>
                <w:u w:val="single"/>
              </w:rPr>
              <w:t xml:space="preserve"> </w:t>
            </w:r>
            <w:r>
              <w:rPr>
                <w:rFonts w:hint="eastAsia" w:ascii="宋体" w:hAnsi="宋体" w:eastAsia="宋体" w:cs="宋体"/>
                <w:spacing w:val="-106"/>
                <w:sz w:val="24"/>
                <w:szCs w:val="24"/>
              </w:rPr>
              <w:t xml:space="preserve"> </w:t>
            </w:r>
            <w:r>
              <w:rPr>
                <w:rFonts w:hint="eastAsia" w:ascii="宋体" w:hAnsi="宋体" w:eastAsia="宋体" w:cs="宋体"/>
                <w:spacing w:val="4"/>
                <w:sz w:val="24"/>
                <w:szCs w:val="24"/>
              </w:rPr>
              <w:t>天内签发图纸</w:t>
            </w:r>
          </w:p>
        </w:tc>
      </w:tr>
    </w:tbl>
    <w:p w14:paraId="600C2265">
      <w:pPr>
        <w:rPr>
          <w:rFonts w:hint="eastAsia" w:ascii="宋体" w:hAnsi="宋体" w:eastAsia="宋体" w:cs="宋体"/>
          <w:sz w:val="24"/>
          <w:szCs w:val="24"/>
        </w:rPr>
      </w:pPr>
      <w:r>
        <w:rPr>
          <w:rFonts w:hint="eastAsia" w:ascii="宋体" w:hAnsi="宋体" w:eastAsia="宋体" w:cs="宋体"/>
          <w:sz w:val="24"/>
          <w:szCs w:val="24"/>
        </w:rPr>
        <w:br w:type="page"/>
      </w:r>
    </w:p>
    <w:tbl>
      <w:tblPr>
        <w:tblStyle w:val="25"/>
        <w:tblW w:w="9466" w:type="dxa"/>
        <w:tblInd w:w="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32"/>
        <w:gridCol w:w="975"/>
        <w:gridCol w:w="7759"/>
      </w:tblGrid>
      <w:tr w14:paraId="65EB59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4" w:hRule="atLeast"/>
        </w:trPr>
        <w:tc>
          <w:tcPr>
            <w:tcW w:w="732" w:type="dxa"/>
          </w:tcPr>
          <w:p w14:paraId="5AA73242">
            <w:pPr>
              <w:spacing w:before="140" w:line="218" w:lineRule="auto"/>
              <w:ind w:left="133"/>
              <w:rPr>
                <w:rFonts w:hint="eastAsia" w:ascii="宋体" w:hAnsi="宋体" w:eastAsia="宋体" w:cs="宋体"/>
                <w:sz w:val="24"/>
                <w:szCs w:val="24"/>
              </w:rPr>
            </w:pPr>
            <w:r>
              <w:rPr>
                <w:rFonts w:hint="eastAsia" w:ascii="宋体" w:hAnsi="宋体" w:eastAsia="宋体" w:cs="宋体"/>
                <w:spacing w:val="-5"/>
                <w:sz w:val="24"/>
                <w:szCs w:val="24"/>
              </w:rPr>
              <w:t>序号</w:t>
            </w:r>
          </w:p>
        </w:tc>
        <w:tc>
          <w:tcPr>
            <w:tcW w:w="975" w:type="dxa"/>
          </w:tcPr>
          <w:p w14:paraId="4F0A1914">
            <w:pPr>
              <w:spacing w:before="140" w:line="218" w:lineRule="auto"/>
              <w:ind w:left="136"/>
              <w:rPr>
                <w:rFonts w:hint="eastAsia" w:ascii="宋体" w:hAnsi="宋体" w:eastAsia="宋体" w:cs="宋体"/>
                <w:sz w:val="24"/>
                <w:szCs w:val="24"/>
              </w:rPr>
            </w:pPr>
            <w:r>
              <w:rPr>
                <w:rFonts w:hint="eastAsia" w:ascii="宋体" w:hAnsi="宋体" w:eastAsia="宋体" w:cs="宋体"/>
                <w:spacing w:val="-4"/>
                <w:sz w:val="24"/>
                <w:szCs w:val="24"/>
              </w:rPr>
              <w:t>条目号</w:t>
            </w:r>
          </w:p>
        </w:tc>
        <w:tc>
          <w:tcPr>
            <w:tcW w:w="7759" w:type="dxa"/>
          </w:tcPr>
          <w:p w14:paraId="48E3E6A8">
            <w:pPr>
              <w:spacing w:before="140" w:line="218" w:lineRule="auto"/>
              <w:ind w:left="3075"/>
              <w:rPr>
                <w:rFonts w:hint="eastAsia" w:ascii="宋体" w:hAnsi="宋体" w:eastAsia="宋体" w:cs="宋体"/>
                <w:sz w:val="24"/>
                <w:szCs w:val="24"/>
              </w:rPr>
            </w:pPr>
            <w:r>
              <w:rPr>
                <w:rFonts w:hint="eastAsia" w:ascii="宋体" w:hAnsi="宋体" w:eastAsia="宋体" w:cs="宋体"/>
                <w:spacing w:val="-2"/>
                <w:sz w:val="24"/>
                <w:szCs w:val="24"/>
              </w:rPr>
              <w:t>信息或数据</w:t>
            </w:r>
          </w:p>
        </w:tc>
      </w:tr>
      <w:tr w14:paraId="7C483E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0" w:hRule="atLeast"/>
        </w:trPr>
        <w:tc>
          <w:tcPr>
            <w:tcW w:w="732" w:type="dxa"/>
          </w:tcPr>
          <w:p w14:paraId="60C51C46">
            <w:pPr>
              <w:pStyle w:val="29"/>
              <w:tabs>
                <w:tab w:val="left" w:pos="0"/>
              </w:tabs>
              <w:rPr>
                <w:rFonts w:hint="eastAsia" w:ascii="宋体" w:hAnsi="宋体" w:eastAsia="宋体" w:cs="宋体"/>
                <w:sz w:val="24"/>
                <w:szCs w:val="24"/>
              </w:rPr>
            </w:pPr>
          </w:p>
        </w:tc>
        <w:tc>
          <w:tcPr>
            <w:tcW w:w="975" w:type="dxa"/>
          </w:tcPr>
          <w:p w14:paraId="7028C781">
            <w:pPr>
              <w:pStyle w:val="29"/>
              <w:tabs>
                <w:tab w:val="left" w:pos="0"/>
              </w:tabs>
              <w:rPr>
                <w:rFonts w:hint="eastAsia" w:ascii="宋体" w:hAnsi="宋体" w:eastAsia="宋体" w:cs="宋体"/>
                <w:sz w:val="24"/>
                <w:szCs w:val="24"/>
              </w:rPr>
            </w:pPr>
          </w:p>
        </w:tc>
        <w:tc>
          <w:tcPr>
            <w:tcW w:w="7759" w:type="dxa"/>
          </w:tcPr>
          <w:p w14:paraId="0D854665">
            <w:pPr>
              <w:spacing w:before="127" w:line="219" w:lineRule="auto"/>
              <w:ind w:left="114"/>
              <w:rPr>
                <w:rFonts w:hint="eastAsia" w:ascii="宋体" w:hAnsi="宋体" w:eastAsia="宋体" w:cs="宋体"/>
                <w:sz w:val="24"/>
                <w:szCs w:val="24"/>
              </w:rPr>
            </w:pPr>
            <w:r>
              <w:rPr>
                <w:rFonts w:hint="eastAsia" w:ascii="宋体" w:hAnsi="宋体" w:eastAsia="宋体" w:cs="宋体"/>
                <w:spacing w:val="-2"/>
                <w:sz w:val="24"/>
                <w:szCs w:val="24"/>
              </w:rPr>
              <w:t>修改图给承包人</w:t>
            </w:r>
          </w:p>
        </w:tc>
      </w:tr>
      <w:tr w14:paraId="4527B5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4" w:hRule="atLeast"/>
        </w:trPr>
        <w:tc>
          <w:tcPr>
            <w:tcW w:w="732" w:type="dxa"/>
          </w:tcPr>
          <w:p w14:paraId="5AA21360">
            <w:pPr>
              <w:pStyle w:val="29"/>
              <w:tabs>
                <w:tab w:val="left" w:pos="0"/>
              </w:tabs>
              <w:spacing w:line="316" w:lineRule="auto"/>
              <w:rPr>
                <w:rFonts w:hint="eastAsia" w:ascii="宋体" w:hAnsi="宋体" w:eastAsia="宋体" w:cs="宋体"/>
                <w:sz w:val="24"/>
                <w:szCs w:val="24"/>
              </w:rPr>
            </w:pPr>
          </w:p>
          <w:p w14:paraId="7C7C631D">
            <w:pPr>
              <w:spacing w:before="69" w:line="185" w:lineRule="auto"/>
              <w:ind w:left="313"/>
              <w:rPr>
                <w:rFonts w:hint="eastAsia" w:ascii="宋体" w:hAnsi="宋体" w:eastAsia="宋体" w:cs="宋体"/>
                <w:sz w:val="24"/>
                <w:szCs w:val="24"/>
              </w:rPr>
            </w:pPr>
            <w:r>
              <w:rPr>
                <w:rFonts w:hint="eastAsia" w:ascii="宋体" w:hAnsi="宋体" w:eastAsia="宋体" w:cs="宋体"/>
                <w:sz w:val="24"/>
                <w:szCs w:val="24"/>
              </w:rPr>
              <w:t>7</w:t>
            </w:r>
          </w:p>
        </w:tc>
        <w:tc>
          <w:tcPr>
            <w:tcW w:w="975" w:type="dxa"/>
          </w:tcPr>
          <w:p w14:paraId="3C9FCF2F">
            <w:pPr>
              <w:pStyle w:val="29"/>
              <w:tabs>
                <w:tab w:val="left" w:pos="0"/>
              </w:tabs>
              <w:spacing w:line="313" w:lineRule="auto"/>
              <w:rPr>
                <w:rFonts w:hint="eastAsia" w:ascii="宋体" w:hAnsi="宋体" w:eastAsia="宋体" w:cs="宋体"/>
                <w:sz w:val="24"/>
                <w:szCs w:val="24"/>
              </w:rPr>
            </w:pPr>
          </w:p>
          <w:p w14:paraId="3483AC06">
            <w:pPr>
              <w:spacing w:before="69" w:line="188" w:lineRule="auto"/>
              <w:ind w:left="338"/>
              <w:rPr>
                <w:rFonts w:hint="eastAsia" w:ascii="宋体" w:hAnsi="宋体" w:eastAsia="宋体" w:cs="宋体"/>
                <w:sz w:val="24"/>
                <w:szCs w:val="24"/>
              </w:rPr>
            </w:pPr>
            <w:r>
              <w:rPr>
                <w:rFonts w:hint="eastAsia" w:ascii="宋体" w:hAnsi="宋体" w:eastAsia="宋体" w:cs="宋体"/>
                <w:spacing w:val="-2"/>
                <w:sz w:val="24"/>
                <w:szCs w:val="24"/>
              </w:rPr>
              <w:t>2.8</w:t>
            </w:r>
          </w:p>
        </w:tc>
        <w:tc>
          <w:tcPr>
            <w:tcW w:w="7759" w:type="dxa"/>
          </w:tcPr>
          <w:p w14:paraId="772B1AFF">
            <w:pPr>
              <w:spacing w:before="125" w:line="257" w:lineRule="auto"/>
              <w:ind w:left="124" w:right="108" w:firstLine="14"/>
              <w:rPr>
                <w:rFonts w:hint="eastAsia" w:ascii="宋体" w:hAnsi="宋体" w:eastAsia="宋体" w:cs="宋体"/>
                <w:sz w:val="24"/>
                <w:szCs w:val="24"/>
              </w:rPr>
            </w:pPr>
            <w:r>
              <w:rPr>
                <w:rFonts w:hint="eastAsia" w:ascii="宋体" w:hAnsi="宋体" w:eastAsia="宋体" w:cs="宋体"/>
                <w:spacing w:val="4"/>
                <w:sz w:val="24"/>
                <w:szCs w:val="24"/>
              </w:rPr>
              <w:t>向承包人提供路段基本信息、路况数据、养护历史资料等相关书面</w:t>
            </w:r>
            <w:r>
              <w:rPr>
                <w:rFonts w:hint="eastAsia" w:ascii="宋体" w:hAnsi="宋体" w:eastAsia="宋体" w:cs="宋体"/>
                <w:spacing w:val="-2"/>
                <w:sz w:val="24"/>
                <w:szCs w:val="24"/>
              </w:rPr>
              <w:t>资料的期限：</w:t>
            </w:r>
            <w:r>
              <w:rPr>
                <w:rFonts w:hint="eastAsia" w:ascii="宋体" w:hAnsi="宋体" w:eastAsia="宋体" w:cs="宋体"/>
                <w:spacing w:val="-2"/>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w:t>
            </w:r>
            <w:r>
              <w:rPr>
                <w:rFonts w:hint="eastAsia" w:ascii="宋体" w:hAnsi="宋体" w:eastAsia="宋体" w:cs="宋体"/>
                <w:spacing w:val="-2"/>
                <w:sz w:val="24"/>
                <w:szCs w:val="24"/>
                <w:u w:val="single"/>
              </w:rPr>
              <w:t xml:space="preserve">  </w:t>
            </w:r>
            <w:r>
              <w:rPr>
                <w:rFonts w:hint="eastAsia" w:ascii="宋体" w:hAnsi="宋体" w:eastAsia="宋体" w:cs="宋体"/>
                <w:spacing w:val="-105"/>
                <w:sz w:val="24"/>
                <w:szCs w:val="24"/>
              </w:rPr>
              <w:t xml:space="preserve"> </w:t>
            </w:r>
            <w:r>
              <w:rPr>
                <w:rFonts w:hint="eastAsia" w:ascii="宋体" w:hAnsi="宋体" w:eastAsia="宋体" w:cs="宋体"/>
                <w:spacing w:val="-2"/>
                <w:sz w:val="24"/>
                <w:szCs w:val="24"/>
              </w:rPr>
              <w:t>天</w:t>
            </w:r>
          </w:p>
        </w:tc>
      </w:tr>
      <w:tr w14:paraId="64270E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92" w:hRule="atLeast"/>
        </w:trPr>
        <w:tc>
          <w:tcPr>
            <w:tcW w:w="732" w:type="dxa"/>
          </w:tcPr>
          <w:p w14:paraId="7EC07D65">
            <w:pPr>
              <w:pStyle w:val="29"/>
              <w:tabs>
                <w:tab w:val="left" w:pos="0"/>
              </w:tabs>
              <w:spacing w:line="245" w:lineRule="auto"/>
              <w:rPr>
                <w:rFonts w:hint="eastAsia" w:ascii="宋体" w:hAnsi="宋体" w:eastAsia="宋体" w:cs="宋体"/>
                <w:sz w:val="24"/>
                <w:szCs w:val="24"/>
                <w:lang w:eastAsia="zh-CN"/>
              </w:rPr>
            </w:pPr>
          </w:p>
          <w:p w14:paraId="23408002">
            <w:pPr>
              <w:pStyle w:val="29"/>
              <w:tabs>
                <w:tab w:val="left" w:pos="0"/>
              </w:tabs>
              <w:spacing w:line="245" w:lineRule="auto"/>
              <w:rPr>
                <w:rFonts w:hint="eastAsia" w:ascii="宋体" w:hAnsi="宋体" w:eastAsia="宋体" w:cs="宋体"/>
                <w:sz w:val="24"/>
                <w:szCs w:val="24"/>
                <w:lang w:eastAsia="zh-CN"/>
              </w:rPr>
            </w:pPr>
          </w:p>
          <w:p w14:paraId="22AD7B8E">
            <w:pPr>
              <w:pStyle w:val="29"/>
              <w:tabs>
                <w:tab w:val="left" w:pos="0"/>
              </w:tabs>
              <w:spacing w:line="245" w:lineRule="auto"/>
              <w:rPr>
                <w:rFonts w:hint="eastAsia" w:ascii="宋体" w:hAnsi="宋体" w:eastAsia="宋体" w:cs="宋体"/>
                <w:sz w:val="24"/>
                <w:szCs w:val="24"/>
                <w:lang w:eastAsia="zh-CN"/>
              </w:rPr>
            </w:pPr>
          </w:p>
          <w:p w14:paraId="1AB3EA47">
            <w:pPr>
              <w:pStyle w:val="29"/>
              <w:tabs>
                <w:tab w:val="left" w:pos="0"/>
              </w:tabs>
              <w:spacing w:line="245" w:lineRule="auto"/>
              <w:rPr>
                <w:rFonts w:hint="eastAsia" w:ascii="宋体" w:hAnsi="宋体" w:eastAsia="宋体" w:cs="宋体"/>
                <w:sz w:val="24"/>
                <w:szCs w:val="24"/>
                <w:lang w:eastAsia="zh-CN"/>
              </w:rPr>
            </w:pPr>
          </w:p>
          <w:p w14:paraId="050A35C3">
            <w:pPr>
              <w:pStyle w:val="29"/>
              <w:tabs>
                <w:tab w:val="left" w:pos="0"/>
              </w:tabs>
              <w:spacing w:line="245" w:lineRule="auto"/>
              <w:rPr>
                <w:rFonts w:hint="eastAsia" w:ascii="宋体" w:hAnsi="宋体" w:eastAsia="宋体" w:cs="宋体"/>
                <w:sz w:val="24"/>
                <w:szCs w:val="24"/>
                <w:lang w:eastAsia="zh-CN"/>
              </w:rPr>
            </w:pPr>
          </w:p>
          <w:p w14:paraId="46ABAF92">
            <w:pPr>
              <w:pStyle w:val="29"/>
              <w:tabs>
                <w:tab w:val="left" w:pos="0"/>
              </w:tabs>
              <w:spacing w:line="245" w:lineRule="auto"/>
              <w:rPr>
                <w:rFonts w:hint="eastAsia" w:ascii="宋体" w:hAnsi="宋体" w:eastAsia="宋体" w:cs="宋体"/>
                <w:sz w:val="24"/>
                <w:szCs w:val="24"/>
                <w:lang w:eastAsia="zh-CN"/>
              </w:rPr>
            </w:pPr>
          </w:p>
          <w:p w14:paraId="36A91980">
            <w:pPr>
              <w:pStyle w:val="29"/>
              <w:tabs>
                <w:tab w:val="left" w:pos="0"/>
              </w:tabs>
              <w:spacing w:line="246" w:lineRule="auto"/>
              <w:rPr>
                <w:rFonts w:hint="eastAsia" w:ascii="宋体" w:hAnsi="宋体" w:eastAsia="宋体" w:cs="宋体"/>
                <w:sz w:val="24"/>
                <w:szCs w:val="24"/>
                <w:lang w:eastAsia="zh-CN"/>
              </w:rPr>
            </w:pPr>
          </w:p>
          <w:p w14:paraId="603F09CC">
            <w:pPr>
              <w:pStyle w:val="29"/>
              <w:tabs>
                <w:tab w:val="left" w:pos="0"/>
              </w:tabs>
              <w:spacing w:line="246" w:lineRule="auto"/>
              <w:rPr>
                <w:rFonts w:hint="eastAsia" w:ascii="宋体" w:hAnsi="宋体" w:eastAsia="宋体" w:cs="宋体"/>
                <w:sz w:val="24"/>
                <w:szCs w:val="24"/>
                <w:lang w:eastAsia="zh-CN"/>
              </w:rPr>
            </w:pPr>
          </w:p>
          <w:p w14:paraId="3E00BA8C">
            <w:pPr>
              <w:pStyle w:val="29"/>
              <w:tabs>
                <w:tab w:val="left" w:pos="0"/>
              </w:tabs>
              <w:spacing w:line="246" w:lineRule="auto"/>
              <w:rPr>
                <w:rFonts w:hint="eastAsia" w:ascii="宋体" w:hAnsi="宋体" w:eastAsia="宋体" w:cs="宋体"/>
                <w:sz w:val="24"/>
                <w:szCs w:val="24"/>
                <w:lang w:eastAsia="zh-CN"/>
              </w:rPr>
            </w:pPr>
          </w:p>
          <w:p w14:paraId="18ABA4FE">
            <w:pPr>
              <w:pStyle w:val="29"/>
              <w:tabs>
                <w:tab w:val="left" w:pos="0"/>
              </w:tabs>
              <w:spacing w:line="246" w:lineRule="auto"/>
              <w:rPr>
                <w:rFonts w:hint="eastAsia" w:ascii="宋体" w:hAnsi="宋体" w:eastAsia="宋体" w:cs="宋体"/>
                <w:sz w:val="24"/>
                <w:szCs w:val="24"/>
                <w:lang w:eastAsia="zh-CN"/>
              </w:rPr>
            </w:pPr>
          </w:p>
          <w:p w14:paraId="7E9DADC9">
            <w:pPr>
              <w:pStyle w:val="29"/>
              <w:tabs>
                <w:tab w:val="left" w:pos="0"/>
              </w:tabs>
              <w:spacing w:line="246" w:lineRule="auto"/>
              <w:rPr>
                <w:rFonts w:hint="eastAsia" w:ascii="宋体" w:hAnsi="宋体" w:eastAsia="宋体" w:cs="宋体"/>
                <w:sz w:val="24"/>
                <w:szCs w:val="24"/>
                <w:lang w:eastAsia="zh-CN"/>
              </w:rPr>
            </w:pPr>
          </w:p>
          <w:p w14:paraId="749F5660">
            <w:pPr>
              <w:spacing w:before="69" w:line="188" w:lineRule="auto"/>
              <w:ind w:left="319"/>
              <w:rPr>
                <w:rFonts w:hint="eastAsia" w:ascii="宋体" w:hAnsi="宋体" w:eastAsia="宋体" w:cs="宋体"/>
                <w:sz w:val="24"/>
                <w:szCs w:val="24"/>
              </w:rPr>
            </w:pPr>
            <w:r>
              <w:rPr>
                <w:rFonts w:hint="eastAsia" w:ascii="宋体" w:hAnsi="宋体" w:eastAsia="宋体" w:cs="宋体"/>
                <w:sz w:val="24"/>
                <w:szCs w:val="24"/>
              </w:rPr>
              <w:t>8</w:t>
            </w:r>
          </w:p>
        </w:tc>
        <w:tc>
          <w:tcPr>
            <w:tcW w:w="975" w:type="dxa"/>
          </w:tcPr>
          <w:p w14:paraId="383ACDF8">
            <w:pPr>
              <w:pStyle w:val="29"/>
              <w:tabs>
                <w:tab w:val="left" w:pos="0"/>
              </w:tabs>
              <w:spacing w:line="245" w:lineRule="auto"/>
              <w:rPr>
                <w:rFonts w:hint="eastAsia" w:ascii="宋体" w:hAnsi="宋体" w:eastAsia="宋体" w:cs="宋体"/>
                <w:sz w:val="24"/>
                <w:szCs w:val="24"/>
              </w:rPr>
            </w:pPr>
          </w:p>
          <w:p w14:paraId="1BFB9B19">
            <w:pPr>
              <w:pStyle w:val="29"/>
              <w:tabs>
                <w:tab w:val="left" w:pos="0"/>
              </w:tabs>
              <w:spacing w:line="245" w:lineRule="auto"/>
              <w:rPr>
                <w:rFonts w:hint="eastAsia" w:ascii="宋体" w:hAnsi="宋体" w:eastAsia="宋体" w:cs="宋体"/>
                <w:sz w:val="24"/>
                <w:szCs w:val="24"/>
              </w:rPr>
            </w:pPr>
          </w:p>
          <w:p w14:paraId="06203E74">
            <w:pPr>
              <w:pStyle w:val="29"/>
              <w:tabs>
                <w:tab w:val="left" w:pos="0"/>
              </w:tabs>
              <w:spacing w:line="245" w:lineRule="auto"/>
              <w:rPr>
                <w:rFonts w:hint="eastAsia" w:ascii="宋体" w:hAnsi="宋体" w:eastAsia="宋体" w:cs="宋体"/>
                <w:sz w:val="24"/>
                <w:szCs w:val="24"/>
              </w:rPr>
            </w:pPr>
          </w:p>
          <w:p w14:paraId="208D28D1">
            <w:pPr>
              <w:pStyle w:val="29"/>
              <w:tabs>
                <w:tab w:val="left" w:pos="0"/>
              </w:tabs>
              <w:spacing w:line="245" w:lineRule="auto"/>
              <w:rPr>
                <w:rFonts w:hint="eastAsia" w:ascii="宋体" w:hAnsi="宋体" w:eastAsia="宋体" w:cs="宋体"/>
                <w:sz w:val="24"/>
                <w:szCs w:val="24"/>
              </w:rPr>
            </w:pPr>
          </w:p>
          <w:p w14:paraId="50374F31">
            <w:pPr>
              <w:pStyle w:val="29"/>
              <w:tabs>
                <w:tab w:val="left" w:pos="0"/>
              </w:tabs>
              <w:spacing w:line="245" w:lineRule="auto"/>
              <w:rPr>
                <w:rFonts w:hint="eastAsia" w:ascii="宋体" w:hAnsi="宋体" w:eastAsia="宋体" w:cs="宋体"/>
                <w:sz w:val="24"/>
                <w:szCs w:val="24"/>
              </w:rPr>
            </w:pPr>
          </w:p>
          <w:p w14:paraId="5B58B5A8">
            <w:pPr>
              <w:pStyle w:val="29"/>
              <w:tabs>
                <w:tab w:val="left" w:pos="0"/>
              </w:tabs>
              <w:spacing w:line="245" w:lineRule="auto"/>
              <w:rPr>
                <w:rFonts w:hint="eastAsia" w:ascii="宋体" w:hAnsi="宋体" w:eastAsia="宋体" w:cs="宋体"/>
                <w:sz w:val="24"/>
                <w:szCs w:val="24"/>
              </w:rPr>
            </w:pPr>
          </w:p>
          <w:p w14:paraId="4A2EFEBE">
            <w:pPr>
              <w:pStyle w:val="29"/>
              <w:tabs>
                <w:tab w:val="left" w:pos="0"/>
              </w:tabs>
              <w:spacing w:line="246" w:lineRule="auto"/>
              <w:rPr>
                <w:rFonts w:hint="eastAsia" w:ascii="宋体" w:hAnsi="宋体" w:eastAsia="宋体" w:cs="宋体"/>
                <w:sz w:val="24"/>
                <w:szCs w:val="24"/>
              </w:rPr>
            </w:pPr>
          </w:p>
          <w:p w14:paraId="38F475E5">
            <w:pPr>
              <w:pStyle w:val="29"/>
              <w:tabs>
                <w:tab w:val="left" w:pos="0"/>
              </w:tabs>
              <w:spacing w:line="246" w:lineRule="auto"/>
              <w:rPr>
                <w:rFonts w:hint="eastAsia" w:ascii="宋体" w:hAnsi="宋体" w:eastAsia="宋体" w:cs="宋体"/>
                <w:sz w:val="24"/>
                <w:szCs w:val="24"/>
              </w:rPr>
            </w:pPr>
          </w:p>
          <w:p w14:paraId="4489A520">
            <w:pPr>
              <w:pStyle w:val="29"/>
              <w:tabs>
                <w:tab w:val="left" w:pos="0"/>
              </w:tabs>
              <w:spacing w:line="246" w:lineRule="auto"/>
              <w:rPr>
                <w:rFonts w:hint="eastAsia" w:ascii="宋体" w:hAnsi="宋体" w:eastAsia="宋体" w:cs="宋体"/>
                <w:sz w:val="24"/>
                <w:szCs w:val="24"/>
              </w:rPr>
            </w:pPr>
          </w:p>
          <w:p w14:paraId="378FDEE1">
            <w:pPr>
              <w:pStyle w:val="29"/>
              <w:tabs>
                <w:tab w:val="left" w:pos="0"/>
              </w:tabs>
              <w:spacing w:line="246" w:lineRule="auto"/>
              <w:rPr>
                <w:rFonts w:hint="eastAsia" w:ascii="宋体" w:hAnsi="宋体" w:eastAsia="宋体" w:cs="宋体"/>
                <w:sz w:val="24"/>
                <w:szCs w:val="24"/>
              </w:rPr>
            </w:pPr>
          </w:p>
          <w:p w14:paraId="13BBF243">
            <w:pPr>
              <w:pStyle w:val="29"/>
              <w:tabs>
                <w:tab w:val="left" w:pos="0"/>
              </w:tabs>
              <w:spacing w:line="246" w:lineRule="auto"/>
              <w:rPr>
                <w:rFonts w:hint="eastAsia" w:ascii="宋体" w:hAnsi="宋体" w:eastAsia="宋体" w:cs="宋体"/>
                <w:sz w:val="24"/>
                <w:szCs w:val="24"/>
              </w:rPr>
            </w:pPr>
          </w:p>
          <w:p w14:paraId="7E63C0DA">
            <w:pPr>
              <w:spacing w:before="69" w:line="188" w:lineRule="auto"/>
              <w:ind w:left="188"/>
              <w:rPr>
                <w:rFonts w:hint="eastAsia" w:ascii="宋体" w:hAnsi="宋体" w:eastAsia="宋体" w:cs="宋体"/>
                <w:sz w:val="24"/>
                <w:szCs w:val="24"/>
              </w:rPr>
            </w:pPr>
            <w:r>
              <w:rPr>
                <w:rFonts w:hint="eastAsia" w:ascii="宋体" w:hAnsi="宋体" w:eastAsia="宋体" w:cs="宋体"/>
                <w:spacing w:val="-1"/>
                <w:sz w:val="24"/>
                <w:szCs w:val="24"/>
              </w:rPr>
              <w:t>4.1.12</w:t>
            </w:r>
          </w:p>
        </w:tc>
        <w:tc>
          <w:tcPr>
            <w:tcW w:w="7759" w:type="dxa"/>
          </w:tcPr>
          <w:p w14:paraId="7728BFC5">
            <w:pPr>
              <w:spacing w:before="126" w:line="219" w:lineRule="auto"/>
              <w:ind w:left="115"/>
              <w:rPr>
                <w:rFonts w:hint="eastAsia" w:ascii="宋体" w:hAnsi="宋体" w:eastAsia="宋体" w:cs="宋体"/>
                <w:sz w:val="24"/>
                <w:szCs w:val="24"/>
              </w:rPr>
            </w:pPr>
            <w:r>
              <w:rPr>
                <w:rFonts w:hint="eastAsia" w:ascii="宋体" w:hAnsi="宋体" w:eastAsia="宋体" w:cs="宋体"/>
                <w:spacing w:val="-1"/>
                <w:sz w:val="24"/>
                <w:szCs w:val="24"/>
              </w:rPr>
              <w:t>合同约定的绩效服务水平为：</w:t>
            </w:r>
          </w:p>
          <w:p w14:paraId="5D6C20E3">
            <w:pPr>
              <w:spacing w:before="115" w:line="217" w:lineRule="auto"/>
              <w:ind w:left="113"/>
              <w:rPr>
                <w:rFonts w:hint="eastAsia" w:ascii="宋体" w:hAnsi="宋体" w:eastAsia="宋体" w:cs="宋体"/>
                <w:sz w:val="24"/>
                <w:szCs w:val="24"/>
              </w:rPr>
            </w:pPr>
            <w:r>
              <w:rPr>
                <w:rFonts w:hint="eastAsia" w:ascii="宋体" w:hAnsi="宋体" w:eastAsia="宋体" w:cs="宋体"/>
                <w:spacing w:val="-1"/>
                <w:sz w:val="24"/>
                <w:szCs w:val="24"/>
              </w:rPr>
              <w:t>① 公路技术状况要求：</w:t>
            </w:r>
          </w:p>
          <w:p w14:paraId="20C03306">
            <w:pPr>
              <w:spacing w:before="118" w:line="219" w:lineRule="auto"/>
              <w:ind w:left="347" w:leftChars="55" w:hanging="232" w:hangingChars="100"/>
              <w:rPr>
                <w:rFonts w:hint="eastAsia" w:ascii="宋体" w:hAnsi="宋体" w:eastAsia="宋体" w:cs="宋体"/>
                <w:color w:val="auto"/>
                <w:sz w:val="24"/>
                <w:szCs w:val="24"/>
                <w:highlight w:val="none"/>
                <w:u w:val="single"/>
                <w:lang w:val="en-US" w:eastAsia="zh-CN"/>
              </w:rPr>
            </w:pPr>
            <w:r>
              <w:rPr>
                <w:rFonts w:hint="eastAsia" w:ascii="宋体" w:hAnsi="宋体" w:eastAsia="宋体" w:cs="宋体"/>
                <w:spacing w:val="-4"/>
                <w:sz w:val="24"/>
                <w:szCs w:val="24"/>
              </w:rPr>
              <w:t>路基：</w:t>
            </w:r>
            <w:r>
              <w:rPr>
                <w:rFonts w:hint="eastAsia" w:ascii="宋体" w:hAnsi="宋体" w:eastAsia="宋体" w:cs="宋体"/>
                <w:sz w:val="24"/>
                <w:szCs w:val="24"/>
                <w:highlight w:val="none"/>
                <w:u w:val="single"/>
              </w:rPr>
              <w:t>广西壮族自治区桂林公路发展中心</w:t>
            </w:r>
            <w:r>
              <w:rPr>
                <w:rFonts w:hint="eastAsia" w:ascii="宋体" w:hAnsi="宋体" w:eastAsia="宋体" w:cs="宋体"/>
                <w:color w:val="auto"/>
                <w:sz w:val="24"/>
                <w:szCs w:val="24"/>
                <w:highlight w:val="none"/>
                <w:u w:val="single"/>
                <w:lang w:val="en-US" w:eastAsia="zh-CN"/>
              </w:rPr>
              <w:t>下达的年度考核要求</w:t>
            </w:r>
            <w:r>
              <w:rPr>
                <w:rFonts w:hint="eastAsia" w:ascii="宋体" w:hAnsi="宋体" w:eastAsia="宋体" w:cs="宋体"/>
                <w:color w:val="auto"/>
                <w:sz w:val="24"/>
                <w:szCs w:val="24"/>
                <w:highlight w:val="none"/>
                <w:u w:val="single"/>
                <w:lang w:eastAsia="zh-CN"/>
              </w:rPr>
              <w:t>。</w:t>
            </w:r>
          </w:p>
          <w:p w14:paraId="1172B00B">
            <w:pPr>
              <w:spacing w:before="118" w:line="219" w:lineRule="auto"/>
              <w:ind w:left="347" w:leftChars="55" w:hanging="232" w:hangingChars="100"/>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路面：</w:t>
            </w:r>
            <w:r>
              <w:rPr>
                <w:rFonts w:hint="eastAsia" w:ascii="宋体" w:hAnsi="宋体" w:eastAsia="宋体" w:cs="宋体"/>
                <w:sz w:val="24"/>
                <w:szCs w:val="24"/>
                <w:highlight w:val="none"/>
                <w:u w:val="single"/>
              </w:rPr>
              <w:t>广西壮族自治区桂林公路发展中心</w:t>
            </w:r>
            <w:r>
              <w:rPr>
                <w:rFonts w:hint="eastAsia" w:ascii="宋体" w:hAnsi="宋体" w:eastAsia="宋体" w:cs="宋体"/>
                <w:color w:val="auto"/>
                <w:sz w:val="24"/>
                <w:szCs w:val="24"/>
                <w:highlight w:val="none"/>
                <w:u w:val="single"/>
                <w:lang w:val="en-US" w:eastAsia="zh-CN"/>
              </w:rPr>
              <w:t>下达的年度考核要求</w:t>
            </w:r>
            <w:r>
              <w:rPr>
                <w:rFonts w:hint="eastAsia" w:ascii="宋体" w:hAnsi="宋体" w:eastAsia="宋体" w:cs="宋体"/>
                <w:color w:val="auto"/>
                <w:sz w:val="24"/>
                <w:szCs w:val="24"/>
                <w:highlight w:val="none"/>
                <w:u w:val="single"/>
                <w:lang w:eastAsia="zh-CN"/>
              </w:rPr>
              <w:t>。</w:t>
            </w:r>
          </w:p>
          <w:p w14:paraId="13529120">
            <w:pPr>
              <w:spacing w:before="117" w:line="219" w:lineRule="auto"/>
              <w:ind w:left="114"/>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桥梁、涵洞：</w:t>
            </w:r>
            <w:r>
              <w:rPr>
                <w:rFonts w:hint="eastAsia" w:ascii="宋体" w:hAnsi="宋体" w:eastAsia="宋体" w:cs="宋体"/>
                <w:sz w:val="24"/>
                <w:szCs w:val="24"/>
                <w:highlight w:val="none"/>
                <w:u w:val="single"/>
              </w:rPr>
              <w:t>广西壮族自治区桂林公路发展中心</w:t>
            </w:r>
            <w:r>
              <w:rPr>
                <w:rFonts w:hint="eastAsia" w:ascii="宋体" w:hAnsi="宋体" w:eastAsia="宋体" w:cs="宋体"/>
                <w:color w:val="auto"/>
                <w:sz w:val="24"/>
                <w:szCs w:val="24"/>
                <w:highlight w:val="none"/>
                <w:u w:val="single"/>
                <w:lang w:val="en-US" w:eastAsia="zh-CN"/>
              </w:rPr>
              <w:t>下达的年度考核要求</w:t>
            </w:r>
            <w:r>
              <w:rPr>
                <w:rFonts w:hint="eastAsia" w:ascii="宋体" w:hAnsi="宋体" w:eastAsia="宋体" w:cs="宋体"/>
                <w:color w:val="auto"/>
                <w:sz w:val="24"/>
                <w:szCs w:val="24"/>
                <w:highlight w:val="none"/>
                <w:u w:val="single"/>
                <w:lang w:eastAsia="zh-CN"/>
              </w:rPr>
              <w:t>。</w:t>
            </w:r>
          </w:p>
          <w:p w14:paraId="54CB1466">
            <w:pPr>
              <w:spacing w:before="116" w:line="221" w:lineRule="auto"/>
              <w:ind w:left="126"/>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隧道：</w:t>
            </w:r>
            <w:r>
              <w:rPr>
                <w:rFonts w:hint="eastAsia" w:ascii="宋体" w:hAnsi="宋体" w:eastAsia="宋体" w:cs="宋体"/>
                <w:sz w:val="24"/>
                <w:szCs w:val="24"/>
                <w:highlight w:val="none"/>
                <w:u w:val="single"/>
              </w:rPr>
              <w:t>广西壮族自治区桂林公路发展中心</w:t>
            </w:r>
            <w:r>
              <w:rPr>
                <w:rFonts w:hint="eastAsia" w:ascii="宋体" w:hAnsi="宋体" w:eastAsia="宋体" w:cs="宋体"/>
                <w:color w:val="auto"/>
                <w:sz w:val="24"/>
                <w:szCs w:val="24"/>
                <w:highlight w:val="none"/>
                <w:u w:val="single"/>
                <w:lang w:val="en-US" w:eastAsia="zh-CN"/>
              </w:rPr>
              <w:t>下达的年度考核要求</w:t>
            </w:r>
            <w:r>
              <w:rPr>
                <w:rFonts w:hint="eastAsia" w:ascii="宋体" w:hAnsi="宋体" w:eastAsia="宋体" w:cs="宋体"/>
                <w:color w:val="auto"/>
                <w:sz w:val="24"/>
                <w:szCs w:val="24"/>
                <w:highlight w:val="none"/>
                <w:u w:val="single"/>
                <w:lang w:eastAsia="zh-CN"/>
              </w:rPr>
              <w:t>。</w:t>
            </w:r>
          </w:p>
          <w:p w14:paraId="3DC92144">
            <w:pPr>
              <w:spacing w:before="110" w:line="220" w:lineRule="auto"/>
              <w:ind w:left="115"/>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沿线设施：</w:t>
            </w:r>
            <w:r>
              <w:rPr>
                <w:rFonts w:hint="eastAsia" w:ascii="宋体" w:hAnsi="宋体" w:eastAsia="宋体" w:cs="宋体"/>
                <w:sz w:val="24"/>
                <w:szCs w:val="24"/>
                <w:highlight w:val="none"/>
                <w:u w:val="single"/>
              </w:rPr>
              <w:t>广西壮族自治区桂林公路发展中心</w:t>
            </w:r>
            <w:r>
              <w:rPr>
                <w:rFonts w:hint="eastAsia" w:ascii="宋体" w:hAnsi="宋体" w:eastAsia="宋体" w:cs="宋体"/>
                <w:color w:val="auto"/>
                <w:sz w:val="24"/>
                <w:szCs w:val="24"/>
                <w:highlight w:val="none"/>
                <w:u w:val="single"/>
                <w:lang w:val="en-US" w:eastAsia="zh-CN"/>
              </w:rPr>
              <w:t>下达的年度考核要求</w:t>
            </w:r>
            <w:r>
              <w:rPr>
                <w:rFonts w:hint="eastAsia" w:ascii="宋体" w:hAnsi="宋体" w:eastAsia="宋体" w:cs="宋体"/>
                <w:color w:val="auto"/>
                <w:sz w:val="24"/>
                <w:szCs w:val="24"/>
                <w:highlight w:val="none"/>
                <w:u w:val="single"/>
                <w:lang w:eastAsia="zh-CN"/>
              </w:rPr>
              <w:t>。</w:t>
            </w:r>
          </w:p>
          <w:p w14:paraId="304E8009">
            <w:pPr>
              <w:spacing w:before="115" w:line="220" w:lineRule="auto"/>
              <w:ind w:left="115"/>
              <w:rPr>
                <w:rFonts w:hint="eastAsia" w:ascii="宋体" w:hAnsi="宋体" w:eastAsia="宋体" w:cs="宋体"/>
                <w:sz w:val="24"/>
                <w:szCs w:val="24"/>
              </w:rPr>
            </w:pPr>
            <w:r>
              <w:rPr>
                <w:rFonts w:hint="eastAsia" w:ascii="宋体" w:hAnsi="宋体" w:eastAsia="宋体" w:cs="宋体"/>
                <w:spacing w:val="-3"/>
                <w:sz w:val="24"/>
                <w:szCs w:val="24"/>
                <w:highlight w:val="none"/>
              </w:rPr>
              <w:t>其他设施：</w:t>
            </w:r>
            <w:r>
              <w:rPr>
                <w:rFonts w:hint="eastAsia" w:ascii="宋体" w:hAnsi="宋体" w:eastAsia="宋体" w:cs="宋体"/>
                <w:sz w:val="24"/>
                <w:szCs w:val="24"/>
                <w:highlight w:val="none"/>
                <w:u w:val="single"/>
              </w:rPr>
              <w:t>广西壮族自治区桂林公路发展中心</w:t>
            </w:r>
            <w:r>
              <w:rPr>
                <w:rFonts w:hint="eastAsia" w:ascii="宋体" w:hAnsi="宋体" w:eastAsia="宋体" w:cs="宋体"/>
                <w:color w:val="auto"/>
                <w:sz w:val="24"/>
                <w:szCs w:val="24"/>
                <w:highlight w:val="none"/>
                <w:u w:val="single"/>
                <w:lang w:val="en-US" w:eastAsia="zh-CN"/>
              </w:rPr>
              <w:t>下</w:t>
            </w:r>
            <w:r>
              <w:rPr>
                <w:rFonts w:hint="eastAsia" w:ascii="宋体" w:hAnsi="宋体" w:eastAsia="宋体" w:cs="宋体"/>
                <w:color w:val="auto"/>
                <w:sz w:val="24"/>
                <w:szCs w:val="24"/>
                <w:u w:val="single"/>
                <w:lang w:val="en-US" w:eastAsia="zh-CN"/>
              </w:rPr>
              <w:t>达的年度考核要求</w:t>
            </w:r>
            <w:r>
              <w:rPr>
                <w:rFonts w:hint="eastAsia" w:ascii="宋体" w:hAnsi="宋体" w:eastAsia="宋体" w:cs="宋体"/>
                <w:color w:val="auto"/>
                <w:sz w:val="24"/>
                <w:szCs w:val="24"/>
                <w:u w:val="single"/>
              </w:rPr>
              <w:t>。</w:t>
            </w:r>
          </w:p>
          <w:p w14:paraId="5B0979CE">
            <w:pPr>
              <w:spacing w:before="115" w:line="217" w:lineRule="auto"/>
              <w:ind w:left="112"/>
              <w:rPr>
                <w:rFonts w:hint="eastAsia" w:ascii="宋体" w:hAnsi="宋体" w:eastAsia="宋体" w:cs="宋体"/>
                <w:sz w:val="24"/>
                <w:szCs w:val="24"/>
              </w:rPr>
            </w:pPr>
            <w:r>
              <w:rPr>
                <w:rFonts w:hint="eastAsia" w:ascii="宋体" w:hAnsi="宋体" w:eastAsia="宋体" w:cs="宋体"/>
                <w:spacing w:val="-1"/>
                <w:sz w:val="24"/>
                <w:szCs w:val="24"/>
              </w:rPr>
              <w:t>② 公路设施完好要求：</w:t>
            </w:r>
            <w:r>
              <w:rPr>
                <w:rFonts w:hint="eastAsia" w:ascii="宋体" w:hAnsi="宋体" w:eastAsia="宋体" w:cs="宋体"/>
                <w:kern w:val="0"/>
                <w:sz w:val="24"/>
                <w:szCs w:val="24"/>
                <w:u w:val="single"/>
                <w:lang w:val="en-US" w:eastAsia="zh-CN"/>
              </w:rPr>
              <w:t>达到</w:t>
            </w:r>
            <w:r>
              <w:rPr>
                <w:rFonts w:hint="eastAsia" w:ascii="宋体" w:hAnsi="宋体" w:eastAsia="宋体" w:cs="宋体"/>
                <w:color w:val="auto"/>
                <w:sz w:val="24"/>
                <w:szCs w:val="24"/>
                <w:u w:val="single"/>
              </w:rPr>
              <w:t>《公路养护技术标准》（JTG 5110－2023）</w:t>
            </w:r>
            <w:r>
              <w:rPr>
                <w:rFonts w:hint="eastAsia" w:ascii="宋体" w:hAnsi="宋体" w:eastAsia="宋体" w:cs="宋体"/>
                <w:color w:val="auto"/>
                <w:sz w:val="24"/>
                <w:szCs w:val="24"/>
                <w:u w:val="single"/>
                <w:lang w:eastAsia="zh-CN"/>
              </w:rPr>
              <w:t>、</w:t>
            </w:r>
            <w:r>
              <w:rPr>
                <w:rFonts w:hint="eastAsia" w:ascii="宋体" w:hAnsi="宋体" w:eastAsia="宋体" w:cs="宋体"/>
                <w:sz w:val="24"/>
                <w:szCs w:val="24"/>
                <w:u w:val="single"/>
              </w:rPr>
              <w:t>《广西壮族自治区桂林公路发展中心公路养护服务</w:t>
            </w:r>
            <w:r>
              <w:rPr>
                <w:rFonts w:hint="eastAsia" w:ascii="宋体" w:hAnsi="宋体" w:eastAsia="宋体" w:cs="宋体"/>
                <w:sz w:val="24"/>
                <w:szCs w:val="24"/>
                <w:u w:val="single"/>
                <w:lang w:val="en-US" w:eastAsia="zh-CN"/>
              </w:rPr>
              <w:t>工作要求及考核办法</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的相关要求</w:t>
            </w:r>
            <w:r>
              <w:rPr>
                <w:rFonts w:hint="eastAsia" w:ascii="宋体" w:hAnsi="宋体" w:eastAsia="宋体" w:cs="宋体"/>
                <w:color w:val="auto"/>
                <w:sz w:val="24"/>
                <w:szCs w:val="24"/>
                <w:u w:val="single"/>
                <w:lang w:eastAsia="zh-CN"/>
              </w:rPr>
              <w:t>。</w:t>
            </w:r>
          </w:p>
          <w:p w14:paraId="6B5CE984">
            <w:pPr>
              <w:tabs>
                <w:tab w:val="left" w:pos="0"/>
              </w:tabs>
              <w:spacing w:before="116"/>
              <w:rPr>
                <w:rFonts w:hint="eastAsia" w:ascii="宋体" w:hAnsi="宋体" w:eastAsia="宋体" w:cs="宋体"/>
                <w:sz w:val="24"/>
                <w:szCs w:val="24"/>
              </w:rPr>
            </w:pPr>
            <w:r>
              <w:rPr>
                <w:rFonts w:hint="eastAsia" w:ascii="宋体" w:hAnsi="宋体" w:eastAsia="宋体" w:cs="宋体"/>
                <w:spacing w:val="-1"/>
                <w:sz w:val="24"/>
                <w:szCs w:val="24"/>
              </w:rPr>
              <w:t>③ 公路设施洁净要求：</w:t>
            </w:r>
            <w:r>
              <w:rPr>
                <w:rFonts w:hint="eastAsia" w:ascii="宋体" w:hAnsi="宋体" w:eastAsia="宋体" w:cs="宋体"/>
                <w:kern w:val="0"/>
                <w:sz w:val="24"/>
                <w:szCs w:val="24"/>
                <w:u w:val="single"/>
                <w:lang w:val="en-US" w:eastAsia="zh-CN"/>
              </w:rPr>
              <w:t>达到</w:t>
            </w:r>
            <w:r>
              <w:rPr>
                <w:rFonts w:hint="eastAsia" w:ascii="宋体" w:hAnsi="宋体" w:eastAsia="宋体" w:cs="宋体"/>
                <w:color w:val="auto"/>
                <w:sz w:val="24"/>
                <w:szCs w:val="24"/>
                <w:u w:val="single"/>
              </w:rPr>
              <w:t>《公路养护技术标准》（JTG 5110－2023）</w:t>
            </w:r>
            <w:r>
              <w:rPr>
                <w:rFonts w:hint="eastAsia" w:ascii="宋体" w:hAnsi="宋体" w:eastAsia="宋体" w:cs="宋体"/>
                <w:color w:val="auto"/>
                <w:sz w:val="24"/>
                <w:szCs w:val="24"/>
                <w:u w:val="single"/>
                <w:lang w:eastAsia="zh-CN"/>
              </w:rPr>
              <w:t>、</w:t>
            </w:r>
            <w:r>
              <w:rPr>
                <w:rFonts w:hint="eastAsia" w:ascii="宋体" w:hAnsi="宋体" w:eastAsia="宋体" w:cs="宋体"/>
                <w:sz w:val="24"/>
                <w:szCs w:val="24"/>
                <w:u w:val="single"/>
              </w:rPr>
              <w:t>《广西壮族自治区桂林公路发展中心公路养护服务</w:t>
            </w:r>
            <w:r>
              <w:rPr>
                <w:rFonts w:hint="eastAsia" w:ascii="宋体" w:hAnsi="宋体" w:eastAsia="宋体" w:cs="宋体"/>
                <w:sz w:val="24"/>
                <w:szCs w:val="24"/>
                <w:u w:val="single"/>
                <w:lang w:val="en-US" w:eastAsia="zh-CN"/>
              </w:rPr>
              <w:t>工作要求及考核办法</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的相关要求</w:t>
            </w:r>
            <w:r>
              <w:rPr>
                <w:rFonts w:hint="eastAsia" w:ascii="宋体" w:hAnsi="宋体" w:eastAsia="宋体" w:cs="宋体"/>
                <w:color w:val="auto"/>
                <w:sz w:val="24"/>
                <w:szCs w:val="24"/>
                <w:u w:val="single"/>
                <w:lang w:eastAsia="zh-CN"/>
              </w:rPr>
              <w:t>。</w:t>
            </w:r>
          </w:p>
          <w:p w14:paraId="194F4D60">
            <w:pPr>
              <w:spacing w:before="119" w:line="217" w:lineRule="auto"/>
              <w:ind w:left="112"/>
              <w:rPr>
                <w:rFonts w:hint="eastAsia" w:ascii="宋体" w:hAnsi="宋体" w:eastAsia="宋体" w:cs="宋体"/>
                <w:sz w:val="24"/>
                <w:szCs w:val="24"/>
                <w:u w:val="single"/>
              </w:rPr>
            </w:pPr>
            <w:r>
              <w:rPr>
                <w:rFonts w:hint="eastAsia" w:ascii="宋体" w:hAnsi="宋体" w:eastAsia="宋体" w:cs="宋体"/>
                <w:spacing w:val="-1"/>
                <w:sz w:val="24"/>
                <w:szCs w:val="24"/>
              </w:rPr>
              <w:t>④ 养护内业管理要求：</w:t>
            </w:r>
            <w:r>
              <w:rPr>
                <w:rFonts w:hint="eastAsia" w:ascii="宋体" w:hAnsi="宋体" w:eastAsia="宋体" w:cs="宋体"/>
                <w:kern w:val="0"/>
                <w:sz w:val="24"/>
                <w:szCs w:val="24"/>
                <w:u w:val="single"/>
                <w:lang w:val="en-US" w:eastAsia="zh-CN"/>
              </w:rPr>
              <w:t>达到</w:t>
            </w:r>
            <w:r>
              <w:rPr>
                <w:rFonts w:hint="eastAsia" w:ascii="宋体" w:hAnsi="宋体" w:eastAsia="宋体" w:cs="宋体"/>
                <w:color w:val="auto"/>
                <w:sz w:val="24"/>
                <w:szCs w:val="24"/>
                <w:u w:val="single"/>
              </w:rPr>
              <w:t>《公路养护技术标准》（JTG 5110－2023）</w:t>
            </w:r>
            <w:r>
              <w:rPr>
                <w:rFonts w:hint="eastAsia" w:ascii="宋体" w:hAnsi="宋体" w:eastAsia="宋体" w:cs="宋体"/>
                <w:color w:val="auto"/>
                <w:sz w:val="24"/>
                <w:szCs w:val="24"/>
                <w:u w:val="single"/>
                <w:lang w:eastAsia="zh-CN"/>
              </w:rPr>
              <w:t>、</w:t>
            </w:r>
            <w:r>
              <w:rPr>
                <w:rFonts w:hint="eastAsia" w:ascii="宋体" w:hAnsi="宋体" w:eastAsia="宋体" w:cs="宋体"/>
                <w:sz w:val="24"/>
                <w:szCs w:val="24"/>
                <w:u w:val="single"/>
              </w:rPr>
              <w:t>《广西壮族自治区桂林公路发展中心公路养护服务</w:t>
            </w:r>
            <w:r>
              <w:rPr>
                <w:rFonts w:hint="eastAsia" w:ascii="宋体" w:hAnsi="宋体" w:eastAsia="宋体" w:cs="宋体"/>
                <w:sz w:val="24"/>
                <w:szCs w:val="24"/>
                <w:u w:val="single"/>
                <w:lang w:val="en-US" w:eastAsia="zh-CN"/>
              </w:rPr>
              <w:t>工作要求及考核办法</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的相关要求。</w:t>
            </w:r>
          </w:p>
          <w:p w14:paraId="673463C3">
            <w:pPr>
              <w:spacing w:before="119" w:line="217" w:lineRule="auto"/>
              <w:ind w:left="112"/>
              <w:rPr>
                <w:rFonts w:hint="eastAsia" w:ascii="宋体" w:hAnsi="宋体" w:eastAsia="宋体" w:cs="宋体"/>
                <w:sz w:val="24"/>
                <w:szCs w:val="24"/>
                <w:lang w:val="en-US" w:eastAsia="zh-CN"/>
              </w:rPr>
            </w:pPr>
            <w:r>
              <w:rPr>
                <w:rFonts w:hint="eastAsia" w:ascii="宋体" w:hAnsi="宋体" w:eastAsia="宋体" w:cs="宋体"/>
                <w:spacing w:val="-1"/>
                <w:sz w:val="24"/>
                <w:szCs w:val="24"/>
              </w:rPr>
              <w:t>⑤ 应急处置要求：</w:t>
            </w:r>
            <w:r>
              <w:rPr>
                <w:rFonts w:hint="eastAsia" w:ascii="宋体" w:hAnsi="宋体" w:eastAsia="宋体" w:cs="宋体"/>
                <w:kern w:val="0"/>
                <w:sz w:val="24"/>
                <w:szCs w:val="24"/>
                <w:u w:val="single"/>
                <w:lang w:val="en-US" w:eastAsia="zh-CN"/>
              </w:rPr>
              <w:t>达到</w:t>
            </w:r>
            <w:r>
              <w:rPr>
                <w:rFonts w:hint="eastAsia" w:ascii="宋体" w:hAnsi="宋体" w:eastAsia="宋体" w:cs="宋体"/>
                <w:color w:val="auto"/>
                <w:sz w:val="24"/>
                <w:szCs w:val="24"/>
                <w:u w:val="single"/>
              </w:rPr>
              <w:t>《公路养护技术标准》（JTG 5110－2023）</w:t>
            </w:r>
            <w:r>
              <w:rPr>
                <w:rFonts w:hint="eastAsia" w:ascii="宋体" w:hAnsi="宋体" w:eastAsia="宋体" w:cs="宋体"/>
                <w:color w:val="auto"/>
                <w:sz w:val="24"/>
                <w:szCs w:val="24"/>
                <w:u w:val="single"/>
                <w:lang w:eastAsia="zh-CN"/>
              </w:rPr>
              <w:t>、</w:t>
            </w:r>
            <w:r>
              <w:rPr>
                <w:rFonts w:hint="eastAsia" w:ascii="宋体" w:hAnsi="宋体" w:eastAsia="宋体" w:cs="宋体"/>
                <w:sz w:val="24"/>
                <w:szCs w:val="24"/>
                <w:u w:val="single"/>
              </w:rPr>
              <w:t>《广西壮族自治区桂林公路发展中心公路养护服务</w:t>
            </w:r>
            <w:r>
              <w:rPr>
                <w:rFonts w:hint="eastAsia" w:ascii="宋体" w:hAnsi="宋体" w:eastAsia="宋体" w:cs="宋体"/>
                <w:sz w:val="24"/>
                <w:szCs w:val="24"/>
                <w:u w:val="single"/>
                <w:lang w:val="en-US" w:eastAsia="zh-CN"/>
              </w:rPr>
              <w:t>工作要求及考核办法</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的相关要求。</w:t>
            </w:r>
          </w:p>
          <w:p w14:paraId="3D589A6B">
            <w:pPr>
              <w:spacing w:before="116" w:line="217" w:lineRule="auto"/>
              <w:ind w:left="112"/>
              <w:rPr>
                <w:rFonts w:hint="eastAsia" w:ascii="宋体" w:hAnsi="宋体" w:eastAsia="宋体" w:cs="宋体"/>
                <w:sz w:val="24"/>
                <w:szCs w:val="24"/>
              </w:rPr>
            </w:pPr>
            <w:r>
              <w:rPr>
                <w:rFonts w:hint="eastAsia" w:ascii="宋体" w:hAnsi="宋体" w:eastAsia="宋体" w:cs="宋体"/>
                <w:spacing w:val="-1"/>
                <w:sz w:val="24"/>
                <w:szCs w:val="24"/>
              </w:rPr>
              <w:t>⑥ 养护工程质量进度要求：</w:t>
            </w:r>
            <w:r>
              <w:rPr>
                <w:rFonts w:hint="eastAsia" w:ascii="宋体" w:hAnsi="宋体" w:eastAsia="宋体" w:cs="宋体"/>
                <w:sz w:val="24"/>
                <w:szCs w:val="24"/>
                <w:u w:val="single"/>
              </w:rPr>
              <w:t xml:space="preserve">   /   </w:t>
            </w:r>
          </w:p>
          <w:p w14:paraId="085BF310">
            <w:pPr>
              <w:spacing w:before="118" w:line="205" w:lineRule="auto"/>
              <w:ind w:left="112"/>
              <w:rPr>
                <w:rFonts w:hint="eastAsia" w:ascii="宋体" w:hAnsi="宋体" w:eastAsia="宋体" w:cs="宋体"/>
                <w:sz w:val="24"/>
                <w:szCs w:val="24"/>
              </w:rPr>
            </w:pPr>
            <w:r>
              <w:rPr>
                <w:rFonts w:hint="eastAsia" w:ascii="宋体" w:hAnsi="宋体" w:eastAsia="宋体" w:cs="宋体"/>
                <w:spacing w:val="-1"/>
                <w:sz w:val="24"/>
                <w:szCs w:val="24"/>
              </w:rPr>
              <w:t>⑦ 其他相关要求：</w:t>
            </w:r>
            <w:r>
              <w:rPr>
                <w:rFonts w:hint="eastAsia" w:ascii="宋体" w:hAnsi="宋体" w:eastAsia="宋体" w:cs="宋体"/>
                <w:sz w:val="24"/>
                <w:szCs w:val="24"/>
                <w:u w:val="single"/>
              </w:rPr>
              <w:t xml:space="preserve">  /    </w:t>
            </w:r>
          </w:p>
        </w:tc>
      </w:tr>
      <w:tr w14:paraId="2F10F7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5" w:hRule="atLeast"/>
        </w:trPr>
        <w:tc>
          <w:tcPr>
            <w:tcW w:w="732" w:type="dxa"/>
          </w:tcPr>
          <w:p w14:paraId="472A37CF">
            <w:pPr>
              <w:pStyle w:val="29"/>
              <w:tabs>
                <w:tab w:val="left" w:pos="0"/>
              </w:tabs>
              <w:spacing w:line="316" w:lineRule="auto"/>
              <w:rPr>
                <w:rFonts w:hint="eastAsia" w:ascii="宋体" w:hAnsi="宋体" w:eastAsia="宋体" w:cs="宋体"/>
                <w:sz w:val="24"/>
                <w:szCs w:val="24"/>
              </w:rPr>
            </w:pPr>
          </w:p>
          <w:p w14:paraId="0CE982F7">
            <w:pPr>
              <w:spacing w:before="69" w:line="188" w:lineRule="auto"/>
              <w:ind w:left="314"/>
              <w:rPr>
                <w:rFonts w:hint="eastAsia" w:ascii="宋体" w:hAnsi="宋体" w:eastAsia="宋体" w:cs="宋体"/>
                <w:sz w:val="24"/>
                <w:szCs w:val="24"/>
              </w:rPr>
            </w:pPr>
            <w:r>
              <w:rPr>
                <w:rFonts w:hint="eastAsia" w:ascii="宋体" w:hAnsi="宋体" w:eastAsia="宋体" w:cs="宋体"/>
                <w:sz w:val="24"/>
                <w:szCs w:val="24"/>
              </w:rPr>
              <w:t>9</w:t>
            </w:r>
          </w:p>
        </w:tc>
        <w:tc>
          <w:tcPr>
            <w:tcW w:w="975" w:type="dxa"/>
          </w:tcPr>
          <w:p w14:paraId="18D854D8">
            <w:pPr>
              <w:pStyle w:val="29"/>
              <w:tabs>
                <w:tab w:val="left" w:pos="0"/>
              </w:tabs>
              <w:spacing w:line="316" w:lineRule="auto"/>
              <w:rPr>
                <w:rFonts w:hint="eastAsia" w:ascii="宋体" w:hAnsi="宋体" w:eastAsia="宋体" w:cs="宋体"/>
                <w:sz w:val="24"/>
                <w:szCs w:val="24"/>
              </w:rPr>
            </w:pPr>
          </w:p>
          <w:p w14:paraId="0BFB7633">
            <w:pPr>
              <w:spacing w:before="69" w:line="188" w:lineRule="auto"/>
              <w:ind w:left="248"/>
              <w:rPr>
                <w:rFonts w:hint="eastAsia" w:ascii="宋体" w:hAnsi="宋体" w:eastAsia="宋体" w:cs="宋体"/>
                <w:sz w:val="24"/>
                <w:szCs w:val="24"/>
              </w:rPr>
            </w:pPr>
            <w:r>
              <w:rPr>
                <w:rFonts w:hint="eastAsia" w:ascii="宋体" w:hAnsi="宋体" w:eastAsia="宋体" w:cs="宋体"/>
                <w:spacing w:val="-1"/>
                <w:sz w:val="24"/>
                <w:szCs w:val="24"/>
              </w:rPr>
              <w:t>4.6.3</w:t>
            </w:r>
          </w:p>
        </w:tc>
        <w:tc>
          <w:tcPr>
            <w:tcW w:w="7759" w:type="dxa"/>
            <w:shd w:val="clear" w:color="auto" w:fill="FFFFFF"/>
          </w:tcPr>
          <w:p w14:paraId="3EE1B53A">
            <w:pPr>
              <w:spacing w:before="129" w:line="256" w:lineRule="auto"/>
              <w:ind w:left="115" w:right="108" w:hanging="1"/>
              <w:rPr>
                <w:rFonts w:hint="eastAsia" w:ascii="宋体" w:hAnsi="宋体" w:eastAsia="宋体" w:cs="宋体"/>
                <w:sz w:val="24"/>
                <w:szCs w:val="24"/>
              </w:rPr>
            </w:pPr>
            <w:r>
              <w:rPr>
                <w:rFonts w:hint="eastAsia" w:ascii="宋体" w:hAnsi="宋体" w:eastAsia="宋体" w:cs="宋体"/>
                <w:spacing w:val="5"/>
                <w:sz w:val="24"/>
                <w:szCs w:val="24"/>
              </w:rPr>
              <w:t>承包人安排在养护作业场地的主要管理人员、技术骨干和专职安全</w:t>
            </w:r>
            <w:r>
              <w:rPr>
                <w:rFonts w:hint="eastAsia" w:ascii="宋体" w:hAnsi="宋体" w:eastAsia="宋体" w:cs="宋体"/>
                <w:spacing w:val="-1"/>
                <w:sz w:val="24"/>
                <w:szCs w:val="24"/>
              </w:rPr>
              <w:t>生产管理人员每月在养护作业场地时</w:t>
            </w:r>
            <w:r>
              <w:rPr>
                <w:rFonts w:hint="eastAsia" w:ascii="宋体" w:hAnsi="宋体" w:eastAsia="宋体" w:cs="宋体"/>
                <w:color w:val="auto"/>
                <w:spacing w:val="-1"/>
                <w:sz w:val="24"/>
                <w:szCs w:val="24"/>
              </w:rPr>
              <w:t>间不得少于</w:t>
            </w:r>
            <w:r>
              <w:rPr>
                <w:rFonts w:hint="eastAsia" w:ascii="宋体" w:hAnsi="宋体" w:eastAsia="宋体" w:cs="宋体"/>
                <w:color w:val="auto"/>
                <w:spacing w:val="-1"/>
                <w:sz w:val="24"/>
                <w:szCs w:val="24"/>
                <w:u w:val="single"/>
              </w:rPr>
              <w:t xml:space="preserve"> 22 </w:t>
            </w:r>
            <w:r>
              <w:rPr>
                <w:rFonts w:hint="eastAsia" w:ascii="宋体" w:hAnsi="宋体" w:eastAsia="宋体" w:cs="宋体"/>
                <w:spacing w:val="-93"/>
                <w:sz w:val="24"/>
                <w:szCs w:val="24"/>
              </w:rPr>
              <w:t xml:space="preserve"> </w:t>
            </w:r>
            <w:r>
              <w:rPr>
                <w:rFonts w:hint="eastAsia" w:ascii="宋体" w:hAnsi="宋体" w:eastAsia="宋体" w:cs="宋体"/>
                <w:spacing w:val="-1"/>
                <w:sz w:val="24"/>
                <w:szCs w:val="24"/>
              </w:rPr>
              <w:t>天</w:t>
            </w:r>
          </w:p>
        </w:tc>
      </w:tr>
      <w:tr w14:paraId="435882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404" w:hRule="atLeast"/>
        </w:trPr>
        <w:tc>
          <w:tcPr>
            <w:tcW w:w="732" w:type="dxa"/>
          </w:tcPr>
          <w:p w14:paraId="0679A4C2">
            <w:pPr>
              <w:pStyle w:val="29"/>
              <w:tabs>
                <w:tab w:val="left" w:pos="0"/>
              </w:tabs>
              <w:spacing w:line="277" w:lineRule="auto"/>
              <w:rPr>
                <w:rFonts w:hint="eastAsia" w:ascii="宋体" w:hAnsi="宋体" w:eastAsia="宋体" w:cs="宋体"/>
                <w:sz w:val="24"/>
                <w:szCs w:val="24"/>
                <w:lang w:eastAsia="zh-CN"/>
              </w:rPr>
            </w:pPr>
          </w:p>
          <w:p w14:paraId="05781DC8">
            <w:pPr>
              <w:pStyle w:val="29"/>
              <w:tabs>
                <w:tab w:val="left" w:pos="0"/>
              </w:tabs>
              <w:spacing w:line="278" w:lineRule="auto"/>
              <w:rPr>
                <w:rFonts w:hint="eastAsia" w:ascii="宋体" w:hAnsi="宋体" w:eastAsia="宋体" w:cs="宋体"/>
                <w:sz w:val="24"/>
                <w:szCs w:val="24"/>
                <w:lang w:eastAsia="zh-CN"/>
              </w:rPr>
            </w:pPr>
          </w:p>
          <w:p w14:paraId="6F949739">
            <w:pPr>
              <w:pStyle w:val="29"/>
              <w:tabs>
                <w:tab w:val="left" w:pos="0"/>
              </w:tabs>
              <w:spacing w:line="278" w:lineRule="auto"/>
              <w:rPr>
                <w:rFonts w:hint="eastAsia" w:ascii="宋体" w:hAnsi="宋体" w:eastAsia="宋体" w:cs="宋体"/>
                <w:sz w:val="24"/>
                <w:szCs w:val="24"/>
                <w:lang w:eastAsia="zh-CN"/>
              </w:rPr>
            </w:pPr>
          </w:p>
          <w:p w14:paraId="72F339F4">
            <w:pPr>
              <w:pStyle w:val="29"/>
              <w:tabs>
                <w:tab w:val="left" w:pos="0"/>
              </w:tabs>
              <w:spacing w:line="278" w:lineRule="auto"/>
              <w:rPr>
                <w:rFonts w:hint="eastAsia" w:ascii="宋体" w:hAnsi="宋体" w:eastAsia="宋体" w:cs="宋体"/>
                <w:sz w:val="24"/>
                <w:szCs w:val="24"/>
                <w:lang w:eastAsia="zh-CN"/>
              </w:rPr>
            </w:pPr>
          </w:p>
          <w:p w14:paraId="60D3DD55">
            <w:pPr>
              <w:spacing w:before="69" w:line="188" w:lineRule="auto"/>
              <w:ind w:left="272"/>
              <w:rPr>
                <w:rFonts w:hint="eastAsia" w:ascii="宋体" w:hAnsi="宋体" w:eastAsia="宋体" w:cs="宋体"/>
                <w:sz w:val="24"/>
                <w:szCs w:val="24"/>
              </w:rPr>
            </w:pPr>
            <w:r>
              <w:rPr>
                <w:rFonts w:hint="eastAsia" w:ascii="宋体" w:hAnsi="宋体" w:eastAsia="宋体" w:cs="宋体"/>
                <w:spacing w:val="-15"/>
                <w:sz w:val="24"/>
                <w:szCs w:val="24"/>
              </w:rPr>
              <w:t>10</w:t>
            </w:r>
          </w:p>
        </w:tc>
        <w:tc>
          <w:tcPr>
            <w:tcW w:w="975" w:type="dxa"/>
            <w:shd w:val="clear" w:color="auto" w:fill="FFFFFF"/>
          </w:tcPr>
          <w:p w14:paraId="59AD4697">
            <w:pPr>
              <w:pStyle w:val="29"/>
              <w:tabs>
                <w:tab w:val="left" w:pos="0"/>
              </w:tabs>
              <w:spacing w:line="277" w:lineRule="auto"/>
              <w:rPr>
                <w:rFonts w:hint="eastAsia" w:ascii="宋体" w:hAnsi="宋体" w:eastAsia="宋体" w:cs="宋体"/>
                <w:sz w:val="24"/>
                <w:szCs w:val="24"/>
              </w:rPr>
            </w:pPr>
          </w:p>
          <w:p w14:paraId="69D2B0ED">
            <w:pPr>
              <w:pStyle w:val="29"/>
              <w:tabs>
                <w:tab w:val="left" w:pos="0"/>
              </w:tabs>
              <w:spacing w:line="278" w:lineRule="auto"/>
              <w:rPr>
                <w:rFonts w:hint="eastAsia" w:ascii="宋体" w:hAnsi="宋体" w:eastAsia="宋体" w:cs="宋体"/>
                <w:sz w:val="24"/>
                <w:szCs w:val="24"/>
              </w:rPr>
            </w:pPr>
          </w:p>
          <w:p w14:paraId="7413EE89">
            <w:pPr>
              <w:pStyle w:val="29"/>
              <w:tabs>
                <w:tab w:val="left" w:pos="0"/>
              </w:tabs>
              <w:spacing w:line="278" w:lineRule="auto"/>
              <w:rPr>
                <w:rFonts w:hint="eastAsia" w:ascii="宋体" w:hAnsi="宋体" w:eastAsia="宋体" w:cs="宋体"/>
                <w:sz w:val="24"/>
                <w:szCs w:val="24"/>
              </w:rPr>
            </w:pPr>
          </w:p>
          <w:p w14:paraId="7FE80631">
            <w:pPr>
              <w:pStyle w:val="29"/>
              <w:tabs>
                <w:tab w:val="left" w:pos="0"/>
              </w:tabs>
              <w:spacing w:line="278" w:lineRule="auto"/>
              <w:rPr>
                <w:rFonts w:hint="eastAsia" w:ascii="宋体" w:hAnsi="宋体" w:eastAsia="宋体" w:cs="宋体"/>
                <w:sz w:val="24"/>
                <w:szCs w:val="24"/>
              </w:rPr>
            </w:pPr>
          </w:p>
          <w:p w14:paraId="77455D46">
            <w:pPr>
              <w:spacing w:before="69" w:line="188" w:lineRule="auto"/>
              <w:ind w:left="345"/>
              <w:rPr>
                <w:rFonts w:hint="eastAsia" w:ascii="宋体" w:hAnsi="宋体" w:eastAsia="宋体" w:cs="宋体"/>
                <w:sz w:val="24"/>
                <w:szCs w:val="24"/>
              </w:rPr>
            </w:pPr>
            <w:r>
              <w:rPr>
                <w:rFonts w:hint="eastAsia" w:ascii="宋体" w:hAnsi="宋体" w:eastAsia="宋体" w:cs="宋体"/>
                <w:spacing w:val="-4"/>
                <w:sz w:val="24"/>
                <w:szCs w:val="24"/>
              </w:rPr>
              <w:t>5.2</w:t>
            </w:r>
          </w:p>
        </w:tc>
        <w:tc>
          <w:tcPr>
            <w:tcW w:w="7759" w:type="dxa"/>
          </w:tcPr>
          <w:p w14:paraId="464970D5">
            <w:pPr>
              <w:spacing w:before="128" w:line="308" w:lineRule="auto"/>
              <w:ind w:left="114" w:right="107" w:firstLine="3"/>
              <w:rPr>
                <w:rFonts w:hint="eastAsia" w:ascii="宋体" w:hAnsi="宋体" w:eastAsia="宋体" w:cs="宋体"/>
                <w:sz w:val="24"/>
                <w:szCs w:val="24"/>
              </w:rPr>
            </w:pPr>
            <w:r>
              <w:rPr>
                <w:rFonts w:hint="eastAsia" w:ascii="宋体" w:hAnsi="宋体" w:eastAsia="宋体" w:cs="宋体"/>
                <w:spacing w:val="12"/>
                <w:sz w:val="24"/>
                <w:szCs w:val="24"/>
              </w:rPr>
              <w:t>发包人是否提供材料</w:t>
            </w:r>
            <w:r>
              <w:rPr>
                <w:rFonts w:hint="eastAsia" w:ascii="宋体" w:hAnsi="宋体" w:eastAsia="宋体" w:cs="宋体"/>
                <w:spacing w:val="-16"/>
                <w:sz w:val="24"/>
                <w:szCs w:val="24"/>
              </w:rPr>
              <w:t>：</w:t>
            </w:r>
            <w:r>
              <w:rPr>
                <w:rFonts w:hint="eastAsia" w:ascii="宋体" w:hAnsi="宋体" w:eastAsia="宋体" w:cs="宋体"/>
                <w:spacing w:val="-90"/>
                <w:sz w:val="24"/>
                <w:szCs w:val="24"/>
              </w:rPr>
              <w:t xml:space="preserve"> </w:t>
            </w:r>
            <w:r>
              <w:rPr>
                <w:rFonts w:hint="eastAsia" w:ascii="宋体" w:hAnsi="宋体" w:eastAsia="宋体" w:cs="宋体"/>
                <w:spacing w:val="14"/>
                <w:sz w:val="24"/>
                <w:szCs w:val="24"/>
                <w:u w:val="single"/>
              </w:rPr>
              <w:t xml:space="preserve"> </w:t>
            </w:r>
            <w:r>
              <w:rPr>
                <w:rFonts w:hint="eastAsia" w:ascii="宋体" w:hAnsi="宋体" w:eastAsia="宋体" w:cs="宋体"/>
                <w:spacing w:val="12"/>
                <w:sz w:val="24"/>
                <w:szCs w:val="24"/>
                <w:u w:val="single"/>
              </w:rPr>
              <w:t>否</w:t>
            </w:r>
            <w:r>
              <w:rPr>
                <w:rFonts w:hint="eastAsia" w:ascii="宋体" w:hAnsi="宋体" w:eastAsia="宋体" w:cs="宋体"/>
                <w:spacing w:val="44"/>
                <w:sz w:val="24"/>
                <w:szCs w:val="24"/>
                <w:u w:val="single"/>
              </w:rPr>
              <w:t xml:space="preserve"> </w:t>
            </w:r>
            <w:r>
              <w:rPr>
                <w:rFonts w:hint="eastAsia" w:ascii="宋体" w:hAnsi="宋体" w:eastAsia="宋体" w:cs="宋体"/>
                <w:spacing w:val="-88"/>
                <w:sz w:val="24"/>
                <w:szCs w:val="24"/>
              </w:rPr>
              <w:t xml:space="preserve"> </w:t>
            </w:r>
            <w:r>
              <w:rPr>
                <w:rFonts w:hint="eastAsia" w:ascii="宋体" w:hAnsi="宋体" w:eastAsia="宋体" w:cs="宋体"/>
                <w:spacing w:val="12"/>
                <w:sz w:val="24"/>
                <w:szCs w:val="24"/>
              </w:rPr>
              <w:t>。如发包人负责提供部分材</w:t>
            </w:r>
            <w:r>
              <w:rPr>
                <w:rFonts w:hint="eastAsia" w:ascii="宋体" w:hAnsi="宋体" w:eastAsia="宋体" w:cs="宋体"/>
                <w:spacing w:val="-2"/>
                <w:sz w:val="24"/>
                <w:szCs w:val="24"/>
              </w:rPr>
              <w:t>料，相关约定如下：</w:t>
            </w:r>
            <w:r>
              <w:rPr>
                <w:rFonts w:hint="eastAsia" w:ascii="宋体" w:hAnsi="宋体" w:eastAsia="宋体" w:cs="宋体"/>
                <w:sz w:val="24"/>
                <w:szCs w:val="24"/>
                <w:u w:val="single"/>
              </w:rPr>
              <w:t xml:space="preserve">    /      </w:t>
            </w:r>
          </w:p>
          <w:p w14:paraId="5CB89D50">
            <w:pPr>
              <w:widowControl/>
              <w:tabs>
                <w:tab w:val="left" w:pos="0"/>
              </w:tabs>
              <w:ind w:firstLine="420"/>
              <w:rPr>
                <w:rFonts w:hint="eastAsia" w:ascii="宋体" w:hAnsi="宋体" w:eastAsia="宋体" w:cs="宋体"/>
                <w:sz w:val="24"/>
                <w:szCs w:val="24"/>
                <w:highlight w:val="cyan"/>
                <w:u w:val="single"/>
              </w:rPr>
            </w:pPr>
            <w:r>
              <w:rPr>
                <w:rFonts w:hint="eastAsia" w:ascii="宋体" w:hAnsi="宋体" w:eastAsia="宋体" w:cs="宋体"/>
                <w:spacing w:val="1"/>
                <w:sz w:val="24"/>
                <w:szCs w:val="24"/>
              </w:rPr>
              <w:t>发包人是否提供养护作业设备</w:t>
            </w:r>
            <w:r>
              <w:rPr>
                <w:rFonts w:hint="eastAsia" w:ascii="宋体" w:hAnsi="宋体" w:eastAsia="宋体" w:cs="宋体"/>
                <w:spacing w:val="-17"/>
                <w:sz w:val="24"/>
                <w:szCs w:val="24"/>
              </w:rPr>
              <w:t>：</w:t>
            </w:r>
            <w:r>
              <w:rPr>
                <w:rFonts w:hint="eastAsia" w:ascii="宋体" w:hAnsi="宋体" w:eastAsia="宋体" w:cs="宋体"/>
                <w:spacing w:val="4"/>
                <w:sz w:val="24"/>
                <w:szCs w:val="24"/>
                <w:u w:val="single"/>
              </w:rPr>
              <w:t xml:space="preserve"> </w:t>
            </w:r>
            <w:r>
              <w:rPr>
                <w:rFonts w:hint="eastAsia" w:ascii="宋体" w:hAnsi="宋体" w:eastAsia="宋体" w:cs="宋体"/>
                <w:spacing w:val="1"/>
                <w:sz w:val="24"/>
                <w:szCs w:val="24"/>
                <w:u w:val="single"/>
              </w:rPr>
              <w:t xml:space="preserve">否  </w:t>
            </w:r>
            <w:r>
              <w:rPr>
                <w:rFonts w:hint="eastAsia" w:ascii="宋体" w:hAnsi="宋体" w:eastAsia="宋体" w:cs="宋体"/>
                <w:spacing w:val="-87"/>
                <w:sz w:val="24"/>
                <w:szCs w:val="24"/>
              </w:rPr>
              <w:t xml:space="preserve"> </w:t>
            </w:r>
            <w:r>
              <w:rPr>
                <w:rFonts w:hint="eastAsia" w:ascii="宋体" w:hAnsi="宋体" w:eastAsia="宋体" w:cs="宋体"/>
                <w:spacing w:val="1"/>
                <w:sz w:val="24"/>
                <w:szCs w:val="24"/>
              </w:rPr>
              <w:t>。如发包人负</w:t>
            </w:r>
            <w:r>
              <w:rPr>
                <w:rFonts w:hint="eastAsia" w:ascii="宋体" w:hAnsi="宋体" w:eastAsia="宋体" w:cs="宋体"/>
                <w:sz w:val="24"/>
                <w:szCs w:val="24"/>
              </w:rPr>
              <w:t>责提供</w:t>
            </w:r>
            <w:r>
              <w:rPr>
                <w:rFonts w:hint="eastAsia" w:ascii="宋体" w:hAnsi="宋体" w:eastAsia="宋体" w:cs="宋体"/>
                <w:spacing w:val="-1"/>
                <w:sz w:val="24"/>
                <w:szCs w:val="24"/>
              </w:rPr>
              <w:t>部</w:t>
            </w:r>
            <w:r>
              <w:rPr>
                <w:rFonts w:hint="eastAsia" w:ascii="宋体" w:hAnsi="宋体" w:eastAsia="宋体" w:cs="宋体"/>
                <w:spacing w:val="-1"/>
                <w:sz w:val="24"/>
                <w:szCs w:val="24"/>
                <w:highlight w:val="none"/>
              </w:rPr>
              <w:t>分养护作业设备，相关约定如下：</w:t>
            </w:r>
            <w:r>
              <w:rPr>
                <w:rFonts w:hint="eastAsia" w:ascii="宋体" w:hAnsi="宋体" w:eastAsia="宋体" w:cs="宋体"/>
                <w:sz w:val="24"/>
                <w:szCs w:val="24"/>
                <w:highlight w:val="none"/>
                <w:u w:val="single"/>
              </w:rPr>
              <w:t>发包人不提供。</w:t>
            </w:r>
            <w:r>
              <w:rPr>
                <w:rFonts w:hint="eastAsia" w:ascii="宋体" w:hAnsi="宋体" w:eastAsia="宋体" w:cs="宋体"/>
                <w:spacing w:val="-1"/>
                <w:sz w:val="24"/>
                <w:szCs w:val="24"/>
                <w:highlight w:val="none"/>
                <w:lang w:val="en-US" w:eastAsia="zh-CN"/>
              </w:rPr>
              <w:t>在</w:t>
            </w:r>
            <w:r>
              <w:rPr>
                <w:rFonts w:hint="eastAsia" w:ascii="宋体" w:hAnsi="宋体" w:eastAsia="宋体" w:cs="宋体"/>
                <w:spacing w:val="-1"/>
                <w:sz w:val="24"/>
                <w:szCs w:val="24"/>
                <w:highlight w:val="none"/>
                <w:lang w:eastAsia="zh-CN"/>
              </w:rPr>
              <w:t>应急抢险</w:t>
            </w:r>
            <w:r>
              <w:rPr>
                <w:rFonts w:hint="eastAsia" w:ascii="宋体" w:hAnsi="宋体" w:eastAsia="宋体" w:cs="宋体"/>
                <w:spacing w:val="-1"/>
                <w:sz w:val="24"/>
                <w:szCs w:val="24"/>
                <w:highlight w:val="none"/>
                <w:lang w:val="en-US" w:eastAsia="zh-CN"/>
              </w:rPr>
              <w:t>等</w:t>
            </w:r>
            <w:r>
              <w:rPr>
                <w:rFonts w:hint="eastAsia" w:ascii="宋体" w:hAnsi="宋体" w:eastAsia="宋体" w:cs="宋体"/>
                <w:spacing w:val="-1"/>
                <w:sz w:val="24"/>
                <w:szCs w:val="24"/>
                <w:highlight w:val="none"/>
                <w:lang w:eastAsia="zh-CN"/>
              </w:rPr>
              <w:t>紧</w:t>
            </w:r>
            <w:r>
              <w:rPr>
                <w:rFonts w:hint="eastAsia" w:ascii="宋体" w:hAnsi="宋体" w:eastAsia="宋体" w:cs="宋体"/>
                <w:spacing w:val="-1"/>
                <w:sz w:val="24"/>
                <w:szCs w:val="24"/>
                <w:highlight w:val="none"/>
                <w:lang w:val="en-US" w:eastAsia="zh-CN"/>
              </w:rPr>
              <w:t>急</w:t>
            </w:r>
            <w:r>
              <w:rPr>
                <w:rFonts w:hint="eastAsia" w:ascii="宋体" w:hAnsi="宋体" w:eastAsia="宋体" w:cs="宋体"/>
                <w:spacing w:val="-1"/>
                <w:sz w:val="24"/>
                <w:szCs w:val="24"/>
                <w:highlight w:val="none"/>
                <w:lang w:eastAsia="zh-CN"/>
              </w:rPr>
              <w:t>情形时，发包人可</w:t>
            </w:r>
            <w:r>
              <w:rPr>
                <w:rFonts w:hint="eastAsia" w:ascii="宋体" w:hAnsi="宋体" w:eastAsia="宋体" w:cs="宋体"/>
                <w:spacing w:val="-1"/>
                <w:sz w:val="24"/>
                <w:szCs w:val="24"/>
                <w:highlight w:val="none"/>
                <w:lang w:val="en-US" w:eastAsia="zh-CN"/>
              </w:rPr>
              <w:t>采取按市场价租用等方式</w:t>
            </w:r>
            <w:r>
              <w:rPr>
                <w:rFonts w:hint="eastAsia" w:ascii="宋体" w:hAnsi="宋体" w:eastAsia="宋体" w:cs="宋体"/>
                <w:spacing w:val="-1"/>
                <w:sz w:val="24"/>
                <w:szCs w:val="24"/>
                <w:highlight w:val="none"/>
                <w:lang w:eastAsia="zh-CN"/>
              </w:rPr>
              <w:t>向承包人有偿提供工程设备使用，设备使用的燃油、电力、耗材等日常运维费用由承包人承担，相关费用从承包人计量款</w:t>
            </w:r>
            <w:r>
              <w:rPr>
                <w:rFonts w:hint="eastAsia" w:ascii="宋体" w:hAnsi="宋体" w:eastAsia="宋体" w:cs="宋体"/>
                <w:spacing w:val="-1"/>
                <w:sz w:val="24"/>
                <w:szCs w:val="24"/>
                <w:lang w:eastAsia="zh-CN"/>
              </w:rPr>
              <w:t>中抵扣</w:t>
            </w:r>
            <w:r>
              <w:rPr>
                <w:rFonts w:hint="eastAsia" w:ascii="宋体" w:hAnsi="宋体" w:eastAsia="宋体" w:cs="宋体"/>
                <w:sz w:val="24"/>
                <w:szCs w:val="24"/>
                <w:u w:val="none"/>
              </w:rPr>
              <w:t>。</w:t>
            </w:r>
          </w:p>
          <w:p w14:paraId="2AA8A0AF">
            <w:pPr>
              <w:spacing w:before="2" w:line="255" w:lineRule="auto"/>
              <w:ind w:left="115" w:right="107" w:firstLine="2"/>
              <w:rPr>
                <w:rFonts w:hint="eastAsia" w:ascii="宋体" w:hAnsi="宋体" w:eastAsia="宋体" w:cs="宋体"/>
                <w:sz w:val="24"/>
                <w:szCs w:val="24"/>
              </w:rPr>
            </w:pPr>
            <w:r>
              <w:rPr>
                <w:rFonts w:hint="eastAsia" w:ascii="宋体" w:hAnsi="宋体" w:eastAsia="宋体" w:cs="宋体"/>
                <w:spacing w:val="5"/>
                <w:sz w:val="24"/>
                <w:szCs w:val="24"/>
              </w:rPr>
              <w:t>发包人是否提供养护站房</w:t>
            </w:r>
            <w:r>
              <w:rPr>
                <w:rFonts w:hint="eastAsia" w:ascii="宋体" w:hAnsi="宋体" w:eastAsia="宋体" w:cs="宋体"/>
                <w:spacing w:val="-60"/>
                <w:w w:val="95"/>
                <w:sz w:val="24"/>
                <w:szCs w:val="24"/>
              </w:rPr>
              <w:t xml:space="preserve">：  </w:t>
            </w:r>
            <w:r>
              <w:rPr>
                <w:rFonts w:hint="eastAsia" w:ascii="宋体" w:hAnsi="宋体" w:eastAsia="宋体" w:cs="宋体"/>
                <w:spacing w:val="-60"/>
                <w:w w:val="95"/>
                <w:sz w:val="24"/>
                <w:szCs w:val="24"/>
                <w:lang w:val="en-US" w:eastAsia="zh-CN"/>
              </w:rPr>
              <w:t xml:space="preserve">     </w:t>
            </w:r>
            <w:r>
              <w:rPr>
                <w:rFonts w:hint="eastAsia" w:ascii="宋体" w:hAnsi="宋体" w:eastAsia="宋体" w:cs="宋体"/>
                <w:spacing w:val="5"/>
                <w:sz w:val="24"/>
                <w:szCs w:val="24"/>
                <w:u w:val="single"/>
                <w:lang w:val="en-US" w:eastAsia="zh-CN"/>
              </w:rPr>
              <w:t>否</w:t>
            </w:r>
            <w:r>
              <w:rPr>
                <w:rFonts w:hint="eastAsia" w:ascii="宋体" w:hAnsi="宋体" w:eastAsia="宋体" w:cs="宋体"/>
                <w:spacing w:val="5"/>
                <w:sz w:val="24"/>
                <w:szCs w:val="24"/>
                <w:u w:val="single"/>
              </w:rPr>
              <w:t xml:space="preserve"> </w:t>
            </w:r>
            <w:r>
              <w:rPr>
                <w:rFonts w:hint="eastAsia" w:ascii="宋体" w:hAnsi="宋体" w:eastAsia="宋体" w:cs="宋体"/>
                <w:spacing w:val="-88"/>
                <w:sz w:val="24"/>
                <w:szCs w:val="24"/>
              </w:rPr>
              <w:t xml:space="preserve"> </w:t>
            </w:r>
            <w:r>
              <w:rPr>
                <w:rFonts w:hint="eastAsia" w:ascii="宋体" w:hAnsi="宋体" w:eastAsia="宋体" w:cs="宋体"/>
                <w:spacing w:val="5"/>
                <w:sz w:val="24"/>
                <w:szCs w:val="24"/>
              </w:rPr>
              <w:t>。如发包人负责提供养护站</w:t>
            </w:r>
            <w:r>
              <w:rPr>
                <w:rFonts w:hint="eastAsia" w:ascii="宋体" w:hAnsi="宋体" w:eastAsia="宋体" w:cs="宋体"/>
                <w:spacing w:val="-2"/>
                <w:sz w:val="24"/>
                <w:szCs w:val="24"/>
              </w:rPr>
              <w:t>房，相关约定如下：</w:t>
            </w:r>
            <w:r>
              <w:rPr>
                <w:rFonts w:hint="eastAsia" w:ascii="宋体" w:hAnsi="宋体" w:eastAsia="宋体" w:cs="宋体"/>
                <w:sz w:val="24"/>
                <w:szCs w:val="24"/>
                <w:u w:val="single"/>
              </w:rPr>
              <w:t xml:space="preserve"> 发包人的养护站场作为公路附属设施，承包人须按合同</w:t>
            </w:r>
            <w:r>
              <w:rPr>
                <w:rFonts w:hint="eastAsia" w:ascii="宋体" w:hAnsi="宋体" w:eastAsia="宋体" w:cs="宋体"/>
                <w:sz w:val="24"/>
                <w:szCs w:val="24"/>
                <w:u w:val="single"/>
                <w:lang w:val="en-US" w:eastAsia="zh-CN"/>
              </w:rPr>
              <w:t>约定</w:t>
            </w:r>
            <w:r>
              <w:rPr>
                <w:rFonts w:hint="eastAsia" w:ascii="宋体" w:hAnsi="宋体" w:eastAsia="宋体" w:cs="宋体"/>
                <w:sz w:val="24"/>
                <w:szCs w:val="24"/>
                <w:u w:val="single"/>
              </w:rPr>
              <w:t>纳入日常养护。</w:t>
            </w:r>
          </w:p>
        </w:tc>
      </w:tr>
      <w:tr w14:paraId="746413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0" w:hRule="atLeast"/>
        </w:trPr>
        <w:tc>
          <w:tcPr>
            <w:tcW w:w="732" w:type="dxa"/>
          </w:tcPr>
          <w:p w14:paraId="1B6838C3">
            <w:pPr>
              <w:spacing w:before="201" w:line="188" w:lineRule="auto"/>
              <w:ind w:left="275"/>
              <w:rPr>
                <w:rFonts w:hint="eastAsia" w:ascii="宋体" w:hAnsi="宋体" w:eastAsia="宋体" w:cs="宋体"/>
                <w:sz w:val="24"/>
                <w:szCs w:val="24"/>
              </w:rPr>
            </w:pPr>
            <w:r>
              <w:rPr>
                <w:rFonts w:hint="eastAsia" w:ascii="宋体" w:hAnsi="宋体" w:eastAsia="宋体" w:cs="宋体"/>
                <w:spacing w:val="-15"/>
                <w:sz w:val="24"/>
                <w:szCs w:val="24"/>
              </w:rPr>
              <w:t>11</w:t>
            </w:r>
          </w:p>
        </w:tc>
        <w:tc>
          <w:tcPr>
            <w:tcW w:w="975" w:type="dxa"/>
            <w:shd w:val="clear" w:color="auto" w:fill="FFFFFF"/>
          </w:tcPr>
          <w:p w14:paraId="5A326600">
            <w:pPr>
              <w:spacing w:before="201" w:line="188" w:lineRule="auto"/>
              <w:ind w:left="254"/>
              <w:rPr>
                <w:rFonts w:hint="eastAsia" w:ascii="宋体" w:hAnsi="宋体" w:eastAsia="宋体" w:cs="宋体"/>
                <w:sz w:val="24"/>
                <w:szCs w:val="24"/>
              </w:rPr>
            </w:pPr>
            <w:r>
              <w:rPr>
                <w:rFonts w:hint="eastAsia" w:ascii="宋体" w:hAnsi="宋体" w:eastAsia="宋体" w:cs="宋体"/>
                <w:spacing w:val="-2"/>
                <w:sz w:val="24"/>
                <w:szCs w:val="24"/>
              </w:rPr>
              <w:t>9.2.5</w:t>
            </w:r>
          </w:p>
        </w:tc>
        <w:tc>
          <w:tcPr>
            <w:tcW w:w="7759" w:type="dxa"/>
          </w:tcPr>
          <w:p w14:paraId="38A0B993">
            <w:pPr>
              <w:spacing w:before="123" w:line="228" w:lineRule="auto"/>
              <w:ind w:left="119"/>
              <w:rPr>
                <w:rFonts w:hint="eastAsia" w:ascii="宋体" w:hAnsi="宋体" w:eastAsia="宋体" w:cs="宋体"/>
                <w:sz w:val="24"/>
                <w:szCs w:val="24"/>
              </w:rPr>
            </w:pPr>
            <w:r>
              <w:rPr>
                <w:rFonts w:hint="eastAsia" w:ascii="宋体" w:hAnsi="宋体" w:eastAsia="宋体" w:cs="宋体"/>
                <w:spacing w:val="-1"/>
                <w:sz w:val="24"/>
                <w:szCs w:val="24"/>
              </w:rPr>
              <w:t>安全生产费用按最高投标限价的</w:t>
            </w:r>
            <w:r>
              <w:rPr>
                <w:rFonts w:hint="eastAsia" w:ascii="宋体" w:hAnsi="宋体" w:eastAsia="宋体" w:cs="宋体"/>
                <w:spacing w:val="-1"/>
                <w:sz w:val="24"/>
                <w:szCs w:val="24"/>
                <w:u w:val="single"/>
              </w:rPr>
              <w:t xml:space="preserve">   1.5   </w:t>
            </w:r>
            <w:r>
              <w:rPr>
                <w:rFonts w:hint="eastAsia" w:ascii="宋体" w:hAnsi="宋体" w:eastAsia="宋体" w:cs="宋体"/>
                <w:spacing w:val="-112"/>
                <w:sz w:val="24"/>
                <w:szCs w:val="24"/>
              </w:rPr>
              <w:t xml:space="preserve"> </w:t>
            </w:r>
            <w:r>
              <w:rPr>
                <w:rFonts w:hint="eastAsia" w:ascii="宋体" w:hAnsi="宋体" w:eastAsia="宋体" w:cs="宋体"/>
                <w:spacing w:val="-1"/>
                <w:sz w:val="24"/>
                <w:szCs w:val="24"/>
              </w:rPr>
              <w:t>%计取</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"bookmark265" </w:instrText>
            </w:r>
            <w:r>
              <w:rPr>
                <w:rFonts w:hint="eastAsia" w:ascii="宋体" w:hAnsi="宋体" w:eastAsia="宋体" w:cs="宋体"/>
                <w:sz w:val="24"/>
                <w:szCs w:val="24"/>
              </w:rPr>
              <w:fldChar w:fldCharType="separate"/>
            </w:r>
            <w:r>
              <w:rPr>
                <w:rFonts w:hint="eastAsia" w:ascii="宋体" w:hAnsi="宋体" w:eastAsia="宋体" w:cs="宋体"/>
                <w:spacing w:val="-1"/>
                <w:position w:val="11"/>
                <w:sz w:val="24"/>
                <w:szCs w:val="24"/>
              </w:rPr>
              <w:t>①</w:t>
            </w:r>
            <w:r>
              <w:rPr>
                <w:rFonts w:hint="eastAsia" w:ascii="宋体" w:hAnsi="宋体" w:eastAsia="宋体" w:cs="宋体"/>
                <w:spacing w:val="-1"/>
                <w:position w:val="11"/>
                <w:sz w:val="24"/>
                <w:szCs w:val="24"/>
              </w:rPr>
              <w:fldChar w:fldCharType="end"/>
            </w:r>
            <w:r>
              <w:rPr>
                <w:rFonts w:hint="eastAsia" w:ascii="宋体" w:hAnsi="宋体" w:eastAsia="宋体" w:cs="宋体"/>
                <w:spacing w:val="-1"/>
                <w:sz w:val="24"/>
                <w:szCs w:val="24"/>
                <w:lang w:eastAsia="zh-CN"/>
              </w:rPr>
              <w:t>。</w:t>
            </w:r>
            <w:r>
              <w:rPr>
                <w:rFonts w:hint="eastAsia" w:ascii="宋体" w:hAnsi="宋体" w:eastAsia="宋体" w:cs="宋体"/>
                <w:spacing w:val="-2"/>
                <w:sz w:val="24"/>
                <w:szCs w:val="24"/>
                <w:highlight w:val="none"/>
                <w:lang w:val="en-US" w:eastAsia="zh-CN"/>
              </w:rPr>
              <w:t>安全生产费在工程量清单第100章中报价，该报价已包含本项目计量模式和绩效模式全部内容的安全生产费。</w:t>
            </w:r>
            <w:r>
              <w:rPr>
                <w:rFonts w:hint="eastAsia"/>
                <w:color w:val="auto"/>
                <w:highlight w:val="none"/>
              </w:rPr>
              <w:t>安全生产费用</w:t>
            </w:r>
            <w:r>
              <w:rPr>
                <w:rFonts w:hint="eastAsia"/>
                <w:color w:val="auto"/>
                <w:highlight w:val="none"/>
                <w:lang w:eastAsia="zh-CN"/>
              </w:rPr>
              <w:t>作为不可竞争报价，</w:t>
            </w:r>
            <w:r>
              <w:rPr>
                <w:rFonts w:hint="eastAsia"/>
                <w:color w:val="auto"/>
                <w:highlight w:val="none"/>
                <w:lang w:val="en-US" w:eastAsia="zh-CN"/>
              </w:rPr>
              <w:t>在本项目是固定报价，发包人在提供的工程量清单中已进行填写，投标人不需另行报价</w:t>
            </w:r>
            <w:r>
              <w:rPr>
                <w:rFonts w:hint="eastAsia"/>
                <w:color w:val="auto"/>
                <w:highlight w:val="none"/>
              </w:rPr>
              <w:t>。</w:t>
            </w:r>
          </w:p>
        </w:tc>
      </w:tr>
      <w:tr w14:paraId="450DFD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5" w:hRule="atLeast"/>
        </w:trPr>
        <w:tc>
          <w:tcPr>
            <w:tcW w:w="732" w:type="dxa"/>
          </w:tcPr>
          <w:p w14:paraId="22DA4899">
            <w:pPr>
              <w:pStyle w:val="29"/>
              <w:tabs>
                <w:tab w:val="left" w:pos="0"/>
              </w:tabs>
              <w:spacing w:line="317" w:lineRule="auto"/>
              <w:rPr>
                <w:rFonts w:hint="eastAsia" w:ascii="宋体" w:hAnsi="宋体" w:eastAsia="宋体" w:cs="宋体"/>
                <w:sz w:val="24"/>
                <w:szCs w:val="24"/>
                <w:lang w:eastAsia="zh-CN"/>
              </w:rPr>
            </w:pPr>
          </w:p>
          <w:p w14:paraId="70149CA1">
            <w:pPr>
              <w:spacing w:before="69" w:line="188" w:lineRule="auto"/>
              <w:ind w:left="272"/>
              <w:rPr>
                <w:rFonts w:hint="eastAsia" w:ascii="宋体" w:hAnsi="宋体" w:eastAsia="宋体" w:cs="宋体"/>
                <w:sz w:val="24"/>
                <w:szCs w:val="24"/>
              </w:rPr>
            </w:pPr>
            <w:r>
              <w:rPr>
                <w:rFonts w:hint="eastAsia" w:ascii="宋体" w:hAnsi="宋体" w:eastAsia="宋体" w:cs="宋体"/>
                <w:spacing w:val="-15"/>
                <w:sz w:val="24"/>
                <w:szCs w:val="24"/>
              </w:rPr>
              <w:t>12</w:t>
            </w:r>
          </w:p>
        </w:tc>
        <w:tc>
          <w:tcPr>
            <w:tcW w:w="975" w:type="dxa"/>
          </w:tcPr>
          <w:p w14:paraId="2BAF392F">
            <w:pPr>
              <w:pStyle w:val="29"/>
              <w:tabs>
                <w:tab w:val="left" w:pos="0"/>
              </w:tabs>
              <w:spacing w:line="317" w:lineRule="auto"/>
              <w:rPr>
                <w:rFonts w:hint="eastAsia" w:ascii="宋体" w:hAnsi="宋体" w:eastAsia="宋体" w:cs="宋体"/>
                <w:sz w:val="24"/>
                <w:szCs w:val="24"/>
              </w:rPr>
            </w:pPr>
          </w:p>
          <w:p w14:paraId="2A879A82">
            <w:pPr>
              <w:spacing w:before="69" w:line="188" w:lineRule="auto"/>
              <w:ind w:left="306"/>
              <w:rPr>
                <w:rFonts w:hint="eastAsia" w:ascii="宋体" w:hAnsi="宋体" w:eastAsia="宋体" w:cs="宋体"/>
                <w:sz w:val="24"/>
                <w:szCs w:val="24"/>
              </w:rPr>
            </w:pPr>
            <w:r>
              <w:rPr>
                <w:rFonts w:hint="eastAsia" w:ascii="宋体" w:hAnsi="宋体" w:eastAsia="宋体" w:cs="宋体"/>
                <w:spacing w:val="-10"/>
                <w:sz w:val="24"/>
                <w:szCs w:val="24"/>
              </w:rPr>
              <w:t>11.5</w:t>
            </w:r>
          </w:p>
        </w:tc>
        <w:tc>
          <w:tcPr>
            <w:tcW w:w="7759" w:type="dxa"/>
          </w:tcPr>
          <w:p w14:paraId="7CCB1C2D">
            <w:pPr>
              <w:spacing w:before="130" w:line="210" w:lineRule="auto"/>
              <w:ind w:left="112"/>
              <w:rPr>
                <w:rFonts w:hint="eastAsia" w:ascii="宋体" w:hAnsi="宋体" w:eastAsia="宋体" w:cs="宋体"/>
                <w:sz w:val="24"/>
                <w:szCs w:val="24"/>
              </w:rPr>
            </w:pPr>
            <w:r>
              <w:rPr>
                <w:rFonts w:hint="eastAsia" w:ascii="宋体" w:hAnsi="宋体" w:eastAsia="宋体" w:cs="宋体"/>
                <w:spacing w:val="-2"/>
                <w:sz w:val="24"/>
                <w:szCs w:val="24"/>
              </w:rPr>
              <w:t>逾期交工违约金：</w:t>
            </w:r>
            <w:r>
              <w:rPr>
                <w:rFonts w:hint="eastAsia" w:ascii="宋体" w:hAnsi="宋体" w:eastAsia="宋体" w:cs="宋体"/>
                <w:spacing w:val="-2"/>
                <w:sz w:val="24"/>
                <w:szCs w:val="24"/>
                <w:u w:val="single"/>
              </w:rPr>
              <w:t xml:space="preserve">    500  </w:t>
            </w:r>
            <w:r>
              <w:rPr>
                <w:rFonts w:hint="eastAsia" w:ascii="宋体" w:hAnsi="宋体" w:eastAsia="宋体" w:cs="宋体"/>
                <w:spacing w:val="-94"/>
                <w:sz w:val="24"/>
                <w:szCs w:val="24"/>
              </w:rPr>
              <w:t xml:space="preserve"> </w:t>
            </w:r>
            <w:r>
              <w:rPr>
                <w:rFonts w:hint="eastAsia" w:ascii="宋体" w:hAnsi="宋体" w:eastAsia="宋体" w:cs="宋体"/>
                <w:spacing w:val="-2"/>
                <w:sz w:val="24"/>
                <w:szCs w:val="24"/>
              </w:rPr>
              <w:t>元/天</w:t>
            </w:r>
          </w:p>
          <w:p w14:paraId="658959EE">
            <w:pPr>
              <w:spacing w:before="108" w:line="218" w:lineRule="auto"/>
              <w:ind w:left="112"/>
              <w:rPr>
                <w:rFonts w:hint="eastAsia" w:ascii="宋体" w:hAnsi="宋体" w:eastAsia="宋体" w:cs="宋体"/>
                <w:sz w:val="24"/>
                <w:szCs w:val="24"/>
              </w:rPr>
            </w:pPr>
            <w:r>
              <w:rPr>
                <w:rFonts w:hint="eastAsia" w:ascii="宋体" w:hAnsi="宋体" w:eastAsia="宋体" w:cs="宋体"/>
                <w:spacing w:val="-1"/>
                <w:sz w:val="24"/>
                <w:szCs w:val="24"/>
              </w:rPr>
              <w:t>逾期交工违约金限额：</w:t>
            </w:r>
            <w:r>
              <w:rPr>
                <w:rFonts w:hint="eastAsia" w:ascii="宋体" w:hAnsi="宋体" w:eastAsia="宋体" w:cs="宋体"/>
                <w:spacing w:val="-1"/>
                <w:sz w:val="24"/>
                <w:szCs w:val="24"/>
                <w:u w:val="single"/>
              </w:rPr>
              <w:t xml:space="preserve">   10   </w:t>
            </w:r>
            <w:r>
              <w:rPr>
                <w:rFonts w:hint="eastAsia" w:ascii="宋体" w:hAnsi="宋体" w:eastAsia="宋体" w:cs="宋体"/>
                <w:spacing w:val="-107"/>
                <w:sz w:val="24"/>
                <w:szCs w:val="24"/>
              </w:rPr>
              <w:t xml:space="preserve"> </w:t>
            </w:r>
            <w:r>
              <w:rPr>
                <w:rFonts w:hint="eastAsia" w:ascii="宋体" w:hAnsi="宋体" w:eastAsia="宋体" w:cs="宋体"/>
                <w:spacing w:val="-1"/>
                <w:sz w:val="24"/>
                <w:szCs w:val="24"/>
              </w:rPr>
              <w:t>%签约合同价</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"bookmark266" </w:instrText>
            </w:r>
            <w:r>
              <w:rPr>
                <w:rFonts w:hint="eastAsia" w:ascii="宋体" w:hAnsi="宋体" w:eastAsia="宋体" w:cs="宋体"/>
                <w:sz w:val="24"/>
                <w:szCs w:val="24"/>
              </w:rPr>
              <w:fldChar w:fldCharType="separate"/>
            </w:r>
            <w:r>
              <w:rPr>
                <w:rFonts w:hint="eastAsia" w:ascii="宋体" w:hAnsi="宋体" w:eastAsia="宋体" w:cs="宋体"/>
                <w:spacing w:val="-1"/>
                <w:position w:val="11"/>
                <w:sz w:val="24"/>
                <w:szCs w:val="24"/>
              </w:rPr>
              <w:t>②</w:t>
            </w:r>
            <w:r>
              <w:rPr>
                <w:rFonts w:hint="eastAsia" w:ascii="宋体" w:hAnsi="宋体" w:eastAsia="宋体" w:cs="宋体"/>
                <w:spacing w:val="-1"/>
                <w:position w:val="11"/>
                <w:sz w:val="24"/>
                <w:szCs w:val="24"/>
              </w:rPr>
              <w:fldChar w:fldCharType="end"/>
            </w:r>
          </w:p>
        </w:tc>
      </w:tr>
      <w:tr w14:paraId="488B8C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0" w:hRule="atLeast"/>
        </w:trPr>
        <w:tc>
          <w:tcPr>
            <w:tcW w:w="732" w:type="dxa"/>
          </w:tcPr>
          <w:p w14:paraId="74719404">
            <w:pPr>
              <w:spacing w:before="199" w:line="188" w:lineRule="auto"/>
              <w:ind w:left="272"/>
              <w:rPr>
                <w:rFonts w:hint="eastAsia" w:ascii="宋体" w:hAnsi="宋体" w:eastAsia="宋体" w:cs="宋体"/>
                <w:sz w:val="24"/>
                <w:szCs w:val="24"/>
              </w:rPr>
            </w:pPr>
            <w:r>
              <w:rPr>
                <w:rFonts w:hint="eastAsia" w:ascii="宋体" w:hAnsi="宋体" w:eastAsia="宋体" w:cs="宋体"/>
                <w:spacing w:val="-15"/>
                <w:sz w:val="24"/>
                <w:szCs w:val="24"/>
              </w:rPr>
              <w:t>13</w:t>
            </w:r>
          </w:p>
        </w:tc>
        <w:tc>
          <w:tcPr>
            <w:tcW w:w="975" w:type="dxa"/>
          </w:tcPr>
          <w:p w14:paraId="48249668">
            <w:pPr>
              <w:spacing w:before="199" w:line="188" w:lineRule="auto"/>
              <w:ind w:left="212"/>
              <w:rPr>
                <w:rFonts w:hint="eastAsia" w:ascii="宋体" w:hAnsi="宋体" w:eastAsia="宋体" w:cs="宋体"/>
                <w:sz w:val="24"/>
                <w:szCs w:val="24"/>
              </w:rPr>
            </w:pPr>
            <w:r>
              <w:rPr>
                <w:rFonts w:hint="eastAsia" w:ascii="宋体" w:hAnsi="宋体" w:eastAsia="宋体" w:cs="宋体"/>
                <w:spacing w:val="-5"/>
                <w:sz w:val="24"/>
                <w:szCs w:val="24"/>
              </w:rPr>
              <w:t>15.5.2</w:t>
            </w:r>
          </w:p>
        </w:tc>
        <w:tc>
          <w:tcPr>
            <w:tcW w:w="7759" w:type="dxa"/>
          </w:tcPr>
          <w:p w14:paraId="1280A3DD">
            <w:pPr>
              <w:spacing w:before="141" w:line="214" w:lineRule="auto"/>
              <w:ind w:left="114"/>
              <w:rPr>
                <w:rFonts w:hint="eastAsia" w:ascii="宋体" w:hAnsi="宋体" w:eastAsia="宋体" w:cs="宋体"/>
                <w:sz w:val="24"/>
                <w:szCs w:val="24"/>
              </w:rPr>
            </w:pPr>
            <w:r>
              <w:rPr>
                <w:rFonts w:hint="eastAsia" w:ascii="宋体" w:hAnsi="宋体" w:eastAsia="宋体" w:cs="宋体"/>
                <w:spacing w:val="-1"/>
                <w:sz w:val="24"/>
                <w:szCs w:val="24"/>
              </w:rPr>
              <w:t>承包人超过绩效目标</w:t>
            </w:r>
            <w:r>
              <w:rPr>
                <w:rFonts w:hint="eastAsia" w:ascii="宋体" w:hAnsi="宋体" w:eastAsia="宋体" w:cs="宋体"/>
                <w:spacing w:val="-1"/>
                <w:sz w:val="24"/>
                <w:szCs w:val="24"/>
                <w:u w:val="single"/>
              </w:rPr>
              <w:t xml:space="preserve">   /   </w:t>
            </w:r>
            <w:r>
              <w:rPr>
                <w:rFonts w:hint="eastAsia" w:ascii="宋体" w:hAnsi="宋体" w:eastAsia="宋体" w:cs="宋体"/>
                <w:spacing w:val="-112"/>
                <w:sz w:val="24"/>
                <w:szCs w:val="24"/>
              </w:rPr>
              <w:t xml:space="preserve"> </w:t>
            </w:r>
            <w:r>
              <w:rPr>
                <w:rFonts w:hint="eastAsia" w:ascii="宋体" w:hAnsi="宋体" w:eastAsia="宋体" w:cs="宋体"/>
                <w:spacing w:val="-1"/>
                <w:sz w:val="24"/>
                <w:szCs w:val="24"/>
              </w:rPr>
              <w:t>%给予奖励</w:t>
            </w:r>
          </w:p>
        </w:tc>
      </w:tr>
      <w:tr w14:paraId="785AA0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2" w:hRule="atLeast"/>
        </w:trPr>
        <w:tc>
          <w:tcPr>
            <w:tcW w:w="732" w:type="dxa"/>
          </w:tcPr>
          <w:p w14:paraId="52149F1F">
            <w:pPr>
              <w:spacing w:before="201" w:line="188" w:lineRule="auto"/>
              <w:ind w:left="272"/>
              <w:rPr>
                <w:rFonts w:hint="eastAsia" w:ascii="宋体" w:hAnsi="宋体" w:eastAsia="宋体" w:cs="宋体"/>
                <w:sz w:val="24"/>
                <w:szCs w:val="24"/>
              </w:rPr>
            </w:pPr>
            <w:r>
              <w:rPr>
                <w:rFonts w:hint="eastAsia" w:ascii="宋体" w:hAnsi="宋体" w:eastAsia="宋体" w:cs="宋体"/>
                <w:spacing w:val="-15"/>
                <w:sz w:val="24"/>
                <w:szCs w:val="24"/>
              </w:rPr>
              <w:t>14</w:t>
            </w:r>
          </w:p>
        </w:tc>
        <w:tc>
          <w:tcPr>
            <w:tcW w:w="975" w:type="dxa"/>
          </w:tcPr>
          <w:p w14:paraId="6A491E07">
            <w:pPr>
              <w:spacing w:before="201" w:line="188" w:lineRule="auto"/>
              <w:ind w:left="301"/>
              <w:rPr>
                <w:rFonts w:hint="eastAsia" w:ascii="宋体" w:hAnsi="宋体" w:eastAsia="宋体" w:cs="宋体"/>
                <w:sz w:val="24"/>
                <w:szCs w:val="24"/>
              </w:rPr>
            </w:pPr>
            <w:bookmarkStart w:id="163" w:name="bookmark265"/>
            <w:bookmarkEnd w:id="163"/>
            <w:bookmarkStart w:id="164" w:name="bookmark266"/>
            <w:bookmarkEnd w:id="164"/>
            <w:r>
              <w:rPr>
                <w:rFonts w:hint="eastAsia" w:ascii="宋体" w:hAnsi="宋体" w:eastAsia="宋体" w:cs="宋体"/>
                <w:spacing w:val="-8"/>
                <w:sz w:val="24"/>
                <w:szCs w:val="24"/>
              </w:rPr>
              <w:t>16.1</w:t>
            </w:r>
          </w:p>
        </w:tc>
        <w:tc>
          <w:tcPr>
            <w:tcW w:w="7759" w:type="dxa"/>
          </w:tcPr>
          <w:p w14:paraId="64234316">
            <w:pPr>
              <w:spacing w:before="141" w:line="216" w:lineRule="auto"/>
              <w:ind w:left="133"/>
              <w:rPr>
                <w:rFonts w:hint="eastAsia" w:ascii="宋体" w:hAnsi="宋体" w:eastAsia="宋体" w:cs="宋体"/>
                <w:sz w:val="24"/>
                <w:szCs w:val="24"/>
              </w:rPr>
            </w:pPr>
            <w:r>
              <w:rPr>
                <w:rFonts w:hint="eastAsia" w:ascii="宋体" w:hAnsi="宋体" w:eastAsia="宋体" w:cs="宋体"/>
                <w:spacing w:val="-2"/>
                <w:sz w:val="24"/>
                <w:szCs w:val="24"/>
              </w:rPr>
              <w:t>因物价波动引起的价格调整按照以下原则处理：</w:t>
            </w:r>
            <w:r>
              <w:rPr>
                <w:rFonts w:hint="eastAsia" w:ascii="宋体" w:hAnsi="宋体" w:eastAsia="宋体" w:cs="宋体"/>
                <w:sz w:val="24"/>
                <w:szCs w:val="24"/>
              </w:rPr>
              <w:t xml:space="preserve"> </w:t>
            </w:r>
          </w:p>
        </w:tc>
      </w:tr>
    </w:tbl>
    <w:p w14:paraId="474B5801">
      <w:pPr>
        <w:spacing w:before="62" w:line="228" w:lineRule="auto"/>
        <w:ind w:left="407"/>
        <w:rPr>
          <w:rFonts w:hint="eastAsia" w:ascii="宋体" w:hAnsi="宋体" w:eastAsia="宋体" w:cs="宋体"/>
          <w:sz w:val="24"/>
          <w:szCs w:val="24"/>
        </w:rPr>
      </w:pPr>
      <w:r>
        <w:rPr>
          <w:rFonts w:hint="eastAsia" w:ascii="宋体" w:hAnsi="宋体" w:eastAsia="宋体" w:cs="宋体"/>
          <w:spacing w:val="6"/>
          <w:sz w:val="24"/>
          <w:szCs w:val="24"/>
        </w:rPr>
        <w:t>① 安全生产费的计取比例不应低于</w:t>
      </w:r>
      <w:r>
        <w:rPr>
          <w:rFonts w:hint="eastAsia" w:ascii="宋体" w:hAnsi="宋体" w:eastAsia="宋体" w:cs="宋体"/>
          <w:spacing w:val="-19"/>
          <w:sz w:val="24"/>
          <w:szCs w:val="24"/>
        </w:rPr>
        <w:t xml:space="preserve"> </w:t>
      </w:r>
      <w:r>
        <w:rPr>
          <w:rFonts w:hint="eastAsia" w:ascii="宋体" w:hAnsi="宋体" w:eastAsia="宋体" w:cs="宋体"/>
          <w:spacing w:val="6"/>
          <w:sz w:val="24"/>
          <w:szCs w:val="24"/>
        </w:rPr>
        <w:t>1.5%</w:t>
      </w:r>
      <w:r>
        <w:rPr>
          <w:rFonts w:hint="eastAsia" w:ascii="宋体" w:hAnsi="宋体" w:eastAsia="宋体" w:cs="宋体"/>
          <w:spacing w:val="-23"/>
          <w:sz w:val="24"/>
          <w:szCs w:val="24"/>
        </w:rPr>
        <w:t xml:space="preserve"> </w:t>
      </w:r>
      <w:r>
        <w:rPr>
          <w:rFonts w:hint="eastAsia" w:ascii="宋体" w:hAnsi="宋体" w:eastAsia="宋体" w:cs="宋体"/>
          <w:spacing w:val="6"/>
          <w:sz w:val="24"/>
          <w:szCs w:val="24"/>
        </w:rPr>
        <w:t>，且不高于</w:t>
      </w:r>
      <w:r>
        <w:rPr>
          <w:rFonts w:hint="eastAsia" w:ascii="宋体" w:hAnsi="宋体" w:eastAsia="宋体" w:cs="宋体"/>
          <w:spacing w:val="-34"/>
          <w:sz w:val="24"/>
          <w:szCs w:val="24"/>
        </w:rPr>
        <w:t xml:space="preserve"> </w:t>
      </w:r>
      <w:r>
        <w:rPr>
          <w:rFonts w:hint="eastAsia" w:ascii="宋体" w:hAnsi="宋体" w:eastAsia="宋体" w:cs="宋体"/>
          <w:spacing w:val="6"/>
          <w:sz w:val="24"/>
          <w:szCs w:val="24"/>
        </w:rPr>
        <w:t>3%。</w:t>
      </w:r>
    </w:p>
    <w:p w14:paraId="09B5E06E">
      <w:pPr>
        <w:spacing w:before="165" w:line="226" w:lineRule="auto"/>
        <w:ind w:left="407"/>
        <w:rPr>
          <w:rFonts w:hint="eastAsia" w:ascii="宋体" w:hAnsi="宋体" w:eastAsia="宋体" w:cs="宋体"/>
          <w:sz w:val="24"/>
          <w:szCs w:val="24"/>
        </w:rPr>
      </w:pPr>
      <w:r>
        <w:rPr>
          <w:rFonts w:hint="eastAsia" w:ascii="宋体" w:hAnsi="宋体" w:eastAsia="宋体" w:cs="宋体"/>
          <w:spacing w:val="7"/>
          <w:sz w:val="24"/>
          <w:szCs w:val="24"/>
        </w:rPr>
        <w:t>② 逾期交工违约金限额一般应为</w:t>
      </w:r>
      <w:r>
        <w:rPr>
          <w:rFonts w:hint="eastAsia" w:ascii="宋体" w:hAnsi="宋体" w:eastAsia="宋体" w:cs="宋体"/>
          <w:spacing w:val="-11"/>
          <w:sz w:val="24"/>
          <w:szCs w:val="24"/>
        </w:rPr>
        <w:t xml:space="preserve"> </w:t>
      </w:r>
      <w:r>
        <w:rPr>
          <w:rFonts w:hint="eastAsia" w:ascii="宋体" w:hAnsi="宋体" w:eastAsia="宋体" w:cs="宋体"/>
          <w:spacing w:val="7"/>
          <w:sz w:val="24"/>
          <w:szCs w:val="24"/>
        </w:rPr>
        <w:t>10%签约合同价。</w:t>
      </w:r>
    </w:p>
    <w:p w14:paraId="6F74050E">
      <w:pPr>
        <w:numPr>
          <w:ilvl w:val="0"/>
          <w:numId w:val="11"/>
        </w:numPr>
        <w:spacing w:line="226" w:lineRule="auto"/>
        <w:rPr>
          <w:rFonts w:hint="eastAsia" w:ascii="宋体" w:hAnsi="宋体" w:eastAsia="宋体" w:cs="宋体"/>
          <w:sz w:val="24"/>
          <w:szCs w:val="24"/>
        </w:rPr>
        <w:sectPr>
          <w:headerReference r:id="rId17" w:type="default"/>
          <w:footerReference r:id="rId18" w:type="default"/>
          <w:pgSz w:w="11905" w:h="16838"/>
          <w:pgMar w:top="1440" w:right="1134" w:bottom="1440" w:left="1134" w:header="0" w:footer="720" w:gutter="0"/>
          <w:pgNumType w:fmt="decimal"/>
          <w:cols w:space="0" w:num="1"/>
          <w:rtlGutter w:val="0"/>
          <w:docGrid w:linePitch="0" w:charSpace="0"/>
        </w:sectPr>
      </w:pPr>
    </w:p>
    <w:tbl>
      <w:tblPr>
        <w:tblStyle w:val="25"/>
        <w:tblW w:w="0" w:type="auto"/>
        <w:tblInd w:w="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32"/>
        <w:gridCol w:w="975"/>
        <w:gridCol w:w="7771"/>
      </w:tblGrid>
      <w:tr w14:paraId="308178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4" w:hRule="atLeast"/>
        </w:trPr>
        <w:tc>
          <w:tcPr>
            <w:tcW w:w="732" w:type="dxa"/>
          </w:tcPr>
          <w:p w14:paraId="2A9D827A">
            <w:pPr>
              <w:spacing w:before="140" w:line="218" w:lineRule="auto"/>
              <w:ind w:left="133"/>
              <w:rPr>
                <w:rFonts w:hint="eastAsia" w:ascii="宋体" w:hAnsi="宋体" w:eastAsia="宋体" w:cs="宋体"/>
                <w:sz w:val="24"/>
                <w:szCs w:val="24"/>
              </w:rPr>
            </w:pPr>
            <w:bookmarkStart w:id="165" w:name="bookmark267"/>
            <w:bookmarkEnd w:id="165"/>
            <w:r>
              <w:rPr>
                <w:rFonts w:hint="eastAsia" w:ascii="宋体" w:hAnsi="宋体" w:eastAsia="宋体" w:cs="宋体"/>
                <w:spacing w:val="-5"/>
                <w:sz w:val="24"/>
                <w:szCs w:val="24"/>
              </w:rPr>
              <w:t>序号</w:t>
            </w:r>
          </w:p>
        </w:tc>
        <w:tc>
          <w:tcPr>
            <w:tcW w:w="975" w:type="dxa"/>
          </w:tcPr>
          <w:p w14:paraId="74E4CFF7">
            <w:pPr>
              <w:spacing w:before="140" w:line="218" w:lineRule="auto"/>
              <w:ind w:left="136"/>
              <w:rPr>
                <w:rFonts w:hint="eastAsia" w:ascii="宋体" w:hAnsi="宋体" w:eastAsia="宋体" w:cs="宋体"/>
                <w:sz w:val="24"/>
                <w:szCs w:val="24"/>
              </w:rPr>
            </w:pPr>
            <w:r>
              <w:rPr>
                <w:rFonts w:hint="eastAsia" w:ascii="宋体" w:hAnsi="宋体" w:eastAsia="宋体" w:cs="宋体"/>
                <w:spacing w:val="-4"/>
                <w:sz w:val="24"/>
                <w:szCs w:val="24"/>
              </w:rPr>
              <w:t>条目号</w:t>
            </w:r>
          </w:p>
        </w:tc>
        <w:tc>
          <w:tcPr>
            <w:tcW w:w="7771" w:type="dxa"/>
          </w:tcPr>
          <w:p w14:paraId="0353725C">
            <w:pPr>
              <w:spacing w:before="140" w:line="218" w:lineRule="auto"/>
              <w:ind w:left="3075"/>
              <w:rPr>
                <w:rFonts w:hint="eastAsia" w:ascii="宋体" w:hAnsi="宋体" w:eastAsia="宋体" w:cs="宋体"/>
                <w:sz w:val="24"/>
                <w:szCs w:val="24"/>
              </w:rPr>
            </w:pPr>
            <w:r>
              <w:rPr>
                <w:rFonts w:hint="eastAsia" w:ascii="宋体" w:hAnsi="宋体" w:eastAsia="宋体" w:cs="宋体"/>
                <w:spacing w:val="-2"/>
                <w:sz w:val="24"/>
                <w:szCs w:val="24"/>
              </w:rPr>
              <w:t>信息或数据</w:t>
            </w:r>
          </w:p>
        </w:tc>
      </w:tr>
      <w:tr w14:paraId="5ED562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604" w:hRule="atLeast"/>
        </w:trPr>
        <w:tc>
          <w:tcPr>
            <w:tcW w:w="732" w:type="dxa"/>
          </w:tcPr>
          <w:p w14:paraId="03C3C6C7">
            <w:pPr>
              <w:pStyle w:val="29"/>
              <w:tabs>
                <w:tab w:val="left" w:pos="0"/>
              </w:tabs>
              <w:rPr>
                <w:rFonts w:hint="eastAsia" w:ascii="宋体" w:hAnsi="宋体" w:eastAsia="宋体" w:cs="宋体"/>
                <w:sz w:val="24"/>
                <w:szCs w:val="24"/>
              </w:rPr>
            </w:pPr>
          </w:p>
        </w:tc>
        <w:tc>
          <w:tcPr>
            <w:tcW w:w="975" w:type="dxa"/>
          </w:tcPr>
          <w:p w14:paraId="6A34CD4A">
            <w:pPr>
              <w:pStyle w:val="29"/>
              <w:tabs>
                <w:tab w:val="left" w:pos="0"/>
              </w:tabs>
              <w:rPr>
                <w:rFonts w:hint="eastAsia" w:ascii="宋体" w:hAnsi="宋体" w:eastAsia="宋体" w:cs="宋体"/>
                <w:sz w:val="24"/>
                <w:szCs w:val="24"/>
              </w:rPr>
            </w:pPr>
          </w:p>
        </w:tc>
        <w:tc>
          <w:tcPr>
            <w:tcW w:w="7771" w:type="dxa"/>
          </w:tcPr>
          <w:p w14:paraId="7D3CEEA1">
            <w:pPr>
              <w:spacing w:before="127" w:line="197" w:lineRule="auto"/>
              <w:ind w:left="125"/>
              <w:rPr>
                <w:rFonts w:hint="eastAsia" w:ascii="宋体" w:hAnsi="宋体" w:eastAsia="宋体" w:cs="宋体"/>
                <w:sz w:val="24"/>
                <w:szCs w:val="24"/>
              </w:rPr>
            </w:pPr>
            <w:r>
              <w:rPr>
                <w:rFonts w:hint="eastAsia" w:ascii="宋体" w:hAnsi="宋体" w:eastAsia="宋体" w:cs="宋体"/>
                <w:sz w:val="24"/>
                <w:szCs w:val="24"/>
              </w:rPr>
              <w:t>□按第</w:t>
            </w:r>
            <w:r>
              <w:rPr>
                <w:rFonts w:hint="eastAsia" w:ascii="宋体" w:hAnsi="宋体" w:eastAsia="宋体" w:cs="宋体"/>
                <w:spacing w:val="-25"/>
                <w:sz w:val="24"/>
                <w:szCs w:val="24"/>
              </w:rPr>
              <w:t xml:space="preserve"> </w:t>
            </w:r>
            <w:r>
              <w:rPr>
                <w:rFonts w:hint="eastAsia" w:ascii="宋体" w:hAnsi="宋体" w:eastAsia="宋体" w:cs="宋体"/>
                <w:sz w:val="24"/>
                <w:szCs w:val="24"/>
              </w:rPr>
              <w:t>16.1.1 项调价，相关约定为：</w:t>
            </w:r>
            <w:r>
              <w:rPr>
                <w:rFonts w:hint="eastAsia" w:ascii="宋体" w:hAnsi="宋体" w:eastAsia="宋体" w:cs="宋体"/>
                <w:sz w:val="24"/>
                <w:szCs w:val="24"/>
                <w:u w:val="single"/>
              </w:rPr>
              <w:t xml:space="preserve">       /         </w:t>
            </w:r>
            <w:r>
              <w:rPr>
                <w:rFonts w:hint="eastAsia" w:ascii="宋体" w:hAnsi="宋体" w:eastAsia="宋体" w:cs="宋体"/>
                <w:sz w:val="24"/>
                <w:szCs w:val="24"/>
              </w:rPr>
              <w:t>。</w:t>
            </w:r>
          </w:p>
          <w:p w14:paraId="0370FE55">
            <w:pPr>
              <w:spacing w:before="60" w:line="197" w:lineRule="auto"/>
              <w:ind w:left="125"/>
              <w:rPr>
                <w:rFonts w:hint="eastAsia" w:ascii="宋体" w:hAnsi="宋体" w:eastAsia="宋体" w:cs="宋体"/>
                <w:sz w:val="24"/>
                <w:szCs w:val="24"/>
              </w:rPr>
            </w:pPr>
            <w:r>
              <w:rPr>
                <w:rFonts w:hint="eastAsia" w:ascii="宋体" w:hAnsi="宋体" w:eastAsia="宋体" w:cs="宋体"/>
                <w:sz w:val="24"/>
                <w:szCs w:val="24"/>
              </w:rPr>
              <w:t>□按第</w:t>
            </w:r>
            <w:r>
              <w:rPr>
                <w:rFonts w:hint="eastAsia" w:ascii="宋体" w:hAnsi="宋体" w:eastAsia="宋体" w:cs="宋体"/>
                <w:spacing w:val="-25"/>
                <w:sz w:val="24"/>
                <w:szCs w:val="24"/>
              </w:rPr>
              <w:t xml:space="preserve"> </w:t>
            </w:r>
            <w:r>
              <w:rPr>
                <w:rFonts w:hint="eastAsia" w:ascii="宋体" w:hAnsi="宋体" w:eastAsia="宋体" w:cs="宋体"/>
                <w:sz w:val="24"/>
                <w:szCs w:val="24"/>
              </w:rPr>
              <w:t>16.1.2 项调价，相关约定为：</w:t>
            </w:r>
            <w:r>
              <w:rPr>
                <w:rFonts w:hint="eastAsia" w:ascii="宋体" w:hAnsi="宋体" w:eastAsia="宋体" w:cs="宋体"/>
                <w:sz w:val="24"/>
                <w:szCs w:val="24"/>
                <w:u w:val="single"/>
              </w:rPr>
              <w:t xml:space="preserve">       /         </w:t>
            </w:r>
            <w:r>
              <w:rPr>
                <w:rFonts w:hint="eastAsia" w:ascii="宋体" w:hAnsi="宋体" w:eastAsia="宋体" w:cs="宋体"/>
                <w:sz w:val="24"/>
                <w:szCs w:val="24"/>
              </w:rPr>
              <w:t>。</w:t>
            </w:r>
          </w:p>
          <w:p w14:paraId="2A6AF82E">
            <w:pPr>
              <w:spacing w:before="62" w:line="197" w:lineRule="auto"/>
              <w:ind w:left="125"/>
              <w:rPr>
                <w:rFonts w:hint="eastAsia" w:ascii="宋体" w:hAnsi="宋体" w:eastAsia="宋体" w:cs="宋体"/>
                <w:sz w:val="24"/>
                <w:szCs w:val="24"/>
              </w:rPr>
            </w:pPr>
            <w:r>
              <w:rPr>
                <w:rFonts w:hint="eastAsia" w:ascii="宋体" w:hAnsi="宋体" w:eastAsia="宋体" w:cs="宋体"/>
                <w:sz w:val="24"/>
                <w:szCs w:val="24"/>
              </w:rPr>
              <w:t>☑按第</w:t>
            </w:r>
            <w:r>
              <w:rPr>
                <w:rFonts w:hint="eastAsia" w:ascii="宋体" w:hAnsi="宋体" w:eastAsia="宋体" w:cs="宋体"/>
                <w:spacing w:val="-25"/>
                <w:sz w:val="24"/>
                <w:szCs w:val="24"/>
              </w:rPr>
              <w:t xml:space="preserve"> </w:t>
            </w:r>
            <w:r>
              <w:rPr>
                <w:rFonts w:hint="eastAsia" w:ascii="宋体" w:hAnsi="宋体" w:eastAsia="宋体" w:cs="宋体"/>
                <w:sz w:val="24"/>
                <w:szCs w:val="24"/>
              </w:rPr>
              <w:t>16.1.3 项约定不调价</w:t>
            </w:r>
          </w:p>
          <w:p w14:paraId="45196DA5">
            <w:pPr>
              <w:spacing w:before="62" w:line="156" w:lineRule="auto"/>
              <w:ind w:left="125"/>
              <w:rPr>
                <w:rFonts w:hint="eastAsia" w:ascii="宋体" w:hAnsi="宋体" w:eastAsia="宋体" w:cs="宋体"/>
                <w:sz w:val="24"/>
                <w:szCs w:val="24"/>
              </w:rPr>
            </w:pPr>
            <w:r>
              <w:rPr>
                <w:rFonts w:hint="eastAsia" w:ascii="宋体" w:hAnsi="宋体" w:eastAsia="宋体" w:cs="宋体"/>
                <w:sz w:val="24"/>
                <w:szCs w:val="24"/>
              </w:rPr>
              <w:t>□按第</w:t>
            </w:r>
            <w:r>
              <w:rPr>
                <w:rFonts w:hint="eastAsia" w:ascii="宋体" w:hAnsi="宋体" w:eastAsia="宋体" w:cs="宋体"/>
                <w:spacing w:val="-25"/>
                <w:sz w:val="24"/>
                <w:szCs w:val="24"/>
              </w:rPr>
              <w:t xml:space="preserve"> </w:t>
            </w:r>
            <w:r>
              <w:rPr>
                <w:rFonts w:hint="eastAsia" w:ascii="宋体" w:hAnsi="宋体" w:eastAsia="宋体" w:cs="宋体"/>
                <w:sz w:val="24"/>
                <w:szCs w:val="24"/>
              </w:rPr>
              <w:t>16.1.4 项调价，相关约定为：</w:t>
            </w:r>
            <w:r>
              <w:rPr>
                <w:rFonts w:hint="eastAsia" w:ascii="宋体" w:hAnsi="宋体" w:eastAsia="宋体" w:cs="宋体"/>
                <w:sz w:val="24"/>
                <w:szCs w:val="24"/>
                <w:u w:val="single"/>
              </w:rPr>
              <w:t xml:space="preserve">       /         </w:t>
            </w:r>
            <w:r>
              <w:rPr>
                <w:rFonts w:hint="eastAsia" w:ascii="宋体" w:hAnsi="宋体" w:eastAsia="宋体" w:cs="宋体"/>
                <w:sz w:val="24"/>
                <w:szCs w:val="24"/>
              </w:rPr>
              <w:t>。</w:t>
            </w:r>
          </w:p>
        </w:tc>
      </w:tr>
      <w:tr w14:paraId="43A637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5" w:hRule="atLeast"/>
        </w:trPr>
        <w:tc>
          <w:tcPr>
            <w:tcW w:w="732" w:type="dxa"/>
          </w:tcPr>
          <w:p w14:paraId="36788694">
            <w:pPr>
              <w:pStyle w:val="29"/>
              <w:tabs>
                <w:tab w:val="left" w:pos="0"/>
              </w:tabs>
              <w:spacing w:line="315" w:lineRule="auto"/>
              <w:rPr>
                <w:rFonts w:hint="eastAsia" w:ascii="宋体" w:hAnsi="宋体" w:eastAsia="宋体" w:cs="宋体"/>
                <w:sz w:val="24"/>
                <w:szCs w:val="24"/>
                <w:lang w:eastAsia="zh-CN"/>
              </w:rPr>
            </w:pPr>
          </w:p>
          <w:p w14:paraId="0D511C84">
            <w:pPr>
              <w:spacing w:before="69" w:line="188" w:lineRule="auto"/>
              <w:ind w:left="272"/>
              <w:rPr>
                <w:rFonts w:hint="eastAsia" w:ascii="宋体" w:hAnsi="宋体" w:eastAsia="宋体" w:cs="宋体"/>
                <w:sz w:val="24"/>
                <w:szCs w:val="24"/>
              </w:rPr>
            </w:pPr>
            <w:r>
              <w:rPr>
                <w:rFonts w:hint="eastAsia" w:ascii="宋体" w:hAnsi="宋体" w:eastAsia="宋体" w:cs="宋体"/>
                <w:spacing w:val="-15"/>
                <w:sz w:val="24"/>
                <w:szCs w:val="24"/>
              </w:rPr>
              <w:t>15</w:t>
            </w:r>
          </w:p>
        </w:tc>
        <w:tc>
          <w:tcPr>
            <w:tcW w:w="975" w:type="dxa"/>
          </w:tcPr>
          <w:p w14:paraId="5CDFF91D">
            <w:pPr>
              <w:spacing w:before="184" w:line="188" w:lineRule="auto"/>
              <w:ind w:left="212"/>
              <w:rPr>
                <w:rFonts w:hint="eastAsia" w:ascii="宋体" w:hAnsi="宋体" w:eastAsia="宋体" w:cs="宋体"/>
                <w:sz w:val="24"/>
                <w:szCs w:val="24"/>
              </w:rPr>
            </w:pPr>
            <w:r>
              <w:rPr>
                <w:rFonts w:hint="eastAsia" w:ascii="宋体" w:hAnsi="宋体" w:eastAsia="宋体" w:cs="宋体"/>
                <w:spacing w:val="-5"/>
                <w:sz w:val="24"/>
                <w:szCs w:val="24"/>
              </w:rPr>
              <w:t>17.2.1</w:t>
            </w:r>
          </w:p>
          <w:p w14:paraId="0A11B68C">
            <w:pPr>
              <w:spacing w:before="126" w:line="206" w:lineRule="auto"/>
              <w:ind w:left="205"/>
              <w:rPr>
                <w:rFonts w:hint="eastAsia" w:ascii="宋体" w:hAnsi="宋体" w:eastAsia="宋体" w:cs="宋体"/>
                <w:sz w:val="24"/>
                <w:szCs w:val="24"/>
              </w:rPr>
            </w:pPr>
            <w:r>
              <w:rPr>
                <w:rFonts w:hint="eastAsia" w:ascii="宋体" w:hAnsi="宋体" w:eastAsia="宋体" w:cs="宋体"/>
                <w:spacing w:val="-7"/>
                <w:sz w:val="24"/>
                <w:szCs w:val="24"/>
              </w:rPr>
              <w:t>（1）</w:t>
            </w:r>
          </w:p>
        </w:tc>
        <w:tc>
          <w:tcPr>
            <w:tcW w:w="7771" w:type="dxa"/>
          </w:tcPr>
          <w:p w14:paraId="1E27B9E4">
            <w:pPr>
              <w:spacing w:before="307" w:line="233" w:lineRule="auto"/>
              <w:ind w:left="115"/>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开工预付款金额：</w:t>
            </w:r>
            <w:r>
              <w:rPr>
                <w:rFonts w:hint="eastAsia" w:ascii="宋体" w:hAnsi="宋体" w:eastAsia="宋体" w:cs="宋体"/>
                <w:spacing w:val="-2"/>
                <w:sz w:val="24"/>
                <w:szCs w:val="24"/>
                <w:highlight w:val="none"/>
                <w:lang w:eastAsia="zh-CN"/>
              </w:rPr>
              <w:t>每年度合同金额的30%</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"bookmark268" </w:instrText>
            </w:r>
            <w:r>
              <w:rPr>
                <w:rFonts w:hint="eastAsia" w:ascii="宋体" w:hAnsi="宋体" w:eastAsia="宋体" w:cs="宋体"/>
                <w:sz w:val="24"/>
                <w:szCs w:val="24"/>
                <w:highlight w:val="none"/>
              </w:rPr>
              <w:fldChar w:fldCharType="separate"/>
            </w:r>
            <w:r>
              <w:rPr>
                <w:rFonts w:hint="eastAsia" w:ascii="宋体" w:hAnsi="宋体" w:eastAsia="宋体" w:cs="宋体"/>
                <w:spacing w:val="-1"/>
                <w:position w:val="12"/>
                <w:sz w:val="24"/>
                <w:szCs w:val="24"/>
                <w:highlight w:val="none"/>
              </w:rPr>
              <w:t>①</w:t>
            </w:r>
            <w:r>
              <w:rPr>
                <w:rFonts w:hint="eastAsia" w:ascii="宋体" w:hAnsi="宋体" w:eastAsia="宋体" w:cs="宋体"/>
                <w:spacing w:val="-1"/>
                <w:position w:val="12"/>
                <w:sz w:val="24"/>
                <w:szCs w:val="24"/>
                <w:highlight w:val="none"/>
              </w:rPr>
              <w:fldChar w:fldCharType="end"/>
            </w:r>
          </w:p>
        </w:tc>
      </w:tr>
      <w:tr w14:paraId="0C5FC7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9" w:hRule="atLeast"/>
        </w:trPr>
        <w:tc>
          <w:tcPr>
            <w:tcW w:w="732" w:type="dxa"/>
          </w:tcPr>
          <w:p w14:paraId="24FF8301">
            <w:pPr>
              <w:pStyle w:val="29"/>
              <w:tabs>
                <w:tab w:val="left" w:pos="0"/>
              </w:tabs>
              <w:spacing w:line="313" w:lineRule="auto"/>
              <w:rPr>
                <w:rFonts w:hint="eastAsia" w:ascii="宋体" w:hAnsi="宋体" w:eastAsia="宋体" w:cs="宋体"/>
                <w:sz w:val="24"/>
                <w:szCs w:val="24"/>
                <w:lang w:eastAsia="zh-CN"/>
              </w:rPr>
            </w:pPr>
          </w:p>
          <w:p w14:paraId="22AD9758">
            <w:pPr>
              <w:spacing w:before="69" w:line="188" w:lineRule="auto"/>
              <w:ind w:left="272"/>
              <w:rPr>
                <w:rFonts w:hint="eastAsia" w:ascii="宋体" w:hAnsi="宋体" w:eastAsia="宋体" w:cs="宋体"/>
                <w:sz w:val="24"/>
                <w:szCs w:val="24"/>
              </w:rPr>
            </w:pPr>
            <w:r>
              <w:rPr>
                <w:rFonts w:hint="eastAsia" w:ascii="宋体" w:hAnsi="宋体" w:eastAsia="宋体" w:cs="宋体"/>
                <w:spacing w:val="-15"/>
                <w:sz w:val="24"/>
                <w:szCs w:val="24"/>
              </w:rPr>
              <w:t>16</w:t>
            </w:r>
          </w:p>
        </w:tc>
        <w:tc>
          <w:tcPr>
            <w:tcW w:w="975" w:type="dxa"/>
          </w:tcPr>
          <w:p w14:paraId="03E178AB">
            <w:pPr>
              <w:spacing w:before="185" w:line="188" w:lineRule="auto"/>
              <w:ind w:left="212"/>
              <w:rPr>
                <w:rFonts w:hint="eastAsia" w:ascii="宋体" w:hAnsi="宋体" w:eastAsia="宋体" w:cs="宋体"/>
                <w:sz w:val="24"/>
                <w:szCs w:val="24"/>
              </w:rPr>
            </w:pPr>
            <w:r>
              <w:rPr>
                <w:rFonts w:hint="eastAsia" w:ascii="宋体" w:hAnsi="宋体" w:eastAsia="宋体" w:cs="宋体"/>
                <w:spacing w:val="-5"/>
                <w:sz w:val="24"/>
                <w:szCs w:val="24"/>
              </w:rPr>
              <w:t>17.2.1</w:t>
            </w:r>
          </w:p>
          <w:p w14:paraId="03F5DDED">
            <w:pPr>
              <w:spacing w:before="126" w:line="193" w:lineRule="auto"/>
              <w:ind w:left="205"/>
              <w:rPr>
                <w:rFonts w:hint="eastAsia" w:ascii="宋体" w:hAnsi="宋体" w:eastAsia="宋体" w:cs="宋体"/>
                <w:sz w:val="24"/>
                <w:szCs w:val="24"/>
              </w:rPr>
            </w:pPr>
            <w:r>
              <w:rPr>
                <w:rFonts w:hint="eastAsia" w:ascii="宋体" w:hAnsi="宋体" w:eastAsia="宋体" w:cs="宋体"/>
                <w:spacing w:val="-7"/>
                <w:sz w:val="24"/>
                <w:szCs w:val="24"/>
              </w:rPr>
              <w:t>（2）</w:t>
            </w:r>
          </w:p>
        </w:tc>
        <w:tc>
          <w:tcPr>
            <w:tcW w:w="7771" w:type="dxa"/>
            <w:shd w:val="clear" w:color="auto" w:fill="FFFFFF"/>
          </w:tcPr>
          <w:p w14:paraId="2C68565E">
            <w:pPr>
              <w:spacing w:before="126" w:line="251" w:lineRule="auto"/>
              <w:ind w:left="133" w:right="107" w:hanging="19"/>
              <w:rPr>
                <w:rFonts w:hint="eastAsia" w:ascii="宋体" w:hAnsi="宋体" w:eastAsia="宋体" w:cs="宋体"/>
                <w:sz w:val="24"/>
                <w:szCs w:val="24"/>
              </w:rPr>
            </w:pPr>
            <w:r>
              <w:rPr>
                <w:rFonts w:hint="eastAsia" w:ascii="宋体" w:hAnsi="宋体" w:eastAsia="宋体" w:cs="宋体"/>
                <w:spacing w:val="11"/>
                <w:sz w:val="24"/>
                <w:szCs w:val="24"/>
              </w:rPr>
              <w:t>材料、设备预付款比例：</w:t>
            </w:r>
            <w:r>
              <w:rPr>
                <w:rFonts w:hint="eastAsia" w:ascii="宋体" w:hAnsi="宋体" w:eastAsia="宋体" w:cs="宋体"/>
                <w:spacing w:val="-91"/>
                <w:sz w:val="24"/>
                <w:szCs w:val="24"/>
              </w:rPr>
              <w:t xml:space="preserve"> </w:t>
            </w:r>
            <w:r>
              <w:rPr>
                <w:rFonts w:hint="eastAsia" w:ascii="宋体" w:hAnsi="宋体" w:eastAsia="宋体" w:cs="宋体"/>
                <w:spacing w:val="13"/>
                <w:sz w:val="24"/>
                <w:szCs w:val="24"/>
                <w:u w:val="single"/>
              </w:rPr>
              <w:t xml:space="preserve">  </w:t>
            </w:r>
            <w:r>
              <w:rPr>
                <w:rFonts w:hint="eastAsia" w:ascii="宋体" w:hAnsi="宋体" w:eastAsia="宋体" w:cs="宋体"/>
                <w:spacing w:val="12"/>
                <w:sz w:val="24"/>
                <w:szCs w:val="24"/>
                <w:u w:val="single"/>
              </w:rPr>
              <w:t>沥青、沥青类</w:t>
            </w:r>
            <w:r>
              <w:rPr>
                <w:rFonts w:hint="eastAsia" w:ascii="宋体" w:hAnsi="宋体" w:eastAsia="宋体" w:cs="宋体"/>
                <w:spacing w:val="12"/>
                <w:sz w:val="24"/>
                <w:szCs w:val="24"/>
                <w:u w:val="single"/>
                <w:lang w:val="en-US" w:eastAsia="zh-CN"/>
              </w:rPr>
              <w:t>材料</w:t>
            </w:r>
            <w:r>
              <w:rPr>
                <w:rFonts w:hint="eastAsia" w:ascii="宋体" w:hAnsi="宋体" w:eastAsia="宋体" w:cs="宋体"/>
                <w:spacing w:val="12"/>
                <w:sz w:val="24"/>
                <w:szCs w:val="24"/>
                <w:u w:val="single"/>
              </w:rPr>
              <w:t>、水泥、砂、碎石、柴油</w:t>
            </w:r>
            <w:r>
              <w:rPr>
                <w:rFonts w:hint="eastAsia" w:ascii="宋体" w:hAnsi="宋体" w:eastAsia="宋体" w:cs="宋体"/>
                <w:spacing w:val="13"/>
                <w:sz w:val="24"/>
                <w:szCs w:val="24"/>
                <w:u w:val="single"/>
              </w:rPr>
              <w:t xml:space="preserve"> </w:t>
            </w:r>
            <w:r>
              <w:rPr>
                <w:rFonts w:hint="eastAsia" w:ascii="宋体" w:hAnsi="宋体" w:eastAsia="宋体" w:cs="宋体"/>
                <w:spacing w:val="-108"/>
                <w:sz w:val="24"/>
                <w:szCs w:val="24"/>
              </w:rPr>
              <w:t xml:space="preserve"> </w:t>
            </w:r>
            <w:r>
              <w:rPr>
                <w:rFonts w:hint="eastAsia" w:ascii="宋体" w:hAnsi="宋体" w:eastAsia="宋体" w:cs="宋体"/>
                <w:spacing w:val="11"/>
                <w:sz w:val="24"/>
                <w:szCs w:val="24"/>
              </w:rPr>
              <w:t>等主要材料、设备单据所列</w:t>
            </w:r>
            <w:r>
              <w:rPr>
                <w:rFonts w:hint="eastAsia" w:ascii="宋体" w:hAnsi="宋体" w:eastAsia="宋体" w:cs="宋体"/>
                <w:spacing w:val="10"/>
                <w:sz w:val="24"/>
                <w:szCs w:val="24"/>
              </w:rPr>
              <w:t>费用</w:t>
            </w:r>
            <w:r>
              <w:rPr>
                <w:rFonts w:hint="eastAsia" w:ascii="宋体" w:hAnsi="宋体" w:eastAsia="宋体" w:cs="宋体"/>
                <w:spacing w:val="-19"/>
                <w:position w:val="-1"/>
                <w:sz w:val="24"/>
                <w:szCs w:val="24"/>
              </w:rPr>
              <w:t>的</w:t>
            </w:r>
            <w:r>
              <w:rPr>
                <w:rFonts w:hint="eastAsia" w:ascii="宋体" w:hAnsi="宋体" w:eastAsia="宋体" w:cs="宋体"/>
                <w:spacing w:val="4"/>
                <w:position w:val="-1"/>
                <w:sz w:val="24"/>
                <w:szCs w:val="24"/>
              </w:rPr>
              <w:t xml:space="preserve"> </w:t>
            </w:r>
            <w:r>
              <w:rPr>
                <w:rFonts w:hint="eastAsia" w:ascii="宋体" w:hAnsi="宋体" w:eastAsia="宋体" w:cs="宋体"/>
                <w:spacing w:val="4"/>
                <w:position w:val="-1"/>
                <w:sz w:val="24"/>
                <w:szCs w:val="24"/>
                <w:u w:val="single"/>
              </w:rPr>
              <w:t xml:space="preserve"> 70</w:t>
            </w:r>
            <w:r>
              <w:rPr>
                <w:rFonts w:hint="eastAsia" w:ascii="宋体" w:hAnsi="宋体" w:eastAsia="宋体" w:cs="宋体"/>
                <w:spacing w:val="-19"/>
                <w:position w:val="-1"/>
                <w:sz w:val="24"/>
                <w:szCs w:val="24"/>
              </w:rPr>
              <w:t>%</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"bookmark269" </w:instrText>
            </w:r>
            <w:r>
              <w:rPr>
                <w:rFonts w:hint="eastAsia" w:ascii="宋体" w:hAnsi="宋体" w:eastAsia="宋体" w:cs="宋体"/>
                <w:sz w:val="24"/>
                <w:szCs w:val="24"/>
              </w:rPr>
              <w:fldChar w:fldCharType="separate"/>
            </w:r>
            <w:r>
              <w:rPr>
                <w:rFonts w:hint="eastAsia" w:ascii="宋体" w:hAnsi="宋体" w:eastAsia="宋体" w:cs="宋体"/>
                <w:position w:val="10"/>
                <w:sz w:val="24"/>
                <w:szCs w:val="24"/>
              </w:rPr>
              <w:t>②</w:t>
            </w:r>
            <w:r>
              <w:rPr>
                <w:rFonts w:hint="eastAsia" w:ascii="宋体" w:hAnsi="宋体" w:eastAsia="宋体" w:cs="宋体"/>
                <w:position w:val="10"/>
                <w:sz w:val="24"/>
                <w:szCs w:val="24"/>
              </w:rPr>
              <w:fldChar w:fldCharType="end"/>
            </w:r>
          </w:p>
        </w:tc>
      </w:tr>
      <w:tr w14:paraId="3BF405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732" w:type="dxa"/>
          </w:tcPr>
          <w:p w14:paraId="5BA56E6E">
            <w:pPr>
              <w:pStyle w:val="29"/>
              <w:tabs>
                <w:tab w:val="left" w:pos="0"/>
              </w:tabs>
              <w:spacing w:line="330" w:lineRule="auto"/>
              <w:rPr>
                <w:rFonts w:hint="eastAsia" w:ascii="宋体" w:hAnsi="宋体" w:eastAsia="宋体" w:cs="宋体"/>
                <w:sz w:val="24"/>
                <w:szCs w:val="24"/>
                <w:lang w:eastAsia="zh-CN"/>
              </w:rPr>
            </w:pPr>
          </w:p>
          <w:p w14:paraId="618CA690">
            <w:pPr>
              <w:spacing w:before="69" w:line="188" w:lineRule="auto"/>
              <w:ind w:left="272"/>
              <w:rPr>
                <w:rFonts w:hint="eastAsia" w:ascii="宋体" w:hAnsi="宋体" w:eastAsia="宋体" w:cs="宋体"/>
                <w:sz w:val="24"/>
                <w:szCs w:val="24"/>
              </w:rPr>
            </w:pPr>
            <w:r>
              <w:rPr>
                <w:rFonts w:hint="eastAsia" w:ascii="宋体" w:hAnsi="宋体" w:eastAsia="宋体" w:cs="宋体"/>
                <w:spacing w:val="-15"/>
                <w:sz w:val="24"/>
                <w:szCs w:val="24"/>
              </w:rPr>
              <w:t>17</w:t>
            </w:r>
          </w:p>
        </w:tc>
        <w:tc>
          <w:tcPr>
            <w:tcW w:w="975" w:type="dxa"/>
          </w:tcPr>
          <w:p w14:paraId="002A4FB0">
            <w:pPr>
              <w:pStyle w:val="29"/>
              <w:tabs>
                <w:tab w:val="left" w:pos="0"/>
              </w:tabs>
              <w:spacing w:line="330" w:lineRule="auto"/>
              <w:rPr>
                <w:rFonts w:hint="eastAsia" w:ascii="宋体" w:hAnsi="宋体" w:eastAsia="宋体" w:cs="宋体"/>
                <w:sz w:val="24"/>
                <w:szCs w:val="24"/>
              </w:rPr>
            </w:pPr>
          </w:p>
          <w:p w14:paraId="1E2B8B4A">
            <w:pPr>
              <w:spacing w:before="69" w:line="188" w:lineRule="auto"/>
              <w:ind w:left="212"/>
              <w:rPr>
                <w:rFonts w:hint="eastAsia" w:ascii="宋体" w:hAnsi="宋体" w:eastAsia="宋体" w:cs="宋体"/>
                <w:sz w:val="24"/>
                <w:szCs w:val="24"/>
              </w:rPr>
            </w:pPr>
            <w:r>
              <w:rPr>
                <w:rFonts w:hint="eastAsia" w:ascii="宋体" w:hAnsi="宋体" w:eastAsia="宋体" w:cs="宋体"/>
                <w:spacing w:val="-5"/>
                <w:sz w:val="24"/>
                <w:szCs w:val="24"/>
              </w:rPr>
              <w:t>17.3.1</w:t>
            </w:r>
          </w:p>
        </w:tc>
        <w:tc>
          <w:tcPr>
            <w:tcW w:w="7771" w:type="dxa"/>
            <w:shd w:val="clear" w:color="auto" w:fill="FFFFFF"/>
          </w:tcPr>
          <w:p w14:paraId="1FB5E558">
            <w:pPr>
              <w:spacing w:before="141" w:line="257" w:lineRule="auto"/>
              <w:ind w:left="113" w:right="107" w:firstLine="42"/>
              <w:rPr>
                <w:rFonts w:hint="eastAsia" w:ascii="宋体" w:hAnsi="宋体" w:eastAsia="宋体" w:cs="宋体"/>
                <w:sz w:val="24"/>
                <w:szCs w:val="24"/>
              </w:rPr>
            </w:pPr>
            <w:r>
              <w:rPr>
                <w:rFonts w:hint="eastAsia" w:ascii="宋体" w:hAnsi="宋体" w:eastAsia="宋体" w:cs="宋体"/>
                <w:spacing w:val="8"/>
                <w:sz w:val="24"/>
                <w:szCs w:val="24"/>
              </w:rPr>
              <w:t>日常养护和承包人自主实施的养护工程付款周期为</w:t>
            </w:r>
            <w:r>
              <w:rPr>
                <w:rFonts w:hint="eastAsia" w:ascii="宋体" w:hAnsi="宋体" w:eastAsia="宋体" w:cs="宋体"/>
                <w:spacing w:val="-9"/>
                <w:sz w:val="24"/>
                <w:szCs w:val="24"/>
                <w:u w:val="single"/>
              </w:rPr>
              <w:t>：</w:t>
            </w:r>
            <w:r>
              <w:rPr>
                <w:rFonts w:hint="eastAsia" w:ascii="宋体" w:hAnsi="宋体" w:eastAsia="宋体" w:cs="宋体"/>
                <w:spacing w:val="9"/>
                <w:sz w:val="24"/>
                <w:szCs w:val="24"/>
                <w:u w:val="single"/>
              </w:rPr>
              <w:t xml:space="preserve"> </w:t>
            </w:r>
            <w:r>
              <w:rPr>
                <w:rFonts w:hint="eastAsia" w:ascii="宋体" w:hAnsi="宋体" w:eastAsia="宋体" w:cs="宋体"/>
                <w:spacing w:val="8"/>
                <w:sz w:val="24"/>
                <w:szCs w:val="24"/>
                <w:u w:val="single"/>
              </w:rPr>
              <w:t>月</w:t>
            </w:r>
            <w:r>
              <w:rPr>
                <w:rFonts w:hint="eastAsia" w:ascii="宋体" w:hAnsi="宋体" w:eastAsia="宋体" w:cs="宋体"/>
                <w:spacing w:val="-2"/>
                <w:sz w:val="24"/>
                <w:szCs w:val="24"/>
                <w:u w:val="single"/>
              </w:rPr>
              <w:t xml:space="preserve">度  </w:t>
            </w:r>
          </w:p>
        </w:tc>
      </w:tr>
      <w:tr w14:paraId="6B08B7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4" w:hRule="atLeast"/>
        </w:trPr>
        <w:tc>
          <w:tcPr>
            <w:tcW w:w="732" w:type="dxa"/>
          </w:tcPr>
          <w:p w14:paraId="2FB2ACAB">
            <w:pPr>
              <w:pStyle w:val="29"/>
              <w:tabs>
                <w:tab w:val="left" w:pos="0"/>
              </w:tabs>
              <w:spacing w:line="314" w:lineRule="auto"/>
              <w:rPr>
                <w:rFonts w:hint="eastAsia" w:ascii="宋体" w:hAnsi="宋体" w:eastAsia="宋体" w:cs="宋体"/>
                <w:sz w:val="24"/>
                <w:szCs w:val="24"/>
                <w:lang w:eastAsia="zh-CN"/>
              </w:rPr>
            </w:pPr>
          </w:p>
          <w:p w14:paraId="1CF54ADF">
            <w:pPr>
              <w:spacing w:before="69" w:line="188" w:lineRule="auto"/>
              <w:ind w:left="272"/>
              <w:rPr>
                <w:rFonts w:hint="eastAsia" w:ascii="宋体" w:hAnsi="宋体" w:eastAsia="宋体" w:cs="宋体"/>
                <w:sz w:val="24"/>
                <w:szCs w:val="24"/>
              </w:rPr>
            </w:pPr>
            <w:r>
              <w:rPr>
                <w:rFonts w:hint="eastAsia" w:ascii="宋体" w:hAnsi="宋体" w:eastAsia="宋体" w:cs="宋体"/>
                <w:spacing w:val="-15"/>
                <w:sz w:val="24"/>
                <w:szCs w:val="24"/>
              </w:rPr>
              <w:t>18</w:t>
            </w:r>
          </w:p>
        </w:tc>
        <w:tc>
          <w:tcPr>
            <w:tcW w:w="975" w:type="dxa"/>
          </w:tcPr>
          <w:p w14:paraId="5DF6410C">
            <w:pPr>
              <w:pStyle w:val="29"/>
              <w:tabs>
                <w:tab w:val="left" w:pos="0"/>
              </w:tabs>
              <w:spacing w:line="314" w:lineRule="auto"/>
              <w:rPr>
                <w:rFonts w:hint="eastAsia" w:ascii="宋体" w:hAnsi="宋体" w:eastAsia="宋体" w:cs="宋体"/>
                <w:sz w:val="24"/>
                <w:szCs w:val="24"/>
              </w:rPr>
            </w:pPr>
          </w:p>
          <w:p w14:paraId="74A8914F">
            <w:pPr>
              <w:spacing w:before="69" w:line="188" w:lineRule="auto"/>
              <w:ind w:left="212"/>
              <w:rPr>
                <w:rFonts w:hint="eastAsia" w:ascii="宋体" w:hAnsi="宋体" w:eastAsia="宋体" w:cs="宋体"/>
                <w:sz w:val="24"/>
                <w:szCs w:val="24"/>
              </w:rPr>
            </w:pPr>
            <w:r>
              <w:rPr>
                <w:rFonts w:hint="eastAsia" w:ascii="宋体" w:hAnsi="宋体" w:eastAsia="宋体" w:cs="宋体"/>
                <w:spacing w:val="-5"/>
                <w:sz w:val="24"/>
                <w:szCs w:val="24"/>
              </w:rPr>
              <w:t>17.3.2</w:t>
            </w:r>
          </w:p>
        </w:tc>
        <w:tc>
          <w:tcPr>
            <w:tcW w:w="7771" w:type="dxa"/>
            <w:shd w:val="clear" w:color="auto" w:fill="FFFFFF"/>
          </w:tcPr>
          <w:p w14:paraId="4732F20D">
            <w:pPr>
              <w:spacing w:before="128" w:line="256" w:lineRule="auto"/>
              <w:ind w:left="125" w:right="105" w:hanging="11"/>
              <w:rPr>
                <w:rFonts w:hint="eastAsia" w:ascii="宋体" w:hAnsi="宋体" w:eastAsia="宋体" w:cs="宋体"/>
                <w:sz w:val="24"/>
                <w:szCs w:val="24"/>
              </w:rPr>
            </w:pPr>
            <w:r>
              <w:rPr>
                <w:rFonts w:hint="eastAsia" w:ascii="宋体" w:hAnsi="宋体" w:eastAsia="宋体" w:cs="宋体"/>
                <w:spacing w:val="5"/>
                <w:sz w:val="24"/>
                <w:szCs w:val="24"/>
              </w:rPr>
              <w:t>承包人在每个付款周期末向发包人提交进度付款申请单</w:t>
            </w:r>
            <w:r>
              <w:rPr>
                <w:rFonts w:hint="eastAsia" w:ascii="宋体" w:hAnsi="宋体" w:eastAsia="宋体" w:cs="宋体"/>
                <w:spacing w:val="-1"/>
                <w:sz w:val="24"/>
                <w:szCs w:val="24"/>
              </w:rPr>
              <w:t>（包括相关证明材料）的份数：</w:t>
            </w:r>
            <w:r>
              <w:rPr>
                <w:rFonts w:hint="eastAsia" w:ascii="宋体" w:hAnsi="宋体" w:eastAsia="宋体" w:cs="宋体"/>
                <w:spacing w:val="-1"/>
                <w:sz w:val="24"/>
                <w:szCs w:val="24"/>
                <w:u w:val="single"/>
              </w:rPr>
              <w:t xml:space="preserve">   3  </w:t>
            </w:r>
            <w:r>
              <w:rPr>
                <w:rFonts w:hint="eastAsia" w:ascii="宋体" w:hAnsi="宋体" w:eastAsia="宋体" w:cs="宋体"/>
                <w:spacing w:val="-2"/>
                <w:sz w:val="24"/>
                <w:szCs w:val="24"/>
                <w:u w:val="single"/>
              </w:rPr>
              <w:t xml:space="preserve"> </w:t>
            </w:r>
            <w:r>
              <w:rPr>
                <w:rFonts w:hint="eastAsia" w:ascii="宋体" w:hAnsi="宋体" w:eastAsia="宋体" w:cs="宋体"/>
                <w:spacing w:val="-110"/>
                <w:sz w:val="24"/>
                <w:szCs w:val="24"/>
              </w:rPr>
              <w:t xml:space="preserve"> </w:t>
            </w:r>
            <w:r>
              <w:rPr>
                <w:rFonts w:hint="eastAsia" w:ascii="宋体" w:hAnsi="宋体" w:eastAsia="宋体" w:cs="宋体"/>
                <w:spacing w:val="-2"/>
                <w:sz w:val="24"/>
                <w:szCs w:val="24"/>
              </w:rPr>
              <w:t>份</w:t>
            </w:r>
          </w:p>
        </w:tc>
      </w:tr>
      <w:tr w14:paraId="10C215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5" w:hRule="atLeast"/>
        </w:trPr>
        <w:tc>
          <w:tcPr>
            <w:tcW w:w="732" w:type="dxa"/>
          </w:tcPr>
          <w:p w14:paraId="1FEB3F83">
            <w:pPr>
              <w:pStyle w:val="29"/>
              <w:tabs>
                <w:tab w:val="left" w:pos="0"/>
              </w:tabs>
              <w:spacing w:line="317" w:lineRule="auto"/>
              <w:rPr>
                <w:rFonts w:hint="eastAsia" w:ascii="宋体" w:hAnsi="宋体" w:eastAsia="宋体" w:cs="宋体"/>
                <w:sz w:val="24"/>
                <w:szCs w:val="24"/>
                <w:lang w:eastAsia="zh-CN"/>
              </w:rPr>
            </w:pPr>
          </w:p>
          <w:p w14:paraId="24D78AE8">
            <w:pPr>
              <w:spacing w:before="68" w:line="188" w:lineRule="auto"/>
              <w:ind w:left="272"/>
              <w:rPr>
                <w:rFonts w:hint="eastAsia" w:ascii="宋体" w:hAnsi="宋体" w:eastAsia="宋体" w:cs="宋体"/>
                <w:sz w:val="24"/>
                <w:szCs w:val="24"/>
              </w:rPr>
            </w:pPr>
            <w:r>
              <w:rPr>
                <w:rFonts w:hint="eastAsia" w:ascii="宋体" w:hAnsi="宋体" w:eastAsia="宋体" w:cs="宋体"/>
                <w:spacing w:val="-15"/>
                <w:sz w:val="24"/>
                <w:szCs w:val="24"/>
              </w:rPr>
              <w:t>19</w:t>
            </w:r>
          </w:p>
        </w:tc>
        <w:tc>
          <w:tcPr>
            <w:tcW w:w="975" w:type="dxa"/>
          </w:tcPr>
          <w:p w14:paraId="4ECE7141">
            <w:pPr>
              <w:spacing w:before="186" w:line="188" w:lineRule="auto"/>
              <w:ind w:left="181"/>
              <w:rPr>
                <w:rFonts w:hint="eastAsia" w:ascii="宋体" w:hAnsi="宋体" w:eastAsia="宋体" w:cs="宋体"/>
                <w:sz w:val="24"/>
                <w:szCs w:val="24"/>
              </w:rPr>
            </w:pPr>
            <w:r>
              <w:rPr>
                <w:rFonts w:hint="eastAsia" w:ascii="宋体" w:hAnsi="宋体" w:eastAsia="宋体" w:cs="宋体"/>
                <w:spacing w:val="-5"/>
                <w:sz w:val="24"/>
                <w:szCs w:val="24"/>
              </w:rPr>
              <w:t>17.3.2.</w:t>
            </w:r>
          </w:p>
          <w:p w14:paraId="5529BDD6">
            <w:pPr>
              <w:spacing w:before="184" w:line="181" w:lineRule="auto"/>
              <w:ind w:left="429"/>
              <w:rPr>
                <w:rFonts w:hint="eastAsia" w:ascii="宋体" w:hAnsi="宋体" w:eastAsia="宋体" w:cs="宋体"/>
                <w:sz w:val="24"/>
                <w:szCs w:val="24"/>
              </w:rPr>
            </w:pPr>
            <w:r>
              <w:rPr>
                <w:rFonts w:hint="eastAsia" w:ascii="宋体" w:hAnsi="宋体" w:eastAsia="宋体" w:cs="宋体"/>
                <w:sz w:val="24"/>
                <w:szCs w:val="24"/>
              </w:rPr>
              <w:t>2</w:t>
            </w:r>
          </w:p>
        </w:tc>
        <w:tc>
          <w:tcPr>
            <w:tcW w:w="7771" w:type="dxa"/>
            <w:shd w:val="clear" w:color="auto" w:fill="FFFFFF"/>
          </w:tcPr>
          <w:p w14:paraId="5730FAF1">
            <w:pPr>
              <w:pStyle w:val="29"/>
              <w:tabs>
                <w:tab w:val="left" w:pos="0"/>
              </w:tabs>
              <w:spacing w:line="249" w:lineRule="auto"/>
              <w:rPr>
                <w:rFonts w:hint="eastAsia" w:ascii="宋体" w:hAnsi="宋体" w:eastAsia="宋体" w:cs="宋体"/>
                <w:sz w:val="24"/>
                <w:szCs w:val="24"/>
                <w:lang w:eastAsia="zh-CN"/>
              </w:rPr>
            </w:pPr>
          </w:p>
          <w:p w14:paraId="675777CF">
            <w:pPr>
              <w:spacing w:before="78" w:line="219" w:lineRule="auto"/>
              <w:ind w:left="115"/>
              <w:rPr>
                <w:rFonts w:hint="eastAsia" w:ascii="宋体" w:hAnsi="宋体" w:eastAsia="宋体" w:cs="宋体"/>
                <w:sz w:val="24"/>
                <w:szCs w:val="24"/>
              </w:rPr>
            </w:pPr>
            <w:r>
              <w:rPr>
                <w:rFonts w:hint="eastAsia" w:ascii="宋体" w:hAnsi="宋体" w:eastAsia="宋体" w:cs="宋体"/>
                <w:spacing w:val="-1"/>
                <w:sz w:val="24"/>
                <w:szCs w:val="24"/>
              </w:rPr>
              <w:t>本周期日常养护和承包人自主实施的养护工程付款限额：</w:t>
            </w:r>
            <w:r>
              <w:rPr>
                <w:rFonts w:hint="eastAsia" w:ascii="宋体" w:hAnsi="宋体" w:eastAsia="宋体" w:cs="宋体"/>
                <w:sz w:val="24"/>
                <w:szCs w:val="24"/>
                <w:u w:val="single"/>
              </w:rPr>
              <w:t xml:space="preserve"> /</w:t>
            </w:r>
          </w:p>
        </w:tc>
      </w:tr>
      <w:tr w14:paraId="5B2226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5" w:hRule="atLeast"/>
        </w:trPr>
        <w:tc>
          <w:tcPr>
            <w:tcW w:w="732" w:type="dxa"/>
          </w:tcPr>
          <w:p w14:paraId="43BA3982">
            <w:pPr>
              <w:pStyle w:val="29"/>
              <w:tabs>
                <w:tab w:val="left" w:pos="0"/>
              </w:tabs>
              <w:spacing w:line="315" w:lineRule="auto"/>
              <w:rPr>
                <w:rFonts w:hint="eastAsia" w:ascii="宋体" w:hAnsi="宋体" w:eastAsia="宋体" w:cs="宋体"/>
                <w:sz w:val="24"/>
                <w:szCs w:val="24"/>
                <w:lang w:eastAsia="zh-CN"/>
              </w:rPr>
            </w:pPr>
          </w:p>
          <w:p w14:paraId="7AE8C26D">
            <w:pPr>
              <w:spacing w:before="69" w:line="188" w:lineRule="auto"/>
              <w:ind w:left="249"/>
              <w:rPr>
                <w:rFonts w:hint="eastAsia" w:ascii="宋体" w:hAnsi="宋体" w:eastAsia="宋体" w:cs="宋体"/>
                <w:sz w:val="24"/>
                <w:szCs w:val="24"/>
              </w:rPr>
            </w:pPr>
            <w:r>
              <w:rPr>
                <w:rFonts w:hint="eastAsia" w:ascii="宋体" w:hAnsi="宋体" w:eastAsia="宋体" w:cs="宋体"/>
                <w:spacing w:val="-3"/>
                <w:sz w:val="24"/>
                <w:szCs w:val="24"/>
              </w:rPr>
              <w:t>20</w:t>
            </w:r>
          </w:p>
        </w:tc>
        <w:tc>
          <w:tcPr>
            <w:tcW w:w="975" w:type="dxa"/>
          </w:tcPr>
          <w:p w14:paraId="01F6362B">
            <w:pPr>
              <w:spacing w:before="187" w:line="188" w:lineRule="auto"/>
              <w:ind w:left="212"/>
              <w:rPr>
                <w:rFonts w:hint="eastAsia" w:ascii="宋体" w:hAnsi="宋体" w:eastAsia="宋体" w:cs="宋体"/>
                <w:sz w:val="24"/>
                <w:szCs w:val="24"/>
              </w:rPr>
            </w:pPr>
            <w:r>
              <w:rPr>
                <w:rFonts w:hint="eastAsia" w:ascii="宋体" w:hAnsi="宋体" w:eastAsia="宋体" w:cs="宋体"/>
                <w:spacing w:val="-5"/>
                <w:sz w:val="24"/>
                <w:szCs w:val="24"/>
              </w:rPr>
              <w:t>17.3.3</w:t>
            </w:r>
          </w:p>
          <w:p w14:paraId="33B21703">
            <w:pPr>
              <w:spacing w:before="126" w:line="204" w:lineRule="auto"/>
              <w:ind w:left="205"/>
              <w:rPr>
                <w:rFonts w:hint="eastAsia" w:ascii="宋体" w:hAnsi="宋体" w:eastAsia="宋体" w:cs="宋体"/>
                <w:sz w:val="24"/>
                <w:szCs w:val="24"/>
              </w:rPr>
            </w:pPr>
            <w:r>
              <w:rPr>
                <w:rFonts w:hint="eastAsia" w:ascii="宋体" w:hAnsi="宋体" w:eastAsia="宋体" w:cs="宋体"/>
                <w:spacing w:val="-7"/>
                <w:sz w:val="24"/>
                <w:szCs w:val="24"/>
              </w:rPr>
              <w:t>（2）</w:t>
            </w:r>
          </w:p>
        </w:tc>
        <w:tc>
          <w:tcPr>
            <w:tcW w:w="7771" w:type="dxa"/>
            <w:shd w:val="clear" w:color="auto" w:fill="FFFFFF"/>
          </w:tcPr>
          <w:p w14:paraId="4855C783">
            <w:pPr>
              <w:spacing w:before="309" w:line="234" w:lineRule="auto"/>
              <w:ind w:left="112"/>
              <w:rPr>
                <w:rFonts w:hint="eastAsia" w:ascii="宋体" w:hAnsi="宋体" w:eastAsia="宋体" w:cs="宋体"/>
                <w:sz w:val="24"/>
                <w:szCs w:val="24"/>
              </w:rPr>
            </w:pPr>
            <w:r>
              <w:rPr>
                <w:rFonts w:hint="eastAsia" w:ascii="宋体" w:hAnsi="宋体" w:eastAsia="宋体" w:cs="宋体"/>
                <w:spacing w:val="-1"/>
                <w:sz w:val="24"/>
                <w:szCs w:val="24"/>
              </w:rPr>
              <w:t>逾期付款违约金的利率：</w:t>
            </w:r>
            <w:r>
              <w:rPr>
                <w:rFonts w:hint="eastAsia" w:ascii="宋体" w:hAnsi="宋体" w:eastAsia="宋体" w:cs="宋体"/>
                <w:spacing w:val="-1"/>
                <w:sz w:val="24"/>
                <w:szCs w:val="24"/>
                <w:u w:val="single"/>
              </w:rPr>
              <w:t xml:space="preserve">  0.5   </w:t>
            </w:r>
            <w:r>
              <w:rPr>
                <w:rFonts w:hint="eastAsia" w:ascii="宋体" w:hAnsi="宋体" w:eastAsia="宋体" w:cs="宋体"/>
                <w:spacing w:val="-111"/>
                <w:sz w:val="24"/>
                <w:szCs w:val="24"/>
              </w:rPr>
              <w:t xml:space="preserve"> </w:t>
            </w:r>
            <w:r>
              <w:rPr>
                <w:rFonts w:hint="eastAsia" w:ascii="宋体" w:hAnsi="宋体" w:eastAsia="宋体" w:cs="宋体"/>
                <w:spacing w:val="-1"/>
                <w:sz w:val="24"/>
                <w:szCs w:val="24"/>
              </w:rPr>
              <w:t>‰/天</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"bookmark270" </w:instrText>
            </w:r>
            <w:r>
              <w:rPr>
                <w:rFonts w:hint="eastAsia" w:ascii="宋体" w:hAnsi="宋体" w:eastAsia="宋体" w:cs="宋体"/>
                <w:sz w:val="24"/>
                <w:szCs w:val="24"/>
              </w:rPr>
              <w:fldChar w:fldCharType="separate"/>
            </w:r>
            <w:r>
              <w:rPr>
                <w:rFonts w:hint="eastAsia" w:ascii="宋体" w:hAnsi="宋体" w:eastAsia="宋体" w:cs="宋体"/>
                <w:spacing w:val="-1"/>
                <w:position w:val="12"/>
                <w:sz w:val="24"/>
                <w:szCs w:val="24"/>
              </w:rPr>
              <w:t>③</w:t>
            </w:r>
            <w:r>
              <w:rPr>
                <w:rFonts w:hint="eastAsia" w:ascii="宋体" w:hAnsi="宋体" w:eastAsia="宋体" w:cs="宋体"/>
                <w:spacing w:val="-1"/>
                <w:position w:val="12"/>
                <w:sz w:val="24"/>
                <w:szCs w:val="24"/>
              </w:rPr>
              <w:fldChar w:fldCharType="end"/>
            </w:r>
          </w:p>
        </w:tc>
      </w:tr>
      <w:tr w14:paraId="333338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4" w:hRule="atLeast"/>
        </w:trPr>
        <w:tc>
          <w:tcPr>
            <w:tcW w:w="732" w:type="dxa"/>
          </w:tcPr>
          <w:p w14:paraId="753E9C3F">
            <w:pPr>
              <w:pStyle w:val="29"/>
              <w:tabs>
                <w:tab w:val="left" w:pos="0"/>
              </w:tabs>
              <w:spacing w:line="304" w:lineRule="auto"/>
              <w:rPr>
                <w:rFonts w:hint="eastAsia" w:ascii="宋体" w:hAnsi="宋体" w:eastAsia="宋体" w:cs="宋体"/>
                <w:sz w:val="24"/>
                <w:szCs w:val="24"/>
                <w:lang w:eastAsia="zh-CN"/>
              </w:rPr>
            </w:pPr>
          </w:p>
          <w:p w14:paraId="223B1CFB">
            <w:pPr>
              <w:pStyle w:val="29"/>
              <w:tabs>
                <w:tab w:val="left" w:pos="0"/>
              </w:tabs>
              <w:spacing w:line="304" w:lineRule="auto"/>
              <w:rPr>
                <w:rFonts w:hint="eastAsia" w:ascii="宋体" w:hAnsi="宋体" w:eastAsia="宋体" w:cs="宋体"/>
                <w:sz w:val="24"/>
                <w:szCs w:val="24"/>
                <w:lang w:eastAsia="zh-CN"/>
              </w:rPr>
            </w:pPr>
          </w:p>
          <w:p w14:paraId="687CC588">
            <w:pPr>
              <w:pStyle w:val="29"/>
              <w:tabs>
                <w:tab w:val="left" w:pos="0"/>
              </w:tabs>
              <w:spacing w:line="305" w:lineRule="auto"/>
              <w:rPr>
                <w:rFonts w:hint="eastAsia" w:ascii="宋体" w:hAnsi="宋体" w:eastAsia="宋体" w:cs="宋体"/>
                <w:sz w:val="24"/>
                <w:szCs w:val="24"/>
                <w:lang w:eastAsia="zh-CN"/>
              </w:rPr>
            </w:pPr>
          </w:p>
          <w:p w14:paraId="5218DFCB">
            <w:pPr>
              <w:spacing w:before="69" w:line="188" w:lineRule="auto"/>
              <w:ind w:left="249"/>
              <w:rPr>
                <w:rFonts w:hint="eastAsia" w:ascii="宋体" w:hAnsi="宋体" w:eastAsia="宋体" w:cs="宋体"/>
                <w:sz w:val="24"/>
                <w:szCs w:val="24"/>
              </w:rPr>
            </w:pPr>
            <w:r>
              <w:rPr>
                <w:rFonts w:hint="eastAsia" w:ascii="宋体" w:hAnsi="宋体" w:eastAsia="宋体" w:cs="宋体"/>
                <w:spacing w:val="-3"/>
                <w:sz w:val="24"/>
                <w:szCs w:val="24"/>
              </w:rPr>
              <w:t>21</w:t>
            </w:r>
          </w:p>
        </w:tc>
        <w:tc>
          <w:tcPr>
            <w:tcW w:w="975" w:type="dxa"/>
          </w:tcPr>
          <w:p w14:paraId="08E859E6">
            <w:pPr>
              <w:pStyle w:val="29"/>
              <w:tabs>
                <w:tab w:val="left" w:pos="0"/>
              </w:tabs>
              <w:spacing w:line="304" w:lineRule="auto"/>
              <w:rPr>
                <w:rFonts w:hint="eastAsia" w:ascii="宋体" w:hAnsi="宋体" w:eastAsia="宋体" w:cs="宋体"/>
                <w:sz w:val="24"/>
                <w:szCs w:val="24"/>
              </w:rPr>
            </w:pPr>
          </w:p>
          <w:p w14:paraId="5C7689A3">
            <w:pPr>
              <w:pStyle w:val="29"/>
              <w:tabs>
                <w:tab w:val="left" w:pos="0"/>
              </w:tabs>
              <w:spacing w:line="304" w:lineRule="auto"/>
              <w:rPr>
                <w:rFonts w:hint="eastAsia" w:ascii="宋体" w:hAnsi="宋体" w:eastAsia="宋体" w:cs="宋体"/>
                <w:sz w:val="24"/>
                <w:szCs w:val="24"/>
              </w:rPr>
            </w:pPr>
          </w:p>
          <w:p w14:paraId="04856C12">
            <w:pPr>
              <w:pStyle w:val="29"/>
              <w:tabs>
                <w:tab w:val="left" w:pos="0"/>
              </w:tabs>
              <w:spacing w:line="305" w:lineRule="auto"/>
              <w:rPr>
                <w:rFonts w:hint="eastAsia" w:ascii="宋体" w:hAnsi="宋体" w:eastAsia="宋体" w:cs="宋体"/>
                <w:sz w:val="24"/>
                <w:szCs w:val="24"/>
              </w:rPr>
            </w:pPr>
          </w:p>
          <w:p w14:paraId="77802BD3">
            <w:pPr>
              <w:spacing w:before="69" w:line="188" w:lineRule="auto"/>
              <w:ind w:left="212"/>
              <w:rPr>
                <w:rFonts w:hint="eastAsia" w:ascii="宋体" w:hAnsi="宋体" w:eastAsia="宋体" w:cs="宋体"/>
                <w:sz w:val="24"/>
                <w:szCs w:val="24"/>
              </w:rPr>
            </w:pPr>
            <w:r>
              <w:rPr>
                <w:rFonts w:hint="eastAsia" w:ascii="宋体" w:hAnsi="宋体" w:eastAsia="宋体" w:cs="宋体"/>
                <w:spacing w:val="-5"/>
                <w:sz w:val="24"/>
                <w:szCs w:val="24"/>
              </w:rPr>
              <w:t>17.4.1</w:t>
            </w:r>
          </w:p>
        </w:tc>
        <w:tc>
          <w:tcPr>
            <w:tcW w:w="7771" w:type="dxa"/>
          </w:tcPr>
          <w:p w14:paraId="6BED4ECD">
            <w:pPr>
              <w:spacing w:line="323" w:lineRule="auto"/>
              <w:ind w:left="113" w:right="107"/>
              <w:rPr>
                <w:rFonts w:hint="eastAsia" w:ascii="宋体" w:hAnsi="宋体" w:eastAsia="宋体" w:cs="宋体"/>
                <w:sz w:val="24"/>
                <w:szCs w:val="24"/>
              </w:rPr>
            </w:pPr>
            <w:r>
              <w:rPr>
                <w:rFonts w:hint="eastAsia" w:ascii="宋体" w:hAnsi="宋体" w:eastAsia="宋体" w:cs="宋体"/>
                <w:spacing w:val="-1"/>
                <w:sz w:val="24"/>
                <w:szCs w:val="24"/>
              </w:rPr>
              <w:t>质量保证金金额：</w:t>
            </w:r>
            <w:r>
              <w:rPr>
                <w:rFonts w:hint="eastAsia" w:ascii="宋体" w:hAnsi="宋体" w:eastAsia="宋体" w:cs="宋体"/>
                <w:spacing w:val="-1"/>
                <w:sz w:val="24"/>
                <w:szCs w:val="24"/>
                <w:u w:val="single"/>
              </w:rPr>
              <w:t xml:space="preserve"> 3 </w:t>
            </w:r>
            <w:r>
              <w:rPr>
                <w:rFonts w:hint="eastAsia" w:ascii="宋体" w:hAnsi="宋体" w:eastAsia="宋体" w:cs="宋体"/>
                <w:spacing w:val="-111"/>
                <w:sz w:val="24"/>
                <w:szCs w:val="24"/>
              </w:rPr>
              <w:t xml:space="preserve"> </w:t>
            </w:r>
            <w:r>
              <w:rPr>
                <w:rFonts w:hint="eastAsia" w:ascii="宋体" w:hAnsi="宋体" w:eastAsia="宋体" w:cs="宋体"/>
                <w:spacing w:val="-1"/>
                <w:sz w:val="24"/>
                <w:szCs w:val="24"/>
              </w:rPr>
              <w:t>%合同价格</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"bookmark271" </w:instrText>
            </w:r>
            <w:r>
              <w:rPr>
                <w:rFonts w:hint="eastAsia" w:ascii="宋体" w:hAnsi="宋体" w:eastAsia="宋体" w:cs="宋体"/>
                <w:sz w:val="24"/>
                <w:szCs w:val="24"/>
              </w:rPr>
              <w:fldChar w:fldCharType="separate"/>
            </w:r>
            <w:r>
              <w:rPr>
                <w:rFonts w:hint="eastAsia" w:ascii="宋体" w:hAnsi="宋体" w:eastAsia="宋体" w:cs="宋体"/>
                <w:spacing w:val="-1"/>
                <w:position w:val="11"/>
                <w:sz w:val="24"/>
                <w:szCs w:val="24"/>
              </w:rPr>
              <w:t>④</w:t>
            </w:r>
            <w:r>
              <w:rPr>
                <w:rFonts w:hint="eastAsia" w:ascii="宋体" w:hAnsi="宋体" w:eastAsia="宋体" w:cs="宋体"/>
                <w:spacing w:val="-1"/>
                <w:position w:val="11"/>
                <w:sz w:val="24"/>
                <w:szCs w:val="24"/>
              </w:rPr>
              <w:fldChar w:fldCharType="end"/>
            </w:r>
            <w:r>
              <w:rPr>
                <w:rFonts w:hint="eastAsia" w:ascii="宋体" w:hAnsi="宋体" w:eastAsia="宋体" w:cs="宋体"/>
                <w:spacing w:val="-29"/>
                <w:position w:val="11"/>
                <w:sz w:val="24"/>
                <w:szCs w:val="24"/>
              </w:rPr>
              <w:t xml:space="preserve"> </w:t>
            </w:r>
            <w:r>
              <w:rPr>
                <w:rFonts w:hint="eastAsia" w:ascii="宋体" w:hAnsi="宋体" w:eastAsia="宋体" w:cs="宋体"/>
                <w:spacing w:val="-1"/>
                <w:sz w:val="24"/>
                <w:szCs w:val="24"/>
              </w:rPr>
              <w:t>,</w:t>
            </w:r>
            <w:r>
              <w:rPr>
                <w:rFonts w:hint="eastAsia" w:ascii="宋体" w:hAnsi="宋体" w:eastAsia="宋体" w:cs="宋体"/>
                <w:spacing w:val="66"/>
                <w:sz w:val="24"/>
                <w:szCs w:val="24"/>
              </w:rPr>
              <w:t xml:space="preserve"> </w:t>
            </w:r>
            <w:r>
              <w:rPr>
                <w:rFonts w:hint="eastAsia" w:ascii="宋体" w:hAnsi="宋体" w:eastAsia="宋体" w:cs="宋体"/>
                <w:spacing w:val="-1"/>
                <w:sz w:val="24"/>
                <w:szCs w:val="24"/>
              </w:rPr>
              <w:t>若交工验收时承包人具</w:t>
            </w:r>
            <w:r>
              <w:rPr>
                <w:rFonts w:hint="eastAsia" w:ascii="宋体" w:hAnsi="宋体" w:eastAsia="宋体" w:cs="宋体"/>
                <w:spacing w:val="-2"/>
                <w:sz w:val="24"/>
                <w:szCs w:val="24"/>
              </w:rPr>
              <w:t>备被</w:t>
            </w:r>
            <w:r>
              <w:rPr>
                <w:rFonts w:hint="eastAsia" w:ascii="宋体" w:hAnsi="宋体" w:eastAsia="宋体" w:cs="宋体"/>
                <w:spacing w:val="5"/>
                <w:sz w:val="24"/>
                <w:szCs w:val="24"/>
              </w:rPr>
              <w:t>养护项目所在地省级交通运输主管部门评定的最高信用等级，发包</w:t>
            </w:r>
            <w:r>
              <w:rPr>
                <w:rFonts w:hint="eastAsia" w:ascii="宋体" w:hAnsi="宋体" w:eastAsia="宋体" w:cs="宋体"/>
                <w:spacing w:val="-1"/>
                <w:sz w:val="24"/>
                <w:szCs w:val="24"/>
              </w:rPr>
              <w:t>人给予</w:t>
            </w:r>
            <w:r>
              <w:rPr>
                <w:rFonts w:hint="eastAsia" w:ascii="宋体" w:hAnsi="宋体" w:eastAsia="宋体" w:cs="宋体"/>
                <w:spacing w:val="-1"/>
                <w:sz w:val="24"/>
                <w:szCs w:val="24"/>
                <w:u w:val="single"/>
              </w:rPr>
              <w:t xml:space="preserve"> 2 </w:t>
            </w:r>
            <w:r>
              <w:rPr>
                <w:rFonts w:hint="eastAsia" w:ascii="宋体" w:hAnsi="宋体" w:eastAsia="宋体" w:cs="宋体"/>
                <w:spacing w:val="-109"/>
                <w:sz w:val="24"/>
                <w:szCs w:val="24"/>
              </w:rPr>
              <w:t xml:space="preserve"> </w:t>
            </w:r>
            <w:r>
              <w:rPr>
                <w:rFonts w:hint="eastAsia" w:ascii="宋体" w:hAnsi="宋体" w:eastAsia="宋体" w:cs="宋体"/>
                <w:spacing w:val="-1"/>
                <w:sz w:val="24"/>
                <w:szCs w:val="24"/>
              </w:rPr>
              <w:t>%合同价格质量保证金的优惠。</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"bookmark272" </w:instrText>
            </w:r>
            <w:r>
              <w:rPr>
                <w:rFonts w:hint="eastAsia" w:ascii="宋体" w:hAnsi="宋体" w:eastAsia="宋体" w:cs="宋体"/>
                <w:sz w:val="24"/>
                <w:szCs w:val="24"/>
              </w:rPr>
              <w:fldChar w:fldCharType="separate"/>
            </w:r>
            <w:r>
              <w:rPr>
                <w:rFonts w:hint="eastAsia" w:ascii="宋体" w:hAnsi="宋体" w:eastAsia="宋体" w:cs="宋体"/>
                <w:spacing w:val="-1"/>
                <w:position w:val="12"/>
                <w:sz w:val="24"/>
                <w:szCs w:val="24"/>
              </w:rPr>
              <w:t>⑤</w:t>
            </w:r>
            <w:r>
              <w:rPr>
                <w:rFonts w:hint="eastAsia" w:ascii="宋体" w:hAnsi="宋体" w:eastAsia="宋体" w:cs="宋体"/>
                <w:spacing w:val="-1"/>
                <w:position w:val="12"/>
                <w:sz w:val="24"/>
                <w:szCs w:val="24"/>
              </w:rPr>
              <w:fldChar w:fldCharType="end"/>
            </w:r>
          </w:p>
          <w:p w14:paraId="5840D9E0">
            <w:pPr>
              <w:spacing w:line="219" w:lineRule="auto"/>
              <w:ind w:left="113"/>
              <w:rPr>
                <w:rFonts w:hint="eastAsia" w:ascii="宋体" w:hAnsi="宋体" w:eastAsia="宋体" w:cs="宋体"/>
                <w:sz w:val="24"/>
                <w:szCs w:val="24"/>
              </w:rPr>
            </w:pPr>
            <w:r>
              <w:rPr>
                <w:rFonts w:hint="eastAsia" w:ascii="宋体" w:hAnsi="宋体" w:eastAsia="宋体" w:cs="宋体"/>
                <w:spacing w:val="-1"/>
                <w:sz w:val="24"/>
                <w:szCs w:val="24"/>
              </w:rPr>
              <w:t>质量保证金是否计付利息：</w:t>
            </w:r>
            <w:r>
              <w:rPr>
                <w:rFonts w:hint="eastAsia" w:ascii="宋体" w:hAnsi="宋体" w:eastAsia="宋体" w:cs="宋体"/>
                <w:sz w:val="24"/>
                <w:szCs w:val="24"/>
                <w:u w:val="single"/>
              </w:rPr>
              <w:t xml:space="preserve">    否        </w:t>
            </w:r>
          </w:p>
          <w:p w14:paraId="0E91A9E9">
            <w:pPr>
              <w:spacing w:line="204" w:lineRule="auto"/>
              <w:ind w:left="113"/>
              <w:rPr>
                <w:rFonts w:hint="eastAsia" w:ascii="宋体" w:hAnsi="宋体" w:eastAsia="宋体" w:cs="宋体"/>
                <w:sz w:val="24"/>
                <w:szCs w:val="24"/>
              </w:rPr>
            </w:pPr>
            <w:r>
              <w:rPr>
                <w:rFonts w:hint="eastAsia" w:ascii="宋体" w:hAnsi="宋体" w:eastAsia="宋体" w:cs="宋体"/>
                <w:spacing w:val="-1"/>
                <w:sz w:val="24"/>
                <w:szCs w:val="24"/>
              </w:rPr>
              <w:t>质量保证金利息的计算方式：</w:t>
            </w:r>
            <w:r>
              <w:rPr>
                <w:rFonts w:hint="eastAsia" w:ascii="宋体" w:hAnsi="宋体" w:eastAsia="宋体" w:cs="宋体"/>
                <w:sz w:val="24"/>
                <w:szCs w:val="24"/>
                <w:u w:val="single"/>
              </w:rPr>
              <w:t xml:space="preserve">   /       </w:t>
            </w:r>
          </w:p>
        </w:tc>
      </w:tr>
      <w:tr w14:paraId="2B2A92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2" w:hRule="atLeast"/>
        </w:trPr>
        <w:tc>
          <w:tcPr>
            <w:tcW w:w="732" w:type="dxa"/>
          </w:tcPr>
          <w:p w14:paraId="1115029B">
            <w:pPr>
              <w:spacing w:before="200" w:line="188" w:lineRule="auto"/>
              <w:ind w:left="249"/>
              <w:rPr>
                <w:rFonts w:hint="eastAsia" w:ascii="宋体" w:hAnsi="宋体" w:eastAsia="宋体" w:cs="宋体"/>
                <w:sz w:val="24"/>
                <w:szCs w:val="24"/>
              </w:rPr>
            </w:pPr>
            <w:r>
              <w:rPr>
                <w:rFonts w:hint="eastAsia" w:ascii="宋体" w:hAnsi="宋体" w:eastAsia="宋体" w:cs="宋体"/>
                <w:spacing w:val="-3"/>
                <w:sz w:val="24"/>
                <w:szCs w:val="24"/>
              </w:rPr>
              <w:t>22</w:t>
            </w:r>
          </w:p>
        </w:tc>
        <w:tc>
          <w:tcPr>
            <w:tcW w:w="975" w:type="dxa"/>
            <w:shd w:val="clear" w:color="auto" w:fill="FFFFFF"/>
          </w:tcPr>
          <w:p w14:paraId="05A19214">
            <w:pPr>
              <w:spacing w:before="200" w:line="188" w:lineRule="auto"/>
              <w:ind w:left="212"/>
              <w:rPr>
                <w:rFonts w:hint="eastAsia" w:ascii="宋体" w:hAnsi="宋体" w:eastAsia="宋体" w:cs="宋体"/>
                <w:sz w:val="24"/>
                <w:szCs w:val="24"/>
              </w:rPr>
            </w:pPr>
            <w:bookmarkStart w:id="166" w:name="bookmark268"/>
            <w:bookmarkEnd w:id="166"/>
            <w:r>
              <w:rPr>
                <w:rFonts w:hint="eastAsia" w:ascii="宋体" w:hAnsi="宋体" w:eastAsia="宋体" w:cs="宋体"/>
                <w:spacing w:val="-5"/>
                <w:sz w:val="24"/>
                <w:szCs w:val="24"/>
              </w:rPr>
              <w:t>17.5.1</w:t>
            </w:r>
          </w:p>
        </w:tc>
        <w:tc>
          <w:tcPr>
            <w:tcW w:w="7771" w:type="dxa"/>
            <w:shd w:val="clear" w:color="auto" w:fill="FFFFFF"/>
          </w:tcPr>
          <w:p w14:paraId="5FF54537">
            <w:pPr>
              <w:spacing w:before="142" w:line="215" w:lineRule="auto"/>
              <w:ind w:left="114"/>
              <w:rPr>
                <w:rFonts w:hint="eastAsia" w:ascii="宋体" w:hAnsi="宋体" w:eastAsia="宋体" w:cs="宋体"/>
                <w:sz w:val="24"/>
                <w:szCs w:val="24"/>
              </w:rPr>
            </w:pPr>
            <w:r>
              <w:rPr>
                <w:rFonts w:hint="eastAsia" w:ascii="宋体" w:hAnsi="宋体" w:eastAsia="宋体" w:cs="宋体"/>
                <w:spacing w:val="5"/>
                <w:sz w:val="24"/>
                <w:szCs w:val="24"/>
              </w:rPr>
              <w:t>承包人向发包人提交交（竣）工付款申请单（包括相关</w:t>
            </w:r>
            <w:r>
              <w:rPr>
                <w:rFonts w:hint="eastAsia" w:ascii="宋体" w:hAnsi="宋体" w:eastAsia="宋体" w:cs="宋体"/>
                <w:spacing w:val="-1"/>
                <w:sz w:val="24"/>
                <w:szCs w:val="24"/>
              </w:rPr>
              <w:t>证明材料）的份数：</w:t>
            </w:r>
            <w:r>
              <w:rPr>
                <w:rFonts w:hint="eastAsia" w:ascii="宋体" w:hAnsi="宋体" w:eastAsia="宋体" w:cs="宋体"/>
                <w:spacing w:val="-1"/>
                <w:sz w:val="24"/>
                <w:szCs w:val="24"/>
                <w:u w:val="single"/>
              </w:rPr>
              <w:t xml:space="preserve"> 3 </w:t>
            </w:r>
            <w:r>
              <w:rPr>
                <w:rFonts w:hint="eastAsia" w:ascii="宋体" w:hAnsi="宋体" w:eastAsia="宋体" w:cs="宋体"/>
                <w:spacing w:val="-106"/>
                <w:sz w:val="24"/>
                <w:szCs w:val="24"/>
              </w:rPr>
              <w:t xml:space="preserve"> </w:t>
            </w:r>
            <w:r>
              <w:rPr>
                <w:rFonts w:hint="eastAsia" w:ascii="宋体" w:hAnsi="宋体" w:eastAsia="宋体" w:cs="宋体"/>
                <w:spacing w:val="-1"/>
                <w:sz w:val="24"/>
                <w:szCs w:val="24"/>
              </w:rPr>
              <w:t>份</w:t>
            </w:r>
          </w:p>
        </w:tc>
      </w:tr>
    </w:tbl>
    <w:p w14:paraId="12C5A48B">
      <w:pPr>
        <w:spacing w:before="61" w:line="335" w:lineRule="auto"/>
        <w:ind w:left="644" w:right="190"/>
        <w:rPr>
          <w:rFonts w:hint="eastAsia" w:ascii="宋体" w:hAnsi="宋体" w:eastAsia="宋体" w:cs="宋体"/>
          <w:sz w:val="24"/>
          <w:szCs w:val="24"/>
        </w:rPr>
      </w:pPr>
      <w:r>
        <w:rPr>
          <w:rFonts w:hint="eastAsia" w:ascii="宋体" w:hAnsi="宋体" w:eastAsia="宋体" w:cs="宋体"/>
          <w:spacing w:val="9"/>
          <w:sz w:val="24"/>
          <w:szCs w:val="24"/>
        </w:rPr>
        <w:t>① 开工预付款金额原则上不低于签约合同价的</w:t>
      </w:r>
      <w:r>
        <w:rPr>
          <w:rFonts w:hint="eastAsia" w:ascii="宋体" w:hAnsi="宋体" w:eastAsia="宋体" w:cs="宋体"/>
          <w:spacing w:val="-15"/>
          <w:sz w:val="24"/>
          <w:szCs w:val="24"/>
        </w:rPr>
        <w:t xml:space="preserve"> </w:t>
      </w:r>
      <w:r>
        <w:rPr>
          <w:rFonts w:hint="eastAsia" w:ascii="宋体" w:hAnsi="宋体" w:eastAsia="宋体" w:cs="宋体"/>
          <w:spacing w:val="9"/>
          <w:sz w:val="24"/>
          <w:szCs w:val="24"/>
        </w:rPr>
        <w:t>10</w:t>
      </w:r>
      <w:r>
        <w:rPr>
          <w:rFonts w:hint="eastAsia" w:ascii="宋体" w:hAnsi="宋体" w:eastAsia="宋体" w:cs="宋体"/>
          <w:spacing w:val="17"/>
          <w:sz w:val="24"/>
          <w:szCs w:val="24"/>
        </w:rPr>
        <w:t>％，</w:t>
      </w:r>
      <w:r>
        <w:rPr>
          <w:rFonts w:hint="eastAsia" w:ascii="宋体" w:hAnsi="宋体" w:eastAsia="宋体" w:cs="宋体"/>
          <w:spacing w:val="9"/>
          <w:sz w:val="24"/>
          <w:szCs w:val="24"/>
        </w:rPr>
        <w:t>不高于</w:t>
      </w:r>
      <w:r>
        <w:rPr>
          <w:rFonts w:hint="eastAsia" w:ascii="宋体" w:hAnsi="宋体" w:eastAsia="宋体" w:cs="宋体"/>
          <w:spacing w:val="8"/>
          <w:sz w:val="24"/>
          <w:szCs w:val="24"/>
        </w:rPr>
        <w:t>签约合同价的</w:t>
      </w:r>
      <w:r>
        <w:rPr>
          <w:rFonts w:hint="eastAsia" w:ascii="宋体" w:hAnsi="宋体" w:eastAsia="宋体" w:cs="宋体"/>
          <w:spacing w:val="-34"/>
          <w:sz w:val="24"/>
          <w:szCs w:val="24"/>
        </w:rPr>
        <w:t xml:space="preserve"> </w:t>
      </w:r>
      <w:r>
        <w:rPr>
          <w:rFonts w:hint="eastAsia" w:ascii="宋体" w:hAnsi="宋体" w:eastAsia="宋体" w:cs="宋体"/>
          <w:spacing w:val="8"/>
          <w:sz w:val="24"/>
          <w:szCs w:val="24"/>
        </w:rPr>
        <w:t>30％</w:t>
      </w:r>
      <w:r>
        <w:rPr>
          <w:rFonts w:hint="eastAsia" w:ascii="宋体" w:hAnsi="宋体" w:eastAsia="宋体" w:cs="宋体"/>
          <w:spacing w:val="-55"/>
          <w:sz w:val="24"/>
          <w:szCs w:val="24"/>
        </w:rPr>
        <w:t xml:space="preserve"> </w:t>
      </w:r>
      <w:r>
        <w:rPr>
          <w:rFonts w:hint="eastAsia" w:ascii="宋体" w:hAnsi="宋体" w:eastAsia="宋体" w:cs="宋体"/>
          <w:spacing w:val="8"/>
          <w:sz w:val="24"/>
          <w:szCs w:val="24"/>
        </w:rPr>
        <w:t>。若发包人要</w:t>
      </w:r>
      <w:r>
        <w:rPr>
          <w:rFonts w:hint="eastAsia" w:ascii="宋体" w:hAnsi="宋体" w:eastAsia="宋体" w:cs="宋体"/>
          <w:spacing w:val="12"/>
          <w:sz w:val="24"/>
          <w:szCs w:val="24"/>
        </w:rPr>
        <w:t>求承包人提交的履约保证金额度不足以对开</w:t>
      </w:r>
      <w:r>
        <w:rPr>
          <w:rFonts w:hint="eastAsia" w:ascii="宋体" w:hAnsi="宋体" w:eastAsia="宋体" w:cs="宋体"/>
          <w:spacing w:val="11"/>
          <w:sz w:val="24"/>
          <w:szCs w:val="24"/>
        </w:rPr>
        <w:t>工预付款的正常使用承担保证责任，对于差额部分发包</w:t>
      </w:r>
      <w:bookmarkStart w:id="167" w:name="bookmark269"/>
      <w:bookmarkEnd w:id="167"/>
      <w:r>
        <w:rPr>
          <w:rFonts w:hint="eastAsia" w:ascii="宋体" w:hAnsi="宋体" w:eastAsia="宋体" w:cs="宋体"/>
          <w:spacing w:val="8"/>
          <w:sz w:val="24"/>
          <w:szCs w:val="24"/>
        </w:rPr>
        <w:t>人可要求承包人提供开工预付款担保。</w:t>
      </w:r>
    </w:p>
    <w:p w14:paraId="27E71DAC">
      <w:pPr>
        <w:spacing w:before="166" w:line="226" w:lineRule="auto"/>
        <w:ind w:left="644"/>
        <w:rPr>
          <w:rFonts w:hint="eastAsia" w:ascii="宋体" w:hAnsi="宋体" w:eastAsia="宋体" w:cs="宋体"/>
          <w:sz w:val="24"/>
          <w:szCs w:val="24"/>
        </w:rPr>
      </w:pPr>
      <w:bookmarkStart w:id="168" w:name="bookmark270"/>
      <w:bookmarkEnd w:id="168"/>
      <w:r>
        <w:rPr>
          <w:rFonts w:hint="eastAsia" w:ascii="宋体" w:hAnsi="宋体" w:eastAsia="宋体" w:cs="宋体"/>
          <w:spacing w:val="8"/>
          <w:sz w:val="24"/>
          <w:szCs w:val="24"/>
        </w:rPr>
        <w:t>② 指主要材料，一般应为70%～75%</w:t>
      </w:r>
      <w:r>
        <w:rPr>
          <w:rFonts w:hint="eastAsia" w:ascii="宋体" w:hAnsi="宋体" w:eastAsia="宋体" w:cs="宋体"/>
          <w:spacing w:val="-5"/>
          <w:sz w:val="24"/>
          <w:szCs w:val="24"/>
        </w:rPr>
        <w:t xml:space="preserve"> </w:t>
      </w:r>
      <w:r>
        <w:rPr>
          <w:rFonts w:hint="eastAsia" w:ascii="宋体" w:hAnsi="宋体" w:eastAsia="宋体" w:cs="宋体"/>
          <w:spacing w:val="8"/>
          <w:sz w:val="24"/>
          <w:szCs w:val="24"/>
        </w:rPr>
        <w:t>，最低不少于</w:t>
      </w:r>
      <w:r>
        <w:rPr>
          <w:rFonts w:hint="eastAsia" w:ascii="宋体" w:hAnsi="宋体" w:eastAsia="宋体" w:cs="宋体"/>
          <w:spacing w:val="-38"/>
          <w:sz w:val="24"/>
          <w:szCs w:val="24"/>
        </w:rPr>
        <w:t xml:space="preserve"> </w:t>
      </w:r>
      <w:r>
        <w:rPr>
          <w:rFonts w:hint="eastAsia" w:ascii="宋体" w:hAnsi="宋体" w:eastAsia="宋体" w:cs="宋体"/>
          <w:spacing w:val="8"/>
          <w:sz w:val="24"/>
          <w:szCs w:val="24"/>
        </w:rPr>
        <w:t>60%。</w:t>
      </w:r>
    </w:p>
    <w:p w14:paraId="543D6E7D">
      <w:pPr>
        <w:spacing w:before="166" w:line="308" w:lineRule="auto"/>
        <w:ind w:left="644" w:right="190"/>
        <w:rPr>
          <w:rFonts w:hint="eastAsia" w:ascii="宋体" w:hAnsi="宋体" w:eastAsia="宋体" w:cs="宋体"/>
          <w:sz w:val="24"/>
          <w:szCs w:val="24"/>
        </w:rPr>
      </w:pPr>
      <w:r>
        <w:rPr>
          <w:rFonts w:hint="eastAsia" w:ascii="宋体" w:hAnsi="宋体" w:eastAsia="宋体" w:cs="宋体"/>
          <w:spacing w:val="13"/>
          <w:sz w:val="24"/>
          <w:szCs w:val="24"/>
        </w:rPr>
        <w:t>③ 利率按合同签订时全国银行间同业拆借中心公布的</w:t>
      </w:r>
      <w:r>
        <w:rPr>
          <w:rFonts w:hint="eastAsia" w:ascii="宋体" w:hAnsi="宋体" w:eastAsia="宋体" w:cs="宋体"/>
          <w:spacing w:val="-17"/>
          <w:sz w:val="24"/>
          <w:szCs w:val="24"/>
        </w:rPr>
        <w:t xml:space="preserve"> </w:t>
      </w:r>
      <w:r>
        <w:rPr>
          <w:rFonts w:hint="eastAsia" w:ascii="宋体" w:hAnsi="宋体" w:eastAsia="宋体" w:cs="宋体"/>
          <w:spacing w:val="13"/>
          <w:sz w:val="24"/>
          <w:szCs w:val="24"/>
        </w:rPr>
        <w:t>1</w:t>
      </w:r>
      <w:r>
        <w:rPr>
          <w:rFonts w:hint="eastAsia" w:ascii="宋体" w:hAnsi="宋体" w:eastAsia="宋体" w:cs="宋体"/>
          <w:spacing w:val="18"/>
          <w:sz w:val="24"/>
          <w:szCs w:val="24"/>
        </w:rPr>
        <w:t xml:space="preserve"> </w:t>
      </w:r>
      <w:r>
        <w:rPr>
          <w:rFonts w:hint="eastAsia" w:ascii="宋体" w:hAnsi="宋体" w:eastAsia="宋体" w:cs="宋体"/>
          <w:spacing w:val="13"/>
          <w:sz w:val="24"/>
          <w:szCs w:val="24"/>
        </w:rPr>
        <w:t>年期贷</w:t>
      </w:r>
      <w:r>
        <w:rPr>
          <w:rFonts w:hint="eastAsia" w:ascii="宋体" w:hAnsi="宋体" w:eastAsia="宋体" w:cs="宋体"/>
          <w:spacing w:val="12"/>
          <w:sz w:val="24"/>
          <w:szCs w:val="24"/>
        </w:rPr>
        <w:t>款市场报价利率</w:t>
      </w:r>
      <w:r>
        <w:rPr>
          <w:rFonts w:hint="eastAsia" w:ascii="宋体" w:hAnsi="宋体" w:eastAsia="宋体" w:cs="宋体"/>
          <w:spacing w:val="-38"/>
          <w:sz w:val="24"/>
          <w:szCs w:val="24"/>
        </w:rPr>
        <w:t xml:space="preserve"> </w:t>
      </w:r>
      <w:r>
        <w:rPr>
          <w:rFonts w:hint="eastAsia" w:ascii="宋体" w:hAnsi="宋体" w:eastAsia="宋体" w:cs="宋体"/>
          <w:sz w:val="24"/>
          <w:szCs w:val="24"/>
        </w:rPr>
        <w:t>LPR</w:t>
      </w:r>
      <w:r>
        <w:rPr>
          <w:rFonts w:hint="eastAsia" w:ascii="宋体" w:hAnsi="宋体" w:eastAsia="宋体" w:cs="宋体"/>
          <w:spacing w:val="12"/>
          <w:sz w:val="24"/>
          <w:szCs w:val="24"/>
        </w:rPr>
        <w:t>（不计复</w:t>
      </w:r>
      <w:r>
        <w:rPr>
          <w:rFonts w:hint="eastAsia" w:ascii="宋体" w:hAnsi="宋体" w:eastAsia="宋体" w:cs="宋体"/>
          <w:spacing w:val="9"/>
          <w:sz w:val="24"/>
          <w:szCs w:val="24"/>
        </w:rPr>
        <w:t>利）加手续费为基础计算。发包人不能自行取消本项内容或降低利率。</w:t>
      </w:r>
    </w:p>
    <w:p w14:paraId="3CA5C36A">
      <w:pPr>
        <w:spacing w:before="167" w:line="226" w:lineRule="auto"/>
        <w:ind w:left="644"/>
        <w:rPr>
          <w:rFonts w:hint="eastAsia" w:ascii="宋体" w:hAnsi="宋体" w:eastAsia="宋体" w:cs="宋体"/>
          <w:sz w:val="24"/>
          <w:szCs w:val="24"/>
        </w:rPr>
      </w:pPr>
      <w:bookmarkStart w:id="169" w:name="bookmark272"/>
      <w:bookmarkEnd w:id="169"/>
      <w:bookmarkStart w:id="170" w:name="bookmark271"/>
      <w:bookmarkEnd w:id="170"/>
      <w:r>
        <w:rPr>
          <w:rFonts w:hint="eastAsia" w:ascii="宋体" w:hAnsi="宋体" w:eastAsia="宋体" w:cs="宋体"/>
          <w:spacing w:val="8"/>
          <w:sz w:val="24"/>
          <w:szCs w:val="24"/>
        </w:rPr>
        <w:t>④ 质量保证金最高不超过合同价格的</w:t>
      </w:r>
      <w:r>
        <w:rPr>
          <w:rFonts w:hint="eastAsia" w:ascii="宋体" w:hAnsi="宋体" w:eastAsia="宋体" w:cs="宋体"/>
          <w:spacing w:val="-36"/>
          <w:sz w:val="24"/>
          <w:szCs w:val="24"/>
        </w:rPr>
        <w:t xml:space="preserve"> </w:t>
      </w:r>
      <w:r>
        <w:rPr>
          <w:rFonts w:hint="eastAsia" w:ascii="宋体" w:hAnsi="宋体" w:eastAsia="宋体" w:cs="宋体"/>
          <w:spacing w:val="8"/>
          <w:sz w:val="24"/>
          <w:szCs w:val="24"/>
        </w:rPr>
        <w:t>3%。</w:t>
      </w:r>
    </w:p>
    <w:p w14:paraId="67FBEE24">
      <w:pPr>
        <w:spacing w:before="166" w:line="335" w:lineRule="auto"/>
        <w:ind w:left="644" w:right="190"/>
        <w:rPr>
          <w:rFonts w:hint="eastAsia" w:ascii="宋体" w:hAnsi="宋体" w:eastAsia="宋体" w:cs="宋体"/>
          <w:sz w:val="24"/>
          <w:szCs w:val="24"/>
        </w:rPr>
      </w:pPr>
      <w:r>
        <w:rPr>
          <w:rFonts w:hint="eastAsia" w:ascii="宋体" w:hAnsi="宋体" w:eastAsia="宋体" w:cs="宋体"/>
          <w:spacing w:val="14"/>
          <w:sz w:val="24"/>
          <w:szCs w:val="24"/>
        </w:rPr>
        <w:t>⑤ 若交工验收时承包人具备被养护项目所在地省级交通运输主管部门评定的最高信</w:t>
      </w:r>
      <w:r>
        <w:rPr>
          <w:rFonts w:hint="eastAsia" w:ascii="宋体" w:hAnsi="宋体" w:eastAsia="宋体" w:cs="宋体"/>
          <w:spacing w:val="13"/>
          <w:sz w:val="24"/>
          <w:szCs w:val="24"/>
        </w:rPr>
        <w:t>用等级，发包人可在质量保证金方面给予一定的优惠奖励，例如发包人可给予承包人</w:t>
      </w:r>
      <w:r>
        <w:rPr>
          <w:rFonts w:hint="eastAsia" w:ascii="宋体" w:hAnsi="宋体" w:eastAsia="宋体" w:cs="宋体"/>
          <w:spacing w:val="-35"/>
          <w:sz w:val="24"/>
          <w:szCs w:val="24"/>
        </w:rPr>
        <w:t xml:space="preserve"> </w:t>
      </w:r>
      <w:r>
        <w:rPr>
          <w:rFonts w:hint="eastAsia" w:ascii="宋体" w:hAnsi="宋体" w:eastAsia="宋体" w:cs="宋体"/>
          <w:spacing w:val="13"/>
          <w:sz w:val="24"/>
          <w:szCs w:val="24"/>
        </w:rPr>
        <w:t>2%合同价格质量保证</w:t>
      </w:r>
      <w:r>
        <w:rPr>
          <w:rFonts w:hint="eastAsia" w:ascii="宋体" w:hAnsi="宋体" w:eastAsia="宋体" w:cs="宋体"/>
          <w:spacing w:val="8"/>
          <w:sz w:val="24"/>
          <w:szCs w:val="24"/>
        </w:rPr>
        <w:t>金的优惠。具体优惠幅度由发包人自行确定。</w:t>
      </w:r>
    </w:p>
    <w:p w14:paraId="697F5F0D">
      <w:pPr>
        <w:spacing w:line="335" w:lineRule="auto"/>
        <w:ind w:left="644"/>
        <w:rPr>
          <w:rFonts w:hint="eastAsia" w:ascii="宋体" w:hAnsi="宋体" w:eastAsia="宋体" w:cs="宋体"/>
          <w:sz w:val="24"/>
          <w:szCs w:val="24"/>
        </w:rPr>
        <w:sectPr>
          <w:headerReference r:id="rId19" w:type="default"/>
          <w:footerReference r:id="rId20" w:type="default"/>
          <w:pgSz w:w="11905" w:h="16838"/>
          <w:pgMar w:top="1440" w:right="1134" w:bottom="1440" w:left="1134" w:header="0" w:footer="720" w:gutter="0"/>
          <w:pgNumType w:fmt="decimal"/>
          <w:cols w:space="0" w:num="1"/>
          <w:rtlGutter w:val="0"/>
          <w:docGrid w:linePitch="0" w:charSpace="0"/>
        </w:sectPr>
      </w:pPr>
    </w:p>
    <w:tbl>
      <w:tblPr>
        <w:tblStyle w:val="25"/>
        <w:tblW w:w="9522" w:type="dxa"/>
        <w:tblInd w:w="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32"/>
        <w:gridCol w:w="975"/>
        <w:gridCol w:w="7815"/>
      </w:tblGrid>
      <w:tr w14:paraId="62558D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4" w:hRule="atLeast"/>
        </w:trPr>
        <w:tc>
          <w:tcPr>
            <w:tcW w:w="732" w:type="dxa"/>
          </w:tcPr>
          <w:p w14:paraId="484FCD9D">
            <w:pPr>
              <w:spacing w:before="140" w:line="218" w:lineRule="auto"/>
              <w:ind w:left="133"/>
              <w:rPr>
                <w:rFonts w:hint="eastAsia" w:ascii="宋体" w:hAnsi="宋体" w:eastAsia="宋体" w:cs="宋体"/>
                <w:sz w:val="24"/>
                <w:szCs w:val="24"/>
              </w:rPr>
            </w:pPr>
            <w:bookmarkStart w:id="171" w:name="bookmark273"/>
            <w:bookmarkEnd w:id="171"/>
            <w:r>
              <w:rPr>
                <w:rFonts w:hint="eastAsia" w:ascii="宋体" w:hAnsi="宋体" w:eastAsia="宋体" w:cs="宋体"/>
                <w:spacing w:val="-5"/>
                <w:sz w:val="24"/>
                <w:szCs w:val="24"/>
              </w:rPr>
              <w:t>序号</w:t>
            </w:r>
          </w:p>
        </w:tc>
        <w:tc>
          <w:tcPr>
            <w:tcW w:w="975" w:type="dxa"/>
          </w:tcPr>
          <w:p w14:paraId="0AE74E60">
            <w:pPr>
              <w:spacing w:before="140" w:line="218" w:lineRule="auto"/>
              <w:ind w:left="136"/>
              <w:rPr>
                <w:rFonts w:hint="eastAsia" w:ascii="宋体" w:hAnsi="宋体" w:eastAsia="宋体" w:cs="宋体"/>
                <w:sz w:val="24"/>
                <w:szCs w:val="24"/>
              </w:rPr>
            </w:pPr>
            <w:r>
              <w:rPr>
                <w:rFonts w:hint="eastAsia" w:ascii="宋体" w:hAnsi="宋体" w:eastAsia="宋体" w:cs="宋体"/>
                <w:spacing w:val="-4"/>
                <w:sz w:val="24"/>
                <w:szCs w:val="24"/>
              </w:rPr>
              <w:t>条目号</w:t>
            </w:r>
          </w:p>
        </w:tc>
        <w:tc>
          <w:tcPr>
            <w:tcW w:w="7815" w:type="dxa"/>
          </w:tcPr>
          <w:p w14:paraId="5E1BA4B7">
            <w:pPr>
              <w:spacing w:before="140" w:line="218" w:lineRule="auto"/>
              <w:ind w:left="3075"/>
              <w:rPr>
                <w:rFonts w:hint="eastAsia" w:ascii="宋体" w:hAnsi="宋体" w:eastAsia="宋体" w:cs="宋体"/>
                <w:sz w:val="24"/>
                <w:szCs w:val="24"/>
              </w:rPr>
            </w:pPr>
            <w:r>
              <w:rPr>
                <w:rFonts w:hint="eastAsia" w:ascii="宋体" w:hAnsi="宋体" w:eastAsia="宋体" w:cs="宋体"/>
                <w:spacing w:val="-2"/>
                <w:sz w:val="24"/>
                <w:szCs w:val="24"/>
              </w:rPr>
              <w:t>信息或数据</w:t>
            </w:r>
          </w:p>
        </w:tc>
      </w:tr>
      <w:tr w14:paraId="543560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4" w:hRule="atLeast"/>
        </w:trPr>
        <w:tc>
          <w:tcPr>
            <w:tcW w:w="732" w:type="dxa"/>
          </w:tcPr>
          <w:p w14:paraId="11A97F7F">
            <w:pPr>
              <w:pStyle w:val="29"/>
              <w:tabs>
                <w:tab w:val="left" w:pos="0"/>
              </w:tabs>
              <w:spacing w:line="313" w:lineRule="auto"/>
              <w:rPr>
                <w:rFonts w:hint="eastAsia" w:ascii="宋体" w:hAnsi="宋体" w:eastAsia="宋体" w:cs="宋体"/>
                <w:sz w:val="24"/>
                <w:szCs w:val="24"/>
                <w:lang w:eastAsia="zh-CN"/>
              </w:rPr>
            </w:pPr>
          </w:p>
          <w:p w14:paraId="552E3816">
            <w:pPr>
              <w:spacing w:before="69" w:line="188" w:lineRule="auto"/>
              <w:ind w:left="249"/>
              <w:rPr>
                <w:rFonts w:hint="eastAsia" w:ascii="宋体" w:hAnsi="宋体" w:eastAsia="宋体" w:cs="宋体"/>
                <w:sz w:val="24"/>
                <w:szCs w:val="24"/>
              </w:rPr>
            </w:pPr>
            <w:r>
              <w:rPr>
                <w:rFonts w:hint="eastAsia" w:ascii="宋体" w:hAnsi="宋体" w:eastAsia="宋体" w:cs="宋体"/>
                <w:spacing w:val="-3"/>
                <w:sz w:val="24"/>
                <w:szCs w:val="24"/>
              </w:rPr>
              <w:t>23</w:t>
            </w:r>
          </w:p>
        </w:tc>
        <w:tc>
          <w:tcPr>
            <w:tcW w:w="975" w:type="dxa"/>
          </w:tcPr>
          <w:p w14:paraId="1FD84601">
            <w:pPr>
              <w:spacing w:before="184" w:line="188" w:lineRule="auto"/>
              <w:ind w:left="212"/>
              <w:rPr>
                <w:rFonts w:hint="eastAsia" w:ascii="宋体" w:hAnsi="宋体" w:eastAsia="宋体" w:cs="宋体"/>
                <w:sz w:val="24"/>
                <w:szCs w:val="24"/>
              </w:rPr>
            </w:pPr>
            <w:r>
              <w:rPr>
                <w:rFonts w:hint="eastAsia" w:ascii="宋体" w:hAnsi="宋体" w:eastAsia="宋体" w:cs="宋体"/>
                <w:spacing w:val="-5"/>
                <w:sz w:val="24"/>
                <w:szCs w:val="24"/>
              </w:rPr>
              <w:t>17.6.1</w:t>
            </w:r>
          </w:p>
          <w:p w14:paraId="6D8C9A70">
            <w:pPr>
              <w:spacing w:before="123" w:line="207" w:lineRule="auto"/>
              <w:ind w:left="205"/>
              <w:rPr>
                <w:rFonts w:hint="eastAsia" w:ascii="宋体" w:hAnsi="宋体" w:eastAsia="宋体" w:cs="宋体"/>
                <w:sz w:val="24"/>
                <w:szCs w:val="24"/>
              </w:rPr>
            </w:pPr>
            <w:r>
              <w:rPr>
                <w:rFonts w:hint="eastAsia" w:ascii="宋体" w:hAnsi="宋体" w:eastAsia="宋体" w:cs="宋体"/>
                <w:spacing w:val="-7"/>
                <w:sz w:val="24"/>
                <w:szCs w:val="24"/>
              </w:rPr>
              <w:t>（1）</w:t>
            </w:r>
          </w:p>
        </w:tc>
        <w:tc>
          <w:tcPr>
            <w:tcW w:w="7815" w:type="dxa"/>
          </w:tcPr>
          <w:p w14:paraId="7D5ADD09">
            <w:pPr>
              <w:spacing w:before="125" w:line="257" w:lineRule="auto"/>
              <w:ind w:left="114" w:right="107"/>
              <w:rPr>
                <w:rFonts w:hint="eastAsia" w:ascii="宋体" w:hAnsi="宋体" w:eastAsia="宋体" w:cs="宋体"/>
                <w:sz w:val="24"/>
                <w:szCs w:val="24"/>
              </w:rPr>
            </w:pPr>
            <w:r>
              <w:rPr>
                <w:rFonts w:hint="eastAsia" w:ascii="宋体" w:hAnsi="宋体" w:eastAsia="宋体" w:cs="宋体"/>
                <w:spacing w:val="5"/>
                <w:sz w:val="24"/>
                <w:szCs w:val="24"/>
              </w:rPr>
              <w:t>承包人向发包人提交最终结清申请单（包括相关证明材</w:t>
            </w:r>
            <w:r>
              <w:rPr>
                <w:rFonts w:hint="eastAsia" w:ascii="宋体" w:hAnsi="宋体" w:eastAsia="宋体" w:cs="宋体"/>
                <w:spacing w:val="-1"/>
                <w:sz w:val="24"/>
                <w:szCs w:val="24"/>
              </w:rPr>
              <w:t>料）的份数：</w:t>
            </w:r>
            <w:r>
              <w:rPr>
                <w:rFonts w:hint="eastAsia" w:ascii="宋体" w:hAnsi="宋体" w:eastAsia="宋体" w:cs="宋体"/>
                <w:spacing w:val="-1"/>
                <w:sz w:val="24"/>
                <w:szCs w:val="24"/>
                <w:u w:val="single"/>
              </w:rPr>
              <w:t xml:space="preserve"> 3 </w:t>
            </w:r>
            <w:r>
              <w:rPr>
                <w:rFonts w:hint="eastAsia" w:ascii="宋体" w:hAnsi="宋体" w:eastAsia="宋体" w:cs="宋体"/>
                <w:spacing w:val="-1"/>
                <w:sz w:val="24"/>
                <w:szCs w:val="24"/>
              </w:rPr>
              <w:t>份</w:t>
            </w:r>
          </w:p>
        </w:tc>
      </w:tr>
      <w:tr w14:paraId="270421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8" w:hRule="atLeast"/>
        </w:trPr>
        <w:tc>
          <w:tcPr>
            <w:tcW w:w="732" w:type="dxa"/>
          </w:tcPr>
          <w:p w14:paraId="41B30A49">
            <w:pPr>
              <w:spacing w:before="297" w:line="188" w:lineRule="auto"/>
              <w:ind w:left="249"/>
              <w:rPr>
                <w:rFonts w:hint="eastAsia" w:ascii="宋体" w:hAnsi="宋体" w:eastAsia="宋体" w:cs="宋体"/>
                <w:sz w:val="24"/>
                <w:szCs w:val="24"/>
              </w:rPr>
            </w:pPr>
            <w:r>
              <w:rPr>
                <w:rFonts w:hint="eastAsia" w:ascii="宋体" w:hAnsi="宋体" w:eastAsia="宋体" w:cs="宋体"/>
                <w:spacing w:val="-3"/>
                <w:sz w:val="24"/>
                <w:szCs w:val="24"/>
              </w:rPr>
              <w:t>24</w:t>
            </w:r>
          </w:p>
        </w:tc>
        <w:tc>
          <w:tcPr>
            <w:tcW w:w="975" w:type="dxa"/>
          </w:tcPr>
          <w:p w14:paraId="64EFA9DA">
            <w:pPr>
              <w:spacing w:before="234" w:line="188" w:lineRule="auto"/>
              <w:ind w:left="212"/>
              <w:rPr>
                <w:rFonts w:hint="eastAsia" w:ascii="宋体" w:hAnsi="宋体" w:eastAsia="宋体" w:cs="宋体"/>
                <w:sz w:val="24"/>
                <w:szCs w:val="24"/>
              </w:rPr>
            </w:pPr>
            <w:r>
              <w:rPr>
                <w:rFonts w:hint="eastAsia" w:ascii="宋体" w:hAnsi="宋体" w:eastAsia="宋体" w:cs="宋体"/>
                <w:spacing w:val="-5"/>
                <w:sz w:val="24"/>
                <w:szCs w:val="24"/>
              </w:rPr>
              <w:t>18.3.1</w:t>
            </w:r>
          </w:p>
        </w:tc>
        <w:tc>
          <w:tcPr>
            <w:tcW w:w="7815" w:type="dxa"/>
          </w:tcPr>
          <w:p w14:paraId="392283F5">
            <w:pPr>
              <w:spacing w:before="37" w:line="218" w:lineRule="auto"/>
              <w:ind w:left="114"/>
              <w:rPr>
                <w:rFonts w:hint="eastAsia" w:ascii="宋体" w:hAnsi="宋体" w:eastAsia="宋体" w:cs="宋体"/>
                <w:sz w:val="24"/>
                <w:szCs w:val="24"/>
              </w:rPr>
            </w:pPr>
            <w:r>
              <w:rPr>
                <w:rFonts w:hint="eastAsia" w:ascii="宋体" w:hAnsi="宋体" w:eastAsia="宋体" w:cs="宋体"/>
                <w:spacing w:val="-1"/>
                <w:sz w:val="24"/>
                <w:szCs w:val="24"/>
              </w:rPr>
              <w:t>承包人提供验收资料和验收申请报告的份数：</w:t>
            </w:r>
            <w:r>
              <w:rPr>
                <w:rFonts w:hint="eastAsia" w:ascii="宋体" w:hAnsi="宋体" w:eastAsia="宋体" w:cs="宋体"/>
                <w:spacing w:val="-1"/>
                <w:sz w:val="24"/>
                <w:szCs w:val="24"/>
                <w:u w:val="single"/>
              </w:rPr>
              <w:t xml:space="preserve"> 3 </w:t>
            </w:r>
            <w:r>
              <w:rPr>
                <w:rFonts w:hint="eastAsia" w:ascii="宋体" w:hAnsi="宋体" w:eastAsia="宋体" w:cs="宋体"/>
                <w:spacing w:val="-1"/>
                <w:sz w:val="24"/>
                <w:szCs w:val="24"/>
              </w:rPr>
              <w:t>份。</w:t>
            </w:r>
          </w:p>
          <w:p w14:paraId="75E46A5F">
            <w:pPr>
              <w:spacing w:before="28" w:line="207" w:lineRule="auto"/>
              <w:ind w:left="114"/>
              <w:rPr>
                <w:rFonts w:hint="eastAsia" w:ascii="宋体" w:hAnsi="宋体" w:eastAsia="宋体" w:cs="宋体"/>
                <w:sz w:val="24"/>
                <w:szCs w:val="24"/>
              </w:rPr>
            </w:pPr>
            <w:r>
              <w:rPr>
                <w:rFonts w:hint="eastAsia" w:ascii="宋体" w:hAnsi="宋体" w:eastAsia="宋体" w:cs="宋体"/>
                <w:spacing w:val="-1"/>
                <w:sz w:val="24"/>
                <w:szCs w:val="24"/>
              </w:rPr>
              <w:t>承包人提供验收资料和验收申请报告的期限：</w:t>
            </w:r>
            <w:r>
              <w:rPr>
                <w:rFonts w:hint="eastAsia" w:ascii="宋体" w:hAnsi="宋体" w:eastAsia="宋体" w:cs="宋体"/>
                <w:spacing w:val="1"/>
                <w:sz w:val="24"/>
                <w:szCs w:val="24"/>
                <w:u w:val="single"/>
              </w:rPr>
              <w:t xml:space="preserve"> 14天</w:t>
            </w:r>
            <w:r>
              <w:rPr>
                <w:rFonts w:hint="eastAsia" w:ascii="宋体" w:hAnsi="宋体" w:eastAsia="宋体" w:cs="宋体"/>
                <w:spacing w:val="1"/>
                <w:sz w:val="24"/>
                <w:szCs w:val="24"/>
              </w:rPr>
              <w:t>。</w:t>
            </w:r>
          </w:p>
        </w:tc>
      </w:tr>
      <w:tr w14:paraId="69A16A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4" w:hRule="atLeast"/>
        </w:trPr>
        <w:tc>
          <w:tcPr>
            <w:tcW w:w="732" w:type="dxa"/>
          </w:tcPr>
          <w:p w14:paraId="7097D63E">
            <w:pPr>
              <w:pStyle w:val="29"/>
              <w:tabs>
                <w:tab w:val="left" w:pos="0"/>
              </w:tabs>
              <w:spacing w:line="303" w:lineRule="auto"/>
              <w:rPr>
                <w:rFonts w:hint="eastAsia" w:ascii="宋体" w:hAnsi="宋体" w:eastAsia="宋体" w:cs="宋体"/>
                <w:sz w:val="24"/>
                <w:szCs w:val="24"/>
                <w:lang w:eastAsia="zh-CN"/>
              </w:rPr>
            </w:pPr>
          </w:p>
          <w:p w14:paraId="3D68B6B5">
            <w:pPr>
              <w:pStyle w:val="29"/>
              <w:tabs>
                <w:tab w:val="left" w:pos="0"/>
              </w:tabs>
              <w:spacing w:line="303" w:lineRule="auto"/>
              <w:rPr>
                <w:rFonts w:hint="eastAsia" w:ascii="宋体" w:hAnsi="宋体" w:eastAsia="宋体" w:cs="宋体"/>
                <w:sz w:val="24"/>
                <w:szCs w:val="24"/>
                <w:lang w:eastAsia="zh-CN"/>
              </w:rPr>
            </w:pPr>
          </w:p>
          <w:p w14:paraId="6E451B37">
            <w:pPr>
              <w:pStyle w:val="29"/>
              <w:tabs>
                <w:tab w:val="left" w:pos="0"/>
              </w:tabs>
              <w:spacing w:line="303" w:lineRule="auto"/>
              <w:rPr>
                <w:rFonts w:hint="eastAsia" w:ascii="宋体" w:hAnsi="宋体" w:eastAsia="宋体" w:cs="宋体"/>
                <w:sz w:val="24"/>
                <w:szCs w:val="24"/>
                <w:lang w:eastAsia="zh-CN"/>
              </w:rPr>
            </w:pPr>
          </w:p>
          <w:p w14:paraId="51B753A2">
            <w:pPr>
              <w:spacing w:before="69" w:line="188" w:lineRule="auto"/>
              <w:ind w:left="249"/>
              <w:rPr>
                <w:rFonts w:hint="eastAsia" w:ascii="宋体" w:hAnsi="宋体" w:eastAsia="宋体" w:cs="宋体"/>
                <w:sz w:val="24"/>
                <w:szCs w:val="24"/>
              </w:rPr>
            </w:pPr>
            <w:r>
              <w:rPr>
                <w:rFonts w:hint="eastAsia" w:ascii="宋体" w:hAnsi="宋体" w:eastAsia="宋体" w:cs="宋体"/>
                <w:spacing w:val="-3"/>
                <w:sz w:val="24"/>
                <w:szCs w:val="24"/>
              </w:rPr>
              <w:t>25</w:t>
            </w:r>
          </w:p>
        </w:tc>
        <w:tc>
          <w:tcPr>
            <w:tcW w:w="975" w:type="dxa"/>
          </w:tcPr>
          <w:p w14:paraId="0767DF40">
            <w:pPr>
              <w:pStyle w:val="29"/>
              <w:tabs>
                <w:tab w:val="left" w:pos="0"/>
              </w:tabs>
              <w:spacing w:line="282" w:lineRule="auto"/>
              <w:rPr>
                <w:rFonts w:hint="eastAsia" w:ascii="宋体" w:hAnsi="宋体" w:eastAsia="宋体" w:cs="宋体"/>
                <w:sz w:val="24"/>
                <w:szCs w:val="24"/>
              </w:rPr>
            </w:pPr>
          </w:p>
          <w:p w14:paraId="629B2FEF">
            <w:pPr>
              <w:pStyle w:val="29"/>
              <w:tabs>
                <w:tab w:val="left" w:pos="0"/>
              </w:tabs>
              <w:spacing w:line="282" w:lineRule="auto"/>
              <w:rPr>
                <w:rFonts w:hint="eastAsia" w:ascii="宋体" w:hAnsi="宋体" w:eastAsia="宋体" w:cs="宋体"/>
                <w:sz w:val="24"/>
                <w:szCs w:val="24"/>
              </w:rPr>
            </w:pPr>
          </w:p>
          <w:p w14:paraId="0AA68B5E">
            <w:pPr>
              <w:pStyle w:val="29"/>
              <w:tabs>
                <w:tab w:val="left" w:pos="0"/>
              </w:tabs>
              <w:spacing w:line="283" w:lineRule="auto"/>
              <w:rPr>
                <w:rFonts w:hint="eastAsia" w:ascii="宋体" w:hAnsi="宋体" w:eastAsia="宋体" w:cs="宋体"/>
                <w:sz w:val="24"/>
                <w:szCs w:val="24"/>
              </w:rPr>
            </w:pPr>
          </w:p>
          <w:p w14:paraId="29F8E9E5">
            <w:pPr>
              <w:spacing w:before="69" w:line="188" w:lineRule="auto"/>
              <w:ind w:left="212"/>
              <w:rPr>
                <w:rFonts w:hint="eastAsia" w:ascii="宋体" w:hAnsi="宋体" w:eastAsia="宋体" w:cs="宋体"/>
                <w:sz w:val="24"/>
                <w:szCs w:val="24"/>
              </w:rPr>
            </w:pPr>
            <w:r>
              <w:rPr>
                <w:rFonts w:hint="eastAsia" w:ascii="宋体" w:hAnsi="宋体" w:eastAsia="宋体" w:cs="宋体"/>
                <w:spacing w:val="-5"/>
                <w:sz w:val="24"/>
                <w:szCs w:val="24"/>
              </w:rPr>
              <w:t>19.1.2</w:t>
            </w:r>
          </w:p>
        </w:tc>
        <w:tc>
          <w:tcPr>
            <w:tcW w:w="7815" w:type="dxa"/>
          </w:tcPr>
          <w:p w14:paraId="5C97F314">
            <w:pPr>
              <w:spacing w:before="127" w:line="219" w:lineRule="auto"/>
              <w:ind w:left="114"/>
              <w:rPr>
                <w:rFonts w:hint="eastAsia" w:ascii="宋体" w:hAnsi="宋体" w:eastAsia="宋体" w:cs="宋体"/>
                <w:sz w:val="24"/>
                <w:szCs w:val="24"/>
              </w:rPr>
            </w:pPr>
            <w:r>
              <w:rPr>
                <w:rFonts w:hint="eastAsia" w:ascii="宋体" w:hAnsi="宋体" w:eastAsia="宋体" w:cs="宋体"/>
                <w:spacing w:val="-2"/>
                <w:sz w:val="24"/>
                <w:szCs w:val="24"/>
              </w:rPr>
              <w:t>缺陷责任期：</w:t>
            </w:r>
          </w:p>
          <w:p w14:paraId="7684BDF6">
            <w:pPr>
              <w:spacing w:before="112" w:line="279" w:lineRule="auto"/>
              <w:ind w:left="109" w:right="107" w:firstLine="4"/>
              <w:rPr>
                <w:rFonts w:hint="eastAsia" w:ascii="宋体" w:hAnsi="宋体" w:eastAsia="宋体" w:cs="宋体"/>
                <w:sz w:val="24"/>
                <w:szCs w:val="24"/>
              </w:rPr>
            </w:pPr>
            <w:r>
              <w:rPr>
                <w:rFonts w:hint="eastAsia" w:ascii="宋体" w:hAnsi="宋体" w:eastAsia="宋体" w:cs="宋体"/>
                <w:spacing w:val="-2"/>
                <w:sz w:val="24"/>
                <w:szCs w:val="24"/>
              </w:rPr>
              <w:t>①养护工程的缺陷责任期：</w:t>
            </w:r>
            <w:r>
              <w:rPr>
                <w:rFonts w:hint="eastAsia" w:ascii="宋体" w:hAnsi="宋体" w:eastAsia="宋体" w:cs="宋体"/>
                <w:spacing w:val="-58"/>
                <w:sz w:val="24"/>
                <w:szCs w:val="24"/>
              </w:rPr>
              <w:t xml:space="preserve"> </w:t>
            </w:r>
            <w:r>
              <w:rPr>
                <w:rFonts w:hint="eastAsia" w:ascii="宋体" w:hAnsi="宋体" w:eastAsia="宋体" w:cs="宋体"/>
                <w:spacing w:val="-2"/>
                <w:sz w:val="24"/>
                <w:szCs w:val="24"/>
              </w:rPr>
              <w:t>自养护工程实际交工日期起计算</w:t>
            </w:r>
            <w:r>
              <w:rPr>
                <w:rFonts w:hint="eastAsia" w:ascii="宋体" w:hAnsi="宋体" w:eastAsia="宋体" w:cs="宋体"/>
                <w:spacing w:val="-117"/>
                <w:sz w:val="24"/>
                <w:szCs w:val="24"/>
              </w:rPr>
              <w:t xml:space="preserve"> </w:t>
            </w:r>
            <w:r>
              <w:rPr>
                <w:rFonts w:hint="eastAsia" w:ascii="宋体" w:hAnsi="宋体" w:eastAsia="宋体" w:cs="宋体"/>
                <w:spacing w:val="1"/>
                <w:sz w:val="24"/>
                <w:szCs w:val="24"/>
                <w:u w:val="single"/>
              </w:rPr>
              <w:t xml:space="preserve">  / </w:t>
            </w:r>
            <w:r>
              <w:rPr>
                <w:rFonts w:hint="eastAsia" w:ascii="宋体" w:hAnsi="宋体" w:eastAsia="宋体" w:cs="宋体"/>
                <w:spacing w:val="-2"/>
                <w:sz w:val="24"/>
                <w:szCs w:val="24"/>
              </w:rPr>
              <w:t>月</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"bookmark274" </w:instrText>
            </w:r>
            <w:r>
              <w:rPr>
                <w:rFonts w:hint="eastAsia" w:ascii="宋体" w:hAnsi="宋体" w:eastAsia="宋体" w:cs="宋体"/>
                <w:sz w:val="24"/>
                <w:szCs w:val="24"/>
              </w:rPr>
              <w:fldChar w:fldCharType="separate"/>
            </w:r>
            <w:r>
              <w:rPr>
                <w:rFonts w:hint="eastAsia" w:ascii="宋体" w:hAnsi="宋体" w:eastAsia="宋体" w:cs="宋体"/>
                <w:spacing w:val="-3"/>
                <w:position w:val="9"/>
                <w:sz w:val="24"/>
                <w:szCs w:val="24"/>
              </w:rPr>
              <w:t>①</w:t>
            </w:r>
            <w:r>
              <w:rPr>
                <w:rFonts w:hint="eastAsia" w:ascii="宋体" w:hAnsi="宋体" w:eastAsia="宋体" w:cs="宋体"/>
                <w:spacing w:val="-3"/>
                <w:position w:val="9"/>
                <w:sz w:val="24"/>
                <w:szCs w:val="24"/>
              </w:rPr>
              <w:fldChar w:fldCharType="end"/>
            </w:r>
            <w:r>
              <w:rPr>
                <w:rFonts w:hint="eastAsia" w:ascii="宋体" w:hAnsi="宋体" w:eastAsia="宋体" w:cs="宋体"/>
                <w:spacing w:val="-30"/>
                <w:position w:val="9"/>
                <w:sz w:val="24"/>
                <w:szCs w:val="24"/>
              </w:rPr>
              <w:t xml:space="preserve"> </w:t>
            </w:r>
            <w:r>
              <w:rPr>
                <w:rFonts w:hint="eastAsia" w:ascii="宋体" w:hAnsi="宋体" w:eastAsia="宋体" w:cs="宋体"/>
                <w:spacing w:val="-3"/>
                <w:position w:val="-2"/>
                <w:sz w:val="24"/>
                <w:szCs w:val="24"/>
              </w:rPr>
              <w:t>;</w:t>
            </w:r>
          </w:p>
          <w:p w14:paraId="78A62102">
            <w:pPr>
              <w:spacing w:before="76" w:line="257" w:lineRule="auto"/>
              <w:ind w:left="115" w:right="107" w:hanging="3"/>
              <w:rPr>
                <w:rFonts w:hint="eastAsia" w:ascii="宋体" w:hAnsi="宋体" w:eastAsia="宋体" w:cs="宋体"/>
                <w:sz w:val="24"/>
                <w:szCs w:val="24"/>
              </w:rPr>
            </w:pPr>
            <w:r>
              <w:rPr>
                <w:rFonts w:hint="eastAsia" w:ascii="宋体" w:hAnsi="宋体" w:eastAsia="宋体" w:cs="宋体"/>
                <w:spacing w:val="3"/>
                <w:sz w:val="24"/>
                <w:szCs w:val="24"/>
              </w:rPr>
              <w:t>②项目总体履约的缺陷责任期：</w:t>
            </w:r>
            <w:r>
              <w:rPr>
                <w:rFonts w:hint="eastAsia" w:ascii="宋体" w:hAnsi="宋体" w:eastAsia="宋体" w:cs="宋体"/>
                <w:spacing w:val="-53"/>
                <w:sz w:val="24"/>
                <w:szCs w:val="24"/>
              </w:rPr>
              <w:t xml:space="preserve"> </w:t>
            </w:r>
            <w:r>
              <w:rPr>
                <w:rFonts w:hint="eastAsia" w:ascii="宋体" w:hAnsi="宋体" w:eastAsia="宋体" w:cs="宋体"/>
                <w:spacing w:val="3"/>
                <w:sz w:val="24"/>
                <w:szCs w:val="24"/>
              </w:rPr>
              <w:t>自项目总体完工之日起计</w:t>
            </w:r>
            <w:r>
              <w:rPr>
                <w:rFonts w:hint="eastAsia" w:ascii="宋体" w:hAnsi="宋体" w:eastAsia="宋体" w:cs="宋体"/>
                <w:spacing w:val="-9"/>
                <w:sz w:val="24"/>
                <w:szCs w:val="24"/>
              </w:rPr>
              <w:t>算</w:t>
            </w:r>
            <w:r>
              <w:rPr>
                <w:rFonts w:hint="eastAsia" w:ascii="宋体" w:hAnsi="宋体" w:eastAsia="宋体" w:cs="宋体"/>
                <w:spacing w:val="29"/>
                <w:sz w:val="24"/>
                <w:szCs w:val="24"/>
                <w:u w:val="single"/>
              </w:rPr>
              <w:t xml:space="preserve"> 6个 </w:t>
            </w:r>
            <w:r>
              <w:rPr>
                <w:rFonts w:hint="eastAsia" w:ascii="宋体" w:hAnsi="宋体" w:eastAsia="宋体" w:cs="宋体"/>
                <w:spacing w:val="-102"/>
                <w:sz w:val="24"/>
                <w:szCs w:val="24"/>
              </w:rPr>
              <w:t xml:space="preserve"> </w:t>
            </w:r>
            <w:r>
              <w:rPr>
                <w:rFonts w:hint="eastAsia" w:ascii="宋体" w:hAnsi="宋体" w:eastAsia="宋体" w:cs="宋体"/>
                <w:spacing w:val="-9"/>
                <w:sz w:val="24"/>
                <w:szCs w:val="24"/>
              </w:rPr>
              <w:t>月。</w:t>
            </w:r>
          </w:p>
        </w:tc>
      </w:tr>
      <w:tr w14:paraId="6D52A5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37" w:hRule="atLeast"/>
        </w:trPr>
        <w:tc>
          <w:tcPr>
            <w:tcW w:w="732" w:type="dxa"/>
          </w:tcPr>
          <w:p w14:paraId="1743E1FA">
            <w:pPr>
              <w:pStyle w:val="29"/>
              <w:tabs>
                <w:tab w:val="left" w:pos="0"/>
              </w:tabs>
              <w:spacing w:line="380" w:lineRule="auto"/>
              <w:rPr>
                <w:rFonts w:hint="eastAsia" w:ascii="宋体" w:hAnsi="宋体" w:eastAsia="宋体" w:cs="宋体"/>
                <w:sz w:val="24"/>
                <w:szCs w:val="24"/>
                <w:lang w:eastAsia="zh-CN"/>
              </w:rPr>
            </w:pPr>
          </w:p>
          <w:p w14:paraId="611E7D56">
            <w:pPr>
              <w:spacing w:before="69" w:line="188" w:lineRule="auto"/>
              <w:ind w:left="249"/>
              <w:rPr>
                <w:rFonts w:hint="eastAsia" w:ascii="宋体" w:hAnsi="宋体" w:eastAsia="宋体" w:cs="宋体"/>
                <w:sz w:val="24"/>
                <w:szCs w:val="24"/>
              </w:rPr>
            </w:pPr>
            <w:r>
              <w:rPr>
                <w:rFonts w:hint="eastAsia" w:ascii="宋体" w:hAnsi="宋体" w:eastAsia="宋体" w:cs="宋体"/>
                <w:spacing w:val="-3"/>
                <w:sz w:val="24"/>
                <w:szCs w:val="24"/>
              </w:rPr>
              <w:t>26</w:t>
            </w:r>
          </w:p>
        </w:tc>
        <w:tc>
          <w:tcPr>
            <w:tcW w:w="975" w:type="dxa"/>
          </w:tcPr>
          <w:p w14:paraId="3EEC3BFD">
            <w:pPr>
              <w:pStyle w:val="29"/>
              <w:tabs>
                <w:tab w:val="left" w:pos="0"/>
              </w:tabs>
              <w:spacing w:line="317" w:lineRule="auto"/>
              <w:rPr>
                <w:rFonts w:hint="eastAsia" w:ascii="宋体" w:hAnsi="宋体" w:eastAsia="宋体" w:cs="宋体"/>
                <w:sz w:val="24"/>
                <w:szCs w:val="24"/>
              </w:rPr>
            </w:pPr>
          </w:p>
          <w:p w14:paraId="4FD4A6E4">
            <w:pPr>
              <w:spacing w:before="69" w:line="188" w:lineRule="auto"/>
              <w:ind w:left="278"/>
              <w:rPr>
                <w:rFonts w:hint="eastAsia" w:ascii="宋体" w:hAnsi="宋体" w:eastAsia="宋体" w:cs="宋体"/>
                <w:sz w:val="24"/>
                <w:szCs w:val="24"/>
              </w:rPr>
            </w:pPr>
            <w:r>
              <w:rPr>
                <w:rFonts w:hint="eastAsia" w:ascii="宋体" w:hAnsi="宋体" w:eastAsia="宋体" w:cs="宋体"/>
                <w:spacing w:val="-2"/>
                <w:sz w:val="24"/>
                <w:szCs w:val="24"/>
              </w:rPr>
              <w:t>20.1</w:t>
            </w:r>
          </w:p>
        </w:tc>
        <w:tc>
          <w:tcPr>
            <w:tcW w:w="7815" w:type="dxa"/>
            <w:shd w:val="clear" w:color="auto" w:fill="FFFFFF"/>
          </w:tcPr>
          <w:p w14:paraId="4854C291">
            <w:pPr>
              <w:spacing w:before="38" w:line="360" w:lineRule="auto"/>
              <w:ind w:left="114"/>
              <w:rPr>
                <w:rFonts w:hint="eastAsia" w:ascii="宋体" w:hAnsi="宋体" w:eastAsia="宋体" w:cs="宋体"/>
                <w:sz w:val="24"/>
                <w:szCs w:val="24"/>
              </w:rPr>
            </w:pPr>
            <w:r>
              <w:rPr>
                <w:rFonts w:hint="eastAsia" w:ascii="宋体" w:hAnsi="宋体" w:eastAsia="宋体" w:cs="宋体"/>
                <w:spacing w:val="1"/>
                <w:sz w:val="24"/>
                <w:szCs w:val="24"/>
              </w:rPr>
              <w:t>承包人投保安全生产责任保险</w:t>
            </w:r>
            <w:r>
              <w:rPr>
                <w:rFonts w:hint="eastAsia" w:ascii="宋体" w:hAnsi="宋体" w:eastAsia="宋体" w:cs="宋体"/>
                <w:spacing w:val="-14"/>
                <w:sz w:val="24"/>
                <w:szCs w:val="24"/>
              </w:rPr>
              <w:t>：</w:t>
            </w:r>
            <w:r>
              <w:rPr>
                <w:rFonts w:hint="eastAsia" w:ascii="宋体" w:hAnsi="宋体" w:eastAsia="宋体" w:cs="宋体"/>
                <w:sz w:val="24"/>
                <w:szCs w:val="24"/>
                <w:u w:val="single"/>
              </w:rPr>
              <w:t xml:space="preserve"> </w:t>
            </w:r>
            <w:r>
              <w:rPr>
                <w:rFonts w:hint="eastAsia" w:ascii="宋体" w:hAnsi="宋体" w:eastAsia="宋体" w:cs="宋体"/>
                <w:spacing w:val="1"/>
                <w:sz w:val="24"/>
                <w:szCs w:val="24"/>
                <w:u w:val="single"/>
              </w:rPr>
              <w:t xml:space="preserve">是 </w:t>
            </w:r>
          </w:p>
          <w:p w14:paraId="1D3D1CE1">
            <w:pPr>
              <w:tabs>
                <w:tab w:val="left" w:pos="0"/>
              </w:tabs>
              <w:spacing w:line="360" w:lineRule="auto"/>
              <w:ind w:firstLine="0" w:firstLineChars="0"/>
              <w:rPr>
                <w:rFonts w:hint="eastAsia" w:ascii="宋体" w:hAnsi="宋体" w:eastAsia="宋体" w:cs="宋体"/>
                <w:sz w:val="24"/>
                <w:szCs w:val="24"/>
                <w:highlight w:val="none"/>
                <w:u w:val="single"/>
              </w:rPr>
            </w:pPr>
            <w:r>
              <w:rPr>
                <w:rFonts w:hint="eastAsia" w:ascii="宋体" w:hAnsi="宋体" w:eastAsia="宋体" w:cs="宋体"/>
                <w:sz w:val="24"/>
                <w:szCs w:val="24"/>
              </w:rPr>
              <w:t>安全生产责任保险保险金额</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承包人应根据《广西壮族自治区交通运输厅关于推进实施行业工程建设领域安全生产责任保险工作的通知》（桂交安监函〔2021〕89号）要求购买安全生产责任保险。购买的保险要求累计赔偿限额不低于1000万元，每次事故限额不低于500万元，每人伤亡赔偿限额不低于80万元，每人医疗费用赔偿限额不低于30万元，第三者财产损失赔偿限额不低于150万元。安全生产责任险</w:t>
            </w:r>
            <w:r>
              <w:rPr>
                <w:rFonts w:hint="eastAsia" w:ascii="宋体" w:hAnsi="宋体" w:eastAsia="宋体" w:cs="宋体"/>
                <w:sz w:val="24"/>
                <w:szCs w:val="24"/>
                <w:highlight w:val="none"/>
                <w:u w:val="single"/>
                <w:lang w:val="en-US" w:eastAsia="zh-CN"/>
              </w:rPr>
              <w:t>费用</w:t>
            </w:r>
            <w:r>
              <w:rPr>
                <w:rFonts w:hint="eastAsia" w:ascii="宋体" w:hAnsi="宋体" w:eastAsia="宋体" w:cs="宋体"/>
                <w:sz w:val="24"/>
                <w:szCs w:val="24"/>
                <w:highlight w:val="none"/>
                <w:u w:val="single"/>
              </w:rPr>
              <w:t>由承包人报价时列入</w:t>
            </w:r>
            <w:r>
              <w:rPr>
                <w:rFonts w:hint="eastAsia" w:ascii="宋体" w:hAnsi="宋体" w:eastAsia="宋体" w:cs="宋体"/>
                <w:sz w:val="24"/>
                <w:szCs w:val="24"/>
                <w:highlight w:val="none"/>
                <w:u w:val="single"/>
                <w:lang w:val="en-US" w:eastAsia="zh-CN"/>
              </w:rPr>
              <w:t>工程量</w:t>
            </w:r>
            <w:r>
              <w:rPr>
                <w:rFonts w:hint="eastAsia" w:ascii="宋体" w:hAnsi="宋体" w:eastAsia="宋体" w:cs="宋体"/>
                <w:sz w:val="24"/>
                <w:szCs w:val="24"/>
                <w:highlight w:val="none"/>
                <w:u w:val="single"/>
              </w:rPr>
              <w:t>清单第100章内，</w:t>
            </w:r>
            <w:r>
              <w:rPr>
                <w:rFonts w:hint="eastAsia" w:ascii="宋体" w:hAnsi="宋体" w:eastAsia="宋体" w:cs="宋体"/>
                <w:sz w:val="24"/>
                <w:szCs w:val="24"/>
                <w:highlight w:val="none"/>
                <w:u w:val="single"/>
                <w:lang w:val="en-US" w:eastAsia="zh-CN"/>
              </w:rPr>
              <w:t>报价应包含本项目计量模式和绩效模式全部内容的安全生产责任险报价。</w:t>
            </w:r>
            <w:r>
              <w:rPr>
                <w:rFonts w:hint="eastAsia" w:ascii="宋体" w:hAnsi="宋体" w:eastAsia="宋体" w:cs="宋体"/>
                <w:sz w:val="24"/>
                <w:szCs w:val="24"/>
                <w:highlight w:val="none"/>
                <w:u w:val="single"/>
              </w:rPr>
              <w:t>发包人核对保单无误后按</w:t>
            </w:r>
            <w:r>
              <w:rPr>
                <w:rFonts w:hint="eastAsia" w:ascii="宋体" w:hAnsi="宋体" w:eastAsia="宋体" w:cs="宋体"/>
                <w:sz w:val="24"/>
                <w:szCs w:val="24"/>
                <w:highlight w:val="none"/>
                <w:u w:val="single"/>
                <w:lang w:val="en-US" w:eastAsia="zh-CN"/>
              </w:rPr>
              <w:t>清单计量模式</w:t>
            </w:r>
            <w:r>
              <w:rPr>
                <w:rFonts w:hint="eastAsia" w:ascii="宋体" w:hAnsi="宋体" w:eastAsia="宋体" w:cs="宋体"/>
                <w:sz w:val="24"/>
                <w:szCs w:val="24"/>
                <w:highlight w:val="none"/>
                <w:u w:val="single"/>
              </w:rPr>
              <w:t>向承包人支付，最高</w:t>
            </w:r>
            <w:r>
              <w:rPr>
                <w:rFonts w:hint="eastAsia" w:ascii="宋体" w:hAnsi="宋体" w:eastAsia="宋体" w:cs="宋体"/>
                <w:sz w:val="24"/>
                <w:szCs w:val="24"/>
                <w:highlight w:val="none"/>
                <w:u w:val="single"/>
                <w:lang w:val="en-US" w:eastAsia="zh-CN"/>
              </w:rPr>
              <w:t>金额</w:t>
            </w:r>
            <w:r>
              <w:rPr>
                <w:rFonts w:hint="eastAsia" w:ascii="宋体" w:hAnsi="宋体" w:eastAsia="宋体" w:cs="宋体"/>
                <w:sz w:val="24"/>
                <w:szCs w:val="24"/>
                <w:highlight w:val="none"/>
                <w:u w:val="single"/>
              </w:rPr>
              <w:t>不超过</w:t>
            </w:r>
            <w:r>
              <w:rPr>
                <w:rFonts w:hint="eastAsia" w:ascii="宋体" w:hAnsi="宋体" w:eastAsia="宋体" w:cs="宋体"/>
                <w:sz w:val="24"/>
                <w:szCs w:val="24"/>
                <w:highlight w:val="none"/>
                <w:u w:val="single"/>
                <w:lang w:val="en-US" w:eastAsia="zh-CN"/>
              </w:rPr>
              <w:t>合同计量清单中安全生产</w:t>
            </w:r>
            <w:r>
              <w:rPr>
                <w:rFonts w:hint="eastAsia" w:ascii="宋体" w:hAnsi="宋体" w:eastAsia="宋体" w:cs="宋体"/>
                <w:sz w:val="24"/>
                <w:szCs w:val="24"/>
                <w:highlight w:val="none"/>
                <w:u w:val="single"/>
              </w:rPr>
              <w:t>责任险的总额。</w:t>
            </w:r>
          </w:p>
          <w:p w14:paraId="6B9459A6">
            <w:pPr>
              <w:spacing w:before="24" w:line="360" w:lineRule="auto"/>
              <w:ind w:left="115"/>
              <w:rPr>
                <w:rFonts w:hint="eastAsia" w:ascii="宋体" w:hAnsi="宋体" w:eastAsia="宋体" w:cs="宋体"/>
                <w:sz w:val="24"/>
                <w:szCs w:val="24"/>
              </w:rPr>
            </w:pPr>
          </w:p>
          <w:p w14:paraId="1C6F5A6B">
            <w:pPr>
              <w:spacing w:before="24" w:line="360" w:lineRule="auto"/>
              <w:ind w:left="115"/>
              <w:rPr>
                <w:rFonts w:hint="eastAsia" w:ascii="宋体" w:hAnsi="宋体" w:eastAsia="宋体" w:cs="宋体"/>
                <w:sz w:val="24"/>
                <w:szCs w:val="24"/>
              </w:rPr>
            </w:pPr>
            <w:r>
              <w:rPr>
                <w:rFonts w:hint="eastAsia" w:ascii="宋体" w:hAnsi="宋体" w:eastAsia="宋体" w:cs="宋体"/>
                <w:sz w:val="24"/>
                <w:szCs w:val="24"/>
              </w:rPr>
              <w:t>保险期限：</w:t>
            </w:r>
            <w:r>
              <w:rPr>
                <w:rFonts w:hint="eastAsia" w:ascii="宋体" w:hAnsi="宋体" w:eastAsia="宋体" w:cs="宋体"/>
                <w:sz w:val="24"/>
                <w:szCs w:val="24"/>
                <w:u w:val="single"/>
              </w:rPr>
              <w:t>合同履行期</w:t>
            </w:r>
          </w:p>
        </w:tc>
      </w:tr>
      <w:tr w14:paraId="074EBB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4" w:hRule="atLeast"/>
        </w:trPr>
        <w:tc>
          <w:tcPr>
            <w:tcW w:w="732" w:type="dxa"/>
          </w:tcPr>
          <w:p w14:paraId="6E787936">
            <w:pPr>
              <w:pStyle w:val="29"/>
              <w:tabs>
                <w:tab w:val="left" w:pos="0"/>
              </w:tabs>
              <w:spacing w:line="316" w:lineRule="auto"/>
              <w:rPr>
                <w:rFonts w:hint="eastAsia" w:ascii="宋体" w:hAnsi="宋体" w:eastAsia="宋体" w:cs="宋体"/>
                <w:sz w:val="24"/>
                <w:szCs w:val="24"/>
                <w:lang w:eastAsia="zh-CN"/>
              </w:rPr>
            </w:pPr>
          </w:p>
          <w:p w14:paraId="6ED8EC20">
            <w:pPr>
              <w:spacing w:before="69" w:line="188" w:lineRule="auto"/>
              <w:ind w:left="249"/>
              <w:rPr>
                <w:rFonts w:hint="eastAsia" w:ascii="宋体" w:hAnsi="宋体" w:eastAsia="宋体" w:cs="宋体"/>
                <w:sz w:val="24"/>
                <w:szCs w:val="24"/>
              </w:rPr>
            </w:pPr>
            <w:r>
              <w:rPr>
                <w:rFonts w:hint="eastAsia" w:ascii="宋体" w:hAnsi="宋体" w:eastAsia="宋体" w:cs="宋体"/>
                <w:spacing w:val="-3"/>
                <w:sz w:val="24"/>
                <w:szCs w:val="24"/>
              </w:rPr>
              <w:t>27</w:t>
            </w:r>
          </w:p>
        </w:tc>
        <w:tc>
          <w:tcPr>
            <w:tcW w:w="975" w:type="dxa"/>
          </w:tcPr>
          <w:p w14:paraId="34FC5C11">
            <w:pPr>
              <w:pStyle w:val="29"/>
              <w:tabs>
                <w:tab w:val="left" w:pos="0"/>
              </w:tabs>
              <w:spacing w:line="316" w:lineRule="auto"/>
              <w:rPr>
                <w:rFonts w:hint="eastAsia" w:ascii="宋体" w:hAnsi="宋体" w:eastAsia="宋体" w:cs="宋体"/>
                <w:sz w:val="24"/>
                <w:szCs w:val="24"/>
              </w:rPr>
            </w:pPr>
          </w:p>
          <w:p w14:paraId="5523AC83">
            <w:pPr>
              <w:spacing w:before="69" w:line="188" w:lineRule="auto"/>
              <w:ind w:left="189"/>
              <w:rPr>
                <w:rFonts w:hint="eastAsia" w:ascii="宋体" w:hAnsi="宋体" w:eastAsia="宋体" w:cs="宋体"/>
                <w:sz w:val="24"/>
                <w:szCs w:val="24"/>
              </w:rPr>
            </w:pPr>
            <w:r>
              <w:rPr>
                <w:rFonts w:hint="eastAsia" w:ascii="宋体" w:hAnsi="宋体" w:eastAsia="宋体" w:cs="宋体"/>
                <w:spacing w:val="-1"/>
                <w:sz w:val="24"/>
                <w:szCs w:val="24"/>
              </w:rPr>
              <w:t>20.2.1</w:t>
            </w:r>
          </w:p>
        </w:tc>
        <w:tc>
          <w:tcPr>
            <w:tcW w:w="7815" w:type="dxa"/>
            <w:shd w:val="clear" w:color="auto" w:fill="FFFFFF"/>
          </w:tcPr>
          <w:p w14:paraId="176EB264">
            <w:pPr>
              <w:tabs>
                <w:tab w:val="left" w:pos="0"/>
              </w:tabs>
              <w:spacing w:line="320" w:lineRule="exact"/>
              <w:rPr>
                <w:rFonts w:hint="eastAsia" w:ascii="宋体" w:hAnsi="宋体" w:eastAsia="宋体" w:cs="宋体"/>
                <w:sz w:val="24"/>
                <w:szCs w:val="24"/>
                <w:u w:val="single"/>
              </w:rPr>
            </w:pPr>
            <w:r>
              <w:rPr>
                <w:rFonts w:hint="eastAsia" w:ascii="宋体" w:hAnsi="宋体" w:eastAsia="宋体" w:cs="宋体"/>
                <w:sz w:val="24"/>
                <w:szCs w:val="24"/>
                <w:u w:val="none"/>
                <w:lang w:val="en-US" w:eastAsia="zh-CN"/>
              </w:rPr>
              <w:t>保险险种：</w:t>
            </w:r>
            <w:r>
              <w:rPr>
                <w:rFonts w:hint="eastAsia" w:ascii="宋体" w:hAnsi="宋体" w:eastAsia="宋体" w:cs="宋体"/>
                <w:sz w:val="24"/>
                <w:szCs w:val="24"/>
                <w:u w:val="single"/>
              </w:rPr>
              <w:t>工程保险、工伤保险、人身意外伤害险、其它保险；</w:t>
            </w:r>
          </w:p>
          <w:p w14:paraId="46CDABE1">
            <w:pPr>
              <w:tabs>
                <w:tab w:val="left" w:pos="0"/>
              </w:tabs>
              <w:spacing w:line="320" w:lineRule="exact"/>
              <w:rPr>
                <w:rFonts w:hint="eastAsia" w:ascii="宋体" w:hAnsi="宋体" w:eastAsia="宋体" w:cs="宋体"/>
                <w:sz w:val="24"/>
                <w:szCs w:val="24"/>
                <w:u w:val="single"/>
              </w:rPr>
            </w:pPr>
            <w:r>
              <w:rPr>
                <w:rFonts w:hint="eastAsia" w:ascii="宋体" w:hAnsi="宋体" w:eastAsia="宋体" w:cs="宋体"/>
                <w:spacing w:val="-3"/>
                <w:sz w:val="24"/>
                <w:szCs w:val="24"/>
              </w:rPr>
              <w:t>保险范围</w:t>
            </w:r>
            <w:r>
              <w:rPr>
                <w:rFonts w:hint="eastAsia" w:ascii="宋体" w:hAnsi="宋体" w:eastAsia="宋体" w:cs="宋体"/>
                <w:spacing w:val="-5"/>
                <w:sz w:val="24"/>
                <w:szCs w:val="24"/>
              </w:rPr>
              <w:t>：</w:t>
            </w:r>
            <w:r>
              <w:rPr>
                <w:rFonts w:hint="eastAsia" w:ascii="宋体" w:hAnsi="宋体" w:eastAsia="宋体" w:cs="宋体"/>
                <w:sz w:val="24"/>
                <w:szCs w:val="24"/>
                <w:u w:val="single"/>
              </w:rPr>
              <w:t xml:space="preserve">    承包人所承担的全部养护作业内容，包括但不限于路基、路面、桥梁、涵洞、安全设施及附属工程等在养护期间因自然灾害、意外事故造成的财产损失、第三者人身伤亡或财产损害，以及施工人员在作业过程中发生的人身意外伤害；</w:t>
            </w:r>
          </w:p>
          <w:p w14:paraId="3023233C">
            <w:pPr>
              <w:tabs>
                <w:tab w:val="left" w:pos="0"/>
              </w:tabs>
              <w:spacing w:line="320" w:lineRule="exact"/>
              <w:rPr>
                <w:rFonts w:hint="eastAsia" w:ascii="宋体" w:hAnsi="宋体" w:eastAsia="宋体" w:cs="宋体"/>
                <w:sz w:val="24"/>
                <w:szCs w:val="24"/>
                <w:u w:val="single"/>
              </w:rPr>
            </w:pPr>
            <w:r>
              <w:rPr>
                <w:rFonts w:hint="eastAsia" w:ascii="宋体" w:hAnsi="宋体" w:eastAsia="宋体" w:cs="宋体"/>
                <w:spacing w:val="-2"/>
                <w:sz w:val="24"/>
                <w:szCs w:val="24"/>
              </w:rPr>
              <w:t>保险金额</w:t>
            </w:r>
            <w:r>
              <w:rPr>
                <w:rFonts w:hint="eastAsia" w:ascii="宋体" w:hAnsi="宋体" w:eastAsia="宋体" w:cs="宋体"/>
                <w:spacing w:val="-6"/>
                <w:sz w:val="24"/>
                <w:szCs w:val="24"/>
              </w:rPr>
              <w:t>：</w:t>
            </w:r>
            <w:r>
              <w:rPr>
                <w:rFonts w:hint="eastAsia" w:ascii="宋体" w:hAnsi="宋体" w:eastAsia="宋体" w:cs="宋体"/>
                <w:spacing w:val="20"/>
                <w:sz w:val="24"/>
                <w:szCs w:val="24"/>
                <w:u w:val="single"/>
              </w:rPr>
              <w:t xml:space="preserve">  </w:t>
            </w:r>
            <w:r>
              <w:rPr>
                <w:rFonts w:hint="eastAsia" w:ascii="宋体" w:hAnsi="宋体" w:eastAsia="宋体" w:cs="宋体"/>
                <w:sz w:val="24"/>
                <w:szCs w:val="24"/>
                <w:u w:val="single"/>
              </w:rPr>
              <w:t xml:space="preserve"> 合同价的100%  </w:t>
            </w:r>
            <w:r>
              <w:rPr>
                <w:rFonts w:hint="eastAsia" w:ascii="宋体" w:hAnsi="宋体" w:eastAsia="宋体" w:cs="宋体"/>
                <w:spacing w:val="20"/>
                <w:sz w:val="24"/>
                <w:szCs w:val="24"/>
                <w:u w:val="single"/>
              </w:rPr>
              <w:t xml:space="preserve"> </w:t>
            </w:r>
            <w:r>
              <w:rPr>
                <w:rFonts w:hint="eastAsia" w:ascii="宋体" w:hAnsi="宋体" w:eastAsia="宋体" w:cs="宋体"/>
                <w:spacing w:val="-89"/>
                <w:sz w:val="24"/>
                <w:szCs w:val="24"/>
              </w:rPr>
              <w:t xml:space="preserve"> </w:t>
            </w:r>
            <w:r>
              <w:rPr>
                <w:rFonts w:hint="eastAsia" w:ascii="宋体" w:hAnsi="宋体" w:eastAsia="宋体" w:cs="宋体"/>
                <w:spacing w:val="-6"/>
                <w:sz w:val="24"/>
                <w:szCs w:val="24"/>
              </w:rPr>
              <w:t>；</w:t>
            </w:r>
            <w:r>
              <w:rPr>
                <w:rFonts w:hint="eastAsia" w:ascii="宋体" w:hAnsi="宋体" w:eastAsia="宋体" w:cs="宋体"/>
                <w:spacing w:val="-2"/>
                <w:sz w:val="24"/>
                <w:szCs w:val="24"/>
              </w:rPr>
              <w:t>保险费率：</w:t>
            </w:r>
            <w:r>
              <w:rPr>
                <w:rFonts w:hint="eastAsia" w:ascii="宋体" w:hAnsi="宋体" w:eastAsia="宋体" w:cs="宋体"/>
                <w:spacing w:val="-2"/>
                <w:sz w:val="24"/>
                <w:szCs w:val="24"/>
                <w:u w:val="single"/>
              </w:rPr>
              <w:t xml:space="preserve">  </w:t>
            </w:r>
            <w:r>
              <w:rPr>
                <w:rFonts w:hint="eastAsia" w:ascii="宋体" w:hAnsi="宋体" w:eastAsia="宋体" w:cs="宋体"/>
                <w:sz w:val="24"/>
                <w:szCs w:val="24"/>
                <w:u w:val="single"/>
              </w:rPr>
              <w:t xml:space="preserve"> 3  </w:t>
            </w:r>
            <w:r>
              <w:rPr>
                <w:rFonts w:hint="eastAsia" w:ascii="宋体" w:hAnsi="宋体" w:eastAsia="宋体" w:cs="宋体"/>
                <w:spacing w:val="-2"/>
                <w:sz w:val="24"/>
                <w:szCs w:val="24"/>
                <w:u w:val="single"/>
              </w:rPr>
              <w:t xml:space="preserve"> </w:t>
            </w:r>
            <w:r>
              <w:rPr>
                <w:rFonts w:hint="eastAsia" w:ascii="宋体" w:hAnsi="宋体" w:eastAsia="宋体" w:cs="宋体"/>
                <w:spacing w:val="-111"/>
                <w:sz w:val="24"/>
                <w:szCs w:val="24"/>
              </w:rPr>
              <w:t xml:space="preserve"> </w:t>
            </w:r>
            <w:r>
              <w:rPr>
                <w:rFonts w:hint="eastAsia" w:ascii="宋体" w:hAnsi="宋体" w:eastAsia="宋体" w:cs="宋体"/>
                <w:spacing w:val="-2"/>
                <w:sz w:val="24"/>
                <w:szCs w:val="24"/>
              </w:rPr>
              <w:t>‰；保险期限：</w:t>
            </w:r>
            <w:r>
              <w:rPr>
                <w:rFonts w:hint="eastAsia" w:ascii="宋体" w:hAnsi="宋体" w:eastAsia="宋体" w:cs="宋体"/>
                <w:sz w:val="24"/>
                <w:szCs w:val="24"/>
                <w:u w:val="single"/>
              </w:rPr>
              <w:t xml:space="preserve">合同履行期 </w:t>
            </w:r>
            <w:r>
              <w:rPr>
                <w:rFonts w:hint="eastAsia" w:ascii="宋体" w:hAnsi="宋体" w:eastAsia="宋体" w:cs="宋体"/>
                <w:sz w:val="24"/>
                <w:szCs w:val="24"/>
                <w:u w:val="single"/>
                <w:lang w:eastAsia="zh-CN"/>
              </w:rPr>
              <w:t>。</w:t>
            </w:r>
            <w:r>
              <w:rPr>
                <w:rFonts w:hint="eastAsia" w:ascii="宋体" w:hAnsi="宋体" w:eastAsia="宋体" w:cs="宋体"/>
                <w:sz w:val="24"/>
                <w:szCs w:val="24"/>
                <w:u w:val="single"/>
              </w:rPr>
              <w:t xml:space="preserve">     </w:t>
            </w:r>
          </w:p>
          <w:p w14:paraId="23E4362C">
            <w:pPr>
              <w:tabs>
                <w:tab w:val="left" w:pos="0"/>
              </w:tabs>
              <w:spacing w:line="320" w:lineRule="exact"/>
              <w:rPr>
                <w:rFonts w:hint="eastAsia" w:ascii="宋体" w:hAnsi="宋体" w:eastAsia="宋体" w:cs="宋体"/>
                <w:sz w:val="24"/>
                <w:szCs w:val="24"/>
                <w:u w:val="single"/>
              </w:rPr>
            </w:pPr>
            <w:r>
              <w:rPr>
                <w:rFonts w:hint="eastAsia" w:ascii="宋体" w:hAnsi="宋体" w:eastAsia="宋体" w:cs="宋体"/>
                <w:sz w:val="24"/>
                <w:szCs w:val="24"/>
                <w:u w:val="single"/>
              </w:rPr>
              <w:t>工程保险、工伤保险、人身意外伤害险、其它保险的费用由承包人承担，发包人不予计量。</w:t>
            </w:r>
          </w:p>
          <w:p w14:paraId="1D2E7371">
            <w:pPr>
              <w:spacing w:before="115" w:line="204" w:lineRule="auto"/>
              <w:rPr>
                <w:rFonts w:hint="eastAsia" w:ascii="宋体" w:hAnsi="宋体" w:eastAsia="宋体" w:cs="宋体"/>
                <w:sz w:val="24"/>
                <w:szCs w:val="24"/>
              </w:rPr>
            </w:pPr>
          </w:p>
        </w:tc>
      </w:tr>
      <w:tr w14:paraId="50829D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204" w:hRule="atLeast"/>
        </w:trPr>
        <w:tc>
          <w:tcPr>
            <w:tcW w:w="732" w:type="dxa"/>
          </w:tcPr>
          <w:p w14:paraId="5F0F64EA">
            <w:pPr>
              <w:pStyle w:val="29"/>
              <w:tabs>
                <w:tab w:val="left" w:pos="0"/>
              </w:tabs>
              <w:spacing w:line="258" w:lineRule="auto"/>
              <w:rPr>
                <w:rFonts w:hint="eastAsia" w:ascii="宋体" w:hAnsi="宋体" w:eastAsia="宋体" w:cs="宋体"/>
                <w:sz w:val="24"/>
                <w:szCs w:val="24"/>
                <w:lang w:eastAsia="zh-CN"/>
              </w:rPr>
            </w:pPr>
          </w:p>
          <w:p w14:paraId="5C6D7DF1">
            <w:pPr>
              <w:pStyle w:val="29"/>
              <w:tabs>
                <w:tab w:val="left" w:pos="0"/>
              </w:tabs>
              <w:spacing w:line="258" w:lineRule="auto"/>
              <w:rPr>
                <w:rFonts w:hint="eastAsia" w:ascii="宋体" w:hAnsi="宋体" w:eastAsia="宋体" w:cs="宋体"/>
                <w:sz w:val="24"/>
                <w:szCs w:val="24"/>
                <w:lang w:eastAsia="zh-CN"/>
              </w:rPr>
            </w:pPr>
          </w:p>
          <w:p w14:paraId="2448A2BD">
            <w:pPr>
              <w:spacing w:before="69" w:line="188" w:lineRule="auto"/>
              <w:ind w:left="249"/>
              <w:rPr>
                <w:rFonts w:hint="eastAsia" w:ascii="宋体" w:hAnsi="宋体" w:eastAsia="宋体" w:cs="宋体"/>
                <w:sz w:val="24"/>
                <w:szCs w:val="24"/>
              </w:rPr>
            </w:pPr>
            <w:r>
              <w:rPr>
                <w:rFonts w:hint="eastAsia" w:ascii="宋体" w:hAnsi="宋体" w:eastAsia="宋体" w:cs="宋体"/>
                <w:spacing w:val="-3"/>
                <w:sz w:val="24"/>
                <w:szCs w:val="24"/>
              </w:rPr>
              <w:t>28</w:t>
            </w:r>
          </w:p>
        </w:tc>
        <w:tc>
          <w:tcPr>
            <w:tcW w:w="975" w:type="dxa"/>
          </w:tcPr>
          <w:p w14:paraId="01A3F141">
            <w:pPr>
              <w:pStyle w:val="29"/>
              <w:tabs>
                <w:tab w:val="left" w:pos="0"/>
              </w:tabs>
              <w:spacing w:line="316" w:lineRule="auto"/>
              <w:rPr>
                <w:rFonts w:hint="eastAsia" w:ascii="宋体" w:hAnsi="宋体" w:eastAsia="宋体" w:cs="宋体"/>
                <w:sz w:val="24"/>
                <w:szCs w:val="24"/>
              </w:rPr>
            </w:pPr>
          </w:p>
          <w:p w14:paraId="2418144F">
            <w:pPr>
              <w:spacing w:before="69" w:line="188" w:lineRule="auto"/>
              <w:ind w:left="189"/>
              <w:rPr>
                <w:rFonts w:hint="eastAsia" w:ascii="宋体" w:hAnsi="宋体" w:eastAsia="宋体" w:cs="宋体"/>
                <w:sz w:val="24"/>
                <w:szCs w:val="24"/>
              </w:rPr>
            </w:pPr>
            <w:r>
              <w:rPr>
                <w:rFonts w:hint="eastAsia" w:ascii="宋体" w:hAnsi="宋体" w:eastAsia="宋体" w:cs="宋体"/>
                <w:spacing w:val="-1"/>
                <w:sz w:val="24"/>
                <w:szCs w:val="24"/>
              </w:rPr>
              <w:t>20.2.2</w:t>
            </w:r>
          </w:p>
          <w:p w14:paraId="4F14544B">
            <w:pPr>
              <w:spacing w:before="125" w:line="232" w:lineRule="auto"/>
              <w:ind w:left="205"/>
              <w:rPr>
                <w:rFonts w:hint="eastAsia" w:ascii="宋体" w:hAnsi="宋体" w:eastAsia="宋体" w:cs="宋体"/>
                <w:sz w:val="24"/>
                <w:szCs w:val="24"/>
              </w:rPr>
            </w:pPr>
            <w:r>
              <w:rPr>
                <w:rFonts w:hint="eastAsia" w:ascii="宋体" w:hAnsi="宋体" w:eastAsia="宋体" w:cs="宋体"/>
                <w:spacing w:val="-7"/>
                <w:sz w:val="24"/>
                <w:szCs w:val="24"/>
              </w:rPr>
              <w:t>（2）</w:t>
            </w:r>
          </w:p>
        </w:tc>
        <w:tc>
          <w:tcPr>
            <w:tcW w:w="7815" w:type="dxa"/>
            <w:shd w:val="clear" w:color="auto" w:fill="FFFFFF"/>
            <w:vAlign w:val="top"/>
          </w:tcPr>
          <w:p w14:paraId="56992A8B">
            <w:pPr>
              <w:spacing w:before="129" w:line="219" w:lineRule="auto"/>
              <w:ind w:left="114"/>
              <w:rPr>
                <w:rFonts w:hint="eastAsia" w:ascii="宋体" w:hAnsi="宋体" w:eastAsia="宋体" w:cs="宋体"/>
                <w:sz w:val="24"/>
                <w:szCs w:val="24"/>
              </w:rPr>
            </w:pPr>
            <w:r>
              <w:rPr>
                <w:rFonts w:hint="eastAsia" w:ascii="宋体" w:hAnsi="宋体" w:eastAsia="宋体" w:cs="宋体"/>
                <w:spacing w:val="1"/>
                <w:sz w:val="24"/>
                <w:szCs w:val="24"/>
              </w:rPr>
              <w:t>第三者责任险的最低投保金额：</w:t>
            </w:r>
            <w:r>
              <w:rPr>
                <w:rFonts w:hint="eastAsia" w:ascii="宋体" w:hAnsi="宋体" w:eastAsia="宋体" w:cs="宋体"/>
                <w:spacing w:val="1"/>
                <w:sz w:val="24"/>
                <w:szCs w:val="24"/>
                <w:u w:val="single"/>
              </w:rPr>
              <w:t xml:space="preserve">   100  </w:t>
            </w:r>
            <w:r>
              <w:rPr>
                <w:rFonts w:hint="eastAsia" w:ascii="宋体" w:hAnsi="宋体" w:eastAsia="宋体" w:cs="宋体"/>
                <w:spacing w:val="-91"/>
                <w:sz w:val="24"/>
                <w:szCs w:val="24"/>
              </w:rPr>
              <w:t xml:space="preserve"> </w:t>
            </w:r>
            <w:r>
              <w:rPr>
                <w:rFonts w:hint="eastAsia" w:ascii="宋体" w:hAnsi="宋体" w:eastAsia="宋体" w:cs="宋体"/>
                <w:spacing w:val="1"/>
                <w:sz w:val="24"/>
                <w:szCs w:val="24"/>
              </w:rPr>
              <w:t>万元，事故次数不限（不</w:t>
            </w:r>
          </w:p>
          <w:p w14:paraId="6EFBA5C3">
            <w:pPr>
              <w:spacing w:before="116" w:line="219" w:lineRule="auto"/>
              <w:ind w:left="114"/>
              <w:rPr>
                <w:rFonts w:hint="eastAsia" w:ascii="宋体" w:hAnsi="宋体" w:eastAsia="宋体" w:cs="宋体"/>
                <w:sz w:val="24"/>
                <w:szCs w:val="24"/>
              </w:rPr>
            </w:pPr>
            <w:r>
              <w:rPr>
                <w:rFonts w:hint="eastAsia" w:ascii="宋体" w:hAnsi="宋体" w:eastAsia="宋体" w:cs="宋体"/>
                <w:spacing w:val="-2"/>
                <w:sz w:val="24"/>
                <w:szCs w:val="24"/>
              </w:rPr>
              <w:t>计免赔额）</w:t>
            </w:r>
          </w:p>
          <w:p w14:paraId="119458FD">
            <w:pPr>
              <w:spacing w:before="129" w:line="219" w:lineRule="auto"/>
              <w:ind w:left="114"/>
              <w:rPr>
                <w:rFonts w:hint="eastAsia" w:ascii="宋体" w:hAnsi="宋体" w:eastAsia="宋体" w:cs="宋体"/>
                <w:spacing w:val="-2"/>
                <w:sz w:val="24"/>
                <w:szCs w:val="24"/>
              </w:rPr>
            </w:pPr>
            <w:r>
              <w:rPr>
                <w:rFonts w:hint="eastAsia" w:ascii="宋体" w:hAnsi="宋体" w:eastAsia="宋体" w:cs="宋体"/>
                <w:spacing w:val="-2"/>
                <w:sz w:val="24"/>
                <w:szCs w:val="24"/>
              </w:rPr>
              <w:t>保险费率：</w:t>
            </w:r>
            <w:r>
              <w:rPr>
                <w:rFonts w:hint="eastAsia" w:ascii="宋体" w:hAnsi="宋体" w:eastAsia="宋体" w:cs="宋体"/>
                <w:spacing w:val="-2"/>
                <w:sz w:val="24"/>
                <w:szCs w:val="24"/>
                <w:u w:val="single"/>
              </w:rPr>
              <w:t xml:space="preserve">  </w:t>
            </w:r>
            <w:r>
              <w:rPr>
                <w:rFonts w:hint="eastAsia" w:ascii="宋体" w:hAnsi="宋体" w:eastAsia="宋体" w:cs="宋体"/>
                <w:spacing w:val="-2"/>
                <w:sz w:val="24"/>
                <w:szCs w:val="24"/>
                <w:u w:val="single"/>
                <w:lang w:val="en-US" w:eastAsia="zh-CN"/>
              </w:rPr>
              <w:t>1.5</w:t>
            </w:r>
            <w:r>
              <w:rPr>
                <w:rFonts w:hint="eastAsia" w:ascii="宋体" w:hAnsi="宋体" w:eastAsia="宋体" w:cs="宋体"/>
                <w:spacing w:val="-2"/>
                <w:sz w:val="24"/>
                <w:szCs w:val="24"/>
                <w:u w:val="single"/>
              </w:rPr>
              <w:t xml:space="preserve">  </w:t>
            </w:r>
            <w:r>
              <w:rPr>
                <w:rFonts w:hint="eastAsia" w:ascii="宋体" w:hAnsi="宋体" w:eastAsia="宋体" w:cs="宋体"/>
                <w:spacing w:val="-104"/>
                <w:sz w:val="24"/>
                <w:szCs w:val="24"/>
              </w:rPr>
              <w:t xml:space="preserve"> </w:t>
            </w:r>
            <w:r>
              <w:rPr>
                <w:rFonts w:hint="eastAsia" w:ascii="宋体" w:hAnsi="宋体" w:eastAsia="宋体" w:cs="宋体"/>
                <w:spacing w:val="-2"/>
                <w:sz w:val="24"/>
                <w:szCs w:val="24"/>
              </w:rPr>
              <w:t>‰</w:t>
            </w:r>
          </w:p>
          <w:p w14:paraId="6A523C03">
            <w:pPr>
              <w:spacing w:before="116" w:line="219" w:lineRule="auto"/>
              <w:ind w:left="114"/>
              <w:rPr>
                <w:rFonts w:hint="eastAsia" w:ascii="宋体" w:hAnsi="宋体" w:eastAsia="宋体" w:cs="宋体"/>
                <w:sz w:val="24"/>
                <w:szCs w:val="24"/>
              </w:rPr>
            </w:pPr>
            <w:r>
              <w:rPr>
                <w:rFonts w:hint="eastAsia" w:ascii="宋体" w:hAnsi="宋体" w:eastAsia="宋体" w:cs="宋体"/>
                <w:spacing w:val="2"/>
                <w:sz w:val="24"/>
                <w:szCs w:val="24"/>
              </w:rPr>
              <w:t>第三者责任险由</w:t>
            </w:r>
            <w:r>
              <w:rPr>
                <w:rFonts w:hint="eastAsia" w:ascii="宋体" w:hAnsi="宋体" w:eastAsia="宋体" w:cs="宋体"/>
                <w:spacing w:val="1"/>
                <w:sz w:val="24"/>
                <w:szCs w:val="24"/>
              </w:rPr>
              <w:t>承包人以承包人与发包人的名义联名投</w:t>
            </w:r>
            <w:r>
              <w:rPr>
                <w:rFonts w:hint="eastAsia" w:ascii="宋体" w:hAnsi="宋体" w:eastAsia="宋体" w:cs="宋体"/>
                <w:spacing w:val="1"/>
                <w:sz w:val="24"/>
                <w:szCs w:val="24"/>
                <w:highlight w:val="none"/>
              </w:rPr>
              <w:t>保。第三者责任险</w:t>
            </w:r>
            <w:r>
              <w:rPr>
                <w:rFonts w:hint="eastAsia" w:ascii="宋体" w:hAnsi="宋体" w:eastAsia="宋体" w:cs="宋体"/>
                <w:sz w:val="24"/>
                <w:szCs w:val="24"/>
                <w:highlight w:val="none"/>
                <w:u w:val="none"/>
                <w:lang w:val="en-US" w:eastAsia="zh-CN"/>
              </w:rPr>
              <w:t>费用</w:t>
            </w:r>
            <w:r>
              <w:rPr>
                <w:rFonts w:hint="eastAsia" w:ascii="宋体" w:hAnsi="宋体" w:eastAsia="宋体" w:cs="宋体"/>
                <w:sz w:val="24"/>
                <w:szCs w:val="24"/>
                <w:highlight w:val="none"/>
                <w:u w:val="none"/>
              </w:rPr>
              <w:t>由承包人报价时列入</w:t>
            </w:r>
            <w:r>
              <w:rPr>
                <w:rFonts w:hint="eastAsia" w:ascii="宋体" w:hAnsi="宋体" w:eastAsia="宋体" w:cs="宋体"/>
                <w:sz w:val="24"/>
                <w:szCs w:val="24"/>
                <w:highlight w:val="none"/>
                <w:u w:val="none"/>
                <w:lang w:val="en-US" w:eastAsia="zh-CN"/>
              </w:rPr>
              <w:t>工程量</w:t>
            </w:r>
            <w:r>
              <w:rPr>
                <w:rFonts w:hint="eastAsia" w:ascii="宋体" w:hAnsi="宋体" w:eastAsia="宋体" w:cs="宋体"/>
                <w:sz w:val="24"/>
                <w:szCs w:val="24"/>
                <w:highlight w:val="none"/>
                <w:u w:val="none"/>
              </w:rPr>
              <w:t>清单第100章内，</w:t>
            </w:r>
            <w:r>
              <w:rPr>
                <w:rFonts w:hint="eastAsia" w:ascii="宋体" w:hAnsi="宋体" w:eastAsia="宋体" w:cs="宋体"/>
                <w:sz w:val="24"/>
                <w:szCs w:val="24"/>
                <w:highlight w:val="none"/>
                <w:u w:val="none"/>
                <w:lang w:val="en-US" w:eastAsia="zh-CN"/>
              </w:rPr>
              <w:t>报价应包含本项目计量模式和绩效模式全部内容的</w:t>
            </w:r>
            <w:r>
              <w:rPr>
                <w:rFonts w:hint="eastAsia" w:ascii="宋体" w:hAnsi="宋体" w:eastAsia="宋体" w:cs="宋体"/>
                <w:spacing w:val="2"/>
                <w:sz w:val="24"/>
                <w:szCs w:val="24"/>
                <w:highlight w:val="none"/>
                <w:u w:val="none"/>
              </w:rPr>
              <w:t>第三者责任险</w:t>
            </w:r>
            <w:r>
              <w:rPr>
                <w:rFonts w:hint="eastAsia" w:ascii="宋体" w:hAnsi="宋体" w:eastAsia="宋体" w:cs="宋体"/>
                <w:sz w:val="24"/>
                <w:szCs w:val="24"/>
                <w:highlight w:val="none"/>
                <w:u w:val="none"/>
                <w:lang w:val="en-US" w:eastAsia="zh-CN"/>
              </w:rPr>
              <w:t>报价。</w:t>
            </w:r>
            <w:r>
              <w:rPr>
                <w:rFonts w:hint="eastAsia" w:ascii="宋体" w:hAnsi="宋体" w:eastAsia="宋体" w:cs="宋体"/>
                <w:spacing w:val="2"/>
                <w:sz w:val="24"/>
                <w:szCs w:val="24"/>
                <w:highlight w:val="none"/>
              </w:rPr>
              <w:t>发包人按投标工</w:t>
            </w:r>
            <w:r>
              <w:rPr>
                <w:rFonts w:hint="eastAsia" w:ascii="宋体" w:hAnsi="宋体" w:eastAsia="宋体" w:cs="宋体"/>
                <w:spacing w:val="2"/>
                <w:sz w:val="24"/>
                <w:szCs w:val="24"/>
              </w:rPr>
              <w:t>程量清单子目总额计量支付</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lang w:val="en-US" w:eastAsia="zh-CN"/>
              </w:rPr>
              <w:t>超出部分由承包人自行承担。</w:t>
            </w:r>
          </w:p>
        </w:tc>
      </w:tr>
      <w:tr w14:paraId="23B207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10" w:hRule="atLeast"/>
        </w:trPr>
        <w:tc>
          <w:tcPr>
            <w:tcW w:w="732" w:type="dxa"/>
          </w:tcPr>
          <w:p w14:paraId="0E521B96">
            <w:pPr>
              <w:pStyle w:val="29"/>
              <w:tabs>
                <w:tab w:val="left" w:pos="0"/>
              </w:tabs>
              <w:spacing w:line="319" w:lineRule="auto"/>
              <w:rPr>
                <w:rFonts w:hint="eastAsia" w:ascii="宋体" w:hAnsi="宋体" w:eastAsia="宋体" w:cs="宋体"/>
                <w:sz w:val="24"/>
                <w:szCs w:val="24"/>
              </w:rPr>
            </w:pPr>
          </w:p>
          <w:p w14:paraId="4E92CAE6">
            <w:pPr>
              <w:spacing w:before="69" w:line="188" w:lineRule="auto"/>
              <w:ind w:left="249"/>
              <w:rPr>
                <w:rFonts w:hint="eastAsia" w:ascii="宋体" w:hAnsi="宋体" w:eastAsia="宋体" w:cs="宋体"/>
                <w:sz w:val="24"/>
                <w:szCs w:val="24"/>
              </w:rPr>
            </w:pPr>
            <w:r>
              <w:rPr>
                <w:rFonts w:hint="eastAsia" w:ascii="宋体" w:hAnsi="宋体" w:eastAsia="宋体" w:cs="宋体"/>
                <w:spacing w:val="-3"/>
                <w:sz w:val="24"/>
                <w:szCs w:val="24"/>
              </w:rPr>
              <w:t>29</w:t>
            </w:r>
          </w:p>
        </w:tc>
        <w:tc>
          <w:tcPr>
            <w:tcW w:w="975" w:type="dxa"/>
          </w:tcPr>
          <w:p w14:paraId="1D225DA1">
            <w:pPr>
              <w:pStyle w:val="29"/>
              <w:tabs>
                <w:tab w:val="left" w:pos="0"/>
              </w:tabs>
              <w:spacing w:line="319" w:lineRule="auto"/>
              <w:rPr>
                <w:rFonts w:hint="eastAsia" w:ascii="宋体" w:hAnsi="宋体" w:eastAsia="宋体" w:cs="宋体"/>
                <w:sz w:val="24"/>
                <w:szCs w:val="24"/>
              </w:rPr>
            </w:pPr>
          </w:p>
          <w:p w14:paraId="75117AB9">
            <w:pPr>
              <w:spacing w:before="69" w:line="188" w:lineRule="auto"/>
              <w:ind w:left="278"/>
              <w:rPr>
                <w:rFonts w:hint="eastAsia" w:ascii="宋体" w:hAnsi="宋体" w:eastAsia="宋体" w:cs="宋体"/>
                <w:sz w:val="24"/>
                <w:szCs w:val="24"/>
              </w:rPr>
            </w:pPr>
            <w:bookmarkStart w:id="172" w:name="bookmark274"/>
            <w:bookmarkEnd w:id="172"/>
            <w:r>
              <w:rPr>
                <w:rFonts w:hint="eastAsia" w:ascii="宋体" w:hAnsi="宋体" w:eastAsia="宋体" w:cs="宋体"/>
                <w:spacing w:val="-2"/>
                <w:sz w:val="24"/>
                <w:szCs w:val="24"/>
              </w:rPr>
              <w:t>24.1</w:t>
            </w:r>
          </w:p>
        </w:tc>
        <w:tc>
          <w:tcPr>
            <w:tcW w:w="7815" w:type="dxa"/>
            <w:shd w:val="clear" w:color="auto" w:fill="FFFFFF"/>
            <w:vAlign w:val="top"/>
          </w:tcPr>
          <w:p w14:paraId="1E9AB8D7">
            <w:pPr>
              <w:spacing w:before="129" w:line="219" w:lineRule="auto"/>
              <w:ind w:left="119"/>
              <w:rPr>
                <w:rFonts w:hint="eastAsia" w:ascii="宋体" w:hAnsi="宋体" w:eastAsia="宋体" w:cs="宋体"/>
                <w:sz w:val="24"/>
                <w:szCs w:val="24"/>
              </w:rPr>
            </w:pPr>
            <w:r>
              <w:rPr>
                <w:rFonts w:hint="eastAsia" w:ascii="宋体" w:hAnsi="宋体" w:eastAsia="宋体" w:cs="宋体"/>
                <w:spacing w:val="-2"/>
                <w:sz w:val="24"/>
                <w:szCs w:val="24"/>
              </w:rPr>
              <w:t>争议的最终解决方式：</w:t>
            </w:r>
            <w:r>
              <w:rPr>
                <w:rFonts w:hint="eastAsia" w:ascii="宋体" w:hAnsi="宋体" w:eastAsia="宋体" w:cs="宋体"/>
                <w:color w:val="000000"/>
                <w:kern w:val="0"/>
                <w:sz w:val="24"/>
                <w:szCs w:val="24"/>
                <w:u w:val="single"/>
              </w:rPr>
              <w:t>发包人所在地的人民法院诉讼。</w:t>
            </w:r>
          </w:p>
          <w:p w14:paraId="5B18D15D">
            <w:pPr>
              <w:spacing w:before="115" w:line="207" w:lineRule="auto"/>
              <w:ind w:left="118" w:leftChars="0"/>
              <w:rPr>
                <w:rFonts w:hint="eastAsia" w:ascii="宋体" w:hAnsi="宋体" w:eastAsia="宋体" w:cs="宋体"/>
                <w:sz w:val="24"/>
                <w:szCs w:val="24"/>
              </w:rPr>
            </w:pPr>
            <w:r>
              <w:rPr>
                <w:rFonts w:hint="eastAsia" w:ascii="宋体" w:hAnsi="宋体" w:eastAsia="宋体" w:cs="宋体"/>
                <w:spacing w:val="-1"/>
                <w:sz w:val="24"/>
                <w:szCs w:val="24"/>
              </w:rPr>
              <w:t>如采用仲裁，仲裁委员会名称：</w:t>
            </w:r>
            <w:r>
              <w:rPr>
                <w:rFonts w:hint="eastAsia" w:ascii="宋体" w:hAnsi="宋体" w:eastAsia="宋体" w:cs="宋体"/>
                <w:sz w:val="24"/>
                <w:szCs w:val="24"/>
                <w:u w:val="single"/>
              </w:rPr>
              <w:t xml:space="preserve">     /     </w:t>
            </w:r>
          </w:p>
        </w:tc>
      </w:tr>
    </w:tbl>
    <w:p w14:paraId="04115A1A">
      <w:pPr>
        <w:tabs>
          <w:tab w:val="left" w:pos="0"/>
        </w:tabs>
        <w:jc w:val="center"/>
        <w:rPr>
          <w:rFonts w:hint="eastAsia" w:ascii="宋体" w:hAnsi="宋体" w:eastAsia="宋体" w:cs="宋体"/>
          <w:spacing w:val="7"/>
          <w:sz w:val="24"/>
          <w:szCs w:val="24"/>
          <w:lang w:eastAsia="zh-CN"/>
        </w:rPr>
      </w:pPr>
    </w:p>
    <w:p w14:paraId="66CE4C39">
      <w:pPr>
        <w:tabs>
          <w:tab w:val="left" w:pos="0"/>
        </w:tabs>
        <w:jc w:val="center"/>
        <w:rPr>
          <w:rFonts w:hint="eastAsia" w:ascii="宋体" w:hAnsi="宋体" w:eastAsia="宋体" w:cs="宋体"/>
          <w:spacing w:val="7"/>
          <w:sz w:val="24"/>
          <w:szCs w:val="24"/>
          <w:lang w:eastAsia="zh-CN"/>
        </w:rPr>
      </w:pPr>
      <w:r>
        <w:rPr>
          <w:rFonts w:hint="eastAsia" w:ascii="宋体" w:hAnsi="宋体" w:eastAsia="宋体" w:cs="宋体"/>
          <w:spacing w:val="7"/>
          <w:sz w:val="24"/>
          <w:szCs w:val="24"/>
          <w:lang w:eastAsia="zh-CN"/>
        </w:rPr>
        <w:t xml:space="preserve"> 养护工程缺陷责任期一般为</w:t>
      </w:r>
      <w:r>
        <w:rPr>
          <w:rFonts w:hint="eastAsia" w:ascii="宋体" w:hAnsi="宋体" w:eastAsia="宋体" w:cs="宋体"/>
          <w:spacing w:val="-34"/>
          <w:sz w:val="24"/>
          <w:szCs w:val="24"/>
          <w:lang w:eastAsia="zh-CN"/>
        </w:rPr>
        <w:t xml:space="preserve"> </w:t>
      </w:r>
      <w:r>
        <w:rPr>
          <w:rFonts w:hint="eastAsia" w:ascii="宋体" w:hAnsi="宋体" w:eastAsia="宋体" w:cs="宋体"/>
          <w:spacing w:val="7"/>
          <w:sz w:val="24"/>
          <w:szCs w:val="24"/>
          <w:lang w:eastAsia="zh-CN"/>
        </w:rPr>
        <w:t>6 个月，最长不超过</w:t>
      </w:r>
      <w:r>
        <w:rPr>
          <w:rFonts w:hint="eastAsia" w:ascii="宋体" w:hAnsi="宋体" w:eastAsia="宋体" w:cs="宋体"/>
          <w:spacing w:val="-21"/>
          <w:sz w:val="24"/>
          <w:szCs w:val="24"/>
          <w:lang w:eastAsia="zh-CN"/>
        </w:rPr>
        <w:t xml:space="preserve"> </w:t>
      </w:r>
      <w:r>
        <w:rPr>
          <w:rFonts w:hint="eastAsia" w:ascii="宋体" w:hAnsi="宋体" w:eastAsia="宋体" w:cs="宋体"/>
          <w:spacing w:val="7"/>
          <w:sz w:val="24"/>
          <w:szCs w:val="24"/>
          <w:lang w:eastAsia="zh-CN"/>
        </w:rPr>
        <w:t>12 个月。</w:t>
      </w:r>
    </w:p>
    <w:p w14:paraId="796B901D">
      <w:pPr>
        <w:tabs>
          <w:tab w:val="left" w:pos="0"/>
        </w:tabs>
        <w:jc w:val="center"/>
        <w:rPr>
          <w:rFonts w:hint="eastAsia" w:ascii="宋体" w:hAnsi="宋体" w:eastAsia="宋体" w:cs="宋体"/>
          <w:spacing w:val="7"/>
          <w:sz w:val="24"/>
          <w:szCs w:val="24"/>
          <w:lang w:eastAsia="zh-CN"/>
        </w:rPr>
      </w:pPr>
    </w:p>
    <w:p w14:paraId="7F4394F5">
      <w:pPr>
        <w:keepNext w:val="0"/>
        <w:keepLines w:val="0"/>
        <w:pageBreakBefore w:val="0"/>
        <w:kinsoku/>
        <w:wordWrap/>
        <w:overflowPunct/>
        <w:topLinePunct w:val="0"/>
        <w:autoSpaceDE/>
        <w:autoSpaceDN/>
        <w:bidi w:val="0"/>
        <w:adjustRightInd/>
        <w:snapToGrid/>
        <w:spacing w:before="78" w:line="360" w:lineRule="auto"/>
        <w:textAlignment w:val="auto"/>
        <w:outlineLvl w:val="2"/>
        <w:rPr>
          <w:rFonts w:hint="eastAsia" w:ascii="宋体" w:hAnsi="宋体" w:eastAsia="宋体" w:cs="宋体"/>
          <w:sz w:val="24"/>
          <w:szCs w:val="24"/>
        </w:rPr>
      </w:pPr>
      <w:bookmarkStart w:id="173" w:name="_Toc13172"/>
      <w:bookmarkStart w:id="174" w:name="_Toc14995"/>
      <w:r>
        <w:rPr>
          <w:rFonts w:hint="eastAsia" w:ascii="宋体" w:hAnsi="宋体" w:eastAsia="宋体" w:cs="宋体"/>
          <w:b/>
          <w:bCs/>
          <w:spacing w:val="-3"/>
          <w:sz w:val="24"/>
          <w:szCs w:val="24"/>
        </w:rPr>
        <w:t>2.专用合同条款</w:t>
      </w:r>
      <w:bookmarkEnd w:id="173"/>
      <w:bookmarkEnd w:id="174"/>
    </w:p>
    <w:p w14:paraId="1C2278CD">
      <w:pPr>
        <w:keepNext w:val="0"/>
        <w:keepLines w:val="0"/>
        <w:pageBreakBefore w:val="0"/>
        <w:kinsoku/>
        <w:wordWrap/>
        <w:overflowPunct/>
        <w:topLinePunct w:val="0"/>
        <w:autoSpaceDE/>
        <w:autoSpaceDN/>
        <w:bidi w:val="0"/>
        <w:adjustRightInd/>
        <w:snapToGrid/>
        <w:spacing w:before="270" w:line="360" w:lineRule="auto"/>
        <w:ind w:left="3" w:right="164" w:firstLine="480"/>
        <w:textAlignment w:val="auto"/>
        <w:rPr>
          <w:rFonts w:hint="eastAsia" w:ascii="宋体" w:hAnsi="宋体" w:eastAsia="宋体" w:cs="宋体"/>
          <w:sz w:val="24"/>
          <w:szCs w:val="24"/>
        </w:rPr>
      </w:pPr>
      <w:r>
        <w:rPr>
          <w:rFonts w:hint="eastAsia" w:ascii="宋体" w:hAnsi="宋体" w:eastAsia="宋体" w:cs="宋体"/>
          <w:sz w:val="24"/>
          <w:szCs w:val="24"/>
        </w:rPr>
        <w:t>说明：本部分所列的专用合同条款是对“通用合同条款</w:t>
      </w:r>
      <w:r>
        <w:rPr>
          <w:rFonts w:hint="eastAsia" w:ascii="宋体" w:hAnsi="宋体" w:eastAsia="宋体" w:cs="宋体"/>
          <w:spacing w:val="-88"/>
          <w:sz w:val="24"/>
          <w:szCs w:val="24"/>
        </w:rPr>
        <w:t xml:space="preserve"> </w:t>
      </w:r>
      <w:r>
        <w:rPr>
          <w:rFonts w:hint="eastAsia" w:ascii="宋体" w:hAnsi="宋体" w:eastAsia="宋体" w:cs="宋体"/>
          <w:spacing w:val="-1"/>
          <w:sz w:val="24"/>
          <w:szCs w:val="24"/>
        </w:rPr>
        <w:t>”中规定必须在专用合</w:t>
      </w:r>
      <w:r>
        <w:rPr>
          <w:rFonts w:hint="eastAsia" w:ascii="宋体" w:hAnsi="宋体" w:eastAsia="宋体" w:cs="宋体"/>
          <w:sz w:val="24"/>
          <w:szCs w:val="24"/>
        </w:rPr>
        <w:t>同条款中明确的内容的集中，发包人编制的“专用</w:t>
      </w:r>
      <w:r>
        <w:rPr>
          <w:rFonts w:hint="eastAsia" w:ascii="宋体" w:hAnsi="宋体" w:eastAsia="宋体" w:cs="宋体"/>
          <w:spacing w:val="-1"/>
          <w:sz w:val="24"/>
          <w:szCs w:val="24"/>
        </w:rPr>
        <w:t>合同条款</w:t>
      </w:r>
      <w:r>
        <w:rPr>
          <w:rFonts w:hint="eastAsia" w:ascii="宋体" w:hAnsi="宋体" w:eastAsia="宋体" w:cs="宋体"/>
          <w:spacing w:val="-86"/>
          <w:sz w:val="24"/>
          <w:szCs w:val="24"/>
        </w:rPr>
        <w:t xml:space="preserve"> </w:t>
      </w:r>
      <w:r>
        <w:rPr>
          <w:rFonts w:hint="eastAsia" w:ascii="宋体" w:hAnsi="宋体" w:eastAsia="宋体" w:cs="宋体"/>
          <w:spacing w:val="-1"/>
          <w:sz w:val="24"/>
          <w:szCs w:val="24"/>
        </w:rPr>
        <w:t>”不限于本部分所列内</w:t>
      </w:r>
      <w:r>
        <w:rPr>
          <w:rFonts w:hint="eastAsia" w:ascii="宋体" w:hAnsi="宋体" w:eastAsia="宋体" w:cs="宋体"/>
          <w:spacing w:val="-7"/>
          <w:sz w:val="24"/>
          <w:szCs w:val="24"/>
        </w:rPr>
        <w:t>容。</w:t>
      </w:r>
    </w:p>
    <w:p w14:paraId="0F310484">
      <w:pPr>
        <w:keepNext w:val="0"/>
        <w:keepLines w:val="0"/>
        <w:pageBreakBefore w:val="0"/>
        <w:kinsoku/>
        <w:wordWrap/>
        <w:overflowPunct/>
        <w:topLinePunct w:val="0"/>
        <w:autoSpaceDE/>
        <w:autoSpaceDN/>
        <w:bidi w:val="0"/>
        <w:adjustRightInd/>
        <w:snapToGrid/>
        <w:spacing w:line="360" w:lineRule="auto"/>
        <w:ind w:left="487"/>
        <w:textAlignment w:val="auto"/>
        <w:outlineLvl w:val="3"/>
        <w:rPr>
          <w:rFonts w:hint="eastAsia" w:ascii="宋体" w:hAnsi="宋体" w:eastAsia="宋体" w:cs="宋体"/>
          <w:sz w:val="24"/>
          <w:szCs w:val="24"/>
        </w:rPr>
      </w:pPr>
      <w:bookmarkStart w:id="175" w:name="bookmark143"/>
      <w:bookmarkEnd w:id="175"/>
      <w:bookmarkStart w:id="176" w:name="bookmark144"/>
      <w:bookmarkEnd w:id="176"/>
      <w:r>
        <w:rPr>
          <w:rFonts w:hint="eastAsia" w:ascii="宋体" w:hAnsi="宋体" w:eastAsia="宋体" w:cs="宋体"/>
          <w:b/>
          <w:bCs/>
          <w:spacing w:val="-7"/>
          <w:sz w:val="24"/>
          <w:szCs w:val="24"/>
        </w:rPr>
        <w:t>1.</w:t>
      </w:r>
      <w:r>
        <w:rPr>
          <w:rFonts w:hint="eastAsia" w:ascii="宋体" w:hAnsi="宋体" w:eastAsia="宋体" w:cs="宋体"/>
          <w:b/>
          <w:bCs/>
          <w:spacing w:val="8"/>
          <w:sz w:val="24"/>
          <w:szCs w:val="24"/>
        </w:rPr>
        <w:t xml:space="preserve">  </w:t>
      </w:r>
      <w:r>
        <w:rPr>
          <w:rFonts w:hint="eastAsia" w:ascii="宋体" w:hAnsi="宋体" w:eastAsia="宋体" w:cs="宋体"/>
          <w:b/>
          <w:bCs/>
          <w:spacing w:val="-7"/>
          <w:sz w:val="24"/>
          <w:szCs w:val="24"/>
        </w:rPr>
        <w:t>一般约定</w:t>
      </w:r>
    </w:p>
    <w:p w14:paraId="184515C8">
      <w:pPr>
        <w:keepNext w:val="0"/>
        <w:keepLines w:val="0"/>
        <w:pageBreakBefore w:val="0"/>
        <w:kinsoku/>
        <w:wordWrap/>
        <w:overflowPunct/>
        <w:topLinePunct w:val="0"/>
        <w:autoSpaceDE/>
        <w:autoSpaceDN/>
        <w:bidi w:val="0"/>
        <w:adjustRightInd/>
        <w:snapToGrid/>
        <w:spacing w:before="114" w:line="360" w:lineRule="auto"/>
        <w:ind w:left="487"/>
        <w:textAlignment w:val="auto"/>
        <w:outlineLvl w:val="4"/>
        <w:rPr>
          <w:rFonts w:hint="eastAsia" w:ascii="宋体" w:hAnsi="宋体" w:eastAsia="宋体" w:cs="宋体"/>
          <w:sz w:val="24"/>
          <w:szCs w:val="24"/>
        </w:rPr>
      </w:pPr>
      <w:r>
        <w:rPr>
          <w:rFonts w:hint="eastAsia" w:ascii="宋体" w:hAnsi="宋体" w:eastAsia="宋体" w:cs="宋体"/>
          <w:b/>
          <w:bCs/>
          <w:spacing w:val="-4"/>
          <w:sz w:val="24"/>
          <w:szCs w:val="24"/>
        </w:rPr>
        <w:t>1.1 词语定义</w:t>
      </w:r>
    </w:p>
    <w:p w14:paraId="5CFECAF7">
      <w:pPr>
        <w:keepNext w:val="0"/>
        <w:keepLines w:val="0"/>
        <w:pageBreakBefore w:val="0"/>
        <w:kinsoku/>
        <w:wordWrap/>
        <w:overflowPunct/>
        <w:topLinePunct w:val="0"/>
        <w:autoSpaceDE/>
        <w:autoSpaceDN/>
        <w:bidi w:val="0"/>
        <w:adjustRightInd/>
        <w:snapToGrid/>
        <w:spacing w:before="124" w:line="360" w:lineRule="auto"/>
        <w:ind w:left="499"/>
        <w:textAlignment w:val="auto"/>
        <w:rPr>
          <w:rFonts w:hint="eastAsia" w:ascii="宋体" w:hAnsi="宋体" w:eastAsia="宋体" w:cs="宋体"/>
          <w:sz w:val="24"/>
          <w:szCs w:val="24"/>
        </w:rPr>
      </w:pPr>
      <w:r>
        <w:rPr>
          <w:rFonts w:hint="eastAsia" w:ascii="宋体" w:hAnsi="宋体" w:eastAsia="宋体" w:cs="宋体"/>
          <w:spacing w:val="-3"/>
          <w:sz w:val="24"/>
          <w:szCs w:val="24"/>
        </w:rPr>
        <w:t>1.1.2 合同当事人和人员</w:t>
      </w:r>
    </w:p>
    <w:p w14:paraId="78608D54">
      <w:pPr>
        <w:keepNext w:val="0"/>
        <w:keepLines w:val="0"/>
        <w:pageBreakBefore w:val="0"/>
        <w:kinsoku/>
        <w:wordWrap/>
        <w:overflowPunct/>
        <w:topLinePunct w:val="0"/>
        <w:autoSpaceDE/>
        <w:autoSpaceDN/>
        <w:bidi w:val="0"/>
        <w:adjustRightInd/>
        <w:snapToGrid/>
        <w:spacing w:before="112" w:line="360" w:lineRule="auto"/>
        <w:ind w:left="508"/>
        <w:textAlignment w:val="auto"/>
        <w:rPr>
          <w:rFonts w:hint="eastAsia" w:ascii="宋体" w:hAnsi="宋体" w:eastAsia="宋体" w:cs="宋体"/>
          <w:color w:val="auto"/>
          <w:sz w:val="24"/>
          <w:szCs w:val="24"/>
        </w:rPr>
      </w:pPr>
      <w:r>
        <w:rPr>
          <w:rFonts w:hint="eastAsia" w:ascii="宋体" w:hAnsi="宋体" w:eastAsia="宋体" w:cs="宋体"/>
          <w:spacing w:val="-3"/>
          <w:sz w:val="24"/>
          <w:szCs w:val="24"/>
        </w:rPr>
        <w:t>1.1.2.2  发</w:t>
      </w:r>
      <w:r>
        <w:rPr>
          <w:rFonts w:hint="eastAsia" w:ascii="宋体" w:hAnsi="宋体" w:eastAsia="宋体" w:cs="宋体"/>
          <w:color w:val="auto"/>
          <w:spacing w:val="-3"/>
          <w:sz w:val="24"/>
          <w:szCs w:val="24"/>
        </w:rPr>
        <w:t>包人</w:t>
      </w:r>
      <w:r>
        <w:rPr>
          <w:rFonts w:hint="eastAsia" w:ascii="宋体" w:hAnsi="宋体" w:eastAsia="宋体" w:cs="宋体"/>
          <w:color w:val="auto"/>
          <w:spacing w:val="-3"/>
          <w:sz w:val="24"/>
          <w:szCs w:val="24"/>
          <w:u w:val="single"/>
        </w:rPr>
        <w:t>广西壮族自治区恭城公路养护中心、广西壮族自治区平乐公路养护中心、广西壮族自治区阳朔公路养护中心</w:t>
      </w:r>
      <w:r>
        <w:rPr>
          <w:rFonts w:hint="eastAsia" w:ascii="宋体" w:hAnsi="宋体" w:eastAsia="宋体" w:cs="宋体"/>
          <w:color w:val="auto"/>
          <w:spacing w:val="-3"/>
          <w:sz w:val="24"/>
          <w:szCs w:val="24"/>
          <w:u w:val="single"/>
          <w:lang w:eastAsia="zh-CN"/>
        </w:rPr>
        <w:t>、广西壮族自治区灌阳公路养护中心</w:t>
      </w:r>
      <w:r>
        <w:rPr>
          <w:rFonts w:hint="eastAsia" w:ascii="宋体" w:hAnsi="宋体" w:eastAsia="宋体" w:cs="宋体"/>
          <w:color w:val="auto"/>
          <w:kern w:val="0"/>
          <w:sz w:val="24"/>
          <w:szCs w:val="24"/>
          <w:u w:val="single"/>
        </w:rPr>
        <w:t>。</w:t>
      </w:r>
    </w:p>
    <w:p w14:paraId="70E86227">
      <w:pPr>
        <w:keepNext w:val="0"/>
        <w:keepLines w:val="0"/>
        <w:pageBreakBefore w:val="0"/>
        <w:kinsoku/>
        <w:wordWrap/>
        <w:overflowPunct/>
        <w:topLinePunct w:val="0"/>
        <w:autoSpaceDE/>
        <w:autoSpaceDN/>
        <w:bidi w:val="0"/>
        <w:adjustRightInd/>
        <w:snapToGrid/>
        <w:spacing w:before="115" w:line="360" w:lineRule="auto"/>
        <w:ind w:firstLine="468" w:firstLineChars="200"/>
        <w:textAlignment w:val="auto"/>
        <w:rPr>
          <w:rFonts w:hint="eastAsia" w:ascii="宋体" w:hAnsi="宋体" w:eastAsia="宋体" w:cs="宋体"/>
          <w:color w:val="auto"/>
          <w:sz w:val="24"/>
          <w:szCs w:val="24"/>
        </w:rPr>
      </w:pPr>
      <w:r>
        <w:rPr>
          <w:rFonts w:hint="eastAsia" w:ascii="宋体" w:hAnsi="宋体" w:eastAsia="宋体" w:cs="宋体"/>
          <w:color w:val="auto"/>
          <w:spacing w:val="-3"/>
          <w:sz w:val="24"/>
          <w:szCs w:val="24"/>
        </w:rPr>
        <w:t>1.1.2.3  承包人：</w:t>
      </w:r>
      <w:r>
        <w:rPr>
          <w:rFonts w:hint="eastAsia" w:ascii="宋体" w:hAnsi="宋体" w:eastAsia="宋体" w:cs="宋体"/>
          <w:color w:val="auto"/>
          <w:spacing w:val="-1"/>
          <w:sz w:val="24"/>
          <w:szCs w:val="24"/>
          <w:u w:val="single"/>
          <w:lang w:eastAsia="zh-CN"/>
        </w:rPr>
        <w:t>指与发包人签订合同协议书的当事人</w:t>
      </w:r>
      <w:r>
        <w:rPr>
          <w:rFonts w:hint="eastAsia" w:ascii="宋体" w:hAnsi="宋体" w:eastAsia="宋体" w:cs="宋体"/>
          <w:color w:val="auto"/>
          <w:spacing w:val="-3"/>
          <w:sz w:val="24"/>
          <w:szCs w:val="24"/>
          <w:u w:val="none"/>
        </w:rPr>
        <w:t>。</w:t>
      </w:r>
    </w:p>
    <w:p w14:paraId="522F4D5B">
      <w:pPr>
        <w:keepNext w:val="0"/>
        <w:keepLines w:val="0"/>
        <w:pageBreakBefore w:val="0"/>
        <w:kinsoku/>
        <w:wordWrap/>
        <w:overflowPunct/>
        <w:topLinePunct w:val="0"/>
        <w:autoSpaceDE/>
        <w:autoSpaceDN/>
        <w:bidi w:val="0"/>
        <w:adjustRightInd/>
        <w:snapToGrid/>
        <w:spacing w:before="117" w:line="360" w:lineRule="auto"/>
        <w:ind w:left="2" w:right="164" w:firstLine="496"/>
        <w:textAlignment w:val="auto"/>
        <w:rPr>
          <w:rFonts w:hint="eastAsia" w:ascii="宋体" w:hAnsi="宋体" w:eastAsia="宋体" w:cs="宋体"/>
          <w:sz w:val="24"/>
          <w:szCs w:val="24"/>
          <w:lang w:eastAsia="zh-CN"/>
        </w:rPr>
      </w:pPr>
      <w:r>
        <w:rPr>
          <w:rFonts w:hint="eastAsia" w:ascii="宋体" w:hAnsi="宋体" w:eastAsia="宋体" w:cs="宋体"/>
          <w:spacing w:val="-1"/>
          <w:sz w:val="24"/>
          <w:szCs w:val="24"/>
        </w:rPr>
        <w:t>1.1.2.4  承包人项目经理：</w:t>
      </w:r>
      <w:r>
        <w:rPr>
          <w:rFonts w:hint="eastAsia" w:ascii="宋体" w:hAnsi="宋体" w:eastAsia="宋体" w:cs="宋体"/>
          <w:spacing w:val="5"/>
          <w:sz w:val="24"/>
          <w:szCs w:val="24"/>
          <w:u w:val="single"/>
          <w:lang w:eastAsia="zh-CN"/>
        </w:rPr>
        <w:t>指由承包人书面委派负责管理</w:t>
      </w:r>
      <w:r>
        <w:rPr>
          <w:rFonts w:hint="eastAsia" w:ascii="宋体" w:hAnsi="宋体" w:eastAsia="宋体" w:cs="宋体"/>
          <w:spacing w:val="4"/>
          <w:sz w:val="24"/>
          <w:szCs w:val="24"/>
          <w:u w:val="single"/>
          <w:lang w:eastAsia="zh-CN"/>
        </w:rPr>
        <w:t>养护项目的全权负责</w:t>
      </w:r>
      <w:r>
        <w:rPr>
          <w:rFonts w:hint="eastAsia" w:ascii="宋体" w:hAnsi="宋体" w:eastAsia="宋体" w:cs="宋体"/>
          <w:spacing w:val="-6"/>
          <w:sz w:val="24"/>
          <w:szCs w:val="24"/>
          <w:u w:val="single"/>
          <w:lang w:eastAsia="zh-CN"/>
        </w:rPr>
        <w:t>人。</w:t>
      </w:r>
    </w:p>
    <w:p w14:paraId="627EA04F">
      <w:pPr>
        <w:keepNext w:val="0"/>
        <w:keepLines w:val="0"/>
        <w:pageBreakBefore w:val="0"/>
        <w:kinsoku/>
        <w:wordWrap/>
        <w:overflowPunct/>
        <w:topLinePunct w:val="0"/>
        <w:autoSpaceDE/>
        <w:autoSpaceDN/>
        <w:bidi w:val="0"/>
        <w:adjustRightInd/>
        <w:snapToGrid/>
        <w:spacing w:before="111" w:line="360" w:lineRule="auto"/>
        <w:ind w:right="164" w:firstLine="499"/>
        <w:textAlignment w:val="auto"/>
        <w:rPr>
          <w:rFonts w:hint="eastAsia" w:ascii="宋体" w:hAnsi="宋体" w:eastAsia="宋体" w:cs="宋体"/>
          <w:sz w:val="24"/>
          <w:szCs w:val="24"/>
          <w:u w:val="single"/>
          <w:lang w:eastAsia="zh-CN"/>
        </w:rPr>
      </w:pPr>
      <w:r>
        <w:rPr>
          <w:rFonts w:hint="eastAsia" w:ascii="宋体" w:hAnsi="宋体" w:eastAsia="宋体" w:cs="宋体"/>
          <w:spacing w:val="-1"/>
          <w:sz w:val="24"/>
          <w:szCs w:val="24"/>
        </w:rPr>
        <w:t>1.1.2.5  承包人项目总工：</w:t>
      </w:r>
      <w:r>
        <w:rPr>
          <w:rFonts w:hint="eastAsia" w:ascii="宋体" w:hAnsi="宋体" w:eastAsia="宋体" w:cs="宋体"/>
          <w:spacing w:val="5"/>
          <w:sz w:val="24"/>
          <w:szCs w:val="24"/>
          <w:u w:val="single"/>
          <w:lang w:eastAsia="zh-CN"/>
        </w:rPr>
        <w:t>指由承包人书面委派负责养护</w:t>
      </w:r>
      <w:r>
        <w:rPr>
          <w:rFonts w:hint="eastAsia" w:ascii="宋体" w:hAnsi="宋体" w:eastAsia="宋体" w:cs="宋体"/>
          <w:spacing w:val="4"/>
          <w:sz w:val="24"/>
          <w:szCs w:val="24"/>
          <w:u w:val="single"/>
          <w:lang w:eastAsia="zh-CN"/>
        </w:rPr>
        <w:t>项目技术管理的总工</w:t>
      </w:r>
      <w:r>
        <w:rPr>
          <w:rFonts w:hint="eastAsia" w:ascii="宋体" w:hAnsi="宋体" w:eastAsia="宋体" w:cs="宋体"/>
          <w:spacing w:val="-1"/>
          <w:sz w:val="24"/>
          <w:szCs w:val="24"/>
          <w:u w:val="single"/>
          <w:lang w:eastAsia="zh-CN"/>
        </w:rPr>
        <w:t>程师或技术总负责人。</w:t>
      </w:r>
    </w:p>
    <w:p w14:paraId="1CBD5B9B">
      <w:pPr>
        <w:keepNext w:val="0"/>
        <w:keepLines w:val="0"/>
        <w:pageBreakBefore w:val="0"/>
        <w:widowControl/>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rPr>
      </w:pPr>
      <w:r>
        <w:rPr>
          <w:rFonts w:hint="eastAsia" w:ascii="宋体" w:hAnsi="宋体" w:eastAsia="宋体" w:cs="宋体"/>
          <w:spacing w:val="-2"/>
          <w:sz w:val="24"/>
          <w:szCs w:val="24"/>
        </w:rPr>
        <w:t>1.1.2.7  咨询人（监理人</w:t>
      </w:r>
      <w:r>
        <w:rPr>
          <w:rFonts w:hint="eastAsia" w:ascii="宋体" w:hAnsi="宋体" w:eastAsia="宋体" w:cs="宋体"/>
          <w:spacing w:val="-58"/>
          <w:sz w:val="24"/>
          <w:szCs w:val="24"/>
        </w:rPr>
        <w:t>）</w:t>
      </w:r>
      <w:r>
        <w:rPr>
          <w:rFonts w:hint="eastAsia" w:ascii="宋体" w:hAnsi="宋体" w:eastAsia="宋体" w:cs="宋体"/>
          <w:spacing w:val="-58"/>
          <w:sz w:val="24"/>
          <w:szCs w:val="24"/>
          <w:lang w:eastAsia="zh-CN"/>
        </w:rPr>
        <w:t>：</w:t>
      </w:r>
      <w:r>
        <w:rPr>
          <w:rFonts w:hint="eastAsia" w:ascii="宋体" w:hAnsi="宋体" w:eastAsia="宋体" w:cs="宋体"/>
          <w:spacing w:val="5"/>
          <w:sz w:val="24"/>
          <w:szCs w:val="24"/>
          <w:u w:val="single"/>
          <w:lang w:eastAsia="zh-CN"/>
        </w:rPr>
        <w:t xml:space="preserve"> 本项目不委托咨询人（监理人）。发包人自行履行通用条款中和合同实施管理中涉及咨询人（监理人）的全部职责与义务。</w:t>
      </w:r>
    </w:p>
    <w:p w14:paraId="21DA20A1">
      <w:pPr>
        <w:keepNext w:val="0"/>
        <w:keepLines w:val="0"/>
        <w:pageBreakBefore w:val="0"/>
        <w:kinsoku/>
        <w:wordWrap/>
        <w:overflowPunct/>
        <w:topLinePunct w:val="0"/>
        <w:autoSpaceDE/>
        <w:autoSpaceDN/>
        <w:bidi w:val="0"/>
        <w:adjustRightInd/>
        <w:snapToGrid/>
        <w:spacing w:before="113" w:line="360" w:lineRule="auto"/>
        <w:ind w:left="481"/>
        <w:textAlignment w:val="auto"/>
        <w:rPr>
          <w:rFonts w:hint="eastAsia" w:ascii="宋体" w:hAnsi="宋体" w:eastAsia="宋体" w:cs="宋体"/>
          <w:sz w:val="24"/>
          <w:szCs w:val="24"/>
        </w:rPr>
      </w:pPr>
      <w:r>
        <w:rPr>
          <w:rFonts w:hint="eastAsia" w:ascii="宋体" w:hAnsi="宋体" w:eastAsia="宋体" w:cs="宋体"/>
          <w:spacing w:val="-6"/>
          <w:sz w:val="24"/>
          <w:szCs w:val="24"/>
        </w:rPr>
        <w:t>本款补充第</w:t>
      </w:r>
      <w:r>
        <w:rPr>
          <w:rFonts w:hint="eastAsia" w:ascii="宋体" w:hAnsi="宋体" w:eastAsia="宋体" w:cs="宋体"/>
          <w:spacing w:val="-17"/>
          <w:sz w:val="24"/>
          <w:szCs w:val="24"/>
        </w:rPr>
        <w:t xml:space="preserve"> </w:t>
      </w:r>
      <w:r>
        <w:rPr>
          <w:rFonts w:hint="eastAsia" w:ascii="宋体" w:hAnsi="宋体" w:eastAsia="宋体" w:cs="宋体"/>
          <w:spacing w:val="-6"/>
          <w:sz w:val="24"/>
          <w:szCs w:val="24"/>
        </w:rPr>
        <w:t>1.1.2.9~</w:t>
      </w:r>
      <w:r>
        <w:rPr>
          <w:rFonts w:hint="eastAsia" w:ascii="宋体" w:hAnsi="宋体" w:eastAsia="宋体" w:cs="宋体"/>
          <w:spacing w:val="-32"/>
          <w:sz w:val="24"/>
          <w:szCs w:val="24"/>
        </w:rPr>
        <w:t xml:space="preserve"> </w:t>
      </w:r>
      <w:r>
        <w:rPr>
          <w:rFonts w:hint="eastAsia" w:ascii="宋体" w:hAnsi="宋体" w:eastAsia="宋体" w:cs="宋体"/>
          <w:spacing w:val="-6"/>
          <w:sz w:val="24"/>
          <w:szCs w:val="24"/>
        </w:rPr>
        <w:t>1.1.2.12</w:t>
      </w:r>
      <w:r>
        <w:rPr>
          <w:rFonts w:hint="eastAsia" w:ascii="宋体" w:hAnsi="宋体" w:eastAsia="宋体" w:cs="宋体"/>
          <w:spacing w:val="55"/>
          <w:sz w:val="24"/>
          <w:szCs w:val="24"/>
        </w:rPr>
        <w:t xml:space="preserve"> </w:t>
      </w:r>
      <w:r>
        <w:rPr>
          <w:rFonts w:hint="eastAsia" w:ascii="宋体" w:hAnsi="宋体" w:eastAsia="宋体" w:cs="宋体"/>
          <w:spacing w:val="-6"/>
          <w:sz w:val="24"/>
          <w:szCs w:val="24"/>
        </w:rPr>
        <w:t>目：</w:t>
      </w:r>
    </w:p>
    <w:p w14:paraId="43B49813">
      <w:pPr>
        <w:keepNext w:val="0"/>
        <w:keepLines w:val="0"/>
        <w:pageBreakBefore w:val="0"/>
        <w:kinsoku/>
        <w:wordWrap/>
        <w:overflowPunct/>
        <w:topLinePunct w:val="0"/>
        <w:autoSpaceDE/>
        <w:autoSpaceDN/>
        <w:bidi w:val="0"/>
        <w:adjustRightInd/>
        <w:snapToGrid/>
        <w:spacing w:before="115" w:line="360" w:lineRule="auto"/>
        <w:ind w:left="3" w:right="164" w:firstLine="495"/>
        <w:textAlignment w:val="auto"/>
        <w:rPr>
          <w:rFonts w:hint="eastAsia" w:ascii="宋体" w:hAnsi="宋体" w:eastAsia="宋体" w:cs="宋体"/>
          <w:sz w:val="24"/>
          <w:szCs w:val="24"/>
          <w:lang w:eastAsia="zh-CN"/>
        </w:rPr>
      </w:pPr>
      <w:r>
        <w:rPr>
          <w:rFonts w:hint="eastAsia" w:ascii="宋体" w:hAnsi="宋体" w:eastAsia="宋体" w:cs="宋体"/>
          <w:spacing w:val="4"/>
          <w:sz w:val="24"/>
          <w:szCs w:val="24"/>
        </w:rPr>
        <w:t xml:space="preserve">1.1.2.9  </w:t>
      </w:r>
      <w:r>
        <w:rPr>
          <w:rFonts w:hint="eastAsia" w:ascii="宋体" w:hAnsi="宋体" w:eastAsia="宋体" w:cs="宋体"/>
          <w:spacing w:val="-2"/>
          <w:sz w:val="24"/>
          <w:szCs w:val="24"/>
        </w:rPr>
        <w:t>承包人专业管理团队：指承包人书面委派赏常驻养护场地的一个专业管理团队，</w:t>
      </w:r>
      <w:r>
        <w:rPr>
          <w:rFonts w:hint="eastAsia" w:ascii="宋体" w:hAnsi="宋体" w:eastAsia="宋体" w:cs="宋体"/>
          <w:spacing w:val="-2"/>
          <w:sz w:val="24"/>
          <w:szCs w:val="24"/>
          <w:lang w:eastAsia="zh-CN"/>
        </w:rPr>
        <w:t>具体成员应包括附件 3 格式中要求的人</w:t>
      </w:r>
      <w:r>
        <w:rPr>
          <w:rFonts w:hint="eastAsia" w:ascii="宋体" w:hAnsi="宋体" w:eastAsia="宋体" w:cs="宋体"/>
          <w:spacing w:val="-2"/>
          <w:sz w:val="24"/>
          <w:szCs w:val="24"/>
          <w:lang w:val="en-US" w:eastAsia="zh-CN"/>
        </w:rPr>
        <w:t>员</w:t>
      </w:r>
      <w:r>
        <w:rPr>
          <w:rFonts w:hint="eastAsia" w:ascii="宋体" w:hAnsi="宋体" w:eastAsia="宋体" w:cs="宋体"/>
          <w:spacing w:val="-2"/>
          <w:sz w:val="24"/>
          <w:szCs w:val="24"/>
          <w:lang w:eastAsia="zh-CN"/>
        </w:rPr>
        <w:t xml:space="preserve">。  </w:t>
      </w:r>
    </w:p>
    <w:p w14:paraId="64103EEB">
      <w:pPr>
        <w:keepNext w:val="0"/>
        <w:keepLines w:val="0"/>
        <w:pageBreakBefore w:val="0"/>
        <w:kinsoku/>
        <w:wordWrap/>
        <w:overflowPunct/>
        <w:topLinePunct w:val="0"/>
        <w:autoSpaceDE/>
        <w:autoSpaceDN/>
        <w:bidi w:val="0"/>
        <w:adjustRightInd/>
        <w:snapToGrid/>
        <w:spacing w:before="105" w:line="360" w:lineRule="auto"/>
        <w:ind w:right="166" w:firstLine="488" w:firstLineChars="200"/>
        <w:textAlignment w:val="auto"/>
        <w:rPr>
          <w:rFonts w:hint="eastAsia" w:ascii="宋体" w:hAnsi="宋体" w:eastAsia="宋体" w:cs="宋体"/>
          <w:spacing w:val="-4"/>
          <w:sz w:val="24"/>
          <w:szCs w:val="24"/>
        </w:rPr>
      </w:pPr>
      <w:r>
        <w:rPr>
          <w:rFonts w:hint="eastAsia" w:ascii="宋体" w:hAnsi="宋体" w:eastAsia="宋体" w:cs="宋体"/>
          <w:spacing w:val="2"/>
          <w:sz w:val="24"/>
          <w:szCs w:val="24"/>
        </w:rPr>
        <w:t>1.1.2.10  承包人设计代表：指由承包人书面委派</w:t>
      </w:r>
      <w:r>
        <w:rPr>
          <w:rFonts w:hint="eastAsia" w:ascii="宋体" w:hAnsi="宋体" w:eastAsia="宋体" w:cs="宋体"/>
          <w:spacing w:val="1"/>
          <w:sz w:val="24"/>
          <w:szCs w:val="24"/>
        </w:rPr>
        <w:t>常驻现场负责本合同设计工作</w:t>
      </w:r>
      <w:r>
        <w:rPr>
          <w:rFonts w:hint="eastAsia" w:ascii="宋体" w:hAnsi="宋体" w:eastAsia="宋体" w:cs="宋体"/>
          <w:spacing w:val="-4"/>
          <w:sz w:val="24"/>
          <w:szCs w:val="24"/>
        </w:rPr>
        <w:t>的专项</w:t>
      </w:r>
      <w:r>
        <w:rPr>
          <w:rFonts w:hint="eastAsia" w:ascii="宋体" w:hAnsi="宋体" w:eastAsia="宋体" w:cs="宋体"/>
          <w:spacing w:val="-4"/>
          <w:sz w:val="24"/>
          <w:szCs w:val="24"/>
          <w:lang w:eastAsia="zh-CN"/>
        </w:rPr>
        <w:t>项目总工</w:t>
      </w:r>
      <w:r>
        <w:rPr>
          <w:rFonts w:hint="eastAsia" w:ascii="宋体" w:hAnsi="宋体" w:eastAsia="宋体" w:cs="宋体"/>
          <w:spacing w:val="-4"/>
          <w:sz w:val="24"/>
          <w:szCs w:val="24"/>
        </w:rPr>
        <w:t>。</w:t>
      </w:r>
    </w:p>
    <w:p w14:paraId="64335F0F">
      <w:pPr>
        <w:keepNext w:val="0"/>
        <w:keepLines w:val="0"/>
        <w:pageBreakBefore w:val="0"/>
        <w:kinsoku/>
        <w:wordWrap/>
        <w:overflowPunct/>
        <w:topLinePunct w:val="0"/>
        <w:autoSpaceDE/>
        <w:autoSpaceDN/>
        <w:bidi w:val="0"/>
        <w:adjustRightInd/>
        <w:snapToGrid/>
        <w:spacing w:before="105" w:line="360" w:lineRule="auto"/>
        <w:ind w:right="166" w:firstLine="476" w:firstLineChars="200"/>
        <w:textAlignment w:val="auto"/>
        <w:rPr>
          <w:rFonts w:hint="eastAsia" w:ascii="宋体" w:hAnsi="宋体" w:eastAsia="宋体" w:cs="宋体"/>
          <w:spacing w:val="-4"/>
          <w:sz w:val="24"/>
          <w:szCs w:val="24"/>
        </w:rPr>
      </w:pPr>
      <w:r>
        <w:rPr>
          <w:rFonts w:hint="eastAsia" w:ascii="宋体" w:hAnsi="宋体" w:eastAsia="宋体" w:cs="宋体"/>
          <w:spacing w:val="-1"/>
          <w:sz w:val="24"/>
          <w:szCs w:val="24"/>
          <w:lang w:eastAsia="zh-CN"/>
        </w:rPr>
        <w:t>承包人设计代表：</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val="en-US"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w:t>
      </w:r>
    </w:p>
    <w:p w14:paraId="2FAC085A">
      <w:pPr>
        <w:keepNext w:val="0"/>
        <w:keepLines w:val="0"/>
        <w:pageBreakBefore w:val="0"/>
        <w:kinsoku/>
        <w:wordWrap/>
        <w:overflowPunct/>
        <w:topLinePunct w:val="0"/>
        <w:autoSpaceDE/>
        <w:autoSpaceDN/>
        <w:bidi w:val="0"/>
        <w:adjustRightInd/>
        <w:snapToGrid/>
        <w:spacing w:before="104" w:line="360" w:lineRule="auto"/>
        <w:ind w:firstLine="492" w:firstLineChars="200"/>
        <w:textAlignment w:val="auto"/>
        <w:rPr>
          <w:rFonts w:hint="eastAsia" w:ascii="宋体" w:hAnsi="宋体" w:eastAsia="宋体" w:cs="宋体"/>
          <w:color w:val="FF0000"/>
          <w:spacing w:val="-1"/>
          <w:sz w:val="24"/>
          <w:szCs w:val="24"/>
        </w:rPr>
      </w:pPr>
      <w:r>
        <w:rPr>
          <w:rFonts w:hint="eastAsia" w:ascii="宋体" w:hAnsi="宋体" w:eastAsia="宋体" w:cs="宋体"/>
          <w:spacing w:val="3"/>
          <w:sz w:val="24"/>
          <w:szCs w:val="24"/>
        </w:rPr>
        <w:t>1.1.2.11 设计审查单位：指受发包人委托对定测详勘、施工图设计实施咨</w:t>
      </w:r>
      <w:r>
        <w:rPr>
          <w:rFonts w:hint="eastAsia" w:ascii="宋体" w:hAnsi="宋体" w:eastAsia="宋体" w:cs="宋体"/>
          <w:spacing w:val="2"/>
          <w:sz w:val="24"/>
          <w:szCs w:val="24"/>
        </w:rPr>
        <w:t>询审</w:t>
      </w:r>
      <w:r>
        <w:rPr>
          <w:rFonts w:hint="eastAsia" w:ascii="宋体" w:hAnsi="宋体" w:eastAsia="宋体" w:cs="宋体"/>
          <w:spacing w:val="-1"/>
          <w:sz w:val="24"/>
          <w:szCs w:val="24"/>
        </w:rPr>
        <w:t>查、施工阶段实施设计咨询的法人或其他组织，包括</w:t>
      </w:r>
      <w:r>
        <w:rPr>
          <w:rFonts w:hint="eastAsia" w:ascii="宋体" w:hAnsi="宋体" w:eastAsia="宋体" w:cs="宋体"/>
          <w:spacing w:val="-2"/>
          <w:sz w:val="24"/>
          <w:szCs w:val="24"/>
        </w:rPr>
        <w:t>但不限于施工图设计咨询单位、</w:t>
      </w:r>
      <w:r>
        <w:rPr>
          <w:rFonts w:hint="eastAsia" w:ascii="宋体" w:hAnsi="宋体" w:eastAsia="宋体" w:cs="宋体"/>
          <w:spacing w:val="1"/>
          <w:sz w:val="24"/>
          <w:szCs w:val="24"/>
        </w:rPr>
        <w:t>施工阶段设计咨询单。未委托设计审查单位的，</w:t>
      </w:r>
      <w:r>
        <w:rPr>
          <w:rFonts w:hint="eastAsia" w:ascii="宋体" w:hAnsi="宋体" w:eastAsia="宋体" w:cs="宋体"/>
          <w:sz w:val="24"/>
          <w:szCs w:val="24"/>
        </w:rPr>
        <w:t>本合同中设计审查单位职责由发</w:t>
      </w:r>
      <w:r>
        <w:rPr>
          <w:rFonts w:hint="eastAsia" w:ascii="宋体" w:hAnsi="宋体" w:eastAsia="宋体" w:cs="宋体"/>
          <w:spacing w:val="-1"/>
          <w:sz w:val="24"/>
          <w:szCs w:val="24"/>
        </w:rPr>
        <w:t>包人指定的管理机构或人履行</w:t>
      </w:r>
      <w:r>
        <w:rPr>
          <w:rFonts w:hint="eastAsia" w:ascii="宋体" w:hAnsi="宋体" w:eastAsia="宋体" w:cs="宋体"/>
          <w:color w:val="auto"/>
          <w:spacing w:val="-1"/>
          <w:sz w:val="24"/>
          <w:szCs w:val="24"/>
        </w:rPr>
        <w:t>。</w:t>
      </w:r>
    </w:p>
    <w:p w14:paraId="0CAC72A1">
      <w:pPr>
        <w:spacing w:before="126" w:line="220" w:lineRule="auto"/>
        <w:ind w:left="484"/>
        <w:rPr>
          <w:rFonts w:hint="eastAsia" w:ascii="宋体" w:hAnsi="宋体" w:eastAsia="宋体" w:cs="宋体"/>
          <w:color w:val="FF0000"/>
          <w:spacing w:val="-1"/>
          <w:sz w:val="24"/>
          <w:szCs w:val="24"/>
        </w:rPr>
      </w:pPr>
      <w:r>
        <w:rPr>
          <w:rFonts w:hint="eastAsia" w:ascii="宋体" w:hAnsi="宋体" w:eastAsia="宋体" w:cs="宋体"/>
          <w:spacing w:val="-9"/>
          <w:sz w:val="24"/>
          <w:szCs w:val="24"/>
          <w:lang w:eastAsia="zh-CN"/>
        </w:rPr>
        <w:t>设</w:t>
      </w:r>
      <w:r>
        <w:rPr>
          <w:rFonts w:hint="eastAsia" w:ascii="宋体" w:hAnsi="宋体" w:eastAsia="宋体" w:cs="宋体"/>
          <w:spacing w:val="1"/>
          <w:sz w:val="24"/>
          <w:szCs w:val="24"/>
          <w:lang w:eastAsia="zh-CN"/>
        </w:rPr>
        <w:t xml:space="preserve">计审查单位 </w:t>
      </w:r>
      <w:r>
        <w:rPr>
          <w:rFonts w:hint="eastAsia" w:ascii="宋体" w:hAnsi="宋体" w:eastAsia="宋体" w:cs="宋体"/>
          <w:spacing w:val="-9"/>
          <w:sz w:val="24"/>
          <w:szCs w:val="24"/>
          <w:lang w:eastAsia="zh-CN"/>
        </w:rPr>
        <w:t>：</w:t>
      </w:r>
      <w:r>
        <w:rPr>
          <w:rFonts w:hint="eastAsia" w:ascii="宋体" w:hAnsi="宋体" w:eastAsia="宋体" w:cs="宋体"/>
          <w:sz w:val="24"/>
          <w:szCs w:val="24"/>
          <w:u w:val="single"/>
          <w:lang w:eastAsia="zh-CN"/>
        </w:rPr>
        <w:t xml:space="preserve">      </w:t>
      </w:r>
      <w:r>
        <w:rPr>
          <w:rFonts w:hint="eastAsia" w:ascii="宋体" w:hAnsi="宋体" w:eastAsia="宋体" w:cs="宋体"/>
          <w:spacing w:val="-1"/>
          <w:sz w:val="24"/>
          <w:szCs w:val="24"/>
          <w:u w:val="single"/>
          <w:lang w:val="en-US" w:eastAsia="zh-CN"/>
        </w:rPr>
        <w:t>/</w:t>
      </w:r>
      <w:r>
        <w:rPr>
          <w:rFonts w:hint="eastAsia" w:ascii="宋体" w:hAnsi="宋体" w:eastAsia="宋体" w:cs="宋体"/>
          <w:sz w:val="24"/>
          <w:szCs w:val="24"/>
          <w:u w:val="single"/>
          <w:lang w:eastAsia="zh-CN"/>
        </w:rPr>
        <w:t xml:space="preserve">       </w:t>
      </w:r>
      <w:r>
        <w:rPr>
          <w:rFonts w:hint="eastAsia" w:ascii="宋体" w:hAnsi="宋体" w:eastAsia="宋体" w:cs="宋体"/>
          <w:spacing w:val="-9"/>
          <w:sz w:val="24"/>
          <w:szCs w:val="24"/>
          <w:lang w:eastAsia="zh-CN"/>
        </w:rPr>
        <w:t>。</w:t>
      </w:r>
    </w:p>
    <w:p w14:paraId="7CB6C5F7">
      <w:pPr>
        <w:spacing w:before="106" w:line="219" w:lineRule="auto"/>
        <w:ind w:firstLine="484" w:firstLineChars="200"/>
        <w:rPr>
          <w:rFonts w:hint="eastAsia" w:ascii="宋体" w:hAnsi="宋体" w:eastAsia="宋体" w:cs="宋体"/>
          <w:spacing w:val="-1"/>
          <w:sz w:val="24"/>
          <w:szCs w:val="24"/>
        </w:rPr>
      </w:pPr>
      <w:r>
        <w:rPr>
          <w:rFonts w:hint="eastAsia" w:ascii="宋体" w:hAnsi="宋体" w:eastAsia="宋体" w:cs="宋体"/>
          <w:spacing w:val="1"/>
          <w:sz w:val="24"/>
          <w:szCs w:val="24"/>
        </w:rPr>
        <w:t>1.1.2.12路况监测单位：指受发包人委托对公路技术状况、施工技术指标等进</w:t>
      </w:r>
      <w:r>
        <w:rPr>
          <w:rFonts w:hint="eastAsia" w:ascii="宋体" w:hAnsi="宋体" w:eastAsia="宋体" w:cs="宋体"/>
          <w:sz w:val="24"/>
          <w:szCs w:val="24"/>
        </w:rPr>
        <w:t>行监测和抽检的法人或其他组织，包括但不限</w:t>
      </w:r>
      <w:r>
        <w:rPr>
          <w:rFonts w:hint="eastAsia" w:ascii="宋体" w:hAnsi="宋体" w:eastAsia="宋体" w:cs="宋体"/>
          <w:spacing w:val="-1"/>
          <w:sz w:val="24"/>
          <w:szCs w:val="24"/>
        </w:rPr>
        <w:t>于检测单位、相关技术咨询单位。</w:t>
      </w:r>
    </w:p>
    <w:p w14:paraId="3D857363">
      <w:pPr>
        <w:spacing w:before="106" w:line="219" w:lineRule="auto"/>
        <w:ind w:firstLine="476" w:firstLineChars="200"/>
        <w:rPr>
          <w:rFonts w:hint="eastAsia" w:ascii="宋体" w:hAnsi="宋体" w:eastAsia="宋体" w:cs="宋体"/>
          <w:spacing w:val="-1"/>
          <w:sz w:val="24"/>
          <w:szCs w:val="24"/>
        </w:rPr>
      </w:pPr>
      <w:r>
        <w:rPr>
          <w:rFonts w:hint="eastAsia" w:ascii="宋体" w:hAnsi="宋体" w:eastAsia="宋体" w:cs="宋体"/>
          <w:spacing w:val="-1"/>
          <w:sz w:val="24"/>
          <w:szCs w:val="24"/>
          <w:lang w:eastAsia="zh-CN"/>
        </w:rPr>
        <w:t>单位：</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val="en-US" w:eastAsia="zh-CN"/>
        </w:rPr>
        <w:t>/</w:t>
      </w:r>
      <w:r>
        <w:rPr>
          <w:rFonts w:hint="eastAsia" w:ascii="宋体" w:hAnsi="宋体" w:eastAsia="宋体" w:cs="宋体"/>
          <w:sz w:val="24"/>
          <w:szCs w:val="24"/>
          <w:u w:val="single"/>
          <w:lang w:eastAsia="zh-CN"/>
        </w:rPr>
        <w:t xml:space="preserve"> </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w:t>
      </w:r>
    </w:p>
    <w:p w14:paraId="334195E1">
      <w:pPr>
        <w:spacing w:before="125" w:line="219" w:lineRule="auto"/>
        <w:ind w:left="499"/>
        <w:rPr>
          <w:rFonts w:hint="eastAsia" w:ascii="宋体" w:hAnsi="宋体" w:eastAsia="宋体" w:cs="宋体"/>
          <w:sz w:val="24"/>
          <w:szCs w:val="24"/>
        </w:rPr>
      </w:pPr>
      <w:r>
        <w:rPr>
          <w:rFonts w:hint="eastAsia" w:ascii="宋体" w:hAnsi="宋体" w:eastAsia="宋体" w:cs="宋体"/>
          <w:spacing w:val="-2"/>
          <w:sz w:val="24"/>
          <w:szCs w:val="24"/>
        </w:rPr>
        <w:t>1.1.3  养护项目、养护工程和设备</w:t>
      </w:r>
    </w:p>
    <w:p w14:paraId="27162695">
      <w:pPr>
        <w:spacing w:before="116" w:line="219" w:lineRule="auto"/>
        <w:ind w:left="480"/>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第</w:t>
      </w:r>
      <w:r>
        <w:rPr>
          <w:rFonts w:hint="eastAsia" w:ascii="宋体" w:hAnsi="宋体" w:eastAsia="宋体" w:cs="宋体"/>
          <w:spacing w:val="-26"/>
          <w:sz w:val="24"/>
          <w:szCs w:val="24"/>
          <w:highlight w:val="none"/>
        </w:rPr>
        <w:t xml:space="preserve"> </w:t>
      </w:r>
      <w:r>
        <w:rPr>
          <w:rFonts w:hint="eastAsia" w:ascii="宋体" w:hAnsi="宋体" w:eastAsia="宋体" w:cs="宋体"/>
          <w:spacing w:val="-7"/>
          <w:sz w:val="24"/>
          <w:szCs w:val="24"/>
          <w:highlight w:val="none"/>
        </w:rPr>
        <w:t>1.1.3.1  目完善为：</w:t>
      </w:r>
    </w:p>
    <w:p w14:paraId="60445170">
      <w:pPr>
        <w:spacing w:before="114" w:line="360" w:lineRule="auto"/>
        <w:ind w:firstLine="468" w:firstLineChars="200"/>
        <w:rPr>
          <w:rFonts w:hint="eastAsia" w:ascii="宋体" w:hAnsi="宋体" w:eastAsia="宋体" w:cs="宋体"/>
          <w:sz w:val="24"/>
          <w:szCs w:val="24"/>
        </w:rPr>
      </w:pPr>
      <w:r>
        <w:rPr>
          <w:rFonts w:hint="eastAsia" w:ascii="宋体" w:hAnsi="宋体" w:eastAsia="宋体" w:cs="宋体"/>
          <w:spacing w:val="-3"/>
          <w:sz w:val="24"/>
          <w:szCs w:val="24"/>
        </w:rPr>
        <w:t>1.1.3.1  养护项目：</w:t>
      </w:r>
    </w:p>
    <w:p w14:paraId="139432A6">
      <w:pPr>
        <w:numPr>
          <w:ilvl w:val="0"/>
          <w:numId w:val="0"/>
        </w:numPr>
        <w:tabs>
          <w:tab w:val="left" w:pos="0"/>
        </w:tabs>
        <w:spacing w:line="360" w:lineRule="auto"/>
        <w:jc w:val="left"/>
        <w:rPr>
          <w:rFonts w:hint="eastAsia" w:ascii="宋体" w:hAnsi="宋体" w:eastAsia="宋体" w:cs="宋体"/>
          <w:snapToGrid w:val="0"/>
          <w:color w:val="000000"/>
          <w:spacing w:val="0"/>
          <w:w w:val="100"/>
          <w:kern w:val="0"/>
          <w:position w:val="0"/>
          <w:sz w:val="24"/>
          <w:szCs w:val="24"/>
          <w:highlight w:val="none"/>
          <w:lang w:val="en-US" w:eastAsia="zh-CN" w:bidi="ar-SA"/>
        </w:rPr>
      </w:pPr>
      <w:r>
        <w:rPr>
          <w:rFonts w:hint="eastAsia" w:ascii="宋体" w:hAnsi="宋体" w:eastAsia="宋体" w:cs="宋体"/>
          <w:color w:val="auto"/>
          <w:spacing w:val="1"/>
          <w:sz w:val="24"/>
          <w:szCs w:val="24"/>
          <w:highlight w:val="none"/>
          <w:lang w:eastAsia="zh-CN"/>
        </w:rPr>
        <w:t>项目实施范围：</w:t>
      </w:r>
      <w:r>
        <w:rPr>
          <w:rFonts w:hint="eastAsia" w:ascii="宋体" w:hAnsi="宋体" w:eastAsia="宋体" w:cs="宋体"/>
          <w:snapToGrid w:val="0"/>
          <w:color w:val="000000"/>
          <w:spacing w:val="0"/>
          <w:w w:val="100"/>
          <w:kern w:val="0"/>
          <w:position w:val="0"/>
          <w:sz w:val="24"/>
          <w:szCs w:val="24"/>
          <w:highlight w:val="none"/>
          <w:lang w:val="en-US" w:eastAsia="zh-CN" w:bidi="ar-SA"/>
        </w:rPr>
        <w:t>A段：恭城公路养护中心2026年-2029年普通国省干线公路养护服务，纳入服务总里程167.483公里。国道2条：1、G241线K2842+421-K2920+274段77.853公里，2、G357线K1265+000-K1272+354段7.354公里，国道总里程85.207公里；省道2条:1、S302线K66+463-K105+666段39.203公里，2、S502线K0+000-K46+383段43.073公里（与国道G241重复3.31公里，已计入国道里程），省道总里程82.276公里。其中一级公路4.382㎞，二级公路163.101㎞；其中水泥混凝土路面22.014㎞，沥青路面145.469㎞。包含（但不限于）桥梁41座（大桥8座/1437.57米，中桥14座/641.23米，小桥19座/325.19米，共计2403.99米，一类桥19座，二类桥22座），隧道0座/0米，涵洞646道，候车亭29处。交通安全设施167.483公里等。路段内有多处自然灾害风险路段。其中S502路线K0+000-K20+000桩号共20.000公里路段由采购人自行安排自有职工开展日常保养，该路段除日常保养不在招标范围内，其它养护服务、应急处置均纳入该项目招标范围内。</w:t>
      </w:r>
    </w:p>
    <w:p w14:paraId="7CC3AF78">
      <w:pPr>
        <w:numPr>
          <w:ilvl w:val="0"/>
          <w:numId w:val="0"/>
        </w:numPr>
        <w:tabs>
          <w:tab w:val="left" w:pos="0"/>
        </w:tabs>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B段：平乐公路养护中心2026年-2029年普通国省干线公路养护服务，纳入服务总里程132.016公里（含长短链）。国道2条：1、G241线K2920+274-K2947+703段27.429公里，2、G323线K776+975-K819+779段42.804公里，国道总里程70.233公里;省道3条:1、S202线K196+332-K203+139段6.352公里,2、S302线K105+666-K113+565，K115+869-138+560段30.59公里，3.S502线K46+383-K56+168，K58+166-K73+222段24.841公里，省道总里程61.783公里。其中一级公路3.443公里、二级公路113.517公里、三级15.056公里，四级公路0公里。其中水泥混凝土路面5.846公里、沥青路面126.17公里。包含(但不限于)桥梁22座（大桥4座1499.16米，中桥7座348.59米，小桥13座240.11米，共计2087.86米，一类桥10座，二类桥12座，三类桥0座，四类桥0座，五类桥0座），隧道0座/0米（长隧道0座，三类隧道0座），涵洞352道，养护站3个，服务区0个，小型临时停车区1处，候车亭24处，交通安全设施132.016公里等。路段内有多处自然灾害风险路段。平乐公路养护中心辖区所有路段均纳入2026年-2029年普通国省干线公路养护服务采购。</w:t>
      </w:r>
    </w:p>
    <w:p w14:paraId="2DD2C25E">
      <w:pPr>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C段：阳朔公路养护中心2026年-2029年普通国省干线公路养护服务，纳入服务总里程</w:t>
      </w:r>
      <w:r>
        <w:rPr>
          <w:rFonts w:hint="eastAsia" w:ascii="宋体" w:hAnsi="宋体" w:eastAsia="宋体" w:cs="宋体"/>
          <w:color w:val="0000FF"/>
          <w:sz w:val="24"/>
          <w:szCs w:val="24"/>
          <w:highlight w:val="none"/>
          <w:lang w:val="en-US" w:eastAsia="zh-CN"/>
        </w:rPr>
        <w:t>116.834</w:t>
      </w:r>
      <w:r>
        <w:rPr>
          <w:rFonts w:hint="eastAsia" w:ascii="宋体" w:hAnsi="宋体" w:eastAsia="宋体" w:cs="宋体"/>
          <w:sz w:val="24"/>
          <w:szCs w:val="24"/>
          <w:highlight w:val="none"/>
        </w:rPr>
        <w:t>公里。</w:t>
      </w:r>
      <w:r>
        <w:rPr>
          <w:rFonts w:hint="eastAsia" w:ascii="宋体" w:hAnsi="宋体" w:eastAsia="宋体" w:cs="宋体"/>
          <w:b/>
          <w:bCs/>
          <w:sz w:val="24"/>
          <w:szCs w:val="24"/>
          <w:highlight w:val="none"/>
        </w:rPr>
        <w:t>国道1条</w:t>
      </w:r>
      <w:r>
        <w:rPr>
          <w:rFonts w:hint="eastAsia" w:ascii="宋体" w:hAnsi="宋体" w:eastAsia="宋体" w:cs="宋体"/>
          <w:sz w:val="24"/>
          <w:szCs w:val="24"/>
          <w:highlight w:val="none"/>
        </w:rPr>
        <w:t>：G321线K504+076-K512+656段8.58公里，国道总里程8.58公里；</w:t>
      </w:r>
      <w:r>
        <w:rPr>
          <w:rFonts w:hint="eastAsia" w:ascii="宋体" w:hAnsi="宋体" w:eastAsia="宋体" w:cs="宋体"/>
          <w:b/>
          <w:bCs/>
          <w:sz w:val="24"/>
          <w:szCs w:val="24"/>
          <w:highlight w:val="none"/>
        </w:rPr>
        <w:t>省道2条</w:t>
      </w:r>
      <w:r>
        <w:rPr>
          <w:rFonts w:hint="eastAsia" w:ascii="宋体" w:hAnsi="宋体" w:eastAsia="宋体" w:cs="宋体"/>
          <w:sz w:val="24"/>
          <w:szCs w:val="24"/>
          <w:highlight w:val="none"/>
        </w:rPr>
        <w:t>:1、S202线K129+316-K153+600、K156+800-K178+668、</w:t>
      </w:r>
      <w:r>
        <w:rPr>
          <w:rFonts w:hint="eastAsia" w:ascii="宋体" w:hAnsi="宋体" w:eastAsia="宋体" w:cs="宋体"/>
          <w:sz w:val="24"/>
          <w:szCs w:val="24"/>
          <w:highlight w:val="none"/>
          <w:lang w:val="en-US" w:eastAsia="zh-CN"/>
        </w:rPr>
        <w:t>K183+394-</w:t>
      </w:r>
      <w:r>
        <w:rPr>
          <w:rFonts w:hint="eastAsia" w:ascii="宋体" w:hAnsi="宋体" w:eastAsia="宋体" w:cs="宋体"/>
          <w:sz w:val="24"/>
          <w:szCs w:val="24"/>
          <w:highlight w:val="none"/>
        </w:rPr>
        <w:t>K196+</w:t>
      </w:r>
      <w:r>
        <w:rPr>
          <w:rFonts w:hint="eastAsia" w:ascii="宋体" w:hAnsi="宋体" w:eastAsia="宋体" w:cs="宋体"/>
          <w:sz w:val="24"/>
          <w:szCs w:val="24"/>
          <w:highlight w:val="none"/>
          <w:lang w:val="en-US" w:eastAsia="zh-CN"/>
        </w:rPr>
        <w:t>33</w:t>
      </w:r>
      <w:r>
        <w:rPr>
          <w:rFonts w:hint="eastAsia" w:ascii="宋体" w:hAnsi="宋体" w:eastAsia="宋体" w:cs="宋体"/>
          <w:sz w:val="24"/>
          <w:szCs w:val="24"/>
          <w:highlight w:val="none"/>
        </w:rPr>
        <w:t>2普益大桥段</w:t>
      </w:r>
      <w:r>
        <w:rPr>
          <w:rFonts w:hint="eastAsia" w:ascii="宋体" w:hAnsi="宋体" w:eastAsia="宋体" w:cs="宋体"/>
          <w:sz w:val="24"/>
          <w:szCs w:val="24"/>
          <w:highlight w:val="none"/>
          <w:lang w:val="en-US" w:eastAsia="zh-CN"/>
        </w:rPr>
        <w:t>59.09</w:t>
      </w:r>
      <w:r>
        <w:rPr>
          <w:rFonts w:hint="eastAsia" w:ascii="宋体" w:hAnsi="宋体" w:eastAsia="宋体" w:cs="宋体"/>
          <w:sz w:val="24"/>
          <w:szCs w:val="24"/>
          <w:highlight w:val="none"/>
        </w:rPr>
        <w:t>公里，2、S302线K138+560-K150+045、K169+799-K207+478段49.164公里，省道总里程</w:t>
      </w:r>
      <w:r>
        <w:rPr>
          <w:rFonts w:hint="eastAsia" w:ascii="宋体" w:hAnsi="宋体" w:eastAsia="宋体" w:cs="宋体"/>
          <w:sz w:val="24"/>
          <w:szCs w:val="24"/>
          <w:highlight w:val="none"/>
          <w:lang w:val="en-US" w:eastAsia="zh-CN"/>
        </w:rPr>
        <w:t>108.254</w:t>
      </w:r>
      <w:r>
        <w:rPr>
          <w:rFonts w:hint="eastAsia" w:ascii="宋体" w:hAnsi="宋体" w:eastAsia="宋体" w:cs="宋体"/>
          <w:sz w:val="24"/>
          <w:szCs w:val="24"/>
          <w:highlight w:val="none"/>
        </w:rPr>
        <w:t>公里。其中一级公路0公里、二级公路66.217公里、三级</w:t>
      </w:r>
      <w:r>
        <w:rPr>
          <w:rFonts w:hint="eastAsia" w:ascii="宋体" w:hAnsi="宋体" w:eastAsia="宋体" w:cs="宋体"/>
          <w:sz w:val="24"/>
          <w:szCs w:val="24"/>
          <w:highlight w:val="none"/>
          <w:lang w:val="en-US" w:eastAsia="zh-CN"/>
        </w:rPr>
        <w:t>50.617</w:t>
      </w:r>
      <w:r>
        <w:rPr>
          <w:rFonts w:hint="eastAsia" w:ascii="宋体" w:hAnsi="宋体" w:eastAsia="宋体" w:cs="宋体"/>
          <w:sz w:val="24"/>
          <w:szCs w:val="24"/>
          <w:highlight w:val="none"/>
        </w:rPr>
        <w:t>公里，四级公路0公里。其中水泥混凝土路面</w:t>
      </w:r>
      <w:r>
        <w:rPr>
          <w:rFonts w:hint="eastAsia" w:ascii="宋体" w:hAnsi="宋体" w:eastAsia="宋体" w:cs="宋体"/>
          <w:sz w:val="24"/>
          <w:szCs w:val="24"/>
          <w:highlight w:val="none"/>
          <w:lang w:val="en-US" w:eastAsia="zh-CN"/>
        </w:rPr>
        <w:t>18.611</w:t>
      </w:r>
      <w:r>
        <w:rPr>
          <w:rFonts w:hint="eastAsia" w:ascii="宋体" w:hAnsi="宋体" w:eastAsia="宋体" w:cs="宋体"/>
          <w:sz w:val="24"/>
          <w:szCs w:val="24"/>
          <w:highlight w:val="none"/>
        </w:rPr>
        <w:t>公里、沥青路面98.223公里。包含(但不限于)桥梁18座（大桥2座609.86米，中桥3座152.12米，小桥13座255.09米，共计1017.07米，一类桥4座，二类桥13座，三类桥1座，四类桥0座，五类桥0座），隧道1座/200米（短隧道1座，二级二类），涵洞3</w:t>
      </w:r>
      <w:r>
        <w:rPr>
          <w:rFonts w:hint="eastAsia" w:ascii="宋体" w:hAnsi="宋体" w:eastAsia="宋体" w:cs="宋体"/>
          <w:sz w:val="24"/>
          <w:szCs w:val="24"/>
          <w:highlight w:val="none"/>
          <w:lang w:val="en-US" w:eastAsia="zh-CN"/>
        </w:rPr>
        <w:t>13</w:t>
      </w:r>
      <w:r>
        <w:rPr>
          <w:rFonts w:hint="eastAsia" w:ascii="宋体" w:hAnsi="宋体" w:eastAsia="宋体" w:cs="宋体"/>
          <w:sz w:val="24"/>
          <w:szCs w:val="24"/>
          <w:highlight w:val="none"/>
        </w:rPr>
        <w:t>道，养护站1个，服务区0个，小型临时停车区0处，候车亭10处，交通安全设施104.299公里等。路段内有1处自然灾害风险路段（S202线K144+800-K145+050段）。其中共0公里路段由采购人自行安排自有职工开展日常保养，该路段除日常保养不在招标范围内，其它养护服务、应急处置均纳入该项目招标范围内。</w:t>
      </w:r>
    </w:p>
    <w:p w14:paraId="5CF029F1">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left"/>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D</w:t>
      </w:r>
      <w:r>
        <w:rPr>
          <w:rFonts w:hint="eastAsia" w:ascii="宋体" w:hAnsi="宋体" w:eastAsia="宋体" w:cs="宋体"/>
          <w:sz w:val="24"/>
          <w:szCs w:val="24"/>
          <w:highlight w:val="none"/>
        </w:rPr>
        <w:t>段：灌阳公路养护中心2026年-2029年普通国省干线公路养护服务，纳入服务总里程102.077公里。</w:t>
      </w:r>
      <w:r>
        <w:rPr>
          <w:rFonts w:hint="eastAsia" w:ascii="宋体" w:hAnsi="宋体" w:eastAsia="宋体" w:cs="宋体"/>
          <w:b/>
          <w:bCs/>
          <w:sz w:val="24"/>
          <w:szCs w:val="24"/>
          <w:highlight w:val="none"/>
        </w:rPr>
        <w:t>国道2条</w:t>
      </w:r>
      <w:r>
        <w:rPr>
          <w:rFonts w:hint="eastAsia" w:ascii="宋体" w:hAnsi="宋体" w:eastAsia="宋体" w:cs="宋体"/>
          <w:sz w:val="24"/>
          <w:szCs w:val="24"/>
          <w:highlight w:val="none"/>
        </w:rPr>
        <w:t>:1、G241线K2776+180-K2842+421段</w:t>
      </w:r>
      <w:r>
        <w:rPr>
          <w:rFonts w:hint="eastAsia" w:ascii="宋体" w:hAnsi="宋体" w:eastAsia="宋体" w:cs="宋体"/>
          <w:sz w:val="24"/>
          <w:szCs w:val="24"/>
          <w:highlight w:val="none"/>
          <w:lang w:val="en-US" w:eastAsia="zh-CN"/>
        </w:rPr>
        <w:t>66</w:t>
      </w:r>
      <w:r>
        <w:rPr>
          <w:rFonts w:hint="eastAsia" w:ascii="宋体" w:hAnsi="宋体" w:eastAsia="宋体" w:cs="宋体"/>
          <w:sz w:val="24"/>
          <w:szCs w:val="24"/>
          <w:highlight w:val="none"/>
        </w:rPr>
        <w:t>.241公里，2、G357线K1153+002-K1173+000段19.998公里、K1249+162-K1265+000段15.838公里，国道总里程</w:t>
      </w:r>
      <w:r>
        <w:rPr>
          <w:rFonts w:hint="eastAsia" w:ascii="宋体" w:hAnsi="宋体" w:eastAsia="宋体" w:cs="宋体"/>
          <w:sz w:val="24"/>
          <w:szCs w:val="24"/>
          <w:highlight w:val="none"/>
          <w:lang w:val="en-US" w:eastAsia="zh-CN"/>
        </w:rPr>
        <w:t>102.077</w:t>
      </w:r>
      <w:r>
        <w:rPr>
          <w:rFonts w:hint="eastAsia" w:ascii="宋体" w:hAnsi="宋体" w:eastAsia="宋体" w:cs="宋体"/>
          <w:sz w:val="24"/>
          <w:szCs w:val="24"/>
          <w:highlight w:val="none"/>
        </w:rPr>
        <w:t>公里。其中一级公路7.82公里（G241线K2</w:t>
      </w:r>
      <w:r>
        <w:rPr>
          <w:rFonts w:hint="eastAsia" w:ascii="宋体" w:hAnsi="宋体" w:eastAsia="宋体" w:cs="宋体"/>
          <w:sz w:val="24"/>
          <w:szCs w:val="24"/>
          <w:highlight w:val="none"/>
          <w:lang w:val="en-US" w:eastAsia="zh-CN"/>
        </w:rPr>
        <w:t>799</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92</w:t>
      </w:r>
      <w:r>
        <w:rPr>
          <w:rFonts w:hint="eastAsia" w:ascii="宋体" w:hAnsi="宋体" w:eastAsia="宋体" w:cs="宋体"/>
          <w:sz w:val="24"/>
          <w:szCs w:val="24"/>
          <w:highlight w:val="none"/>
        </w:rPr>
        <w:t>0-K2803+300段</w:t>
      </w:r>
      <w:r>
        <w:rPr>
          <w:rFonts w:hint="eastAsia" w:ascii="宋体" w:hAnsi="宋体" w:eastAsia="宋体" w:cs="宋体"/>
          <w:sz w:val="24"/>
          <w:szCs w:val="24"/>
          <w:highlight w:val="none"/>
          <w:lang w:val="en-US" w:eastAsia="zh-CN"/>
        </w:rPr>
        <w:t>3.38</w:t>
      </w:r>
      <w:r>
        <w:rPr>
          <w:rFonts w:hint="eastAsia" w:ascii="宋体" w:hAnsi="宋体" w:eastAsia="宋体" w:cs="宋体"/>
          <w:sz w:val="24"/>
          <w:szCs w:val="24"/>
          <w:highlight w:val="none"/>
        </w:rPr>
        <w:t>公里、G357线K1165+002-K1172+702段7.7公里）、二级公路</w:t>
      </w:r>
      <w:r>
        <w:rPr>
          <w:rFonts w:hint="eastAsia" w:ascii="宋体" w:hAnsi="宋体" w:eastAsia="宋体" w:cs="宋体"/>
          <w:sz w:val="24"/>
          <w:szCs w:val="24"/>
          <w:highlight w:val="none"/>
          <w:lang w:val="en-US" w:eastAsia="zh-CN"/>
        </w:rPr>
        <w:t>90.877</w:t>
      </w:r>
      <w:r>
        <w:rPr>
          <w:rFonts w:hint="eastAsia" w:ascii="宋体" w:hAnsi="宋体" w:eastAsia="宋体" w:cs="宋体"/>
          <w:sz w:val="24"/>
          <w:szCs w:val="24"/>
          <w:highlight w:val="none"/>
        </w:rPr>
        <w:t>公里。其中水泥混凝土路面14.76公里、沥青路面</w:t>
      </w:r>
      <w:r>
        <w:rPr>
          <w:rFonts w:hint="eastAsia" w:ascii="宋体" w:hAnsi="宋体" w:eastAsia="宋体" w:cs="宋体"/>
          <w:sz w:val="24"/>
          <w:szCs w:val="24"/>
          <w:highlight w:val="none"/>
          <w:lang w:val="en-US" w:eastAsia="zh-CN"/>
        </w:rPr>
        <w:t>87</w:t>
      </w:r>
      <w:r>
        <w:rPr>
          <w:rFonts w:hint="eastAsia" w:ascii="宋体" w:hAnsi="宋体" w:eastAsia="宋体" w:cs="宋体"/>
          <w:sz w:val="24"/>
          <w:szCs w:val="24"/>
          <w:highlight w:val="none"/>
        </w:rPr>
        <w:t>.317公里。包含(但不限于)桥梁24座（大桥5座626.44米，中桥2座194.86米，小桥17座326.07米，共计1147.37米，一类桥6座，二类桥18座，三类桥0座，四类桥0座，五类桥0座），涵洞273道，养护站1个，服务区0个，小型临时停车区0处，候车亭17座，交通安全设施75.077公里等。路段内有多处自然灾害风险路段。其中G241线K2776+180-K2803+180段（27公里）由采购人自行安排自有职工开展日常保养，该路段除日常保养不在招标范围内，其它养护服务、应急处置均纳入该项目招标范围内。</w:t>
      </w:r>
    </w:p>
    <w:p w14:paraId="468B4F0C">
      <w:pPr>
        <w:spacing w:before="117" w:line="310" w:lineRule="auto"/>
        <w:ind w:right="166" w:firstLine="483"/>
        <w:rPr>
          <w:rFonts w:hint="eastAsia" w:ascii="宋体" w:hAnsi="宋体" w:eastAsia="宋体" w:cs="宋体"/>
          <w:color w:val="auto"/>
          <w:sz w:val="24"/>
          <w:szCs w:val="24"/>
          <w:lang w:eastAsia="zh-CN"/>
        </w:rPr>
      </w:pPr>
    </w:p>
    <w:p w14:paraId="75ABC896">
      <w:pPr>
        <w:spacing w:before="78" w:line="212" w:lineRule="auto"/>
        <w:jc w:val="both"/>
        <w:rPr>
          <w:rFonts w:hint="eastAsia" w:ascii="宋体" w:hAnsi="宋体" w:eastAsia="宋体" w:cs="宋体"/>
          <w:b/>
          <w:bCs/>
          <w:spacing w:val="-2"/>
          <w:sz w:val="24"/>
          <w:szCs w:val="24"/>
          <w:highlight w:val="green"/>
        </w:rPr>
      </w:pPr>
    </w:p>
    <w:p w14:paraId="4D70B0B1">
      <w:pPr>
        <w:spacing w:before="78" w:line="212" w:lineRule="auto"/>
        <w:jc w:val="both"/>
        <w:rPr>
          <w:rFonts w:hint="eastAsia" w:ascii="宋体" w:hAnsi="宋体" w:eastAsia="宋体" w:cs="宋体"/>
          <w:b/>
          <w:bCs/>
          <w:spacing w:val="-2"/>
          <w:sz w:val="24"/>
          <w:szCs w:val="24"/>
          <w:highlight w:val="none"/>
          <w:lang w:eastAsia="zh-CN"/>
        </w:rPr>
      </w:pPr>
      <w:r>
        <w:rPr>
          <w:rFonts w:hint="eastAsia" w:ascii="宋体" w:hAnsi="宋体" w:eastAsia="宋体" w:cs="宋体"/>
          <w:b/>
          <w:bCs/>
          <w:spacing w:val="-2"/>
          <w:sz w:val="24"/>
          <w:szCs w:val="24"/>
          <w:highlight w:val="none"/>
        </w:rPr>
        <w:t>表</w:t>
      </w:r>
      <w:r>
        <w:rPr>
          <w:rFonts w:hint="eastAsia" w:ascii="宋体" w:hAnsi="宋体" w:eastAsia="宋体" w:cs="宋体"/>
          <w:spacing w:val="-51"/>
          <w:sz w:val="24"/>
          <w:szCs w:val="24"/>
          <w:highlight w:val="none"/>
        </w:rPr>
        <w:t xml:space="preserve"> </w:t>
      </w:r>
      <w:r>
        <w:rPr>
          <w:rFonts w:hint="eastAsia" w:ascii="宋体" w:hAnsi="宋体" w:eastAsia="宋体" w:cs="宋体"/>
          <w:b/>
          <w:bCs/>
          <w:spacing w:val="-2"/>
          <w:sz w:val="24"/>
          <w:szCs w:val="24"/>
          <w:highlight w:val="none"/>
        </w:rPr>
        <w:t>3-1-1    公路主要设施清单</w:t>
      </w:r>
    </w:p>
    <w:p w14:paraId="04D362BB">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pacing w:val="0"/>
          <w:w w:val="100"/>
          <w:position w:val="0"/>
          <w:sz w:val="24"/>
          <w:szCs w:val="24"/>
          <w:highlight w:val="none"/>
          <w:lang w:eastAsia="zh-CN"/>
        </w:rPr>
      </w:pPr>
      <w:r>
        <w:rPr>
          <w:rFonts w:hint="eastAsia" w:ascii="宋体" w:hAnsi="宋体" w:eastAsia="宋体" w:cs="宋体"/>
          <w:b/>
          <w:bCs/>
          <w:spacing w:val="0"/>
          <w:w w:val="100"/>
          <w:position w:val="0"/>
          <w:sz w:val="24"/>
          <w:szCs w:val="24"/>
          <w:highlight w:val="none"/>
        </w:rPr>
        <w:t>公路主要设施清单</w:t>
      </w:r>
      <w:r>
        <w:rPr>
          <w:rFonts w:hint="eastAsia" w:ascii="宋体" w:hAnsi="宋体" w:eastAsia="宋体" w:cs="宋体"/>
          <w:b/>
          <w:bCs/>
          <w:spacing w:val="0"/>
          <w:w w:val="100"/>
          <w:position w:val="0"/>
          <w:sz w:val="24"/>
          <w:szCs w:val="24"/>
          <w:highlight w:val="none"/>
          <w:lang w:eastAsia="zh-CN"/>
        </w:rPr>
        <w:t>（</w:t>
      </w:r>
      <w:r>
        <w:rPr>
          <w:rFonts w:hint="eastAsia" w:ascii="宋体" w:hAnsi="宋体" w:eastAsia="宋体" w:cs="宋体"/>
          <w:b/>
          <w:bCs/>
          <w:spacing w:val="0"/>
          <w:w w:val="100"/>
          <w:position w:val="0"/>
          <w:sz w:val="24"/>
          <w:szCs w:val="24"/>
          <w:highlight w:val="none"/>
          <w:lang w:val="en-US" w:eastAsia="zh-CN"/>
        </w:rPr>
        <w:t>A段</w:t>
      </w:r>
      <w:r>
        <w:rPr>
          <w:rFonts w:hint="eastAsia" w:ascii="宋体" w:hAnsi="宋体" w:eastAsia="宋体" w:cs="宋体"/>
          <w:b/>
          <w:bCs/>
          <w:spacing w:val="0"/>
          <w:w w:val="100"/>
          <w:position w:val="0"/>
          <w:sz w:val="24"/>
          <w:szCs w:val="24"/>
          <w:highlight w:val="none"/>
          <w:lang w:eastAsia="zh-CN"/>
        </w:rPr>
        <w:t>）</w:t>
      </w:r>
    </w:p>
    <w:p w14:paraId="467B6955">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b/>
          <w:bCs/>
          <w:spacing w:val="0"/>
          <w:w w:val="100"/>
          <w:position w:val="0"/>
          <w:sz w:val="24"/>
          <w:szCs w:val="24"/>
          <w:highlight w:val="none"/>
        </w:rPr>
      </w:pPr>
    </w:p>
    <w:tbl>
      <w:tblPr>
        <w:tblStyle w:val="25"/>
        <w:tblW w:w="845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26"/>
        <w:gridCol w:w="1987"/>
        <w:gridCol w:w="1147"/>
        <w:gridCol w:w="1147"/>
        <w:gridCol w:w="1147"/>
        <w:gridCol w:w="1147"/>
        <w:gridCol w:w="1154"/>
      </w:tblGrid>
      <w:tr w14:paraId="4E5678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90" w:hRule="atLeast"/>
          <w:tblHeader/>
          <w:jc w:val="center"/>
        </w:trPr>
        <w:tc>
          <w:tcPr>
            <w:tcW w:w="726" w:type="dxa"/>
            <w:shd w:val="clear" w:color="auto" w:fill="auto"/>
            <w:vAlign w:val="center"/>
          </w:tcPr>
          <w:p w14:paraId="01024DBA">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auto"/>
                <w:spacing w:val="0"/>
                <w:w w:val="100"/>
                <w:kern w:val="0"/>
                <w:position w:val="0"/>
                <w:sz w:val="24"/>
                <w:szCs w:val="24"/>
                <w:highlight w:val="none"/>
                <w:lang w:val="en-US" w:eastAsia="en-US" w:bidi="ar-SA"/>
              </w:rPr>
            </w:pPr>
            <w:r>
              <w:rPr>
                <w:rFonts w:hint="eastAsia" w:ascii="宋体" w:hAnsi="宋体" w:eastAsia="宋体" w:cs="宋体"/>
                <w:b/>
                <w:bCs/>
                <w:spacing w:val="0"/>
                <w:w w:val="100"/>
                <w:position w:val="0"/>
                <w:sz w:val="24"/>
                <w:szCs w:val="24"/>
              </w:rPr>
              <w:t>编号</w:t>
            </w:r>
          </w:p>
        </w:tc>
        <w:tc>
          <w:tcPr>
            <w:tcW w:w="1987" w:type="dxa"/>
            <w:shd w:val="clear" w:color="auto" w:fill="auto"/>
            <w:vAlign w:val="center"/>
          </w:tcPr>
          <w:p w14:paraId="71DC27E9">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0" w:firstLineChars="0"/>
              <w:jc w:val="both"/>
              <w:textAlignment w:val="baseline"/>
              <w:rPr>
                <w:rFonts w:hint="eastAsia" w:ascii="宋体" w:hAnsi="宋体" w:eastAsia="宋体" w:cs="宋体"/>
                <w:b/>
                <w:snapToGrid w:val="0"/>
                <w:color w:val="000000"/>
                <w:spacing w:val="0"/>
                <w:w w:val="100"/>
                <w:kern w:val="0"/>
                <w:position w:val="0"/>
                <w:sz w:val="24"/>
                <w:szCs w:val="24"/>
                <w:lang w:val="en-US" w:eastAsia="zh-CN" w:bidi="ar-SA"/>
              </w:rPr>
            </w:pPr>
            <w:r>
              <w:rPr>
                <w:rFonts w:hint="eastAsia" w:ascii="宋体" w:hAnsi="宋体" w:eastAsia="宋体" w:cs="宋体"/>
                <w:b/>
                <w:snapToGrid w:val="0"/>
                <w:color w:val="000000"/>
                <w:spacing w:val="0"/>
                <w:w w:val="100"/>
                <w:kern w:val="0"/>
                <w:position w:val="0"/>
                <w:sz w:val="24"/>
                <w:szCs w:val="24"/>
                <w:lang w:val="en-US" w:eastAsia="zh-CN" w:bidi="ar-SA"/>
              </w:rPr>
              <w:t>数量 线路</w:t>
            </w:r>
          </w:p>
          <w:p w14:paraId="59CC304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eastAsia" w:ascii="宋体" w:hAnsi="宋体" w:eastAsia="宋体" w:cs="宋体"/>
                <w:b/>
                <w:snapToGrid w:val="0"/>
                <w:color w:val="auto"/>
                <w:spacing w:val="0"/>
                <w:w w:val="100"/>
                <w:kern w:val="0"/>
                <w:position w:val="0"/>
                <w:sz w:val="24"/>
                <w:szCs w:val="24"/>
                <w:highlight w:val="none"/>
                <w:lang w:val="en-US" w:eastAsia="zh-CN" w:bidi="ar-SA"/>
              </w:rPr>
            </w:pPr>
            <w:r>
              <w:rPr>
                <w:rFonts w:hint="eastAsia" w:ascii="宋体" w:hAnsi="宋体" w:eastAsia="宋体" w:cs="宋体"/>
                <w:b/>
                <w:snapToGrid w:val="0"/>
                <w:color w:val="000000"/>
                <w:spacing w:val="0"/>
                <w:w w:val="100"/>
                <w:kern w:val="0"/>
                <w:position w:val="0"/>
                <w:sz w:val="24"/>
                <w:szCs w:val="24"/>
                <w:lang w:val="en-US" w:eastAsia="zh-CN" w:bidi="ar-SA"/>
              </w:rPr>
              <w:t>类型</w:t>
            </w:r>
          </w:p>
        </w:tc>
        <w:tc>
          <w:tcPr>
            <w:tcW w:w="1147" w:type="dxa"/>
            <w:shd w:val="clear" w:color="auto" w:fill="auto"/>
            <w:vAlign w:val="center"/>
          </w:tcPr>
          <w:p w14:paraId="1A2EBDD9">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bCs w:val="0"/>
                <w:snapToGrid w:val="0"/>
                <w:color w:val="auto"/>
                <w:spacing w:val="0"/>
                <w:w w:val="100"/>
                <w:kern w:val="0"/>
                <w:position w:val="0"/>
                <w:sz w:val="24"/>
                <w:szCs w:val="24"/>
                <w:highlight w:val="none"/>
                <w:lang w:val="en-US" w:eastAsia="en-US" w:bidi="ar-SA"/>
              </w:rPr>
            </w:pPr>
            <w:r>
              <w:rPr>
                <w:rFonts w:hint="eastAsia" w:ascii="宋体" w:hAnsi="宋体" w:eastAsia="宋体" w:cs="宋体"/>
                <w:b/>
                <w:bCs/>
                <w:spacing w:val="0"/>
                <w:w w:val="100"/>
                <w:position w:val="0"/>
                <w:sz w:val="24"/>
                <w:szCs w:val="24"/>
                <w:lang w:val="en-US" w:eastAsia="zh-CN"/>
              </w:rPr>
              <w:t xml:space="preserve">G241线 </w:t>
            </w:r>
          </w:p>
        </w:tc>
        <w:tc>
          <w:tcPr>
            <w:tcW w:w="1147" w:type="dxa"/>
            <w:shd w:val="clear" w:color="auto" w:fill="auto"/>
            <w:vAlign w:val="center"/>
          </w:tcPr>
          <w:p w14:paraId="2179ED5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bCs w:val="0"/>
                <w:snapToGrid w:val="0"/>
                <w:color w:val="auto"/>
                <w:spacing w:val="0"/>
                <w:w w:val="100"/>
                <w:kern w:val="0"/>
                <w:position w:val="0"/>
                <w:sz w:val="24"/>
                <w:szCs w:val="24"/>
                <w:highlight w:val="none"/>
                <w:lang w:val="en-US" w:eastAsia="en-US" w:bidi="ar-SA"/>
              </w:rPr>
            </w:pPr>
            <w:r>
              <w:rPr>
                <w:rFonts w:hint="default" w:ascii="宋体" w:hAnsi="宋体" w:eastAsia="宋体" w:cs="宋体"/>
                <w:b/>
                <w:bCs/>
                <w:spacing w:val="0"/>
                <w:w w:val="100"/>
                <w:position w:val="0"/>
                <w:sz w:val="24"/>
                <w:szCs w:val="24"/>
                <w:lang w:val="en-US" w:eastAsia="en-US"/>
              </w:rPr>
              <w:t>G357线</w:t>
            </w:r>
          </w:p>
        </w:tc>
        <w:tc>
          <w:tcPr>
            <w:tcW w:w="1147" w:type="dxa"/>
            <w:shd w:val="clear" w:color="auto" w:fill="auto"/>
            <w:vAlign w:val="center"/>
          </w:tcPr>
          <w:p w14:paraId="7A73584A">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bCs w:val="0"/>
                <w:i w:val="0"/>
                <w:iCs w:val="0"/>
                <w:snapToGrid w:val="0"/>
                <w:color w:val="auto"/>
                <w:kern w:val="0"/>
                <w:sz w:val="24"/>
                <w:szCs w:val="24"/>
                <w:highlight w:val="none"/>
                <w:u w:val="none"/>
                <w:lang w:val="en-US" w:eastAsia="zh-CN" w:bidi="ar"/>
              </w:rPr>
            </w:pPr>
            <w:r>
              <w:rPr>
                <w:rFonts w:hint="default" w:ascii="宋体" w:hAnsi="宋体" w:eastAsia="宋体" w:cs="宋体"/>
                <w:b/>
                <w:bCs/>
                <w:spacing w:val="0"/>
                <w:w w:val="100"/>
                <w:position w:val="0"/>
                <w:sz w:val="24"/>
                <w:szCs w:val="24"/>
                <w:lang w:val="en-US" w:eastAsia="zh-CN"/>
              </w:rPr>
              <w:t>S302线</w:t>
            </w:r>
          </w:p>
        </w:tc>
        <w:tc>
          <w:tcPr>
            <w:tcW w:w="1147" w:type="dxa"/>
            <w:shd w:val="clear" w:color="auto" w:fill="auto"/>
            <w:vAlign w:val="center"/>
          </w:tcPr>
          <w:p w14:paraId="2677BBE0">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bCs w:val="0"/>
                <w:i w:val="0"/>
                <w:iCs w:val="0"/>
                <w:snapToGrid w:val="0"/>
                <w:color w:val="auto"/>
                <w:kern w:val="0"/>
                <w:sz w:val="24"/>
                <w:szCs w:val="24"/>
                <w:highlight w:val="none"/>
                <w:u w:val="none"/>
                <w:lang w:val="en-US" w:eastAsia="zh-CN" w:bidi="ar"/>
              </w:rPr>
            </w:pPr>
            <w:r>
              <w:rPr>
                <w:rFonts w:hint="default" w:ascii="宋体" w:hAnsi="宋体" w:eastAsia="宋体" w:cs="宋体"/>
                <w:b/>
                <w:bCs/>
                <w:spacing w:val="0"/>
                <w:w w:val="100"/>
                <w:position w:val="0"/>
                <w:sz w:val="24"/>
                <w:szCs w:val="24"/>
                <w:lang w:val="en-US" w:eastAsia="zh-CN"/>
              </w:rPr>
              <w:t>S502线</w:t>
            </w:r>
          </w:p>
        </w:tc>
        <w:tc>
          <w:tcPr>
            <w:tcW w:w="1154" w:type="dxa"/>
            <w:shd w:val="clear" w:color="auto" w:fill="auto"/>
            <w:vAlign w:val="center"/>
          </w:tcPr>
          <w:p w14:paraId="03D855E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auto"/>
                <w:spacing w:val="0"/>
                <w:w w:val="100"/>
                <w:kern w:val="0"/>
                <w:position w:val="0"/>
                <w:sz w:val="24"/>
                <w:szCs w:val="24"/>
                <w:highlight w:val="none"/>
                <w:lang w:val="en-US" w:eastAsia="en-US" w:bidi="ar-SA"/>
              </w:rPr>
            </w:pPr>
            <w:r>
              <w:rPr>
                <w:rFonts w:hint="eastAsia" w:ascii="宋体" w:hAnsi="宋体" w:eastAsia="宋体" w:cs="宋体"/>
                <w:b/>
                <w:bCs/>
                <w:spacing w:val="0"/>
                <w:w w:val="100"/>
                <w:position w:val="0"/>
                <w:sz w:val="24"/>
                <w:szCs w:val="24"/>
              </w:rPr>
              <w:t>备注</w:t>
            </w:r>
          </w:p>
        </w:tc>
      </w:tr>
      <w:tr w14:paraId="562F31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17" w:hRule="atLeast"/>
          <w:jc w:val="center"/>
        </w:trPr>
        <w:tc>
          <w:tcPr>
            <w:tcW w:w="726" w:type="dxa"/>
            <w:vAlign w:val="center"/>
          </w:tcPr>
          <w:p w14:paraId="7287DEC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rPr>
              <w:t>1</w:t>
            </w:r>
          </w:p>
        </w:tc>
        <w:tc>
          <w:tcPr>
            <w:tcW w:w="1987" w:type="dxa"/>
            <w:vAlign w:val="center"/>
          </w:tcPr>
          <w:p w14:paraId="3323B77F">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rPr>
              <w:t>桥梁、涵洞</w:t>
            </w:r>
          </w:p>
        </w:tc>
        <w:tc>
          <w:tcPr>
            <w:tcW w:w="1147" w:type="dxa"/>
            <w:vAlign w:val="center"/>
          </w:tcPr>
          <w:p w14:paraId="3B4BC25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147" w:type="dxa"/>
            <w:vAlign w:val="center"/>
          </w:tcPr>
          <w:p w14:paraId="06EED02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147" w:type="dxa"/>
            <w:vAlign w:val="center"/>
          </w:tcPr>
          <w:p w14:paraId="202AA03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147" w:type="dxa"/>
            <w:vAlign w:val="center"/>
          </w:tcPr>
          <w:p w14:paraId="3605A5CB">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154" w:type="dxa"/>
            <w:vAlign w:val="center"/>
          </w:tcPr>
          <w:p w14:paraId="609B6D45">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p>
        </w:tc>
      </w:tr>
      <w:tr w14:paraId="5ADF17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2" w:hRule="atLeast"/>
          <w:jc w:val="center"/>
        </w:trPr>
        <w:tc>
          <w:tcPr>
            <w:tcW w:w="726" w:type="dxa"/>
            <w:vAlign w:val="center"/>
          </w:tcPr>
          <w:p w14:paraId="650A4F26">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1.1</w:t>
            </w:r>
          </w:p>
        </w:tc>
        <w:tc>
          <w:tcPr>
            <w:tcW w:w="1987" w:type="dxa"/>
            <w:vAlign w:val="center"/>
          </w:tcPr>
          <w:p w14:paraId="2F4EC650">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rPr>
              <w:t>桥梁</w:t>
            </w:r>
          </w:p>
        </w:tc>
        <w:tc>
          <w:tcPr>
            <w:tcW w:w="1147" w:type="dxa"/>
            <w:vAlign w:val="center"/>
          </w:tcPr>
          <w:p w14:paraId="3072226E">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 xml:space="preserve">25 </w:t>
            </w:r>
          </w:p>
        </w:tc>
        <w:tc>
          <w:tcPr>
            <w:tcW w:w="1147" w:type="dxa"/>
            <w:vAlign w:val="center"/>
          </w:tcPr>
          <w:p w14:paraId="5DD94F35">
            <w:pPr>
              <w:keepNext w:val="0"/>
              <w:keepLines w:val="0"/>
              <w:widowControl/>
              <w:suppressLineNumbers w:val="0"/>
              <w:jc w:val="center"/>
              <w:textAlignment w:val="top"/>
              <w:rPr>
                <w:rFonts w:hint="default" w:asciiTheme="minorEastAsia" w:hAnsiTheme="minorEastAsia" w:eastAsiaTheme="minorEastAsia" w:cstheme="minorEastAsia"/>
                <w:b w:val="0"/>
                <w:bCs/>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lang w:val="en-US" w:eastAsia="zh-CN"/>
              </w:rPr>
              <w:t>/</w:t>
            </w:r>
          </w:p>
        </w:tc>
        <w:tc>
          <w:tcPr>
            <w:tcW w:w="1147" w:type="dxa"/>
            <w:vAlign w:val="center"/>
          </w:tcPr>
          <w:p w14:paraId="322CBB3C">
            <w:pPr>
              <w:keepNext w:val="0"/>
              <w:keepLines w:val="0"/>
              <w:widowControl/>
              <w:suppressLineNumbers w:val="0"/>
              <w:jc w:val="center"/>
              <w:textAlignment w:val="top"/>
              <w:rPr>
                <w:rFonts w:hint="default" w:asciiTheme="minorEastAsia" w:hAnsiTheme="minorEastAsia" w:eastAsiaTheme="minorEastAsia" w:cstheme="minorEastAsia"/>
                <w:b w:val="0"/>
                <w:bCs/>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lang w:val="en-US" w:eastAsia="zh-CN"/>
              </w:rPr>
              <w:t>8</w:t>
            </w:r>
          </w:p>
        </w:tc>
        <w:tc>
          <w:tcPr>
            <w:tcW w:w="1147" w:type="dxa"/>
            <w:vAlign w:val="center"/>
          </w:tcPr>
          <w:p w14:paraId="6C6E58D5">
            <w:pPr>
              <w:keepNext w:val="0"/>
              <w:keepLines w:val="0"/>
              <w:widowControl/>
              <w:suppressLineNumbers w:val="0"/>
              <w:jc w:val="center"/>
              <w:textAlignment w:val="top"/>
              <w:rPr>
                <w:rFonts w:hint="default" w:asciiTheme="minorEastAsia" w:hAnsiTheme="minorEastAsia" w:eastAsiaTheme="minorEastAsia" w:cstheme="minorEastAsia"/>
                <w:b w:val="0"/>
                <w:bCs/>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lang w:val="en-US" w:eastAsia="zh-CN"/>
              </w:rPr>
              <w:t>8</w:t>
            </w:r>
          </w:p>
        </w:tc>
        <w:tc>
          <w:tcPr>
            <w:tcW w:w="1154" w:type="dxa"/>
            <w:vAlign w:val="center"/>
          </w:tcPr>
          <w:p w14:paraId="10998437">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p>
        </w:tc>
      </w:tr>
      <w:tr w14:paraId="5C743E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17" w:hRule="atLeast"/>
          <w:jc w:val="center"/>
        </w:trPr>
        <w:tc>
          <w:tcPr>
            <w:tcW w:w="726" w:type="dxa"/>
            <w:vAlign w:val="center"/>
          </w:tcPr>
          <w:p w14:paraId="233F38AD">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1.2</w:t>
            </w:r>
          </w:p>
        </w:tc>
        <w:tc>
          <w:tcPr>
            <w:tcW w:w="1987" w:type="dxa"/>
            <w:vAlign w:val="center"/>
          </w:tcPr>
          <w:p w14:paraId="1A5817BE">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rPr>
              <w:t>涵洞</w:t>
            </w:r>
          </w:p>
        </w:tc>
        <w:tc>
          <w:tcPr>
            <w:tcW w:w="1147" w:type="dxa"/>
            <w:vAlign w:val="center"/>
          </w:tcPr>
          <w:p w14:paraId="771F501B">
            <w:pPr>
              <w:keepNext w:val="0"/>
              <w:keepLines w:val="0"/>
              <w:widowControl/>
              <w:suppressLineNumbers w:val="0"/>
              <w:jc w:val="center"/>
              <w:textAlignment w:val="top"/>
              <w:rPr>
                <w:rFonts w:hint="default" w:asciiTheme="minorEastAsia" w:hAnsiTheme="minorEastAsia" w:eastAsiaTheme="minorEastAsia" w:cstheme="minorEastAsia"/>
                <w:b w:val="0"/>
                <w:bCs/>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lang w:val="en-US" w:eastAsia="zh-CN"/>
              </w:rPr>
              <w:t xml:space="preserve">328 </w:t>
            </w:r>
          </w:p>
        </w:tc>
        <w:tc>
          <w:tcPr>
            <w:tcW w:w="1147" w:type="dxa"/>
            <w:vAlign w:val="center"/>
          </w:tcPr>
          <w:p w14:paraId="14B0B8AD">
            <w:pPr>
              <w:keepNext w:val="0"/>
              <w:keepLines w:val="0"/>
              <w:widowControl/>
              <w:suppressLineNumbers w:val="0"/>
              <w:jc w:val="center"/>
              <w:textAlignment w:val="top"/>
              <w:rPr>
                <w:rFonts w:hint="default" w:asciiTheme="minorEastAsia" w:hAnsiTheme="minorEastAsia" w:eastAsiaTheme="minorEastAsia" w:cstheme="minorEastAsia"/>
                <w:b w:val="0"/>
                <w:bCs/>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lang w:val="en-US" w:eastAsia="zh-CN"/>
              </w:rPr>
              <w:t>22</w:t>
            </w:r>
          </w:p>
        </w:tc>
        <w:tc>
          <w:tcPr>
            <w:tcW w:w="1147" w:type="dxa"/>
            <w:vAlign w:val="center"/>
          </w:tcPr>
          <w:p w14:paraId="130D70BB">
            <w:pPr>
              <w:keepNext w:val="0"/>
              <w:keepLines w:val="0"/>
              <w:widowControl/>
              <w:suppressLineNumbers w:val="0"/>
              <w:jc w:val="center"/>
              <w:textAlignment w:val="top"/>
              <w:rPr>
                <w:rFonts w:hint="default" w:asciiTheme="minorEastAsia" w:hAnsiTheme="minorEastAsia" w:eastAsiaTheme="minorEastAsia" w:cstheme="minorEastAsia"/>
                <w:b w:val="0"/>
                <w:bCs/>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lang w:val="en-US" w:eastAsia="zh-CN"/>
              </w:rPr>
              <w:t>126</w:t>
            </w:r>
          </w:p>
        </w:tc>
        <w:tc>
          <w:tcPr>
            <w:tcW w:w="1147" w:type="dxa"/>
            <w:vAlign w:val="center"/>
          </w:tcPr>
          <w:p w14:paraId="77946D78">
            <w:pPr>
              <w:keepNext w:val="0"/>
              <w:keepLines w:val="0"/>
              <w:widowControl/>
              <w:suppressLineNumbers w:val="0"/>
              <w:jc w:val="center"/>
              <w:textAlignment w:val="top"/>
              <w:rPr>
                <w:rFonts w:hint="default" w:asciiTheme="minorEastAsia" w:hAnsiTheme="minorEastAsia" w:eastAsiaTheme="minorEastAsia" w:cstheme="minorEastAsia"/>
                <w:b w:val="0"/>
                <w:bCs/>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lang w:val="en-US" w:eastAsia="zh-CN"/>
              </w:rPr>
              <w:t>170</w:t>
            </w:r>
          </w:p>
        </w:tc>
        <w:tc>
          <w:tcPr>
            <w:tcW w:w="1154" w:type="dxa"/>
            <w:vAlign w:val="center"/>
          </w:tcPr>
          <w:p w14:paraId="20E76710">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p>
        </w:tc>
      </w:tr>
      <w:tr w14:paraId="41F591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17" w:hRule="atLeast"/>
          <w:jc w:val="center"/>
        </w:trPr>
        <w:tc>
          <w:tcPr>
            <w:tcW w:w="726" w:type="dxa"/>
            <w:vAlign w:val="center"/>
          </w:tcPr>
          <w:p w14:paraId="6A848D50">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rPr>
              <w:t>2</w:t>
            </w:r>
          </w:p>
        </w:tc>
        <w:tc>
          <w:tcPr>
            <w:tcW w:w="1987" w:type="dxa"/>
            <w:vAlign w:val="center"/>
          </w:tcPr>
          <w:p w14:paraId="0652077A">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b/>
                <w:bCs/>
                <w:color w:val="auto"/>
                <w:spacing w:val="0"/>
                <w:w w:val="100"/>
                <w:position w:val="0"/>
                <w:sz w:val="24"/>
                <w:szCs w:val="24"/>
              </w:rPr>
              <w:t>隧道</w:t>
            </w:r>
          </w:p>
        </w:tc>
        <w:tc>
          <w:tcPr>
            <w:tcW w:w="1147" w:type="dxa"/>
            <w:vAlign w:val="center"/>
          </w:tcPr>
          <w:p w14:paraId="6ECD4E9E">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p>
        </w:tc>
        <w:tc>
          <w:tcPr>
            <w:tcW w:w="1147" w:type="dxa"/>
            <w:vAlign w:val="center"/>
          </w:tcPr>
          <w:p w14:paraId="6645DEB2">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p>
        </w:tc>
        <w:tc>
          <w:tcPr>
            <w:tcW w:w="1147" w:type="dxa"/>
            <w:shd w:val="clear" w:color="auto" w:fill="FFFFFF"/>
            <w:vAlign w:val="center"/>
          </w:tcPr>
          <w:p w14:paraId="55D3A199">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p>
        </w:tc>
        <w:tc>
          <w:tcPr>
            <w:tcW w:w="1147" w:type="dxa"/>
            <w:shd w:val="clear" w:color="auto" w:fill="FFFFFF"/>
            <w:vAlign w:val="center"/>
          </w:tcPr>
          <w:p w14:paraId="5E0E9A67">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p>
        </w:tc>
        <w:tc>
          <w:tcPr>
            <w:tcW w:w="1154" w:type="dxa"/>
            <w:shd w:val="clear" w:color="auto" w:fill="FFFFFF"/>
            <w:vAlign w:val="center"/>
          </w:tcPr>
          <w:p w14:paraId="1B9B1FEE">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p>
        </w:tc>
      </w:tr>
      <w:tr w14:paraId="09C406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17" w:hRule="atLeast"/>
          <w:jc w:val="center"/>
        </w:trPr>
        <w:tc>
          <w:tcPr>
            <w:tcW w:w="726" w:type="dxa"/>
            <w:vAlign w:val="center"/>
          </w:tcPr>
          <w:p w14:paraId="0139F34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rPr>
              <w:t>2</w:t>
            </w:r>
            <w:r>
              <w:rPr>
                <w:rFonts w:hint="eastAsia" w:ascii="宋体" w:hAnsi="宋体" w:eastAsia="宋体" w:cs="宋体"/>
                <w:color w:val="auto"/>
                <w:spacing w:val="0"/>
                <w:w w:val="100"/>
                <w:position w:val="0"/>
                <w:sz w:val="24"/>
                <w:szCs w:val="24"/>
                <w:lang w:eastAsia="zh-CN"/>
              </w:rPr>
              <w:t>.</w:t>
            </w:r>
            <w:r>
              <w:rPr>
                <w:rFonts w:hint="eastAsia" w:ascii="宋体" w:hAnsi="宋体" w:eastAsia="宋体" w:cs="宋体"/>
                <w:color w:val="auto"/>
                <w:spacing w:val="0"/>
                <w:w w:val="100"/>
                <w:position w:val="0"/>
                <w:sz w:val="24"/>
                <w:szCs w:val="24"/>
              </w:rPr>
              <w:t>1</w:t>
            </w:r>
          </w:p>
        </w:tc>
        <w:tc>
          <w:tcPr>
            <w:tcW w:w="1987" w:type="dxa"/>
            <w:vAlign w:val="center"/>
          </w:tcPr>
          <w:p w14:paraId="56D6427B">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rPr>
              <w:t>隧道</w:t>
            </w:r>
          </w:p>
        </w:tc>
        <w:tc>
          <w:tcPr>
            <w:tcW w:w="1147" w:type="dxa"/>
            <w:vAlign w:val="center"/>
          </w:tcPr>
          <w:p w14:paraId="3B57B078">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w:t>
            </w:r>
          </w:p>
        </w:tc>
        <w:tc>
          <w:tcPr>
            <w:tcW w:w="1147" w:type="dxa"/>
            <w:vAlign w:val="center"/>
          </w:tcPr>
          <w:p w14:paraId="2122288A">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w:t>
            </w:r>
          </w:p>
        </w:tc>
        <w:tc>
          <w:tcPr>
            <w:tcW w:w="1147" w:type="dxa"/>
            <w:shd w:val="clear" w:color="auto" w:fill="FFFFFF"/>
            <w:vAlign w:val="center"/>
          </w:tcPr>
          <w:p w14:paraId="348C789B">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w:t>
            </w:r>
          </w:p>
        </w:tc>
        <w:tc>
          <w:tcPr>
            <w:tcW w:w="1147" w:type="dxa"/>
            <w:shd w:val="clear" w:color="auto" w:fill="FFFFFF"/>
            <w:vAlign w:val="center"/>
          </w:tcPr>
          <w:p w14:paraId="1B162404">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w:t>
            </w:r>
          </w:p>
        </w:tc>
        <w:tc>
          <w:tcPr>
            <w:tcW w:w="1154" w:type="dxa"/>
            <w:shd w:val="clear" w:color="auto" w:fill="FFFFFF"/>
            <w:vAlign w:val="center"/>
          </w:tcPr>
          <w:p w14:paraId="78AA32B3">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p>
        </w:tc>
      </w:tr>
      <w:tr w14:paraId="57D11A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17" w:hRule="atLeast"/>
          <w:jc w:val="center"/>
        </w:trPr>
        <w:tc>
          <w:tcPr>
            <w:tcW w:w="726" w:type="dxa"/>
            <w:vAlign w:val="center"/>
          </w:tcPr>
          <w:p w14:paraId="3A61173A">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rPr>
              <w:t>3</w:t>
            </w:r>
          </w:p>
        </w:tc>
        <w:tc>
          <w:tcPr>
            <w:tcW w:w="1987" w:type="dxa"/>
            <w:vAlign w:val="center"/>
          </w:tcPr>
          <w:p w14:paraId="29CB48D8">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rPr>
              <w:t>服务设施</w:t>
            </w:r>
          </w:p>
        </w:tc>
        <w:tc>
          <w:tcPr>
            <w:tcW w:w="1147" w:type="dxa"/>
            <w:vAlign w:val="center"/>
          </w:tcPr>
          <w:p w14:paraId="6D4A217C">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147" w:type="dxa"/>
            <w:shd w:val="clear" w:color="auto" w:fill="FFFFFF"/>
            <w:vAlign w:val="center"/>
          </w:tcPr>
          <w:p w14:paraId="2F8BB93E">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147" w:type="dxa"/>
            <w:vAlign w:val="center"/>
          </w:tcPr>
          <w:p w14:paraId="78F4CD54">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147" w:type="dxa"/>
            <w:vAlign w:val="center"/>
          </w:tcPr>
          <w:p w14:paraId="17A7ECDB">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154" w:type="dxa"/>
            <w:vAlign w:val="center"/>
          </w:tcPr>
          <w:p w14:paraId="00DA65B4">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p>
        </w:tc>
      </w:tr>
      <w:tr w14:paraId="4A27AD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0" w:hRule="atLeast"/>
          <w:jc w:val="center"/>
        </w:trPr>
        <w:tc>
          <w:tcPr>
            <w:tcW w:w="726" w:type="dxa"/>
            <w:vAlign w:val="center"/>
          </w:tcPr>
          <w:p w14:paraId="3C9B3C0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3.1</w:t>
            </w:r>
          </w:p>
        </w:tc>
        <w:tc>
          <w:tcPr>
            <w:tcW w:w="1987" w:type="dxa"/>
            <w:vAlign w:val="center"/>
          </w:tcPr>
          <w:p w14:paraId="3328DBED">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eastAsia="zh-CN"/>
              </w:rPr>
            </w:pPr>
            <w:r>
              <w:rPr>
                <w:rFonts w:hint="eastAsia" w:cs="宋体"/>
                <w:color w:val="auto"/>
                <w:spacing w:val="0"/>
                <w:w w:val="100"/>
                <w:position w:val="0"/>
                <w:sz w:val="24"/>
                <w:szCs w:val="24"/>
                <w:lang w:val="en-US" w:eastAsia="zh-CN"/>
              </w:rPr>
              <w:t>候车亭</w:t>
            </w:r>
          </w:p>
        </w:tc>
        <w:tc>
          <w:tcPr>
            <w:tcW w:w="1147" w:type="dxa"/>
            <w:shd w:val="clear" w:color="auto" w:fill="FFFFFF"/>
            <w:vAlign w:val="center"/>
          </w:tcPr>
          <w:p w14:paraId="0E24D71B">
            <w:pPr>
              <w:jc w:val="center"/>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13</w:t>
            </w:r>
          </w:p>
        </w:tc>
        <w:tc>
          <w:tcPr>
            <w:tcW w:w="1147" w:type="dxa"/>
            <w:shd w:val="clear" w:color="auto" w:fill="FFFFFF"/>
            <w:vAlign w:val="center"/>
          </w:tcPr>
          <w:p w14:paraId="57399DB0">
            <w:pPr>
              <w:jc w:val="center"/>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w:t>
            </w:r>
          </w:p>
        </w:tc>
        <w:tc>
          <w:tcPr>
            <w:tcW w:w="1147" w:type="dxa"/>
            <w:vAlign w:val="center"/>
          </w:tcPr>
          <w:p w14:paraId="14A29DE6">
            <w:pPr>
              <w:jc w:val="center"/>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7</w:t>
            </w:r>
          </w:p>
        </w:tc>
        <w:tc>
          <w:tcPr>
            <w:tcW w:w="1147" w:type="dxa"/>
            <w:vAlign w:val="center"/>
          </w:tcPr>
          <w:p w14:paraId="41074217">
            <w:pPr>
              <w:jc w:val="center"/>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9</w:t>
            </w:r>
          </w:p>
        </w:tc>
        <w:tc>
          <w:tcPr>
            <w:tcW w:w="1154" w:type="dxa"/>
            <w:vAlign w:val="center"/>
          </w:tcPr>
          <w:p w14:paraId="61544150">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p>
        </w:tc>
      </w:tr>
    </w:tbl>
    <w:p w14:paraId="28C98A28">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b/>
          <w:bCs/>
          <w:spacing w:val="0"/>
          <w:w w:val="100"/>
          <w:position w:val="0"/>
          <w:sz w:val="24"/>
          <w:szCs w:val="24"/>
          <w:highlight w:val="green"/>
        </w:rPr>
      </w:pPr>
    </w:p>
    <w:p w14:paraId="1882F20D">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pacing w:val="0"/>
          <w:w w:val="100"/>
          <w:position w:val="0"/>
          <w:sz w:val="24"/>
          <w:szCs w:val="24"/>
          <w:highlight w:val="none"/>
          <w:lang w:eastAsia="zh-CN"/>
        </w:rPr>
      </w:pPr>
      <w:r>
        <w:rPr>
          <w:rFonts w:hint="eastAsia" w:ascii="宋体" w:hAnsi="宋体" w:eastAsia="宋体" w:cs="宋体"/>
          <w:b/>
          <w:bCs/>
          <w:spacing w:val="0"/>
          <w:w w:val="100"/>
          <w:position w:val="0"/>
          <w:sz w:val="24"/>
          <w:szCs w:val="24"/>
          <w:highlight w:val="none"/>
        </w:rPr>
        <w:t>公路主要设施清单</w:t>
      </w:r>
      <w:r>
        <w:rPr>
          <w:rFonts w:hint="eastAsia" w:ascii="宋体" w:hAnsi="宋体" w:eastAsia="宋体" w:cs="宋体"/>
          <w:b/>
          <w:bCs/>
          <w:spacing w:val="0"/>
          <w:w w:val="100"/>
          <w:position w:val="0"/>
          <w:sz w:val="24"/>
          <w:szCs w:val="24"/>
          <w:highlight w:val="none"/>
          <w:lang w:eastAsia="zh-CN"/>
        </w:rPr>
        <w:t>（</w:t>
      </w:r>
      <w:r>
        <w:rPr>
          <w:rFonts w:hint="eastAsia" w:ascii="宋体" w:hAnsi="宋体" w:eastAsia="宋体" w:cs="宋体"/>
          <w:b/>
          <w:bCs/>
          <w:spacing w:val="0"/>
          <w:w w:val="100"/>
          <w:position w:val="0"/>
          <w:sz w:val="24"/>
          <w:szCs w:val="24"/>
          <w:highlight w:val="none"/>
          <w:lang w:val="en-US" w:eastAsia="zh-CN"/>
        </w:rPr>
        <w:t>B段</w:t>
      </w:r>
      <w:r>
        <w:rPr>
          <w:rFonts w:hint="eastAsia" w:ascii="宋体" w:hAnsi="宋体" w:eastAsia="宋体" w:cs="宋体"/>
          <w:b/>
          <w:bCs/>
          <w:spacing w:val="0"/>
          <w:w w:val="100"/>
          <w:position w:val="0"/>
          <w:sz w:val="24"/>
          <w:szCs w:val="24"/>
          <w:highlight w:val="none"/>
          <w:lang w:eastAsia="zh-CN"/>
        </w:rPr>
        <w:t>）</w:t>
      </w:r>
    </w:p>
    <w:tbl>
      <w:tblPr>
        <w:tblStyle w:val="25"/>
        <w:tblW w:w="879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65"/>
        <w:gridCol w:w="1821"/>
        <w:gridCol w:w="1051"/>
        <w:gridCol w:w="1051"/>
        <w:gridCol w:w="1051"/>
        <w:gridCol w:w="1051"/>
        <w:gridCol w:w="1051"/>
        <w:gridCol w:w="1057"/>
      </w:tblGrid>
      <w:tr w14:paraId="6BF5C1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77" w:hRule="atLeast"/>
          <w:tblHeader/>
          <w:jc w:val="center"/>
        </w:trPr>
        <w:tc>
          <w:tcPr>
            <w:tcW w:w="665" w:type="dxa"/>
            <w:shd w:val="clear" w:color="auto" w:fill="auto"/>
            <w:vAlign w:val="center"/>
          </w:tcPr>
          <w:p w14:paraId="7302B755">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rPr>
            </w:pPr>
            <w:r>
              <w:rPr>
                <w:rFonts w:hint="eastAsia" w:ascii="宋体" w:hAnsi="宋体" w:eastAsia="宋体" w:cs="宋体"/>
                <w:b/>
                <w:bCs/>
                <w:color w:val="auto"/>
                <w:spacing w:val="0"/>
                <w:w w:val="100"/>
                <w:position w:val="0"/>
                <w:sz w:val="24"/>
                <w:szCs w:val="24"/>
              </w:rPr>
              <w:t>编</w:t>
            </w:r>
          </w:p>
          <w:p w14:paraId="5583CB19">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auto"/>
                <w:spacing w:val="0"/>
                <w:w w:val="100"/>
                <w:kern w:val="0"/>
                <w:position w:val="0"/>
                <w:sz w:val="24"/>
                <w:szCs w:val="24"/>
                <w:highlight w:val="none"/>
                <w:lang w:val="en-US" w:eastAsia="en-US" w:bidi="ar-SA"/>
              </w:rPr>
            </w:pPr>
            <w:r>
              <w:rPr>
                <w:rFonts w:hint="eastAsia" w:ascii="宋体" w:hAnsi="宋体" w:eastAsia="宋体" w:cs="宋体"/>
                <w:b/>
                <w:bCs/>
                <w:color w:val="auto"/>
                <w:spacing w:val="0"/>
                <w:w w:val="100"/>
                <w:position w:val="0"/>
                <w:sz w:val="24"/>
                <w:szCs w:val="24"/>
              </w:rPr>
              <w:t>号</w:t>
            </w:r>
          </w:p>
        </w:tc>
        <w:tc>
          <w:tcPr>
            <w:tcW w:w="1821" w:type="dxa"/>
            <w:shd w:val="clear" w:color="auto" w:fill="auto"/>
            <w:vAlign w:val="center"/>
          </w:tcPr>
          <w:p w14:paraId="5E1BF5E5">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eastAsia" w:ascii="宋体" w:hAnsi="宋体" w:eastAsia="宋体" w:cs="宋体"/>
                <w:b/>
                <w:snapToGrid w:val="0"/>
                <w:color w:val="auto"/>
                <w:spacing w:val="0"/>
                <w:w w:val="100"/>
                <w:kern w:val="0"/>
                <w:position w:val="0"/>
                <w:sz w:val="24"/>
                <w:szCs w:val="24"/>
                <w:lang w:val="en-US" w:eastAsia="zh-CN" w:bidi="ar-SA"/>
              </w:rPr>
            </w:pPr>
            <w:r>
              <w:rPr>
                <w:rFonts w:hint="eastAsia" w:ascii="宋体" w:hAnsi="宋体" w:eastAsia="宋体" w:cs="宋体"/>
                <w:b/>
                <w:snapToGrid w:val="0"/>
                <w:color w:val="auto"/>
                <w:spacing w:val="0"/>
                <w:w w:val="100"/>
                <w:kern w:val="0"/>
                <w:position w:val="0"/>
                <w:sz w:val="24"/>
                <w:szCs w:val="24"/>
                <w:lang w:val="en-US" w:eastAsia="zh-CN" w:bidi="ar-SA"/>
              </w:rPr>
              <w:t>数量  线路</w:t>
            </w:r>
          </w:p>
          <w:p w14:paraId="6652319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eastAsia" w:ascii="宋体" w:hAnsi="宋体" w:eastAsia="宋体" w:cs="宋体"/>
                <w:b/>
                <w:snapToGrid w:val="0"/>
                <w:color w:val="auto"/>
                <w:spacing w:val="0"/>
                <w:w w:val="100"/>
                <w:kern w:val="0"/>
                <w:position w:val="0"/>
                <w:sz w:val="24"/>
                <w:szCs w:val="24"/>
                <w:highlight w:val="none"/>
                <w:lang w:val="en-US" w:eastAsia="zh-CN" w:bidi="ar-SA"/>
              </w:rPr>
            </w:pPr>
            <w:r>
              <w:rPr>
                <w:rFonts w:hint="eastAsia" w:ascii="宋体" w:hAnsi="宋体" w:eastAsia="宋体" w:cs="宋体"/>
                <w:b/>
                <w:snapToGrid w:val="0"/>
                <w:color w:val="auto"/>
                <w:spacing w:val="0"/>
                <w:w w:val="100"/>
                <w:kern w:val="0"/>
                <w:position w:val="0"/>
                <w:sz w:val="24"/>
                <w:szCs w:val="24"/>
                <w:lang w:val="en-US" w:eastAsia="zh-CN" w:bidi="ar-SA"/>
              </w:rPr>
              <w:t>类型</w:t>
            </w:r>
          </w:p>
        </w:tc>
        <w:tc>
          <w:tcPr>
            <w:tcW w:w="1051" w:type="dxa"/>
            <w:shd w:val="clear" w:color="auto" w:fill="auto"/>
            <w:vAlign w:val="center"/>
          </w:tcPr>
          <w:p w14:paraId="4D69DEF3">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lang w:val="en-US" w:eastAsia="zh-CN"/>
              </w:rPr>
            </w:pPr>
          </w:p>
          <w:p w14:paraId="4B4B0C18">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bCs w:val="0"/>
                <w:snapToGrid w:val="0"/>
                <w:color w:val="auto"/>
                <w:spacing w:val="0"/>
                <w:w w:val="100"/>
                <w:kern w:val="0"/>
                <w:position w:val="0"/>
                <w:sz w:val="24"/>
                <w:szCs w:val="24"/>
                <w:highlight w:val="none"/>
                <w:lang w:val="en-US" w:eastAsia="en-US" w:bidi="ar-SA"/>
              </w:rPr>
            </w:pPr>
            <w:r>
              <w:rPr>
                <w:rFonts w:hint="eastAsia" w:ascii="宋体" w:hAnsi="宋体" w:eastAsia="宋体" w:cs="宋体"/>
                <w:b/>
                <w:bCs/>
                <w:color w:val="auto"/>
                <w:spacing w:val="0"/>
                <w:w w:val="100"/>
                <w:position w:val="0"/>
                <w:sz w:val="24"/>
                <w:szCs w:val="24"/>
                <w:lang w:val="en-US" w:eastAsia="zh-CN"/>
              </w:rPr>
              <w:t xml:space="preserve">G241线 </w:t>
            </w:r>
          </w:p>
        </w:tc>
        <w:tc>
          <w:tcPr>
            <w:tcW w:w="1051" w:type="dxa"/>
            <w:shd w:val="clear" w:color="auto" w:fill="auto"/>
            <w:vAlign w:val="center"/>
          </w:tcPr>
          <w:p w14:paraId="183A01ED">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spacing w:val="0"/>
                <w:w w:val="100"/>
                <w:position w:val="0"/>
                <w:sz w:val="24"/>
                <w:szCs w:val="24"/>
                <w:lang w:val="en-US" w:eastAsia="zh-CN"/>
              </w:rPr>
            </w:pPr>
            <w:r>
              <w:rPr>
                <w:rFonts w:hint="default" w:ascii="宋体" w:hAnsi="宋体" w:eastAsia="宋体" w:cs="宋体"/>
                <w:b/>
                <w:bCs/>
                <w:snapToGrid w:val="0"/>
                <w:color w:val="auto"/>
                <w:spacing w:val="0"/>
                <w:w w:val="100"/>
                <w:kern w:val="0"/>
                <w:position w:val="0"/>
                <w:sz w:val="24"/>
                <w:szCs w:val="24"/>
                <w:lang w:val="en-US" w:eastAsia="en-US" w:bidi="ar-SA"/>
              </w:rPr>
              <w:t>G323线</w:t>
            </w:r>
          </w:p>
        </w:tc>
        <w:tc>
          <w:tcPr>
            <w:tcW w:w="1051" w:type="dxa"/>
            <w:shd w:val="clear" w:color="auto" w:fill="auto"/>
            <w:vAlign w:val="center"/>
          </w:tcPr>
          <w:p w14:paraId="3B7B4D9D">
            <w:pPr>
              <w:keepNext w:val="0"/>
              <w:keepLines w:val="0"/>
              <w:pageBreakBefore w:val="0"/>
              <w:widowControl w:val="0"/>
              <w:tabs>
                <w:tab w:val="left" w:pos="598"/>
              </w:tabs>
              <w:kinsoku/>
              <w:wordWrap w:val="0"/>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eastAsia" w:asciiTheme="minorEastAsia" w:hAnsiTheme="minorEastAsia" w:eastAsiaTheme="minorEastAsia" w:cstheme="minorEastAsia"/>
                <w:b/>
                <w:bCs w:val="0"/>
                <w:snapToGrid w:val="0"/>
                <w:color w:val="auto"/>
                <w:spacing w:val="0"/>
                <w:w w:val="100"/>
                <w:kern w:val="0"/>
                <w:position w:val="0"/>
                <w:sz w:val="24"/>
                <w:szCs w:val="24"/>
                <w:highlight w:val="none"/>
                <w:lang w:val="en-US" w:eastAsia="en-US" w:bidi="ar-SA"/>
              </w:rPr>
            </w:pPr>
            <w:r>
              <w:rPr>
                <w:rFonts w:hint="eastAsia" w:ascii="宋体" w:hAnsi="宋体" w:eastAsia="宋体" w:cs="宋体"/>
                <w:b/>
                <w:bCs/>
                <w:snapToGrid w:val="0"/>
                <w:color w:val="auto"/>
                <w:spacing w:val="0"/>
                <w:w w:val="100"/>
                <w:kern w:val="0"/>
                <w:position w:val="0"/>
                <w:sz w:val="24"/>
                <w:szCs w:val="24"/>
                <w:lang w:val="en-US" w:eastAsia="zh-CN" w:bidi="ar-SA"/>
              </w:rPr>
              <w:t>S202线</w:t>
            </w:r>
          </w:p>
        </w:tc>
        <w:tc>
          <w:tcPr>
            <w:tcW w:w="1051" w:type="dxa"/>
            <w:shd w:val="clear" w:color="auto" w:fill="auto"/>
            <w:vAlign w:val="center"/>
          </w:tcPr>
          <w:p w14:paraId="53A097C5">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bCs w:val="0"/>
                <w:i w:val="0"/>
                <w:iCs w:val="0"/>
                <w:snapToGrid w:val="0"/>
                <w:color w:val="auto"/>
                <w:kern w:val="0"/>
                <w:sz w:val="24"/>
                <w:szCs w:val="24"/>
                <w:highlight w:val="none"/>
                <w:u w:val="none"/>
                <w:lang w:val="en-US" w:eastAsia="zh-CN" w:bidi="ar"/>
              </w:rPr>
            </w:pPr>
            <w:r>
              <w:rPr>
                <w:rFonts w:hint="default" w:ascii="宋体" w:hAnsi="宋体" w:eastAsia="宋体" w:cs="宋体"/>
                <w:b/>
                <w:bCs/>
                <w:snapToGrid w:val="0"/>
                <w:color w:val="auto"/>
                <w:spacing w:val="0"/>
                <w:w w:val="100"/>
                <w:kern w:val="0"/>
                <w:position w:val="0"/>
                <w:sz w:val="24"/>
                <w:szCs w:val="24"/>
                <w:lang w:val="en-US" w:eastAsia="en-US" w:bidi="ar-SA"/>
              </w:rPr>
              <w:t>S302线</w:t>
            </w:r>
          </w:p>
        </w:tc>
        <w:tc>
          <w:tcPr>
            <w:tcW w:w="1051" w:type="dxa"/>
            <w:shd w:val="clear" w:color="auto" w:fill="auto"/>
            <w:vAlign w:val="center"/>
          </w:tcPr>
          <w:p w14:paraId="0E8854D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bCs w:val="0"/>
                <w:i w:val="0"/>
                <w:iCs w:val="0"/>
                <w:snapToGrid w:val="0"/>
                <w:color w:val="auto"/>
                <w:kern w:val="0"/>
                <w:sz w:val="24"/>
                <w:szCs w:val="24"/>
                <w:highlight w:val="none"/>
                <w:u w:val="none"/>
                <w:lang w:val="en-US" w:eastAsia="zh-CN" w:bidi="ar"/>
              </w:rPr>
            </w:pPr>
            <w:r>
              <w:rPr>
                <w:rFonts w:hint="default" w:ascii="宋体" w:hAnsi="宋体" w:eastAsia="宋体" w:cs="宋体"/>
                <w:b/>
                <w:bCs/>
                <w:snapToGrid w:val="0"/>
                <w:color w:val="auto"/>
                <w:spacing w:val="0"/>
                <w:w w:val="100"/>
                <w:kern w:val="0"/>
                <w:position w:val="0"/>
                <w:sz w:val="24"/>
                <w:szCs w:val="24"/>
                <w:lang w:val="en-US" w:eastAsia="zh-CN" w:bidi="ar-SA"/>
              </w:rPr>
              <w:t>S502线</w:t>
            </w:r>
          </w:p>
        </w:tc>
        <w:tc>
          <w:tcPr>
            <w:tcW w:w="1057" w:type="dxa"/>
            <w:shd w:val="clear" w:color="auto" w:fill="auto"/>
            <w:vAlign w:val="center"/>
          </w:tcPr>
          <w:p w14:paraId="44064B2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auto"/>
                <w:spacing w:val="0"/>
                <w:w w:val="100"/>
                <w:kern w:val="0"/>
                <w:position w:val="0"/>
                <w:sz w:val="24"/>
                <w:szCs w:val="24"/>
                <w:highlight w:val="none"/>
                <w:lang w:val="en-US" w:eastAsia="en-US" w:bidi="ar-SA"/>
              </w:rPr>
            </w:pPr>
            <w:r>
              <w:rPr>
                <w:rFonts w:hint="eastAsia" w:ascii="宋体" w:hAnsi="宋体" w:eastAsia="宋体" w:cs="宋体"/>
                <w:b/>
                <w:bCs/>
                <w:color w:val="auto"/>
                <w:spacing w:val="0"/>
                <w:w w:val="100"/>
                <w:position w:val="0"/>
                <w:sz w:val="24"/>
                <w:szCs w:val="24"/>
              </w:rPr>
              <w:t>备注</w:t>
            </w:r>
          </w:p>
        </w:tc>
      </w:tr>
      <w:tr w14:paraId="44169E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4" w:hRule="atLeast"/>
          <w:jc w:val="center"/>
        </w:trPr>
        <w:tc>
          <w:tcPr>
            <w:tcW w:w="665" w:type="dxa"/>
            <w:vAlign w:val="center"/>
          </w:tcPr>
          <w:p w14:paraId="5F6CF91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9"/>
              <w:rPr>
                <w:rFonts w:hint="eastAsia" w:ascii="宋体" w:hAnsi="宋体" w:eastAsia="宋体" w:cs="宋体"/>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rPr>
              <w:t>1</w:t>
            </w:r>
          </w:p>
        </w:tc>
        <w:tc>
          <w:tcPr>
            <w:tcW w:w="1821" w:type="dxa"/>
            <w:vAlign w:val="center"/>
          </w:tcPr>
          <w:p w14:paraId="137AD7E0">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rPr>
              <w:t>桥梁、涵洞</w:t>
            </w:r>
          </w:p>
        </w:tc>
        <w:tc>
          <w:tcPr>
            <w:tcW w:w="1051" w:type="dxa"/>
            <w:vAlign w:val="center"/>
          </w:tcPr>
          <w:p w14:paraId="6A1B4C08">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1" w:type="dxa"/>
            <w:vAlign w:val="center"/>
          </w:tcPr>
          <w:p w14:paraId="1A0863E0">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1" w:type="dxa"/>
            <w:vAlign w:val="center"/>
          </w:tcPr>
          <w:p w14:paraId="4644458D">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1" w:type="dxa"/>
            <w:vAlign w:val="center"/>
          </w:tcPr>
          <w:p w14:paraId="7B17759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1" w:type="dxa"/>
            <w:vAlign w:val="center"/>
          </w:tcPr>
          <w:p w14:paraId="3CC38DC6">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7" w:type="dxa"/>
            <w:vAlign w:val="center"/>
          </w:tcPr>
          <w:p w14:paraId="493DB946">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p>
        </w:tc>
      </w:tr>
      <w:tr w14:paraId="252A20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50" w:hRule="atLeast"/>
          <w:jc w:val="center"/>
        </w:trPr>
        <w:tc>
          <w:tcPr>
            <w:tcW w:w="665" w:type="dxa"/>
            <w:vAlign w:val="center"/>
          </w:tcPr>
          <w:p w14:paraId="7E51B9D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rPr>
              <w:t>1.1</w:t>
            </w:r>
          </w:p>
        </w:tc>
        <w:tc>
          <w:tcPr>
            <w:tcW w:w="1821" w:type="dxa"/>
            <w:vAlign w:val="center"/>
          </w:tcPr>
          <w:p w14:paraId="7F1033F3">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rPr>
              <w:t>桥梁</w:t>
            </w:r>
          </w:p>
        </w:tc>
        <w:tc>
          <w:tcPr>
            <w:tcW w:w="1051" w:type="dxa"/>
            <w:vAlign w:val="center"/>
          </w:tcPr>
          <w:p w14:paraId="0B183660">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 xml:space="preserve">6 </w:t>
            </w:r>
          </w:p>
        </w:tc>
        <w:tc>
          <w:tcPr>
            <w:tcW w:w="1051" w:type="dxa"/>
            <w:vAlign w:val="center"/>
          </w:tcPr>
          <w:p w14:paraId="786DA45B">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4</w:t>
            </w:r>
          </w:p>
        </w:tc>
        <w:tc>
          <w:tcPr>
            <w:tcW w:w="1051" w:type="dxa"/>
            <w:vAlign w:val="center"/>
          </w:tcPr>
          <w:p w14:paraId="432F5509">
            <w:pPr>
              <w:keepNext w:val="0"/>
              <w:keepLines w:val="0"/>
              <w:widowControl/>
              <w:suppressLineNumbers w:val="0"/>
              <w:jc w:val="center"/>
              <w:textAlignment w:val="top"/>
              <w:rPr>
                <w:rFonts w:hint="default" w:asciiTheme="minorEastAsia" w:hAnsiTheme="minorEastAsia" w:eastAsiaTheme="minorEastAsia" w:cstheme="minorEastAsia"/>
                <w:b w:val="0"/>
                <w:bCs/>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lang w:val="en-US" w:eastAsia="zh-CN"/>
              </w:rPr>
              <w:t>1</w:t>
            </w:r>
          </w:p>
        </w:tc>
        <w:tc>
          <w:tcPr>
            <w:tcW w:w="1051" w:type="dxa"/>
            <w:vAlign w:val="center"/>
          </w:tcPr>
          <w:p w14:paraId="5FCA48F5">
            <w:pPr>
              <w:keepNext w:val="0"/>
              <w:keepLines w:val="0"/>
              <w:widowControl/>
              <w:suppressLineNumbers w:val="0"/>
              <w:jc w:val="center"/>
              <w:textAlignment w:val="top"/>
              <w:rPr>
                <w:rFonts w:hint="default" w:asciiTheme="minorEastAsia" w:hAnsiTheme="minorEastAsia" w:eastAsiaTheme="minorEastAsia" w:cstheme="minorEastAsia"/>
                <w:b w:val="0"/>
                <w:bCs/>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lang w:val="en-US" w:eastAsia="zh-CN"/>
              </w:rPr>
              <w:t>7</w:t>
            </w:r>
          </w:p>
        </w:tc>
        <w:tc>
          <w:tcPr>
            <w:tcW w:w="1051" w:type="dxa"/>
            <w:vAlign w:val="center"/>
          </w:tcPr>
          <w:p w14:paraId="141337E3">
            <w:pPr>
              <w:keepNext w:val="0"/>
              <w:keepLines w:val="0"/>
              <w:widowControl/>
              <w:suppressLineNumbers w:val="0"/>
              <w:jc w:val="center"/>
              <w:textAlignment w:val="top"/>
              <w:rPr>
                <w:rFonts w:hint="default" w:asciiTheme="minorEastAsia" w:hAnsiTheme="minorEastAsia" w:eastAsiaTheme="minorEastAsia" w:cstheme="minorEastAsia"/>
                <w:b w:val="0"/>
                <w:bCs/>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lang w:val="en-US" w:eastAsia="zh-CN"/>
              </w:rPr>
              <w:t>4</w:t>
            </w:r>
          </w:p>
        </w:tc>
        <w:tc>
          <w:tcPr>
            <w:tcW w:w="1057" w:type="dxa"/>
            <w:vAlign w:val="center"/>
          </w:tcPr>
          <w:p w14:paraId="7A8F5FC1">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p>
        </w:tc>
      </w:tr>
      <w:tr w14:paraId="61C414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4" w:hRule="atLeast"/>
          <w:jc w:val="center"/>
        </w:trPr>
        <w:tc>
          <w:tcPr>
            <w:tcW w:w="665" w:type="dxa"/>
            <w:vAlign w:val="center"/>
          </w:tcPr>
          <w:p w14:paraId="092548F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rPr>
              <w:t>1.2</w:t>
            </w:r>
          </w:p>
        </w:tc>
        <w:tc>
          <w:tcPr>
            <w:tcW w:w="1821" w:type="dxa"/>
            <w:vAlign w:val="center"/>
          </w:tcPr>
          <w:p w14:paraId="70A9C81C">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rPr>
              <w:t>涵洞</w:t>
            </w:r>
          </w:p>
        </w:tc>
        <w:tc>
          <w:tcPr>
            <w:tcW w:w="1051" w:type="dxa"/>
            <w:vAlign w:val="center"/>
          </w:tcPr>
          <w:p w14:paraId="5DD96361">
            <w:pPr>
              <w:keepNext w:val="0"/>
              <w:keepLines w:val="0"/>
              <w:widowControl/>
              <w:suppressLineNumbers w:val="0"/>
              <w:jc w:val="center"/>
              <w:textAlignment w:val="top"/>
              <w:rPr>
                <w:rFonts w:hint="default" w:asciiTheme="minorEastAsia" w:hAnsiTheme="minorEastAsia" w:eastAsiaTheme="minorEastAsia" w:cstheme="minorEastAsia"/>
                <w:b w:val="0"/>
                <w:bCs/>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lang w:val="en-US" w:eastAsia="zh-CN"/>
              </w:rPr>
              <w:t xml:space="preserve">77 </w:t>
            </w:r>
          </w:p>
        </w:tc>
        <w:tc>
          <w:tcPr>
            <w:tcW w:w="1051" w:type="dxa"/>
            <w:vAlign w:val="center"/>
          </w:tcPr>
          <w:p w14:paraId="3EC85E81">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113</w:t>
            </w:r>
          </w:p>
        </w:tc>
        <w:tc>
          <w:tcPr>
            <w:tcW w:w="1051" w:type="dxa"/>
            <w:vAlign w:val="center"/>
          </w:tcPr>
          <w:p w14:paraId="0DED7462">
            <w:pPr>
              <w:keepNext w:val="0"/>
              <w:keepLines w:val="0"/>
              <w:widowControl/>
              <w:suppressLineNumbers w:val="0"/>
              <w:jc w:val="center"/>
              <w:textAlignment w:val="top"/>
              <w:rPr>
                <w:rFonts w:hint="default" w:asciiTheme="minorEastAsia" w:hAnsiTheme="minorEastAsia" w:eastAsiaTheme="minorEastAsia" w:cstheme="minorEastAsia"/>
                <w:b w:val="0"/>
                <w:bCs/>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lang w:val="en-US" w:eastAsia="zh-CN"/>
              </w:rPr>
              <w:t>5</w:t>
            </w:r>
          </w:p>
        </w:tc>
        <w:tc>
          <w:tcPr>
            <w:tcW w:w="1051" w:type="dxa"/>
            <w:vAlign w:val="center"/>
          </w:tcPr>
          <w:p w14:paraId="394F843F">
            <w:pPr>
              <w:keepNext w:val="0"/>
              <w:keepLines w:val="0"/>
              <w:widowControl/>
              <w:suppressLineNumbers w:val="0"/>
              <w:jc w:val="center"/>
              <w:textAlignment w:val="top"/>
              <w:rPr>
                <w:rFonts w:hint="default" w:asciiTheme="minorEastAsia" w:hAnsiTheme="minorEastAsia" w:eastAsiaTheme="minorEastAsia" w:cstheme="minorEastAsia"/>
                <w:b w:val="0"/>
                <w:bCs/>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lang w:val="en-US" w:eastAsia="zh-CN"/>
              </w:rPr>
              <w:t>73</w:t>
            </w:r>
          </w:p>
        </w:tc>
        <w:tc>
          <w:tcPr>
            <w:tcW w:w="1051" w:type="dxa"/>
            <w:vAlign w:val="center"/>
          </w:tcPr>
          <w:p w14:paraId="3E3ABB4D">
            <w:pPr>
              <w:keepNext w:val="0"/>
              <w:keepLines w:val="0"/>
              <w:widowControl/>
              <w:suppressLineNumbers w:val="0"/>
              <w:jc w:val="center"/>
              <w:textAlignment w:val="top"/>
              <w:rPr>
                <w:rFonts w:hint="default" w:asciiTheme="minorEastAsia" w:hAnsiTheme="minorEastAsia" w:eastAsiaTheme="minorEastAsia" w:cstheme="minorEastAsia"/>
                <w:b w:val="0"/>
                <w:bCs/>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lang w:val="en-US" w:eastAsia="zh-CN"/>
              </w:rPr>
              <w:t>84</w:t>
            </w:r>
          </w:p>
        </w:tc>
        <w:tc>
          <w:tcPr>
            <w:tcW w:w="1057" w:type="dxa"/>
            <w:vAlign w:val="center"/>
          </w:tcPr>
          <w:p w14:paraId="3A18BEDC">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p>
        </w:tc>
      </w:tr>
      <w:tr w14:paraId="468BD2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4" w:hRule="atLeast"/>
          <w:jc w:val="center"/>
        </w:trPr>
        <w:tc>
          <w:tcPr>
            <w:tcW w:w="665" w:type="dxa"/>
            <w:vAlign w:val="center"/>
          </w:tcPr>
          <w:p w14:paraId="0FE03C0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rPr>
              <w:t>2</w:t>
            </w:r>
          </w:p>
        </w:tc>
        <w:tc>
          <w:tcPr>
            <w:tcW w:w="1821" w:type="dxa"/>
            <w:vAlign w:val="center"/>
          </w:tcPr>
          <w:p w14:paraId="365E270B">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b/>
                <w:bCs/>
                <w:color w:val="auto"/>
                <w:spacing w:val="0"/>
                <w:w w:val="100"/>
                <w:position w:val="0"/>
                <w:sz w:val="24"/>
                <w:szCs w:val="24"/>
              </w:rPr>
              <w:t>隧道</w:t>
            </w:r>
          </w:p>
        </w:tc>
        <w:tc>
          <w:tcPr>
            <w:tcW w:w="1051" w:type="dxa"/>
            <w:vAlign w:val="center"/>
          </w:tcPr>
          <w:p w14:paraId="28546D6F">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1" w:type="dxa"/>
            <w:vAlign w:val="center"/>
          </w:tcPr>
          <w:p w14:paraId="754E827F">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1" w:type="dxa"/>
            <w:vAlign w:val="center"/>
          </w:tcPr>
          <w:p w14:paraId="0239F127">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1" w:type="dxa"/>
            <w:shd w:val="clear" w:color="auto" w:fill="FFFFFF"/>
            <w:vAlign w:val="center"/>
          </w:tcPr>
          <w:p w14:paraId="18791CA8">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1" w:type="dxa"/>
            <w:shd w:val="clear" w:color="auto" w:fill="FFFFFF"/>
            <w:vAlign w:val="center"/>
          </w:tcPr>
          <w:p w14:paraId="47F14E2B">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7" w:type="dxa"/>
            <w:shd w:val="clear" w:color="auto" w:fill="FFFFFF"/>
            <w:vAlign w:val="center"/>
          </w:tcPr>
          <w:p w14:paraId="21130C3B">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p>
        </w:tc>
      </w:tr>
      <w:tr w14:paraId="21FAAE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4" w:hRule="atLeast"/>
          <w:jc w:val="center"/>
        </w:trPr>
        <w:tc>
          <w:tcPr>
            <w:tcW w:w="665" w:type="dxa"/>
            <w:vAlign w:val="center"/>
          </w:tcPr>
          <w:p w14:paraId="45DA43B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rPr>
              <w:t>2.1</w:t>
            </w:r>
          </w:p>
        </w:tc>
        <w:tc>
          <w:tcPr>
            <w:tcW w:w="1821" w:type="dxa"/>
            <w:vAlign w:val="center"/>
          </w:tcPr>
          <w:p w14:paraId="51D9BEE9">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eastAsia="zh-CN"/>
              </w:rPr>
            </w:pPr>
            <w:r>
              <w:rPr>
                <w:rFonts w:hint="eastAsia" w:ascii="宋体" w:hAnsi="宋体" w:eastAsia="宋体" w:cs="宋体"/>
                <w:color w:val="auto"/>
                <w:spacing w:val="0"/>
                <w:w w:val="100"/>
                <w:position w:val="0"/>
                <w:sz w:val="24"/>
                <w:szCs w:val="24"/>
              </w:rPr>
              <w:t>隧道</w:t>
            </w:r>
          </w:p>
        </w:tc>
        <w:tc>
          <w:tcPr>
            <w:tcW w:w="1051" w:type="dxa"/>
            <w:vAlign w:val="center"/>
          </w:tcPr>
          <w:p w14:paraId="5A4B1581">
            <w:pPr>
              <w:jc w:val="center"/>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 xml:space="preserve">/ </w:t>
            </w:r>
          </w:p>
        </w:tc>
        <w:tc>
          <w:tcPr>
            <w:tcW w:w="1051" w:type="dxa"/>
            <w:vAlign w:val="center"/>
          </w:tcPr>
          <w:p w14:paraId="35A22026">
            <w:pPr>
              <w:jc w:val="center"/>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w:t>
            </w:r>
          </w:p>
        </w:tc>
        <w:tc>
          <w:tcPr>
            <w:tcW w:w="1051" w:type="dxa"/>
            <w:vAlign w:val="center"/>
          </w:tcPr>
          <w:p w14:paraId="4A97053C">
            <w:pPr>
              <w:jc w:val="center"/>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w:t>
            </w:r>
          </w:p>
        </w:tc>
        <w:tc>
          <w:tcPr>
            <w:tcW w:w="1051" w:type="dxa"/>
            <w:shd w:val="clear" w:color="auto" w:fill="FFFFFF"/>
            <w:vAlign w:val="center"/>
          </w:tcPr>
          <w:p w14:paraId="6018B227">
            <w:pPr>
              <w:jc w:val="center"/>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w:t>
            </w:r>
          </w:p>
        </w:tc>
        <w:tc>
          <w:tcPr>
            <w:tcW w:w="1051" w:type="dxa"/>
            <w:shd w:val="clear" w:color="auto" w:fill="FFFFFF"/>
            <w:vAlign w:val="center"/>
          </w:tcPr>
          <w:p w14:paraId="3BEB6D52">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w:t>
            </w:r>
          </w:p>
        </w:tc>
        <w:tc>
          <w:tcPr>
            <w:tcW w:w="1057" w:type="dxa"/>
            <w:shd w:val="clear" w:color="auto" w:fill="FFFFFF"/>
            <w:vAlign w:val="center"/>
          </w:tcPr>
          <w:p w14:paraId="5ECFDFC0">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p>
        </w:tc>
      </w:tr>
      <w:tr w14:paraId="27854C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4" w:hRule="atLeast"/>
          <w:jc w:val="center"/>
        </w:trPr>
        <w:tc>
          <w:tcPr>
            <w:tcW w:w="665" w:type="dxa"/>
            <w:vAlign w:val="center"/>
          </w:tcPr>
          <w:p w14:paraId="0D0F2A61">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rPr>
              <w:t>3</w:t>
            </w:r>
          </w:p>
        </w:tc>
        <w:tc>
          <w:tcPr>
            <w:tcW w:w="1821" w:type="dxa"/>
            <w:vAlign w:val="center"/>
          </w:tcPr>
          <w:p w14:paraId="09E7750A">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rPr>
              <w:t>服务设施</w:t>
            </w:r>
          </w:p>
        </w:tc>
        <w:tc>
          <w:tcPr>
            <w:tcW w:w="1051" w:type="dxa"/>
            <w:vAlign w:val="center"/>
          </w:tcPr>
          <w:p w14:paraId="59E91B4B">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1" w:type="dxa"/>
            <w:shd w:val="clear" w:color="auto" w:fill="FFFFFF"/>
            <w:vAlign w:val="center"/>
          </w:tcPr>
          <w:p w14:paraId="2617BC7D">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1" w:type="dxa"/>
            <w:shd w:val="clear" w:color="auto" w:fill="FFFFFF"/>
            <w:vAlign w:val="center"/>
          </w:tcPr>
          <w:p w14:paraId="2C76EAB1">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1" w:type="dxa"/>
            <w:vAlign w:val="center"/>
          </w:tcPr>
          <w:p w14:paraId="247BF803">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1" w:type="dxa"/>
            <w:vAlign w:val="center"/>
          </w:tcPr>
          <w:p w14:paraId="65F382A1">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Theme="minorEastAsia" w:hAnsiTheme="minorEastAsia" w:eastAsiaTheme="minorEastAsia" w:cstheme="minorEastAsia"/>
                <w:b w:val="0"/>
                <w:bCs/>
                <w:color w:val="auto"/>
                <w:spacing w:val="0"/>
                <w:w w:val="100"/>
                <w:position w:val="0"/>
                <w:sz w:val="24"/>
                <w:szCs w:val="24"/>
                <w:highlight w:val="none"/>
              </w:rPr>
            </w:pPr>
          </w:p>
        </w:tc>
        <w:tc>
          <w:tcPr>
            <w:tcW w:w="1057" w:type="dxa"/>
            <w:vAlign w:val="center"/>
          </w:tcPr>
          <w:p w14:paraId="163EAD22">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p>
        </w:tc>
      </w:tr>
      <w:tr w14:paraId="6F2F4E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3" w:hRule="atLeast"/>
          <w:jc w:val="center"/>
        </w:trPr>
        <w:tc>
          <w:tcPr>
            <w:tcW w:w="665" w:type="dxa"/>
            <w:vAlign w:val="center"/>
          </w:tcPr>
          <w:p w14:paraId="12F4D29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3.1</w:t>
            </w:r>
          </w:p>
        </w:tc>
        <w:tc>
          <w:tcPr>
            <w:tcW w:w="1821" w:type="dxa"/>
            <w:vAlign w:val="center"/>
          </w:tcPr>
          <w:p w14:paraId="1B58E0D3">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highlight w:val="none"/>
                <w:lang w:eastAsia="zh-CN"/>
              </w:rPr>
            </w:pPr>
            <w:r>
              <w:rPr>
                <w:rFonts w:hint="eastAsia" w:cs="宋体"/>
                <w:color w:val="auto"/>
                <w:spacing w:val="0"/>
                <w:w w:val="100"/>
                <w:position w:val="0"/>
                <w:sz w:val="24"/>
                <w:szCs w:val="24"/>
                <w:lang w:val="en-US" w:eastAsia="zh-CN"/>
              </w:rPr>
              <w:t>停车区</w:t>
            </w:r>
          </w:p>
        </w:tc>
        <w:tc>
          <w:tcPr>
            <w:tcW w:w="1051" w:type="dxa"/>
            <w:shd w:val="clear" w:color="auto" w:fill="FFFFFF"/>
            <w:vAlign w:val="center"/>
          </w:tcPr>
          <w:p w14:paraId="5A80FEE6">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 xml:space="preserve"> / </w:t>
            </w:r>
          </w:p>
        </w:tc>
        <w:tc>
          <w:tcPr>
            <w:tcW w:w="1051" w:type="dxa"/>
            <w:shd w:val="clear" w:color="auto" w:fill="FFFFFF"/>
            <w:vAlign w:val="center"/>
          </w:tcPr>
          <w:p w14:paraId="05D4C94D">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w:t>
            </w:r>
          </w:p>
        </w:tc>
        <w:tc>
          <w:tcPr>
            <w:tcW w:w="1051" w:type="dxa"/>
            <w:shd w:val="clear" w:color="auto" w:fill="FFFFFF"/>
            <w:vAlign w:val="center"/>
          </w:tcPr>
          <w:p w14:paraId="49C459CB">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 xml:space="preserve">/ </w:t>
            </w:r>
          </w:p>
        </w:tc>
        <w:tc>
          <w:tcPr>
            <w:tcW w:w="1051" w:type="dxa"/>
            <w:vAlign w:val="center"/>
          </w:tcPr>
          <w:p w14:paraId="4D5E6A67">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 xml:space="preserve">/ </w:t>
            </w:r>
          </w:p>
        </w:tc>
        <w:tc>
          <w:tcPr>
            <w:tcW w:w="1051" w:type="dxa"/>
            <w:vAlign w:val="center"/>
          </w:tcPr>
          <w:p w14:paraId="681FB22F">
            <w:pPr>
              <w:keepNext w:val="0"/>
              <w:keepLines w:val="0"/>
              <w:widowControl/>
              <w:suppressLineNumbers w:val="0"/>
              <w:jc w:val="center"/>
              <w:textAlignment w:val="top"/>
              <w:rPr>
                <w:rFonts w:hint="eastAsia" w:asciiTheme="minorEastAsia" w:hAnsiTheme="minorEastAsia" w:eastAsiaTheme="minorEastAsia" w:cstheme="minorEastAsia"/>
                <w:b w:val="0"/>
                <w:bCs/>
                <w:color w:val="auto"/>
                <w:spacing w:val="0"/>
                <w:w w:val="100"/>
                <w:position w:val="0"/>
                <w:sz w:val="24"/>
                <w:szCs w:val="24"/>
                <w:highlight w:val="none"/>
              </w:rPr>
            </w:pPr>
            <w:r>
              <w:rPr>
                <w:rFonts w:hint="eastAsia" w:ascii="宋体" w:hAnsi="宋体" w:eastAsia="宋体" w:cs="宋体"/>
                <w:color w:val="auto"/>
                <w:spacing w:val="0"/>
                <w:w w:val="100"/>
                <w:position w:val="0"/>
                <w:sz w:val="24"/>
                <w:szCs w:val="24"/>
                <w:lang w:val="en-US" w:eastAsia="zh-CN"/>
              </w:rPr>
              <w:t xml:space="preserve">/ </w:t>
            </w:r>
          </w:p>
        </w:tc>
        <w:tc>
          <w:tcPr>
            <w:tcW w:w="1057" w:type="dxa"/>
            <w:vAlign w:val="center"/>
          </w:tcPr>
          <w:p w14:paraId="7C503AF5">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both"/>
              <w:textAlignment w:val="baseline"/>
              <w:rPr>
                <w:rFonts w:hint="eastAsia" w:ascii="宋体" w:hAnsi="宋体" w:eastAsia="宋体" w:cs="宋体"/>
                <w:color w:val="auto"/>
                <w:spacing w:val="0"/>
                <w:w w:val="100"/>
                <w:position w:val="0"/>
                <w:sz w:val="24"/>
                <w:szCs w:val="24"/>
                <w:highlight w:val="none"/>
              </w:rPr>
            </w:pPr>
          </w:p>
        </w:tc>
      </w:tr>
      <w:tr w14:paraId="5D9F10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93" w:hRule="atLeast"/>
          <w:jc w:val="center"/>
        </w:trPr>
        <w:tc>
          <w:tcPr>
            <w:tcW w:w="665" w:type="dxa"/>
            <w:vAlign w:val="center"/>
          </w:tcPr>
          <w:p w14:paraId="656AA3CB">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3.2</w:t>
            </w:r>
          </w:p>
        </w:tc>
        <w:tc>
          <w:tcPr>
            <w:tcW w:w="1821" w:type="dxa"/>
            <w:vAlign w:val="center"/>
          </w:tcPr>
          <w:p w14:paraId="3DF9941C">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cs="宋体"/>
                <w:color w:val="auto"/>
                <w:spacing w:val="0"/>
                <w:w w:val="100"/>
                <w:position w:val="0"/>
                <w:sz w:val="24"/>
                <w:szCs w:val="24"/>
                <w:lang w:val="en-US" w:eastAsia="zh-CN"/>
              </w:rPr>
            </w:pPr>
            <w:r>
              <w:rPr>
                <w:rFonts w:hint="eastAsia" w:cs="宋体"/>
                <w:color w:val="auto"/>
                <w:spacing w:val="0"/>
                <w:w w:val="100"/>
                <w:position w:val="0"/>
                <w:sz w:val="24"/>
                <w:szCs w:val="24"/>
                <w:lang w:val="en-US" w:eastAsia="zh-CN"/>
              </w:rPr>
              <w:t>候车亭</w:t>
            </w:r>
          </w:p>
        </w:tc>
        <w:tc>
          <w:tcPr>
            <w:tcW w:w="1051" w:type="dxa"/>
            <w:shd w:val="clear" w:color="auto" w:fill="FFFFFF"/>
            <w:vAlign w:val="center"/>
          </w:tcPr>
          <w:p w14:paraId="19C859E3">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4</w:t>
            </w:r>
          </w:p>
        </w:tc>
        <w:tc>
          <w:tcPr>
            <w:tcW w:w="1051" w:type="dxa"/>
            <w:shd w:val="clear" w:color="auto" w:fill="FFFFFF"/>
            <w:vAlign w:val="center"/>
          </w:tcPr>
          <w:p w14:paraId="16F01E51">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8</w:t>
            </w:r>
          </w:p>
        </w:tc>
        <w:tc>
          <w:tcPr>
            <w:tcW w:w="1051" w:type="dxa"/>
            <w:shd w:val="clear" w:color="auto" w:fill="FFFFFF"/>
            <w:vAlign w:val="center"/>
          </w:tcPr>
          <w:p w14:paraId="0ADA7162">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4</w:t>
            </w:r>
          </w:p>
        </w:tc>
        <w:tc>
          <w:tcPr>
            <w:tcW w:w="1051" w:type="dxa"/>
            <w:vAlign w:val="center"/>
          </w:tcPr>
          <w:p w14:paraId="5EA67AED">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3</w:t>
            </w:r>
          </w:p>
        </w:tc>
        <w:tc>
          <w:tcPr>
            <w:tcW w:w="1051" w:type="dxa"/>
            <w:vAlign w:val="center"/>
          </w:tcPr>
          <w:p w14:paraId="177CF312">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5</w:t>
            </w:r>
          </w:p>
        </w:tc>
        <w:tc>
          <w:tcPr>
            <w:tcW w:w="1057" w:type="dxa"/>
            <w:vAlign w:val="center"/>
          </w:tcPr>
          <w:p w14:paraId="5221CA8E">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both"/>
              <w:textAlignment w:val="baseline"/>
              <w:rPr>
                <w:rFonts w:hint="eastAsia" w:ascii="宋体" w:hAnsi="宋体" w:eastAsia="宋体" w:cs="宋体"/>
                <w:color w:val="auto"/>
                <w:spacing w:val="0"/>
                <w:w w:val="100"/>
                <w:position w:val="0"/>
                <w:sz w:val="24"/>
                <w:szCs w:val="24"/>
                <w:highlight w:val="none"/>
              </w:rPr>
            </w:pPr>
          </w:p>
        </w:tc>
      </w:tr>
    </w:tbl>
    <w:p w14:paraId="4BEE2623">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b/>
          <w:bCs/>
          <w:spacing w:val="0"/>
          <w:w w:val="100"/>
          <w:position w:val="0"/>
          <w:sz w:val="24"/>
          <w:szCs w:val="24"/>
          <w:highlight w:val="none"/>
        </w:rPr>
      </w:pPr>
    </w:p>
    <w:p w14:paraId="51B57499">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b/>
          <w:bCs/>
          <w:spacing w:val="0"/>
          <w:w w:val="100"/>
          <w:position w:val="0"/>
          <w:sz w:val="24"/>
          <w:szCs w:val="24"/>
          <w:highlight w:val="none"/>
        </w:rPr>
      </w:pPr>
    </w:p>
    <w:p w14:paraId="3D77DB54">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pacing w:val="0"/>
          <w:w w:val="100"/>
          <w:position w:val="0"/>
          <w:sz w:val="24"/>
          <w:szCs w:val="24"/>
          <w:highlight w:val="none"/>
          <w:lang w:eastAsia="zh-CN"/>
        </w:rPr>
      </w:pPr>
      <w:r>
        <w:rPr>
          <w:rFonts w:hint="eastAsia" w:ascii="宋体" w:hAnsi="宋体" w:eastAsia="宋体" w:cs="宋体"/>
          <w:b/>
          <w:bCs/>
          <w:spacing w:val="0"/>
          <w:w w:val="100"/>
          <w:position w:val="0"/>
          <w:sz w:val="24"/>
          <w:szCs w:val="24"/>
          <w:highlight w:val="none"/>
        </w:rPr>
        <w:t>公路主要设施清单</w:t>
      </w:r>
      <w:r>
        <w:rPr>
          <w:rFonts w:hint="eastAsia" w:ascii="宋体" w:hAnsi="宋体" w:eastAsia="宋体" w:cs="宋体"/>
          <w:b/>
          <w:bCs/>
          <w:spacing w:val="0"/>
          <w:w w:val="100"/>
          <w:position w:val="0"/>
          <w:sz w:val="24"/>
          <w:szCs w:val="24"/>
          <w:highlight w:val="none"/>
          <w:lang w:eastAsia="zh-CN"/>
        </w:rPr>
        <w:t>（</w:t>
      </w:r>
      <w:r>
        <w:rPr>
          <w:rFonts w:hint="eastAsia" w:ascii="宋体" w:hAnsi="宋体" w:eastAsia="宋体" w:cs="宋体"/>
          <w:b/>
          <w:bCs/>
          <w:spacing w:val="0"/>
          <w:w w:val="100"/>
          <w:position w:val="0"/>
          <w:sz w:val="24"/>
          <w:szCs w:val="24"/>
          <w:highlight w:val="none"/>
          <w:lang w:val="en-US" w:eastAsia="zh-CN"/>
        </w:rPr>
        <w:t>C段</w:t>
      </w:r>
      <w:r>
        <w:rPr>
          <w:rFonts w:hint="eastAsia" w:ascii="宋体" w:hAnsi="宋体" w:eastAsia="宋体" w:cs="宋体"/>
          <w:b/>
          <w:bCs/>
          <w:spacing w:val="0"/>
          <w:w w:val="100"/>
          <w:position w:val="0"/>
          <w:sz w:val="24"/>
          <w:szCs w:val="24"/>
          <w:highlight w:val="none"/>
          <w:lang w:eastAsia="zh-CN"/>
        </w:rPr>
        <w:t>）</w:t>
      </w:r>
    </w:p>
    <w:tbl>
      <w:tblPr>
        <w:tblStyle w:val="25"/>
        <w:tblW w:w="861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98"/>
        <w:gridCol w:w="1775"/>
        <w:gridCol w:w="1688"/>
        <w:gridCol w:w="1688"/>
        <w:gridCol w:w="1689"/>
        <w:gridCol w:w="1179"/>
      </w:tblGrid>
      <w:tr w14:paraId="0C7643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18" w:hRule="atLeast"/>
          <w:tblHeader/>
          <w:jc w:val="center"/>
        </w:trPr>
        <w:tc>
          <w:tcPr>
            <w:tcW w:w="598" w:type="dxa"/>
            <w:shd w:val="clear" w:color="auto" w:fill="auto"/>
            <w:vAlign w:val="center"/>
          </w:tcPr>
          <w:p w14:paraId="131229D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rPr>
            </w:pPr>
            <w:r>
              <w:rPr>
                <w:rFonts w:hint="eastAsia" w:ascii="宋体" w:hAnsi="宋体" w:eastAsia="宋体" w:cs="宋体"/>
                <w:b/>
                <w:bCs/>
                <w:color w:val="auto"/>
                <w:spacing w:val="0"/>
                <w:w w:val="100"/>
                <w:position w:val="0"/>
                <w:sz w:val="24"/>
                <w:szCs w:val="24"/>
              </w:rPr>
              <w:t>编</w:t>
            </w:r>
          </w:p>
          <w:p w14:paraId="7AB10099">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000000"/>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号</w:t>
            </w:r>
          </w:p>
        </w:tc>
        <w:tc>
          <w:tcPr>
            <w:tcW w:w="1775" w:type="dxa"/>
            <w:shd w:val="clear" w:color="auto" w:fill="auto"/>
            <w:vAlign w:val="center"/>
          </w:tcPr>
          <w:p w14:paraId="13CBFFAC">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eastAsia" w:ascii="宋体" w:hAnsi="宋体" w:eastAsia="宋体" w:cs="宋体"/>
                <w:b/>
                <w:snapToGrid w:val="0"/>
                <w:color w:val="auto"/>
                <w:spacing w:val="0"/>
                <w:w w:val="100"/>
                <w:kern w:val="0"/>
                <w:position w:val="0"/>
                <w:sz w:val="24"/>
                <w:szCs w:val="24"/>
                <w:lang w:val="en-US" w:eastAsia="zh-CN" w:bidi="ar-SA"/>
              </w:rPr>
            </w:pPr>
            <w:r>
              <w:rPr>
                <w:rFonts w:hint="eastAsia" w:ascii="宋体" w:hAnsi="宋体" w:eastAsia="宋体" w:cs="宋体"/>
                <w:b/>
                <w:snapToGrid w:val="0"/>
                <w:color w:val="auto"/>
                <w:spacing w:val="0"/>
                <w:w w:val="100"/>
                <w:kern w:val="0"/>
                <w:position w:val="0"/>
                <w:sz w:val="24"/>
                <w:szCs w:val="24"/>
                <w:lang w:val="en-US" w:eastAsia="zh-CN" w:bidi="ar-SA"/>
              </w:rPr>
              <w:t>数量  线路</w:t>
            </w:r>
          </w:p>
          <w:p w14:paraId="2F83DDBA">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default" w:ascii="宋体" w:hAnsi="宋体" w:eastAsia="宋体" w:cs="宋体"/>
                <w:b/>
                <w:snapToGrid w:val="0"/>
                <w:color w:val="000000"/>
                <w:spacing w:val="0"/>
                <w:w w:val="100"/>
                <w:kern w:val="0"/>
                <w:position w:val="0"/>
                <w:sz w:val="24"/>
                <w:szCs w:val="24"/>
                <w:lang w:val="en-US" w:eastAsia="zh-CN" w:bidi="ar-SA"/>
              </w:rPr>
            </w:pPr>
            <w:r>
              <w:rPr>
                <w:rFonts w:hint="eastAsia" w:ascii="宋体" w:hAnsi="宋体" w:eastAsia="宋体" w:cs="宋体"/>
                <w:b/>
                <w:snapToGrid w:val="0"/>
                <w:color w:val="auto"/>
                <w:spacing w:val="0"/>
                <w:w w:val="100"/>
                <w:kern w:val="0"/>
                <w:position w:val="0"/>
                <w:sz w:val="24"/>
                <w:szCs w:val="24"/>
                <w:lang w:val="en-US" w:eastAsia="zh-CN" w:bidi="ar-SA"/>
              </w:rPr>
              <w:t>类型</w:t>
            </w:r>
          </w:p>
        </w:tc>
        <w:tc>
          <w:tcPr>
            <w:tcW w:w="1688" w:type="dxa"/>
            <w:shd w:val="clear" w:color="auto" w:fill="auto"/>
            <w:vAlign w:val="center"/>
          </w:tcPr>
          <w:p w14:paraId="628B7801">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napToGrid w:val="0"/>
                <w:color w:val="000000"/>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lang w:val="en-US" w:eastAsia="zh-CN"/>
              </w:rPr>
              <w:t xml:space="preserve">G321线 </w:t>
            </w:r>
          </w:p>
        </w:tc>
        <w:tc>
          <w:tcPr>
            <w:tcW w:w="1688" w:type="dxa"/>
            <w:shd w:val="clear" w:color="auto" w:fill="auto"/>
            <w:vAlign w:val="center"/>
          </w:tcPr>
          <w:p w14:paraId="5AFC0E05">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napToGrid w:val="0"/>
                <w:color w:val="000000"/>
                <w:spacing w:val="0"/>
                <w:w w:val="100"/>
                <w:kern w:val="0"/>
                <w:position w:val="0"/>
                <w:sz w:val="24"/>
                <w:szCs w:val="24"/>
                <w:lang w:val="en-US" w:eastAsia="en-US" w:bidi="ar-SA"/>
              </w:rPr>
            </w:pPr>
            <w:r>
              <w:rPr>
                <w:rFonts w:hint="default" w:ascii="宋体" w:hAnsi="宋体" w:eastAsia="宋体" w:cs="宋体"/>
                <w:b/>
                <w:bCs/>
                <w:snapToGrid w:val="0"/>
                <w:color w:val="auto"/>
                <w:spacing w:val="0"/>
                <w:w w:val="100"/>
                <w:kern w:val="0"/>
                <w:position w:val="0"/>
                <w:sz w:val="24"/>
                <w:szCs w:val="24"/>
                <w:lang w:val="en-US" w:eastAsia="en-US" w:bidi="ar-SA"/>
              </w:rPr>
              <w:t>S202线</w:t>
            </w:r>
          </w:p>
        </w:tc>
        <w:tc>
          <w:tcPr>
            <w:tcW w:w="1689" w:type="dxa"/>
            <w:shd w:val="clear" w:color="auto" w:fill="auto"/>
            <w:vAlign w:val="center"/>
          </w:tcPr>
          <w:p w14:paraId="248FC2A8">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napToGrid w:val="0"/>
                <w:color w:val="000000"/>
                <w:spacing w:val="0"/>
                <w:w w:val="100"/>
                <w:kern w:val="0"/>
                <w:position w:val="0"/>
                <w:sz w:val="24"/>
                <w:szCs w:val="24"/>
                <w:lang w:val="en-US" w:eastAsia="zh-CN" w:bidi="ar-SA"/>
              </w:rPr>
            </w:pPr>
            <w:r>
              <w:rPr>
                <w:rFonts w:hint="default" w:ascii="宋体" w:hAnsi="宋体" w:eastAsia="宋体" w:cs="宋体"/>
                <w:b/>
                <w:bCs/>
                <w:snapToGrid w:val="0"/>
                <w:color w:val="auto"/>
                <w:spacing w:val="0"/>
                <w:w w:val="100"/>
                <w:kern w:val="0"/>
                <w:position w:val="0"/>
                <w:sz w:val="24"/>
                <w:szCs w:val="24"/>
                <w:lang w:val="en-US" w:eastAsia="zh-CN" w:bidi="ar-SA"/>
              </w:rPr>
              <w:t>S302线</w:t>
            </w:r>
          </w:p>
        </w:tc>
        <w:tc>
          <w:tcPr>
            <w:tcW w:w="1179" w:type="dxa"/>
            <w:shd w:val="clear" w:color="auto" w:fill="auto"/>
            <w:vAlign w:val="center"/>
          </w:tcPr>
          <w:p w14:paraId="2B94D583">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000000"/>
                <w:spacing w:val="0"/>
                <w:w w:val="100"/>
                <w:kern w:val="0"/>
                <w:position w:val="0"/>
                <w:sz w:val="24"/>
                <w:szCs w:val="24"/>
                <w:lang w:val="en-US" w:eastAsia="zh-CN" w:bidi="ar-SA"/>
              </w:rPr>
            </w:pPr>
            <w:r>
              <w:rPr>
                <w:rFonts w:hint="eastAsia" w:ascii="宋体" w:hAnsi="宋体" w:eastAsia="宋体" w:cs="宋体"/>
                <w:b/>
                <w:bCs/>
                <w:color w:val="auto"/>
                <w:spacing w:val="0"/>
                <w:w w:val="100"/>
                <w:position w:val="0"/>
                <w:sz w:val="24"/>
                <w:szCs w:val="24"/>
              </w:rPr>
              <w:t>备注</w:t>
            </w:r>
          </w:p>
        </w:tc>
      </w:tr>
      <w:tr w14:paraId="241BC2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1" w:hRule="atLeast"/>
          <w:tblHeader/>
          <w:jc w:val="center"/>
        </w:trPr>
        <w:tc>
          <w:tcPr>
            <w:tcW w:w="598" w:type="dxa"/>
            <w:shd w:val="clear" w:color="auto" w:fill="auto"/>
            <w:vAlign w:val="center"/>
          </w:tcPr>
          <w:p w14:paraId="35F95A70">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9"/>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1</w:t>
            </w:r>
          </w:p>
        </w:tc>
        <w:tc>
          <w:tcPr>
            <w:tcW w:w="1775" w:type="dxa"/>
            <w:shd w:val="clear" w:color="auto" w:fill="auto"/>
            <w:vAlign w:val="center"/>
          </w:tcPr>
          <w:p w14:paraId="180F2565">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CN" w:bidi="ar-SA"/>
              </w:rPr>
            </w:pPr>
            <w:r>
              <w:rPr>
                <w:rFonts w:hint="eastAsia" w:ascii="宋体" w:hAnsi="宋体" w:eastAsia="宋体" w:cs="宋体"/>
                <w:b/>
                <w:bCs/>
                <w:color w:val="auto"/>
                <w:spacing w:val="0"/>
                <w:w w:val="100"/>
                <w:position w:val="0"/>
                <w:sz w:val="24"/>
                <w:szCs w:val="24"/>
              </w:rPr>
              <w:t>桥梁、涵洞</w:t>
            </w:r>
          </w:p>
        </w:tc>
        <w:tc>
          <w:tcPr>
            <w:tcW w:w="1688" w:type="dxa"/>
            <w:shd w:val="clear" w:color="auto" w:fill="auto"/>
            <w:vAlign w:val="center"/>
          </w:tcPr>
          <w:p w14:paraId="49D9C5F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000000"/>
                <w:kern w:val="0"/>
                <w:sz w:val="22"/>
                <w:szCs w:val="22"/>
                <w:u w:val="none"/>
                <w:lang w:val="en-US" w:eastAsia="zh-CN" w:bidi="ar"/>
              </w:rPr>
            </w:pPr>
          </w:p>
        </w:tc>
        <w:tc>
          <w:tcPr>
            <w:tcW w:w="1688" w:type="dxa"/>
            <w:shd w:val="clear" w:color="auto" w:fill="auto"/>
            <w:vAlign w:val="center"/>
          </w:tcPr>
          <w:p w14:paraId="4795C024">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000000"/>
                <w:kern w:val="0"/>
                <w:sz w:val="22"/>
                <w:szCs w:val="22"/>
                <w:u w:val="none"/>
                <w:lang w:val="en-US" w:eastAsia="zh-CN" w:bidi="ar"/>
              </w:rPr>
            </w:pPr>
          </w:p>
        </w:tc>
        <w:tc>
          <w:tcPr>
            <w:tcW w:w="1689" w:type="dxa"/>
            <w:shd w:val="clear" w:color="auto" w:fill="auto"/>
            <w:vAlign w:val="center"/>
          </w:tcPr>
          <w:p w14:paraId="4278FC5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000000"/>
                <w:kern w:val="0"/>
                <w:sz w:val="22"/>
                <w:szCs w:val="22"/>
                <w:u w:val="none"/>
                <w:lang w:val="en-US" w:eastAsia="zh-CN" w:bidi="ar"/>
              </w:rPr>
            </w:pPr>
          </w:p>
        </w:tc>
        <w:tc>
          <w:tcPr>
            <w:tcW w:w="1179" w:type="dxa"/>
            <w:shd w:val="clear" w:color="auto" w:fill="auto"/>
            <w:vAlign w:val="center"/>
          </w:tcPr>
          <w:p w14:paraId="2613ACEB">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spacing w:val="0"/>
                <w:w w:val="100"/>
                <w:position w:val="0"/>
                <w:sz w:val="24"/>
                <w:szCs w:val="24"/>
              </w:rPr>
            </w:pPr>
          </w:p>
        </w:tc>
      </w:tr>
      <w:tr w14:paraId="4D4FEA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1" w:hRule="atLeast"/>
          <w:jc w:val="center"/>
        </w:trPr>
        <w:tc>
          <w:tcPr>
            <w:tcW w:w="598" w:type="dxa"/>
            <w:vAlign w:val="center"/>
          </w:tcPr>
          <w:p w14:paraId="27174CC6">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1.1</w:t>
            </w:r>
          </w:p>
        </w:tc>
        <w:tc>
          <w:tcPr>
            <w:tcW w:w="1775" w:type="dxa"/>
            <w:vAlign w:val="center"/>
          </w:tcPr>
          <w:p w14:paraId="298BA950">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桥梁</w:t>
            </w:r>
          </w:p>
        </w:tc>
        <w:tc>
          <w:tcPr>
            <w:tcW w:w="1688" w:type="dxa"/>
            <w:vAlign w:val="center"/>
          </w:tcPr>
          <w:p w14:paraId="79F7BD80">
            <w:pPr>
              <w:keepNext w:val="0"/>
              <w:keepLines w:val="0"/>
              <w:widowControl/>
              <w:suppressLineNumbers w:val="0"/>
              <w:jc w:val="center"/>
              <w:textAlignment w:val="top"/>
              <w:rPr>
                <w:rFonts w:hint="default"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w:t>
            </w:r>
          </w:p>
        </w:tc>
        <w:tc>
          <w:tcPr>
            <w:tcW w:w="1688" w:type="dxa"/>
            <w:vAlign w:val="center"/>
          </w:tcPr>
          <w:p w14:paraId="33F399C8">
            <w:pPr>
              <w:keepNext w:val="0"/>
              <w:keepLines w:val="0"/>
              <w:widowControl/>
              <w:suppressLineNumbers w:val="0"/>
              <w:jc w:val="center"/>
              <w:textAlignment w:val="top"/>
              <w:rPr>
                <w:rFonts w:hint="default"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5</w:t>
            </w:r>
          </w:p>
        </w:tc>
        <w:tc>
          <w:tcPr>
            <w:tcW w:w="1689" w:type="dxa"/>
            <w:vAlign w:val="center"/>
          </w:tcPr>
          <w:p w14:paraId="66DF6075">
            <w:pPr>
              <w:keepNext w:val="0"/>
              <w:keepLines w:val="0"/>
              <w:widowControl/>
              <w:suppressLineNumbers w:val="0"/>
              <w:jc w:val="center"/>
              <w:textAlignment w:val="top"/>
              <w:rPr>
                <w:rFonts w:hint="eastAsia"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13</w:t>
            </w:r>
          </w:p>
        </w:tc>
        <w:tc>
          <w:tcPr>
            <w:tcW w:w="1179" w:type="dxa"/>
            <w:vAlign w:val="center"/>
          </w:tcPr>
          <w:p w14:paraId="76A6C85F">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pacing w:val="0"/>
                <w:w w:val="100"/>
                <w:position w:val="0"/>
                <w:sz w:val="24"/>
                <w:szCs w:val="24"/>
              </w:rPr>
            </w:pPr>
          </w:p>
        </w:tc>
      </w:tr>
      <w:tr w14:paraId="520DE4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1" w:hRule="atLeast"/>
          <w:jc w:val="center"/>
        </w:trPr>
        <w:tc>
          <w:tcPr>
            <w:tcW w:w="598" w:type="dxa"/>
            <w:vAlign w:val="center"/>
          </w:tcPr>
          <w:p w14:paraId="0D4A82C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1.2</w:t>
            </w:r>
          </w:p>
        </w:tc>
        <w:tc>
          <w:tcPr>
            <w:tcW w:w="1775" w:type="dxa"/>
            <w:vAlign w:val="center"/>
          </w:tcPr>
          <w:p w14:paraId="6F6F628C">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涵洞</w:t>
            </w:r>
          </w:p>
        </w:tc>
        <w:tc>
          <w:tcPr>
            <w:tcW w:w="1688" w:type="dxa"/>
            <w:vAlign w:val="center"/>
          </w:tcPr>
          <w:p w14:paraId="5B2BAB1C">
            <w:pPr>
              <w:keepNext w:val="0"/>
              <w:keepLines w:val="0"/>
              <w:widowControl/>
              <w:suppressLineNumbers w:val="0"/>
              <w:jc w:val="center"/>
              <w:textAlignment w:val="top"/>
              <w:rPr>
                <w:rFonts w:hint="default"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22</w:t>
            </w:r>
          </w:p>
        </w:tc>
        <w:tc>
          <w:tcPr>
            <w:tcW w:w="1688" w:type="dxa"/>
            <w:vAlign w:val="center"/>
          </w:tcPr>
          <w:p w14:paraId="445203CF">
            <w:pPr>
              <w:keepNext w:val="0"/>
              <w:keepLines w:val="0"/>
              <w:widowControl/>
              <w:suppressLineNumbers w:val="0"/>
              <w:jc w:val="center"/>
              <w:textAlignment w:val="top"/>
              <w:rPr>
                <w:rFonts w:hint="default"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141</w:t>
            </w:r>
          </w:p>
        </w:tc>
        <w:tc>
          <w:tcPr>
            <w:tcW w:w="1689" w:type="dxa"/>
            <w:vAlign w:val="center"/>
          </w:tcPr>
          <w:p w14:paraId="41272CA8">
            <w:pPr>
              <w:keepNext w:val="0"/>
              <w:keepLines w:val="0"/>
              <w:widowControl/>
              <w:suppressLineNumbers w:val="0"/>
              <w:jc w:val="center"/>
              <w:textAlignment w:val="top"/>
              <w:rPr>
                <w:rFonts w:hint="default"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150</w:t>
            </w:r>
          </w:p>
        </w:tc>
        <w:tc>
          <w:tcPr>
            <w:tcW w:w="1179" w:type="dxa"/>
            <w:vAlign w:val="center"/>
          </w:tcPr>
          <w:p w14:paraId="4C1478D0">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pacing w:val="0"/>
                <w:w w:val="100"/>
                <w:position w:val="0"/>
                <w:sz w:val="24"/>
                <w:szCs w:val="24"/>
              </w:rPr>
            </w:pPr>
          </w:p>
        </w:tc>
      </w:tr>
      <w:tr w14:paraId="7C3436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1" w:hRule="atLeast"/>
          <w:jc w:val="center"/>
        </w:trPr>
        <w:tc>
          <w:tcPr>
            <w:tcW w:w="598" w:type="dxa"/>
            <w:shd w:val="clear" w:color="auto" w:fill="auto"/>
            <w:vAlign w:val="center"/>
          </w:tcPr>
          <w:p w14:paraId="4002D9AF">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2</w:t>
            </w:r>
          </w:p>
        </w:tc>
        <w:tc>
          <w:tcPr>
            <w:tcW w:w="1775" w:type="dxa"/>
            <w:shd w:val="clear" w:color="auto" w:fill="auto"/>
            <w:vAlign w:val="center"/>
          </w:tcPr>
          <w:p w14:paraId="141E380D">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隧道</w:t>
            </w:r>
          </w:p>
        </w:tc>
        <w:tc>
          <w:tcPr>
            <w:tcW w:w="1688" w:type="dxa"/>
            <w:vAlign w:val="center"/>
          </w:tcPr>
          <w:p w14:paraId="1EE1975D">
            <w:pPr>
              <w:keepNext w:val="0"/>
              <w:keepLines w:val="0"/>
              <w:widowControl/>
              <w:suppressLineNumbers w:val="0"/>
              <w:jc w:val="center"/>
              <w:textAlignment w:val="top"/>
              <w:rPr>
                <w:rFonts w:hint="eastAsia" w:ascii="宋体" w:hAnsi="宋体" w:eastAsia="宋体" w:cs="宋体"/>
                <w:spacing w:val="0"/>
                <w:w w:val="100"/>
                <w:position w:val="0"/>
                <w:sz w:val="24"/>
                <w:szCs w:val="24"/>
                <w:lang w:val="en-US" w:eastAsia="zh-CN"/>
              </w:rPr>
            </w:pPr>
          </w:p>
        </w:tc>
        <w:tc>
          <w:tcPr>
            <w:tcW w:w="1688" w:type="dxa"/>
            <w:vAlign w:val="center"/>
          </w:tcPr>
          <w:p w14:paraId="3543A6A7">
            <w:pPr>
              <w:keepNext w:val="0"/>
              <w:keepLines w:val="0"/>
              <w:widowControl/>
              <w:suppressLineNumbers w:val="0"/>
              <w:jc w:val="center"/>
              <w:textAlignment w:val="top"/>
              <w:rPr>
                <w:rFonts w:hint="eastAsia" w:cs="宋体"/>
                <w:spacing w:val="0"/>
                <w:w w:val="100"/>
                <w:position w:val="0"/>
                <w:sz w:val="24"/>
                <w:szCs w:val="24"/>
                <w:lang w:val="en-US" w:eastAsia="zh-CN"/>
              </w:rPr>
            </w:pPr>
          </w:p>
        </w:tc>
        <w:tc>
          <w:tcPr>
            <w:tcW w:w="1689" w:type="dxa"/>
            <w:vAlign w:val="center"/>
          </w:tcPr>
          <w:p w14:paraId="56A65E5B">
            <w:pPr>
              <w:keepNext w:val="0"/>
              <w:keepLines w:val="0"/>
              <w:widowControl/>
              <w:suppressLineNumbers w:val="0"/>
              <w:jc w:val="center"/>
              <w:textAlignment w:val="top"/>
              <w:rPr>
                <w:rFonts w:hint="eastAsia" w:cs="宋体"/>
                <w:spacing w:val="0"/>
                <w:w w:val="100"/>
                <w:position w:val="0"/>
                <w:sz w:val="24"/>
                <w:szCs w:val="24"/>
                <w:lang w:val="en-US" w:eastAsia="zh-CN"/>
              </w:rPr>
            </w:pPr>
          </w:p>
        </w:tc>
        <w:tc>
          <w:tcPr>
            <w:tcW w:w="1179" w:type="dxa"/>
            <w:vAlign w:val="center"/>
          </w:tcPr>
          <w:p w14:paraId="7D6A6598">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pacing w:val="0"/>
                <w:w w:val="100"/>
                <w:position w:val="0"/>
                <w:sz w:val="24"/>
                <w:szCs w:val="24"/>
              </w:rPr>
            </w:pPr>
          </w:p>
        </w:tc>
      </w:tr>
      <w:tr w14:paraId="62ED37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16" w:hRule="atLeast"/>
          <w:jc w:val="center"/>
        </w:trPr>
        <w:tc>
          <w:tcPr>
            <w:tcW w:w="598" w:type="dxa"/>
            <w:vAlign w:val="center"/>
          </w:tcPr>
          <w:p w14:paraId="06C634A4">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2.1</w:t>
            </w:r>
          </w:p>
        </w:tc>
        <w:tc>
          <w:tcPr>
            <w:tcW w:w="1775" w:type="dxa"/>
            <w:vAlign w:val="center"/>
          </w:tcPr>
          <w:p w14:paraId="66B56CA7">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隧道</w:t>
            </w:r>
          </w:p>
        </w:tc>
        <w:tc>
          <w:tcPr>
            <w:tcW w:w="1688" w:type="dxa"/>
            <w:vAlign w:val="center"/>
          </w:tcPr>
          <w:p w14:paraId="1677269C">
            <w:pPr>
              <w:jc w:val="center"/>
              <w:rPr>
                <w:rFonts w:hint="eastAsia"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w:t>
            </w:r>
          </w:p>
        </w:tc>
        <w:tc>
          <w:tcPr>
            <w:tcW w:w="1688" w:type="dxa"/>
            <w:shd w:val="clear" w:color="auto" w:fill="FFFFFF"/>
            <w:vAlign w:val="center"/>
          </w:tcPr>
          <w:p w14:paraId="66DD54D2">
            <w:pPr>
              <w:jc w:val="center"/>
              <w:rPr>
                <w:rFonts w:hint="eastAsia"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w:t>
            </w:r>
          </w:p>
        </w:tc>
        <w:tc>
          <w:tcPr>
            <w:tcW w:w="1689" w:type="dxa"/>
            <w:shd w:val="clear" w:color="auto" w:fill="FFFFFF"/>
            <w:vAlign w:val="center"/>
          </w:tcPr>
          <w:p w14:paraId="77177BD2">
            <w:pPr>
              <w:keepNext w:val="0"/>
              <w:keepLines w:val="0"/>
              <w:widowControl/>
              <w:suppressLineNumbers w:val="0"/>
              <w:jc w:val="center"/>
              <w:textAlignment w:val="top"/>
              <w:rPr>
                <w:rFonts w:hint="eastAsia"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w:t>
            </w:r>
          </w:p>
        </w:tc>
        <w:tc>
          <w:tcPr>
            <w:tcW w:w="1179" w:type="dxa"/>
            <w:vAlign w:val="center"/>
          </w:tcPr>
          <w:p w14:paraId="1AB7B573">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pacing w:val="0"/>
                <w:w w:val="100"/>
                <w:position w:val="0"/>
                <w:sz w:val="24"/>
                <w:szCs w:val="24"/>
              </w:rPr>
            </w:pPr>
          </w:p>
        </w:tc>
      </w:tr>
      <w:tr w14:paraId="097B4A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16" w:hRule="atLeast"/>
          <w:jc w:val="center"/>
        </w:trPr>
        <w:tc>
          <w:tcPr>
            <w:tcW w:w="598" w:type="dxa"/>
            <w:shd w:val="clear" w:color="auto" w:fill="auto"/>
            <w:vAlign w:val="center"/>
          </w:tcPr>
          <w:p w14:paraId="70A97B3A">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3</w:t>
            </w:r>
          </w:p>
        </w:tc>
        <w:tc>
          <w:tcPr>
            <w:tcW w:w="1775" w:type="dxa"/>
            <w:shd w:val="clear" w:color="auto" w:fill="auto"/>
            <w:vAlign w:val="center"/>
          </w:tcPr>
          <w:p w14:paraId="3D50B446">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服务设施</w:t>
            </w:r>
          </w:p>
        </w:tc>
        <w:tc>
          <w:tcPr>
            <w:tcW w:w="1688" w:type="dxa"/>
            <w:vAlign w:val="center"/>
          </w:tcPr>
          <w:p w14:paraId="276E52BD">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pacing w:val="0"/>
                <w:w w:val="100"/>
                <w:position w:val="0"/>
                <w:sz w:val="24"/>
                <w:szCs w:val="24"/>
                <w:lang w:val="en-US" w:eastAsia="zh-CN"/>
              </w:rPr>
            </w:pPr>
          </w:p>
        </w:tc>
        <w:tc>
          <w:tcPr>
            <w:tcW w:w="1688" w:type="dxa"/>
            <w:shd w:val="clear" w:color="auto" w:fill="FFFFFF"/>
            <w:vAlign w:val="center"/>
          </w:tcPr>
          <w:p w14:paraId="2A13D5E9">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cs="宋体"/>
                <w:spacing w:val="0"/>
                <w:w w:val="100"/>
                <w:position w:val="0"/>
                <w:sz w:val="24"/>
                <w:szCs w:val="24"/>
                <w:lang w:val="en-US" w:eastAsia="zh-CN"/>
              </w:rPr>
            </w:pPr>
          </w:p>
        </w:tc>
        <w:tc>
          <w:tcPr>
            <w:tcW w:w="1689" w:type="dxa"/>
            <w:shd w:val="clear" w:color="auto" w:fill="FFFFFF"/>
            <w:vAlign w:val="center"/>
          </w:tcPr>
          <w:p w14:paraId="6E762B1B">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cs="宋体"/>
                <w:spacing w:val="0"/>
                <w:w w:val="100"/>
                <w:position w:val="0"/>
                <w:sz w:val="24"/>
                <w:szCs w:val="24"/>
                <w:lang w:val="en-US" w:eastAsia="zh-CN"/>
              </w:rPr>
            </w:pPr>
          </w:p>
        </w:tc>
        <w:tc>
          <w:tcPr>
            <w:tcW w:w="1179" w:type="dxa"/>
            <w:vAlign w:val="center"/>
          </w:tcPr>
          <w:p w14:paraId="64C428FB">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pacing w:val="0"/>
                <w:w w:val="100"/>
                <w:position w:val="0"/>
                <w:sz w:val="24"/>
                <w:szCs w:val="24"/>
              </w:rPr>
            </w:pPr>
          </w:p>
        </w:tc>
      </w:tr>
      <w:tr w14:paraId="44EB4A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5" w:hRule="atLeast"/>
          <w:jc w:val="center"/>
        </w:trPr>
        <w:tc>
          <w:tcPr>
            <w:tcW w:w="598" w:type="dxa"/>
            <w:shd w:val="clear" w:color="auto" w:fill="auto"/>
            <w:vAlign w:val="center"/>
          </w:tcPr>
          <w:p w14:paraId="7814F8A4">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color w:val="auto"/>
                <w:spacing w:val="0"/>
                <w:w w:val="100"/>
                <w:position w:val="0"/>
                <w:sz w:val="24"/>
                <w:szCs w:val="24"/>
                <w:lang w:val="en-US" w:eastAsia="zh-CN"/>
              </w:rPr>
              <w:t>3.1</w:t>
            </w:r>
          </w:p>
        </w:tc>
        <w:tc>
          <w:tcPr>
            <w:tcW w:w="1775" w:type="dxa"/>
            <w:shd w:val="clear" w:color="auto" w:fill="auto"/>
            <w:vAlign w:val="center"/>
          </w:tcPr>
          <w:p w14:paraId="4DB3E2F7">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CN" w:bidi="ar-SA"/>
              </w:rPr>
            </w:pPr>
            <w:r>
              <w:rPr>
                <w:rFonts w:hint="eastAsia" w:cs="宋体"/>
                <w:color w:val="auto"/>
                <w:spacing w:val="0"/>
                <w:w w:val="100"/>
                <w:position w:val="0"/>
                <w:sz w:val="24"/>
                <w:szCs w:val="24"/>
                <w:lang w:val="en-US" w:eastAsia="zh-CN"/>
              </w:rPr>
              <w:t>候车亭</w:t>
            </w:r>
          </w:p>
        </w:tc>
        <w:tc>
          <w:tcPr>
            <w:tcW w:w="1688" w:type="dxa"/>
            <w:vAlign w:val="center"/>
          </w:tcPr>
          <w:p w14:paraId="7CA6C036">
            <w:pPr>
              <w:jc w:val="center"/>
              <w:rPr>
                <w:rFonts w:hint="default"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w:t>
            </w:r>
          </w:p>
        </w:tc>
        <w:tc>
          <w:tcPr>
            <w:tcW w:w="1688" w:type="dxa"/>
            <w:shd w:val="clear" w:color="auto" w:fill="FFFFFF"/>
            <w:vAlign w:val="center"/>
          </w:tcPr>
          <w:p w14:paraId="721B5581">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6</w:t>
            </w:r>
          </w:p>
        </w:tc>
        <w:tc>
          <w:tcPr>
            <w:tcW w:w="1689" w:type="dxa"/>
            <w:shd w:val="clear" w:color="auto" w:fill="FFFFFF"/>
            <w:vAlign w:val="center"/>
          </w:tcPr>
          <w:p w14:paraId="5D1A1C74">
            <w:pPr>
              <w:keepNext w:val="0"/>
              <w:keepLines w:val="0"/>
              <w:widowControl/>
              <w:suppressLineNumbers w:val="0"/>
              <w:jc w:val="center"/>
              <w:textAlignment w:val="top"/>
              <w:rPr>
                <w:rFonts w:hint="eastAsia" w:ascii="宋体" w:hAnsi="宋体" w:eastAsia="宋体" w:cs="宋体"/>
                <w:color w:val="auto"/>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4</w:t>
            </w:r>
          </w:p>
        </w:tc>
        <w:tc>
          <w:tcPr>
            <w:tcW w:w="1179" w:type="dxa"/>
            <w:vAlign w:val="center"/>
          </w:tcPr>
          <w:p w14:paraId="1585AE7B">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both"/>
              <w:textAlignment w:val="baseline"/>
              <w:rPr>
                <w:rFonts w:hint="eastAsia" w:ascii="宋体" w:hAnsi="宋体" w:eastAsia="宋体" w:cs="宋体"/>
                <w:spacing w:val="0"/>
                <w:w w:val="100"/>
                <w:position w:val="0"/>
                <w:sz w:val="24"/>
                <w:szCs w:val="24"/>
              </w:rPr>
            </w:pPr>
          </w:p>
        </w:tc>
      </w:tr>
    </w:tbl>
    <w:p w14:paraId="4BCDFACF">
      <w:pPr>
        <w:spacing w:before="78" w:line="212" w:lineRule="auto"/>
        <w:jc w:val="both"/>
        <w:rPr>
          <w:rFonts w:hint="eastAsia" w:ascii="宋体" w:hAnsi="宋体" w:eastAsia="宋体" w:cs="宋体"/>
          <w:b/>
          <w:bCs/>
          <w:spacing w:val="-2"/>
          <w:sz w:val="24"/>
          <w:szCs w:val="24"/>
          <w:highlight w:val="green"/>
          <w:lang w:eastAsia="zh-CN"/>
        </w:rPr>
      </w:pPr>
    </w:p>
    <w:p w14:paraId="23E56515">
      <w:pPr>
        <w:keepNext w:val="0"/>
        <w:keepLines w:val="0"/>
        <w:pageBreakBefore w:val="0"/>
        <w:widowControl w:val="0"/>
        <w:kinsoku/>
        <w:wordWrap/>
        <w:overflowPunct/>
        <w:topLinePunct w:val="0"/>
        <w:autoSpaceDE/>
        <w:autoSpaceDN/>
        <w:bidi w:val="0"/>
        <w:adjustRightInd/>
        <w:snapToGrid/>
        <w:spacing w:before="78" w:line="360" w:lineRule="auto"/>
        <w:ind w:left="141" w:right="128" w:firstLine="482"/>
        <w:textAlignment w:val="auto"/>
        <w:rPr>
          <w:rFonts w:hint="eastAsia" w:ascii="宋体" w:hAnsi="宋体" w:eastAsia="宋体" w:cs="宋体"/>
          <w:spacing w:val="-3"/>
          <w:sz w:val="24"/>
          <w:szCs w:val="24"/>
          <w:lang w:eastAsia="zh-CN"/>
        </w:rPr>
      </w:pPr>
    </w:p>
    <w:p w14:paraId="34D5B460">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0" w:firstLineChars="0"/>
        <w:jc w:val="center"/>
        <w:textAlignment w:val="baseline"/>
        <w:rPr>
          <w:rFonts w:hint="eastAsia" w:ascii="宋体" w:hAnsi="宋体" w:eastAsia="宋体" w:cs="宋体"/>
          <w:spacing w:val="0"/>
          <w:w w:val="100"/>
          <w:position w:val="0"/>
          <w:sz w:val="24"/>
          <w:szCs w:val="24"/>
          <w:highlight w:val="none"/>
          <w:lang w:eastAsia="zh-CN"/>
        </w:rPr>
      </w:pPr>
      <w:r>
        <w:rPr>
          <w:rFonts w:hint="eastAsia" w:ascii="宋体" w:hAnsi="宋体" w:eastAsia="宋体" w:cs="宋体"/>
          <w:b/>
          <w:bCs/>
          <w:spacing w:val="0"/>
          <w:w w:val="100"/>
          <w:position w:val="0"/>
          <w:sz w:val="24"/>
          <w:szCs w:val="24"/>
          <w:highlight w:val="none"/>
        </w:rPr>
        <w:t>公路主要设施清单</w:t>
      </w:r>
      <w:r>
        <w:rPr>
          <w:rFonts w:hint="eastAsia" w:ascii="宋体" w:hAnsi="宋体" w:eastAsia="宋体" w:cs="宋体"/>
          <w:b/>
          <w:bCs/>
          <w:spacing w:val="0"/>
          <w:w w:val="100"/>
          <w:position w:val="0"/>
          <w:sz w:val="24"/>
          <w:szCs w:val="24"/>
          <w:highlight w:val="none"/>
          <w:lang w:eastAsia="zh-CN"/>
        </w:rPr>
        <w:t>（</w:t>
      </w:r>
      <w:r>
        <w:rPr>
          <w:rFonts w:hint="eastAsia" w:ascii="宋体" w:hAnsi="宋体" w:eastAsia="宋体" w:cs="宋体"/>
          <w:b/>
          <w:bCs/>
          <w:spacing w:val="0"/>
          <w:w w:val="100"/>
          <w:position w:val="0"/>
          <w:sz w:val="24"/>
          <w:szCs w:val="24"/>
          <w:highlight w:val="none"/>
          <w:lang w:val="en-US" w:eastAsia="zh-CN"/>
        </w:rPr>
        <w:t>D段</w:t>
      </w:r>
      <w:r>
        <w:rPr>
          <w:rFonts w:hint="eastAsia" w:ascii="宋体" w:hAnsi="宋体" w:eastAsia="宋体" w:cs="宋体"/>
          <w:b/>
          <w:bCs/>
          <w:spacing w:val="0"/>
          <w:w w:val="100"/>
          <w:position w:val="0"/>
          <w:sz w:val="24"/>
          <w:szCs w:val="24"/>
          <w:highlight w:val="none"/>
          <w:lang w:eastAsia="zh-CN"/>
        </w:rPr>
        <w:t>）</w:t>
      </w:r>
    </w:p>
    <w:tbl>
      <w:tblPr>
        <w:tblStyle w:val="25"/>
        <w:tblW w:w="855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38"/>
        <w:gridCol w:w="2192"/>
        <w:gridCol w:w="2086"/>
        <w:gridCol w:w="2086"/>
        <w:gridCol w:w="1456"/>
      </w:tblGrid>
      <w:tr w14:paraId="6AF6E9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07" w:hRule="atLeast"/>
          <w:tblHeader/>
          <w:jc w:val="center"/>
        </w:trPr>
        <w:tc>
          <w:tcPr>
            <w:tcW w:w="738" w:type="dxa"/>
            <w:shd w:val="clear" w:color="auto" w:fill="auto"/>
            <w:vAlign w:val="center"/>
          </w:tcPr>
          <w:p w14:paraId="21D0FE0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pacing w:val="0"/>
                <w:w w:val="100"/>
                <w:position w:val="0"/>
                <w:sz w:val="24"/>
                <w:szCs w:val="24"/>
              </w:rPr>
            </w:pPr>
            <w:r>
              <w:rPr>
                <w:rFonts w:hint="eastAsia" w:ascii="宋体" w:hAnsi="宋体" w:eastAsia="宋体" w:cs="宋体"/>
                <w:b/>
                <w:bCs/>
                <w:color w:val="auto"/>
                <w:spacing w:val="0"/>
                <w:w w:val="100"/>
                <w:position w:val="0"/>
                <w:sz w:val="24"/>
                <w:szCs w:val="24"/>
              </w:rPr>
              <w:t>编</w:t>
            </w:r>
          </w:p>
          <w:p w14:paraId="7AD00AC1">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000000"/>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号</w:t>
            </w:r>
          </w:p>
        </w:tc>
        <w:tc>
          <w:tcPr>
            <w:tcW w:w="2192" w:type="dxa"/>
            <w:shd w:val="clear" w:color="auto" w:fill="auto"/>
            <w:vAlign w:val="center"/>
          </w:tcPr>
          <w:p w14:paraId="4BA3300D">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eastAsia" w:ascii="宋体" w:hAnsi="宋体" w:eastAsia="宋体" w:cs="宋体"/>
                <w:b/>
                <w:snapToGrid w:val="0"/>
                <w:color w:val="auto"/>
                <w:spacing w:val="0"/>
                <w:w w:val="100"/>
                <w:kern w:val="0"/>
                <w:position w:val="0"/>
                <w:sz w:val="24"/>
                <w:szCs w:val="24"/>
                <w:lang w:val="en-US" w:eastAsia="zh-CN" w:bidi="ar-SA"/>
              </w:rPr>
            </w:pPr>
            <w:r>
              <w:rPr>
                <w:rFonts w:hint="eastAsia" w:ascii="宋体" w:hAnsi="宋体" w:eastAsia="宋体" w:cs="宋体"/>
                <w:b/>
                <w:snapToGrid w:val="0"/>
                <w:color w:val="auto"/>
                <w:spacing w:val="0"/>
                <w:w w:val="100"/>
                <w:kern w:val="0"/>
                <w:position w:val="0"/>
                <w:sz w:val="24"/>
                <w:szCs w:val="24"/>
                <w:lang w:val="en-US" w:eastAsia="zh-CN" w:bidi="ar-SA"/>
              </w:rPr>
              <w:t>数量  线路</w:t>
            </w:r>
          </w:p>
          <w:p w14:paraId="32902B1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left"/>
              <w:textAlignment w:val="baseline"/>
              <w:rPr>
                <w:rFonts w:hint="default" w:ascii="宋体" w:hAnsi="宋体" w:eastAsia="宋体" w:cs="宋体"/>
                <w:b/>
                <w:snapToGrid w:val="0"/>
                <w:color w:val="000000"/>
                <w:spacing w:val="0"/>
                <w:w w:val="100"/>
                <w:kern w:val="0"/>
                <w:position w:val="0"/>
                <w:sz w:val="24"/>
                <w:szCs w:val="24"/>
                <w:lang w:val="en-US" w:eastAsia="zh-CN" w:bidi="ar-SA"/>
              </w:rPr>
            </w:pPr>
            <w:r>
              <w:rPr>
                <w:rFonts w:hint="eastAsia" w:ascii="宋体" w:hAnsi="宋体" w:eastAsia="宋体" w:cs="宋体"/>
                <w:b/>
                <w:snapToGrid w:val="0"/>
                <w:color w:val="auto"/>
                <w:spacing w:val="0"/>
                <w:w w:val="100"/>
                <w:kern w:val="0"/>
                <w:position w:val="0"/>
                <w:sz w:val="24"/>
                <w:szCs w:val="24"/>
                <w:lang w:val="en-US" w:eastAsia="zh-CN" w:bidi="ar-SA"/>
              </w:rPr>
              <w:t>类型</w:t>
            </w:r>
          </w:p>
        </w:tc>
        <w:tc>
          <w:tcPr>
            <w:tcW w:w="2086" w:type="dxa"/>
            <w:shd w:val="clear" w:color="auto" w:fill="auto"/>
            <w:vAlign w:val="center"/>
          </w:tcPr>
          <w:p w14:paraId="5EAC5D0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napToGrid w:val="0"/>
                <w:color w:val="000000"/>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lang w:val="en-US" w:eastAsia="zh-CN"/>
              </w:rPr>
              <w:t xml:space="preserve"> G241线</w:t>
            </w:r>
          </w:p>
        </w:tc>
        <w:tc>
          <w:tcPr>
            <w:tcW w:w="2086" w:type="dxa"/>
            <w:shd w:val="clear" w:color="auto" w:fill="auto"/>
            <w:vAlign w:val="center"/>
          </w:tcPr>
          <w:p w14:paraId="3024091E">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default" w:ascii="宋体" w:hAnsi="宋体" w:eastAsia="宋体" w:cs="宋体"/>
                <w:b/>
                <w:bCs/>
                <w:snapToGrid w:val="0"/>
                <w:color w:val="000000"/>
                <w:spacing w:val="0"/>
                <w:w w:val="100"/>
                <w:kern w:val="0"/>
                <w:position w:val="0"/>
                <w:sz w:val="24"/>
                <w:szCs w:val="24"/>
                <w:lang w:val="en-US" w:eastAsia="en-US" w:bidi="ar-SA"/>
              </w:rPr>
            </w:pPr>
            <w:r>
              <w:rPr>
                <w:rFonts w:hint="default" w:ascii="宋体" w:hAnsi="宋体" w:eastAsia="宋体" w:cs="宋体"/>
                <w:b/>
                <w:bCs/>
                <w:snapToGrid w:val="0"/>
                <w:color w:val="auto"/>
                <w:spacing w:val="0"/>
                <w:w w:val="100"/>
                <w:kern w:val="0"/>
                <w:position w:val="0"/>
                <w:sz w:val="24"/>
                <w:szCs w:val="24"/>
                <w:lang w:val="en-US" w:eastAsia="en-US" w:bidi="ar-SA"/>
              </w:rPr>
              <w:t>G357线</w:t>
            </w:r>
          </w:p>
        </w:tc>
        <w:tc>
          <w:tcPr>
            <w:tcW w:w="1456" w:type="dxa"/>
            <w:shd w:val="clear" w:color="auto" w:fill="auto"/>
            <w:vAlign w:val="center"/>
          </w:tcPr>
          <w:p w14:paraId="556A9E29">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snapToGrid w:val="0"/>
                <w:color w:val="000000"/>
                <w:spacing w:val="0"/>
                <w:w w:val="100"/>
                <w:kern w:val="0"/>
                <w:position w:val="0"/>
                <w:sz w:val="24"/>
                <w:szCs w:val="24"/>
                <w:lang w:val="en-US" w:eastAsia="zh-CN" w:bidi="ar-SA"/>
              </w:rPr>
            </w:pPr>
            <w:r>
              <w:rPr>
                <w:rFonts w:hint="eastAsia" w:ascii="宋体" w:hAnsi="宋体" w:eastAsia="宋体" w:cs="宋体"/>
                <w:b/>
                <w:bCs/>
                <w:color w:val="auto"/>
                <w:spacing w:val="0"/>
                <w:w w:val="100"/>
                <w:position w:val="0"/>
                <w:sz w:val="24"/>
                <w:szCs w:val="24"/>
              </w:rPr>
              <w:t>备注</w:t>
            </w:r>
          </w:p>
        </w:tc>
      </w:tr>
      <w:tr w14:paraId="6D8BDA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7" w:hRule="atLeast"/>
          <w:tblHeader/>
          <w:jc w:val="center"/>
        </w:trPr>
        <w:tc>
          <w:tcPr>
            <w:tcW w:w="738" w:type="dxa"/>
            <w:shd w:val="clear" w:color="auto" w:fill="auto"/>
            <w:vAlign w:val="center"/>
          </w:tcPr>
          <w:p w14:paraId="07E5EA3F">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9"/>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1</w:t>
            </w:r>
          </w:p>
        </w:tc>
        <w:tc>
          <w:tcPr>
            <w:tcW w:w="2192" w:type="dxa"/>
            <w:shd w:val="clear" w:color="auto" w:fill="auto"/>
            <w:vAlign w:val="center"/>
          </w:tcPr>
          <w:p w14:paraId="438CAA74">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CN" w:bidi="ar-SA"/>
              </w:rPr>
            </w:pPr>
            <w:r>
              <w:rPr>
                <w:rFonts w:hint="eastAsia" w:ascii="宋体" w:hAnsi="宋体" w:eastAsia="宋体" w:cs="宋体"/>
                <w:b/>
                <w:bCs/>
                <w:color w:val="auto"/>
                <w:spacing w:val="0"/>
                <w:w w:val="100"/>
                <w:position w:val="0"/>
                <w:sz w:val="24"/>
                <w:szCs w:val="24"/>
              </w:rPr>
              <w:t>桥梁、涵洞</w:t>
            </w:r>
          </w:p>
        </w:tc>
        <w:tc>
          <w:tcPr>
            <w:tcW w:w="2086" w:type="dxa"/>
            <w:shd w:val="clear" w:color="auto" w:fill="auto"/>
            <w:vAlign w:val="center"/>
          </w:tcPr>
          <w:p w14:paraId="5E597DE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000000"/>
                <w:kern w:val="0"/>
                <w:sz w:val="22"/>
                <w:szCs w:val="22"/>
                <w:u w:val="none"/>
                <w:lang w:val="en-US" w:eastAsia="zh-CN" w:bidi="ar"/>
              </w:rPr>
            </w:pPr>
          </w:p>
        </w:tc>
        <w:tc>
          <w:tcPr>
            <w:tcW w:w="2086" w:type="dxa"/>
            <w:shd w:val="clear" w:color="auto" w:fill="auto"/>
            <w:vAlign w:val="center"/>
          </w:tcPr>
          <w:p w14:paraId="69A70B7D">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i w:val="0"/>
                <w:iCs w:val="0"/>
                <w:snapToGrid w:val="0"/>
                <w:color w:val="000000"/>
                <w:kern w:val="0"/>
                <w:sz w:val="22"/>
                <w:szCs w:val="22"/>
                <w:u w:val="none"/>
                <w:lang w:val="en-US" w:eastAsia="zh-CN" w:bidi="ar"/>
              </w:rPr>
            </w:pPr>
          </w:p>
        </w:tc>
        <w:tc>
          <w:tcPr>
            <w:tcW w:w="1456" w:type="dxa"/>
            <w:shd w:val="clear" w:color="auto" w:fill="auto"/>
            <w:vAlign w:val="center"/>
          </w:tcPr>
          <w:p w14:paraId="0012E25B">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spacing w:val="0"/>
                <w:w w:val="100"/>
                <w:position w:val="0"/>
                <w:sz w:val="24"/>
                <w:szCs w:val="24"/>
              </w:rPr>
            </w:pPr>
          </w:p>
        </w:tc>
      </w:tr>
      <w:tr w14:paraId="751F2A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7" w:hRule="atLeast"/>
          <w:jc w:val="center"/>
        </w:trPr>
        <w:tc>
          <w:tcPr>
            <w:tcW w:w="738" w:type="dxa"/>
            <w:vAlign w:val="center"/>
          </w:tcPr>
          <w:p w14:paraId="6C20BB58">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1.1</w:t>
            </w:r>
          </w:p>
        </w:tc>
        <w:tc>
          <w:tcPr>
            <w:tcW w:w="2192" w:type="dxa"/>
            <w:vAlign w:val="center"/>
          </w:tcPr>
          <w:p w14:paraId="25606F07">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桥梁</w:t>
            </w:r>
          </w:p>
        </w:tc>
        <w:tc>
          <w:tcPr>
            <w:tcW w:w="2086" w:type="dxa"/>
            <w:vAlign w:val="center"/>
          </w:tcPr>
          <w:p w14:paraId="66228A34">
            <w:pPr>
              <w:keepNext w:val="0"/>
              <w:keepLines w:val="0"/>
              <w:widowControl/>
              <w:suppressLineNumbers w:val="0"/>
              <w:jc w:val="center"/>
              <w:textAlignment w:val="top"/>
              <w:rPr>
                <w:rFonts w:hint="default"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17 </w:t>
            </w:r>
          </w:p>
        </w:tc>
        <w:tc>
          <w:tcPr>
            <w:tcW w:w="2086" w:type="dxa"/>
            <w:vAlign w:val="center"/>
          </w:tcPr>
          <w:p w14:paraId="5DD42FB9">
            <w:pPr>
              <w:keepNext w:val="0"/>
              <w:keepLines w:val="0"/>
              <w:widowControl/>
              <w:suppressLineNumbers w:val="0"/>
              <w:jc w:val="center"/>
              <w:textAlignment w:val="top"/>
              <w:rPr>
                <w:rFonts w:hint="default"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7</w:t>
            </w:r>
          </w:p>
        </w:tc>
        <w:tc>
          <w:tcPr>
            <w:tcW w:w="1456" w:type="dxa"/>
            <w:vAlign w:val="center"/>
          </w:tcPr>
          <w:p w14:paraId="7A3112D3">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pacing w:val="0"/>
                <w:w w:val="100"/>
                <w:position w:val="0"/>
                <w:sz w:val="24"/>
                <w:szCs w:val="24"/>
              </w:rPr>
            </w:pPr>
          </w:p>
        </w:tc>
      </w:tr>
      <w:tr w14:paraId="24C948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7" w:hRule="atLeast"/>
          <w:jc w:val="center"/>
        </w:trPr>
        <w:tc>
          <w:tcPr>
            <w:tcW w:w="738" w:type="dxa"/>
            <w:vAlign w:val="center"/>
          </w:tcPr>
          <w:p w14:paraId="5979A432">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1.2</w:t>
            </w:r>
          </w:p>
        </w:tc>
        <w:tc>
          <w:tcPr>
            <w:tcW w:w="2192" w:type="dxa"/>
            <w:vAlign w:val="center"/>
          </w:tcPr>
          <w:p w14:paraId="36AC14BB">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涵洞</w:t>
            </w:r>
          </w:p>
        </w:tc>
        <w:tc>
          <w:tcPr>
            <w:tcW w:w="2086" w:type="dxa"/>
            <w:vAlign w:val="center"/>
          </w:tcPr>
          <w:p w14:paraId="6E1F5DEE">
            <w:pPr>
              <w:keepNext w:val="0"/>
              <w:keepLines w:val="0"/>
              <w:widowControl/>
              <w:suppressLineNumbers w:val="0"/>
              <w:jc w:val="center"/>
              <w:textAlignment w:val="top"/>
              <w:rPr>
                <w:rFonts w:hint="default"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144 </w:t>
            </w:r>
          </w:p>
        </w:tc>
        <w:tc>
          <w:tcPr>
            <w:tcW w:w="2086" w:type="dxa"/>
            <w:vAlign w:val="center"/>
          </w:tcPr>
          <w:p w14:paraId="796E45BF">
            <w:pPr>
              <w:keepNext w:val="0"/>
              <w:keepLines w:val="0"/>
              <w:widowControl/>
              <w:suppressLineNumbers w:val="0"/>
              <w:jc w:val="center"/>
              <w:textAlignment w:val="top"/>
              <w:rPr>
                <w:rFonts w:hint="default"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129</w:t>
            </w:r>
          </w:p>
        </w:tc>
        <w:tc>
          <w:tcPr>
            <w:tcW w:w="1456" w:type="dxa"/>
            <w:vAlign w:val="center"/>
          </w:tcPr>
          <w:p w14:paraId="4A7B1A37">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pacing w:val="0"/>
                <w:w w:val="100"/>
                <w:position w:val="0"/>
                <w:sz w:val="24"/>
                <w:szCs w:val="24"/>
              </w:rPr>
            </w:pPr>
          </w:p>
        </w:tc>
      </w:tr>
      <w:tr w14:paraId="0F27A6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7" w:hRule="atLeast"/>
          <w:jc w:val="center"/>
        </w:trPr>
        <w:tc>
          <w:tcPr>
            <w:tcW w:w="738" w:type="dxa"/>
            <w:shd w:val="clear" w:color="auto" w:fill="auto"/>
            <w:vAlign w:val="center"/>
          </w:tcPr>
          <w:p w14:paraId="5830DC57">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2</w:t>
            </w:r>
          </w:p>
        </w:tc>
        <w:tc>
          <w:tcPr>
            <w:tcW w:w="2192" w:type="dxa"/>
            <w:shd w:val="clear" w:color="auto" w:fill="auto"/>
            <w:vAlign w:val="center"/>
          </w:tcPr>
          <w:p w14:paraId="39E762BD">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隧道</w:t>
            </w:r>
          </w:p>
        </w:tc>
        <w:tc>
          <w:tcPr>
            <w:tcW w:w="2086" w:type="dxa"/>
            <w:vAlign w:val="center"/>
          </w:tcPr>
          <w:p w14:paraId="1DDBBE08">
            <w:pPr>
              <w:keepNext w:val="0"/>
              <w:keepLines w:val="0"/>
              <w:widowControl/>
              <w:suppressLineNumbers w:val="0"/>
              <w:jc w:val="center"/>
              <w:textAlignment w:val="top"/>
              <w:rPr>
                <w:rFonts w:hint="eastAsia" w:ascii="宋体" w:hAnsi="宋体" w:eastAsia="宋体" w:cs="宋体"/>
                <w:spacing w:val="0"/>
                <w:w w:val="100"/>
                <w:position w:val="0"/>
                <w:sz w:val="24"/>
                <w:szCs w:val="24"/>
                <w:lang w:val="en-US" w:eastAsia="zh-CN"/>
              </w:rPr>
            </w:pPr>
          </w:p>
        </w:tc>
        <w:tc>
          <w:tcPr>
            <w:tcW w:w="2086" w:type="dxa"/>
            <w:vAlign w:val="center"/>
          </w:tcPr>
          <w:p w14:paraId="470B911A">
            <w:pPr>
              <w:keepNext w:val="0"/>
              <w:keepLines w:val="0"/>
              <w:widowControl/>
              <w:suppressLineNumbers w:val="0"/>
              <w:jc w:val="center"/>
              <w:textAlignment w:val="top"/>
              <w:rPr>
                <w:rFonts w:hint="eastAsia" w:cs="宋体"/>
                <w:spacing w:val="0"/>
                <w:w w:val="100"/>
                <w:position w:val="0"/>
                <w:sz w:val="24"/>
                <w:szCs w:val="24"/>
                <w:lang w:val="en-US" w:eastAsia="zh-CN"/>
              </w:rPr>
            </w:pPr>
          </w:p>
        </w:tc>
        <w:tc>
          <w:tcPr>
            <w:tcW w:w="1456" w:type="dxa"/>
            <w:vAlign w:val="center"/>
          </w:tcPr>
          <w:p w14:paraId="356C9F58">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pacing w:val="0"/>
                <w:w w:val="100"/>
                <w:position w:val="0"/>
                <w:sz w:val="24"/>
                <w:szCs w:val="24"/>
              </w:rPr>
            </w:pPr>
          </w:p>
        </w:tc>
      </w:tr>
      <w:tr w14:paraId="751C19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5" w:hRule="atLeast"/>
          <w:jc w:val="center"/>
        </w:trPr>
        <w:tc>
          <w:tcPr>
            <w:tcW w:w="738" w:type="dxa"/>
            <w:vAlign w:val="center"/>
          </w:tcPr>
          <w:p w14:paraId="6F32CF5C">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rPr>
            </w:pPr>
            <w:r>
              <w:rPr>
                <w:rFonts w:hint="eastAsia" w:ascii="宋体" w:hAnsi="宋体" w:eastAsia="宋体" w:cs="宋体"/>
                <w:color w:val="auto"/>
                <w:spacing w:val="0"/>
                <w:w w:val="100"/>
                <w:position w:val="0"/>
                <w:sz w:val="24"/>
                <w:szCs w:val="24"/>
              </w:rPr>
              <w:t>2.1</w:t>
            </w:r>
          </w:p>
        </w:tc>
        <w:tc>
          <w:tcPr>
            <w:tcW w:w="2192" w:type="dxa"/>
            <w:vAlign w:val="center"/>
          </w:tcPr>
          <w:p w14:paraId="6D00875A">
            <w:pPr>
              <w:keepNext w:val="0"/>
              <w:keepLines w:val="0"/>
              <w:pageBreakBefore w:val="0"/>
              <w:widowControl w:val="0"/>
              <w:tabs>
                <w:tab w:val="left" w:pos="47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color w:val="auto"/>
                <w:spacing w:val="0"/>
                <w:w w:val="100"/>
                <w:position w:val="0"/>
                <w:sz w:val="24"/>
                <w:szCs w:val="24"/>
                <w:lang w:eastAsia="zh-CN"/>
              </w:rPr>
            </w:pPr>
            <w:r>
              <w:rPr>
                <w:rFonts w:hint="eastAsia" w:ascii="宋体" w:hAnsi="宋体" w:eastAsia="宋体" w:cs="宋体"/>
                <w:color w:val="auto"/>
                <w:spacing w:val="0"/>
                <w:w w:val="100"/>
                <w:position w:val="0"/>
                <w:sz w:val="24"/>
                <w:szCs w:val="24"/>
              </w:rPr>
              <w:t>隧道</w:t>
            </w:r>
          </w:p>
        </w:tc>
        <w:tc>
          <w:tcPr>
            <w:tcW w:w="2086" w:type="dxa"/>
            <w:vAlign w:val="center"/>
          </w:tcPr>
          <w:p w14:paraId="6C417AF9">
            <w:pPr>
              <w:jc w:val="center"/>
              <w:rPr>
                <w:rFonts w:hint="eastAsia"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w:t>
            </w:r>
          </w:p>
        </w:tc>
        <w:tc>
          <w:tcPr>
            <w:tcW w:w="2086" w:type="dxa"/>
            <w:shd w:val="clear" w:color="auto" w:fill="FFFFFF"/>
            <w:vAlign w:val="center"/>
          </w:tcPr>
          <w:p w14:paraId="5936EF83">
            <w:pPr>
              <w:jc w:val="center"/>
              <w:rPr>
                <w:rFonts w:hint="eastAsia"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 xml:space="preserve"> /</w:t>
            </w:r>
          </w:p>
        </w:tc>
        <w:tc>
          <w:tcPr>
            <w:tcW w:w="1456" w:type="dxa"/>
            <w:vAlign w:val="center"/>
          </w:tcPr>
          <w:p w14:paraId="32ED0D5B">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pacing w:val="0"/>
                <w:w w:val="100"/>
                <w:position w:val="0"/>
                <w:sz w:val="24"/>
                <w:szCs w:val="24"/>
              </w:rPr>
            </w:pPr>
          </w:p>
        </w:tc>
      </w:tr>
      <w:tr w14:paraId="74FF41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5" w:hRule="atLeast"/>
          <w:jc w:val="center"/>
        </w:trPr>
        <w:tc>
          <w:tcPr>
            <w:tcW w:w="738" w:type="dxa"/>
            <w:shd w:val="clear" w:color="auto" w:fill="auto"/>
            <w:vAlign w:val="center"/>
          </w:tcPr>
          <w:p w14:paraId="546F3FAF">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3</w:t>
            </w:r>
          </w:p>
        </w:tc>
        <w:tc>
          <w:tcPr>
            <w:tcW w:w="2192" w:type="dxa"/>
            <w:shd w:val="clear" w:color="auto" w:fill="auto"/>
            <w:vAlign w:val="center"/>
          </w:tcPr>
          <w:p w14:paraId="26D920C6">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b/>
                <w:bCs/>
                <w:color w:val="auto"/>
                <w:spacing w:val="0"/>
                <w:w w:val="100"/>
                <w:position w:val="0"/>
                <w:sz w:val="24"/>
                <w:szCs w:val="24"/>
              </w:rPr>
              <w:t>服务设施</w:t>
            </w:r>
          </w:p>
        </w:tc>
        <w:tc>
          <w:tcPr>
            <w:tcW w:w="2086" w:type="dxa"/>
            <w:vAlign w:val="center"/>
          </w:tcPr>
          <w:p w14:paraId="46FA22F6">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pacing w:val="0"/>
                <w:w w:val="100"/>
                <w:position w:val="0"/>
                <w:sz w:val="24"/>
                <w:szCs w:val="24"/>
                <w:lang w:val="en-US" w:eastAsia="zh-CN"/>
              </w:rPr>
            </w:pPr>
          </w:p>
        </w:tc>
        <w:tc>
          <w:tcPr>
            <w:tcW w:w="2086" w:type="dxa"/>
            <w:shd w:val="clear" w:color="auto" w:fill="FFFFFF"/>
            <w:vAlign w:val="center"/>
          </w:tcPr>
          <w:p w14:paraId="33D34C53">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cs="宋体"/>
                <w:spacing w:val="0"/>
                <w:w w:val="100"/>
                <w:position w:val="0"/>
                <w:sz w:val="24"/>
                <w:szCs w:val="24"/>
                <w:lang w:val="en-US" w:eastAsia="zh-CN"/>
              </w:rPr>
            </w:pPr>
          </w:p>
        </w:tc>
        <w:tc>
          <w:tcPr>
            <w:tcW w:w="1456" w:type="dxa"/>
            <w:vAlign w:val="center"/>
          </w:tcPr>
          <w:p w14:paraId="15BD858D">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pacing w:val="0"/>
                <w:w w:val="100"/>
                <w:position w:val="0"/>
                <w:sz w:val="24"/>
                <w:szCs w:val="24"/>
              </w:rPr>
            </w:pPr>
          </w:p>
        </w:tc>
      </w:tr>
      <w:tr w14:paraId="61CF37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9" w:hRule="atLeast"/>
          <w:jc w:val="center"/>
        </w:trPr>
        <w:tc>
          <w:tcPr>
            <w:tcW w:w="738" w:type="dxa"/>
            <w:shd w:val="clear" w:color="auto" w:fill="auto"/>
            <w:vAlign w:val="center"/>
          </w:tcPr>
          <w:p w14:paraId="5F381326">
            <w:pPr>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en-US" w:bidi="ar-SA"/>
              </w:rPr>
            </w:pPr>
            <w:r>
              <w:rPr>
                <w:rFonts w:hint="eastAsia" w:ascii="宋体" w:hAnsi="宋体" w:eastAsia="宋体" w:cs="宋体"/>
                <w:color w:val="auto"/>
                <w:spacing w:val="0"/>
                <w:w w:val="100"/>
                <w:position w:val="0"/>
                <w:sz w:val="24"/>
                <w:szCs w:val="24"/>
                <w:lang w:val="en-US" w:eastAsia="zh-CN"/>
              </w:rPr>
              <w:t>3.1</w:t>
            </w:r>
          </w:p>
        </w:tc>
        <w:tc>
          <w:tcPr>
            <w:tcW w:w="2192" w:type="dxa"/>
            <w:shd w:val="clear" w:color="auto" w:fill="auto"/>
            <w:vAlign w:val="center"/>
          </w:tcPr>
          <w:p w14:paraId="5D5770E0">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snapToGrid w:val="0"/>
                <w:color w:val="auto"/>
                <w:spacing w:val="0"/>
                <w:w w:val="100"/>
                <w:kern w:val="0"/>
                <w:position w:val="0"/>
                <w:sz w:val="24"/>
                <w:szCs w:val="24"/>
                <w:lang w:val="en-US" w:eastAsia="zh-CN" w:bidi="ar-SA"/>
              </w:rPr>
            </w:pPr>
            <w:r>
              <w:rPr>
                <w:rFonts w:hint="eastAsia" w:cs="宋体"/>
                <w:color w:val="auto"/>
                <w:spacing w:val="0"/>
                <w:w w:val="100"/>
                <w:position w:val="0"/>
                <w:sz w:val="24"/>
                <w:szCs w:val="24"/>
                <w:lang w:val="en-US" w:eastAsia="zh-CN"/>
              </w:rPr>
              <w:t>候车亭</w:t>
            </w:r>
          </w:p>
        </w:tc>
        <w:tc>
          <w:tcPr>
            <w:tcW w:w="2086" w:type="dxa"/>
            <w:vAlign w:val="center"/>
          </w:tcPr>
          <w:p w14:paraId="7BC5DBB3">
            <w:pPr>
              <w:keepNext w:val="0"/>
              <w:keepLines w:val="0"/>
              <w:widowControl/>
              <w:suppressLineNumbers w:val="0"/>
              <w:jc w:val="center"/>
              <w:textAlignment w:val="top"/>
              <w:rPr>
                <w:rFonts w:hint="default" w:ascii="宋体" w:hAnsi="宋体" w:eastAsia="宋体"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13</w:t>
            </w:r>
          </w:p>
        </w:tc>
        <w:tc>
          <w:tcPr>
            <w:tcW w:w="2086" w:type="dxa"/>
            <w:shd w:val="clear" w:color="auto" w:fill="FFFFFF"/>
            <w:vAlign w:val="center"/>
          </w:tcPr>
          <w:p w14:paraId="4062D678">
            <w:pPr>
              <w:keepNext w:val="0"/>
              <w:keepLines w:val="0"/>
              <w:widowControl/>
              <w:suppressLineNumbers w:val="0"/>
              <w:jc w:val="center"/>
              <w:textAlignment w:val="top"/>
              <w:rPr>
                <w:rFonts w:hint="eastAsia" w:cs="宋体"/>
                <w:spacing w:val="0"/>
                <w:w w:val="100"/>
                <w:position w:val="0"/>
                <w:sz w:val="24"/>
                <w:szCs w:val="24"/>
                <w:lang w:val="en-US" w:eastAsia="zh-CN"/>
              </w:rPr>
            </w:pPr>
            <w:r>
              <w:rPr>
                <w:rFonts w:hint="eastAsia" w:ascii="宋体" w:hAnsi="宋体" w:eastAsia="宋体" w:cs="宋体"/>
                <w:color w:val="auto"/>
                <w:spacing w:val="0"/>
                <w:w w:val="100"/>
                <w:position w:val="0"/>
                <w:sz w:val="24"/>
                <w:szCs w:val="24"/>
                <w:lang w:val="en-US" w:eastAsia="zh-CN"/>
              </w:rPr>
              <w:t>4</w:t>
            </w:r>
          </w:p>
        </w:tc>
        <w:tc>
          <w:tcPr>
            <w:tcW w:w="1456" w:type="dxa"/>
            <w:vAlign w:val="center"/>
          </w:tcPr>
          <w:p w14:paraId="7F23CD89">
            <w:pPr>
              <w:pStyle w:val="29"/>
              <w:keepNext w:val="0"/>
              <w:keepLines w:val="0"/>
              <w:pageBreakBefore w:val="0"/>
              <w:widowControl w:val="0"/>
              <w:tabs>
                <w:tab w:val="left" w:pos="0"/>
              </w:tabs>
              <w:kinsoku/>
              <w:wordWrap w:val="0"/>
              <w:overflowPunct/>
              <w:topLinePunct w:val="0"/>
              <w:autoSpaceDE w:val="0"/>
              <w:autoSpaceDN w:val="0"/>
              <w:bidi w:val="0"/>
              <w:adjustRightInd w:val="0"/>
              <w:snapToGrid w:val="0"/>
              <w:spacing w:line="360" w:lineRule="auto"/>
              <w:ind w:left="0" w:leftChars="0" w:right="0" w:rightChars="0" w:firstLine="0" w:firstLineChars="0"/>
              <w:jc w:val="both"/>
              <w:textAlignment w:val="baseline"/>
              <w:rPr>
                <w:rFonts w:hint="eastAsia" w:ascii="宋体" w:hAnsi="宋体" w:eastAsia="宋体" w:cs="宋体"/>
                <w:spacing w:val="0"/>
                <w:w w:val="100"/>
                <w:position w:val="0"/>
                <w:sz w:val="24"/>
                <w:szCs w:val="24"/>
              </w:rPr>
            </w:pPr>
          </w:p>
        </w:tc>
      </w:tr>
    </w:tbl>
    <w:p w14:paraId="738CECD7">
      <w:pPr>
        <w:keepNext w:val="0"/>
        <w:keepLines w:val="0"/>
        <w:pageBreakBefore w:val="0"/>
        <w:widowControl w:val="0"/>
        <w:kinsoku/>
        <w:wordWrap/>
        <w:overflowPunct/>
        <w:topLinePunct w:val="0"/>
        <w:autoSpaceDE/>
        <w:autoSpaceDN/>
        <w:bidi w:val="0"/>
        <w:adjustRightInd/>
        <w:snapToGrid/>
        <w:spacing w:before="78" w:line="360" w:lineRule="auto"/>
        <w:ind w:left="141" w:right="128" w:firstLine="482"/>
        <w:textAlignment w:val="auto"/>
        <w:rPr>
          <w:rFonts w:hint="eastAsia" w:ascii="宋体" w:hAnsi="宋体" w:eastAsia="宋体" w:cs="宋体"/>
          <w:spacing w:val="-3"/>
          <w:sz w:val="24"/>
          <w:szCs w:val="24"/>
          <w:lang w:eastAsia="zh-CN"/>
        </w:rPr>
      </w:pPr>
    </w:p>
    <w:p w14:paraId="51C9D446">
      <w:pPr>
        <w:keepNext w:val="0"/>
        <w:keepLines w:val="0"/>
        <w:pageBreakBefore w:val="0"/>
        <w:widowControl w:val="0"/>
        <w:kinsoku/>
        <w:wordWrap/>
        <w:overflowPunct/>
        <w:topLinePunct w:val="0"/>
        <w:autoSpaceDE/>
        <w:autoSpaceDN/>
        <w:bidi w:val="0"/>
        <w:adjustRightInd/>
        <w:snapToGrid/>
        <w:spacing w:before="78" w:line="360" w:lineRule="auto"/>
        <w:ind w:left="141" w:right="128" w:firstLine="482"/>
        <w:textAlignment w:val="auto"/>
        <w:rPr>
          <w:rFonts w:hint="eastAsia" w:ascii="宋体" w:hAnsi="宋体" w:eastAsia="宋体" w:cs="宋体"/>
          <w:spacing w:val="-3"/>
          <w:sz w:val="24"/>
          <w:szCs w:val="24"/>
          <w:lang w:eastAsia="zh-CN"/>
        </w:rPr>
      </w:pPr>
    </w:p>
    <w:p w14:paraId="0F356F95">
      <w:pPr>
        <w:keepNext w:val="0"/>
        <w:keepLines w:val="0"/>
        <w:pageBreakBefore w:val="0"/>
        <w:widowControl w:val="0"/>
        <w:kinsoku/>
        <w:wordWrap/>
        <w:overflowPunct/>
        <w:topLinePunct w:val="0"/>
        <w:autoSpaceDE/>
        <w:autoSpaceDN/>
        <w:bidi w:val="0"/>
        <w:adjustRightInd/>
        <w:snapToGrid/>
        <w:spacing w:before="78" w:line="360" w:lineRule="auto"/>
        <w:ind w:left="141" w:right="128" w:firstLine="482"/>
        <w:textAlignment w:val="auto"/>
        <w:rPr>
          <w:rFonts w:hint="eastAsia" w:ascii="宋体" w:hAnsi="宋体" w:eastAsia="宋体" w:cs="宋体"/>
          <w:sz w:val="24"/>
          <w:szCs w:val="24"/>
          <w:lang w:val="en-US" w:eastAsia="zh-CN"/>
        </w:rPr>
      </w:pPr>
      <w:r>
        <w:rPr>
          <w:rFonts w:hint="eastAsia" w:ascii="宋体" w:hAnsi="宋体" w:eastAsia="宋体" w:cs="宋体"/>
          <w:spacing w:val="-3"/>
          <w:sz w:val="24"/>
          <w:szCs w:val="24"/>
          <w:lang w:eastAsia="zh-CN"/>
        </w:rPr>
        <w:t>项目组织方式：采用</w:t>
      </w:r>
      <w:r>
        <w:rPr>
          <w:rFonts w:hint="eastAsia" w:ascii="宋体" w:hAnsi="宋体" w:eastAsia="宋体" w:cs="宋体"/>
          <w:spacing w:val="-118"/>
          <w:sz w:val="24"/>
          <w:szCs w:val="24"/>
          <w:lang w:eastAsia="zh-CN"/>
        </w:rPr>
        <w:t xml:space="preserve"> </w:t>
      </w:r>
      <w:r>
        <w:rPr>
          <w:rFonts w:hint="eastAsia" w:ascii="宋体" w:hAnsi="宋体" w:eastAsia="宋体" w:cs="宋体"/>
          <w:sz w:val="24"/>
          <w:szCs w:val="24"/>
          <w:u w:val="single"/>
          <w:lang w:eastAsia="zh-CN"/>
        </w:rPr>
        <w:t xml:space="preserve">   </w:t>
      </w:r>
      <w:r>
        <w:rPr>
          <w:rFonts w:hint="eastAsia" w:ascii="宋体" w:hAnsi="宋体" w:eastAsia="宋体" w:cs="宋体"/>
          <w:spacing w:val="-3"/>
          <w:sz w:val="24"/>
          <w:szCs w:val="24"/>
          <w:u w:val="single"/>
          <w:lang w:eastAsia="zh-CN"/>
        </w:rPr>
        <w:t>长周期日常养护</w:t>
      </w:r>
      <w:r>
        <w:rPr>
          <w:rFonts w:hint="eastAsia" w:ascii="宋体" w:hAnsi="宋体" w:eastAsia="宋体" w:cs="宋体"/>
          <w:sz w:val="24"/>
          <w:szCs w:val="24"/>
          <w:u w:val="single"/>
          <w:lang w:eastAsia="zh-CN"/>
        </w:rPr>
        <w:t xml:space="preserve">    </w:t>
      </w:r>
      <w:r>
        <w:rPr>
          <w:rFonts w:hint="eastAsia" w:ascii="宋体" w:hAnsi="宋体" w:eastAsia="宋体" w:cs="宋体"/>
          <w:spacing w:val="-76"/>
          <w:sz w:val="24"/>
          <w:szCs w:val="24"/>
          <w:lang w:eastAsia="zh-CN"/>
        </w:rPr>
        <w:t xml:space="preserve"> </w:t>
      </w:r>
      <w:r>
        <w:rPr>
          <w:rFonts w:hint="eastAsia" w:ascii="宋体" w:hAnsi="宋体" w:eastAsia="宋体" w:cs="宋体"/>
          <w:spacing w:val="-3"/>
          <w:sz w:val="24"/>
          <w:szCs w:val="24"/>
          <w:lang w:eastAsia="zh-CN"/>
        </w:rPr>
        <w:t>的方式（例如：长周期日常养护；</w:t>
      </w:r>
      <w:r>
        <w:rPr>
          <w:rFonts w:hint="eastAsia" w:ascii="宋体" w:hAnsi="宋体" w:eastAsia="宋体" w:cs="宋体"/>
          <w:spacing w:val="-67"/>
          <w:sz w:val="24"/>
          <w:szCs w:val="24"/>
          <w:lang w:eastAsia="zh-CN"/>
        </w:rPr>
        <w:t xml:space="preserve"> </w:t>
      </w:r>
      <w:r>
        <w:rPr>
          <w:rFonts w:hint="eastAsia" w:ascii="宋体" w:hAnsi="宋体" w:eastAsia="宋体" w:cs="宋体"/>
          <w:spacing w:val="-4"/>
          <w:sz w:val="24"/>
          <w:szCs w:val="24"/>
          <w:lang w:eastAsia="zh-CN"/>
        </w:rPr>
        <w:t>日常</w:t>
      </w:r>
      <w:r>
        <w:rPr>
          <w:rFonts w:hint="eastAsia" w:ascii="宋体" w:hAnsi="宋体" w:eastAsia="宋体" w:cs="宋体"/>
          <w:spacing w:val="-2"/>
          <w:sz w:val="24"/>
          <w:szCs w:val="24"/>
          <w:lang w:eastAsia="zh-CN"/>
        </w:rPr>
        <w:t>养护与养护工程施工组合；</w:t>
      </w:r>
      <w:r>
        <w:rPr>
          <w:rFonts w:hint="eastAsia" w:ascii="宋体" w:hAnsi="宋体" w:eastAsia="宋体" w:cs="宋体"/>
          <w:spacing w:val="-67"/>
          <w:sz w:val="24"/>
          <w:szCs w:val="24"/>
          <w:lang w:eastAsia="zh-CN"/>
        </w:rPr>
        <w:t xml:space="preserve"> </w:t>
      </w:r>
      <w:r>
        <w:rPr>
          <w:rFonts w:hint="eastAsia" w:ascii="宋体" w:hAnsi="宋体" w:eastAsia="宋体" w:cs="宋体"/>
          <w:spacing w:val="-2"/>
          <w:sz w:val="24"/>
          <w:szCs w:val="24"/>
          <w:lang w:eastAsia="zh-CN"/>
        </w:rPr>
        <w:t>日常养护与养护工程施工、设计</w:t>
      </w:r>
      <w:r>
        <w:rPr>
          <w:rFonts w:hint="eastAsia" w:ascii="宋体" w:hAnsi="宋体" w:eastAsia="宋体" w:cs="宋体"/>
          <w:spacing w:val="-3"/>
          <w:sz w:val="24"/>
          <w:szCs w:val="24"/>
          <w:lang w:eastAsia="zh-CN"/>
        </w:rPr>
        <w:t>组合；</w:t>
      </w:r>
      <w:r>
        <w:rPr>
          <w:rFonts w:hint="eastAsia" w:ascii="宋体" w:hAnsi="宋体" w:eastAsia="宋体" w:cs="宋体"/>
          <w:spacing w:val="-67"/>
          <w:sz w:val="24"/>
          <w:szCs w:val="24"/>
          <w:lang w:eastAsia="zh-CN"/>
        </w:rPr>
        <w:t xml:space="preserve"> </w:t>
      </w:r>
      <w:r>
        <w:rPr>
          <w:rFonts w:hint="eastAsia" w:ascii="宋体" w:hAnsi="宋体" w:eastAsia="宋体" w:cs="宋体"/>
          <w:spacing w:val="-3"/>
          <w:sz w:val="24"/>
          <w:szCs w:val="24"/>
          <w:lang w:eastAsia="zh-CN"/>
        </w:rPr>
        <w:t>日常养护与养护</w:t>
      </w:r>
      <w:r>
        <w:rPr>
          <w:rFonts w:hint="eastAsia" w:ascii="宋体" w:hAnsi="宋体" w:eastAsia="宋体" w:cs="宋体"/>
          <w:spacing w:val="-2"/>
          <w:sz w:val="24"/>
          <w:szCs w:val="24"/>
          <w:lang w:eastAsia="zh-CN"/>
        </w:rPr>
        <w:t>工程的施工、设计，检测、技术咨询等组合</w:t>
      </w:r>
      <w:r>
        <w:rPr>
          <w:rFonts w:hint="eastAsia" w:ascii="宋体" w:hAnsi="宋体" w:eastAsia="宋体" w:cs="宋体"/>
          <w:spacing w:val="-3"/>
          <w:sz w:val="24"/>
          <w:szCs w:val="24"/>
          <w:lang w:eastAsia="zh-CN"/>
        </w:rPr>
        <w:t>；),</w:t>
      </w:r>
      <w:r>
        <w:rPr>
          <w:rFonts w:hint="eastAsia" w:ascii="宋体" w:hAnsi="宋体" w:eastAsia="宋体" w:cs="宋体"/>
          <w:spacing w:val="68"/>
          <w:sz w:val="24"/>
          <w:szCs w:val="24"/>
          <w:lang w:eastAsia="zh-CN"/>
        </w:rPr>
        <w:t xml:space="preserve"> </w:t>
      </w:r>
      <w:r>
        <w:rPr>
          <w:rFonts w:hint="eastAsia" w:ascii="宋体" w:hAnsi="宋体" w:eastAsia="宋体" w:cs="宋体"/>
          <w:spacing w:val="-3"/>
          <w:sz w:val="24"/>
          <w:szCs w:val="24"/>
          <w:lang w:eastAsia="zh-CN"/>
        </w:rPr>
        <w:t>实施完成以下工作：</w:t>
      </w:r>
    </w:p>
    <w:p w14:paraId="4F8216BA">
      <w:pPr>
        <w:keepNext w:val="0"/>
        <w:keepLines w:val="0"/>
        <w:pageBreakBefore w:val="0"/>
        <w:widowControl w:val="0"/>
        <w:tabs>
          <w:tab w:val="left" w:pos="970"/>
        </w:tabs>
        <w:kinsoku/>
        <w:wordWrap/>
        <w:overflowPunct/>
        <w:topLinePunct w:val="0"/>
        <w:autoSpaceDE/>
        <w:autoSpaceDN/>
        <w:bidi w:val="0"/>
        <w:adjustRightInd/>
        <w:snapToGrid/>
        <w:spacing w:line="360" w:lineRule="auto"/>
        <w:ind w:left="130" w:firstLine="480" w:firstLineChars="200"/>
        <w:textAlignment w:val="auto"/>
        <w:rPr>
          <w:rFonts w:hint="eastAsia" w:ascii="宋体" w:hAnsi="宋体" w:eastAsia="宋体" w:cs="宋体"/>
          <w:sz w:val="24"/>
          <w:szCs w:val="24"/>
          <w:lang w:eastAsia="zh-CN"/>
        </w:rPr>
      </w:pPr>
      <w:r>
        <w:rPr>
          <w:rFonts w:hint="eastAsia" w:ascii="宋体" w:hAnsi="宋体" w:eastAsia="宋体" w:cs="宋体"/>
          <w:spacing w:val="0"/>
          <w:sz w:val="24"/>
          <w:szCs w:val="24"/>
          <w:u w:val="single"/>
          <w:lang w:eastAsia="zh-CN"/>
        </w:rPr>
        <w:t>巡查检查、日常保养（含绿化）、</w:t>
      </w:r>
      <w:r>
        <w:rPr>
          <w:rFonts w:hint="eastAsia" w:ascii="宋体" w:hAnsi="宋体" w:eastAsia="宋体" w:cs="宋体"/>
          <w:sz w:val="24"/>
          <w:szCs w:val="24"/>
          <w:u w:val="single"/>
          <w:lang w:eastAsia="zh-CN"/>
        </w:rPr>
        <w:t>应急处置、冬季除冰雪、数据填报与管理、</w:t>
      </w:r>
      <w:r>
        <w:rPr>
          <w:rFonts w:hint="eastAsia" w:ascii="宋体" w:hAnsi="宋体" w:eastAsia="宋体" w:cs="宋体"/>
          <w:sz w:val="24"/>
          <w:szCs w:val="24"/>
          <w:u w:val="single"/>
          <w:lang w:val="en-US" w:eastAsia="zh-CN"/>
        </w:rPr>
        <w:t>安全管理、不可预见的专项养护</w:t>
      </w:r>
      <w:r>
        <w:rPr>
          <w:rFonts w:hint="eastAsia" w:ascii="宋体" w:hAnsi="宋体" w:eastAsia="宋体" w:cs="宋体"/>
          <w:spacing w:val="-3"/>
          <w:sz w:val="24"/>
          <w:szCs w:val="24"/>
          <w:u w:val="single"/>
          <w:lang w:val="en-US" w:eastAsia="zh-CN"/>
        </w:rPr>
        <w:t>等</w:t>
      </w:r>
      <w:r>
        <w:rPr>
          <w:rFonts w:hint="eastAsia" w:ascii="宋体" w:hAnsi="宋体" w:eastAsia="宋体" w:cs="宋体"/>
          <w:sz w:val="24"/>
          <w:szCs w:val="24"/>
          <w:u w:val="single"/>
          <w:lang w:eastAsia="zh-CN"/>
        </w:rPr>
        <w:tab/>
      </w:r>
      <w:r>
        <w:rPr>
          <w:rFonts w:hint="eastAsia" w:ascii="宋体" w:hAnsi="宋体" w:eastAsia="宋体" w:cs="宋体"/>
          <w:spacing w:val="-5"/>
          <w:sz w:val="24"/>
          <w:szCs w:val="24"/>
          <w:lang w:eastAsia="zh-CN"/>
        </w:rPr>
        <w:t>（可根据项目特点从以下选择或另行约定）。</w:t>
      </w:r>
    </w:p>
    <w:p w14:paraId="78BE90A8">
      <w:pPr>
        <w:keepNext w:val="0"/>
        <w:keepLines w:val="0"/>
        <w:pageBreakBefore w:val="0"/>
        <w:widowControl w:val="0"/>
        <w:kinsoku/>
        <w:wordWrap/>
        <w:overflowPunct/>
        <w:topLinePunct w:val="0"/>
        <w:autoSpaceDE/>
        <w:autoSpaceDN/>
        <w:bidi w:val="0"/>
        <w:adjustRightInd/>
        <w:snapToGrid/>
        <w:spacing w:before="116" w:line="360" w:lineRule="auto"/>
        <w:ind w:left="631"/>
        <w:textAlignment w:val="auto"/>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（1）日常养护、应急和不可预见的专项养护工程（工作</w:t>
      </w:r>
      <w:r>
        <w:rPr>
          <w:rFonts w:hint="eastAsia" w:ascii="宋体" w:hAnsi="宋体" w:eastAsia="宋体" w:cs="宋体"/>
          <w:spacing w:val="-62"/>
          <w:w w:val="98"/>
          <w:sz w:val="24"/>
          <w:szCs w:val="24"/>
          <w:lang w:eastAsia="zh-CN"/>
        </w:rPr>
        <w:t>）；</w:t>
      </w:r>
    </w:p>
    <w:p w14:paraId="67723652">
      <w:pPr>
        <w:spacing w:before="78" w:line="264" w:lineRule="auto"/>
        <w:ind w:right="206" w:firstLine="476" w:firstLineChars="200"/>
        <w:rPr>
          <w:rFonts w:hint="eastAsia" w:ascii="宋体" w:hAnsi="宋体" w:eastAsia="宋体" w:cs="宋体"/>
          <w:spacing w:val="-63"/>
          <w:w w:val="98"/>
          <w:sz w:val="24"/>
          <w:szCs w:val="24"/>
          <w:lang w:eastAsia="zh-CN"/>
        </w:rPr>
      </w:pPr>
      <w:r>
        <w:rPr>
          <w:rFonts w:hint="eastAsia" w:ascii="宋体" w:hAnsi="宋体" w:eastAsia="宋体" w:cs="宋体"/>
          <w:spacing w:val="-1"/>
          <w:sz w:val="24"/>
          <w:szCs w:val="24"/>
          <w:lang w:eastAsia="zh-CN"/>
        </w:rPr>
        <w:t>（2）日常养护、发包人指定实施的养护工程、应急和</w:t>
      </w:r>
      <w:r>
        <w:rPr>
          <w:rFonts w:hint="eastAsia" w:ascii="宋体" w:hAnsi="宋体" w:eastAsia="宋体" w:cs="宋体"/>
          <w:spacing w:val="-2"/>
          <w:sz w:val="24"/>
          <w:szCs w:val="24"/>
          <w:lang w:eastAsia="zh-CN"/>
        </w:rPr>
        <w:t>不可预见的专项养护工</w:t>
      </w:r>
      <w:r>
        <w:rPr>
          <w:rFonts w:hint="eastAsia" w:ascii="宋体" w:hAnsi="宋体" w:eastAsia="宋体" w:cs="宋体"/>
          <w:spacing w:val="-3"/>
          <w:sz w:val="24"/>
          <w:szCs w:val="24"/>
          <w:lang w:eastAsia="zh-CN"/>
        </w:rPr>
        <w:t>程（工作</w:t>
      </w:r>
      <w:r>
        <w:rPr>
          <w:rFonts w:hint="eastAsia" w:ascii="宋体" w:hAnsi="宋体" w:eastAsia="宋体" w:cs="宋体"/>
          <w:spacing w:val="-63"/>
          <w:w w:val="98"/>
          <w:sz w:val="24"/>
          <w:szCs w:val="24"/>
          <w:lang w:eastAsia="zh-CN"/>
        </w:rPr>
        <w:t>）</w:t>
      </w:r>
    </w:p>
    <w:p w14:paraId="3D8CCD56">
      <w:pPr>
        <w:spacing w:before="78" w:line="264" w:lineRule="auto"/>
        <w:ind w:right="206" w:firstLine="468" w:firstLineChars="200"/>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（3）日常养护、发包人指定实施的养护工程、承包人自主实施的养护工程、</w:t>
      </w:r>
      <w:r>
        <w:rPr>
          <w:rFonts w:hint="eastAsia" w:ascii="宋体" w:hAnsi="宋体" w:eastAsia="宋体" w:cs="宋体"/>
          <w:spacing w:val="-1"/>
          <w:sz w:val="24"/>
          <w:szCs w:val="24"/>
          <w:lang w:eastAsia="zh-CN"/>
        </w:rPr>
        <w:t>应急和不可预见的专项养护工程（工作</w:t>
      </w:r>
      <w:r>
        <w:rPr>
          <w:rFonts w:hint="eastAsia" w:ascii="宋体" w:hAnsi="宋体" w:eastAsia="宋体" w:cs="宋体"/>
          <w:spacing w:val="-65"/>
          <w:sz w:val="24"/>
          <w:szCs w:val="24"/>
          <w:lang w:eastAsia="zh-CN"/>
        </w:rPr>
        <w:t>）；</w:t>
      </w:r>
    </w:p>
    <w:p w14:paraId="047F96C7">
      <w:pPr>
        <w:spacing w:before="113" w:line="264" w:lineRule="auto"/>
        <w:ind w:right="166" w:firstLine="492"/>
        <w:rPr>
          <w:rFonts w:hint="eastAsia" w:ascii="宋体" w:hAnsi="宋体" w:eastAsia="宋体" w:cs="宋体"/>
          <w:spacing w:val="-3"/>
          <w:sz w:val="24"/>
          <w:szCs w:val="24"/>
        </w:rPr>
      </w:pPr>
      <w:r>
        <w:rPr>
          <w:rFonts w:hint="eastAsia" w:ascii="宋体" w:hAnsi="宋体" w:eastAsia="宋体" w:cs="宋体"/>
          <w:spacing w:val="-1"/>
          <w:sz w:val="24"/>
          <w:szCs w:val="24"/>
          <w:lang w:eastAsia="zh-CN"/>
        </w:rPr>
        <w:t>（4）日常养护、承包人自主实施的养护工程、应急和</w:t>
      </w:r>
      <w:r>
        <w:rPr>
          <w:rFonts w:hint="eastAsia" w:ascii="宋体" w:hAnsi="宋体" w:eastAsia="宋体" w:cs="宋体"/>
          <w:spacing w:val="-2"/>
          <w:sz w:val="24"/>
          <w:szCs w:val="24"/>
          <w:lang w:eastAsia="zh-CN"/>
        </w:rPr>
        <w:t>不可预见的专项养护工</w:t>
      </w:r>
      <w:r>
        <w:rPr>
          <w:rFonts w:hint="eastAsia" w:ascii="宋体" w:hAnsi="宋体" w:eastAsia="宋体" w:cs="宋体"/>
          <w:spacing w:val="-16"/>
          <w:sz w:val="24"/>
          <w:szCs w:val="24"/>
          <w:lang w:eastAsia="zh-CN"/>
        </w:rPr>
        <w:t>程（工作）。</w:t>
      </w:r>
    </w:p>
    <w:p w14:paraId="7B4F7CEE">
      <w:pPr>
        <w:spacing w:before="115" w:line="219" w:lineRule="auto"/>
        <w:ind w:firstLine="452" w:firstLineChars="200"/>
        <w:rPr>
          <w:rFonts w:hint="eastAsia" w:ascii="宋体" w:hAnsi="宋体" w:eastAsia="宋体" w:cs="宋体"/>
          <w:sz w:val="24"/>
          <w:szCs w:val="24"/>
        </w:rPr>
      </w:pPr>
      <w:r>
        <w:rPr>
          <w:rFonts w:hint="eastAsia" w:ascii="宋体" w:hAnsi="宋体" w:eastAsia="宋体" w:cs="宋体"/>
          <w:spacing w:val="-7"/>
          <w:sz w:val="24"/>
          <w:szCs w:val="24"/>
        </w:rPr>
        <w:t>第</w:t>
      </w:r>
      <w:r>
        <w:rPr>
          <w:rFonts w:hint="eastAsia" w:ascii="宋体" w:hAnsi="宋体" w:eastAsia="宋体" w:cs="宋体"/>
          <w:spacing w:val="-26"/>
          <w:sz w:val="24"/>
          <w:szCs w:val="24"/>
        </w:rPr>
        <w:t xml:space="preserve"> </w:t>
      </w:r>
      <w:r>
        <w:rPr>
          <w:rFonts w:hint="eastAsia" w:ascii="宋体" w:hAnsi="宋体" w:eastAsia="宋体" w:cs="宋体"/>
          <w:spacing w:val="-7"/>
          <w:sz w:val="24"/>
          <w:szCs w:val="24"/>
        </w:rPr>
        <w:t>1.1.3.3  目完善为：</w:t>
      </w:r>
    </w:p>
    <w:p w14:paraId="2078C63A">
      <w:pPr>
        <w:spacing w:before="78" w:line="264" w:lineRule="auto"/>
        <w:ind w:right="206" w:firstLine="468" w:firstLineChars="200"/>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1.1.3.3 日常养护</w:t>
      </w:r>
    </w:p>
    <w:p w14:paraId="53E0A8AA">
      <w:pPr>
        <w:keepNext w:val="0"/>
        <w:keepLines w:val="0"/>
        <w:pageBreakBefore w:val="0"/>
        <w:widowControl w:val="0"/>
        <w:kinsoku/>
        <w:wordWrap/>
        <w:overflowPunct/>
        <w:topLinePunct w:val="0"/>
        <w:autoSpaceDE/>
        <w:autoSpaceDN/>
        <w:bidi w:val="0"/>
        <w:adjustRightInd/>
        <w:snapToGrid/>
        <w:spacing w:before="78" w:line="360" w:lineRule="auto"/>
        <w:ind w:right="204" w:firstLine="468" w:firstLineChars="200"/>
        <w:textAlignment w:val="auto"/>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日常养护具体工作范围为：</w:t>
      </w:r>
      <w:r>
        <w:rPr>
          <w:rFonts w:hint="eastAsia" w:ascii="宋体" w:hAnsi="宋体" w:eastAsia="宋体" w:cs="宋体"/>
          <w:spacing w:val="-3"/>
          <w:sz w:val="24"/>
          <w:szCs w:val="24"/>
          <w:u w:val="single"/>
          <w:lang w:eastAsia="zh-CN"/>
        </w:rPr>
        <w:t>巡查检查、日常保养（含绿化）、应急处置、冬季除冰雪、数据填报与管理、</w:t>
      </w:r>
      <w:r>
        <w:rPr>
          <w:rFonts w:hint="eastAsia" w:ascii="宋体" w:hAnsi="宋体" w:eastAsia="宋体" w:cs="宋体"/>
          <w:spacing w:val="-3"/>
          <w:sz w:val="24"/>
          <w:szCs w:val="24"/>
          <w:u w:val="single"/>
          <w:lang w:val="en-US" w:eastAsia="zh-CN"/>
        </w:rPr>
        <w:t>安全管理、不可预见的专项养护等</w:t>
      </w:r>
      <w:r>
        <w:rPr>
          <w:rFonts w:hint="eastAsia" w:ascii="宋体" w:hAnsi="宋体" w:eastAsia="宋体" w:cs="宋体"/>
          <w:spacing w:val="-3"/>
          <w:sz w:val="24"/>
          <w:szCs w:val="24"/>
          <w:lang w:eastAsia="zh-CN"/>
        </w:rPr>
        <w:t>。</w:t>
      </w:r>
    </w:p>
    <w:p w14:paraId="6256B0C2">
      <w:pPr>
        <w:keepNext w:val="0"/>
        <w:keepLines w:val="0"/>
        <w:pageBreakBefore w:val="0"/>
        <w:widowControl w:val="0"/>
        <w:kinsoku/>
        <w:wordWrap/>
        <w:overflowPunct/>
        <w:topLinePunct w:val="0"/>
        <w:autoSpaceDE/>
        <w:autoSpaceDN/>
        <w:bidi w:val="0"/>
        <w:adjustRightInd/>
        <w:snapToGrid/>
        <w:spacing w:before="78" w:line="360" w:lineRule="auto"/>
        <w:ind w:right="204" w:firstLine="468" w:firstLineChars="200"/>
        <w:textAlignment w:val="auto"/>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1</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巡查检查</w:t>
      </w:r>
      <w:r>
        <w:rPr>
          <w:rFonts w:hint="eastAsia" w:ascii="宋体" w:hAnsi="宋体" w:eastAsia="宋体" w:cs="宋体"/>
          <w:spacing w:val="-3"/>
          <w:sz w:val="24"/>
          <w:szCs w:val="24"/>
          <w:lang w:eastAsia="zh-CN"/>
        </w:rPr>
        <w:t>主要内容包含：</w:t>
      </w:r>
      <w:r>
        <w:rPr>
          <w:rFonts w:hint="eastAsia" w:ascii="宋体" w:hAnsi="宋体" w:eastAsia="宋体" w:cs="宋体"/>
          <w:spacing w:val="-3"/>
          <w:sz w:val="24"/>
          <w:szCs w:val="24"/>
          <w:lang w:val="en-US" w:eastAsia="zh-CN"/>
        </w:rPr>
        <w:t>按照</w:t>
      </w:r>
      <w:r>
        <w:rPr>
          <w:rFonts w:hint="eastAsia" w:ascii="宋体" w:hAnsi="宋体" w:eastAsia="宋体" w:cs="宋体"/>
          <w:spacing w:val="-3"/>
          <w:sz w:val="24"/>
          <w:szCs w:val="24"/>
          <w:lang w:eastAsia="zh-CN"/>
        </w:rPr>
        <w:t>《公路养护技术标准》(JTG 5110-2023)的内容和要求开展公路日常巡查、经常检查。</w:t>
      </w:r>
      <w:r>
        <w:rPr>
          <w:rFonts w:hint="eastAsia" w:ascii="宋体" w:hAnsi="宋体" w:eastAsia="宋体" w:cs="宋体"/>
          <w:spacing w:val="-3"/>
          <w:sz w:val="24"/>
          <w:szCs w:val="24"/>
          <w:lang w:val="en-US" w:eastAsia="zh-CN"/>
        </w:rPr>
        <w:t>相关费用包含在绩效清单报价中，</w:t>
      </w:r>
      <w:r>
        <w:rPr>
          <w:rFonts w:hint="eastAsia" w:ascii="宋体" w:hAnsi="宋体" w:eastAsia="宋体" w:cs="宋体"/>
          <w:spacing w:val="-3"/>
          <w:sz w:val="24"/>
          <w:szCs w:val="24"/>
          <w:lang w:eastAsia="zh-CN"/>
        </w:rPr>
        <w:t>按绩效考核</w:t>
      </w:r>
      <w:r>
        <w:rPr>
          <w:rFonts w:hint="eastAsia" w:ascii="宋体" w:hAnsi="宋体" w:eastAsia="宋体" w:cs="宋体"/>
          <w:spacing w:val="-3"/>
          <w:sz w:val="24"/>
          <w:szCs w:val="24"/>
          <w:lang w:val="en-US" w:eastAsia="zh-CN"/>
        </w:rPr>
        <w:t>模式</w:t>
      </w:r>
      <w:r>
        <w:rPr>
          <w:rFonts w:hint="eastAsia" w:ascii="宋体" w:hAnsi="宋体" w:eastAsia="宋体" w:cs="宋体"/>
          <w:spacing w:val="-3"/>
          <w:sz w:val="24"/>
          <w:szCs w:val="24"/>
          <w:lang w:eastAsia="zh-CN"/>
        </w:rPr>
        <w:t>管理。</w:t>
      </w:r>
    </w:p>
    <w:p w14:paraId="1783B454">
      <w:pPr>
        <w:keepNext w:val="0"/>
        <w:keepLines w:val="0"/>
        <w:pageBreakBefore w:val="0"/>
        <w:widowControl w:val="0"/>
        <w:kinsoku/>
        <w:wordWrap/>
        <w:overflowPunct/>
        <w:topLinePunct w:val="0"/>
        <w:autoSpaceDE/>
        <w:autoSpaceDN/>
        <w:bidi w:val="0"/>
        <w:adjustRightInd/>
        <w:snapToGrid/>
        <w:spacing w:before="78" w:line="360" w:lineRule="auto"/>
        <w:ind w:right="204" w:firstLine="468" w:firstLineChars="200"/>
        <w:textAlignment w:val="auto"/>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2</w:t>
      </w:r>
      <w:r>
        <w:rPr>
          <w:rFonts w:hint="eastAsia" w:ascii="宋体" w:hAnsi="宋体" w:eastAsia="宋体" w:cs="宋体"/>
          <w:spacing w:val="-3"/>
          <w:sz w:val="24"/>
          <w:szCs w:val="24"/>
          <w:lang w:eastAsia="zh-CN"/>
        </w:rPr>
        <w:t>）日常保养（</w:t>
      </w:r>
      <w:r>
        <w:rPr>
          <w:rFonts w:hint="eastAsia" w:ascii="宋体" w:hAnsi="宋体" w:eastAsia="宋体" w:cs="宋体"/>
          <w:spacing w:val="-3"/>
          <w:sz w:val="24"/>
          <w:szCs w:val="24"/>
          <w:lang w:val="en-US" w:eastAsia="zh-CN"/>
        </w:rPr>
        <w:t>含绿化</w:t>
      </w:r>
      <w:r>
        <w:rPr>
          <w:rFonts w:hint="eastAsia" w:ascii="宋体" w:hAnsi="宋体" w:eastAsia="宋体" w:cs="宋体"/>
          <w:spacing w:val="-3"/>
          <w:sz w:val="24"/>
          <w:szCs w:val="24"/>
          <w:lang w:eastAsia="zh-CN"/>
        </w:rPr>
        <w:t>）主要内容包含：路容保洁、路基清理、挡土墙等支挡结构物清理、路面清理、平交道口清理、桥梁清理、涵洞清理、隧道</w:t>
      </w:r>
      <w:r>
        <w:rPr>
          <w:rFonts w:hint="eastAsia" w:ascii="宋体" w:hAnsi="宋体" w:eastAsia="宋体" w:cs="宋体"/>
          <w:spacing w:val="-3"/>
          <w:sz w:val="24"/>
          <w:szCs w:val="24"/>
          <w:lang w:val="en-US" w:eastAsia="zh-CN"/>
        </w:rPr>
        <w:t>设施</w:t>
      </w:r>
      <w:r>
        <w:rPr>
          <w:rFonts w:hint="eastAsia" w:ascii="宋体" w:hAnsi="宋体" w:eastAsia="宋体" w:cs="宋体"/>
          <w:spacing w:val="-3"/>
          <w:sz w:val="24"/>
          <w:szCs w:val="24"/>
          <w:lang w:eastAsia="zh-CN"/>
        </w:rPr>
        <w:t>清理</w:t>
      </w:r>
      <w:r>
        <w:rPr>
          <w:rFonts w:hint="eastAsia" w:ascii="宋体" w:hAnsi="宋体" w:eastAsia="宋体" w:cs="宋体"/>
          <w:spacing w:val="-3"/>
          <w:sz w:val="24"/>
          <w:szCs w:val="24"/>
          <w:lang w:val="en-US" w:eastAsia="zh-CN"/>
        </w:rPr>
        <w:t>和维护</w:t>
      </w:r>
      <w:r>
        <w:rPr>
          <w:rFonts w:hint="eastAsia" w:ascii="宋体" w:hAnsi="宋体" w:eastAsia="宋体" w:cs="宋体"/>
          <w:spacing w:val="-3"/>
          <w:sz w:val="24"/>
          <w:szCs w:val="24"/>
          <w:lang w:eastAsia="zh-CN"/>
        </w:rPr>
        <w:t>、</w:t>
      </w:r>
      <w:r>
        <w:rPr>
          <w:rFonts w:hint="eastAsia" w:ascii="宋体" w:hAnsi="宋体" w:eastAsia="宋体" w:cs="宋体"/>
          <w:bCs/>
          <w:color w:val="auto"/>
          <w:spacing w:val="0"/>
          <w:w w:val="100"/>
          <w:position w:val="0"/>
          <w:sz w:val="24"/>
          <w:szCs w:val="24"/>
          <w:highlight w:val="none"/>
          <w:lang w:val="en-US" w:eastAsia="zh-CN"/>
        </w:rPr>
        <w:t>公路预警监测及信息情报板等设施维护、</w:t>
      </w:r>
      <w:r>
        <w:rPr>
          <w:rFonts w:hint="eastAsia" w:ascii="宋体" w:hAnsi="宋体" w:eastAsia="宋体" w:cs="宋体"/>
          <w:spacing w:val="-3"/>
          <w:sz w:val="24"/>
          <w:szCs w:val="24"/>
          <w:lang w:eastAsia="zh-CN"/>
        </w:rPr>
        <w:t>水沟等排水系统清理、路肩清理、标志标牌清洗、标线清洗、机械清洗护栏、停车服务区及候车亭清理、养护站房及庭院清理、路树修剪及管护、绿化花圃修剪及管护、刷白刷漆</w:t>
      </w:r>
      <w:r>
        <w:rPr>
          <w:rFonts w:hint="eastAsia" w:ascii="宋体" w:hAnsi="宋体" w:eastAsia="宋体" w:cs="宋体"/>
          <w:spacing w:val="-3"/>
          <w:sz w:val="24"/>
          <w:szCs w:val="24"/>
          <w:lang w:val="en-US" w:eastAsia="zh-CN"/>
        </w:rPr>
        <w:t>等</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相关费用包含在绩效清单报价中，</w:t>
      </w:r>
      <w:r>
        <w:rPr>
          <w:rFonts w:hint="eastAsia" w:ascii="宋体" w:hAnsi="宋体" w:eastAsia="宋体" w:cs="宋体"/>
          <w:spacing w:val="-3"/>
          <w:sz w:val="24"/>
          <w:szCs w:val="24"/>
          <w:lang w:eastAsia="zh-CN"/>
        </w:rPr>
        <w:t>按绩效考核</w:t>
      </w:r>
      <w:r>
        <w:rPr>
          <w:rFonts w:hint="eastAsia" w:ascii="宋体" w:hAnsi="宋体" w:eastAsia="宋体" w:cs="宋体"/>
          <w:spacing w:val="-3"/>
          <w:sz w:val="24"/>
          <w:szCs w:val="24"/>
          <w:lang w:val="en-US" w:eastAsia="zh-CN"/>
        </w:rPr>
        <w:t>模式</w:t>
      </w:r>
      <w:r>
        <w:rPr>
          <w:rFonts w:hint="eastAsia" w:ascii="宋体" w:hAnsi="宋体" w:eastAsia="宋体" w:cs="宋体"/>
          <w:spacing w:val="-3"/>
          <w:sz w:val="24"/>
          <w:szCs w:val="24"/>
          <w:lang w:eastAsia="zh-CN"/>
        </w:rPr>
        <w:t>管理。</w:t>
      </w:r>
    </w:p>
    <w:p w14:paraId="1F8A6631">
      <w:pPr>
        <w:keepNext w:val="0"/>
        <w:keepLines w:val="0"/>
        <w:pageBreakBefore w:val="0"/>
        <w:widowControl w:val="0"/>
        <w:kinsoku/>
        <w:wordWrap/>
        <w:overflowPunct/>
        <w:topLinePunct w:val="0"/>
        <w:autoSpaceDE/>
        <w:autoSpaceDN/>
        <w:bidi w:val="0"/>
        <w:adjustRightInd/>
        <w:snapToGrid/>
        <w:spacing w:before="78" w:line="360" w:lineRule="auto"/>
        <w:ind w:right="204" w:firstLine="468" w:firstLineChars="200"/>
        <w:textAlignment w:val="auto"/>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3</w:t>
      </w:r>
      <w:r>
        <w:rPr>
          <w:rFonts w:hint="eastAsia" w:ascii="宋体" w:hAnsi="宋体" w:eastAsia="宋体" w:cs="宋体"/>
          <w:spacing w:val="-3"/>
          <w:sz w:val="24"/>
          <w:szCs w:val="24"/>
          <w:lang w:eastAsia="zh-CN"/>
        </w:rPr>
        <w:t>）应急处置主要内容包含：清理</w:t>
      </w:r>
      <w:r>
        <w:rPr>
          <w:rFonts w:hint="eastAsia" w:ascii="宋体" w:hAnsi="宋体" w:eastAsia="宋体" w:cs="宋体"/>
          <w:spacing w:val="-3"/>
          <w:sz w:val="24"/>
          <w:szCs w:val="24"/>
          <w:lang w:val="en-US" w:eastAsia="zh-CN"/>
        </w:rPr>
        <w:t>塌方（单处＜</w:t>
      </w:r>
      <w:r>
        <w:rPr>
          <w:rFonts w:hint="eastAsia" w:ascii="宋体" w:hAnsi="宋体" w:eastAsia="宋体" w:cs="宋体"/>
          <w:spacing w:val="-3"/>
          <w:sz w:val="24"/>
          <w:szCs w:val="24"/>
          <w:lang w:eastAsia="zh-CN"/>
        </w:rPr>
        <w:t>5m³）、</w:t>
      </w:r>
      <w:r>
        <w:rPr>
          <w:rFonts w:hint="eastAsia" w:ascii="宋体" w:hAnsi="宋体" w:eastAsia="宋体" w:cs="宋体"/>
          <w:spacing w:val="-3"/>
          <w:sz w:val="24"/>
          <w:szCs w:val="24"/>
          <w:lang w:val="en-US" w:eastAsia="zh-CN"/>
        </w:rPr>
        <w:t>清理落石（单处＜0.5</w:t>
      </w:r>
      <w:r>
        <w:rPr>
          <w:rFonts w:hint="eastAsia" w:ascii="宋体" w:hAnsi="宋体" w:eastAsia="宋体" w:cs="宋体"/>
          <w:spacing w:val="-3"/>
          <w:sz w:val="24"/>
          <w:szCs w:val="24"/>
          <w:lang w:eastAsia="zh-CN"/>
        </w:rPr>
        <w:t>m³</w:t>
      </w:r>
      <w:r>
        <w:rPr>
          <w:rFonts w:hint="eastAsia" w:ascii="宋体" w:hAnsi="宋体" w:eastAsia="宋体" w:cs="宋体"/>
          <w:spacing w:val="-3"/>
          <w:sz w:val="24"/>
          <w:szCs w:val="24"/>
          <w:lang w:val="en-US" w:eastAsia="zh-CN"/>
        </w:rPr>
        <w:t>）</w:t>
      </w:r>
      <w:r>
        <w:rPr>
          <w:rFonts w:hint="eastAsia" w:ascii="宋体" w:hAnsi="宋体" w:eastAsia="宋体" w:cs="宋体"/>
          <w:spacing w:val="-3"/>
          <w:sz w:val="24"/>
          <w:szCs w:val="24"/>
          <w:lang w:eastAsia="zh-CN"/>
        </w:rPr>
        <w:t>、清理倒伏路树及危树（</w:t>
      </w:r>
      <w:r>
        <w:rPr>
          <w:rFonts w:hint="eastAsia" w:ascii="宋体" w:hAnsi="宋体" w:eastAsia="宋体" w:cs="宋体"/>
          <w:spacing w:val="-3"/>
          <w:sz w:val="24"/>
          <w:szCs w:val="24"/>
          <w:lang w:val="en-US" w:eastAsia="zh-CN"/>
        </w:rPr>
        <w:t>地径＜10cm</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防汛排水、清理路面洒落物、交通事故清障、路基路面塌陷临时处置、涉路管线倒伏隐患清理、路侧护栏损坏临时防护、桥梁涵洞隧道垮塌临时处置，以及所有公路突发事件或灾害事件的现场警示、管控、维护、值守等，相关费用包含在绩效清单报价中，</w:t>
      </w:r>
      <w:r>
        <w:rPr>
          <w:rFonts w:hint="eastAsia" w:ascii="宋体" w:hAnsi="宋体" w:eastAsia="宋体" w:cs="宋体"/>
          <w:spacing w:val="-3"/>
          <w:sz w:val="24"/>
          <w:szCs w:val="24"/>
          <w:lang w:eastAsia="zh-CN"/>
        </w:rPr>
        <w:t>按绩效考核</w:t>
      </w:r>
      <w:r>
        <w:rPr>
          <w:rFonts w:hint="eastAsia" w:ascii="宋体" w:hAnsi="宋体" w:eastAsia="宋体" w:cs="宋体"/>
          <w:spacing w:val="-3"/>
          <w:sz w:val="24"/>
          <w:szCs w:val="24"/>
          <w:lang w:val="en-US" w:eastAsia="zh-CN"/>
        </w:rPr>
        <w:t>模式</w:t>
      </w:r>
      <w:r>
        <w:rPr>
          <w:rFonts w:hint="eastAsia" w:ascii="宋体" w:hAnsi="宋体" w:eastAsia="宋体" w:cs="宋体"/>
          <w:spacing w:val="-3"/>
          <w:sz w:val="24"/>
          <w:szCs w:val="24"/>
          <w:lang w:eastAsia="zh-CN"/>
        </w:rPr>
        <w:t>管理。</w:t>
      </w:r>
    </w:p>
    <w:p w14:paraId="457BFC65">
      <w:pPr>
        <w:keepNext w:val="0"/>
        <w:keepLines w:val="0"/>
        <w:pageBreakBefore w:val="0"/>
        <w:widowControl w:val="0"/>
        <w:kinsoku/>
        <w:wordWrap/>
        <w:overflowPunct/>
        <w:topLinePunct w:val="0"/>
        <w:autoSpaceDE/>
        <w:autoSpaceDN/>
        <w:bidi w:val="0"/>
        <w:adjustRightInd/>
        <w:snapToGrid/>
        <w:spacing w:before="78" w:line="360" w:lineRule="auto"/>
        <w:ind w:right="204" w:firstLine="468" w:firstLineChars="200"/>
        <w:textAlignment w:val="auto"/>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4</w:t>
      </w:r>
      <w:r>
        <w:rPr>
          <w:rFonts w:hint="eastAsia" w:ascii="宋体" w:hAnsi="宋体" w:eastAsia="宋体" w:cs="宋体"/>
          <w:spacing w:val="-3"/>
          <w:sz w:val="24"/>
          <w:szCs w:val="24"/>
          <w:lang w:eastAsia="zh-CN"/>
        </w:rPr>
        <w:t>）冬季除冰雪主要内容包含：</w:t>
      </w:r>
      <w:r>
        <w:rPr>
          <w:rFonts w:hint="eastAsia" w:ascii="宋体" w:hAnsi="宋体" w:eastAsia="宋体" w:cs="宋体"/>
          <w:spacing w:val="-3"/>
          <w:sz w:val="24"/>
          <w:szCs w:val="24"/>
          <w:lang w:val="en-US" w:eastAsia="zh-CN"/>
        </w:rPr>
        <w:t>除冰雪前后以及作业期间的通行引导、现场警示、管控维护、现场值守等相关费用包含在绩效清单报价中，</w:t>
      </w:r>
      <w:r>
        <w:rPr>
          <w:rFonts w:hint="eastAsia" w:ascii="宋体" w:hAnsi="宋体" w:eastAsia="宋体" w:cs="宋体"/>
          <w:spacing w:val="-3"/>
          <w:sz w:val="24"/>
          <w:szCs w:val="24"/>
          <w:lang w:eastAsia="zh-CN"/>
        </w:rPr>
        <w:t>按绩效考核</w:t>
      </w:r>
      <w:r>
        <w:rPr>
          <w:rFonts w:hint="eastAsia" w:ascii="宋体" w:hAnsi="宋体" w:eastAsia="宋体" w:cs="宋体"/>
          <w:spacing w:val="-3"/>
          <w:sz w:val="24"/>
          <w:szCs w:val="24"/>
          <w:lang w:val="en-US" w:eastAsia="zh-CN"/>
        </w:rPr>
        <w:t>模式</w:t>
      </w:r>
      <w:r>
        <w:rPr>
          <w:rFonts w:hint="eastAsia" w:ascii="宋体" w:hAnsi="宋体" w:eastAsia="宋体" w:cs="宋体"/>
          <w:spacing w:val="-3"/>
          <w:sz w:val="24"/>
          <w:szCs w:val="24"/>
          <w:lang w:eastAsia="zh-CN"/>
        </w:rPr>
        <w:t>管理。</w:t>
      </w:r>
    </w:p>
    <w:p w14:paraId="01C9B01B">
      <w:pPr>
        <w:keepNext w:val="0"/>
        <w:keepLines w:val="0"/>
        <w:pageBreakBefore w:val="0"/>
        <w:widowControl w:val="0"/>
        <w:kinsoku/>
        <w:wordWrap/>
        <w:overflowPunct/>
        <w:topLinePunct w:val="0"/>
        <w:autoSpaceDE/>
        <w:autoSpaceDN/>
        <w:bidi w:val="0"/>
        <w:adjustRightInd/>
        <w:snapToGrid/>
        <w:spacing w:before="78" w:line="360" w:lineRule="auto"/>
        <w:ind w:right="204" w:firstLine="468" w:firstLineChars="200"/>
        <w:textAlignment w:val="auto"/>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5</w:t>
      </w:r>
      <w:r>
        <w:rPr>
          <w:rFonts w:hint="eastAsia" w:ascii="宋体" w:hAnsi="宋体" w:eastAsia="宋体" w:cs="宋体"/>
          <w:spacing w:val="-3"/>
          <w:sz w:val="24"/>
          <w:szCs w:val="24"/>
          <w:lang w:eastAsia="zh-CN"/>
        </w:rPr>
        <w:t>）数据填报与管理主要内容包含：养护计划、作业日志记录、日常巡查及经常检查和处置等记录、日常保养和日常维修施工作业记录、质量合格证明、应急处置及养护作业安全管理资料等。</w:t>
      </w:r>
      <w:r>
        <w:rPr>
          <w:rFonts w:hint="eastAsia" w:ascii="宋体" w:hAnsi="宋体" w:eastAsia="宋体" w:cs="宋体"/>
          <w:spacing w:val="-3"/>
          <w:sz w:val="24"/>
          <w:szCs w:val="24"/>
          <w:lang w:val="en-US" w:eastAsia="zh-CN"/>
        </w:rPr>
        <w:t>相关费用包含在绩效清单报价中，</w:t>
      </w:r>
      <w:r>
        <w:rPr>
          <w:rFonts w:hint="eastAsia" w:ascii="宋体" w:hAnsi="宋体" w:eastAsia="宋体" w:cs="宋体"/>
          <w:spacing w:val="-3"/>
          <w:sz w:val="24"/>
          <w:szCs w:val="24"/>
          <w:lang w:eastAsia="zh-CN"/>
        </w:rPr>
        <w:t>按绩效考核</w:t>
      </w:r>
      <w:r>
        <w:rPr>
          <w:rFonts w:hint="eastAsia" w:ascii="宋体" w:hAnsi="宋体" w:eastAsia="宋体" w:cs="宋体"/>
          <w:spacing w:val="-3"/>
          <w:sz w:val="24"/>
          <w:szCs w:val="24"/>
          <w:lang w:val="en-US" w:eastAsia="zh-CN"/>
        </w:rPr>
        <w:t>模式</w:t>
      </w:r>
      <w:r>
        <w:rPr>
          <w:rFonts w:hint="eastAsia" w:ascii="宋体" w:hAnsi="宋体" w:eastAsia="宋体" w:cs="宋体"/>
          <w:spacing w:val="-3"/>
          <w:sz w:val="24"/>
          <w:szCs w:val="24"/>
          <w:lang w:eastAsia="zh-CN"/>
        </w:rPr>
        <w:t>管理。</w:t>
      </w:r>
    </w:p>
    <w:p w14:paraId="53E37F25">
      <w:pPr>
        <w:keepNext w:val="0"/>
        <w:keepLines w:val="0"/>
        <w:pageBreakBefore w:val="0"/>
        <w:widowControl w:val="0"/>
        <w:kinsoku/>
        <w:wordWrap/>
        <w:overflowPunct/>
        <w:topLinePunct w:val="0"/>
        <w:autoSpaceDE/>
        <w:autoSpaceDN/>
        <w:bidi w:val="0"/>
        <w:adjustRightInd/>
        <w:snapToGrid/>
        <w:spacing w:before="78" w:line="360" w:lineRule="auto"/>
        <w:ind w:right="204" w:firstLine="468" w:firstLineChars="200"/>
        <w:textAlignment w:val="auto"/>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6</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安全管理</w:t>
      </w:r>
      <w:r>
        <w:rPr>
          <w:rFonts w:hint="eastAsia" w:ascii="宋体" w:hAnsi="宋体" w:eastAsia="宋体" w:cs="宋体"/>
          <w:spacing w:val="-3"/>
          <w:sz w:val="24"/>
          <w:szCs w:val="24"/>
          <w:lang w:eastAsia="zh-CN"/>
        </w:rPr>
        <w:t>主要内容包含：成立安全组织机构、做好公路应急处置准备并建立应急机制；购买安全生产责任保险、意外险、第三者责任险等；按《公路养护安全作业规程》（JTG H30-2015）规范要求和国家现行《安全生产法》、《道路交通安全法》要求开展养护现场作业，规范公路标志服帽着装、规范设置公路养护安全作业区，涉险作业设置防护设施，开展作业前安全交底和学习教育，安全操作；各类应急处置路段警示设置及管控等。</w:t>
      </w:r>
      <w:r>
        <w:rPr>
          <w:rFonts w:hint="eastAsia" w:ascii="宋体" w:hAnsi="宋体" w:eastAsia="宋体" w:cs="宋体"/>
          <w:spacing w:val="-3"/>
          <w:sz w:val="24"/>
          <w:szCs w:val="24"/>
          <w:lang w:val="en-US" w:eastAsia="zh-CN"/>
        </w:rPr>
        <w:t>相关费用包含在绩效清单报价中，</w:t>
      </w:r>
      <w:r>
        <w:rPr>
          <w:rFonts w:hint="eastAsia" w:ascii="宋体" w:hAnsi="宋体" w:eastAsia="宋体" w:cs="宋体"/>
          <w:spacing w:val="-3"/>
          <w:sz w:val="24"/>
          <w:szCs w:val="24"/>
          <w:lang w:eastAsia="zh-CN"/>
        </w:rPr>
        <w:t>按绩效考核</w:t>
      </w:r>
      <w:r>
        <w:rPr>
          <w:rFonts w:hint="eastAsia" w:ascii="宋体" w:hAnsi="宋体" w:eastAsia="宋体" w:cs="宋体"/>
          <w:spacing w:val="-3"/>
          <w:sz w:val="24"/>
          <w:szCs w:val="24"/>
          <w:lang w:val="en-US" w:eastAsia="zh-CN"/>
        </w:rPr>
        <w:t>模式</w:t>
      </w:r>
      <w:r>
        <w:rPr>
          <w:rFonts w:hint="eastAsia" w:ascii="宋体" w:hAnsi="宋体" w:eastAsia="宋体" w:cs="宋体"/>
          <w:spacing w:val="-3"/>
          <w:sz w:val="24"/>
          <w:szCs w:val="24"/>
          <w:lang w:eastAsia="zh-CN"/>
        </w:rPr>
        <w:t>管理。</w:t>
      </w:r>
    </w:p>
    <w:p w14:paraId="21AB6CD7">
      <w:pPr>
        <w:keepNext w:val="0"/>
        <w:keepLines w:val="0"/>
        <w:pageBreakBefore w:val="0"/>
        <w:widowControl w:val="0"/>
        <w:kinsoku/>
        <w:wordWrap/>
        <w:overflowPunct/>
        <w:topLinePunct w:val="0"/>
        <w:autoSpaceDE/>
        <w:autoSpaceDN/>
        <w:bidi w:val="0"/>
        <w:adjustRightInd/>
        <w:snapToGrid/>
        <w:spacing w:before="78" w:line="360" w:lineRule="auto"/>
        <w:ind w:right="204" w:firstLine="468" w:firstLineChars="200"/>
        <w:textAlignment w:val="auto"/>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7</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不可预见的专项养护</w:t>
      </w:r>
      <w:r>
        <w:rPr>
          <w:rFonts w:hint="eastAsia" w:ascii="宋体" w:hAnsi="宋体" w:eastAsia="宋体" w:cs="宋体"/>
          <w:spacing w:val="-3"/>
          <w:sz w:val="24"/>
          <w:szCs w:val="24"/>
          <w:lang w:eastAsia="zh-CN"/>
        </w:rPr>
        <w:t>主要内容包含：候车亭整治、重要节点路段提升（县城出入口、产业园区出入口、旅游景区出入口、省际交界路段）、公路路面防洒落治理、过境公路排水系统治堵、路域环境整治、护栏提升等保洁、清理类相关费用包含在绩效清单报价中，按绩效考核</w:t>
      </w:r>
      <w:r>
        <w:rPr>
          <w:rFonts w:hint="eastAsia" w:ascii="宋体" w:hAnsi="宋体" w:eastAsia="宋体" w:cs="宋体"/>
          <w:spacing w:val="-3"/>
          <w:sz w:val="24"/>
          <w:szCs w:val="24"/>
          <w:lang w:val="en-US" w:eastAsia="zh-CN"/>
        </w:rPr>
        <w:t>模式</w:t>
      </w:r>
      <w:r>
        <w:rPr>
          <w:rFonts w:hint="eastAsia" w:ascii="宋体" w:hAnsi="宋体" w:eastAsia="宋体" w:cs="宋体"/>
          <w:spacing w:val="-3"/>
          <w:sz w:val="24"/>
          <w:szCs w:val="24"/>
          <w:lang w:eastAsia="zh-CN"/>
        </w:rPr>
        <w:t>管理，</w:t>
      </w:r>
      <w:r>
        <w:rPr>
          <w:rFonts w:hint="eastAsia" w:ascii="宋体" w:hAnsi="宋体" w:eastAsia="宋体" w:cs="宋体"/>
          <w:spacing w:val="-3"/>
          <w:sz w:val="24"/>
          <w:szCs w:val="24"/>
          <w:lang w:val="en-US" w:eastAsia="zh-CN"/>
        </w:rPr>
        <w:t>不予计量</w:t>
      </w:r>
      <w:r>
        <w:rPr>
          <w:rFonts w:hint="eastAsia" w:ascii="宋体" w:hAnsi="宋体" w:eastAsia="宋体" w:cs="宋体"/>
          <w:spacing w:val="-3"/>
          <w:sz w:val="24"/>
          <w:szCs w:val="24"/>
          <w:lang w:eastAsia="zh-CN"/>
        </w:rPr>
        <w:t>。</w:t>
      </w:r>
    </w:p>
    <w:p w14:paraId="39F9FE1C">
      <w:pPr>
        <w:spacing w:line="360" w:lineRule="auto"/>
        <w:ind w:firstLine="420"/>
        <w:rPr>
          <w:rFonts w:hint="eastAsia" w:ascii="宋体" w:hAnsi="宋体" w:eastAsia="宋体" w:cs="宋体"/>
          <w:sz w:val="24"/>
          <w:szCs w:val="24"/>
          <w:u w:val="single"/>
          <w:lang w:val="en-US"/>
        </w:rPr>
      </w:pPr>
    </w:p>
    <w:p w14:paraId="696F89CB">
      <w:pPr>
        <w:spacing w:before="116" w:line="219" w:lineRule="auto"/>
        <w:ind w:left="481"/>
        <w:rPr>
          <w:rFonts w:hint="eastAsia" w:ascii="宋体" w:hAnsi="宋体" w:eastAsia="宋体" w:cs="宋体"/>
          <w:sz w:val="24"/>
          <w:szCs w:val="24"/>
        </w:rPr>
      </w:pPr>
      <w:r>
        <w:rPr>
          <w:rFonts w:hint="eastAsia" w:ascii="宋体" w:hAnsi="宋体" w:eastAsia="宋体" w:cs="宋体"/>
          <w:spacing w:val="-7"/>
          <w:sz w:val="24"/>
          <w:szCs w:val="24"/>
        </w:rPr>
        <w:t>补充第</w:t>
      </w:r>
      <w:r>
        <w:rPr>
          <w:rFonts w:hint="eastAsia" w:ascii="宋体" w:hAnsi="宋体" w:eastAsia="宋体" w:cs="宋体"/>
          <w:spacing w:val="-23"/>
          <w:sz w:val="24"/>
          <w:szCs w:val="24"/>
        </w:rPr>
        <w:t xml:space="preserve"> </w:t>
      </w:r>
      <w:r>
        <w:rPr>
          <w:rFonts w:hint="eastAsia" w:ascii="宋体" w:hAnsi="宋体" w:eastAsia="宋体" w:cs="宋体"/>
          <w:spacing w:val="-7"/>
          <w:sz w:val="24"/>
          <w:szCs w:val="24"/>
        </w:rPr>
        <w:t>1.1.3.13  目~第</w:t>
      </w:r>
      <w:r>
        <w:rPr>
          <w:rFonts w:hint="eastAsia" w:ascii="宋体" w:hAnsi="宋体" w:eastAsia="宋体" w:cs="宋体"/>
          <w:spacing w:val="-32"/>
          <w:sz w:val="24"/>
          <w:szCs w:val="24"/>
        </w:rPr>
        <w:t xml:space="preserve"> </w:t>
      </w:r>
      <w:r>
        <w:rPr>
          <w:rFonts w:hint="eastAsia" w:ascii="宋体" w:hAnsi="宋体" w:eastAsia="宋体" w:cs="宋体"/>
          <w:spacing w:val="-7"/>
          <w:sz w:val="24"/>
          <w:szCs w:val="24"/>
        </w:rPr>
        <w:t>1.1.3.15  目：</w:t>
      </w:r>
    </w:p>
    <w:p w14:paraId="349C2ADC">
      <w:pPr>
        <w:spacing w:before="114" w:line="308" w:lineRule="auto"/>
        <w:ind w:left="5" w:right="166" w:firstLine="494"/>
        <w:rPr>
          <w:rFonts w:hint="eastAsia" w:ascii="宋体" w:hAnsi="宋体" w:eastAsia="宋体" w:cs="宋体"/>
          <w:spacing w:val="-1"/>
          <w:sz w:val="24"/>
          <w:szCs w:val="24"/>
        </w:rPr>
      </w:pPr>
      <w:r>
        <w:rPr>
          <w:rFonts w:hint="eastAsia" w:ascii="宋体" w:hAnsi="宋体" w:eastAsia="宋体" w:cs="宋体"/>
          <w:spacing w:val="3"/>
          <w:sz w:val="24"/>
          <w:szCs w:val="24"/>
        </w:rPr>
        <w:t>1.1.3.13</w:t>
      </w:r>
      <w:r>
        <w:rPr>
          <w:rFonts w:hint="eastAsia" w:ascii="宋体" w:hAnsi="宋体" w:eastAsia="宋体" w:cs="宋体"/>
          <w:spacing w:val="18"/>
          <w:sz w:val="24"/>
          <w:szCs w:val="24"/>
        </w:rPr>
        <w:t xml:space="preserve"> </w:t>
      </w:r>
      <w:r>
        <w:rPr>
          <w:rFonts w:hint="eastAsia" w:ascii="宋体" w:hAnsi="宋体" w:eastAsia="宋体" w:cs="宋体"/>
          <w:spacing w:val="3"/>
          <w:sz w:val="24"/>
          <w:szCs w:val="24"/>
        </w:rPr>
        <w:t>发包人指定实施的养护工程：发包人指定承包人按</w:t>
      </w:r>
      <w:r>
        <w:rPr>
          <w:rFonts w:hint="eastAsia" w:ascii="宋体" w:hAnsi="宋体" w:eastAsia="宋体" w:cs="宋体"/>
          <w:spacing w:val="2"/>
          <w:sz w:val="24"/>
          <w:szCs w:val="24"/>
        </w:rPr>
        <w:t>照其提供的施工图</w:t>
      </w:r>
      <w:r>
        <w:rPr>
          <w:rFonts w:hint="eastAsia" w:ascii="宋体" w:hAnsi="宋体" w:eastAsia="宋体" w:cs="宋体"/>
          <w:spacing w:val="-1"/>
          <w:sz w:val="24"/>
          <w:szCs w:val="24"/>
        </w:rPr>
        <w:t>设计文件组织实施的养护工程。</w:t>
      </w:r>
    </w:p>
    <w:p w14:paraId="4B376932">
      <w:pPr>
        <w:spacing w:line="220" w:lineRule="auto"/>
        <w:ind w:left="486"/>
        <w:rPr>
          <w:rFonts w:hint="eastAsia" w:ascii="宋体" w:hAnsi="宋体" w:eastAsia="宋体" w:cs="宋体"/>
          <w:spacing w:val="-1"/>
          <w:sz w:val="24"/>
          <w:szCs w:val="24"/>
        </w:rPr>
      </w:pPr>
      <w:r>
        <w:rPr>
          <w:rFonts w:hint="eastAsia" w:ascii="宋体" w:hAnsi="宋体" w:eastAsia="宋体" w:cs="宋体"/>
          <w:spacing w:val="-1"/>
          <w:sz w:val="24"/>
          <w:szCs w:val="24"/>
          <w:lang w:eastAsia="zh-CN"/>
        </w:rPr>
        <w:t>具体工作范围为：</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val="en-US"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w:t>
      </w:r>
    </w:p>
    <w:p w14:paraId="5885980C">
      <w:pPr>
        <w:spacing w:before="112" w:line="264" w:lineRule="auto"/>
        <w:ind w:left="4" w:right="166" w:firstLine="495"/>
        <w:rPr>
          <w:rFonts w:hint="eastAsia" w:ascii="宋体" w:hAnsi="宋体" w:eastAsia="宋体" w:cs="宋体"/>
          <w:sz w:val="24"/>
          <w:szCs w:val="24"/>
        </w:rPr>
      </w:pPr>
      <w:r>
        <w:rPr>
          <w:rFonts w:hint="eastAsia" w:ascii="宋体" w:hAnsi="宋体" w:eastAsia="宋体" w:cs="宋体"/>
          <w:spacing w:val="2"/>
          <w:sz w:val="24"/>
          <w:szCs w:val="24"/>
        </w:rPr>
        <w:t>1.1.3.</w:t>
      </w:r>
      <w:r>
        <w:rPr>
          <w:rFonts w:hint="eastAsia" w:ascii="宋体" w:hAnsi="宋体" w:eastAsia="宋体" w:cs="宋体"/>
          <w:spacing w:val="-14"/>
          <w:sz w:val="24"/>
          <w:szCs w:val="24"/>
        </w:rPr>
        <w:t xml:space="preserve"> </w:t>
      </w:r>
      <w:r>
        <w:rPr>
          <w:rFonts w:hint="eastAsia" w:ascii="宋体" w:hAnsi="宋体" w:eastAsia="宋体" w:cs="宋体"/>
          <w:spacing w:val="2"/>
          <w:sz w:val="24"/>
          <w:szCs w:val="24"/>
        </w:rPr>
        <w:t>14 承包人自主实施的养护工程：指承包人为了达到合同约定的绩效服务</w:t>
      </w:r>
      <w:r>
        <w:rPr>
          <w:rFonts w:hint="eastAsia" w:ascii="宋体" w:hAnsi="宋体" w:eastAsia="宋体" w:cs="宋体"/>
          <w:sz w:val="24"/>
          <w:szCs w:val="24"/>
        </w:rPr>
        <w:t>水平，承包人在合同期内按照合同约定的要求自</w:t>
      </w:r>
      <w:r>
        <w:rPr>
          <w:rFonts w:hint="eastAsia" w:ascii="宋体" w:hAnsi="宋体" w:eastAsia="宋体" w:cs="宋体"/>
          <w:spacing w:val="-1"/>
          <w:sz w:val="24"/>
          <w:szCs w:val="24"/>
        </w:rPr>
        <w:t>主设计并组织实施的养护工程。</w:t>
      </w:r>
    </w:p>
    <w:p w14:paraId="621F6913">
      <w:pPr>
        <w:spacing w:before="116" w:line="278" w:lineRule="auto"/>
        <w:ind w:right="164" w:firstLine="499"/>
        <w:rPr>
          <w:rFonts w:hint="eastAsia" w:ascii="宋体" w:hAnsi="宋体" w:eastAsia="宋体" w:cs="宋体"/>
          <w:sz w:val="24"/>
          <w:szCs w:val="24"/>
        </w:rPr>
      </w:pPr>
      <w:r>
        <w:rPr>
          <w:rFonts w:hint="eastAsia" w:ascii="宋体" w:hAnsi="宋体" w:eastAsia="宋体" w:cs="宋体"/>
          <w:spacing w:val="5"/>
          <w:sz w:val="24"/>
          <w:szCs w:val="24"/>
        </w:rPr>
        <w:t>1.1.3.15</w:t>
      </w:r>
      <w:r>
        <w:rPr>
          <w:rFonts w:hint="eastAsia" w:ascii="宋体" w:hAnsi="宋体" w:eastAsia="宋体" w:cs="宋体"/>
          <w:spacing w:val="26"/>
          <w:w w:val="101"/>
          <w:sz w:val="24"/>
          <w:szCs w:val="24"/>
        </w:rPr>
        <w:t xml:space="preserve"> </w:t>
      </w:r>
      <w:r>
        <w:rPr>
          <w:rFonts w:hint="eastAsia" w:ascii="宋体" w:hAnsi="宋体" w:eastAsia="宋体" w:cs="宋体"/>
          <w:spacing w:val="5"/>
          <w:sz w:val="24"/>
          <w:szCs w:val="24"/>
        </w:rPr>
        <w:t>应急和不可预见的专项养护工程（工作</w:t>
      </w:r>
      <w:r>
        <w:rPr>
          <w:rFonts w:hint="eastAsia" w:ascii="宋体" w:hAnsi="宋体" w:eastAsia="宋体" w:cs="宋体"/>
          <w:spacing w:val="-25"/>
          <w:sz w:val="24"/>
          <w:szCs w:val="24"/>
        </w:rPr>
        <w:t>）：</w:t>
      </w:r>
      <w:r>
        <w:rPr>
          <w:rFonts w:hint="eastAsia" w:ascii="宋体" w:hAnsi="宋体" w:eastAsia="宋体" w:cs="宋体"/>
          <w:spacing w:val="5"/>
          <w:sz w:val="24"/>
          <w:szCs w:val="24"/>
        </w:rPr>
        <w:t>指不在第 1.1.3.3  目、第</w:t>
      </w:r>
      <w:r>
        <w:rPr>
          <w:rFonts w:hint="eastAsia" w:ascii="宋体" w:hAnsi="宋体" w:eastAsia="宋体" w:cs="宋体"/>
          <w:spacing w:val="1"/>
          <w:sz w:val="24"/>
          <w:szCs w:val="24"/>
        </w:rPr>
        <w:t>1.1.3.13  目、第</w:t>
      </w:r>
      <w:r>
        <w:rPr>
          <w:rFonts w:hint="eastAsia" w:ascii="宋体" w:hAnsi="宋体" w:eastAsia="宋体" w:cs="宋体"/>
          <w:spacing w:val="-25"/>
          <w:sz w:val="24"/>
          <w:szCs w:val="24"/>
        </w:rPr>
        <w:t xml:space="preserve"> </w:t>
      </w:r>
      <w:r>
        <w:rPr>
          <w:rFonts w:hint="eastAsia" w:ascii="宋体" w:hAnsi="宋体" w:eastAsia="宋体" w:cs="宋体"/>
          <w:spacing w:val="1"/>
          <w:sz w:val="24"/>
          <w:szCs w:val="24"/>
        </w:rPr>
        <w:t>1.1.3.14  目约定范围内的不可预见的专项养护工程、应急养护工程</w:t>
      </w:r>
      <w:r>
        <w:rPr>
          <w:rFonts w:hint="eastAsia" w:ascii="宋体" w:hAnsi="宋体" w:eastAsia="宋体" w:cs="宋体"/>
          <w:spacing w:val="-2"/>
          <w:sz w:val="24"/>
          <w:szCs w:val="24"/>
        </w:rPr>
        <w:t>及其他相关工作。</w:t>
      </w:r>
    </w:p>
    <w:p w14:paraId="58540DFB">
      <w:pPr>
        <w:keepNext w:val="0"/>
        <w:keepLines w:val="0"/>
        <w:pageBreakBefore w:val="0"/>
        <w:kinsoku/>
        <w:wordWrap/>
        <w:overflowPunct/>
        <w:topLinePunct w:val="0"/>
        <w:autoSpaceDE/>
        <w:autoSpaceDN/>
        <w:bidi w:val="0"/>
        <w:adjustRightInd/>
        <w:snapToGrid/>
        <w:spacing w:before="116" w:line="360" w:lineRule="auto"/>
        <w:ind w:left="481"/>
        <w:textAlignment w:val="auto"/>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应急和不可预见的专项养护工程（工作）的内容为：</w:t>
      </w:r>
    </w:p>
    <w:p w14:paraId="6B9BD9D8">
      <w:pPr>
        <w:keepNext w:val="0"/>
        <w:keepLines w:val="0"/>
        <w:pageBreakBefore w:val="0"/>
        <w:kinsoku/>
        <w:wordWrap/>
        <w:overflowPunct/>
        <w:topLinePunct w:val="0"/>
        <w:autoSpaceDE/>
        <w:autoSpaceDN/>
        <w:bidi w:val="0"/>
        <w:adjustRightInd/>
        <w:snapToGrid/>
        <w:spacing w:before="114" w:line="360" w:lineRule="auto"/>
        <w:ind w:left="0" w:right="166" w:firstLine="478"/>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pacing w:val="4"/>
          <w:sz w:val="24"/>
          <w:szCs w:val="24"/>
          <w:highlight w:val="none"/>
        </w:rPr>
        <w:t>I 类：公路突发损毁的抢通、保通、临时抢修</w:t>
      </w:r>
      <w:r>
        <w:rPr>
          <w:rFonts w:hint="eastAsia" w:ascii="宋体" w:hAnsi="宋体" w:eastAsia="宋体" w:cs="宋体"/>
          <w:color w:val="auto"/>
          <w:spacing w:val="3"/>
          <w:sz w:val="24"/>
          <w:szCs w:val="24"/>
          <w:highlight w:val="none"/>
        </w:rPr>
        <w:t>及应急保障</w:t>
      </w:r>
      <w:r>
        <w:rPr>
          <w:rFonts w:hint="eastAsia" w:ascii="宋体" w:hAnsi="宋体" w:eastAsia="宋体" w:cs="宋体"/>
          <w:color w:val="auto"/>
          <w:spacing w:val="4"/>
          <w:sz w:val="24"/>
          <w:szCs w:val="24"/>
          <w:highlight w:val="none"/>
        </w:rPr>
        <w:t>，具体内容为</w:t>
      </w:r>
      <w:r>
        <w:rPr>
          <w:rFonts w:hint="eastAsia" w:ascii="宋体" w:hAnsi="宋体" w:eastAsia="宋体" w:cs="宋体"/>
          <w:color w:val="auto"/>
          <w:spacing w:val="-27"/>
          <w:sz w:val="24"/>
          <w:szCs w:val="24"/>
          <w:highlight w:val="none"/>
        </w:rPr>
        <w:t>：</w:t>
      </w:r>
      <w:r>
        <w:rPr>
          <w:rFonts w:hint="eastAsia" w:ascii="宋体" w:hAnsi="宋体" w:eastAsia="宋体" w:cs="宋体"/>
          <w:color w:val="auto"/>
          <w:sz w:val="24"/>
          <w:szCs w:val="24"/>
          <w:highlight w:val="none"/>
          <w:u w:val="single"/>
        </w:rPr>
        <w:t>清理塌方（单处＜5m³）、清理落石（单处＜0.5m³）、清理倒伏路树及危树（地径＜10cm）、防汛排水、清理路面洒落物、交通事故清障、路基路面塌陷临时处置、涉路管线倒伏隐患清理、路侧护栏损坏临时防护、桥梁涵洞隧道垮塌临时处置，以及所有公路突发事件或灾害事件的现场警示、管控、维护、值守等，相关费用包含在绩效清单报价中，按绩效考核模式管理。</w:t>
      </w:r>
    </w:p>
    <w:p w14:paraId="34E45C4B">
      <w:pPr>
        <w:spacing w:before="114" w:line="308" w:lineRule="auto"/>
        <w:ind w:firstLine="48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处置要求为</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u w:val="single"/>
        </w:rPr>
        <w:t>具有应急机构、应急预案、应急物资和设备、应急队伍，对巡查发现的应急事项或对发包人发出的应急通知应在30分钟内完成响应，一般1小时内要到达现场处置和管控，最迟不超过2小时，常规险情要在24小时内完成处置，艰险情况要配合好发包人和当地政府开展抢险救灾工作</w:t>
      </w:r>
    </w:p>
    <w:p w14:paraId="6CE88736">
      <w:pPr>
        <w:keepNext w:val="0"/>
        <w:keepLines w:val="0"/>
        <w:pageBreakBefore w:val="0"/>
        <w:widowControl/>
        <w:kinsoku/>
        <w:wordWrap/>
        <w:overflowPunct/>
        <w:topLinePunct w:val="0"/>
        <w:autoSpaceDE/>
        <w:autoSpaceDN/>
        <w:bidi w:val="0"/>
        <w:adjustRightInd/>
        <w:snapToGrid/>
        <w:spacing w:before="0" w:line="360" w:lineRule="auto"/>
        <w:ind w:right="0" w:firstLine="42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pacing w:val="3"/>
          <w:sz w:val="24"/>
          <w:szCs w:val="24"/>
          <w:highlight w:val="none"/>
        </w:rPr>
        <w:t>Ⅱ类：因严重自然灾害、重特大交通事故以及其他突发事件造成的严重的公路</w:t>
      </w:r>
      <w:r>
        <w:rPr>
          <w:rFonts w:hint="eastAsia" w:ascii="宋体" w:hAnsi="宋体" w:eastAsia="宋体" w:cs="宋体"/>
          <w:color w:val="auto"/>
          <w:spacing w:val="1"/>
          <w:sz w:val="24"/>
          <w:szCs w:val="24"/>
          <w:highlight w:val="none"/>
        </w:rPr>
        <w:t>设施损毁</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4"/>
          <w:sz w:val="24"/>
          <w:szCs w:val="24"/>
          <w:highlight w:val="none"/>
        </w:rPr>
        <w:t>具体内容为</w:t>
      </w:r>
      <w:r>
        <w:rPr>
          <w:rFonts w:hint="eastAsia" w:ascii="宋体" w:hAnsi="宋体" w:eastAsia="宋体" w:cs="宋体"/>
          <w:color w:val="auto"/>
          <w:spacing w:val="-25"/>
          <w:sz w:val="24"/>
          <w:szCs w:val="24"/>
          <w:highlight w:val="none"/>
        </w:rPr>
        <w:t>：</w:t>
      </w:r>
      <w:r>
        <w:rPr>
          <w:rFonts w:hint="eastAsia" w:ascii="宋体" w:hAnsi="宋体" w:eastAsia="宋体" w:cs="宋体"/>
          <w:color w:val="auto"/>
          <w:sz w:val="24"/>
          <w:szCs w:val="24"/>
          <w:highlight w:val="none"/>
          <w:u w:val="single"/>
        </w:rPr>
        <w:t>所有公路突发事件或灾害事件的现场警示、管控、维护、值守等，相关费用包含在绩效清单报价中，按绩效考核模式管理。</w:t>
      </w:r>
    </w:p>
    <w:p w14:paraId="6C38266B">
      <w:pPr>
        <w:spacing w:before="114" w:line="308" w:lineRule="auto"/>
        <w:ind w:firstLine="483"/>
        <w:rPr>
          <w:rFonts w:hint="eastAsia" w:ascii="宋体" w:hAnsi="宋体" w:eastAsia="宋体" w:cs="宋体"/>
          <w:color w:val="auto"/>
          <w:sz w:val="24"/>
          <w:szCs w:val="24"/>
          <w:highlight w:val="none"/>
          <w:u w:val="single"/>
        </w:rPr>
      </w:pPr>
      <w:r>
        <w:rPr>
          <w:rFonts w:hint="eastAsia" w:ascii="宋体" w:hAnsi="宋体" w:eastAsia="宋体" w:cs="宋体"/>
          <w:color w:val="auto"/>
          <w:spacing w:val="4"/>
          <w:sz w:val="24"/>
          <w:szCs w:val="24"/>
          <w:highlight w:val="none"/>
        </w:rPr>
        <w:t>处置要求为</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u w:val="single"/>
        </w:rPr>
        <w:t>一般1小时内要到达现场处置和管控，最迟不超过2小时，常规险情要在24小时内完成处置，艰险情况要配合好发包人和当地政府开展抢险救灾工作</w:t>
      </w:r>
    </w:p>
    <w:p w14:paraId="51309ADE">
      <w:pPr>
        <w:keepNext w:val="0"/>
        <w:keepLines w:val="0"/>
        <w:pageBreakBefore w:val="0"/>
        <w:kinsoku/>
        <w:wordWrap/>
        <w:overflowPunct/>
        <w:topLinePunct w:val="0"/>
        <w:autoSpaceDE/>
        <w:autoSpaceDN/>
        <w:bidi w:val="0"/>
        <w:adjustRightInd/>
        <w:snapToGrid/>
        <w:spacing w:before="114" w:line="360" w:lineRule="auto"/>
        <w:ind w:right="166" w:firstLine="478"/>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rPr>
        <w:t>Ⅲ类：突发的经判定可能危及道路通行安全的重大安全隐患的处治（筹集专项</w:t>
      </w:r>
      <w:r>
        <w:rPr>
          <w:rFonts w:hint="eastAsia" w:ascii="宋体" w:hAnsi="宋体" w:eastAsia="宋体" w:cs="宋体"/>
          <w:color w:val="auto"/>
          <w:spacing w:val="10"/>
          <w:sz w:val="24"/>
          <w:szCs w:val="24"/>
          <w:highlight w:val="none"/>
        </w:rPr>
        <w:t>资金另行</w:t>
      </w:r>
      <w:r>
        <w:rPr>
          <w:rFonts w:hint="eastAsia" w:ascii="宋体" w:hAnsi="宋体" w:eastAsia="宋体" w:cs="宋体"/>
          <w:color w:val="auto"/>
          <w:spacing w:val="10"/>
          <w:sz w:val="24"/>
          <w:szCs w:val="24"/>
          <w:highlight w:val="none"/>
          <w:lang w:val="en-US" w:eastAsia="zh-CN"/>
        </w:rPr>
        <w:t>采购</w:t>
      </w:r>
      <w:r>
        <w:rPr>
          <w:rFonts w:hint="eastAsia" w:ascii="宋体" w:hAnsi="宋体" w:eastAsia="宋体" w:cs="宋体"/>
          <w:color w:val="auto"/>
          <w:spacing w:val="10"/>
          <w:sz w:val="24"/>
          <w:szCs w:val="24"/>
          <w:highlight w:val="none"/>
        </w:rPr>
        <w:t>，包含建安费与设计费等，不在合同总价资金范围内</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10"/>
          <w:sz w:val="24"/>
          <w:szCs w:val="24"/>
          <w:highlight w:val="none"/>
        </w:rPr>
        <w:t>具体内容</w:t>
      </w:r>
      <w:r>
        <w:rPr>
          <w:rFonts w:hint="eastAsia" w:ascii="宋体" w:hAnsi="宋体" w:eastAsia="宋体" w:cs="宋体"/>
          <w:color w:val="auto"/>
          <w:spacing w:val="-5"/>
          <w:sz w:val="24"/>
          <w:szCs w:val="24"/>
          <w:highlight w:val="none"/>
        </w:rPr>
        <w:t>为：</w:t>
      </w:r>
      <w:r>
        <w:rPr>
          <w:rFonts w:hint="eastAsia" w:ascii="宋体" w:hAnsi="宋体" w:eastAsia="宋体" w:cs="宋体"/>
          <w:color w:val="auto"/>
          <w:sz w:val="24"/>
          <w:szCs w:val="24"/>
          <w:highlight w:val="none"/>
          <w:u w:val="single"/>
        </w:rPr>
        <w:t>所有公路突发事件或灾害事件的现场警示、管控、维护、值守等，相关费用包含在绩效清单报价中，按绩效考核模式管理</w:t>
      </w:r>
      <w:r>
        <w:rPr>
          <w:rFonts w:hint="eastAsia" w:ascii="宋体" w:hAnsi="宋体" w:eastAsia="宋体" w:cs="宋体"/>
          <w:color w:val="auto"/>
          <w:sz w:val="24"/>
          <w:szCs w:val="24"/>
          <w:highlight w:val="none"/>
          <w:lang w:eastAsia="zh-CN"/>
        </w:rPr>
        <w:t>。</w:t>
      </w:r>
    </w:p>
    <w:p w14:paraId="7F5BF52D">
      <w:pPr>
        <w:spacing w:before="114" w:line="219" w:lineRule="auto"/>
        <w:ind w:firstLine="49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处置要求为</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u w:val="single"/>
        </w:rPr>
        <w:t>一般1小时内要到达现场处置和管控，最迟不超过2小时，常规险情要在24小时内完成处置，艰险情况要配合好发包人和当地政府开展抢险救灾工作</w:t>
      </w:r>
    </w:p>
    <w:p w14:paraId="1E608537">
      <w:pPr>
        <w:spacing w:before="79" w:line="219" w:lineRule="auto"/>
        <w:ind w:left="481"/>
        <w:rPr>
          <w:rFonts w:hint="eastAsia" w:ascii="宋体" w:hAnsi="宋体" w:eastAsia="宋体" w:cs="宋体"/>
          <w:sz w:val="24"/>
          <w:szCs w:val="24"/>
        </w:rPr>
      </w:pPr>
      <w:r>
        <w:rPr>
          <w:rFonts w:hint="eastAsia" w:ascii="宋体" w:hAnsi="宋体" w:eastAsia="宋体" w:cs="宋体"/>
          <w:spacing w:val="-4"/>
          <w:sz w:val="24"/>
          <w:szCs w:val="24"/>
        </w:rPr>
        <w:t>第</w:t>
      </w:r>
      <w:r>
        <w:rPr>
          <w:rFonts w:hint="eastAsia" w:ascii="宋体" w:hAnsi="宋体" w:eastAsia="宋体" w:cs="宋体"/>
          <w:spacing w:val="-23"/>
          <w:sz w:val="24"/>
          <w:szCs w:val="24"/>
        </w:rPr>
        <w:t xml:space="preserve"> </w:t>
      </w:r>
      <w:r>
        <w:rPr>
          <w:rFonts w:hint="eastAsia" w:ascii="宋体" w:hAnsi="宋体" w:eastAsia="宋体" w:cs="宋体"/>
          <w:spacing w:val="-4"/>
          <w:sz w:val="24"/>
          <w:szCs w:val="24"/>
        </w:rPr>
        <w:t>1.1.4 项完善为：</w:t>
      </w:r>
    </w:p>
    <w:p w14:paraId="49B2625C">
      <w:pPr>
        <w:spacing w:before="116" w:line="220" w:lineRule="auto"/>
        <w:ind w:left="500"/>
        <w:rPr>
          <w:rFonts w:hint="eastAsia" w:ascii="宋体" w:hAnsi="宋体" w:eastAsia="宋体" w:cs="宋体"/>
          <w:sz w:val="24"/>
          <w:szCs w:val="24"/>
        </w:rPr>
      </w:pPr>
      <w:r>
        <w:rPr>
          <w:rFonts w:hint="eastAsia" w:ascii="宋体" w:hAnsi="宋体" w:eastAsia="宋体" w:cs="宋体"/>
          <w:spacing w:val="-9"/>
          <w:sz w:val="24"/>
          <w:szCs w:val="24"/>
        </w:rPr>
        <w:t>1.1.4   日期</w:t>
      </w:r>
    </w:p>
    <w:p w14:paraId="6E2453B5">
      <w:pPr>
        <w:spacing w:before="112" w:line="220" w:lineRule="auto"/>
        <w:ind w:firstLine="708" w:firstLineChars="300"/>
        <w:rPr>
          <w:rFonts w:hint="eastAsia" w:ascii="宋体" w:hAnsi="宋体" w:eastAsia="宋体" w:cs="宋体"/>
          <w:sz w:val="24"/>
          <w:szCs w:val="24"/>
          <w:lang w:eastAsia="zh-CN"/>
        </w:rPr>
      </w:pPr>
      <w:r>
        <w:rPr>
          <w:rFonts w:hint="eastAsia" w:ascii="宋体" w:hAnsi="宋体" w:eastAsia="宋体" w:cs="宋体"/>
          <w:spacing w:val="-2"/>
          <w:sz w:val="24"/>
          <w:szCs w:val="24"/>
        </w:rPr>
        <w:t>1.1.4.2  开工日期：</w:t>
      </w:r>
      <w:r>
        <w:rPr>
          <w:rFonts w:hint="eastAsia" w:ascii="宋体" w:hAnsi="宋体" w:eastAsia="宋体" w:cs="宋体"/>
          <w:sz w:val="24"/>
          <w:szCs w:val="24"/>
          <w:u w:val="single"/>
        </w:rPr>
        <w:t xml:space="preserve">  </w:t>
      </w:r>
      <w:r>
        <w:rPr>
          <w:rFonts w:hint="eastAsia" w:ascii="宋体" w:hAnsi="宋体" w:eastAsia="宋体" w:cs="宋体"/>
          <w:spacing w:val="5"/>
          <w:sz w:val="24"/>
          <w:szCs w:val="24"/>
          <w:u w:val="single"/>
        </w:rPr>
        <w:t>2026年5月1日。</w:t>
      </w:r>
    </w:p>
    <w:p w14:paraId="070998DB">
      <w:pPr>
        <w:spacing w:before="112" w:line="220" w:lineRule="auto"/>
        <w:ind w:left="500"/>
        <w:rPr>
          <w:rFonts w:hint="eastAsia" w:ascii="宋体" w:hAnsi="宋体" w:eastAsia="宋体" w:cs="宋体"/>
          <w:sz w:val="24"/>
          <w:szCs w:val="24"/>
        </w:rPr>
      </w:pPr>
      <w:r>
        <w:rPr>
          <w:rFonts w:hint="eastAsia" w:ascii="宋体" w:hAnsi="宋体" w:eastAsia="宋体" w:cs="宋体"/>
          <w:spacing w:val="-5"/>
          <w:sz w:val="24"/>
          <w:szCs w:val="24"/>
        </w:rPr>
        <w:t>1.1.4.3</w:t>
      </w:r>
      <w:r>
        <w:rPr>
          <w:rFonts w:hint="eastAsia" w:ascii="宋体" w:hAnsi="宋体" w:eastAsia="宋体" w:cs="宋体"/>
          <w:spacing w:val="15"/>
          <w:w w:val="101"/>
          <w:sz w:val="24"/>
          <w:szCs w:val="24"/>
        </w:rPr>
        <w:t xml:space="preserve"> </w:t>
      </w:r>
      <w:r>
        <w:rPr>
          <w:rFonts w:hint="eastAsia" w:ascii="宋体" w:hAnsi="宋体" w:eastAsia="宋体" w:cs="宋体"/>
          <w:spacing w:val="-5"/>
          <w:sz w:val="24"/>
          <w:szCs w:val="24"/>
        </w:rPr>
        <w:t>工期</w:t>
      </w:r>
    </w:p>
    <w:p w14:paraId="6C66CC08">
      <w:pPr>
        <w:spacing w:before="115" w:line="219" w:lineRule="auto"/>
        <w:ind w:left="485"/>
        <w:rPr>
          <w:rFonts w:hint="eastAsia" w:ascii="宋体" w:hAnsi="宋体" w:eastAsia="宋体" w:cs="宋体"/>
          <w:sz w:val="24"/>
          <w:szCs w:val="24"/>
        </w:rPr>
      </w:pPr>
      <w:r>
        <w:rPr>
          <w:rFonts w:hint="eastAsia" w:ascii="宋体" w:hAnsi="宋体" w:eastAsia="宋体" w:cs="宋体"/>
          <w:spacing w:val="-1"/>
          <w:sz w:val="24"/>
          <w:szCs w:val="24"/>
        </w:rPr>
        <w:t>项目总体完成时间：从开工日期算起计</w:t>
      </w:r>
      <w:r>
        <w:rPr>
          <w:rFonts w:hint="eastAsia" w:ascii="宋体" w:hAnsi="宋体" w:eastAsia="宋体" w:cs="宋体"/>
          <w:spacing w:val="-1"/>
          <w:sz w:val="24"/>
          <w:szCs w:val="24"/>
          <w:u w:val="single"/>
        </w:rPr>
        <w:t xml:space="preserve">  36    </w:t>
      </w:r>
      <w:r>
        <w:rPr>
          <w:rFonts w:hint="eastAsia" w:ascii="宋体" w:hAnsi="宋体" w:eastAsia="宋体" w:cs="宋体"/>
          <w:spacing w:val="-109"/>
          <w:sz w:val="24"/>
          <w:szCs w:val="24"/>
        </w:rPr>
        <w:t xml:space="preserve"> </w:t>
      </w:r>
      <w:r>
        <w:rPr>
          <w:rFonts w:hint="eastAsia" w:ascii="宋体" w:hAnsi="宋体" w:eastAsia="宋体" w:cs="宋体"/>
          <w:spacing w:val="-1"/>
          <w:sz w:val="24"/>
          <w:szCs w:val="24"/>
        </w:rPr>
        <w:t>个月。</w:t>
      </w:r>
    </w:p>
    <w:p w14:paraId="3A6A27FD">
      <w:pPr>
        <w:spacing w:before="116" w:line="219" w:lineRule="auto"/>
        <w:ind w:left="485"/>
        <w:rPr>
          <w:rFonts w:hint="eastAsia" w:ascii="宋体" w:hAnsi="宋体" w:eastAsia="宋体" w:cs="宋体"/>
          <w:sz w:val="24"/>
          <w:szCs w:val="24"/>
          <w:u w:val="single"/>
          <w:lang w:val="en-US" w:eastAsia="zh-CN"/>
        </w:rPr>
      </w:pPr>
      <w:r>
        <w:rPr>
          <w:rFonts w:hint="eastAsia" w:ascii="宋体" w:hAnsi="宋体" w:eastAsia="宋体" w:cs="宋体"/>
          <w:spacing w:val="-1"/>
          <w:sz w:val="24"/>
          <w:szCs w:val="24"/>
        </w:rPr>
        <w:t>发包人指定实施的养护工程完成时间：</w:t>
      </w:r>
      <w:r>
        <w:rPr>
          <w:rFonts w:hint="eastAsia" w:ascii="宋体" w:hAnsi="宋体" w:eastAsia="宋体" w:cs="宋体"/>
          <w:spacing w:val="-1"/>
          <w:sz w:val="24"/>
          <w:szCs w:val="24"/>
          <w:u w:val="single"/>
          <w:lang w:val="en-US" w:eastAsia="zh-CN"/>
        </w:rPr>
        <w:t xml:space="preserve"> /  </w:t>
      </w:r>
    </w:p>
    <w:p w14:paraId="7D63AD18">
      <w:pPr>
        <w:spacing w:before="114" w:line="219" w:lineRule="auto"/>
        <w:ind w:left="481"/>
        <w:rPr>
          <w:rFonts w:hint="eastAsia" w:ascii="宋体" w:hAnsi="宋体" w:eastAsia="宋体" w:cs="宋体"/>
          <w:sz w:val="24"/>
          <w:szCs w:val="24"/>
        </w:rPr>
      </w:pPr>
      <w:r>
        <w:rPr>
          <w:rFonts w:hint="eastAsia" w:ascii="宋体" w:hAnsi="宋体" w:eastAsia="宋体" w:cs="宋体"/>
          <w:spacing w:val="-7"/>
          <w:sz w:val="24"/>
          <w:szCs w:val="24"/>
        </w:rPr>
        <w:t>第</w:t>
      </w:r>
      <w:r>
        <w:rPr>
          <w:rFonts w:hint="eastAsia" w:ascii="宋体" w:hAnsi="宋体" w:eastAsia="宋体" w:cs="宋体"/>
          <w:spacing w:val="-26"/>
          <w:sz w:val="24"/>
          <w:szCs w:val="24"/>
        </w:rPr>
        <w:t xml:space="preserve"> </w:t>
      </w:r>
      <w:r>
        <w:rPr>
          <w:rFonts w:hint="eastAsia" w:ascii="宋体" w:hAnsi="宋体" w:eastAsia="宋体" w:cs="宋体"/>
          <w:spacing w:val="-7"/>
          <w:sz w:val="24"/>
          <w:szCs w:val="24"/>
        </w:rPr>
        <w:t>1.1.4.4  目修改为：</w:t>
      </w:r>
    </w:p>
    <w:p w14:paraId="45EFABC2">
      <w:pPr>
        <w:keepNext w:val="0"/>
        <w:keepLines w:val="0"/>
        <w:pageBreakBefore w:val="0"/>
        <w:widowControl w:val="0"/>
        <w:kinsoku/>
        <w:wordWrap/>
        <w:overflowPunct/>
        <w:topLinePunct w:val="0"/>
        <w:autoSpaceDE/>
        <w:autoSpaceDN/>
        <w:bidi w:val="0"/>
        <w:adjustRightInd/>
        <w:snapToGrid/>
        <w:spacing w:before="78" w:line="360" w:lineRule="auto"/>
        <w:ind w:firstLine="472" w:firstLineChars="200"/>
        <w:textAlignment w:val="auto"/>
        <w:rPr>
          <w:rFonts w:hint="eastAsia" w:ascii="宋体" w:hAnsi="宋体" w:eastAsia="宋体" w:cs="宋体"/>
          <w:sz w:val="24"/>
          <w:szCs w:val="24"/>
        </w:rPr>
      </w:pPr>
      <w:bookmarkStart w:id="177" w:name="bookmark276"/>
      <w:bookmarkEnd w:id="177"/>
      <w:r>
        <w:rPr>
          <w:rFonts w:hint="eastAsia" w:ascii="宋体" w:hAnsi="宋体" w:eastAsia="宋体" w:cs="宋体"/>
          <w:spacing w:val="-2"/>
          <w:sz w:val="24"/>
          <w:szCs w:val="24"/>
        </w:rPr>
        <w:t>1.1.4.4 交工日期：按照合同约定的内容分别确定完成发包人指定实施养护工程完成整个合同的时间，并且不会因</w:t>
      </w:r>
      <w:r>
        <w:rPr>
          <w:rFonts w:hint="eastAsia" w:ascii="宋体" w:hAnsi="宋体" w:eastAsia="宋体" w:cs="宋体"/>
          <w:spacing w:val="-22"/>
          <w:sz w:val="24"/>
          <w:szCs w:val="24"/>
        </w:rPr>
        <w:t xml:space="preserve"> </w:t>
      </w:r>
      <w:r>
        <w:rPr>
          <w:rFonts w:hint="eastAsia" w:ascii="宋体" w:hAnsi="宋体" w:eastAsia="宋体" w:cs="宋体"/>
          <w:spacing w:val="-2"/>
          <w:sz w:val="24"/>
          <w:szCs w:val="24"/>
        </w:rPr>
        <w:t>11.3 款、11.4 款约定进行变更。</w:t>
      </w:r>
    </w:p>
    <w:p w14:paraId="69F6FB9F">
      <w:pPr>
        <w:keepNext w:val="0"/>
        <w:keepLines w:val="0"/>
        <w:pageBreakBefore w:val="0"/>
        <w:widowControl w:val="0"/>
        <w:kinsoku/>
        <w:wordWrap/>
        <w:overflowPunct/>
        <w:topLinePunct w:val="0"/>
        <w:autoSpaceDE/>
        <w:autoSpaceDN/>
        <w:bidi w:val="0"/>
        <w:adjustRightInd/>
        <w:snapToGrid/>
        <w:spacing w:before="112" w:line="360" w:lineRule="auto"/>
        <w:ind w:firstLine="714" w:firstLineChars="300"/>
        <w:textAlignment w:val="auto"/>
        <w:rPr>
          <w:rFonts w:hint="eastAsia" w:ascii="宋体" w:hAnsi="宋体" w:eastAsia="宋体" w:cs="宋体"/>
          <w:sz w:val="24"/>
          <w:szCs w:val="24"/>
          <w:lang w:eastAsia="zh-CN"/>
        </w:rPr>
      </w:pPr>
      <w:r>
        <w:rPr>
          <w:rFonts w:hint="eastAsia" w:ascii="宋体" w:hAnsi="宋体" w:eastAsia="宋体" w:cs="宋体"/>
          <w:spacing w:val="-1"/>
          <w:sz w:val="24"/>
          <w:szCs w:val="24"/>
        </w:rPr>
        <w:t>项目总体完成日期：</w:t>
      </w:r>
      <w:r>
        <w:rPr>
          <w:rFonts w:hint="eastAsia" w:ascii="宋体" w:hAnsi="宋体" w:eastAsia="宋体" w:cs="宋体"/>
          <w:spacing w:val="-1"/>
          <w:sz w:val="24"/>
          <w:szCs w:val="24"/>
          <w:u w:val="single"/>
        </w:rPr>
        <w:t xml:space="preserve"> </w:t>
      </w:r>
      <w:r>
        <w:rPr>
          <w:rFonts w:hint="eastAsia" w:ascii="宋体" w:hAnsi="宋体" w:eastAsia="宋体" w:cs="宋体"/>
          <w:spacing w:val="5"/>
          <w:sz w:val="24"/>
          <w:szCs w:val="24"/>
          <w:u w:val="single"/>
        </w:rPr>
        <w:t>2026年5月1日至2029年4月30日，36个月。2026年12月31日、2027年12月31日、2028年12月31日、2029年4月30日作为合同节点，分期按合同进行考核与决算。</w:t>
      </w:r>
    </w:p>
    <w:p w14:paraId="41730617">
      <w:pPr>
        <w:keepNext w:val="0"/>
        <w:keepLines w:val="0"/>
        <w:pageBreakBefore w:val="0"/>
        <w:widowControl w:val="0"/>
        <w:kinsoku/>
        <w:wordWrap/>
        <w:overflowPunct/>
        <w:topLinePunct w:val="0"/>
        <w:autoSpaceDE/>
        <w:autoSpaceDN/>
        <w:bidi w:val="0"/>
        <w:adjustRightInd/>
        <w:snapToGrid/>
        <w:spacing w:before="116" w:line="360" w:lineRule="auto"/>
        <w:ind w:left="485"/>
        <w:textAlignment w:val="auto"/>
        <w:rPr>
          <w:rFonts w:hint="eastAsia" w:ascii="宋体" w:hAnsi="宋体" w:eastAsia="宋体" w:cs="宋体"/>
          <w:sz w:val="24"/>
          <w:szCs w:val="24"/>
          <w:u w:val="single"/>
          <w:lang w:val="en-US" w:eastAsia="zh-CN"/>
        </w:rPr>
      </w:pPr>
      <w:r>
        <w:rPr>
          <w:rFonts w:hint="eastAsia" w:ascii="宋体" w:hAnsi="宋体" w:eastAsia="宋体" w:cs="宋体"/>
          <w:spacing w:val="-1"/>
          <w:sz w:val="24"/>
          <w:szCs w:val="24"/>
        </w:rPr>
        <w:t>发包人指定实施的养护工程完成日期：</w:t>
      </w:r>
      <w:r>
        <w:rPr>
          <w:rFonts w:hint="eastAsia" w:ascii="宋体" w:hAnsi="宋体" w:eastAsia="宋体" w:cs="宋体"/>
          <w:spacing w:val="-1"/>
          <w:sz w:val="24"/>
          <w:szCs w:val="24"/>
          <w:u w:val="single"/>
          <w:lang w:val="en-US" w:eastAsia="zh-CN"/>
        </w:rPr>
        <w:t xml:space="preserve">  /  </w:t>
      </w:r>
    </w:p>
    <w:p w14:paraId="2EABFA71">
      <w:pPr>
        <w:spacing w:before="116" w:line="219" w:lineRule="auto"/>
        <w:ind w:left="480"/>
        <w:rPr>
          <w:rFonts w:hint="eastAsia" w:ascii="宋体" w:hAnsi="宋体" w:eastAsia="宋体" w:cs="宋体"/>
          <w:sz w:val="24"/>
          <w:szCs w:val="24"/>
        </w:rPr>
      </w:pPr>
      <w:r>
        <w:rPr>
          <w:rFonts w:hint="eastAsia" w:ascii="宋体" w:hAnsi="宋体" w:eastAsia="宋体" w:cs="宋体"/>
          <w:spacing w:val="-7"/>
          <w:sz w:val="24"/>
          <w:szCs w:val="24"/>
        </w:rPr>
        <w:t>补充第</w:t>
      </w:r>
      <w:r>
        <w:rPr>
          <w:rFonts w:hint="eastAsia" w:ascii="宋体" w:hAnsi="宋体" w:eastAsia="宋体" w:cs="宋体"/>
          <w:spacing w:val="-32"/>
          <w:sz w:val="24"/>
          <w:szCs w:val="24"/>
        </w:rPr>
        <w:t xml:space="preserve"> </w:t>
      </w:r>
      <w:r>
        <w:rPr>
          <w:rFonts w:hint="eastAsia" w:ascii="宋体" w:hAnsi="宋体" w:eastAsia="宋体" w:cs="宋体"/>
          <w:spacing w:val="-7"/>
          <w:sz w:val="24"/>
          <w:szCs w:val="24"/>
        </w:rPr>
        <w:t>1.1.4.8  目：</w:t>
      </w:r>
    </w:p>
    <w:p w14:paraId="0DE0608B">
      <w:pPr>
        <w:keepNext w:val="0"/>
        <w:keepLines w:val="0"/>
        <w:pageBreakBefore w:val="0"/>
        <w:widowControl w:val="0"/>
        <w:kinsoku/>
        <w:wordWrap/>
        <w:overflowPunct/>
        <w:topLinePunct w:val="0"/>
        <w:autoSpaceDE/>
        <w:autoSpaceDN/>
        <w:bidi w:val="0"/>
        <w:adjustRightInd/>
        <w:snapToGrid/>
        <w:spacing w:before="116" w:line="360" w:lineRule="auto"/>
        <w:ind w:right="145" w:firstLine="498"/>
        <w:textAlignment w:val="auto"/>
        <w:rPr>
          <w:rFonts w:hint="eastAsia" w:ascii="宋体" w:hAnsi="宋体" w:eastAsia="宋体" w:cs="宋体"/>
          <w:sz w:val="24"/>
          <w:szCs w:val="24"/>
        </w:rPr>
      </w:pPr>
      <w:r>
        <w:rPr>
          <w:rFonts w:hint="eastAsia" w:ascii="宋体" w:hAnsi="宋体" w:eastAsia="宋体" w:cs="宋体"/>
          <w:spacing w:val="-2"/>
          <w:sz w:val="24"/>
          <w:szCs w:val="24"/>
        </w:rPr>
        <w:t>1.1.4.8 施工令：指发包人按专用合同条款第</w:t>
      </w:r>
      <w:r>
        <w:rPr>
          <w:rFonts w:hint="eastAsia" w:ascii="宋体" w:hAnsi="宋体" w:eastAsia="宋体" w:cs="宋体"/>
          <w:spacing w:val="-23"/>
          <w:sz w:val="24"/>
          <w:szCs w:val="24"/>
        </w:rPr>
        <w:t xml:space="preserve"> </w:t>
      </w:r>
      <w:r>
        <w:rPr>
          <w:rFonts w:hint="eastAsia" w:ascii="宋体" w:hAnsi="宋体" w:eastAsia="宋体" w:cs="宋体"/>
          <w:spacing w:val="-2"/>
          <w:sz w:val="24"/>
          <w:szCs w:val="24"/>
        </w:rPr>
        <w:t>11.1.4</w:t>
      </w:r>
      <w:r>
        <w:rPr>
          <w:rFonts w:hint="eastAsia" w:ascii="宋体" w:hAnsi="宋体" w:eastAsia="宋体" w:cs="宋体"/>
          <w:spacing w:val="16"/>
          <w:sz w:val="24"/>
          <w:szCs w:val="24"/>
        </w:rPr>
        <w:t xml:space="preserve"> </w:t>
      </w:r>
      <w:r>
        <w:rPr>
          <w:rFonts w:hint="eastAsia" w:ascii="宋体" w:hAnsi="宋体" w:eastAsia="宋体" w:cs="宋体"/>
          <w:spacing w:val="-2"/>
          <w:sz w:val="24"/>
          <w:szCs w:val="24"/>
        </w:rPr>
        <w:t>项、第</w:t>
      </w:r>
      <w:r>
        <w:rPr>
          <w:rFonts w:hint="eastAsia" w:ascii="宋体" w:hAnsi="宋体" w:eastAsia="宋体" w:cs="宋体"/>
          <w:spacing w:val="-32"/>
          <w:sz w:val="24"/>
          <w:szCs w:val="24"/>
        </w:rPr>
        <w:t xml:space="preserve"> </w:t>
      </w:r>
      <w:r>
        <w:rPr>
          <w:rFonts w:hint="eastAsia" w:ascii="宋体" w:hAnsi="宋体" w:eastAsia="宋体" w:cs="宋体"/>
          <w:spacing w:val="-2"/>
          <w:sz w:val="24"/>
          <w:szCs w:val="24"/>
        </w:rPr>
        <w:t>11.1.5</w:t>
      </w:r>
      <w:r>
        <w:rPr>
          <w:rFonts w:hint="eastAsia" w:ascii="宋体" w:hAnsi="宋体" w:eastAsia="宋体" w:cs="宋体"/>
          <w:spacing w:val="15"/>
          <w:w w:val="101"/>
          <w:sz w:val="24"/>
          <w:szCs w:val="24"/>
        </w:rPr>
        <w:t xml:space="preserve"> </w:t>
      </w:r>
      <w:r>
        <w:rPr>
          <w:rFonts w:hint="eastAsia" w:ascii="宋体" w:hAnsi="宋体" w:eastAsia="宋体" w:cs="宋体"/>
          <w:spacing w:val="-2"/>
          <w:sz w:val="24"/>
          <w:szCs w:val="24"/>
        </w:rPr>
        <w:t>项</w:t>
      </w:r>
      <w:r>
        <w:rPr>
          <w:rFonts w:hint="eastAsia" w:ascii="宋体" w:hAnsi="宋体" w:eastAsia="宋体" w:cs="宋体"/>
          <w:spacing w:val="-1"/>
          <w:sz w:val="24"/>
          <w:szCs w:val="24"/>
        </w:rPr>
        <w:t>通知承包人可以开展养护施工的函件。</w:t>
      </w:r>
    </w:p>
    <w:p w14:paraId="6087160B">
      <w:pPr>
        <w:keepNext w:val="0"/>
        <w:keepLines w:val="0"/>
        <w:pageBreakBefore w:val="0"/>
        <w:widowControl w:val="0"/>
        <w:kinsoku/>
        <w:wordWrap/>
        <w:overflowPunct/>
        <w:topLinePunct w:val="0"/>
        <w:autoSpaceDE/>
        <w:autoSpaceDN/>
        <w:bidi w:val="0"/>
        <w:adjustRightInd/>
        <w:snapToGrid/>
        <w:spacing w:line="360" w:lineRule="auto"/>
        <w:ind w:left="480"/>
        <w:textAlignment w:val="auto"/>
        <w:rPr>
          <w:rFonts w:hint="eastAsia" w:ascii="宋体" w:hAnsi="宋体" w:eastAsia="宋体" w:cs="宋体"/>
          <w:sz w:val="24"/>
          <w:szCs w:val="24"/>
        </w:rPr>
      </w:pPr>
      <w:r>
        <w:rPr>
          <w:rFonts w:hint="eastAsia" w:ascii="宋体" w:hAnsi="宋体" w:eastAsia="宋体" w:cs="宋体"/>
          <w:spacing w:val="-7"/>
          <w:sz w:val="24"/>
          <w:szCs w:val="24"/>
        </w:rPr>
        <w:t>第</w:t>
      </w:r>
      <w:r>
        <w:rPr>
          <w:rFonts w:hint="eastAsia" w:ascii="宋体" w:hAnsi="宋体" w:eastAsia="宋体" w:cs="宋体"/>
          <w:spacing w:val="-26"/>
          <w:sz w:val="24"/>
          <w:szCs w:val="24"/>
        </w:rPr>
        <w:t xml:space="preserve"> </w:t>
      </w:r>
      <w:r>
        <w:rPr>
          <w:rFonts w:hint="eastAsia" w:ascii="宋体" w:hAnsi="宋体" w:eastAsia="宋体" w:cs="宋体"/>
          <w:spacing w:val="-7"/>
          <w:sz w:val="24"/>
          <w:szCs w:val="24"/>
        </w:rPr>
        <w:t>1.1.5.4  目</w:t>
      </w:r>
      <w:r>
        <w:rPr>
          <w:rFonts w:hint="eastAsia" w:ascii="宋体" w:hAnsi="宋体" w:eastAsia="宋体" w:cs="宋体"/>
          <w:b w:val="0"/>
          <w:bCs w:val="0"/>
          <w:spacing w:val="-7"/>
          <w:sz w:val="24"/>
          <w:szCs w:val="24"/>
          <w:u w:val="single"/>
          <w:lang w:val="en-US" w:eastAsia="zh-CN"/>
        </w:rPr>
        <w:t>不作</w:t>
      </w:r>
      <w:r>
        <w:rPr>
          <w:rFonts w:hint="eastAsia" w:ascii="宋体" w:hAnsi="宋体" w:eastAsia="宋体" w:cs="宋体"/>
          <w:b w:val="0"/>
          <w:bCs w:val="0"/>
          <w:spacing w:val="-7"/>
          <w:sz w:val="24"/>
          <w:szCs w:val="24"/>
          <w:u w:val="single"/>
        </w:rPr>
        <w:t>修改</w:t>
      </w:r>
    </w:p>
    <w:p w14:paraId="10C04D30">
      <w:pPr>
        <w:keepNext w:val="0"/>
        <w:keepLines w:val="0"/>
        <w:pageBreakBefore w:val="0"/>
        <w:widowControl w:val="0"/>
        <w:kinsoku/>
        <w:wordWrap/>
        <w:overflowPunct/>
        <w:topLinePunct w:val="0"/>
        <w:autoSpaceDE/>
        <w:autoSpaceDN/>
        <w:bidi w:val="0"/>
        <w:adjustRightInd/>
        <w:snapToGrid/>
        <w:spacing w:line="360" w:lineRule="auto"/>
        <w:ind w:left="499"/>
        <w:textAlignment w:val="auto"/>
        <w:rPr>
          <w:rFonts w:hint="eastAsia" w:ascii="宋体" w:hAnsi="宋体" w:eastAsia="宋体" w:cs="宋体"/>
          <w:sz w:val="24"/>
          <w:szCs w:val="24"/>
        </w:rPr>
      </w:pPr>
      <w:r>
        <w:rPr>
          <w:rFonts w:hint="eastAsia" w:ascii="宋体" w:hAnsi="宋体" w:eastAsia="宋体" w:cs="宋体"/>
          <w:spacing w:val="-6"/>
          <w:sz w:val="24"/>
          <w:szCs w:val="24"/>
        </w:rPr>
        <w:t>1.1.6</w:t>
      </w:r>
      <w:r>
        <w:rPr>
          <w:rFonts w:hint="eastAsia" w:ascii="宋体" w:hAnsi="宋体" w:eastAsia="宋体" w:cs="宋体"/>
          <w:spacing w:val="6"/>
          <w:sz w:val="24"/>
          <w:szCs w:val="24"/>
        </w:rPr>
        <w:t xml:space="preserve">  </w:t>
      </w:r>
      <w:r>
        <w:rPr>
          <w:rFonts w:hint="eastAsia" w:ascii="宋体" w:hAnsi="宋体" w:eastAsia="宋体" w:cs="宋体"/>
          <w:spacing w:val="-6"/>
          <w:sz w:val="24"/>
          <w:szCs w:val="24"/>
        </w:rPr>
        <w:t>其他</w:t>
      </w:r>
    </w:p>
    <w:p w14:paraId="57B16ED7">
      <w:pPr>
        <w:keepNext w:val="0"/>
        <w:keepLines w:val="0"/>
        <w:pageBreakBefore w:val="0"/>
        <w:widowControl w:val="0"/>
        <w:kinsoku/>
        <w:wordWrap/>
        <w:overflowPunct/>
        <w:topLinePunct w:val="0"/>
        <w:autoSpaceDE/>
        <w:autoSpaceDN/>
        <w:bidi w:val="0"/>
        <w:adjustRightInd/>
        <w:snapToGrid/>
        <w:spacing w:before="113" w:line="360" w:lineRule="auto"/>
        <w:ind w:left="480"/>
        <w:textAlignment w:val="auto"/>
        <w:rPr>
          <w:rFonts w:hint="eastAsia" w:ascii="宋体" w:hAnsi="宋体" w:eastAsia="宋体" w:cs="宋体"/>
          <w:sz w:val="24"/>
          <w:szCs w:val="24"/>
        </w:rPr>
      </w:pPr>
      <w:r>
        <w:rPr>
          <w:rFonts w:hint="eastAsia" w:ascii="宋体" w:hAnsi="宋体" w:eastAsia="宋体" w:cs="宋体"/>
          <w:spacing w:val="-7"/>
          <w:sz w:val="24"/>
          <w:szCs w:val="24"/>
        </w:rPr>
        <w:t>第</w:t>
      </w:r>
      <w:r>
        <w:rPr>
          <w:rFonts w:hint="eastAsia" w:ascii="宋体" w:hAnsi="宋体" w:eastAsia="宋体" w:cs="宋体"/>
          <w:spacing w:val="-26"/>
          <w:sz w:val="24"/>
          <w:szCs w:val="24"/>
        </w:rPr>
        <w:t xml:space="preserve"> </w:t>
      </w:r>
      <w:r>
        <w:rPr>
          <w:rFonts w:hint="eastAsia" w:ascii="宋体" w:hAnsi="宋体" w:eastAsia="宋体" w:cs="宋体"/>
          <w:spacing w:val="-7"/>
          <w:sz w:val="24"/>
          <w:szCs w:val="24"/>
        </w:rPr>
        <w:t>1.1.6.2  目修改为：</w:t>
      </w:r>
    </w:p>
    <w:p w14:paraId="71A5BC3E">
      <w:pPr>
        <w:keepNext w:val="0"/>
        <w:keepLines w:val="0"/>
        <w:pageBreakBefore w:val="0"/>
        <w:widowControl w:val="0"/>
        <w:kinsoku/>
        <w:wordWrap/>
        <w:overflowPunct/>
        <w:topLinePunct w:val="0"/>
        <w:autoSpaceDE/>
        <w:autoSpaceDN/>
        <w:bidi w:val="0"/>
        <w:adjustRightInd/>
        <w:snapToGrid/>
        <w:spacing w:before="115" w:line="360" w:lineRule="auto"/>
        <w:ind w:right="145" w:firstLine="499"/>
        <w:textAlignment w:val="auto"/>
        <w:rPr>
          <w:rFonts w:hint="eastAsia" w:ascii="宋体" w:hAnsi="宋体" w:eastAsia="宋体" w:cs="宋体"/>
          <w:sz w:val="24"/>
          <w:szCs w:val="24"/>
        </w:rPr>
      </w:pPr>
      <w:r>
        <w:rPr>
          <w:rFonts w:hint="eastAsia" w:ascii="宋体" w:hAnsi="宋体" w:eastAsia="宋体" w:cs="宋体"/>
          <w:spacing w:val="5"/>
          <w:sz w:val="24"/>
          <w:szCs w:val="24"/>
        </w:rPr>
        <w:t>1.1.6.2  项目验收：是指对合同履约的阶段性完成情况和</w:t>
      </w:r>
      <w:r>
        <w:rPr>
          <w:rFonts w:hint="eastAsia" w:ascii="宋体" w:hAnsi="宋体" w:eastAsia="宋体" w:cs="宋体"/>
          <w:spacing w:val="4"/>
          <w:sz w:val="24"/>
          <w:szCs w:val="24"/>
        </w:rPr>
        <w:t>总体完成情况开展的</w:t>
      </w:r>
      <w:r>
        <w:rPr>
          <w:rFonts w:hint="eastAsia" w:ascii="宋体" w:hAnsi="宋体" w:eastAsia="宋体" w:cs="宋体"/>
          <w:spacing w:val="1"/>
          <w:sz w:val="24"/>
          <w:szCs w:val="24"/>
        </w:rPr>
        <w:t>验收，包括养护工程验收（含发包人指定实施的养护工程、</w:t>
      </w:r>
      <w:r>
        <w:rPr>
          <w:rFonts w:hint="eastAsia" w:ascii="宋体" w:hAnsi="宋体" w:eastAsia="宋体" w:cs="宋体"/>
          <w:sz w:val="24"/>
          <w:szCs w:val="24"/>
        </w:rPr>
        <w:t>承包人自主实施的养护工程、不可预见的专项养护工程）与项目总</w:t>
      </w:r>
      <w:r>
        <w:rPr>
          <w:rFonts w:hint="eastAsia" w:ascii="宋体" w:hAnsi="宋体" w:eastAsia="宋体" w:cs="宋体"/>
          <w:spacing w:val="-1"/>
          <w:sz w:val="24"/>
          <w:szCs w:val="24"/>
        </w:rPr>
        <w:t>体验收两类验收工作。</w:t>
      </w:r>
    </w:p>
    <w:p w14:paraId="5F180AFB">
      <w:pPr>
        <w:keepNext w:val="0"/>
        <w:keepLines w:val="0"/>
        <w:pageBreakBefore w:val="0"/>
        <w:widowControl w:val="0"/>
        <w:kinsoku/>
        <w:wordWrap/>
        <w:overflowPunct/>
        <w:topLinePunct w:val="0"/>
        <w:autoSpaceDE/>
        <w:autoSpaceDN/>
        <w:bidi w:val="0"/>
        <w:adjustRightInd/>
        <w:snapToGrid/>
        <w:spacing w:line="360" w:lineRule="auto"/>
        <w:ind w:left="480"/>
        <w:textAlignment w:val="auto"/>
        <w:rPr>
          <w:rFonts w:hint="eastAsia" w:ascii="宋体" w:hAnsi="宋体" w:eastAsia="宋体" w:cs="宋体"/>
          <w:sz w:val="24"/>
          <w:szCs w:val="24"/>
        </w:rPr>
      </w:pPr>
      <w:r>
        <w:rPr>
          <w:rFonts w:hint="eastAsia" w:ascii="宋体" w:hAnsi="宋体" w:eastAsia="宋体" w:cs="宋体"/>
          <w:spacing w:val="-7"/>
          <w:sz w:val="24"/>
          <w:szCs w:val="24"/>
        </w:rPr>
        <w:t>第</w:t>
      </w:r>
      <w:r>
        <w:rPr>
          <w:rFonts w:hint="eastAsia" w:ascii="宋体" w:hAnsi="宋体" w:eastAsia="宋体" w:cs="宋体"/>
          <w:spacing w:val="-26"/>
          <w:sz w:val="24"/>
          <w:szCs w:val="24"/>
        </w:rPr>
        <w:t xml:space="preserve"> </w:t>
      </w:r>
      <w:r>
        <w:rPr>
          <w:rFonts w:hint="eastAsia" w:ascii="宋体" w:hAnsi="宋体" w:eastAsia="宋体" w:cs="宋体"/>
          <w:spacing w:val="-7"/>
          <w:sz w:val="24"/>
          <w:szCs w:val="24"/>
        </w:rPr>
        <w:t>1.1.6.3  目修改为：</w:t>
      </w:r>
    </w:p>
    <w:p w14:paraId="1DFF7D64">
      <w:pPr>
        <w:keepNext w:val="0"/>
        <w:keepLines w:val="0"/>
        <w:pageBreakBefore w:val="0"/>
        <w:widowControl w:val="0"/>
        <w:kinsoku/>
        <w:wordWrap/>
        <w:overflowPunct/>
        <w:topLinePunct w:val="0"/>
        <w:autoSpaceDE/>
        <w:autoSpaceDN/>
        <w:bidi w:val="0"/>
        <w:adjustRightInd/>
        <w:snapToGrid/>
        <w:spacing w:before="114" w:line="360" w:lineRule="auto"/>
        <w:ind w:left="1" w:right="145" w:firstLine="497"/>
        <w:textAlignment w:val="auto"/>
        <w:rPr>
          <w:rFonts w:hint="eastAsia" w:ascii="宋体" w:hAnsi="宋体" w:eastAsia="宋体" w:cs="宋体"/>
          <w:sz w:val="24"/>
          <w:szCs w:val="24"/>
        </w:rPr>
      </w:pPr>
      <w:r>
        <w:rPr>
          <w:rFonts w:hint="eastAsia" w:ascii="宋体" w:hAnsi="宋体" w:eastAsia="宋体" w:cs="宋体"/>
          <w:sz w:val="24"/>
          <w:szCs w:val="24"/>
        </w:rPr>
        <w:t>1.1.6.3 养护工程验收：指针对发包人指定实施的养护工程、承包人自主实施的</w:t>
      </w:r>
      <w:r>
        <w:rPr>
          <w:rFonts w:hint="eastAsia" w:ascii="宋体" w:hAnsi="宋体" w:eastAsia="宋体" w:cs="宋体"/>
          <w:spacing w:val="1"/>
          <w:sz w:val="24"/>
          <w:szCs w:val="24"/>
        </w:rPr>
        <w:t>养护工程、不可预见的专项养护工程开展的交（竣）工</w:t>
      </w:r>
      <w:r>
        <w:rPr>
          <w:rFonts w:hint="eastAsia" w:ascii="宋体" w:hAnsi="宋体" w:eastAsia="宋体" w:cs="宋体"/>
          <w:sz w:val="24"/>
          <w:szCs w:val="24"/>
        </w:rPr>
        <w:t>验收。不包括日常养护、应</w:t>
      </w:r>
      <w:r>
        <w:rPr>
          <w:rFonts w:hint="eastAsia" w:ascii="宋体" w:hAnsi="宋体" w:eastAsia="宋体" w:cs="宋体"/>
          <w:spacing w:val="-2"/>
          <w:sz w:val="24"/>
          <w:szCs w:val="24"/>
        </w:rPr>
        <w:t>急</w:t>
      </w:r>
      <w:r>
        <w:rPr>
          <w:rFonts w:hint="eastAsia" w:ascii="宋体" w:hAnsi="宋体" w:eastAsia="宋体" w:cs="宋体"/>
          <w:spacing w:val="-2"/>
          <w:sz w:val="24"/>
          <w:szCs w:val="24"/>
          <w:lang w:val="en-US" w:eastAsia="zh-CN"/>
        </w:rPr>
        <w:t>处置</w:t>
      </w:r>
      <w:r>
        <w:rPr>
          <w:rFonts w:hint="eastAsia" w:ascii="宋体" w:hAnsi="宋体" w:eastAsia="宋体" w:cs="宋体"/>
          <w:spacing w:val="-2"/>
          <w:sz w:val="24"/>
          <w:szCs w:val="24"/>
        </w:rPr>
        <w:t>的验收。</w:t>
      </w:r>
    </w:p>
    <w:p w14:paraId="41F699EB">
      <w:pPr>
        <w:keepNext w:val="0"/>
        <w:keepLines w:val="0"/>
        <w:pageBreakBefore w:val="0"/>
        <w:widowControl w:val="0"/>
        <w:kinsoku/>
        <w:wordWrap/>
        <w:overflowPunct/>
        <w:topLinePunct w:val="0"/>
        <w:autoSpaceDE/>
        <w:autoSpaceDN/>
        <w:bidi w:val="0"/>
        <w:adjustRightInd/>
        <w:snapToGrid/>
        <w:spacing w:before="1" w:line="360" w:lineRule="auto"/>
        <w:ind w:left="480"/>
        <w:textAlignment w:val="auto"/>
        <w:rPr>
          <w:rFonts w:hint="eastAsia" w:ascii="宋体" w:hAnsi="宋体" w:eastAsia="宋体" w:cs="宋体"/>
          <w:sz w:val="24"/>
          <w:szCs w:val="24"/>
        </w:rPr>
      </w:pPr>
      <w:r>
        <w:rPr>
          <w:rFonts w:hint="eastAsia" w:ascii="宋体" w:hAnsi="宋体" w:eastAsia="宋体" w:cs="宋体"/>
          <w:spacing w:val="-7"/>
          <w:sz w:val="24"/>
          <w:szCs w:val="24"/>
        </w:rPr>
        <w:t>第</w:t>
      </w:r>
      <w:r>
        <w:rPr>
          <w:rFonts w:hint="eastAsia" w:ascii="宋体" w:hAnsi="宋体" w:eastAsia="宋体" w:cs="宋体"/>
          <w:spacing w:val="-26"/>
          <w:sz w:val="24"/>
          <w:szCs w:val="24"/>
        </w:rPr>
        <w:t xml:space="preserve"> </w:t>
      </w:r>
      <w:r>
        <w:rPr>
          <w:rFonts w:hint="eastAsia" w:ascii="宋体" w:hAnsi="宋体" w:eastAsia="宋体" w:cs="宋体"/>
          <w:spacing w:val="-7"/>
          <w:sz w:val="24"/>
          <w:szCs w:val="24"/>
        </w:rPr>
        <w:t>1.1.6.4  目修改为：</w:t>
      </w:r>
    </w:p>
    <w:p w14:paraId="2C0ADCD0">
      <w:pPr>
        <w:keepNext w:val="0"/>
        <w:keepLines w:val="0"/>
        <w:pageBreakBefore w:val="0"/>
        <w:widowControl w:val="0"/>
        <w:kinsoku/>
        <w:wordWrap/>
        <w:overflowPunct/>
        <w:topLinePunct w:val="0"/>
        <w:autoSpaceDE/>
        <w:autoSpaceDN/>
        <w:bidi w:val="0"/>
        <w:adjustRightInd/>
        <w:snapToGrid/>
        <w:spacing w:before="114" w:line="360" w:lineRule="auto"/>
        <w:ind w:left="7" w:right="147" w:firstLine="492"/>
        <w:textAlignment w:val="auto"/>
        <w:rPr>
          <w:rFonts w:hint="eastAsia" w:ascii="宋体" w:hAnsi="宋体" w:eastAsia="宋体" w:cs="宋体"/>
          <w:sz w:val="24"/>
          <w:szCs w:val="24"/>
        </w:rPr>
      </w:pPr>
      <w:r>
        <w:rPr>
          <w:rFonts w:hint="eastAsia" w:ascii="宋体" w:hAnsi="宋体" w:eastAsia="宋体" w:cs="宋体"/>
          <w:spacing w:val="5"/>
          <w:sz w:val="24"/>
          <w:szCs w:val="24"/>
        </w:rPr>
        <w:t>1.1.6.4  项目总体验收：指在整个项目执行周期结束</w:t>
      </w:r>
      <w:r>
        <w:rPr>
          <w:rFonts w:hint="eastAsia" w:ascii="宋体" w:hAnsi="宋体" w:eastAsia="宋体" w:cs="宋体"/>
          <w:spacing w:val="4"/>
          <w:sz w:val="24"/>
          <w:szCs w:val="24"/>
        </w:rPr>
        <w:t>后进行的验收，包括项目</w:t>
      </w:r>
      <w:r>
        <w:rPr>
          <w:rFonts w:hint="eastAsia" w:ascii="宋体" w:hAnsi="宋体" w:eastAsia="宋体" w:cs="宋体"/>
          <w:spacing w:val="-1"/>
          <w:sz w:val="24"/>
          <w:szCs w:val="24"/>
        </w:rPr>
        <w:t>总体交工验收、项目总体竣工验收。</w:t>
      </w:r>
    </w:p>
    <w:p w14:paraId="10AD45EA">
      <w:pPr>
        <w:keepNext w:val="0"/>
        <w:keepLines w:val="0"/>
        <w:pageBreakBefore w:val="0"/>
        <w:widowControl w:val="0"/>
        <w:kinsoku/>
        <w:wordWrap/>
        <w:overflowPunct/>
        <w:topLinePunct w:val="0"/>
        <w:autoSpaceDE/>
        <w:autoSpaceDN/>
        <w:bidi w:val="0"/>
        <w:adjustRightInd/>
        <w:snapToGrid/>
        <w:spacing w:before="4" w:line="360" w:lineRule="auto"/>
        <w:ind w:right="101" w:firstLine="491"/>
        <w:textAlignment w:val="auto"/>
        <w:rPr>
          <w:rFonts w:hint="eastAsia" w:ascii="宋体" w:hAnsi="宋体" w:eastAsia="宋体" w:cs="宋体"/>
          <w:sz w:val="24"/>
          <w:szCs w:val="24"/>
        </w:rPr>
      </w:pPr>
      <w:r>
        <w:rPr>
          <w:rFonts w:hint="eastAsia" w:ascii="宋体" w:hAnsi="宋体" w:eastAsia="宋体" w:cs="宋体"/>
          <w:spacing w:val="-2"/>
          <w:sz w:val="24"/>
          <w:szCs w:val="24"/>
        </w:rPr>
        <w:t>（1）项目总体交工验收：指合同约定期满后对公路技术状况，公路设施完好、</w:t>
      </w:r>
      <w:r>
        <w:rPr>
          <w:rFonts w:hint="eastAsia" w:ascii="宋体" w:hAnsi="宋体" w:eastAsia="宋体" w:cs="宋体"/>
          <w:spacing w:val="1"/>
          <w:sz w:val="24"/>
          <w:szCs w:val="24"/>
        </w:rPr>
        <w:t>安全、可靠、畅通、耐久、洁净、绿化、美化水平，养护资料及档案规范化程度，公众满意度等内容，进行的综合考核评价验收，评价</w:t>
      </w:r>
      <w:r>
        <w:rPr>
          <w:rFonts w:hint="eastAsia" w:ascii="宋体" w:hAnsi="宋体" w:eastAsia="宋体" w:cs="宋体"/>
          <w:sz w:val="24"/>
          <w:szCs w:val="24"/>
        </w:rPr>
        <w:t>其养护绩效服务水平，并进行</w:t>
      </w:r>
      <w:r>
        <w:rPr>
          <w:rFonts w:hint="eastAsia" w:ascii="宋体" w:hAnsi="宋体" w:eastAsia="宋体" w:cs="宋体"/>
          <w:spacing w:val="-2"/>
          <w:sz w:val="24"/>
          <w:szCs w:val="24"/>
        </w:rPr>
        <w:t>相关工作总结。</w:t>
      </w:r>
    </w:p>
    <w:p w14:paraId="282E0E3D">
      <w:pPr>
        <w:keepNext w:val="0"/>
        <w:keepLines w:val="0"/>
        <w:pageBreakBefore w:val="0"/>
        <w:widowControl w:val="0"/>
        <w:kinsoku/>
        <w:wordWrap/>
        <w:overflowPunct/>
        <w:topLinePunct w:val="0"/>
        <w:autoSpaceDE/>
        <w:autoSpaceDN/>
        <w:bidi w:val="0"/>
        <w:adjustRightInd/>
        <w:snapToGrid/>
        <w:spacing w:before="112" w:line="360" w:lineRule="auto"/>
        <w:ind w:left="20" w:right="147" w:firstLine="471"/>
        <w:textAlignment w:val="auto"/>
        <w:rPr>
          <w:rFonts w:hint="eastAsia" w:ascii="宋体" w:hAnsi="宋体" w:eastAsia="宋体" w:cs="宋体"/>
          <w:sz w:val="24"/>
          <w:szCs w:val="24"/>
        </w:rPr>
      </w:pPr>
      <w:r>
        <w:rPr>
          <w:rFonts w:hint="eastAsia" w:ascii="宋体" w:hAnsi="宋体" w:eastAsia="宋体" w:cs="宋体"/>
          <w:spacing w:val="4"/>
          <w:sz w:val="24"/>
          <w:szCs w:val="24"/>
        </w:rPr>
        <w:t>（2）项目总体竣工验收：指在整个项目执行周期及缺陷责任期满</w:t>
      </w:r>
      <w:r>
        <w:rPr>
          <w:rFonts w:hint="eastAsia" w:ascii="宋体" w:hAnsi="宋体" w:eastAsia="宋体" w:cs="宋体"/>
          <w:spacing w:val="3"/>
          <w:sz w:val="24"/>
          <w:szCs w:val="24"/>
        </w:rPr>
        <w:t>后组织进行</w:t>
      </w:r>
      <w:r>
        <w:rPr>
          <w:rFonts w:hint="eastAsia" w:ascii="宋体" w:hAnsi="宋体" w:eastAsia="宋体" w:cs="宋体"/>
          <w:spacing w:val="-2"/>
          <w:sz w:val="24"/>
          <w:szCs w:val="24"/>
        </w:rPr>
        <w:t>的验收，由验收单位按照合同要求进行验收。</w:t>
      </w:r>
    </w:p>
    <w:p w14:paraId="46C712EE">
      <w:pPr>
        <w:keepNext w:val="0"/>
        <w:keepLines w:val="0"/>
        <w:pageBreakBefore w:val="0"/>
        <w:widowControl w:val="0"/>
        <w:kinsoku/>
        <w:wordWrap/>
        <w:overflowPunct/>
        <w:topLinePunct w:val="0"/>
        <w:autoSpaceDE/>
        <w:autoSpaceDN/>
        <w:bidi w:val="0"/>
        <w:adjustRightInd/>
        <w:snapToGrid/>
        <w:spacing w:before="116" w:line="360" w:lineRule="auto"/>
        <w:ind w:left="480"/>
        <w:textAlignment w:val="auto"/>
        <w:rPr>
          <w:rFonts w:hint="eastAsia" w:ascii="宋体" w:hAnsi="宋体" w:eastAsia="宋体" w:cs="宋体"/>
          <w:sz w:val="24"/>
          <w:szCs w:val="24"/>
        </w:rPr>
      </w:pPr>
      <w:r>
        <w:rPr>
          <w:rFonts w:hint="eastAsia" w:ascii="宋体" w:hAnsi="宋体" w:eastAsia="宋体" w:cs="宋体"/>
          <w:spacing w:val="-7"/>
          <w:sz w:val="24"/>
          <w:szCs w:val="24"/>
        </w:rPr>
        <w:t>第</w:t>
      </w:r>
      <w:r>
        <w:rPr>
          <w:rFonts w:hint="eastAsia" w:ascii="宋体" w:hAnsi="宋体" w:eastAsia="宋体" w:cs="宋体"/>
          <w:spacing w:val="-26"/>
          <w:sz w:val="24"/>
          <w:szCs w:val="24"/>
        </w:rPr>
        <w:t xml:space="preserve"> </w:t>
      </w:r>
      <w:r>
        <w:rPr>
          <w:rFonts w:hint="eastAsia" w:ascii="宋体" w:hAnsi="宋体" w:eastAsia="宋体" w:cs="宋体"/>
          <w:spacing w:val="-7"/>
          <w:sz w:val="24"/>
          <w:szCs w:val="24"/>
        </w:rPr>
        <w:t>1.1.6.5  目修改为：</w:t>
      </w:r>
    </w:p>
    <w:p w14:paraId="0B34DB96">
      <w:pPr>
        <w:spacing w:before="113" w:line="219" w:lineRule="auto"/>
        <w:ind w:left="499"/>
        <w:rPr>
          <w:rFonts w:hint="eastAsia" w:ascii="宋体" w:hAnsi="宋体" w:eastAsia="宋体" w:cs="宋体"/>
          <w:sz w:val="24"/>
          <w:szCs w:val="24"/>
        </w:rPr>
      </w:pPr>
      <w:r>
        <w:rPr>
          <w:rFonts w:hint="eastAsia" w:ascii="宋体" w:hAnsi="宋体" w:eastAsia="宋体" w:cs="宋体"/>
          <w:spacing w:val="-3"/>
          <w:sz w:val="24"/>
          <w:szCs w:val="24"/>
        </w:rPr>
        <w:t>1.1.6.5  验收证书</w:t>
      </w:r>
    </w:p>
    <w:p w14:paraId="043B2099">
      <w:pPr>
        <w:spacing w:before="116" w:line="219" w:lineRule="auto"/>
        <w:ind w:left="492"/>
        <w:rPr>
          <w:rFonts w:hint="eastAsia" w:ascii="宋体" w:hAnsi="宋体" w:eastAsia="宋体" w:cs="宋体"/>
          <w:sz w:val="24"/>
          <w:szCs w:val="24"/>
        </w:rPr>
      </w:pPr>
      <w:r>
        <w:rPr>
          <w:rFonts w:hint="eastAsia" w:ascii="宋体" w:hAnsi="宋体" w:eastAsia="宋体" w:cs="宋体"/>
          <w:spacing w:val="-1"/>
          <w:sz w:val="24"/>
          <w:szCs w:val="24"/>
        </w:rPr>
        <w:t>（1）养护工程验收证书：指养护工程交（竣）工验收合格后签发的验收证书。</w:t>
      </w:r>
    </w:p>
    <w:p w14:paraId="318188E5">
      <w:pPr>
        <w:spacing w:before="116" w:line="219" w:lineRule="auto"/>
        <w:ind w:left="492"/>
        <w:rPr>
          <w:rFonts w:hint="eastAsia" w:ascii="宋体" w:hAnsi="宋体" w:eastAsia="宋体" w:cs="宋体"/>
          <w:sz w:val="24"/>
          <w:szCs w:val="24"/>
        </w:rPr>
      </w:pPr>
      <w:r>
        <w:rPr>
          <w:rFonts w:hint="eastAsia" w:ascii="宋体" w:hAnsi="宋体" w:eastAsia="宋体" w:cs="宋体"/>
          <w:spacing w:val="-1"/>
          <w:sz w:val="24"/>
          <w:szCs w:val="24"/>
        </w:rPr>
        <w:t>（2）总体验收证书：指项目总体验收合格后签发的验收证书。</w:t>
      </w:r>
    </w:p>
    <w:p w14:paraId="4E968415">
      <w:pPr>
        <w:spacing w:before="115" w:line="219" w:lineRule="auto"/>
        <w:ind w:left="480"/>
        <w:rPr>
          <w:rFonts w:hint="eastAsia" w:ascii="宋体" w:hAnsi="宋体" w:eastAsia="宋体" w:cs="宋体"/>
          <w:sz w:val="24"/>
          <w:szCs w:val="24"/>
        </w:rPr>
      </w:pPr>
      <w:r>
        <w:rPr>
          <w:rFonts w:hint="eastAsia" w:ascii="宋体" w:hAnsi="宋体" w:eastAsia="宋体" w:cs="宋体"/>
          <w:spacing w:val="-7"/>
          <w:sz w:val="24"/>
          <w:szCs w:val="24"/>
        </w:rPr>
        <w:t>补充第</w:t>
      </w:r>
      <w:r>
        <w:rPr>
          <w:rFonts w:hint="eastAsia" w:ascii="宋体" w:hAnsi="宋体" w:eastAsia="宋体" w:cs="宋体"/>
          <w:spacing w:val="-32"/>
          <w:sz w:val="24"/>
          <w:szCs w:val="24"/>
        </w:rPr>
        <w:t xml:space="preserve"> </w:t>
      </w:r>
      <w:r>
        <w:rPr>
          <w:rFonts w:hint="eastAsia" w:ascii="宋体" w:hAnsi="宋体" w:eastAsia="宋体" w:cs="宋体"/>
          <w:spacing w:val="-7"/>
          <w:sz w:val="24"/>
          <w:szCs w:val="24"/>
        </w:rPr>
        <w:t>1.1.6.8  目~第</w:t>
      </w:r>
      <w:r>
        <w:rPr>
          <w:rFonts w:hint="eastAsia" w:ascii="宋体" w:hAnsi="宋体" w:eastAsia="宋体" w:cs="宋体"/>
          <w:spacing w:val="-32"/>
          <w:sz w:val="24"/>
          <w:szCs w:val="24"/>
        </w:rPr>
        <w:t xml:space="preserve"> </w:t>
      </w:r>
      <w:r>
        <w:rPr>
          <w:rFonts w:hint="eastAsia" w:ascii="宋体" w:hAnsi="宋体" w:eastAsia="宋体" w:cs="宋体"/>
          <w:spacing w:val="-7"/>
          <w:sz w:val="24"/>
          <w:szCs w:val="24"/>
        </w:rPr>
        <w:t>1.1.</w:t>
      </w:r>
      <w:r>
        <w:rPr>
          <w:rFonts w:hint="eastAsia" w:ascii="宋体" w:hAnsi="宋体" w:eastAsia="宋体" w:cs="宋体"/>
          <w:spacing w:val="-8"/>
          <w:sz w:val="24"/>
          <w:szCs w:val="24"/>
        </w:rPr>
        <w:t>6.11  目：</w:t>
      </w:r>
    </w:p>
    <w:p w14:paraId="114C3C1E">
      <w:pPr>
        <w:spacing w:before="78" w:line="307" w:lineRule="auto"/>
        <w:ind w:firstLine="500" w:firstLineChars="200"/>
        <w:rPr>
          <w:rFonts w:hint="eastAsia" w:ascii="宋体" w:hAnsi="宋体" w:eastAsia="宋体" w:cs="宋体"/>
          <w:sz w:val="24"/>
          <w:szCs w:val="24"/>
        </w:rPr>
      </w:pPr>
      <w:r>
        <w:rPr>
          <w:rFonts w:hint="eastAsia" w:ascii="宋体" w:hAnsi="宋体" w:eastAsia="宋体" w:cs="宋体"/>
          <w:spacing w:val="5"/>
          <w:sz w:val="24"/>
          <w:szCs w:val="24"/>
        </w:rPr>
        <w:t>1.1.6.8  养护绩效：指在役公路设施能够为公众提供的综</w:t>
      </w:r>
      <w:r>
        <w:rPr>
          <w:rFonts w:hint="eastAsia" w:ascii="宋体" w:hAnsi="宋体" w:eastAsia="宋体" w:cs="宋体"/>
          <w:spacing w:val="4"/>
          <w:sz w:val="24"/>
          <w:szCs w:val="24"/>
        </w:rPr>
        <w:t>合服务水平，主要内</w:t>
      </w:r>
      <w:r>
        <w:rPr>
          <w:rFonts w:hint="eastAsia" w:ascii="宋体" w:hAnsi="宋体" w:eastAsia="宋体" w:cs="宋体"/>
          <w:spacing w:val="-1"/>
          <w:sz w:val="24"/>
          <w:szCs w:val="24"/>
        </w:rPr>
        <w:t>容包括：公路技术状况，公路设施的完好、安</w:t>
      </w:r>
      <w:r>
        <w:rPr>
          <w:rFonts w:hint="eastAsia" w:ascii="宋体" w:hAnsi="宋体" w:eastAsia="宋体" w:cs="宋体"/>
          <w:spacing w:val="-2"/>
          <w:sz w:val="24"/>
          <w:szCs w:val="24"/>
        </w:rPr>
        <w:t>全、可靠、畅通、耐久、洁净、绿化、</w:t>
      </w:r>
      <w:r>
        <w:rPr>
          <w:rFonts w:hint="eastAsia" w:ascii="宋体" w:hAnsi="宋体" w:eastAsia="宋体" w:cs="宋体"/>
          <w:spacing w:val="-1"/>
          <w:sz w:val="24"/>
          <w:szCs w:val="24"/>
        </w:rPr>
        <w:t>美化水平，养护资料及档案规范化程度，公众满意度等。</w:t>
      </w:r>
    </w:p>
    <w:p w14:paraId="3E11129F">
      <w:pPr>
        <w:spacing w:line="263" w:lineRule="auto"/>
        <w:ind w:left="3" w:right="164" w:firstLine="495"/>
        <w:rPr>
          <w:rFonts w:hint="eastAsia" w:ascii="宋体" w:hAnsi="宋体" w:eastAsia="宋体" w:cs="宋体"/>
          <w:sz w:val="24"/>
          <w:szCs w:val="24"/>
        </w:rPr>
      </w:pPr>
      <w:r>
        <w:rPr>
          <w:rFonts w:hint="eastAsia" w:ascii="宋体" w:hAnsi="宋体" w:eastAsia="宋体" w:cs="宋体"/>
          <w:spacing w:val="5"/>
          <w:sz w:val="24"/>
          <w:szCs w:val="24"/>
        </w:rPr>
        <w:t>1.1.6.9  养护绩效考核：指针对养护绩效的主要内容进行</w:t>
      </w:r>
      <w:r>
        <w:rPr>
          <w:rFonts w:hint="eastAsia" w:ascii="宋体" w:hAnsi="宋体" w:eastAsia="宋体" w:cs="宋体"/>
          <w:spacing w:val="4"/>
          <w:sz w:val="24"/>
          <w:szCs w:val="24"/>
        </w:rPr>
        <w:t>的多层次、多维度的</w:t>
      </w:r>
      <w:r>
        <w:rPr>
          <w:rFonts w:hint="eastAsia" w:ascii="宋体" w:hAnsi="宋体" w:eastAsia="宋体" w:cs="宋体"/>
          <w:spacing w:val="-2"/>
          <w:sz w:val="24"/>
          <w:szCs w:val="24"/>
        </w:rPr>
        <w:t>综合考核评价行为。</w:t>
      </w:r>
    </w:p>
    <w:p w14:paraId="6C08CC13">
      <w:pPr>
        <w:spacing w:before="118" w:line="262" w:lineRule="auto"/>
        <w:ind w:left="20" w:right="164" w:firstLine="479"/>
        <w:rPr>
          <w:rFonts w:hint="eastAsia" w:ascii="宋体" w:hAnsi="宋体" w:eastAsia="宋体" w:cs="宋体"/>
          <w:sz w:val="24"/>
          <w:szCs w:val="24"/>
        </w:rPr>
      </w:pPr>
      <w:r>
        <w:rPr>
          <w:rFonts w:hint="eastAsia" w:ascii="宋体" w:hAnsi="宋体" w:eastAsia="宋体" w:cs="宋体"/>
          <w:spacing w:val="2"/>
          <w:sz w:val="24"/>
          <w:szCs w:val="24"/>
        </w:rPr>
        <w:t>1.1.6.10  绩效服务水平：指对养护绩效的主要</w:t>
      </w:r>
      <w:r>
        <w:rPr>
          <w:rFonts w:hint="eastAsia" w:ascii="宋体" w:hAnsi="宋体" w:eastAsia="宋体" w:cs="宋体"/>
          <w:spacing w:val="1"/>
          <w:sz w:val="24"/>
          <w:szCs w:val="24"/>
        </w:rPr>
        <w:t>内容进行综合考核评价后，得出</w:t>
      </w:r>
      <w:r>
        <w:rPr>
          <w:rFonts w:hint="eastAsia" w:ascii="宋体" w:hAnsi="宋体" w:eastAsia="宋体" w:cs="宋体"/>
          <w:spacing w:val="-3"/>
          <w:sz w:val="24"/>
          <w:szCs w:val="24"/>
        </w:rPr>
        <w:t>的评分结果或评价等级。</w:t>
      </w:r>
    </w:p>
    <w:p w14:paraId="797F2C26">
      <w:pPr>
        <w:spacing w:before="117" w:line="264" w:lineRule="auto"/>
        <w:ind w:right="166" w:firstLine="498"/>
        <w:rPr>
          <w:rFonts w:hint="eastAsia" w:ascii="宋体" w:hAnsi="宋体" w:eastAsia="宋体" w:cs="宋体"/>
          <w:sz w:val="24"/>
          <w:szCs w:val="24"/>
        </w:rPr>
      </w:pPr>
      <w:r>
        <w:rPr>
          <w:rFonts w:hint="eastAsia" w:ascii="宋体" w:hAnsi="宋体" w:eastAsia="宋体" w:cs="宋体"/>
          <w:spacing w:val="2"/>
          <w:sz w:val="24"/>
          <w:szCs w:val="24"/>
        </w:rPr>
        <w:t>1.1.6.11  绩效服务缺陷：指承包人提供的</w:t>
      </w:r>
      <w:r>
        <w:rPr>
          <w:rFonts w:hint="eastAsia" w:ascii="宋体" w:hAnsi="宋体" w:eastAsia="宋体" w:cs="宋体"/>
          <w:spacing w:val="1"/>
          <w:sz w:val="24"/>
          <w:szCs w:val="24"/>
        </w:rPr>
        <w:t>不满足养护绩效考核评价标准的存在</w:t>
      </w:r>
      <w:r>
        <w:rPr>
          <w:rFonts w:hint="eastAsia" w:ascii="宋体" w:hAnsi="宋体" w:eastAsia="宋体" w:cs="宋体"/>
          <w:spacing w:val="-2"/>
          <w:sz w:val="24"/>
          <w:szCs w:val="24"/>
        </w:rPr>
        <w:t>缺陷的部分服务。</w:t>
      </w:r>
    </w:p>
    <w:p w14:paraId="56506384">
      <w:pPr>
        <w:spacing w:before="104" w:line="219" w:lineRule="auto"/>
        <w:ind w:left="477"/>
        <w:outlineLvl w:val="3"/>
        <w:rPr>
          <w:rFonts w:hint="eastAsia" w:ascii="宋体" w:hAnsi="宋体" w:eastAsia="宋体" w:cs="宋体"/>
          <w:sz w:val="24"/>
          <w:szCs w:val="24"/>
        </w:rPr>
      </w:pPr>
      <w:bookmarkStart w:id="178" w:name="bookmark145"/>
      <w:bookmarkEnd w:id="178"/>
      <w:bookmarkStart w:id="179" w:name="bookmark146"/>
      <w:bookmarkEnd w:id="179"/>
      <w:r>
        <w:rPr>
          <w:rFonts w:hint="eastAsia" w:ascii="宋体" w:hAnsi="宋体" w:eastAsia="宋体" w:cs="宋体"/>
          <w:b/>
          <w:bCs/>
          <w:spacing w:val="-4"/>
          <w:sz w:val="24"/>
          <w:szCs w:val="24"/>
        </w:rPr>
        <w:t>2.</w:t>
      </w:r>
      <w:r>
        <w:rPr>
          <w:rFonts w:hint="eastAsia" w:ascii="宋体" w:hAnsi="宋体" w:eastAsia="宋体" w:cs="宋体"/>
          <w:b/>
          <w:bCs/>
          <w:spacing w:val="6"/>
          <w:sz w:val="24"/>
          <w:szCs w:val="24"/>
        </w:rPr>
        <w:t xml:space="preserve">  </w:t>
      </w:r>
      <w:r>
        <w:rPr>
          <w:rFonts w:hint="eastAsia" w:ascii="宋体" w:hAnsi="宋体" w:eastAsia="宋体" w:cs="宋体"/>
          <w:b/>
          <w:bCs/>
          <w:spacing w:val="-4"/>
          <w:sz w:val="24"/>
          <w:szCs w:val="24"/>
        </w:rPr>
        <w:t>发包人义务</w:t>
      </w:r>
    </w:p>
    <w:p w14:paraId="7BF8686D">
      <w:pPr>
        <w:spacing w:before="125" w:line="219" w:lineRule="auto"/>
        <w:ind w:left="480"/>
        <w:rPr>
          <w:rFonts w:hint="eastAsia" w:ascii="宋体" w:hAnsi="宋体" w:eastAsia="宋体" w:cs="宋体"/>
          <w:sz w:val="24"/>
          <w:szCs w:val="24"/>
        </w:rPr>
      </w:pPr>
      <w:r>
        <w:rPr>
          <w:rFonts w:hint="eastAsia" w:ascii="宋体" w:hAnsi="宋体" w:eastAsia="宋体" w:cs="宋体"/>
          <w:spacing w:val="-2"/>
          <w:sz w:val="24"/>
          <w:szCs w:val="24"/>
        </w:rPr>
        <w:t>第</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2.2 款修改为：</w:t>
      </w:r>
    </w:p>
    <w:p w14:paraId="1B03E49F">
      <w:pPr>
        <w:spacing w:before="106" w:line="220" w:lineRule="auto"/>
        <w:ind w:left="477"/>
        <w:outlineLvl w:val="4"/>
        <w:rPr>
          <w:rFonts w:hint="eastAsia" w:ascii="宋体" w:hAnsi="宋体" w:eastAsia="宋体" w:cs="宋体"/>
          <w:sz w:val="24"/>
          <w:szCs w:val="24"/>
        </w:rPr>
      </w:pPr>
      <w:r>
        <w:rPr>
          <w:rFonts w:hint="eastAsia" w:ascii="宋体" w:hAnsi="宋体" w:eastAsia="宋体" w:cs="宋体"/>
          <w:b/>
          <w:bCs/>
          <w:spacing w:val="-2"/>
          <w:sz w:val="24"/>
          <w:szCs w:val="24"/>
        </w:rPr>
        <w:t>2.2  发出开工通知</w:t>
      </w:r>
    </w:p>
    <w:p w14:paraId="2EDDD99C">
      <w:pPr>
        <w:spacing w:before="122" w:line="308" w:lineRule="auto"/>
        <w:ind w:left="21" w:right="166" w:firstLine="463"/>
        <w:rPr>
          <w:rFonts w:hint="eastAsia" w:ascii="宋体" w:hAnsi="宋体" w:eastAsia="宋体" w:cs="宋体"/>
          <w:sz w:val="24"/>
          <w:szCs w:val="24"/>
        </w:rPr>
      </w:pPr>
      <w:r>
        <w:rPr>
          <w:rFonts w:hint="eastAsia" w:ascii="宋体" w:hAnsi="宋体" w:eastAsia="宋体" w:cs="宋体"/>
          <w:spacing w:val="-2"/>
          <w:sz w:val="24"/>
          <w:szCs w:val="24"/>
        </w:rPr>
        <w:t>发包人应按第</w:t>
      </w:r>
      <w:r>
        <w:rPr>
          <w:rFonts w:hint="eastAsia" w:ascii="宋体" w:hAnsi="宋体" w:eastAsia="宋体" w:cs="宋体"/>
          <w:spacing w:val="-20"/>
          <w:sz w:val="24"/>
          <w:szCs w:val="24"/>
        </w:rPr>
        <w:t xml:space="preserve"> </w:t>
      </w:r>
      <w:r>
        <w:rPr>
          <w:rFonts w:hint="eastAsia" w:ascii="宋体" w:hAnsi="宋体" w:eastAsia="宋体" w:cs="宋体"/>
          <w:spacing w:val="-2"/>
          <w:sz w:val="24"/>
          <w:szCs w:val="24"/>
        </w:rPr>
        <w:t>11.1.1</w:t>
      </w:r>
      <w:r>
        <w:rPr>
          <w:rFonts w:hint="eastAsia" w:ascii="宋体" w:hAnsi="宋体" w:eastAsia="宋体" w:cs="宋体"/>
          <w:spacing w:val="15"/>
          <w:w w:val="101"/>
          <w:sz w:val="24"/>
          <w:szCs w:val="24"/>
        </w:rPr>
        <w:t xml:space="preserve"> </w:t>
      </w:r>
      <w:r>
        <w:rPr>
          <w:rFonts w:hint="eastAsia" w:ascii="宋体" w:hAnsi="宋体" w:eastAsia="宋体" w:cs="宋体"/>
          <w:spacing w:val="-2"/>
          <w:sz w:val="24"/>
          <w:szCs w:val="24"/>
        </w:rPr>
        <w:t>项、第</w:t>
      </w:r>
      <w:r>
        <w:rPr>
          <w:rFonts w:hint="eastAsia" w:ascii="宋体" w:hAnsi="宋体" w:eastAsia="宋体" w:cs="宋体"/>
          <w:spacing w:val="-32"/>
          <w:sz w:val="24"/>
          <w:szCs w:val="24"/>
        </w:rPr>
        <w:t xml:space="preserve"> </w:t>
      </w:r>
      <w:r>
        <w:rPr>
          <w:rFonts w:hint="eastAsia" w:ascii="宋体" w:hAnsi="宋体" w:eastAsia="宋体" w:cs="宋体"/>
          <w:spacing w:val="-2"/>
          <w:sz w:val="24"/>
          <w:szCs w:val="24"/>
        </w:rPr>
        <w:t>11.1.2</w:t>
      </w:r>
      <w:r>
        <w:rPr>
          <w:rFonts w:hint="eastAsia" w:ascii="宋体" w:hAnsi="宋体" w:eastAsia="宋体" w:cs="宋体"/>
          <w:spacing w:val="15"/>
          <w:w w:val="101"/>
          <w:sz w:val="24"/>
          <w:szCs w:val="24"/>
        </w:rPr>
        <w:t xml:space="preserve"> </w:t>
      </w:r>
      <w:r>
        <w:rPr>
          <w:rFonts w:hint="eastAsia" w:ascii="宋体" w:hAnsi="宋体" w:eastAsia="宋体" w:cs="宋体"/>
          <w:spacing w:val="-2"/>
          <w:sz w:val="24"/>
          <w:szCs w:val="24"/>
        </w:rPr>
        <w:t>项的约定向承包人发</w:t>
      </w:r>
      <w:r>
        <w:rPr>
          <w:rFonts w:hint="eastAsia" w:ascii="宋体" w:hAnsi="宋体" w:eastAsia="宋体" w:cs="宋体"/>
          <w:spacing w:val="-5"/>
          <w:sz w:val="24"/>
          <w:szCs w:val="24"/>
        </w:rPr>
        <w:t>出开工通知。</w:t>
      </w:r>
    </w:p>
    <w:p w14:paraId="2DA625F2">
      <w:pPr>
        <w:spacing w:before="1" w:line="307" w:lineRule="auto"/>
        <w:ind w:left="19" w:right="166" w:firstLine="460"/>
        <w:rPr>
          <w:rFonts w:hint="eastAsia" w:ascii="宋体" w:hAnsi="宋体" w:eastAsia="宋体" w:cs="宋体"/>
          <w:sz w:val="24"/>
          <w:szCs w:val="24"/>
        </w:rPr>
      </w:pPr>
      <w:r>
        <w:rPr>
          <w:rFonts w:hint="eastAsia" w:ascii="宋体" w:hAnsi="宋体" w:eastAsia="宋体" w:cs="宋体"/>
          <w:spacing w:val="1"/>
          <w:sz w:val="24"/>
          <w:szCs w:val="24"/>
        </w:rPr>
        <w:t>对于发包人指定实施的养护工程、承包人自主实施的养</w:t>
      </w:r>
      <w:r>
        <w:rPr>
          <w:rFonts w:hint="eastAsia" w:ascii="宋体" w:hAnsi="宋体" w:eastAsia="宋体" w:cs="宋体"/>
          <w:sz w:val="24"/>
          <w:szCs w:val="24"/>
        </w:rPr>
        <w:t>护工程，发包人应按第</w:t>
      </w:r>
      <w:r>
        <w:rPr>
          <w:rFonts w:hint="eastAsia" w:ascii="宋体" w:hAnsi="宋体" w:eastAsia="宋体" w:cs="宋体"/>
          <w:spacing w:val="-1"/>
          <w:sz w:val="24"/>
          <w:szCs w:val="24"/>
        </w:rPr>
        <w:t>11.1.3 项的约定向承</w:t>
      </w:r>
      <w:r>
        <w:rPr>
          <w:rFonts w:hint="eastAsia" w:ascii="宋体" w:hAnsi="宋体" w:eastAsia="宋体" w:cs="宋体"/>
          <w:spacing w:val="-2"/>
          <w:sz w:val="24"/>
          <w:szCs w:val="24"/>
        </w:rPr>
        <w:t>包人发出施工令。</w:t>
      </w:r>
    </w:p>
    <w:p w14:paraId="54F54811">
      <w:pPr>
        <w:spacing w:before="1" w:line="307" w:lineRule="auto"/>
        <w:ind w:right="166" w:firstLine="480"/>
        <w:rPr>
          <w:rFonts w:hint="eastAsia" w:ascii="宋体" w:hAnsi="宋体" w:eastAsia="宋体" w:cs="宋体"/>
          <w:sz w:val="24"/>
          <w:szCs w:val="24"/>
        </w:rPr>
      </w:pPr>
      <w:r>
        <w:rPr>
          <w:rFonts w:hint="eastAsia" w:ascii="宋体" w:hAnsi="宋体" w:eastAsia="宋体" w:cs="宋体"/>
          <w:spacing w:val="2"/>
          <w:sz w:val="24"/>
          <w:szCs w:val="24"/>
        </w:rPr>
        <w:t>对于应急和不可预见的专项养护工程（工作</w:t>
      </w:r>
      <w:r>
        <w:rPr>
          <w:rFonts w:hint="eastAsia" w:ascii="宋体" w:hAnsi="宋体" w:eastAsia="宋体" w:cs="宋体"/>
          <w:spacing w:val="-47"/>
          <w:sz w:val="24"/>
          <w:szCs w:val="24"/>
        </w:rPr>
        <w:t>），</w:t>
      </w:r>
      <w:r>
        <w:rPr>
          <w:rFonts w:hint="eastAsia" w:ascii="宋体" w:hAnsi="宋体" w:eastAsia="宋体" w:cs="宋体"/>
          <w:spacing w:val="2"/>
          <w:sz w:val="24"/>
          <w:szCs w:val="24"/>
        </w:rPr>
        <w:t>发包人应按第</w:t>
      </w:r>
      <w:r>
        <w:rPr>
          <w:rFonts w:hint="eastAsia" w:ascii="宋体" w:hAnsi="宋体" w:eastAsia="宋体" w:cs="宋体"/>
          <w:spacing w:val="-26"/>
          <w:sz w:val="24"/>
          <w:szCs w:val="24"/>
        </w:rPr>
        <w:t xml:space="preserve"> </w:t>
      </w:r>
      <w:r>
        <w:rPr>
          <w:rFonts w:hint="eastAsia" w:ascii="宋体" w:hAnsi="宋体" w:eastAsia="宋体" w:cs="宋体"/>
          <w:spacing w:val="2"/>
          <w:sz w:val="24"/>
          <w:szCs w:val="24"/>
        </w:rPr>
        <w:t>11.</w:t>
      </w:r>
      <w:r>
        <w:rPr>
          <w:rFonts w:hint="eastAsia" w:ascii="宋体" w:hAnsi="宋体" w:eastAsia="宋体" w:cs="宋体"/>
          <w:spacing w:val="1"/>
          <w:sz w:val="24"/>
          <w:szCs w:val="24"/>
        </w:rPr>
        <w:t>1.4</w:t>
      </w:r>
      <w:r>
        <w:rPr>
          <w:rFonts w:hint="eastAsia" w:ascii="宋体" w:hAnsi="宋体" w:eastAsia="宋体" w:cs="宋体"/>
          <w:spacing w:val="21"/>
          <w:sz w:val="24"/>
          <w:szCs w:val="24"/>
        </w:rPr>
        <w:t xml:space="preserve"> </w:t>
      </w:r>
      <w:r>
        <w:rPr>
          <w:rFonts w:hint="eastAsia" w:ascii="宋体" w:hAnsi="宋体" w:eastAsia="宋体" w:cs="宋体"/>
          <w:spacing w:val="1"/>
          <w:sz w:val="24"/>
          <w:szCs w:val="24"/>
        </w:rPr>
        <w:t>项的约定</w:t>
      </w:r>
      <w:r>
        <w:rPr>
          <w:rFonts w:hint="eastAsia" w:ascii="宋体" w:hAnsi="宋体" w:eastAsia="宋体" w:cs="宋体"/>
          <w:spacing w:val="-1"/>
          <w:sz w:val="24"/>
          <w:szCs w:val="24"/>
        </w:rPr>
        <w:t>向承包人发出施工令。</w:t>
      </w:r>
    </w:p>
    <w:p w14:paraId="134D24E4">
      <w:pPr>
        <w:spacing w:before="1" w:line="219" w:lineRule="auto"/>
        <w:ind w:left="480"/>
        <w:rPr>
          <w:rFonts w:hint="eastAsia" w:ascii="宋体" w:hAnsi="宋体" w:eastAsia="宋体" w:cs="宋体"/>
          <w:sz w:val="24"/>
          <w:szCs w:val="24"/>
        </w:rPr>
      </w:pPr>
      <w:r>
        <w:rPr>
          <w:rFonts w:hint="eastAsia" w:ascii="宋体" w:hAnsi="宋体" w:eastAsia="宋体" w:cs="宋体"/>
          <w:spacing w:val="-2"/>
          <w:sz w:val="24"/>
          <w:szCs w:val="24"/>
        </w:rPr>
        <w:t>第</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2.8 款完善为：</w:t>
      </w:r>
    </w:p>
    <w:p w14:paraId="0CA42BAF">
      <w:pPr>
        <w:spacing w:before="106" w:line="219" w:lineRule="auto"/>
        <w:ind w:left="477"/>
        <w:outlineLvl w:val="4"/>
        <w:rPr>
          <w:rFonts w:hint="eastAsia" w:ascii="宋体" w:hAnsi="宋体" w:eastAsia="宋体" w:cs="宋体"/>
          <w:sz w:val="24"/>
          <w:szCs w:val="24"/>
        </w:rPr>
      </w:pPr>
      <w:r>
        <w:rPr>
          <w:rFonts w:hint="eastAsia" w:ascii="宋体" w:hAnsi="宋体" w:eastAsia="宋体" w:cs="宋体"/>
          <w:b/>
          <w:bCs/>
          <w:spacing w:val="-2"/>
          <w:sz w:val="24"/>
          <w:szCs w:val="24"/>
        </w:rPr>
        <w:t>2.8 其他义务</w:t>
      </w:r>
    </w:p>
    <w:p w14:paraId="69C02714">
      <w:pPr>
        <w:spacing w:before="127" w:line="307" w:lineRule="auto"/>
        <w:ind w:left="5" w:right="166" w:firstLine="479"/>
        <w:rPr>
          <w:rFonts w:hint="eastAsia" w:ascii="宋体" w:hAnsi="宋体" w:eastAsia="宋体" w:cs="宋体"/>
          <w:sz w:val="24"/>
          <w:szCs w:val="24"/>
        </w:rPr>
      </w:pPr>
      <w:r>
        <w:rPr>
          <w:rFonts w:hint="eastAsia" w:ascii="宋体" w:hAnsi="宋体" w:eastAsia="宋体" w:cs="宋体"/>
          <w:spacing w:val="3"/>
          <w:sz w:val="24"/>
          <w:szCs w:val="24"/>
        </w:rPr>
        <w:t>发包人应于</w:t>
      </w:r>
      <w:r>
        <w:rPr>
          <w:rFonts w:hint="eastAsia" w:ascii="宋体" w:hAnsi="宋体" w:eastAsia="宋体" w:cs="宋体"/>
          <w:spacing w:val="3"/>
          <w:sz w:val="24"/>
          <w:szCs w:val="24"/>
          <w:u w:val="single"/>
          <w:lang w:val="en-US" w:eastAsia="zh-CN"/>
        </w:rPr>
        <w:t xml:space="preserve">   /   </w:t>
      </w:r>
      <w:r>
        <w:rPr>
          <w:rFonts w:hint="eastAsia" w:ascii="宋体" w:hAnsi="宋体" w:eastAsia="宋体" w:cs="宋体"/>
          <w:spacing w:val="-118"/>
          <w:sz w:val="24"/>
          <w:szCs w:val="24"/>
          <w:u w:val="single"/>
        </w:rPr>
        <w:t xml:space="preserve"> </w:t>
      </w:r>
      <w:r>
        <w:rPr>
          <w:rFonts w:hint="eastAsia" w:ascii="宋体" w:hAnsi="宋体" w:eastAsia="宋体" w:cs="宋体"/>
          <w:spacing w:val="-118"/>
          <w:sz w:val="24"/>
          <w:szCs w:val="24"/>
          <w:u w:val="single"/>
          <w:lang w:val="en-US" w:eastAsia="zh-CN"/>
        </w:rPr>
        <w:t xml:space="preserve">       </w:t>
      </w:r>
      <w:r>
        <w:rPr>
          <w:rFonts w:hint="eastAsia" w:ascii="宋体" w:hAnsi="宋体" w:eastAsia="宋体" w:cs="宋体"/>
          <w:spacing w:val="-118"/>
          <w:sz w:val="24"/>
          <w:szCs w:val="24"/>
          <w:lang w:val="en-US" w:eastAsia="zh-CN"/>
        </w:rPr>
        <w:t xml:space="preserve">      </w:t>
      </w:r>
      <w:r>
        <w:rPr>
          <w:rFonts w:hint="eastAsia" w:ascii="宋体" w:hAnsi="宋体" w:eastAsia="宋体" w:cs="宋体"/>
          <w:spacing w:val="3"/>
          <w:sz w:val="24"/>
          <w:szCs w:val="24"/>
        </w:rPr>
        <w:t>前，向承包人提供路段基本信息、路况</w:t>
      </w:r>
      <w:r>
        <w:rPr>
          <w:rFonts w:hint="eastAsia" w:ascii="宋体" w:hAnsi="宋体" w:eastAsia="宋体" w:cs="宋体"/>
          <w:spacing w:val="2"/>
          <w:sz w:val="24"/>
          <w:szCs w:val="24"/>
        </w:rPr>
        <w:t>数据、养护历</w:t>
      </w:r>
      <w:r>
        <w:rPr>
          <w:rFonts w:hint="eastAsia" w:ascii="宋体" w:hAnsi="宋体" w:eastAsia="宋体" w:cs="宋体"/>
          <w:spacing w:val="-2"/>
          <w:sz w:val="24"/>
          <w:szCs w:val="24"/>
        </w:rPr>
        <w:t>史资料等相关书面资料。</w:t>
      </w:r>
    </w:p>
    <w:p w14:paraId="37F05F0D">
      <w:pPr>
        <w:spacing w:line="219" w:lineRule="auto"/>
        <w:ind w:left="480"/>
        <w:rPr>
          <w:rFonts w:hint="eastAsia" w:ascii="宋体" w:hAnsi="宋体" w:eastAsia="宋体" w:cs="宋体"/>
          <w:sz w:val="24"/>
          <w:szCs w:val="24"/>
        </w:rPr>
      </w:pPr>
      <w:r>
        <w:rPr>
          <w:rFonts w:hint="eastAsia" w:ascii="宋体" w:hAnsi="宋体" w:eastAsia="宋体" w:cs="宋体"/>
          <w:spacing w:val="-2"/>
          <w:sz w:val="24"/>
          <w:szCs w:val="24"/>
        </w:rPr>
        <w:t>补充第</w:t>
      </w:r>
      <w:r>
        <w:rPr>
          <w:rFonts w:hint="eastAsia" w:ascii="宋体" w:hAnsi="宋体" w:eastAsia="宋体" w:cs="宋体"/>
          <w:spacing w:val="-53"/>
          <w:sz w:val="24"/>
          <w:szCs w:val="24"/>
        </w:rPr>
        <w:t xml:space="preserve"> </w:t>
      </w:r>
      <w:r>
        <w:rPr>
          <w:rFonts w:hint="eastAsia" w:ascii="宋体" w:hAnsi="宋体" w:eastAsia="宋体" w:cs="宋体"/>
          <w:spacing w:val="-2"/>
          <w:sz w:val="24"/>
          <w:szCs w:val="24"/>
        </w:rPr>
        <w:t>2.9 款：</w:t>
      </w:r>
    </w:p>
    <w:p w14:paraId="23CE2A3C">
      <w:pPr>
        <w:spacing w:before="106" w:line="220" w:lineRule="auto"/>
        <w:ind w:left="477"/>
        <w:outlineLvl w:val="4"/>
        <w:rPr>
          <w:rFonts w:hint="eastAsia" w:ascii="宋体" w:hAnsi="宋体" w:eastAsia="宋体" w:cs="宋体"/>
          <w:sz w:val="24"/>
          <w:szCs w:val="24"/>
        </w:rPr>
      </w:pPr>
      <w:r>
        <w:rPr>
          <w:rFonts w:hint="eastAsia" w:ascii="宋体" w:hAnsi="宋体" w:eastAsia="宋体" w:cs="宋体"/>
          <w:b/>
          <w:bCs/>
          <w:spacing w:val="-2"/>
          <w:sz w:val="24"/>
          <w:szCs w:val="24"/>
        </w:rPr>
        <w:t>2.9  组织施工图设计审查</w:t>
      </w:r>
    </w:p>
    <w:p w14:paraId="08334F72">
      <w:pPr>
        <w:keepNext w:val="0"/>
        <w:keepLines w:val="0"/>
        <w:pageBreakBefore w:val="0"/>
        <w:kinsoku/>
        <w:wordWrap/>
        <w:overflowPunct/>
        <w:topLinePunct w:val="0"/>
        <w:autoSpaceDE/>
        <w:autoSpaceDN/>
        <w:bidi w:val="0"/>
        <w:adjustRightInd/>
        <w:snapToGrid/>
        <w:spacing w:before="120" w:line="360" w:lineRule="auto"/>
        <w:ind w:right="164" w:firstLine="475"/>
        <w:textAlignment w:val="auto"/>
        <w:rPr>
          <w:rFonts w:hint="eastAsia" w:ascii="宋体" w:hAnsi="宋体" w:eastAsia="宋体" w:cs="宋体"/>
          <w:sz w:val="24"/>
          <w:szCs w:val="24"/>
        </w:rPr>
      </w:pPr>
      <w:r>
        <w:rPr>
          <w:rFonts w:hint="eastAsia" w:ascii="宋体" w:hAnsi="宋体" w:eastAsia="宋体" w:cs="宋体"/>
          <w:spacing w:val="4"/>
          <w:sz w:val="24"/>
          <w:szCs w:val="24"/>
        </w:rPr>
        <w:t>2.9.1  发包人应组织审查承包人提交的设计文件，设计文件审查的</w:t>
      </w:r>
      <w:r>
        <w:rPr>
          <w:rFonts w:hint="eastAsia" w:ascii="宋体" w:hAnsi="宋体" w:eastAsia="宋体" w:cs="宋体"/>
          <w:spacing w:val="3"/>
          <w:sz w:val="24"/>
          <w:szCs w:val="24"/>
        </w:rPr>
        <w:t>主要内容包</w:t>
      </w:r>
      <w:r>
        <w:rPr>
          <w:rFonts w:hint="eastAsia" w:ascii="宋体" w:hAnsi="宋体" w:eastAsia="宋体" w:cs="宋体"/>
          <w:spacing w:val="1"/>
          <w:sz w:val="24"/>
          <w:szCs w:val="24"/>
        </w:rPr>
        <w:t>括但不限于：是否符合方案设计批复要求；是否符合工程</w:t>
      </w:r>
      <w:r>
        <w:rPr>
          <w:rFonts w:hint="eastAsia" w:ascii="宋体" w:hAnsi="宋体" w:eastAsia="宋体" w:cs="宋体"/>
          <w:sz w:val="24"/>
          <w:szCs w:val="24"/>
        </w:rPr>
        <w:t>强制性标准、有关技术规</w:t>
      </w:r>
      <w:r>
        <w:rPr>
          <w:rFonts w:hint="eastAsia" w:ascii="宋体" w:hAnsi="宋体" w:eastAsia="宋体" w:cs="宋体"/>
          <w:spacing w:val="1"/>
          <w:sz w:val="24"/>
          <w:szCs w:val="24"/>
        </w:rPr>
        <w:t>范和规程要求；施工图设计文件是否齐全，是否达到规定</w:t>
      </w:r>
      <w:r>
        <w:rPr>
          <w:rFonts w:hint="eastAsia" w:ascii="宋体" w:hAnsi="宋体" w:eastAsia="宋体" w:cs="宋体"/>
          <w:sz w:val="24"/>
          <w:szCs w:val="24"/>
        </w:rPr>
        <w:t>的技术深度要求；工程结</w:t>
      </w:r>
      <w:r>
        <w:rPr>
          <w:rFonts w:hint="eastAsia" w:ascii="宋体" w:hAnsi="宋体" w:eastAsia="宋体" w:cs="宋体"/>
          <w:spacing w:val="-1"/>
          <w:sz w:val="24"/>
          <w:szCs w:val="24"/>
        </w:rPr>
        <w:t>构设计是否符合安全、稳定和耐久性要求。</w:t>
      </w:r>
    </w:p>
    <w:p w14:paraId="533123A9">
      <w:pPr>
        <w:keepNext w:val="0"/>
        <w:keepLines w:val="0"/>
        <w:pageBreakBefore w:val="0"/>
        <w:kinsoku/>
        <w:wordWrap/>
        <w:overflowPunct/>
        <w:topLinePunct w:val="0"/>
        <w:autoSpaceDE/>
        <w:autoSpaceDN/>
        <w:bidi w:val="0"/>
        <w:adjustRightInd/>
        <w:snapToGrid/>
        <w:spacing w:before="114" w:line="360" w:lineRule="auto"/>
        <w:ind w:right="164" w:firstLine="475"/>
        <w:textAlignment w:val="auto"/>
        <w:rPr>
          <w:rFonts w:hint="eastAsia" w:ascii="宋体" w:hAnsi="宋体" w:eastAsia="宋体" w:cs="宋体"/>
          <w:sz w:val="24"/>
          <w:szCs w:val="24"/>
        </w:rPr>
      </w:pPr>
      <w:r>
        <w:rPr>
          <w:rFonts w:hint="eastAsia" w:ascii="宋体" w:hAnsi="宋体" w:eastAsia="宋体" w:cs="宋体"/>
          <w:spacing w:val="3"/>
          <w:sz w:val="24"/>
          <w:szCs w:val="24"/>
        </w:rPr>
        <w:t>2.9.2  发包人应在收到承包人提交的设计文件后</w:t>
      </w:r>
      <w:r>
        <w:rPr>
          <w:rFonts w:hint="eastAsia" w:ascii="宋体" w:hAnsi="宋体" w:eastAsia="宋体" w:cs="宋体"/>
          <w:spacing w:val="-108"/>
          <w:sz w:val="24"/>
          <w:szCs w:val="24"/>
        </w:rPr>
        <w:t xml:space="preserve"> </w:t>
      </w:r>
      <w:r>
        <w:rPr>
          <w:rFonts w:hint="eastAsia" w:ascii="宋体" w:hAnsi="宋体" w:eastAsia="宋体" w:cs="宋体"/>
          <w:spacing w:val="4"/>
          <w:sz w:val="24"/>
          <w:szCs w:val="24"/>
          <w:u w:val="single"/>
        </w:rPr>
        <w:t xml:space="preserve"> </w:t>
      </w:r>
      <w:r>
        <w:rPr>
          <w:rFonts w:hint="eastAsia" w:ascii="宋体" w:hAnsi="宋体" w:eastAsia="宋体" w:cs="宋体"/>
          <w:spacing w:val="3"/>
          <w:sz w:val="24"/>
          <w:szCs w:val="24"/>
          <w:u w:val="single"/>
          <w:lang w:val="en-US" w:eastAsia="zh-CN"/>
        </w:rPr>
        <w:t>/</w:t>
      </w:r>
      <w:r>
        <w:rPr>
          <w:rFonts w:hint="eastAsia" w:ascii="宋体" w:hAnsi="宋体" w:eastAsia="宋体" w:cs="宋体"/>
          <w:spacing w:val="4"/>
          <w:sz w:val="24"/>
          <w:szCs w:val="24"/>
          <w:u w:val="single"/>
        </w:rPr>
        <w:t xml:space="preserve"> </w:t>
      </w:r>
      <w:r>
        <w:rPr>
          <w:rFonts w:hint="eastAsia" w:ascii="宋体" w:hAnsi="宋体" w:eastAsia="宋体" w:cs="宋体"/>
          <w:spacing w:val="-104"/>
          <w:sz w:val="24"/>
          <w:szCs w:val="24"/>
        </w:rPr>
        <w:t xml:space="preserve"> </w:t>
      </w:r>
      <w:r>
        <w:rPr>
          <w:rFonts w:hint="eastAsia" w:ascii="宋体" w:hAnsi="宋体" w:eastAsia="宋体" w:cs="宋体"/>
          <w:spacing w:val="3"/>
          <w:sz w:val="24"/>
          <w:szCs w:val="24"/>
        </w:rPr>
        <w:t>天内完成审查。在本项约定</w:t>
      </w:r>
      <w:r>
        <w:rPr>
          <w:rFonts w:hint="eastAsia" w:ascii="宋体" w:hAnsi="宋体" w:eastAsia="宋体" w:cs="宋体"/>
          <w:spacing w:val="1"/>
          <w:sz w:val="24"/>
          <w:szCs w:val="24"/>
        </w:rPr>
        <w:t>的审查期期满后，发包人未提出任何意见的，视为发包人</w:t>
      </w:r>
      <w:r>
        <w:rPr>
          <w:rFonts w:hint="eastAsia" w:ascii="宋体" w:hAnsi="宋体" w:eastAsia="宋体" w:cs="宋体"/>
          <w:sz w:val="24"/>
          <w:szCs w:val="24"/>
        </w:rPr>
        <w:t>已同意该设计文件。发包</w:t>
      </w:r>
      <w:r>
        <w:rPr>
          <w:rFonts w:hint="eastAsia" w:ascii="宋体" w:hAnsi="宋体" w:eastAsia="宋体" w:cs="宋体"/>
          <w:spacing w:val="1"/>
          <w:sz w:val="24"/>
          <w:szCs w:val="24"/>
        </w:rPr>
        <w:t>人在审核期可向承包人发出通知，指明设计文件不符合合</w:t>
      </w:r>
      <w:r>
        <w:rPr>
          <w:rFonts w:hint="eastAsia" w:ascii="宋体" w:hAnsi="宋体" w:eastAsia="宋体" w:cs="宋体"/>
          <w:sz w:val="24"/>
          <w:szCs w:val="24"/>
        </w:rPr>
        <w:t>同约定的原因，并要求承</w:t>
      </w:r>
      <w:r>
        <w:rPr>
          <w:rFonts w:hint="eastAsia" w:ascii="宋体" w:hAnsi="宋体" w:eastAsia="宋体" w:cs="宋体"/>
          <w:spacing w:val="-1"/>
          <w:sz w:val="24"/>
          <w:szCs w:val="24"/>
        </w:rPr>
        <w:t>包人按期修改上报发包人重新审查，审查期重新起算。</w:t>
      </w:r>
    </w:p>
    <w:p w14:paraId="50995DE7">
      <w:pPr>
        <w:pStyle w:val="11"/>
        <w:keepNext w:val="0"/>
        <w:keepLines w:val="0"/>
        <w:pageBreakBefore w:val="0"/>
        <w:kinsoku/>
        <w:wordWrap/>
        <w:overflowPunct/>
        <w:topLinePunct w:val="0"/>
        <w:autoSpaceDE/>
        <w:autoSpaceDN/>
        <w:bidi w:val="0"/>
        <w:adjustRightInd/>
        <w:snapToGrid/>
        <w:spacing w:line="360" w:lineRule="auto"/>
        <w:ind w:firstLine="496" w:firstLineChars="200"/>
        <w:textAlignment w:val="auto"/>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2.9.3  发包人或主管部门对设计文件提出的任何建议、审查和确认</w:t>
      </w:r>
      <w:r>
        <w:rPr>
          <w:rFonts w:hint="eastAsia" w:ascii="宋体" w:hAnsi="宋体" w:eastAsia="宋体" w:cs="宋体"/>
          <w:spacing w:val="3"/>
          <w:sz w:val="24"/>
          <w:szCs w:val="24"/>
          <w:lang w:eastAsia="zh-CN"/>
        </w:rPr>
        <w:t>，并不能减</w:t>
      </w:r>
      <w:r>
        <w:rPr>
          <w:rFonts w:hint="eastAsia" w:ascii="宋体" w:hAnsi="宋体" w:eastAsia="宋体" w:cs="宋体"/>
          <w:spacing w:val="-1"/>
          <w:sz w:val="24"/>
          <w:szCs w:val="24"/>
          <w:lang w:eastAsia="zh-CN"/>
        </w:rPr>
        <w:t>轻或免除承包人的任何合同责任和合同义务。</w:t>
      </w:r>
    </w:p>
    <w:p w14:paraId="22E18446">
      <w:pPr>
        <w:spacing w:before="114" w:line="219" w:lineRule="auto"/>
        <w:ind w:left="476"/>
        <w:outlineLvl w:val="3"/>
        <w:rPr>
          <w:rFonts w:hint="eastAsia" w:ascii="宋体" w:hAnsi="宋体" w:eastAsia="宋体" w:cs="宋体"/>
          <w:sz w:val="24"/>
          <w:szCs w:val="24"/>
        </w:rPr>
      </w:pPr>
      <w:bookmarkStart w:id="180" w:name="bookmark149"/>
      <w:bookmarkEnd w:id="180"/>
      <w:bookmarkStart w:id="181" w:name="bookmark148"/>
      <w:bookmarkEnd w:id="181"/>
      <w:bookmarkStart w:id="182" w:name="bookmark147"/>
      <w:bookmarkEnd w:id="182"/>
      <w:bookmarkStart w:id="183" w:name="bookmark150"/>
      <w:bookmarkEnd w:id="183"/>
      <w:r>
        <w:rPr>
          <w:rFonts w:hint="eastAsia" w:ascii="宋体" w:hAnsi="宋体" w:eastAsia="宋体" w:cs="宋体"/>
          <w:b/>
          <w:bCs/>
          <w:spacing w:val="-5"/>
          <w:sz w:val="24"/>
          <w:szCs w:val="24"/>
        </w:rPr>
        <w:t>4.</w:t>
      </w:r>
      <w:r>
        <w:rPr>
          <w:rFonts w:hint="eastAsia" w:ascii="宋体" w:hAnsi="宋体" w:eastAsia="宋体" w:cs="宋体"/>
          <w:b/>
          <w:bCs/>
          <w:spacing w:val="6"/>
          <w:sz w:val="24"/>
          <w:szCs w:val="24"/>
        </w:rPr>
        <w:t xml:space="preserve">  </w:t>
      </w:r>
      <w:r>
        <w:rPr>
          <w:rFonts w:hint="eastAsia" w:ascii="宋体" w:hAnsi="宋体" w:eastAsia="宋体" w:cs="宋体"/>
          <w:b/>
          <w:bCs/>
          <w:spacing w:val="-5"/>
          <w:sz w:val="24"/>
          <w:szCs w:val="24"/>
        </w:rPr>
        <w:t>承包人</w:t>
      </w:r>
    </w:p>
    <w:p w14:paraId="648FE88E">
      <w:pPr>
        <w:spacing w:before="116" w:line="219" w:lineRule="auto"/>
        <w:ind w:left="476"/>
        <w:outlineLvl w:val="4"/>
        <w:rPr>
          <w:rFonts w:hint="eastAsia" w:ascii="宋体" w:hAnsi="宋体" w:eastAsia="宋体" w:cs="宋体"/>
          <w:sz w:val="24"/>
          <w:szCs w:val="24"/>
        </w:rPr>
      </w:pPr>
      <w:r>
        <w:rPr>
          <w:rFonts w:hint="eastAsia" w:ascii="宋体" w:hAnsi="宋体" w:eastAsia="宋体" w:cs="宋体"/>
          <w:b/>
          <w:bCs/>
          <w:spacing w:val="-2"/>
          <w:sz w:val="24"/>
          <w:szCs w:val="24"/>
        </w:rPr>
        <w:t>4.1 承包人的一般义务</w:t>
      </w:r>
    </w:p>
    <w:p w14:paraId="0C1A5AA0">
      <w:pPr>
        <w:keepNext w:val="0"/>
        <w:keepLines w:val="0"/>
        <w:pageBreakBefore w:val="0"/>
        <w:widowControl w:val="0"/>
        <w:kinsoku/>
        <w:wordWrap/>
        <w:overflowPunct/>
        <w:topLinePunct w:val="0"/>
        <w:autoSpaceDE/>
        <w:autoSpaceDN/>
        <w:bidi w:val="0"/>
        <w:adjustRightInd/>
        <w:snapToGrid/>
        <w:spacing w:before="116" w:line="360" w:lineRule="auto"/>
        <w:ind w:left="475"/>
        <w:textAlignment w:val="auto"/>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4.1.3  完成各项承包工作</w:t>
      </w:r>
    </w:p>
    <w:p w14:paraId="1B9D89C0">
      <w:pPr>
        <w:keepNext w:val="0"/>
        <w:keepLines w:val="0"/>
        <w:pageBreakBefore w:val="0"/>
        <w:widowControl w:val="0"/>
        <w:kinsoku/>
        <w:wordWrap/>
        <w:overflowPunct/>
        <w:topLinePunct w:val="0"/>
        <w:autoSpaceDE/>
        <w:autoSpaceDN/>
        <w:bidi w:val="0"/>
        <w:adjustRightInd/>
        <w:snapToGrid/>
        <w:spacing w:before="116" w:line="360" w:lineRule="auto"/>
        <w:ind w:firstLine="476" w:firstLineChars="200"/>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val="en-US" w:eastAsia="zh-CN"/>
        </w:rPr>
        <w:t>补充</w:t>
      </w:r>
      <w:r>
        <w:rPr>
          <w:rFonts w:hint="eastAsia" w:ascii="宋体" w:hAnsi="宋体" w:eastAsia="宋体" w:cs="宋体"/>
          <w:spacing w:val="-1"/>
          <w:sz w:val="24"/>
          <w:szCs w:val="24"/>
          <w:lang w:eastAsia="zh-CN"/>
        </w:rPr>
        <w:t>4.1.3</w:t>
      </w:r>
      <w:r>
        <w:rPr>
          <w:rFonts w:hint="eastAsia" w:ascii="宋体" w:hAnsi="宋体" w:eastAsia="宋体" w:cs="宋体"/>
          <w:spacing w:val="-1"/>
          <w:sz w:val="24"/>
          <w:szCs w:val="24"/>
          <w:lang w:val="en-US" w:eastAsia="zh-CN"/>
        </w:rPr>
        <w:t>项内容</w:t>
      </w:r>
      <w:r>
        <w:rPr>
          <w:rFonts w:hint="eastAsia" w:ascii="宋体" w:hAnsi="宋体" w:eastAsia="宋体" w:cs="宋体"/>
          <w:spacing w:val="-1"/>
          <w:sz w:val="24"/>
          <w:szCs w:val="24"/>
          <w:lang w:eastAsia="zh-CN"/>
        </w:rPr>
        <w:t>：</w:t>
      </w:r>
    </w:p>
    <w:p w14:paraId="48BCFF60">
      <w:pPr>
        <w:keepNext w:val="0"/>
        <w:keepLines w:val="0"/>
        <w:pageBreakBefore w:val="0"/>
        <w:widowControl w:val="0"/>
        <w:kinsoku/>
        <w:wordWrap/>
        <w:overflowPunct/>
        <w:topLinePunct w:val="0"/>
        <w:autoSpaceDE/>
        <w:autoSpaceDN/>
        <w:bidi w:val="0"/>
        <w:adjustRightInd/>
        <w:snapToGrid/>
        <w:spacing w:before="116" w:line="360" w:lineRule="auto"/>
        <w:ind w:firstLine="476" w:firstLineChars="200"/>
        <w:textAlignment w:val="auto"/>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合同实施期间，</w:t>
      </w:r>
      <w:r>
        <w:rPr>
          <w:rFonts w:hint="eastAsia" w:ascii="宋体" w:hAnsi="宋体" w:eastAsia="宋体" w:cs="宋体"/>
          <w:spacing w:val="-1"/>
          <w:sz w:val="24"/>
          <w:szCs w:val="24"/>
          <w:lang w:eastAsia="zh-CN"/>
        </w:rPr>
        <w:t>因</w:t>
      </w:r>
      <w:r>
        <w:rPr>
          <w:rFonts w:hint="eastAsia" w:ascii="宋体" w:hAnsi="宋体" w:eastAsia="宋体" w:cs="宋体"/>
          <w:spacing w:val="-1"/>
          <w:sz w:val="24"/>
          <w:szCs w:val="24"/>
          <w:lang w:val="en-US" w:eastAsia="zh-CN"/>
        </w:rPr>
        <w:t>发包</w:t>
      </w:r>
      <w:r>
        <w:rPr>
          <w:rFonts w:hint="eastAsia" w:ascii="宋体" w:hAnsi="宋体" w:eastAsia="宋体" w:cs="宋体"/>
          <w:spacing w:val="-1"/>
          <w:sz w:val="24"/>
          <w:szCs w:val="24"/>
          <w:lang w:eastAsia="zh-CN"/>
        </w:rPr>
        <w:t>人的职工退休、</w:t>
      </w:r>
      <w:r>
        <w:rPr>
          <w:rFonts w:hint="eastAsia" w:ascii="宋体" w:hAnsi="宋体" w:eastAsia="宋体" w:cs="宋体"/>
          <w:spacing w:val="-1"/>
          <w:sz w:val="24"/>
          <w:szCs w:val="24"/>
          <w:lang w:val="en-US" w:eastAsia="zh-CN"/>
        </w:rPr>
        <w:t>人员调整</w:t>
      </w:r>
      <w:r>
        <w:rPr>
          <w:rFonts w:hint="eastAsia" w:ascii="宋体" w:hAnsi="宋体" w:eastAsia="宋体" w:cs="宋体"/>
          <w:spacing w:val="-1"/>
          <w:sz w:val="24"/>
          <w:szCs w:val="24"/>
          <w:lang w:eastAsia="zh-CN"/>
        </w:rPr>
        <w:t>等原因，</w:t>
      </w:r>
      <w:r>
        <w:rPr>
          <w:rFonts w:hint="eastAsia" w:ascii="宋体" w:hAnsi="宋体" w:eastAsia="宋体" w:cs="宋体"/>
          <w:spacing w:val="-1"/>
          <w:sz w:val="24"/>
          <w:szCs w:val="24"/>
          <w:lang w:val="en-US" w:eastAsia="zh-CN"/>
        </w:rPr>
        <w:t>需对合同约定的日常保养路段或设施进行调整，</w:t>
      </w:r>
      <w:r>
        <w:rPr>
          <w:rFonts w:hint="eastAsia" w:ascii="宋体" w:hAnsi="宋体" w:eastAsia="宋体" w:cs="宋体"/>
          <w:spacing w:val="-1"/>
          <w:sz w:val="24"/>
          <w:szCs w:val="24"/>
          <w:lang w:eastAsia="zh-CN"/>
        </w:rPr>
        <w:t>按合同相应增加费用并签订补充协议。</w:t>
      </w:r>
    </w:p>
    <w:p w14:paraId="7044CF7F">
      <w:pPr>
        <w:keepNext w:val="0"/>
        <w:keepLines w:val="0"/>
        <w:pageBreakBefore w:val="0"/>
        <w:widowControl w:val="0"/>
        <w:kinsoku/>
        <w:wordWrap/>
        <w:overflowPunct/>
        <w:topLinePunct w:val="0"/>
        <w:autoSpaceDE/>
        <w:autoSpaceDN/>
        <w:bidi w:val="0"/>
        <w:adjustRightInd/>
        <w:snapToGrid/>
        <w:spacing w:before="116" w:line="360" w:lineRule="auto"/>
        <w:ind w:firstLine="476" w:firstLineChars="200"/>
        <w:textAlignment w:val="auto"/>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合同实施期间，</w:t>
      </w:r>
      <w:r>
        <w:rPr>
          <w:rFonts w:hint="eastAsia" w:ascii="宋体" w:hAnsi="宋体" w:eastAsia="宋体" w:cs="宋体"/>
          <w:spacing w:val="-1"/>
          <w:sz w:val="24"/>
          <w:szCs w:val="24"/>
          <w:lang w:eastAsia="zh-CN"/>
        </w:rPr>
        <w:t>因政策性</w:t>
      </w:r>
      <w:r>
        <w:rPr>
          <w:rFonts w:hint="eastAsia" w:ascii="宋体" w:hAnsi="宋体" w:eastAsia="宋体" w:cs="宋体"/>
          <w:spacing w:val="-1"/>
          <w:sz w:val="24"/>
          <w:szCs w:val="24"/>
          <w:lang w:val="en-US" w:eastAsia="zh-CN"/>
        </w:rPr>
        <w:t>的调整等客观原因，需对合同约定的日常保养路段或设施进行调整，</w:t>
      </w:r>
      <w:r>
        <w:rPr>
          <w:rFonts w:hint="eastAsia" w:ascii="宋体" w:hAnsi="宋体" w:eastAsia="宋体" w:cs="宋体"/>
          <w:spacing w:val="-1"/>
          <w:sz w:val="24"/>
          <w:szCs w:val="24"/>
          <w:lang w:eastAsia="zh-CN"/>
        </w:rPr>
        <w:t>按合同相应增加费用并签订补充协议。</w:t>
      </w:r>
    </w:p>
    <w:p w14:paraId="4E09A742">
      <w:pPr>
        <w:keepNext w:val="0"/>
        <w:keepLines w:val="0"/>
        <w:pageBreakBefore w:val="0"/>
        <w:widowControl w:val="0"/>
        <w:kinsoku/>
        <w:wordWrap/>
        <w:overflowPunct/>
        <w:topLinePunct w:val="0"/>
        <w:autoSpaceDE/>
        <w:autoSpaceDN/>
        <w:bidi w:val="0"/>
        <w:adjustRightInd/>
        <w:snapToGrid/>
        <w:spacing w:before="116" w:line="360" w:lineRule="auto"/>
        <w:ind w:firstLine="476" w:firstLineChars="200"/>
        <w:textAlignment w:val="auto"/>
        <w:rPr>
          <w:rFonts w:hint="eastAsia" w:ascii="宋体" w:hAnsi="宋体" w:eastAsia="宋体" w:cs="宋体"/>
          <w:spacing w:val="-1"/>
          <w:sz w:val="24"/>
          <w:szCs w:val="24"/>
          <w:lang w:eastAsia="zh-CN"/>
        </w:rPr>
      </w:pPr>
      <w:r>
        <w:rPr>
          <w:rFonts w:hint="eastAsia" w:ascii="宋体" w:hAnsi="宋体" w:eastAsia="宋体" w:cs="宋体"/>
          <w:spacing w:val="-1"/>
          <w:sz w:val="24"/>
          <w:szCs w:val="24"/>
          <w:lang w:val="en-US" w:eastAsia="zh-CN"/>
        </w:rPr>
        <w:t>合同实施期间，</w:t>
      </w:r>
      <w:r>
        <w:rPr>
          <w:rFonts w:hint="eastAsia" w:ascii="宋体" w:hAnsi="宋体" w:eastAsia="宋体" w:cs="宋体"/>
          <w:spacing w:val="-1"/>
          <w:sz w:val="24"/>
          <w:szCs w:val="24"/>
          <w:lang w:eastAsia="zh-CN"/>
        </w:rPr>
        <w:t>因</w:t>
      </w:r>
      <w:r>
        <w:rPr>
          <w:rFonts w:hint="eastAsia" w:ascii="宋体" w:hAnsi="宋体" w:eastAsia="宋体" w:cs="宋体"/>
          <w:spacing w:val="-1"/>
          <w:sz w:val="24"/>
          <w:szCs w:val="24"/>
          <w:lang w:val="en-US" w:eastAsia="zh-CN"/>
        </w:rPr>
        <w:t>养护工程施工路段由施工单位承担了施工期间的日常保养，需对合同约定的日常保养路段或设施和时间进行调整，</w:t>
      </w:r>
      <w:r>
        <w:rPr>
          <w:rFonts w:hint="eastAsia" w:ascii="宋体" w:hAnsi="宋体" w:eastAsia="宋体" w:cs="宋体"/>
          <w:spacing w:val="-1"/>
          <w:sz w:val="24"/>
          <w:szCs w:val="24"/>
          <w:lang w:eastAsia="zh-CN"/>
        </w:rPr>
        <w:t>按合同相应增加费用并签订补充协议。</w:t>
      </w:r>
    </w:p>
    <w:p w14:paraId="56B85FD0">
      <w:pPr>
        <w:keepNext w:val="0"/>
        <w:keepLines w:val="0"/>
        <w:pageBreakBefore w:val="0"/>
        <w:widowControl w:val="0"/>
        <w:kinsoku/>
        <w:wordWrap/>
        <w:overflowPunct/>
        <w:topLinePunct w:val="0"/>
        <w:autoSpaceDE/>
        <w:autoSpaceDN/>
        <w:bidi w:val="0"/>
        <w:adjustRightInd/>
        <w:snapToGrid/>
        <w:spacing w:before="123" w:line="360" w:lineRule="auto"/>
        <w:ind w:left="480"/>
        <w:textAlignment w:val="auto"/>
        <w:rPr>
          <w:rFonts w:hint="eastAsia" w:ascii="宋体" w:hAnsi="宋体" w:eastAsia="宋体" w:cs="宋体"/>
          <w:sz w:val="24"/>
          <w:szCs w:val="24"/>
        </w:rPr>
      </w:pPr>
      <w:r>
        <w:rPr>
          <w:rFonts w:hint="eastAsia" w:ascii="宋体" w:hAnsi="宋体" w:eastAsia="宋体" w:cs="宋体"/>
          <w:spacing w:val="-2"/>
          <w:sz w:val="24"/>
          <w:szCs w:val="24"/>
        </w:rPr>
        <w:t>第</w:t>
      </w:r>
      <w:r>
        <w:rPr>
          <w:rFonts w:hint="eastAsia" w:ascii="宋体" w:hAnsi="宋体" w:eastAsia="宋体" w:cs="宋体"/>
          <w:spacing w:val="-54"/>
          <w:sz w:val="24"/>
          <w:szCs w:val="24"/>
        </w:rPr>
        <w:t xml:space="preserve"> </w:t>
      </w:r>
      <w:r>
        <w:rPr>
          <w:rFonts w:hint="eastAsia" w:ascii="宋体" w:hAnsi="宋体" w:eastAsia="宋体" w:cs="宋体"/>
          <w:spacing w:val="-2"/>
          <w:sz w:val="24"/>
          <w:szCs w:val="24"/>
        </w:rPr>
        <w:t>4.1.11 项完善为：</w:t>
      </w:r>
    </w:p>
    <w:p w14:paraId="7F8BB7FB">
      <w:pPr>
        <w:keepNext w:val="0"/>
        <w:keepLines w:val="0"/>
        <w:pageBreakBefore w:val="0"/>
        <w:widowControl w:val="0"/>
        <w:kinsoku/>
        <w:wordWrap/>
        <w:overflowPunct/>
        <w:topLinePunct w:val="0"/>
        <w:autoSpaceDE/>
        <w:autoSpaceDN/>
        <w:bidi w:val="0"/>
        <w:adjustRightInd/>
        <w:snapToGrid/>
        <w:spacing w:before="116" w:line="360" w:lineRule="auto"/>
        <w:ind w:left="474"/>
        <w:textAlignment w:val="auto"/>
        <w:rPr>
          <w:rFonts w:hint="eastAsia" w:ascii="宋体" w:hAnsi="宋体" w:eastAsia="宋体" w:cs="宋体"/>
          <w:sz w:val="24"/>
          <w:szCs w:val="24"/>
        </w:rPr>
      </w:pPr>
      <w:r>
        <w:rPr>
          <w:rFonts w:hint="eastAsia" w:ascii="宋体" w:hAnsi="宋体" w:eastAsia="宋体" w:cs="宋体"/>
          <w:spacing w:val="-2"/>
          <w:sz w:val="24"/>
          <w:szCs w:val="24"/>
        </w:rPr>
        <w:t>4.1.11  其他义务</w:t>
      </w:r>
    </w:p>
    <w:p w14:paraId="60793433">
      <w:pPr>
        <w:keepNext w:val="0"/>
        <w:keepLines w:val="0"/>
        <w:pageBreakBefore w:val="0"/>
        <w:widowControl w:val="0"/>
        <w:kinsoku/>
        <w:wordWrap/>
        <w:overflowPunct/>
        <w:topLinePunct w:val="0"/>
        <w:autoSpaceDE/>
        <w:autoSpaceDN/>
        <w:bidi w:val="0"/>
        <w:adjustRightInd/>
        <w:snapToGrid/>
        <w:spacing w:before="115" w:line="360" w:lineRule="auto"/>
        <w:ind w:right="2" w:firstLine="491"/>
        <w:textAlignment w:val="auto"/>
        <w:rPr>
          <w:rFonts w:hint="eastAsia" w:ascii="宋体" w:hAnsi="宋体" w:eastAsia="宋体" w:cs="宋体"/>
          <w:sz w:val="24"/>
          <w:szCs w:val="24"/>
        </w:rPr>
      </w:pPr>
      <w:r>
        <w:rPr>
          <w:rFonts w:hint="eastAsia" w:ascii="宋体" w:hAnsi="宋体" w:eastAsia="宋体" w:cs="宋体"/>
          <w:spacing w:val="4"/>
          <w:sz w:val="24"/>
          <w:szCs w:val="24"/>
        </w:rPr>
        <w:t>（1）承包人应按照规范中的要求以及合同条件尽职尽责地设计和</w:t>
      </w:r>
      <w:r>
        <w:rPr>
          <w:rFonts w:hint="eastAsia" w:ascii="宋体" w:hAnsi="宋体" w:eastAsia="宋体" w:cs="宋体"/>
          <w:spacing w:val="3"/>
          <w:sz w:val="24"/>
          <w:szCs w:val="24"/>
        </w:rPr>
        <w:t>实施工程及</w:t>
      </w:r>
      <w:r>
        <w:rPr>
          <w:rFonts w:hint="eastAsia" w:ascii="宋体" w:hAnsi="宋体" w:eastAsia="宋体" w:cs="宋体"/>
          <w:sz w:val="24"/>
          <w:szCs w:val="24"/>
        </w:rPr>
        <w:t>服务，并积极配合发包人定期或随机开展与合同履约相关</w:t>
      </w:r>
      <w:r>
        <w:rPr>
          <w:rFonts w:hint="eastAsia" w:ascii="宋体" w:hAnsi="宋体" w:eastAsia="宋体" w:cs="宋体"/>
          <w:spacing w:val="-1"/>
          <w:sz w:val="24"/>
          <w:szCs w:val="24"/>
        </w:rPr>
        <w:t>的内业资料检查等工作。</w:t>
      </w:r>
    </w:p>
    <w:p w14:paraId="40F2C2DB">
      <w:pPr>
        <w:keepNext w:val="0"/>
        <w:keepLines w:val="0"/>
        <w:pageBreakBefore w:val="0"/>
        <w:widowControl w:val="0"/>
        <w:kinsoku/>
        <w:wordWrap/>
        <w:overflowPunct/>
        <w:topLinePunct w:val="0"/>
        <w:autoSpaceDE/>
        <w:autoSpaceDN/>
        <w:bidi w:val="0"/>
        <w:adjustRightInd/>
        <w:snapToGrid/>
        <w:spacing w:before="118" w:line="360" w:lineRule="auto"/>
        <w:ind w:left="3" w:right="2" w:firstLine="487"/>
        <w:textAlignment w:val="auto"/>
        <w:rPr>
          <w:rFonts w:hint="eastAsia" w:ascii="宋体" w:hAnsi="宋体" w:eastAsia="宋体" w:cs="宋体"/>
          <w:sz w:val="24"/>
          <w:szCs w:val="24"/>
          <w:lang w:val="en-US" w:eastAsia="zh-CN"/>
        </w:rPr>
      </w:pPr>
      <w:r>
        <w:rPr>
          <w:rFonts w:hint="eastAsia" w:ascii="宋体" w:hAnsi="宋体" w:eastAsia="宋体" w:cs="宋体"/>
          <w:spacing w:val="4"/>
          <w:sz w:val="24"/>
          <w:szCs w:val="24"/>
        </w:rPr>
        <w:t>（2）承包人应严格、精准核算养护成本，并向发包人提供与合同</w:t>
      </w:r>
      <w:r>
        <w:rPr>
          <w:rFonts w:hint="eastAsia" w:ascii="宋体" w:hAnsi="宋体" w:eastAsia="宋体" w:cs="宋体"/>
          <w:spacing w:val="3"/>
          <w:sz w:val="24"/>
          <w:szCs w:val="24"/>
        </w:rPr>
        <w:t>履行有关的</w:t>
      </w:r>
      <w:r>
        <w:rPr>
          <w:rFonts w:hint="eastAsia" w:ascii="宋体" w:hAnsi="宋体" w:eastAsia="宋体" w:cs="宋体"/>
          <w:sz w:val="24"/>
          <w:szCs w:val="24"/>
        </w:rPr>
        <w:t>账目、记录及相关养护成本支出说明，提供的时间及要求为：</w:t>
      </w:r>
      <w:r>
        <w:rPr>
          <w:rFonts w:hint="eastAsia" w:ascii="宋体" w:hAnsi="宋体" w:eastAsia="宋体" w:cs="宋体"/>
          <w:sz w:val="24"/>
          <w:szCs w:val="24"/>
          <w:u w:val="single"/>
          <w:lang w:val="en-US" w:eastAsia="zh-CN"/>
        </w:rPr>
        <w:t>每年度12月底前及合同期满前。</w:t>
      </w:r>
    </w:p>
    <w:p w14:paraId="24230F1A">
      <w:pPr>
        <w:keepNext w:val="0"/>
        <w:keepLines w:val="0"/>
        <w:pageBreakBefore w:val="0"/>
        <w:widowControl w:val="0"/>
        <w:kinsoku/>
        <w:wordWrap/>
        <w:overflowPunct/>
        <w:topLinePunct w:val="0"/>
        <w:autoSpaceDE/>
        <w:autoSpaceDN/>
        <w:bidi w:val="0"/>
        <w:adjustRightInd/>
        <w:snapToGrid/>
        <w:spacing w:before="114" w:line="360" w:lineRule="auto"/>
        <w:ind w:left="480"/>
        <w:textAlignment w:val="auto"/>
        <w:rPr>
          <w:rFonts w:hint="eastAsia" w:ascii="宋体" w:hAnsi="宋体" w:eastAsia="宋体" w:cs="宋体"/>
          <w:sz w:val="24"/>
          <w:szCs w:val="24"/>
        </w:rPr>
      </w:pPr>
      <w:r>
        <w:rPr>
          <w:rFonts w:hint="eastAsia" w:ascii="宋体" w:hAnsi="宋体" w:eastAsia="宋体" w:cs="宋体"/>
          <w:spacing w:val="-5"/>
          <w:sz w:val="24"/>
          <w:szCs w:val="24"/>
        </w:rPr>
        <w:t>补充第</w:t>
      </w:r>
      <w:r>
        <w:rPr>
          <w:rFonts w:hint="eastAsia" w:ascii="宋体" w:hAnsi="宋体" w:eastAsia="宋体" w:cs="宋体"/>
          <w:spacing w:val="-50"/>
          <w:sz w:val="24"/>
          <w:szCs w:val="24"/>
        </w:rPr>
        <w:t xml:space="preserve"> </w:t>
      </w:r>
      <w:r>
        <w:rPr>
          <w:rFonts w:hint="eastAsia" w:ascii="宋体" w:hAnsi="宋体" w:eastAsia="宋体" w:cs="宋体"/>
          <w:spacing w:val="-5"/>
          <w:sz w:val="24"/>
          <w:szCs w:val="24"/>
        </w:rPr>
        <w:t>4.1.</w:t>
      </w:r>
      <w:r>
        <w:rPr>
          <w:rFonts w:hint="eastAsia" w:ascii="宋体" w:hAnsi="宋体" w:eastAsia="宋体" w:cs="宋体"/>
          <w:spacing w:val="-32"/>
          <w:sz w:val="24"/>
          <w:szCs w:val="24"/>
        </w:rPr>
        <w:t xml:space="preserve"> </w:t>
      </w:r>
      <w:r>
        <w:rPr>
          <w:rFonts w:hint="eastAsia" w:ascii="宋体" w:hAnsi="宋体" w:eastAsia="宋体" w:cs="宋体"/>
          <w:spacing w:val="-5"/>
          <w:sz w:val="24"/>
          <w:szCs w:val="24"/>
        </w:rPr>
        <w:t>12～4.1.</w:t>
      </w:r>
      <w:r>
        <w:rPr>
          <w:rFonts w:hint="eastAsia" w:ascii="宋体" w:hAnsi="宋体" w:eastAsia="宋体" w:cs="宋体"/>
          <w:spacing w:val="-32"/>
          <w:sz w:val="24"/>
          <w:szCs w:val="24"/>
        </w:rPr>
        <w:t xml:space="preserve"> </w:t>
      </w:r>
      <w:r>
        <w:rPr>
          <w:rFonts w:hint="eastAsia" w:ascii="宋体" w:hAnsi="宋体" w:eastAsia="宋体" w:cs="宋体"/>
          <w:spacing w:val="-5"/>
          <w:sz w:val="24"/>
          <w:szCs w:val="24"/>
        </w:rPr>
        <w:t>14</w:t>
      </w:r>
      <w:r>
        <w:rPr>
          <w:rFonts w:hint="eastAsia" w:ascii="宋体" w:hAnsi="宋体" w:eastAsia="宋体" w:cs="宋体"/>
          <w:spacing w:val="13"/>
          <w:sz w:val="24"/>
          <w:szCs w:val="24"/>
        </w:rPr>
        <w:t xml:space="preserve"> </w:t>
      </w:r>
      <w:r>
        <w:rPr>
          <w:rFonts w:hint="eastAsia" w:ascii="宋体" w:hAnsi="宋体" w:eastAsia="宋体" w:cs="宋体"/>
          <w:spacing w:val="-5"/>
          <w:sz w:val="24"/>
          <w:szCs w:val="24"/>
        </w:rPr>
        <w:t>项：</w:t>
      </w:r>
    </w:p>
    <w:p w14:paraId="6DCC9593">
      <w:pPr>
        <w:keepNext w:val="0"/>
        <w:keepLines w:val="0"/>
        <w:pageBreakBefore w:val="0"/>
        <w:widowControl w:val="0"/>
        <w:kinsoku/>
        <w:wordWrap/>
        <w:overflowPunct/>
        <w:topLinePunct w:val="0"/>
        <w:autoSpaceDE/>
        <w:autoSpaceDN/>
        <w:bidi w:val="0"/>
        <w:adjustRightInd/>
        <w:snapToGrid/>
        <w:spacing w:before="116" w:line="360" w:lineRule="auto"/>
        <w:ind w:left="474"/>
        <w:textAlignment w:val="auto"/>
        <w:rPr>
          <w:rFonts w:hint="eastAsia" w:ascii="宋体" w:hAnsi="宋体" w:eastAsia="宋体" w:cs="宋体"/>
          <w:sz w:val="24"/>
          <w:szCs w:val="24"/>
        </w:rPr>
      </w:pPr>
      <w:r>
        <w:rPr>
          <w:rFonts w:hint="eastAsia" w:ascii="宋体" w:hAnsi="宋体" w:eastAsia="宋体" w:cs="宋体"/>
          <w:spacing w:val="-1"/>
          <w:sz w:val="24"/>
          <w:szCs w:val="24"/>
        </w:rPr>
        <w:t>4.1.12  确保达到绩效服务水平</w:t>
      </w:r>
    </w:p>
    <w:p w14:paraId="2EF382AA">
      <w:pPr>
        <w:keepNext w:val="0"/>
        <w:keepLines w:val="0"/>
        <w:pageBreakBefore w:val="0"/>
        <w:widowControl w:val="0"/>
        <w:kinsoku/>
        <w:wordWrap/>
        <w:overflowPunct/>
        <w:topLinePunct w:val="0"/>
        <w:autoSpaceDE/>
        <w:autoSpaceDN/>
        <w:bidi w:val="0"/>
        <w:adjustRightInd/>
        <w:snapToGrid/>
        <w:spacing w:before="116" w:line="360" w:lineRule="auto"/>
        <w:ind w:left="2" w:firstLine="488"/>
        <w:textAlignment w:val="auto"/>
        <w:rPr>
          <w:rFonts w:hint="eastAsia" w:ascii="宋体" w:hAnsi="宋体" w:eastAsia="宋体" w:cs="宋体"/>
          <w:sz w:val="24"/>
          <w:szCs w:val="24"/>
        </w:rPr>
      </w:pPr>
      <w:r>
        <w:rPr>
          <w:rFonts w:hint="eastAsia" w:ascii="宋体" w:hAnsi="宋体" w:eastAsia="宋体" w:cs="宋体"/>
          <w:spacing w:val="4"/>
          <w:sz w:val="24"/>
          <w:szCs w:val="24"/>
        </w:rPr>
        <w:t>（1）承包人应确保在合同履行期间，公路养护质量均能达到相应规范规</w:t>
      </w:r>
      <w:r>
        <w:rPr>
          <w:rFonts w:hint="eastAsia" w:ascii="宋体" w:hAnsi="宋体" w:eastAsia="宋体" w:cs="宋体"/>
          <w:spacing w:val="3"/>
          <w:sz w:val="24"/>
          <w:szCs w:val="24"/>
        </w:rPr>
        <w:t>定的</w:t>
      </w:r>
      <w:r>
        <w:rPr>
          <w:rFonts w:hint="eastAsia" w:ascii="宋体" w:hAnsi="宋体" w:eastAsia="宋体" w:cs="宋体"/>
          <w:spacing w:val="-1"/>
          <w:sz w:val="24"/>
          <w:szCs w:val="24"/>
        </w:rPr>
        <w:t>性能标准及合同约定的绩效服务水平。</w:t>
      </w:r>
    </w:p>
    <w:p w14:paraId="3A3B00A9">
      <w:pPr>
        <w:keepNext w:val="0"/>
        <w:keepLines w:val="0"/>
        <w:pageBreakBefore w:val="0"/>
        <w:widowControl w:val="0"/>
        <w:kinsoku/>
        <w:wordWrap/>
        <w:overflowPunct/>
        <w:topLinePunct w:val="0"/>
        <w:autoSpaceDE/>
        <w:autoSpaceDN/>
        <w:bidi w:val="0"/>
        <w:adjustRightInd/>
        <w:snapToGrid/>
        <w:spacing w:before="116" w:line="360" w:lineRule="auto"/>
        <w:ind w:left="491"/>
        <w:textAlignment w:val="auto"/>
        <w:rPr>
          <w:rFonts w:hint="eastAsia" w:ascii="宋体" w:hAnsi="宋体" w:eastAsia="宋体" w:cs="宋体"/>
          <w:sz w:val="24"/>
          <w:szCs w:val="24"/>
        </w:rPr>
      </w:pPr>
      <w:r>
        <w:rPr>
          <w:rFonts w:hint="eastAsia" w:ascii="宋体" w:hAnsi="宋体" w:eastAsia="宋体" w:cs="宋体"/>
          <w:spacing w:val="-2"/>
          <w:sz w:val="24"/>
          <w:szCs w:val="24"/>
        </w:rPr>
        <w:t>（2）合同约定的绩效服务水平为：</w:t>
      </w:r>
    </w:p>
    <w:p w14:paraId="40D3AF9A">
      <w:pPr>
        <w:keepNext w:val="0"/>
        <w:keepLines w:val="0"/>
        <w:pageBreakBefore w:val="0"/>
        <w:widowControl w:val="0"/>
        <w:kinsoku/>
        <w:wordWrap/>
        <w:overflowPunct/>
        <w:topLinePunct w:val="0"/>
        <w:autoSpaceDE/>
        <w:autoSpaceDN/>
        <w:bidi w:val="0"/>
        <w:adjustRightInd/>
        <w:snapToGrid/>
        <w:spacing w:before="115" w:line="360" w:lineRule="auto"/>
        <w:ind w:left="113"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① 公路技术状况要求：</w:t>
      </w:r>
    </w:p>
    <w:p w14:paraId="4ECF10D9">
      <w:pPr>
        <w:keepNext w:val="0"/>
        <w:keepLines w:val="0"/>
        <w:pageBreakBefore w:val="0"/>
        <w:widowControl w:val="0"/>
        <w:kinsoku/>
        <w:wordWrap/>
        <w:overflowPunct/>
        <w:topLinePunct w:val="0"/>
        <w:autoSpaceDE/>
        <w:autoSpaceDN/>
        <w:bidi w:val="0"/>
        <w:adjustRightInd/>
        <w:snapToGrid/>
        <w:spacing w:before="115" w:line="360" w:lineRule="auto"/>
        <w:ind w:left="113" w:firstLine="464" w:firstLineChars="200"/>
        <w:textAlignment w:val="auto"/>
        <w:rPr>
          <w:rFonts w:hint="eastAsia" w:ascii="宋体" w:hAnsi="宋体" w:eastAsia="宋体" w:cs="宋体"/>
          <w:sz w:val="24"/>
          <w:szCs w:val="24"/>
        </w:rPr>
      </w:pPr>
      <w:r>
        <w:rPr>
          <w:rFonts w:hint="eastAsia" w:ascii="宋体" w:hAnsi="宋体" w:eastAsia="宋体" w:cs="宋体"/>
          <w:spacing w:val="-4"/>
          <w:sz w:val="24"/>
          <w:szCs w:val="24"/>
        </w:rPr>
        <w:t>路基：</w:t>
      </w:r>
      <w:r>
        <w:rPr>
          <w:rFonts w:hint="eastAsia" w:ascii="宋体" w:hAnsi="宋体" w:eastAsia="宋体" w:cs="宋体"/>
          <w:spacing w:val="-4"/>
          <w:sz w:val="24"/>
          <w:szCs w:val="24"/>
          <w:u w:val="single"/>
          <w:lang w:val="en-US" w:eastAsia="zh-CN"/>
        </w:rPr>
        <w:t>完成广西壮族自治区</w:t>
      </w:r>
      <w:r>
        <w:rPr>
          <w:rFonts w:hint="eastAsia" w:ascii="宋体" w:hAnsi="宋体" w:eastAsia="宋体" w:cs="宋体"/>
          <w:spacing w:val="-2"/>
          <w:sz w:val="24"/>
          <w:szCs w:val="24"/>
          <w:u w:val="single"/>
          <w:lang w:val="en-US" w:eastAsia="zh-CN"/>
        </w:rPr>
        <w:t>桂林公路发展中心下达的年度指标任务</w:t>
      </w:r>
      <w:r>
        <w:rPr>
          <w:rFonts w:hint="eastAsia" w:ascii="宋体" w:hAnsi="宋体" w:eastAsia="宋体" w:cs="宋体"/>
          <w:spacing w:val="-2"/>
          <w:sz w:val="24"/>
          <w:szCs w:val="24"/>
          <w:u w:val="single"/>
          <w:lang w:eastAsia="zh-CN"/>
        </w:rPr>
        <w:t>。</w:t>
      </w:r>
      <w:r>
        <w:rPr>
          <w:rFonts w:hint="eastAsia" w:ascii="宋体" w:hAnsi="宋体" w:eastAsia="宋体" w:cs="宋体"/>
          <w:spacing w:val="-2"/>
          <w:sz w:val="24"/>
          <w:szCs w:val="24"/>
          <w:u w:val="single"/>
        </w:rPr>
        <w:t>公路设施完好、</w:t>
      </w:r>
      <w:r>
        <w:rPr>
          <w:rFonts w:hint="eastAsia" w:ascii="宋体" w:hAnsi="宋体" w:eastAsia="宋体" w:cs="宋体"/>
          <w:spacing w:val="1"/>
          <w:sz w:val="24"/>
          <w:szCs w:val="24"/>
          <w:u w:val="single"/>
        </w:rPr>
        <w:t>安全、可靠、畅通、耐久、洁净、绿化、美化</w:t>
      </w:r>
      <w:r>
        <w:rPr>
          <w:rFonts w:hint="eastAsia" w:ascii="宋体" w:hAnsi="宋体" w:eastAsia="宋体" w:cs="宋体"/>
          <w:spacing w:val="1"/>
          <w:sz w:val="24"/>
          <w:szCs w:val="24"/>
          <w:lang w:eastAsia="zh-CN"/>
        </w:rPr>
        <w:t>。</w:t>
      </w:r>
    </w:p>
    <w:p w14:paraId="49F62BB3">
      <w:pPr>
        <w:keepNext w:val="0"/>
        <w:keepLines w:val="0"/>
        <w:pageBreakBefore w:val="0"/>
        <w:widowControl w:val="0"/>
        <w:kinsoku/>
        <w:wordWrap/>
        <w:overflowPunct/>
        <w:topLinePunct w:val="0"/>
        <w:autoSpaceDE/>
        <w:autoSpaceDN/>
        <w:bidi w:val="0"/>
        <w:adjustRightInd/>
        <w:snapToGrid/>
        <w:spacing w:before="113" w:line="360" w:lineRule="auto"/>
        <w:ind w:left="116" w:firstLine="464" w:firstLineChars="200"/>
        <w:textAlignment w:val="auto"/>
        <w:rPr>
          <w:rFonts w:hint="eastAsia" w:ascii="宋体" w:hAnsi="宋体" w:eastAsia="宋体" w:cs="宋体"/>
          <w:sz w:val="24"/>
          <w:szCs w:val="24"/>
        </w:rPr>
      </w:pPr>
      <w:r>
        <w:rPr>
          <w:rFonts w:hint="eastAsia" w:ascii="宋体" w:hAnsi="宋体" w:eastAsia="宋体" w:cs="宋体"/>
          <w:spacing w:val="-4"/>
          <w:sz w:val="24"/>
          <w:szCs w:val="24"/>
        </w:rPr>
        <w:t>路面：</w:t>
      </w:r>
      <w:r>
        <w:rPr>
          <w:rFonts w:hint="eastAsia" w:ascii="宋体" w:hAnsi="宋体" w:eastAsia="宋体" w:cs="宋体"/>
          <w:spacing w:val="-4"/>
          <w:sz w:val="24"/>
          <w:szCs w:val="24"/>
          <w:u w:val="single"/>
          <w:lang w:val="en-US" w:eastAsia="zh-CN"/>
        </w:rPr>
        <w:t>完成广西壮族自治区</w:t>
      </w:r>
      <w:r>
        <w:rPr>
          <w:rFonts w:hint="eastAsia" w:ascii="宋体" w:hAnsi="宋体" w:eastAsia="宋体" w:cs="宋体"/>
          <w:spacing w:val="-2"/>
          <w:sz w:val="24"/>
          <w:szCs w:val="24"/>
          <w:u w:val="single"/>
          <w:lang w:val="en-US" w:eastAsia="zh-CN"/>
        </w:rPr>
        <w:t>桂林公路发展中心下达的年度指标任务</w:t>
      </w:r>
      <w:r>
        <w:rPr>
          <w:rFonts w:hint="eastAsia" w:ascii="宋体" w:hAnsi="宋体" w:eastAsia="宋体" w:cs="宋体"/>
          <w:spacing w:val="-2"/>
          <w:sz w:val="24"/>
          <w:szCs w:val="24"/>
          <w:u w:val="single"/>
          <w:lang w:eastAsia="zh-CN"/>
        </w:rPr>
        <w:t>。</w:t>
      </w:r>
      <w:r>
        <w:rPr>
          <w:rFonts w:hint="eastAsia" w:ascii="宋体" w:hAnsi="宋体" w:eastAsia="宋体" w:cs="宋体"/>
          <w:spacing w:val="-2"/>
          <w:sz w:val="24"/>
          <w:szCs w:val="24"/>
          <w:u w:val="single"/>
        </w:rPr>
        <w:t>公路设施完好、</w:t>
      </w:r>
      <w:r>
        <w:rPr>
          <w:rFonts w:hint="eastAsia" w:ascii="宋体" w:hAnsi="宋体" w:eastAsia="宋体" w:cs="宋体"/>
          <w:spacing w:val="1"/>
          <w:sz w:val="24"/>
          <w:szCs w:val="24"/>
          <w:u w:val="single"/>
        </w:rPr>
        <w:t>安全、可靠、畅通、耐久、洁净、绿化、美化</w:t>
      </w:r>
      <w:r>
        <w:rPr>
          <w:rFonts w:hint="eastAsia" w:ascii="宋体" w:hAnsi="宋体" w:eastAsia="宋体" w:cs="宋体"/>
          <w:color w:val="auto"/>
          <w:sz w:val="24"/>
          <w:szCs w:val="24"/>
          <w:u w:val="none"/>
          <w:lang w:eastAsia="zh-CN"/>
        </w:rPr>
        <w:t>。</w:t>
      </w:r>
    </w:p>
    <w:p w14:paraId="6A150E26">
      <w:pPr>
        <w:keepNext w:val="0"/>
        <w:keepLines w:val="0"/>
        <w:pageBreakBefore w:val="0"/>
        <w:widowControl w:val="0"/>
        <w:kinsoku/>
        <w:wordWrap/>
        <w:overflowPunct/>
        <w:topLinePunct w:val="0"/>
        <w:autoSpaceDE/>
        <w:autoSpaceDN/>
        <w:bidi w:val="0"/>
        <w:adjustRightInd/>
        <w:snapToGrid/>
        <w:spacing w:before="117" w:line="360" w:lineRule="auto"/>
        <w:ind w:left="114" w:firstLine="472" w:firstLineChars="200"/>
        <w:textAlignment w:val="auto"/>
        <w:rPr>
          <w:rFonts w:hint="eastAsia" w:ascii="宋体" w:hAnsi="宋体" w:eastAsia="宋体" w:cs="宋体"/>
          <w:sz w:val="24"/>
          <w:szCs w:val="24"/>
        </w:rPr>
      </w:pPr>
      <w:r>
        <w:rPr>
          <w:rFonts w:hint="eastAsia" w:ascii="宋体" w:hAnsi="宋体" w:eastAsia="宋体" w:cs="宋体"/>
          <w:spacing w:val="-2"/>
          <w:sz w:val="24"/>
          <w:szCs w:val="24"/>
        </w:rPr>
        <w:t>桥梁、涵洞：</w:t>
      </w:r>
      <w:r>
        <w:rPr>
          <w:rFonts w:hint="eastAsia" w:ascii="宋体" w:hAnsi="宋体" w:eastAsia="宋体" w:cs="宋体"/>
          <w:spacing w:val="-4"/>
          <w:sz w:val="24"/>
          <w:szCs w:val="24"/>
          <w:u w:val="single"/>
          <w:lang w:val="en-US" w:eastAsia="zh-CN"/>
        </w:rPr>
        <w:t>完成广西壮族自治区</w:t>
      </w:r>
      <w:r>
        <w:rPr>
          <w:rFonts w:hint="eastAsia" w:ascii="宋体" w:hAnsi="宋体" w:eastAsia="宋体" w:cs="宋体"/>
          <w:spacing w:val="-2"/>
          <w:sz w:val="24"/>
          <w:szCs w:val="24"/>
          <w:u w:val="single"/>
          <w:lang w:val="en-US" w:eastAsia="zh-CN"/>
        </w:rPr>
        <w:t>桂林公路发展中心下达的年度指标任务</w:t>
      </w:r>
      <w:r>
        <w:rPr>
          <w:rFonts w:hint="eastAsia" w:ascii="宋体" w:hAnsi="宋体" w:eastAsia="宋体" w:cs="宋体"/>
          <w:spacing w:val="-2"/>
          <w:sz w:val="24"/>
          <w:szCs w:val="24"/>
          <w:u w:val="single"/>
          <w:lang w:eastAsia="zh-CN"/>
        </w:rPr>
        <w:t>。</w:t>
      </w:r>
      <w:r>
        <w:rPr>
          <w:rFonts w:hint="eastAsia" w:ascii="宋体" w:hAnsi="宋体" w:eastAsia="宋体" w:cs="宋体"/>
          <w:spacing w:val="-2"/>
          <w:sz w:val="24"/>
          <w:szCs w:val="24"/>
          <w:u w:val="single"/>
        </w:rPr>
        <w:t>公路设施完好、</w:t>
      </w:r>
      <w:r>
        <w:rPr>
          <w:rFonts w:hint="eastAsia" w:ascii="宋体" w:hAnsi="宋体" w:eastAsia="宋体" w:cs="宋体"/>
          <w:spacing w:val="1"/>
          <w:sz w:val="24"/>
          <w:szCs w:val="24"/>
          <w:u w:val="single"/>
        </w:rPr>
        <w:t>安全、可靠、畅通、耐久、洁净、绿化、美化</w:t>
      </w:r>
      <w:r>
        <w:rPr>
          <w:rFonts w:hint="eastAsia" w:ascii="宋体" w:hAnsi="宋体" w:eastAsia="宋体" w:cs="宋体"/>
          <w:spacing w:val="1"/>
          <w:sz w:val="24"/>
          <w:szCs w:val="24"/>
          <w:lang w:eastAsia="zh-CN"/>
        </w:rPr>
        <w:t>。</w:t>
      </w:r>
    </w:p>
    <w:p w14:paraId="65111F06">
      <w:pPr>
        <w:keepNext w:val="0"/>
        <w:keepLines w:val="0"/>
        <w:pageBreakBefore w:val="0"/>
        <w:widowControl w:val="0"/>
        <w:kinsoku/>
        <w:wordWrap/>
        <w:overflowPunct/>
        <w:topLinePunct w:val="0"/>
        <w:autoSpaceDE/>
        <w:autoSpaceDN/>
        <w:bidi w:val="0"/>
        <w:adjustRightInd/>
        <w:snapToGrid/>
        <w:spacing w:before="116" w:line="360" w:lineRule="auto"/>
        <w:ind w:left="126" w:firstLine="448" w:firstLineChars="200"/>
        <w:textAlignment w:val="auto"/>
        <w:rPr>
          <w:rFonts w:hint="eastAsia" w:ascii="宋体" w:hAnsi="宋体" w:eastAsia="宋体" w:cs="宋体"/>
          <w:sz w:val="24"/>
          <w:szCs w:val="24"/>
        </w:rPr>
      </w:pPr>
      <w:r>
        <w:rPr>
          <w:rFonts w:hint="eastAsia" w:ascii="宋体" w:hAnsi="宋体" w:eastAsia="宋体" w:cs="宋体"/>
          <w:spacing w:val="-8"/>
          <w:sz w:val="24"/>
          <w:szCs w:val="24"/>
        </w:rPr>
        <w:t>隧道：</w:t>
      </w:r>
      <w:r>
        <w:rPr>
          <w:rFonts w:hint="eastAsia" w:ascii="宋体" w:hAnsi="宋体" w:eastAsia="宋体" w:cs="宋体"/>
          <w:spacing w:val="-4"/>
          <w:sz w:val="24"/>
          <w:szCs w:val="24"/>
          <w:u w:val="single"/>
          <w:lang w:val="en-US" w:eastAsia="zh-CN"/>
        </w:rPr>
        <w:t>完成广西壮族自治区</w:t>
      </w:r>
      <w:r>
        <w:rPr>
          <w:rFonts w:hint="eastAsia" w:ascii="宋体" w:hAnsi="宋体" w:eastAsia="宋体" w:cs="宋体"/>
          <w:spacing w:val="-2"/>
          <w:sz w:val="24"/>
          <w:szCs w:val="24"/>
          <w:u w:val="single"/>
          <w:lang w:val="en-US" w:eastAsia="zh-CN"/>
        </w:rPr>
        <w:t>桂林公路发展中心下达的年度指标任务</w:t>
      </w:r>
      <w:r>
        <w:rPr>
          <w:rFonts w:hint="eastAsia" w:ascii="宋体" w:hAnsi="宋体" w:eastAsia="宋体" w:cs="宋体"/>
          <w:spacing w:val="-2"/>
          <w:sz w:val="24"/>
          <w:szCs w:val="24"/>
          <w:u w:val="single"/>
          <w:lang w:eastAsia="zh-CN"/>
        </w:rPr>
        <w:t>。</w:t>
      </w:r>
      <w:r>
        <w:rPr>
          <w:rFonts w:hint="eastAsia" w:ascii="宋体" w:hAnsi="宋体" w:eastAsia="宋体" w:cs="宋体"/>
          <w:spacing w:val="-2"/>
          <w:sz w:val="24"/>
          <w:szCs w:val="24"/>
          <w:u w:val="single"/>
        </w:rPr>
        <w:t>公路设施完好、</w:t>
      </w:r>
      <w:r>
        <w:rPr>
          <w:rFonts w:hint="eastAsia" w:ascii="宋体" w:hAnsi="宋体" w:eastAsia="宋体" w:cs="宋体"/>
          <w:spacing w:val="1"/>
          <w:sz w:val="24"/>
          <w:szCs w:val="24"/>
          <w:u w:val="single"/>
        </w:rPr>
        <w:t>安全、可靠、畅通、耐久、洁净、绿化、美化</w:t>
      </w:r>
      <w:r>
        <w:rPr>
          <w:rFonts w:hint="eastAsia" w:ascii="宋体" w:hAnsi="宋体" w:eastAsia="宋体" w:cs="宋体"/>
          <w:spacing w:val="1"/>
          <w:sz w:val="24"/>
          <w:szCs w:val="24"/>
          <w:lang w:eastAsia="zh-CN"/>
        </w:rPr>
        <w:t>。</w:t>
      </w:r>
    </w:p>
    <w:p w14:paraId="5F87D7E9">
      <w:pPr>
        <w:keepNext w:val="0"/>
        <w:keepLines w:val="0"/>
        <w:pageBreakBefore w:val="0"/>
        <w:widowControl w:val="0"/>
        <w:kinsoku/>
        <w:wordWrap/>
        <w:overflowPunct/>
        <w:topLinePunct w:val="0"/>
        <w:autoSpaceDE/>
        <w:autoSpaceDN/>
        <w:bidi w:val="0"/>
        <w:adjustRightInd/>
        <w:snapToGrid/>
        <w:spacing w:before="110" w:line="360" w:lineRule="auto"/>
        <w:ind w:left="115" w:firstLine="468" w:firstLineChars="200"/>
        <w:textAlignment w:val="auto"/>
        <w:rPr>
          <w:rFonts w:hint="eastAsia" w:ascii="宋体" w:hAnsi="宋体" w:eastAsia="宋体" w:cs="宋体"/>
          <w:sz w:val="24"/>
          <w:szCs w:val="24"/>
        </w:rPr>
      </w:pPr>
      <w:r>
        <w:rPr>
          <w:rFonts w:hint="eastAsia" w:ascii="宋体" w:hAnsi="宋体" w:eastAsia="宋体" w:cs="宋体"/>
          <w:spacing w:val="-3"/>
          <w:sz w:val="24"/>
          <w:szCs w:val="24"/>
        </w:rPr>
        <w:t>沿线设施：</w:t>
      </w:r>
      <w:r>
        <w:rPr>
          <w:rFonts w:hint="eastAsia" w:ascii="宋体" w:hAnsi="宋体" w:eastAsia="宋体" w:cs="宋体"/>
          <w:spacing w:val="-4"/>
          <w:sz w:val="24"/>
          <w:szCs w:val="24"/>
          <w:u w:val="single"/>
          <w:lang w:val="en-US" w:eastAsia="zh-CN"/>
        </w:rPr>
        <w:t>完成广西壮族自治区</w:t>
      </w:r>
      <w:r>
        <w:rPr>
          <w:rFonts w:hint="eastAsia" w:ascii="宋体" w:hAnsi="宋体" w:eastAsia="宋体" w:cs="宋体"/>
          <w:spacing w:val="-2"/>
          <w:sz w:val="24"/>
          <w:szCs w:val="24"/>
          <w:u w:val="single"/>
          <w:lang w:val="en-US" w:eastAsia="zh-CN"/>
        </w:rPr>
        <w:t>桂林公路发展中心下达的年度指标任务</w:t>
      </w:r>
      <w:r>
        <w:rPr>
          <w:rFonts w:hint="eastAsia" w:ascii="宋体" w:hAnsi="宋体" w:eastAsia="宋体" w:cs="宋体"/>
          <w:spacing w:val="-2"/>
          <w:sz w:val="24"/>
          <w:szCs w:val="24"/>
          <w:u w:val="single"/>
          <w:lang w:eastAsia="zh-CN"/>
        </w:rPr>
        <w:t>。</w:t>
      </w:r>
      <w:r>
        <w:rPr>
          <w:rFonts w:hint="eastAsia" w:ascii="宋体" w:hAnsi="宋体" w:eastAsia="宋体" w:cs="宋体"/>
          <w:spacing w:val="-4"/>
          <w:sz w:val="24"/>
          <w:szCs w:val="24"/>
          <w:u w:val="single"/>
          <w:lang w:val="en-US" w:eastAsia="zh-CN"/>
        </w:rPr>
        <w:t>完成</w:t>
      </w:r>
      <w:r>
        <w:rPr>
          <w:rFonts w:hint="eastAsia" w:ascii="宋体" w:hAnsi="宋体" w:eastAsia="宋体" w:cs="宋体"/>
          <w:spacing w:val="-2"/>
          <w:sz w:val="24"/>
          <w:szCs w:val="24"/>
          <w:u w:val="single"/>
          <w:lang w:val="en-US" w:eastAsia="zh-CN"/>
        </w:rPr>
        <w:t>桂林公路发展中心下达的年度指标任务</w:t>
      </w:r>
      <w:r>
        <w:rPr>
          <w:rFonts w:hint="eastAsia" w:ascii="宋体" w:hAnsi="宋体" w:eastAsia="宋体" w:cs="宋体"/>
          <w:spacing w:val="-2"/>
          <w:sz w:val="24"/>
          <w:szCs w:val="24"/>
          <w:lang w:eastAsia="zh-CN"/>
        </w:rPr>
        <w:t>。</w:t>
      </w:r>
    </w:p>
    <w:p w14:paraId="50DDD8E5">
      <w:pPr>
        <w:keepNext w:val="0"/>
        <w:keepLines w:val="0"/>
        <w:pageBreakBefore w:val="0"/>
        <w:widowControl w:val="0"/>
        <w:kinsoku/>
        <w:wordWrap/>
        <w:overflowPunct/>
        <w:topLinePunct w:val="0"/>
        <w:autoSpaceDE/>
        <w:autoSpaceDN/>
        <w:bidi w:val="0"/>
        <w:adjustRightInd/>
        <w:snapToGrid/>
        <w:spacing w:before="115" w:line="360" w:lineRule="auto"/>
        <w:ind w:left="115" w:firstLine="468" w:firstLineChars="200"/>
        <w:textAlignment w:val="auto"/>
        <w:rPr>
          <w:rFonts w:hint="eastAsia" w:ascii="宋体" w:hAnsi="宋体" w:eastAsia="宋体" w:cs="宋体"/>
          <w:sz w:val="24"/>
          <w:szCs w:val="24"/>
        </w:rPr>
      </w:pPr>
      <w:r>
        <w:rPr>
          <w:rFonts w:hint="eastAsia" w:ascii="宋体" w:hAnsi="宋体" w:eastAsia="宋体" w:cs="宋体"/>
          <w:spacing w:val="-3"/>
          <w:sz w:val="24"/>
          <w:szCs w:val="24"/>
        </w:rPr>
        <w:t>其他设施：</w:t>
      </w:r>
      <w:r>
        <w:rPr>
          <w:rFonts w:hint="eastAsia" w:ascii="宋体" w:hAnsi="宋体" w:eastAsia="宋体" w:cs="宋体"/>
          <w:spacing w:val="-4"/>
          <w:sz w:val="24"/>
          <w:szCs w:val="24"/>
          <w:u w:val="single"/>
          <w:lang w:val="en-US" w:eastAsia="zh-CN"/>
        </w:rPr>
        <w:t>完成广西壮族自治区</w:t>
      </w:r>
      <w:r>
        <w:rPr>
          <w:rFonts w:hint="eastAsia" w:ascii="宋体" w:hAnsi="宋体" w:eastAsia="宋体" w:cs="宋体"/>
          <w:spacing w:val="-2"/>
          <w:sz w:val="24"/>
          <w:szCs w:val="24"/>
          <w:u w:val="single"/>
          <w:lang w:val="en-US" w:eastAsia="zh-CN"/>
        </w:rPr>
        <w:t>桂林公路发展中心下达的年度指标任务</w:t>
      </w:r>
      <w:r>
        <w:rPr>
          <w:rFonts w:hint="eastAsia" w:ascii="宋体" w:hAnsi="宋体" w:eastAsia="宋体" w:cs="宋体"/>
          <w:spacing w:val="-2"/>
          <w:sz w:val="24"/>
          <w:szCs w:val="24"/>
          <w:u w:val="single"/>
          <w:lang w:eastAsia="zh-CN"/>
        </w:rPr>
        <w:t>。</w:t>
      </w:r>
      <w:r>
        <w:rPr>
          <w:rFonts w:hint="eastAsia" w:ascii="宋体" w:hAnsi="宋体" w:eastAsia="宋体" w:cs="宋体"/>
          <w:spacing w:val="-4"/>
          <w:sz w:val="24"/>
          <w:szCs w:val="24"/>
          <w:u w:val="single"/>
          <w:lang w:val="en-US" w:eastAsia="zh-CN"/>
        </w:rPr>
        <w:t>完成</w:t>
      </w:r>
      <w:r>
        <w:rPr>
          <w:rFonts w:hint="eastAsia" w:ascii="宋体" w:hAnsi="宋体" w:eastAsia="宋体" w:cs="宋体"/>
          <w:spacing w:val="-2"/>
          <w:sz w:val="24"/>
          <w:szCs w:val="24"/>
          <w:u w:val="single"/>
          <w:lang w:val="en-US" w:eastAsia="zh-CN"/>
        </w:rPr>
        <w:t>桂林公路发展中心下达的年度指标任务</w:t>
      </w:r>
      <w:r>
        <w:rPr>
          <w:rFonts w:hint="eastAsia" w:ascii="宋体" w:hAnsi="宋体" w:eastAsia="宋体" w:cs="宋体"/>
          <w:spacing w:val="-2"/>
          <w:sz w:val="24"/>
          <w:szCs w:val="24"/>
          <w:lang w:eastAsia="zh-CN"/>
        </w:rPr>
        <w:t>。</w:t>
      </w:r>
    </w:p>
    <w:p w14:paraId="59479858">
      <w:pPr>
        <w:keepNext w:val="0"/>
        <w:keepLines w:val="0"/>
        <w:pageBreakBefore w:val="0"/>
        <w:widowControl w:val="0"/>
        <w:kinsoku/>
        <w:wordWrap/>
        <w:overflowPunct/>
        <w:topLinePunct w:val="0"/>
        <w:autoSpaceDE/>
        <w:autoSpaceDN/>
        <w:bidi w:val="0"/>
        <w:adjustRightInd/>
        <w:snapToGrid/>
        <w:spacing w:before="115" w:line="360" w:lineRule="auto"/>
        <w:ind w:firstLine="476"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② 公路设施完好要求：</w:t>
      </w:r>
      <w:r>
        <w:rPr>
          <w:rFonts w:hint="eastAsia" w:ascii="宋体" w:hAnsi="宋体" w:eastAsia="宋体" w:cs="宋体"/>
          <w:kern w:val="0"/>
          <w:sz w:val="24"/>
          <w:szCs w:val="24"/>
          <w:u w:val="single"/>
          <w:lang w:val="en-US" w:eastAsia="zh-CN"/>
        </w:rPr>
        <w:t>达到</w:t>
      </w:r>
      <w:r>
        <w:rPr>
          <w:rFonts w:hint="eastAsia" w:ascii="宋体" w:hAnsi="宋体" w:eastAsia="宋体" w:cs="宋体"/>
          <w:color w:val="auto"/>
          <w:sz w:val="24"/>
          <w:szCs w:val="24"/>
          <w:u w:val="single"/>
        </w:rPr>
        <w:t>《公路养护技术标准》（JTG 5110－2023）</w:t>
      </w:r>
      <w:r>
        <w:rPr>
          <w:rFonts w:hint="eastAsia" w:ascii="宋体" w:hAnsi="宋体" w:eastAsia="宋体" w:cs="宋体"/>
          <w:color w:val="auto"/>
          <w:sz w:val="24"/>
          <w:szCs w:val="24"/>
          <w:u w:val="single"/>
          <w:lang w:eastAsia="zh-CN"/>
        </w:rPr>
        <w:t>、</w:t>
      </w:r>
      <w:r>
        <w:rPr>
          <w:rFonts w:hint="eastAsia" w:ascii="宋体" w:hAnsi="宋体" w:eastAsia="宋体" w:cs="宋体"/>
          <w:sz w:val="24"/>
          <w:szCs w:val="24"/>
          <w:u w:val="single"/>
          <w:lang w:eastAsia="zh-CN"/>
        </w:rPr>
        <w:t>《广西壮族自治区桂林公路发展中心公路养护服务工作要求及考核办法》</w:t>
      </w:r>
      <w:r>
        <w:rPr>
          <w:rFonts w:hint="eastAsia" w:ascii="宋体" w:hAnsi="宋体" w:eastAsia="宋体" w:cs="宋体"/>
          <w:kern w:val="0"/>
          <w:sz w:val="24"/>
          <w:szCs w:val="24"/>
          <w:u w:val="single"/>
          <w:lang w:val="en-US" w:eastAsia="zh-CN"/>
        </w:rPr>
        <w:t>的相关</w:t>
      </w:r>
      <w:r>
        <w:rPr>
          <w:rFonts w:hint="eastAsia" w:ascii="宋体" w:hAnsi="宋体" w:eastAsia="宋体" w:cs="宋体"/>
          <w:color w:val="auto"/>
          <w:sz w:val="24"/>
          <w:szCs w:val="24"/>
          <w:u w:val="single"/>
        </w:rPr>
        <w:t>要求</w:t>
      </w:r>
      <w:r>
        <w:rPr>
          <w:rFonts w:hint="eastAsia" w:ascii="宋体" w:hAnsi="宋体" w:eastAsia="宋体" w:cs="宋体"/>
          <w:color w:val="auto"/>
          <w:sz w:val="24"/>
          <w:szCs w:val="24"/>
          <w:u w:val="single"/>
          <w:lang w:eastAsia="zh-CN"/>
        </w:rPr>
        <w:t>。</w:t>
      </w:r>
    </w:p>
    <w:p w14:paraId="0D9E3660">
      <w:pPr>
        <w:keepNext w:val="0"/>
        <w:keepLines w:val="0"/>
        <w:pageBreakBefore w:val="0"/>
        <w:widowControl w:val="0"/>
        <w:tabs>
          <w:tab w:val="left" w:pos="0"/>
        </w:tabs>
        <w:kinsoku/>
        <w:wordWrap/>
        <w:overflowPunct/>
        <w:topLinePunct w:val="0"/>
        <w:autoSpaceDE/>
        <w:autoSpaceDN/>
        <w:bidi w:val="0"/>
        <w:adjustRightInd/>
        <w:snapToGrid/>
        <w:spacing w:before="116" w:line="360" w:lineRule="auto"/>
        <w:ind w:firstLine="476"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③ 公路设施洁净要求：</w:t>
      </w:r>
      <w:r>
        <w:rPr>
          <w:rFonts w:hint="eastAsia" w:ascii="宋体" w:hAnsi="宋体" w:eastAsia="宋体" w:cs="宋体"/>
          <w:kern w:val="0"/>
          <w:sz w:val="24"/>
          <w:szCs w:val="24"/>
          <w:u w:val="single"/>
          <w:lang w:val="en-US" w:eastAsia="zh-CN"/>
        </w:rPr>
        <w:t>达到</w:t>
      </w:r>
      <w:r>
        <w:rPr>
          <w:rFonts w:hint="eastAsia" w:ascii="宋体" w:hAnsi="宋体" w:eastAsia="宋体" w:cs="宋体"/>
          <w:color w:val="auto"/>
          <w:sz w:val="24"/>
          <w:szCs w:val="24"/>
          <w:u w:val="single"/>
        </w:rPr>
        <w:t>《公路养护技术标准》（JTG 5110－2023）</w:t>
      </w:r>
      <w:r>
        <w:rPr>
          <w:rFonts w:hint="eastAsia" w:ascii="宋体" w:hAnsi="宋体" w:eastAsia="宋体" w:cs="宋体"/>
          <w:color w:val="auto"/>
          <w:sz w:val="24"/>
          <w:szCs w:val="24"/>
          <w:u w:val="single"/>
          <w:lang w:eastAsia="zh-CN"/>
        </w:rPr>
        <w:t>、</w:t>
      </w:r>
      <w:r>
        <w:rPr>
          <w:rFonts w:hint="eastAsia" w:ascii="宋体" w:hAnsi="宋体" w:eastAsia="宋体" w:cs="宋体"/>
          <w:sz w:val="24"/>
          <w:szCs w:val="24"/>
          <w:u w:val="single"/>
          <w:lang w:eastAsia="zh-CN"/>
        </w:rPr>
        <w:t>《广西壮族自治区桂林公路发展中心公路养护服务工作要求及考核办法》</w:t>
      </w:r>
      <w:r>
        <w:rPr>
          <w:rFonts w:hint="eastAsia" w:ascii="宋体" w:hAnsi="宋体" w:eastAsia="宋体" w:cs="宋体"/>
          <w:kern w:val="0"/>
          <w:sz w:val="24"/>
          <w:szCs w:val="24"/>
          <w:u w:val="single"/>
          <w:lang w:val="en-US" w:eastAsia="zh-CN"/>
        </w:rPr>
        <w:t>的相关</w:t>
      </w:r>
      <w:r>
        <w:rPr>
          <w:rFonts w:hint="eastAsia" w:ascii="宋体" w:hAnsi="宋体" w:eastAsia="宋体" w:cs="宋体"/>
          <w:color w:val="auto"/>
          <w:sz w:val="24"/>
          <w:szCs w:val="24"/>
          <w:u w:val="single"/>
        </w:rPr>
        <w:t>要求</w:t>
      </w:r>
      <w:r>
        <w:rPr>
          <w:rFonts w:hint="eastAsia" w:ascii="宋体" w:hAnsi="宋体" w:eastAsia="宋体" w:cs="宋体"/>
          <w:color w:val="auto"/>
          <w:sz w:val="24"/>
          <w:szCs w:val="24"/>
          <w:u w:val="single"/>
          <w:lang w:eastAsia="zh-CN"/>
        </w:rPr>
        <w:t>。</w:t>
      </w:r>
    </w:p>
    <w:p w14:paraId="1B698AB9">
      <w:pPr>
        <w:keepNext w:val="0"/>
        <w:keepLines w:val="0"/>
        <w:pageBreakBefore w:val="0"/>
        <w:widowControl w:val="0"/>
        <w:kinsoku/>
        <w:wordWrap/>
        <w:overflowPunct/>
        <w:topLinePunct w:val="0"/>
        <w:autoSpaceDE/>
        <w:autoSpaceDN/>
        <w:bidi w:val="0"/>
        <w:adjustRightInd/>
        <w:snapToGrid/>
        <w:spacing w:before="78" w:line="360" w:lineRule="auto"/>
        <w:ind w:left="0" w:firstLine="476" w:firstLineChars="200"/>
        <w:textAlignment w:val="auto"/>
        <w:rPr>
          <w:rFonts w:hint="eastAsia" w:ascii="宋体" w:hAnsi="宋体" w:eastAsia="宋体" w:cs="宋体"/>
          <w:color w:val="auto"/>
          <w:sz w:val="24"/>
          <w:szCs w:val="24"/>
          <w:u w:val="single"/>
          <w:lang w:eastAsia="zh-CN"/>
        </w:rPr>
      </w:pPr>
      <w:r>
        <w:rPr>
          <w:rFonts w:hint="eastAsia" w:ascii="宋体" w:hAnsi="宋体" w:eastAsia="宋体" w:cs="宋体"/>
          <w:spacing w:val="-1"/>
          <w:sz w:val="24"/>
          <w:szCs w:val="24"/>
        </w:rPr>
        <w:t>④ 养护内业管理要求：</w:t>
      </w:r>
      <w:r>
        <w:rPr>
          <w:rFonts w:hint="eastAsia" w:ascii="宋体" w:hAnsi="宋体" w:eastAsia="宋体" w:cs="宋体"/>
          <w:sz w:val="24"/>
          <w:szCs w:val="24"/>
        </w:rPr>
        <w:t xml:space="preserve"> </w:t>
      </w:r>
      <w:r>
        <w:rPr>
          <w:rFonts w:hint="eastAsia" w:ascii="宋体" w:hAnsi="宋体" w:eastAsia="宋体" w:cs="宋体"/>
          <w:kern w:val="0"/>
          <w:sz w:val="24"/>
          <w:szCs w:val="24"/>
          <w:u w:val="single"/>
          <w:lang w:val="en-US" w:eastAsia="zh-CN"/>
        </w:rPr>
        <w:t>达到</w:t>
      </w:r>
      <w:r>
        <w:rPr>
          <w:rFonts w:hint="eastAsia" w:ascii="宋体" w:hAnsi="宋体" w:eastAsia="宋体" w:cs="宋体"/>
          <w:color w:val="auto"/>
          <w:sz w:val="24"/>
          <w:szCs w:val="24"/>
          <w:u w:val="single"/>
        </w:rPr>
        <w:t>《公路养护技术标准》（JTG 5110－2023）</w:t>
      </w:r>
      <w:r>
        <w:rPr>
          <w:rFonts w:hint="eastAsia" w:ascii="宋体" w:hAnsi="宋体" w:eastAsia="宋体" w:cs="宋体"/>
          <w:color w:val="auto"/>
          <w:sz w:val="24"/>
          <w:szCs w:val="24"/>
          <w:u w:val="single"/>
          <w:lang w:eastAsia="zh-CN"/>
        </w:rPr>
        <w:t>、</w:t>
      </w:r>
      <w:r>
        <w:rPr>
          <w:rFonts w:hint="eastAsia" w:ascii="宋体" w:hAnsi="宋体" w:eastAsia="宋体" w:cs="宋体"/>
          <w:sz w:val="24"/>
          <w:szCs w:val="24"/>
          <w:u w:val="single"/>
          <w:lang w:eastAsia="zh-CN"/>
        </w:rPr>
        <w:t>《广西壮族自治区桂林公路发展中心公路养护服务工作要求及考核办法》</w:t>
      </w:r>
      <w:r>
        <w:rPr>
          <w:rFonts w:hint="eastAsia" w:ascii="宋体" w:hAnsi="宋体" w:eastAsia="宋体" w:cs="宋体"/>
          <w:kern w:val="0"/>
          <w:sz w:val="24"/>
          <w:szCs w:val="24"/>
          <w:u w:val="single"/>
          <w:lang w:val="en-US" w:eastAsia="zh-CN"/>
        </w:rPr>
        <w:t>的相关</w:t>
      </w:r>
      <w:r>
        <w:rPr>
          <w:rFonts w:hint="eastAsia" w:ascii="宋体" w:hAnsi="宋体" w:eastAsia="宋体" w:cs="宋体"/>
          <w:color w:val="auto"/>
          <w:sz w:val="24"/>
          <w:szCs w:val="24"/>
          <w:u w:val="single"/>
        </w:rPr>
        <w:t>要求</w:t>
      </w:r>
      <w:r>
        <w:rPr>
          <w:rFonts w:hint="eastAsia" w:ascii="宋体" w:hAnsi="宋体" w:eastAsia="宋体" w:cs="宋体"/>
          <w:color w:val="auto"/>
          <w:sz w:val="24"/>
          <w:szCs w:val="24"/>
          <w:u w:val="single"/>
          <w:lang w:eastAsia="zh-CN"/>
        </w:rPr>
        <w:t>。</w:t>
      </w:r>
    </w:p>
    <w:p w14:paraId="27859835">
      <w:pPr>
        <w:keepNext w:val="0"/>
        <w:keepLines w:val="0"/>
        <w:pageBreakBefore w:val="0"/>
        <w:widowControl w:val="0"/>
        <w:kinsoku/>
        <w:wordWrap/>
        <w:overflowPunct/>
        <w:topLinePunct w:val="0"/>
        <w:autoSpaceDE/>
        <w:autoSpaceDN/>
        <w:bidi w:val="0"/>
        <w:adjustRightInd/>
        <w:snapToGrid/>
        <w:spacing w:before="119" w:line="360" w:lineRule="auto"/>
        <w:ind w:left="112" w:firstLine="476"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⑤ 应急处置要求：</w:t>
      </w:r>
      <w:r>
        <w:rPr>
          <w:rFonts w:hint="eastAsia" w:ascii="宋体" w:hAnsi="宋体" w:eastAsia="宋体" w:cs="宋体"/>
          <w:kern w:val="0"/>
          <w:sz w:val="24"/>
          <w:szCs w:val="24"/>
          <w:u w:val="single"/>
          <w:lang w:val="en-US" w:eastAsia="zh-CN"/>
        </w:rPr>
        <w:t>达到</w:t>
      </w:r>
      <w:r>
        <w:rPr>
          <w:rFonts w:hint="eastAsia" w:ascii="宋体" w:hAnsi="宋体" w:eastAsia="宋体" w:cs="宋体"/>
          <w:color w:val="auto"/>
          <w:sz w:val="24"/>
          <w:szCs w:val="24"/>
          <w:u w:val="single"/>
        </w:rPr>
        <w:t>《公路养护技术标准》（JTG 5110－2023）</w:t>
      </w:r>
      <w:r>
        <w:rPr>
          <w:rFonts w:hint="eastAsia" w:ascii="宋体" w:hAnsi="宋体" w:eastAsia="宋体" w:cs="宋体"/>
          <w:sz w:val="24"/>
          <w:szCs w:val="24"/>
          <w:u w:val="single"/>
          <w:lang w:eastAsia="zh-CN"/>
        </w:rPr>
        <w:t>《广西壮族自治区桂林公路发展中心公路养护服务工作要求及考核办法》的相关要求</w:t>
      </w:r>
      <w:r>
        <w:rPr>
          <w:rFonts w:hint="eastAsia" w:ascii="宋体" w:hAnsi="宋体" w:eastAsia="宋体" w:cs="宋体"/>
          <w:color w:val="auto"/>
          <w:sz w:val="24"/>
          <w:szCs w:val="24"/>
          <w:u w:val="single"/>
          <w:lang w:eastAsia="zh-CN"/>
        </w:rPr>
        <w:t>。</w:t>
      </w:r>
    </w:p>
    <w:p w14:paraId="2FC37DA0">
      <w:pPr>
        <w:keepNext w:val="0"/>
        <w:keepLines w:val="0"/>
        <w:pageBreakBefore w:val="0"/>
        <w:widowControl w:val="0"/>
        <w:kinsoku/>
        <w:wordWrap/>
        <w:overflowPunct/>
        <w:topLinePunct w:val="0"/>
        <w:autoSpaceDE/>
        <w:autoSpaceDN/>
        <w:bidi w:val="0"/>
        <w:adjustRightInd/>
        <w:snapToGrid/>
        <w:spacing w:before="116" w:line="360" w:lineRule="auto"/>
        <w:ind w:firstLine="476"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⑥ 养护工程质量进度要求：</w:t>
      </w:r>
      <w:r>
        <w:rPr>
          <w:rFonts w:hint="eastAsia" w:ascii="宋体" w:hAnsi="宋体" w:eastAsia="宋体" w:cs="宋体"/>
          <w:kern w:val="0"/>
          <w:sz w:val="24"/>
          <w:szCs w:val="24"/>
          <w:u w:val="single"/>
          <w:lang w:val="en-US" w:eastAsia="zh-CN"/>
        </w:rPr>
        <w:t>达到</w:t>
      </w:r>
      <w:r>
        <w:rPr>
          <w:rFonts w:hint="eastAsia" w:ascii="宋体" w:hAnsi="宋体" w:eastAsia="宋体" w:cs="宋体"/>
          <w:color w:val="auto"/>
          <w:sz w:val="24"/>
          <w:szCs w:val="24"/>
          <w:u w:val="single"/>
        </w:rPr>
        <w:t>《公路养护技术标准》（JTG 5110－2023）</w:t>
      </w:r>
      <w:r>
        <w:rPr>
          <w:rFonts w:hint="eastAsia" w:ascii="宋体" w:hAnsi="宋体" w:eastAsia="宋体" w:cs="宋体"/>
          <w:color w:val="auto"/>
          <w:sz w:val="24"/>
          <w:szCs w:val="24"/>
          <w:u w:val="single"/>
          <w:lang w:eastAsia="zh-CN"/>
        </w:rPr>
        <w:t>、</w:t>
      </w:r>
      <w:r>
        <w:rPr>
          <w:rFonts w:hint="eastAsia" w:ascii="宋体" w:hAnsi="宋体" w:eastAsia="宋体" w:cs="宋体"/>
          <w:sz w:val="24"/>
          <w:szCs w:val="24"/>
          <w:u w:val="single"/>
          <w:lang w:eastAsia="zh-CN"/>
        </w:rPr>
        <w:t>《广西壮族自治区桂林公路发展中心公路养护服务工作要求及考核办法》</w:t>
      </w:r>
      <w:r>
        <w:rPr>
          <w:rFonts w:hint="eastAsia" w:ascii="宋体" w:hAnsi="宋体" w:eastAsia="宋体" w:cs="宋体"/>
          <w:kern w:val="0"/>
          <w:sz w:val="24"/>
          <w:szCs w:val="24"/>
          <w:u w:val="single"/>
          <w:lang w:val="en-US" w:eastAsia="zh-CN"/>
        </w:rPr>
        <w:t>的相关</w:t>
      </w:r>
      <w:r>
        <w:rPr>
          <w:rFonts w:hint="eastAsia" w:ascii="宋体" w:hAnsi="宋体" w:eastAsia="宋体" w:cs="宋体"/>
          <w:color w:val="auto"/>
          <w:sz w:val="24"/>
          <w:szCs w:val="24"/>
          <w:u w:val="single"/>
        </w:rPr>
        <w:t>要求</w:t>
      </w:r>
      <w:r>
        <w:rPr>
          <w:rFonts w:hint="eastAsia" w:ascii="宋体" w:hAnsi="宋体" w:eastAsia="宋体" w:cs="宋体"/>
          <w:color w:val="auto"/>
          <w:sz w:val="24"/>
          <w:szCs w:val="24"/>
          <w:u w:val="single"/>
          <w:lang w:eastAsia="zh-CN"/>
        </w:rPr>
        <w:t>。</w:t>
      </w:r>
    </w:p>
    <w:p w14:paraId="77D4A295">
      <w:pPr>
        <w:keepNext w:val="0"/>
        <w:keepLines w:val="0"/>
        <w:pageBreakBefore w:val="0"/>
        <w:widowControl w:val="0"/>
        <w:kinsoku/>
        <w:wordWrap/>
        <w:overflowPunct/>
        <w:topLinePunct w:val="0"/>
        <w:autoSpaceDE/>
        <w:autoSpaceDN/>
        <w:bidi w:val="0"/>
        <w:adjustRightInd/>
        <w:snapToGrid/>
        <w:spacing w:before="118" w:line="360" w:lineRule="auto"/>
        <w:ind w:right="183" w:firstLine="476" w:firstLineChars="200"/>
        <w:textAlignment w:val="auto"/>
        <w:rPr>
          <w:rFonts w:hint="eastAsia" w:ascii="宋体" w:hAnsi="宋体" w:eastAsia="宋体" w:cs="宋体"/>
          <w:sz w:val="24"/>
          <w:szCs w:val="24"/>
          <w:u w:val="single"/>
        </w:rPr>
      </w:pPr>
      <w:r>
        <w:rPr>
          <w:rFonts w:hint="eastAsia" w:ascii="宋体" w:hAnsi="宋体" w:eastAsia="宋体" w:cs="宋体"/>
          <w:spacing w:val="-1"/>
          <w:sz w:val="24"/>
          <w:szCs w:val="24"/>
        </w:rPr>
        <w:t>⑦ 其他相关要求：</w:t>
      </w:r>
      <w:r>
        <w:rPr>
          <w:rFonts w:hint="eastAsia" w:ascii="宋体" w:hAnsi="宋体" w:eastAsia="宋体" w:cs="宋体"/>
          <w:sz w:val="24"/>
          <w:szCs w:val="24"/>
          <w:u w:val="single"/>
        </w:rPr>
        <w:t xml:space="preserve">  /    </w:t>
      </w:r>
    </w:p>
    <w:p w14:paraId="41581A78">
      <w:pPr>
        <w:keepNext w:val="0"/>
        <w:keepLines w:val="0"/>
        <w:pageBreakBefore w:val="0"/>
        <w:widowControl w:val="0"/>
        <w:kinsoku/>
        <w:wordWrap/>
        <w:overflowPunct/>
        <w:topLinePunct w:val="0"/>
        <w:autoSpaceDE/>
        <w:autoSpaceDN/>
        <w:bidi w:val="0"/>
        <w:adjustRightInd/>
        <w:snapToGrid/>
        <w:spacing w:before="118" w:line="360" w:lineRule="auto"/>
        <w:ind w:right="183" w:firstLine="496" w:firstLineChars="200"/>
        <w:textAlignment w:val="auto"/>
        <w:rPr>
          <w:rFonts w:hint="eastAsia" w:ascii="宋体" w:hAnsi="宋体" w:eastAsia="宋体" w:cs="宋体"/>
          <w:sz w:val="24"/>
          <w:szCs w:val="24"/>
        </w:rPr>
      </w:pPr>
      <w:r>
        <w:rPr>
          <w:rFonts w:hint="eastAsia" w:ascii="宋体" w:hAnsi="宋体" w:eastAsia="宋体" w:cs="宋体"/>
          <w:spacing w:val="4"/>
          <w:sz w:val="24"/>
          <w:szCs w:val="24"/>
        </w:rPr>
        <w:t>（3）无论承包人的行为是否得到发包人的许可，承包人均对合同最终的</w:t>
      </w:r>
      <w:r>
        <w:rPr>
          <w:rFonts w:hint="eastAsia" w:ascii="宋体" w:hAnsi="宋体" w:eastAsia="宋体" w:cs="宋体"/>
          <w:spacing w:val="3"/>
          <w:sz w:val="24"/>
          <w:szCs w:val="24"/>
        </w:rPr>
        <w:t>养护</w:t>
      </w:r>
      <w:r>
        <w:rPr>
          <w:rFonts w:hint="eastAsia" w:ascii="宋体" w:hAnsi="宋体" w:eastAsia="宋体" w:cs="宋体"/>
          <w:spacing w:val="-2"/>
          <w:sz w:val="24"/>
          <w:szCs w:val="24"/>
        </w:rPr>
        <w:t>绩效达成情况承担全部责任。</w:t>
      </w:r>
    </w:p>
    <w:p w14:paraId="404360EF">
      <w:pPr>
        <w:keepNext w:val="0"/>
        <w:keepLines w:val="0"/>
        <w:pageBreakBefore w:val="0"/>
        <w:widowControl w:val="0"/>
        <w:kinsoku/>
        <w:wordWrap/>
        <w:overflowPunct/>
        <w:topLinePunct w:val="0"/>
        <w:autoSpaceDE/>
        <w:autoSpaceDN/>
        <w:bidi w:val="0"/>
        <w:adjustRightInd/>
        <w:snapToGrid/>
        <w:spacing w:before="114" w:line="360" w:lineRule="auto"/>
        <w:ind w:right="37" w:firstLine="491"/>
        <w:textAlignment w:val="auto"/>
        <w:rPr>
          <w:rFonts w:hint="eastAsia" w:ascii="宋体" w:hAnsi="宋体" w:eastAsia="宋体" w:cs="宋体"/>
          <w:sz w:val="24"/>
          <w:szCs w:val="24"/>
        </w:rPr>
      </w:pPr>
      <w:r>
        <w:rPr>
          <w:rFonts w:hint="eastAsia" w:ascii="宋体" w:hAnsi="宋体" w:eastAsia="宋体" w:cs="宋体"/>
          <w:spacing w:val="4"/>
          <w:sz w:val="24"/>
          <w:szCs w:val="24"/>
        </w:rPr>
        <w:t>（4）承包人应在确认了发包方所提供的相关工程和服务的数据、承包人</w:t>
      </w:r>
      <w:r>
        <w:rPr>
          <w:rFonts w:hint="eastAsia" w:ascii="宋体" w:hAnsi="宋体" w:eastAsia="宋体" w:cs="宋体"/>
          <w:spacing w:val="3"/>
          <w:sz w:val="24"/>
          <w:szCs w:val="24"/>
        </w:rPr>
        <w:t>现场</w:t>
      </w:r>
      <w:r>
        <w:rPr>
          <w:rFonts w:hint="eastAsia" w:ascii="宋体" w:hAnsi="宋体" w:eastAsia="宋体" w:cs="宋体"/>
          <w:spacing w:val="1"/>
          <w:sz w:val="24"/>
          <w:szCs w:val="24"/>
        </w:rPr>
        <w:t>考察获得的资料及数据的准确性基础上，与发包人签订合</w:t>
      </w:r>
      <w:r>
        <w:rPr>
          <w:rFonts w:hint="eastAsia" w:ascii="宋体" w:hAnsi="宋体" w:eastAsia="宋体" w:cs="宋体"/>
          <w:sz w:val="24"/>
          <w:szCs w:val="24"/>
        </w:rPr>
        <w:t>同。合同签订后，承包人</w:t>
      </w:r>
      <w:r>
        <w:rPr>
          <w:rFonts w:hint="eastAsia" w:ascii="宋体" w:hAnsi="宋体" w:eastAsia="宋体" w:cs="宋体"/>
          <w:spacing w:val="-2"/>
          <w:sz w:val="24"/>
          <w:szCs w:val="24"/>
        </w:rPr>
        <w:t>不能以未能了解掌握前述数据和资料，或者前述数据和资料与实际的对应情况为由，</w:t>
      </w:r>
      <w:r>
        <w:rPr>
          <w:rFonts w:hint="eastAsia" w:ascii="宋体" w:hAnsi="宋体" w:eastAsia="宋体" w:cs="宋体"/>
          <w:spacing w:val="-1"/>
          <w:sz w:val="24"/>
          <w:szCs w:val="24"/>
        </w:rPr>
        <w:t>减轻或免除其完成合同约定的绩效服务水平的责任。</w:t>
      </w:r>
    </w:p>
    <w:p w14:paraId="1FA037A0">
      <w:pPr>
        <w:keepNext w:val="0"/>
        <w:keepLines w:val="0"/>
        <w:pageBreakBefore w:val="0"/>
        <w:widowControl w:val="0"/>
        <w:kinsoku/>
        <w:wordWrap/>
        <w:overflowPunct/>
        <w:topLinePunct w:val="0"/>
        <w:autoSpaceDE/>
        <w:autoSpaceDN/>
        <w:bidi w:val="0"/>
        <w:adjustRightInd/>
        <w:snapToGrid/>
        <w:spacing w:before="114" w:line="360" w:lineRule="auto"/>
        <w:ind w:left="0" w:right="37" w:firstLine="491"/>
        <w:textAlignment w:val="auto"/>
        <w:rPr>
          <w:rFonts w:hint="eastAsia" w:ascii="宋体" w:hAnsi="宋体" w:eastAsia="宋体" w:cs="宋体"/>
          <w:spacing w:val="1"/>
          <w:sz w:val="24"/>
          <w:szCs w:val="24"/>
        </w:rPr>
      </w:pPr>
      <w:r>
        <w:rPr>
          <w:rFonts w:hint="eastAsia" w:ascii="宋体" w:hAnsi="宋体" w:eastAsia="宋体" w:cs="宋体"/>
          <w:spacing w:val="1"/>
          <w:sz w:val="24"/>
          <w:szCs w:val="24"/>
          <w:highlight w:val="none"/>
        </w:rPr>
        <w:t>4.1.13  结合绩效服务水平要求做好养护设计</w:t>
      </w:r>
    </w:p>
    <w:p w14:paraId="6A1DC30D">
      <w:pPr>
        <w:keepNext w:val="0"/>
        <w:keepLines w:val="0"/>
        <w:pageBreakBefore w:val="0"/>
        <w:widowControl w:val="0"/>
        <w:kinsoku/>
        <w:wordWrap/>
        <w:overflowPunct/>
        <w:topLinePunct w:val="0"/>
        <w:autoSpaceDE/>
        <w:autoSpaceDN/>
        <w:bidi w:val="0"/>
        <w:adjustRightInd/>
        <w:snapToGrid/>
        <w:spacing w:before="114" w:line="360" w:lineRule="auto"/>
        <w:ind w:right="183" w:firstLine="492"/>
        <w:textAlignment w:val="auto"/>
        <w:rPr>
          <w:rFonts w:hint="eastAsia" w:ascii="宋体" w:hAnsi="宋体" w:eastAsia="宋体" w:cs="宋体"/>
          <w:sz w:val="24"/>
          <w:szCs w:val="24"/>
        </w:rPr>
      </w:pPr>
      <w:r>
        <w:rPr>
          <w:rFonts w:hint="eastAsia" w:ascii="宋体" w:hAnsi="宋体" w:eastAsia="宋体" w:cs="宋体"/>
          <w:spacing w:val="4"/>
          <w:sz w:val="24"/>
          <w:szCs w:val="24"/>
        </w:rPr>
        <w:t>（1）承包人应按照法律法规规定，以及国家、行业和地方的规范</w:t>
      </w:r>
      <w:r>
        <w:rPr>
          <w:rFonts w:hint="eastAsia" w:ascii="宋体" w:hAnsi="宋体" w:eastAsia="宋体" w:cs="宋体"/>
          <w:spacing w:val="3"/>
          <w:sz w:val="24"/>
          <w:szCs w:val="24"/>
        </w:rPr>
        <w:t>和标准完成</w:t>
      </w:r>
      <w:r>
        <w:rPr>
          <w:rFonts w:hint="eastAsia" w:ascii="宋体" w:hAnsi="宋体" w:eastAsia="宋体" w:cs="宋体"/>
          <w:spacing w:val="1"/>
          <w:sz w:val="24"/>
          <w:szCs w:val="24"/>
        </w:rPr>
        <w:t>设计工作，并符合发包人要求。在工程实施过程中，如果本</w:t>
      </w:r>
      <w:r>
        <w:rPr>
          <w:rFonts w:hint="eastAsia" w:ascii="宋体" w:hAnsi="宋体" w:eastAsia="宋体" w:cs="宋体"/>
          <w:sz w:val="24"/>
          <w:szCs w:val="24"/>
        </w:rPr>
        <w:t>项目的设计所引用的技</w:t>
      </w:r>
      <w:r>
        <w:rPr>
          <w:rFonts w:hint="eastAsia" w:ascii="宋体" w:hAnsi="宋体" w:eastAsia="宋体" w:cs="宋体"/>
          <w:spacing w:val="1"/>
          <w:sz w:val="24"/>
          <w:szCs w:val="24"/>
        </w:rPr>
        <w:t>术标准或规范有所修改或新颁，应由发包人决定是否采用新</w:t>
      </w:r>
      <w:r>
        <w:rPr>
          <w:rFonts w:hint="eastAsia" w:ascii="宋体" w:hAnsi="宋体" w:eastAsia="宋体" w:cs="宋体"/>
          <w:sz w:val="24"/>
          <w:szCs w:val="24"/>
        </w:rPr>
        <w:t>标准或规范，承包人应</w:t>
      </w:r>
      <w:r>
        <w:rPr>
          <w:rFonts w:hint="eastAsia" w:ascii="宋体" w:hAnsi="宋体" w:eastAsia="宋体" w:cs="宋体"/>
          <w:spacing w:val="1"/>
          <w:sz w:val="24"/>
          <w:szCs w:val="24"/>
        </w:rPr>
        <w:t>在咨询人（监理人）的监督下按发包人的决定执行。采</w:t>
      </w:r>
      <w:r>
        <w:rPr>
          <w:rFonts w:hint="eastAsia" w:ascii="宋体" w:hAnsi="宋体" w:eastAsia="宋体" w:cs="宋体"/>
          <w:sz w:val="24"/>
          <w:szCs w:val="24"/>
        </w:rPr>
        <w:t>用新标准或规范所增加设计</w:t>
      </w:r>
      <w:r>
        <w:rPr>
          <w:rFonts w:hint="eastAsia" w:ascii="宋体" w:hAnsi="宋体" w:eastAsia="宋体" w:cs="宋体"/>
          <w:spacing w:val="-1"/>
          <w:sz w:val="24"/>
          <w:szCs w:val="24"/>
        </w:rPr>
        <w:t>工作的费用由承包人承担。</w:t>
      </w:r>
    </w:p>
    <w:p w14:paraId="2509C238">
      <w:pPr>
        <w:keepNext w:val="0"/>
        <w:keepLines w:val="0"/>
        <w:pageBreakBefore w:val="0"/>
        <w:widowControl w:val="0"/>
        <w:kinsoku/>
        <w:wordWrap/>
        <w:overflowPunct/>
        <w:topLinePunct w:val="0"/>
        <w:autoSpaceDE/>
        <w:autoSpaceDN/>
        <w:bidi w:val="0"/>
        <w:adjustRightInd/>
        <w:snapToGrid/>
        <w:spacing w:before="114" w:line="360" w:lineRule="auto"/>
        <w:ind w:right="183" w:firstLine="492"/>
        <w:textAlignment w:val="auto"/>
        <w:rPr>
          <w:rFonts w:hint="eastAsia" w:ascii="宋体" w:hAnsi="宋体" w:eastAsia="宋体" w:cs="宋体"/>
          <w:sz w:val="24"/>
          <w:szCs w:val="24"/>
        </w:rPr>
      </w:pPr>
      <w:r>
        <w:rPr>
          <w:rFonts w:hint="eastAsia" w:ascii="宋体" w:hAnsi="宋体" w:eastAsia="宋体" w:cs="宋体"/>
          <w:spacing w:val="4"/>
          <w:sz w:val="24"/>
          <w:szCs w:val="24"/>
        </w:rPr>
        <w:t>（2）承包人应做好养护设计的检测工作，深入了解其路基、路面</w:t>
      </w:r>
      <w:r>
        <w:rPr>
          <w:rFonts w:hint="eastAsia" w:ascii="宋体" w:hAnsi="宋体" w:eastAsia="宋体" w:cs="宋体"/>
          <w:spacing w:val="3"/>
          <w:sz w:val="24"/>
          <w:szCs w:val="24"/>
        </w:rPr>
        <w:t>、桥梁、涵</w:t>
      </w:r>
      <w:r>
        <w:rPr>
          <w:rFonts w:hint="eastAsia" w:ascii="宋体" w:hAnsi="宋体" w:eastAsia="宋体" w:cs="宋体"/>
          <w:spacing w:val="1"/>
          <w:sz w:val="24"/>
          <w:szCs w:val="24"/>
        </w:rPr>
        <w:t>洞、隧道、安全设施等损坏的公路病害特点和精确位置</w:t>
      </w:r>
      <w:r>
        <w:rPr>
          <w:rFonts w:hint="eastAsia" w:ascii="宋体" w:hAnsi="宋体" w:eastAsia="宋体" w:cs="宋体"/>
          <w:sz w:val="24"/>
          <w:szCs w:val="24"/>
        </w:rPr>
        <w:t>，以确保设计使用的基础数</w:t>
      </w:r>
      <w:r>
        <w:rPr>
          <w:rFonts w:hint="eastAsia" w:ascii="宋体" w:hAnsi="宋体" w:eastAsia="宋体" w:cs="宋体"/>
          <w:spacing w:val="1"/>
          <w:sz w:val="24"/>
          <w:szCs w:val="24"/>
        </w:rPr>
        <w:t>据准确可靠。若由于承包人使用或引用发包人提供的相关数</w:t>
      </w:r>
      <w:r>
        <w:rPr>
          <w:rFonts w:hint="eastAsia" w:ascii="宋体" w:hAnsi="宋体" w:eastAsia="宋体" w:cs="宋体"/>
          <w:sz w:val="24"/>
          <w:szCs w:val="24"/>
        </w:rPr>
        <w:t>据和资料引起的设计图</w:t>
      </w:r>
      <w:r>
        <w:rPr>
          <w:rFonts w:hint="eastAsia" w:ascii="宋体" w:hAnsi="宋体" w:eastAsia="宋体" w:cs="宋体"/>
          <w:spacing w:val="-1"/>
          <w:sz w:val="24"/>
          <w:szCs w:val="24"/>
        </w:rPr>
        <w:t>纸未通过审查，不能减轻或免除其养护设计责任。</w:t>
      </w:r>
    </w:p>
    <w:p w14:paraId="50505D60">
      <w:pPr>
        <w:keepNext w:val="0"/>
        <w:keepLines w:val="0"/>
        <w:pageBreakBefore w:val="0"/>
        <w:widowControl w:val="0"/>
        <w:kinsoku/>
        <w:wordWrap/>
        <w:overflowPunct/>
        <w:topLinePunct w:val="0"/>
        <w:autoSpaceDE/>
        <w:autoSpaceDN/>
        <w:bidi w:val="0"/>
        <w:adjustRightInd/>
        <w:snapToGrid/>
        <w:spacing w:before="114" w:line="360" w:lineRule="auto"/>
        <w:ind w:left="492"/>
        <w:textAlignment w:val="auto"/>
        <w:rPr>
          <w:rFonts w:hint="eastAsia" w:ascii="宋体" w:hAnsi="宋体" w:eastAsia="宋体" w:cs="宋体"/>
          <w:sz w:val="24"/>
          <w:szCs w:val="24"/>
        </w:rPr>
      </w:pPr>
      <w:r>
        <w:rPr>
          <w:rFonts w:hint="eastAsia" w:ascii="宋体" w:hAnsi="宋体" w:eastAsia="宋体" w:cs="宋体"/>
          <w:spacing w:val="-1"/>
          <w:sz w:val="24"/>
          <w:szCs w:val="24"/>
        </w:rPr>
        <w:t>（3）承包人应按下述规定履行施工图设计职责：</w:t>
      </w:r>
    </w:p>
    <w:p w14:paraId="10B93554">
      <w:pPr>
        <w:keepNext w:val="0"/>
        <w:keepLines w:val="0"/>
        <w:pageBreakBefore w:val="0"/>
        <w:widowControl w:val="0"/>
        <w:kinsoku/>
        <w:wordWrap/>
        <w:overflowPunct/>
        <w:topLinePunct w:val="0"/>
        <w:autoSpaceDE/>
        <w:autoSpaceDN/>
        <w:bidi w:val="0"/>
        <w:adjustRightInd/>
        <w:snapToGrid/>
        <w:spacing w:before="113" w:line="360" w:lineRule="auto"/>
        <w:ind w:right="138" w:firstLine="479"/>
        <w:textAlignment w:val="auto"/>
        <w:rPr>
          <w:rFonts w:hint="eastAsia" w:ascii="宋体" w:hAnsi="宋体" w:eastAsia="宋体" w:cs="宋体"/>
          <w:sz w:val="24"/>
          <w:szCs w:val="24"/>
        </w:rPr>
      </w:pPr>
      <w:r>
        <w:rPr>
          <w:rFonts w:hint="eastAsia" w:ascii="宋体" w:hAnsi="宋体" w:eastAsia="宋体" w:cs="宋体"/>
          <w:spacing w:val="-1"/>
          <w:sz w:val="24"/>
          <w:szCs w:val="24"/>
        </w:rPr>
        <w:t>① 承包人应按照标准规范和合同约定的绩效</w:t>
      </w:r>
      <w:r>
        <w:rPr>
          <w:rFonts w:hint="eastAsia" w:ascii="宋体" w:hAnsi="宋体" w:eastAsia="宋体" w:cs="宋体"/>
          <w:spacing w:val="-2"/>
          <w:sz w:val="24"/>
          <w:szCs w:val="24"/>
        </w:rPr>
        <w:t>服务水平，完成施工图设计工作。</w:t>
      </w:r>
      <w:r>
        <w:rPr>
          <w:rFonts w:hint="eastAsia" w:ascii="宋体" w:hAnsi="宋体" w:eastAsia="宋体" w:cs="宋体"/>
          <w:spacing w:val="1"/>
          <w:sz w:val="24"/>
          <w:szCs w:val="24"/>
        </w:rPr>
        <w:t>承包人应在施工图设计阶段充分做好对设计的优化工作，</w:t>
      </w:r>
      <w:r>
        <w:rPr>
          <w:rFonts w:hint="eastAsia" w:ascii="宋体" w:hAnsi="宋体" w:eastAsia="宋体" w:cs="宋体"/>
          <w:sz w:val="24"/>
          <w:szCs w:val="24"/>
        </w:rPr>
        <w:t>不得降低合同约定的技术</w:t>
      </w:r>
      <w:r>
        <w:rPr>
          <w:rFonts w:hint="eastAsia" w:ascii="宋体" w:hAnsi="宋体" w:eastAsia="宋体" w:cs="宋体"/>
          <w:spacing w:val="1"/>
          <w:sz w:val="24"/>
          <w:szCs w:val="24"/>
        </w:rPr>
        <w:t>标准、实施里程、实施要求等。承包人的设计文件对于合</w:t>
      </w:r>
      <w:r>
        <w:rPr>
          <w:rFonts w:hint="eastAsia" w:ascii="宋体" w:hAnsi="宋体" w:eastAsia="宋体" w:cs="宋体"/>
          <w:sz w:val="24"/>
          <w:szCs w:val="24"/>
        </w:rPr>
        <w:t>同约定有偏离的，应在设</w:t>
      </w:r>
      <w:r>
        <w:rPr>
          <w:rFonts w:hint="eastAsia" w:ascii="宋体" w:hAnsi="宋体" w:eastAsia="宋体" w:cs="宋体"/>
          <w:spacing w:val="-1"/>
          <w:sz w:val="24"/>
          <w:szCs w:val="24"/>
        </w:rPr>
        <w:t>计文件中专门加以说明。</w:t>
      </w:r>
    </w:p>
    <w:p w14:paraId="651DA0C0">
      <w:pPr>
        <w:keepNext w:val="0"/>
        <w:keepLines w:val="0"/>
        <w:pageBreakBefore w:val="0"/>
        <w:widowControl w:val="0"/>
        <w:kinsoku/>
        <w:wordWrap/>
        <w:overflowPunct/>
        <w:topLinePunct w:val="0"/>
        <w:autoSpaceDE/>
        <w:autoSpaceDN/>
        <w:bidi w:val="0"/>
        <w:adjustRightInd/>
        <w:snapToGrid/>
        <w:spacing w:before="118" w:line="360" w:lineRule="auto"/>
        <w:ind w:left="2" w:firstLine="476"/>
        <w:textAlignment w:val="auto"/>
        <w:rPr>
          <w:rFonts w:hint="eastAsia" w:ascii="宋体" w:hAnsi="宋体" w:eastAsia="宋体" w:cs="宋体"/>
          <w:sz w:val="24"/>
          <w:szCs w:val="24"/>
        </w:rPr>
      </w:pPr>
      <w:r>
        <w:rPr>
          <w:rFonts w:hint="eastAsia" w:ascii="宋体" w:hAnsi="宋体" w:eastAsia="宋体" w:cs="宋体"/>
          <w:spacing w:val="4"/>
          <w:sz w:val="24"/>
          <w:szCs w:val="24"/>
        </w:rPr>
        <w:t>② 施工过程中的各种设计方案和施工工艺的优化、修订或变更，均应由承包</w:t>
      </w:r>
      <w:r>
        <w:rPr>
          <w:rFonts w:hint="eastAsia" w:ascii="宋体" w:hAnsi="宋体" w:eastAsia="宋体" w:cs="宋体"/>
          <w:spacing w:val="-1"/>
          <w:sz w:val="24"/>
          <w:szCs w:val="24"/>
        </w:rPr>
        <w:t>人事先向发包人和咨询人（监理人）提出书面报告，视管理权限由咨询人（监理人）</w:t>
      </w:r>
      <w:r>
        <w:rPr>
          <w:rFonts w:hint="eastAsia" w:ascii="宋体" w:hAnsi="宋体" w:eastAsia="宋体" w:cs="宋体"/>
          <w:spacing w:val="1"/>
          <w:sz w:val="24"/>
          <w:szCs w:val="24"/>
        </w:rPr>
        <w:t>审核后报发包人审批通过后方可组织实施，在此种情</w:t>
      </w:r>
      <w:r>
        <w:rPr>
          <w:rFonts w:hint="eastAsia" w:ascii="宋体" w:hAnsi="宋体" w:eastAsia="宋体" w:cs="宋体"/>
          <w:sz w:val="24"/>
          <w:szCs w:val="24"/>
        </w:rPr>
        <w:t>况下，并不免除承包人对发包</w:t>
      </w:r>
      <w:r>
        <w:rPr>
          <w:rFonts w:hint="eastAsia" w:ascii="宋体" w:hAnsi="宋体" w:eastAsia="宋体" w:cs="宋体"/>
          <w:spacing w:val="-1"/>
          <w:sz w:val="24"/>
          <w:szCs w:val="24"/>
        </w:rPr>
        <w:t>人应承担的全部设计责任，也不改变本合同的任何责任和义务。</w:t>
      </w:r>
    </w:p>
    <w:p w14:paraId="4AC000D8">
      <w:pPr>
        <w:keepNext w:val="0"/>
        <w:keepLines w:val="0"/>
        <w:pageBreakBefore w:val="0"/>
        <w:widowControl w:val="0"/>
        <w:kinsoku/>
        <w:wordWrap/>
        <w:overflowPunct/>
        <w:topLinePunct w:val="0"/>
        <w:autoSpaceDE/>
        <w:autoSpaceDN/>
        <w:bidi w:val="0"/>
        <w:adjustRightInd/>
        <w:snapToGrid/>
        <w:spacing w:before="78" w:line="360" w:lineRule="auto"/>
        <w:ind w:left="4" w:firstLine="513" w:firstLineChars="207"/>
        <w:textAlignment w:val="auto"/>
        <w:rPr>
          <w:rFonts w:hint="eastAsia" w:ascii="宋体" w:hAnsi="宋体" w:eastAsia="宋体" w:cs="宋体"/>
          <w:sz w:val="24"/>
          <w:szCs w:val="24"/>
        </w:rPr>
      </w:pPr>
      <w:bookmarkStart w:id="184" w:name="bookmark278"/>
      <w:bookmarkEnd w:id="184"/>
      <w:r>
        <w:rPr>
          <w:rFonts w:hint="eastAsia" w:ascii="宋体" w:hAnsi="宋体" w:eastAsia="宋体" w:cs="宋体"/>
          <w:spacing w:val="4"/>
          <w:sz w:val="24"/>
          <w:szCs w:val="24"/>
        </w:rPr>
        <w:t>③ 承包人应做好设计的质量管理工作，建立健全设计质量保证体系加强设计</w:t>
      </w:r>
      <w:r>
        <w:rPr>
          <w:rFonts w:hint="eastAsia" w:ascii="宋体" w:hAnsi="宋体" w:eastAsia="宋体" w:cs="宋体"/>
          <w:spacing w:val="1"/>
          <w:sz w:val="24"/>
          <w:szCs w:val="24"/>
        </w:rPr>
        <w:t>全过程的质量控制，建立完整的设计文件的设计、复</w:t>
      </w:r>
      <w:r>
        <w:rPr>
          <w:rFonts w:hint="eastAsia" w:ascii="宋体" w:hAnsi="宋体" w:eastAsia="宋体" w:cs="宋体"/>
          <w:sz w:val="24"/>
          <w:szCs w:val="24"/>
        </w:rPr>
        <w:t>核、审核、会签和批准制度，明确各阶段的责任人，并对设计质量负责。由于承包人设计质量不高造成的施工图</w:t>
      </w:r>
      <w:r>
        <w:rPr>
          <w:rFonts w:hint="eastAsia" w:ascii="宋体" w:hAnsi="宋体" w:eastAsia="宋体" w:cs="宋体"/>
          <w:spacing w:val="-1"/>
          <w:sz w:val="24"/>
          <w:szCs w:val="24"/>
        </w:rPr>
        <w:t>设计文件审查不能通过的，承包人应补充完</w:t>
      </w:r>
      <w:r>
        <w:rPr>
          <w:rFonts w:hint="eastAsia" w:ascii="宋体" w:hAnsi="宋体" w:eastAsia="宋体" w:cs="宋体"/>
          <w:spacing w:val="-2"/>
          <w:sz w:val="24"/>
          <w:szCs w:val="24"/>
        </w:rPr>
        <w:t>善设计，由此造成的损失由承包人负责。</w:t>
      </w:r>
    </w:p>
    <w:p w14:paraId="4A382CC4">
      <w:pPr>
        <w:keepNext w:val="0"/>
        <w:keepLines w:val="0"/>
        <w:pageBreakBefore w:val="0"/>
        <w:widowControl w:val="0"/>
        <w:kinsoku/>
        <w:wordWrap/>
        <w:overflowPunct/>
        <w:topLinePunct w:val="0"/>
        <w:autoSpaceDE/>
        <w:autoSpaceDN/>
        <w:bidi w:val="0"/>
        <w:adjustRightInd/>
        <w:snapToGrid/>
        <w:spacing w:before="4" w:line="360" w:lineRule="auto"/>
        <w:ind w:right="164" w:firstLine="479"/>
        <w:textAlignment w:val="auto"/>
        <w:rPr>
          <w:rFonts w:hint="eastAsia" w:ascii="宋体" w:hAnsi="宋体" w:eastAsia="宋体" w:cs="宋体"/>
          <w:sz w:val="24"/>
          <w:szCs w:val="24"/>
        </w:rPr>
      </w:pPr>
      <w:r>
        <w:rPr>
          <w:rFonts w:hint="eastAsia" w:ascii="宋体" w:hAnsi="宋体" w:eastAsia="宋体" w:cs="宋体"/>
          <w:spacing w:val="-4"/>
          <w:sz w:val="24"/>
          <w:szCs w:val="24"/>
        </w:rPr>
        <w:t>④ 承包人必须认真贯彻“六个坚持，六个树立</w:t>
      </w:r>
      <w:r>
        <w:rPr>
          <w:rFonts w:hint="eastAsia" w:ascii="宋体" w:hAnsi="宋体" w:eastAsia="宋体" w:cs="宋体"/>
          <w:spacing w:val="-73"/>
          <w:sz w:val="24"/>
          <w:szCs w:val="24"/>
        </w:rPr>
        <w:t xml:space="preserve"> </w:t>
      </w:r>
      <w:r>
        <w:rPr>
          <w:rFonts w:hint="eastAsia" w:ascii="宋体" w:hAnsi="宋体" w:eastAsia="宋体" w:cs="宋体"/>
          <w:spacing w:val="-4"/>
          <w:sz w:val="24"/>
          <w:szCs w:val="24"/>
        </w:rPr>
        <w:t>”的新理念：“第一，坚持系统</w:t>
      </w:r>
      <w:r>
        <w:rPr>
          <w:rFonts w:hint="eastAsia" w:ascii="宋体" w:hAnsi="宋体" w:eastAsia="宋体" w:cs="宋体"/>
          <w:spacing w:val="1"/>
          <w:sz w:val="24"/>
          <w:szCs w:val="24"/>
        </w:rPr>
        <w:t>论的思想，树立全寿命周期成本的理念；第二，坚持以</w:t>
      </w:r>
      <w:r>
        <w:rPr>
          <w:rFonts w:hint="eastAsia" w:ascii="宋体" w:hAnsi="宋体" w:eastAsia="宋体" w:cs="宋体"/>
          <w:sz w:val="24"/>
          <w:szCs w:val="24"/>
        </w:rPr>
        <w:t>人为本，树立安全至上的理</w:t>
      </w:r>
      <w:r>
        <w:rPr>
          <w:rFonts w:hint="eastAsia" w:ascii="宋体" w:hAnsi="宋体" w:eastAsia="宋体" w:cs="宋体"/>
          <w:spacing w:val="1"/>
          <w:sz w:val="24"/>
          <w:szCs w:val="24"/>
        </w:rPr>
        <w:t>念；第三，坚持人与自然相和谐，树立尊重自然、保护</w:t>
      </w:r>
      <w:r>
        <w:rPr>
          <w:rFonts w:hint="eastAsia" w:ascii="宋体" w:hAnsi="宋体" w:eastAsia="宋体" w:cs="宋体"/>
          <w:sz w:val="24"/>
          <w:szCs w:val="24"/>
        </w:rPr>
        <w:t>环境的理念；第四，坚持可</w:t>
      </w:r>
      <w:r>
        <w:rPr>
          <w:rFonts w:hint="eastAsia" w:ascii="宋体" w:hAnsi="宋体" w:eastAsia="宋体" w:cs="宋体"/>
          <w:spacing w:val="1"/>
          <w:sz w:val="24"/>
          <w:szCs w:val="24"/>
        </w:rPr>
        <w:t>持续发展，树立节约资源的理念；第五，坚持质量第一</w:t>
      </w:r>
      <w:r>
        <w:rPr>
          <w:rFonts w:hint="eastAsia" w:ascii="宋体" w:hAnsi="宋体" w:eastAsia="宋体" w:cs="宋体"/>
          <w:sz w:val="24"/>
          <w:szCs w:val="24"/>
        </w:rPr>
        <w:t>，树立让公众满意的理念。</w:t>
      </w:r>
    </w:p>
    <w:p w14:paraId="1CEC85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pacing w:val="-1"/>
          <w:sz w:val="24"/>
          <w:szCs w:val="24"/>
        </w:rPr>
        <w:t>第六，坚持合理选用技术指标，树立设计创作的理念。”</w:t>
      </w:r>
    </w:p>
    <w:p w14:paraId="662BAB17">
      <w:pPr>
        <w:spacing w:before="113" w:line="286" w:lineRule="auto"/>
        <w:ind w:right="164" w:firstLine="478"/>
        <w:rPr>
          <w:rFonts w:hint="eastAsia" w:ascii="宋体" w:hAnsi="宋体" w:eastAsia="宋体" w:cs="宋体"/>
          <w:sz w:val="24"/>
          <w:szCs w:val="24"/>
        </w:rPr>
      </w:pPr>
      <w:r>
        <w:rPr>
          <w:rFonts w:hint="eastAsia" w:ascii="宋体" w:hAnsi="宋体" w:eastAsia="宋体" w:cs="宋体"/>
          <w:spacing w:val="4"/>
          <w:sz w:val="24"/>
          <w:szCs w:val="24"/>
        </w:rPr>
        <w:t>⑤ 承包人必须按照审查批准的施工图进行施工，完成本工程合同所有工作内</w:t>
      </w:r>
      <w:r>
        <w:rPr>
          <w:rFonts w:hint="eastAsia" w:ascii="宋体" w:hAnsi="宋体" w:eastAsia="宋体" w:cs="宋体"/>
          <w:spacing w:val="1"/>
          <w:sz w:val="24"/>
          <w:szCs w:val="24"/>
        </w:rPr>
        <w:t>容。对于已经获得批准的施工图设计文件，发包人认为有</w:t>
      </w:r>
      <w:r>
        <w:rPr>
          <w:rFonts w:hint="eastAsia" w:ascii="宋体" w:hAnsi="宋体" w:eastAsia="宋体" w:cs="宋体"/>
          <w:sz w:val="24"/>
          <w:szCs w:val="24"/>
        </w:rPr>
        <w:t>部分工程需要优化时，承</w:t>
      </w:r>
      <w:r>
        <w:rPr>
          <w:rFonts w:hint="eastAsia" w:ascii="宋体" w:hAnsi="宋体" w:eastAsia="宋体" w:cs="宋体"/>
          <w:spacing w:val="1"/>
          <w:sz w:val="24"/>
          <w:szCs w:val="24"/>
        </w:rPr>
        <w:t>包人应根据发包人的要求进行优化设计，其设计费用视为</w:t>
      </w:r>
      <w:r>
        <w:rPr>
          <w:rFonts w:hint="eastAsia" w:ascii="宋体" w:hAnsi="宋体" w:eastAsia="宋体" w:cs="宋体"/>
          <w:sz w:val="24"/>
          <w:szCs w:val="24"/>
        </w:rPr>
        <w:t>已包括在投标报价之中，</w:t>
      </w:r>
      <w:r>
        <w:rPr>
          <w:rFonts w:hint="eastAsia" w:ascii="宋体" w:hAnsi="宋体" w:eastAsia="宋体" w:cs="宋体"/>
          <w:spacing w:val="-2"/>
          <w:sz w:val="24"/>
          <w:szCs w:val="24"/>
        </w:rPr>
        <w:t>发包人不另行支付。</w:t>
      </w:r>
    </w:p>
    <w:p w14:paraId="6BFD09F8">
      <w:pPr>
        <w:spacing w:before="111" w:line="286" w:lineRule="auto"/>
        <w:ind w:right="164" w:firstLine="478"/>
        <w:rPr>
          <w:rFonts w:hint="eastAsia" w:ascii="宋体" w:hAnsi="宋体" w:eastAsia="宋体" w:cs="宋体"/>
          <w:sz w:val="24"/>
          <w:szCs w:val="24"/>
        </w:rPr>
      </w:pPr>
      <w:r>
        <w:rPr>
          <w:rFonts w:hint="eastAsia" w:ascii="宋体" w:hAnsi="宋体" w:eastAsia="宋体" w:cs="宋体"/>
          <w:spacing w:val="4"/>
          <w:sz w:val="24"/>
          <w:szCs w:val="24"/>
        </w:rPr>
        <w:t>⑥ 承包人应根据投标承诺，在养护工程实施期间，在施工现场派驻经验丰富</w:t>
      </w:r>
      <w:r>
        <w:rPr>
          <w:rFonts w:hint="eastAsia" w:ascii="宋体" w:hAnsi="宋体" w:eastAsia="宋体" w:cs="宋体"/>
          <w:spacing w:val="1"/>
          <w:sz w:val="24"/>
          <w:szCs w:val="24"/>
        </w:rPr>
        <w:t>的设计代表常驻施工现场做好施工现场服务，并负责解决</w:t>
      </w:r>
      <w:r>
        <w:rPr>
          <w:rFonts w:hint="eastAsia" w:ascii="宋体" w:hAnsi="宋体" w:eastAsia="宋体" w:cs="宋体"/>
          <w:sz w:val="24"/>
          <w:szCs w:val="24"/>
        </w:rPr>
        <w:t>施工过程中出现的设计问</w:t>
      </w:r>
      <w:r>
        <w:rPr>
          <w:rFonts w:hint="eastAsia" w:ascii="宋体" w:hAnsi="宋体" w:eastAsia="宋体" w:cs="宋体"/>
          <w:spacing w:val="3"/>
          <w:sz w:val="24"/>
          <w:szCs w:val="24"/>
        </w:rPr>
        <w:t>题。常驻施工现场的设计代表应不少于</w:t>
      </w:r>
      <w:r>
        <w:rPr>
          <w:rFonts w:hint="eastAsia" w:ascii="宋体" w:hAnsi="宋体" w:eastAsia="宋体" w:cs="宋体"/>
          <w:spacing w:val="-104"/>
          <w:sz w:val="24"/>
          <w:szCs w:val="24"/>
        </w:rPr>
        <w:t xml:space="preserve"> </w:t>
      </w:r>
      <w:r>
        <w:rPr>
          <w:rFonts w:hint="eastAsia" w:ascii="宋体" w:hAnsi="宋体" w:eastAsia="宋体" w:cs="宋体"/>
          <w:spacing w:val="4"/>
          <w:sz w:val="24"/>
          <w:szCs w:val="24"/>
          <w:u w:val="single"/>
        </w:rPr>
        <w:t xml:space="preserve">  </w:t>
      </w:r>
      <w:r>
        <w:rPr>
          <w:rFonts w:hint="eastAsia" w:ascii="宋体" w:hAnsi="宋体" w:eastAsia="宋体" w:cs="宋体"/>
          <w:spacing w:val="4"/>
          <w:sz w:val="24"/>
          <w:szCs w:val="24"/>
          <w:u w:val="single"/>
          <w:lang w:val="en-US" w:eastAsia="zh-CN"/>
        </w:rPr>
        <w:t>/</w:t>
      </w:r>
      <w:r>
        <w:rPr>
          <w:rFonts w:hint="eastAsia" w:ascii="宋体" w:hAnsi="宋体" w:eastAsia="宋体" w:cs="宋体"/>
          <w:spacing w:val="4"/>
          <w:sz w:val="24"/>
          <w:szCs w:val="24"/>
          <w:u w:val="single"/>
        </w:rPr>
        <w:t xml:space="preserve"> </w:t>
      </w:r>
      <w:r>
        <w:rPr>
          <w:rFonts w:hint="eastAsia" w:ascii="宋体" w:hAnsi="宋体" w:eastAsia="宋体" w:cs="宋体"/>
          <w:spacing w:val="-105"/>
          <w:sz w:val="24"/>
          <w:szCs w:val="24"/>
        </w:rPr>
        <w:t xml:space="preserve"> </w:t>
      </w:r>
      <w:r>
        <w:rPr>
          <w:rFonts w:hint="eastAsia" w:ascii="宋体" w:hAnsi="宋体" w:eastAsia="宋体" w:cs="宋体"/>
          <w:spacing w:val="3"/>
          <w:sz w:val="24"/>
          <w:szCs w:val="24"/>
        </w:rPr>
        <w:t>名，所有费用视为已包括在投标报价之</w:t>
      </w:r>
      <w:r>
        <w:rPr>
          <w:rFonts w:hint="eastAsia" w:ascii="宋体" w:hAnsi="宋体" w:eastAsia="宋体" w:cs="宋体"/>
          <w:spacing w:val="-1"/>
          <w:sz w:val="24"/>
          <w:szCs w:val="24"/>
        </w:rPr>
        <w:t>中，发包人将不另行支付。</w:t>
      </w:r>
    </w:p>
    <w:p w14:paraId="28732824">
      <w:pPr>
        <w:spacing w:before="117" w:line="282" w:lineRule="auto"/>
        <w:ind w:left="2" w:right="138" w:firstLine="476"/>
        <w:rPr>
          <w:rFonts w:hint="eastAsia" w:ascii="宋体" w:hAnsi="宋体" w:eastAsia="宋体" w:cs="宋体"/>
          <w:sz w:val="24"/>
          <w:szCs w:val="24"/>
        </w:rPr>
      </w:pPr>
      <w:r>
        <w:rPr>
          <w:rFonts w:hint="eastAsia" w:ascii="宋体" w:hAnsi="宋体" w:eastAsia="宋体" w:cs="宋体"/>
          <w:spacing w:val="-2"/>
          <w:sz w:val="24"/>
          <w:szCs w:val="24"/>
        </w:rPr>
        <w:t>⑦ 对于承包人设计文件中的错误、遗漏、含糊、不一致、不适当或其他缺陷，</w:t>
      </w:r>
      <w:r>
        <w:rPr>
          <w:rFonts w:hint="eastAsia" w:ascii="宋体" w:hAnsi="宋体" w:eastAsia="宋体" w:cs="宋体"/>
          <w:spacing w:val="1"/>
          <w:sz w:val="24"/>
          <w:szCs w:val="24"/>
        </w:rPr>
        <w:t>无论是否已通过各项审查，承包人均应自费对这些缺</w:t>
      </w:r>
      <w:r>
        <w:rPr>
          <w:rFonts w:hint="eastAsia" w:ascii="宋体" w:hAnsi="宋体" w:eastAsia="宋体" w:cs="宋体"/>
          <w:sz w:val="24"/>
          <w:szCs w:val="24"/>
        </w:rPr>
        <w:t>陷和其带来的工程问题进行改</w:t>
      </w:r>
      <w:r>
        <w:rPr>
          <w:rFonts w:hint="eastAsia" w:ascii="宋体" w:hAnsi="宋体" w:eastAsia="宋体" w:cs="宋体"/>
          <w:spacing w:val="-6"/>
          <w:sz w:val="24"/>
          <w:szCs w:val="24"/>
        </w:rPr>
        <w:t>正。</w:t>
      </w:r>
    </w:p>
    <w:p w14:paraId="5B62E479">
      <w:pPr>
        <w:spacing w:before="98" w:line="278" w:lineRule="auto"/>
        <w:ind w:right="164" w:firstLine="479"/>
        <w:rPr>
          <w:rFonts w:hint="eastAsia" w:ascii="宋体" w:hAnsi="宋体" w:eastAsia="宋体" w:cs="宋体"/>
          <w:sz w:val="24"/>
          <w:szCs w:val="24"/>
        </w:rPr>
      </w:pPr>
      <w:r>
        <w:rPr>
          <w:rFonts w:hint="eastAsia" w:ascii="宋体" w:hAnsi="宋体" w:eastAsia="宋体" w:cs="宋体"/>
          <w:spacing w:val="4"/>
          <w:sz w:val="24"/>
          <w:szCs w:val="24"/>
        </w:rPr>
        <w:t>⑧ 承包人应根据现场实际情况进行动态设计，根据施工过程动态地获取准确</w:t>
      </w:r>
      <w:r>
        <w:rPr>
          <w:rFonts w:hint="eastAsia" w:ascii="宋体" w:hAnsi="宋体" w:eastAsia="宋体" w:cs="宋体"/>
          <w:spacing w:val="1"/>
          <w:sz w:val="24"/>
          <w:szCs w:val="24"/>
        </w:rPr>
        <w:t>道路情况后对施工图设计进行补充、修改、完善。承包人应</w:t>
      </w:r>
      <w:r>
        <w:rPr>
          <w:rFonts w:hint="eastAsia" w:ascii="宋体" w:hAnsi="宋体" w:eastAsia="宋体" w:cs="宋体"/>
          <w:sz w:val="24"/>
          <w:szCs w:val="24"/>
        </w:rPr>
        <w:t>遵守发包人建立的动态</w:t>
      </w:r>
      <w:r>
        <w:rPr>
          <w:rFonts w:hint="eastAsia" w:ascii="宋体" w:hAnsi="宋体" w:eastAsia="宋体" w:cs="宋体"/>
          <w:spacing w:val="-1"/>
          <w:sz w:val="24"/>
          <w:szCs w:val="24"/>
        </w:rPr>
        <w:t>设计管理机制，遵守动态设计管理流程。</w:t>
      </w:r>
    </w:p>
    <w:p w14:paraId="452DB71C">
      <w:pPr>
        <w:spacing w:before="117" w:line="264" w:lineRule="auto"/>
        <w:ind w:left="28" w:right="164" w:firstLine="450"/>
        <w:rPr>
          <w:rFonts w:hint="eastAsia" w:ascii="宋体" w:hAnsi="宋体" w:eastAsia="宋体" w:cs="宋体"/>
          <w:sz w:val="24"/>
          <w:szCs w:val="24"/>
        </w:rPr>
      </w:pPr>
      <w:r>
        <w:rPr>
          <w:rFonts w:hint="eastAsia" w:ascii="宋体" w:hAnsi="宋体" w:eastAsia="宋体" w:cs="宋体"/>
          <w:spacing w:val="4"/>
          <w:sz w:val="24"/>
          <w:szCs w:val="24"/>
        </w:rPr>
        <w:t>⑨ 承包人提交的交通组织专项设计文件必须结合全线进行编制，并报主管部</w:t>
      </w:r>
      <w:r>
        <w:rPr>
          <w:rFonts w:hint="eastAsia" w:ascii="宋体" w:hAnsi="宋体" w:eastAsia="宋体" w:cs="宋体"/>
          <w:spacing w:val="-10"/>
          <w:sz w:val="24"/>
          <w:szCs w:val="24"/>
        </w:rPr>
        <w:t>门审批。</w:t>
      </w:r>
    </w:p>
    <w:p w14:paraId="453BDEB1">
      <w:pPr>
        <w:spacing w:before="113" w:line="219" w:lineRule="auto"/>
        <w:ind w:left="492"/>
        <w:rPr>
          <w:rFonts w:hint="eastAsia" w:ascii="宋体" w:hAnsi="宋体" w:eastAsia="宋体" w:cs="宋体"/>
          <w:sz w:val="24"/>
          <w:szCs w:val="24"/>
        </w:rPr>
      </w:pPr>
      <w:r>
        <w:rPr>
          <w:rFonts w:hint="eastAsia" w:ascii="宋体" w:hAnsi="宋体" w:eastAsia="宋体" w:cs="宋体"/>
          <w:spacing w:val="-2"/>
          <w:sz w:val="24"/>
          <w:szCs w:val="24"/>
        </w:rPr>
        <w:t>（4）承包人设计进度计划：</w:t>
      </w:r>
    </w:p>
    <w:p w14:paraId="293A1029">
      <w:pPr>
        <w:spacing w:before="114" w:line="286" w:lineRule="auto"/>
        <w:ind w:left="2" w:right="164" w:firstLine="477"/>
        <w:rPr>
          <w:rFonts w:hint="eastAsia" w:ascii="宋体" w:hAnsi="宋体" w:eastAsia="宋体" w:cs="宋体"/>
          <w:sz w:val="24"/>
          <w:szCs w:val="24"/>
        </w:rPr>
      </w:pPr>
      <w:r>
        <w:rPr>
          <w:rFonts w:hint="eastAsia" w:ascii="宋体" w:hAnsi="宋体" w:eastAsia="宋体" w:cs="宋体"/>
          <w:spacing w:val="4"/>
          <w:sz w:val="24"/>
          <w:szCs w:val="24"/>
        </w:rPr>
        <w:t>① 承包人应按照发包人要求，在合同进度计划中专门列出设计进度计划，报</w:t>
      </w:r>
      <w:r>
        <w:rPr>
          <w:rFonts w:hint="eastAsia" w:ascii="宋体" w:hAnsi="宋体" w:eastAsia="宋体" w:cs="宋体"/>
          <w:spacing w:val="1"/>
          <w:sz w:val="24"/>
          <w:szCs w:val="24"/>
        </w:rPr>
        <w:t>发包人批准后执行。承包人需按照经批准后的计划开</w:t>
      </w:r>
      <w:r>
        <w:rPr>
          <w:rFonts w:hint="eastAsia" w:ascii="宋体" w:hAnsi="宋体" w:eastAsia="宋体" w:cs="宋体"/>
          <w:sz w:val="24"/>
          <w:szCs w:val="24"/>
        </w:rPr>
        <w:t>展设计工作。因承包人原因影</w:t>
      </w:r>
      <w:r>
        <w:rPr>
          <w:rFonts w:hint="eastAsia" w:ascii="宋体" w:hAnsi="宋体" w:eastAsia="宋体" w:cs="宋体"/>
          <w:spacing w:val="2"/>
          <w:sz w:val="24"/>
          <w:szCs w:val="24"/>
        </w:rPr>
        <w:t>响设计进度的，按第</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11.5 款的约定执行。因发包人原因影响设计进度的，按第</w:t>
      </w:r>
      <w:r>
        <w:rPr>
          <w:rFonts w:hint="eastAsia" w:ascii="宋体" w:hAnsi="宋体" w:eastAsia="宋体" w:cs="宋体"/>
          <w:spacing w:val="-27"/>
          <w:sz w:val="24"/>
          <w:szCs w:val="24"/>
        </w:rPr>
        <w:t xml:space="preserve"> </w:t>
      </w:r>
      <w:r>
        <w:rPr>
          <w:rFonts w:hint="eastAsia" w:ascii="宋体" w:hAnsi="宋体" w:eastAsia="宋体" w:cs="宋体"/>
          <w:spacing w:val="2"/>
          <w:sz w:val="24"/>
          <w:szCs w:val="24"/>
        </w:rPr>
        <w:t>15</w:t>
      </w:r>
      <w:r>
        <w:rPr>
          <w:rFonts w:hint="eastAsia" w:ascii="宋体" w:hAnsi="宋体" w:eastAsia="宋体" w:cs="宋体"/>
          <w:spacing w:val="-2"/>
          <w:sz w:val="24"/>
          <w:szCs w:val="24"/>
        </w:rPr>
        <w:t>条变更处理。</w:t>
      </w:r>
    </w:p>
    <w:p w14:paraId="72A548E8">
      <w:pPr>
        <w:spacing w:before="114" w:line="290" w:lineRule="auto"/>
        <w:ind w:right="164" w:firstLine="479"/>
        <w:rPr>
          <w:rFonts w:hint="eastAsia" w:ascii="宋体" w:hAnsi="宋体" w:eastAsia="宋体" w:cs="宋体"/>
          <w:sz w:val="24"/>
          <w:szCs w:val="24"/>
        </w:rPr>
      </w:pPr>
      <w:r>
        <w:rPr>
          <w:rFonts w:hint="eastAsia" w:ascii="宋体" w:hAnsi="宋体" w:eastAsia="宋体" w:cs="宋体"/>
          <w:spacing w:val="4"/>
          <w:sz w:val="24"/>
          <w:szCs w:val="24"/>
        </w:rPr>
        <w:t>② 承包人提交的设计文件必须接受发包人组织的审查，凡审查意见中提出的</w:t>
      </w:r>
      <w:r>
        <w:rPr>
          <w:rFonts w:hint="eastAsia" w:ascii="宋体" w:hAnsi="宋体" w:eastAsia="宋体" w:cs="宋体"/>
          <w:spacing w:val="1"/>
          <w:sz w:val="24"/>
          <w:szCs w:val="24"/>
        </w:rPr>
        <w:t>问题，承包人应逐条给予认真贯彻落实，提交书面的反馈意</w:t>
      </w:r>
      <w:r>
        <w:rPr>
          <w:rFonts w:hint="eastAsia" w:ascii="宋体" w:hAnsi="宋体" w:eastAsia="宋体" w:cs="宋体"/>
          <w:sz w:val="24"/>
          <w:szCs w:val="24"/>
        </w:rPr>
        <w:t>见并免费修改施工图设</w:t>
      </w:r>
      <w:r>
        <w:rPr>
          <w:rFonts w:hint="eastAsia" w:ascii="宋体" w:hAnsi="宋体" w:eastAsia="宋体" w:cs="宋体"/>
          <w:spacing w:val="3"/>
          <w:sz w:val="24"/>
          <w:szCs w:val="24"/>
        </w:rPr>
        <w:t>计文件。承包人应在收到发包人提出的施工图设计文件审查意见</w:t>
      </w:r>
      <w:r>
        <w:rPr>
          <w:rFonts w:hint="eastAsia" w:ascii="宋体" w:hAnsi="宋体" w:eastAsia="宋体" w:cs="宋体"/>
          <w:spacing w:val="3"/>
          <w:sz w:val="24"/>
          <w:szCs w:val="24"/>
          <w:highlight w:val="none"/>
        </w:rPr>
        <w:t>后</w:t>
      </w:r>
      <w:r>
        <w:rPr>
          <w:rFonts w:hint="eastAsia" w:ascii="宋体" w:hAnsi="宋体" w:eastAsia="宋体" w:cs="宋体"/>
          <w:spacing w:val="-105"/>
          <w:sz w:val="24"/>
          <w:szCs w:val="24"/>
          <w:highlight w:val="none"/>
        </w:rPr>
        <w:t xml:space="preserve"> </w:t>
      </w:r>
      <w:r>
        <w:rPr>
          <w:rFonts w:hint="eastAsia" w:ascii="宋体" w:hAnsi="宋体" w:eastAsia="宋体" w:cs="宋体"/>
          <w:spacing w:val="4"/>
          <w:sz w:val="24"/>
          <w:szCs w:val="24"/>
          <w:highlight w:val="none"/>
          <w:u w:val="single"/>
        </w:rPr>
        <w:t xml:space="preserve"> </w:t>
      </w:r>
      <w:r>
        <w:rPr>
          <w:rFonts w:hint="eastAsia" w:ascii="宋体" w:hAnsi="宋体" w:eastAsia="宋体" w:cs="宋体"/>
          <w:spacing w:val="4"/>
          <w:sz w:val="24"/>
          <w:szCs w:val="24"/>
          <w:highlight w:val="none"/>
          <w:u w:val="single"/>
          <w:lang w:val="en-US" w:eastAsia="zh-CN"/>
        </w:rPr>
        <w:t>/</w:t>
      </w:r>
      <w:r>
        <w:rPr>
          <w:rFonts w:hint="eastAsia" w:ascii="宋体" w:hAnsi="宋体" w:eastAsia="宋体" w:cs="宋体"/>
          <w:spacing w:val="4"/>
          <w:sz w:val="24"/>
          <w:szCs w:val="24"/>
          <w:highlight w:val="none"/>
          <w:u w:val="single"/>
        </w:rPr>
        <w:t xml:space="preserve"> </w:t>
      </w:r>
      <w:r>
        <w:rPr>
          <w:rFonts w:hint="eastAsia" w:ascii="宋体" w:hAnsi="宋体" w:eastAsia="宋体" w:cs="宋体"/>
          <w:spacing w:val="3"/>
          <w:sz w:val="24"/>
          <w:szCs w:val="24"/>
          <w:highlight w:val="none"/>
        </w:rPr>
        <w:t>天内，完成对施工图设计文件的修改；并按发包人要求提供最终的施工图</w:t>
      </w:r>
      <w:r>
        <w:rPr>
          <w:rFonts w:hint="eastAsia" w:ascii="宋体" w:hAnsi="宋体" w:eastAsia="宋体" w:cs="宋体"/>
          <w:spacing w:val="-103"/>
          <w:sz w:val="24"/>
          <w:szCs w:val="24"/>
          <w:highlight w:val="none"/>
        </w:rPr>
        <w:t xml:space="preserve"> </w:t>
      </w:r>
      <w:r>
        <w:rPr>
          <w:rFonts w:hint="eastAsia" w:ascii="宋体" w:hAnsi="宋体" w:eastAsia="宋体" w:cs="宋体"/>
          <w:spacing w:val="4"/>
          <w:sz w:val="24"/>
          <w:szCs w:val="24"/>
          <w:highlight w:val="none"/>
          <w:u w:val="single"/>
        </w:rPr>
        <w:t xml:space="preserve"> </w:t>
      </w:r>
      <w:r>
        <w:rPr>
          <w:rFonts w:hint="eastAsia" w:ascii="宋体" w:hAnsi="宋体" w:eastAsia="宋体" w:cs="宋体"/>
          <w:spacing w:val="4"/>
          <w:sz w:val="24"/>
          <w:szCs w:val="24"/>
          <w:highlight w:val="none"/>
          <w:u w:val="single"/>
          <w:lang w:val="en-US" w:eastAsia="zh-CN"/>
        </w:rPr>
        <w:t>/</w:t>
      </w:r>
      <w:r>
        <w:rPr>
          <w:rFonts w:hint="eastAsia" w:ascii="宋体" w:hAnsi="宋体" w:eastAsia="宋体" w:cs="宋体"/>
          <w:spacing w:val="4"/>
          <w:sz w:val="24"/>
          <w:szCs w:val="24"/>
          <w:highlight w:val="none"/>
          <w:u w:val="single"/>
        </w:rPr>
        <w:t xml:space="preserve"> </w:t>
      </w:r>
      <w:r>
        <w:rPr>
          <w:rFonts w:hint="eastAsia" w:ascii="宋体" w:hAnsi="宋体" w:eastAsia="宋体" w:cs="宋体"/>
          <w:spacing w:val="-107"/>
          <w:sz w:val="24"/>
          <w:szCs w:val="24"/>
          <w:highlight w:val="none"/>
        </w:rPr>
        <w:t xml:space="preserve"> </w:t>
      </w:r>
      <w:r>
        <w:rPr>
          <w:rFonts w:hint="eastAsia" w:ascii="宋体" w:hAnsi="宋体" w:eastAsia="宋体" w:cs="宋体"/>
          <w:spacing w:val="3"/>
          <w:sz w:val="24"/>
          <w:szCs w:val="24"/>
          <w:highlight w:val="none"/>
        </w:rPr>
        <w:t>套（含施工图预</w:t>
      </w:r>
      <w:r>
        <w:rPr>
          <w:rFonts w:hint="eastAsia" w:ascii="宋体" w:hAnsi="宋体" w:eastAsia="宋体" w:cs="宋体"/>
          <w:spacing w:val="-2"/>
          <w:sz w:val="24"/>
          <w:szCs w:val="24"/>
          <w:highlight w:val="none"/>
        </w:rPr>
        <w:t xml:space="preserve">算）及电子版 </w:t>
      </w:r>
      <w:r>
        <w:rPr>
          <w:rFonts w:hint="eastAsia" w:ascii="宋体" w:hAnsi="宋体" w:eastAsia="宋体" w:cs="宋体"/>
          <w:spacing w:val="-2"/>
          <w:sz w:val="24"/>
          <w:szCs w:val="24"/>
          <w:highlight w:val="none"/>
          <w:u w:val="single"/>
        </w:rPr>
        <w:t xml:space="preserve"> </w:t>
      </w:r>
      <w:r>
        <w:rPr>
          <w:rFonts w:hint="eastAsia" w:ascii="宋体" w:hAnsi="宋体" w:eastAsia="宋体" w:cs="宋体"/>
          <w:spacing w:val="-2"/>
          <w:sz w:val="24"/>
          <w:szCs w:val="24"/>
          <w:highlight w:val="none"/>
          <w:u w:val="single"/>
          <w:lang w:val="en-US" w:eastAsia="zh-CN"/>
        </w:rPr>
        <w:t>/</w:t>
      </w:r>
      <w:r>
        <w:rPr>
          <w:rFonts w:hint="eastAsia" w:ascii="宋体" w:hAnsi="宋体" w:eastAsia="宋体" w:cs="宋体"/>
          <w:spacing w:val="-2"/>
          <w:sz w:val="24"/>
          <w:szCs w:val="24"/>
          <w:highlight w:val="none"/>
          <w:u w:val="single"/>
        </w:rPr>
        <w:t xml:space="preserve"> </w:t>
      </w:r>
      <w:r>
        <w:rPr>
          <w:rFonts w:hint="eastAsia" w:ascii="宋体" w:hAnsi="宋体" w:eastAsia="宋体" w:cs="宋体"/>
          <w:spacing w:val="-2"/>
          <w:sz w:val="24"/>
          <w:szCs w:val="24"/>
          <w:highlight w:val="none"/>
        </w:rPr>
        <w:t>套。</w:t>
      </w:r>
    </w:p>
    <w:p w14:paraId="017EB5FE">
      <w:pPr>
        <w:spacing w:before="78" w:line="308" w:lineRule="auto"/>
        <w:ind w:left="210" w:leftChars="100" w:firstLine="493" w:firstLineChars="199"/>
        <w:rPr>
          <w:rFonts w:hint="eastAsia" w:ascii="宋体" w:hAnsi="宋体" w:eastAsia="宋体" w:cs="宋体"/>
          <w:sz w:val="24"/>
          <w:szCs w:val="24"/>
        </w:rPr>
      </w:pPr>
      <w:bookmarkStart w:id="185" w:name="bookmark279"/>
      <w:bookmarkEnd w:id="185"/>
      <w:r>
        <w:rPr>
          <w:rFonts w:hint="eastAsia" w:ascii="宋体" w:hAnsi="宋体" w:eastAsia="宋体" w:cs="宋体"/>
          <w:spacing w:val="4"/>
          <w:sz w:val="24"/>
          <w:szCs w:val="24"/>
        </w:rPr>
        <w:t>③ 承包人应按照“在最合适的时机、对最需要养护的路段，采取最恰当的措</w:t>
      </w:r>
      <w:r>
        <w:rPr>
          <w:rFonts w:hint="eastAsia" w:ascii="宋体" w:hAnsi="宋体" w:eastAsia="宋体" w:cs="宋体"/>
          <w:sz w:val="24"/>
          <w:szCs w:val="24"/>
        </w:rPr>
        <w:t>施</w:t>
      </w:r>
      <w:r>
        <w:rPr>
          <w:rFonts w:hint="eastAsia" w:ascii="宋体" w:hAnsi="宋体" w:eastAsia="宋体" w:cs="宋体"/>
          <w:spacing w:val="-88"/>
          <w:sz w:val="24"/>
          <w:szCs w:val="24"/>
        </w:rPr>
        <w:t xml:space="preserve"> </w:t>
      </w:r>
      <w:r>
        <w:rPr>
          <w:rFonts w:hint="eastAsia" w:ascii="宋体" w:hAnsi="宋体" w:eastAsia="宋体" w:cs="宋体"/>
          <w:sz w:val="24"/>
          <w:szCs w:val="24"/>
        </w:rPr>
        <w:t>”原则，根据实际路况变化情况动态调整设计计划，包括实施路段</w:t>
      </w:r>
      <w:r>
        <w:rPr>
          <w:rFonts w:hint="eastAsia" w:ascii="宋体" w:hAnsi="宋体" w:eastAsia="宋体" w:cs="宋体"/>
          <w:spacing w:val="-1"/>
          <w:sz w:val="24"/>
          <w:szCs w:val="24"/>
        </w:rPr>
        <w:t>、实施时间和</w:t>
      </w:r>
      <w:r>
        <w:rPr>
          <w:rFonts w:hint="eastAsia" w:ascii="宋体" w:hAnsi="宋体" w:eastAsia="宋体" w:cs="宋体"/>
          <w:spacing w:val="1"/>
          <w:sz w:val="24"/>
          <w:szCs w:val="24"/>
        </w:rPr>
        <w:t>养护措施等，科学安排年度养护工程，实现路况优良和</w:t>
      </w:r>
      <w:r>
        <w:rPr>
          <w:rFonts w:hint="eastAsia" w:ascii="宋体" w:hAnsi="宋体" w:eastAsia="宋体" w:cs="宋体"/>
          <w:sz w:val="24"/>
          <w:szCs w:val="24"/>
        </w:rPr>
        <w:t>养护资金使用效益优化的目</w:t>
      </w:r>
      <w:r>
        <w:rPr>
          <w:rFonts w:hint="eastAsia" w:ascii="宋体" w:hAnsi="宋体" w:eastAsia="宋体" w:cs="宋体"/>
          <w:spacing w:val="-6"/>
          <w:sz w:val="24"/>
          <w:szCs w:val="24"/>
        </w:rPr>
        <w:t>标。</w:t>
      </w:r>
    </w:p>
    <w:p w14:paraId="4541F864">
      <w:pPr>
        <w:spacing w:line="264" w:lineRule="auto"/>
        <w:ind w:left="2" w:firstLine="489"/>
        <w:rPr>
          <w:rFonts w:hint="eastAsia" w:ascii="宋体" w:hAnsi="宋体" w:eastAsia="宋体" w:cs="宋体"/>
          <w:sz w:val="24"/>
          <w:szCs w:val="24"/>
        </w:rPr>
      </w:pPr>
      <w:r>
        <w:rPr>
          <w:rFonts w:hint="eastAsia" w:ascii="宋体" w:hAnsi="宋体" w:eastAsia="宋体" w:cs="宋体"/>
          <w:spacing w:val="4"/>
          <w:sz w:val="24"/>
          <w:szCs w:val="24"/>
        </w:rPr>
        <w:t>（5）承包人的设计文件应报发包人审查同意。审查的范围和内容在发包</w:t>
      </w:r>
      <w:r>
        <w:rPr>
          <w:rFonts w:hint="eastAsia" w:ascii="宋体" w:hAnsi="宋体" w:eastAsia="宋体" w:cs="宋体"/>
          <w:spacing w:val="3"/>
          <w:sz w:val="24"/>
          <w:szCs w:val="24"/>
        </w:rPr>
        <w:t>人要</w:t>
      </w:r>
      <w:r>
        <w:rPr>
          <w:rFonts w:hint="eastAsia" w:ascii="宋体" w:hAnsi="宋体" w:eastAsia="宋体" w:cs="宋体"/>
          <w:spacing w:val="-3"/>
          <w:sz w:val="24"/>
          <w:szCs w:val="24"/>
        </w:rPr>
        <w:t>求中约定。</w:t>
      </w:r>
    </w:p>
    <w:p w14:paraId="7903AAC6">
      <w:pPr>
        <w:spacing w:before="112" w:line="219" w:lineRule="auto"/>
        <w:ind w:left="492"/>
        <w:rPr>
          <w:rFonts w:hint="eastAsia" w:ascii="宋体" w:hAnsi="宋体" w:eastAsia="宋体" w:cs="宋体"/>
          <w:sz w:val="24"/>
          <w:szCs w:val="24"/>
        </w:rPr>
      </w:pPr>
      <w:r>
        <w:rPr>
          <w:rFonts w:hint="eastAsia" w:ascii="宋体" w:hAnsi="宋体" w:eastAsia="宋体" w:cs="宋体"/>
          <w:spacing w:val="-2"/>
          <w:sz w:val="24"/>
          <w:szCs w:val="24"/>
        </w:rPr>
        <w:t>（6）明确联合体的设计责任：</w:t>
      </w:r>
    </w:p>
    <w:p w14:paraId="58C69C5A">
      <w:pPr>
        <w:spacing w:before="114" w:line="308" w:lineRule="auto"/>
        <w:ind w:left="2" w:right="2" w:firstLine="481"/>
        <w:rPr>
          <w:rFonts w:hint="eastAsia" w:ascii="宋体" w:hAnsi="宋体" w:eastAsia="宋体" w:cs="宋体"/>
          <w:sz w:val="24"/>
          <w:szCs w:val="24"/>
        </w:rPr>
      </w:pPr>
      <w:r>
        <w:rPr>
          <w:rFonts w:hint="eastAsia" w:ascii="宋体" w:hAnsi="宋体" w:eastAsia="宋体" w:cs="宋体"/>
          <w:spacing w:val="1"/>
          <w:sz w:val="24"/>
          <w:szCs w:val="24"/>
        </w:rPr>
        <w:t>设计文件必须按国家有关出图规定进行签字</w:t>
      </w:r>
      <w:r>
        <w:rPr>
          <w:rFonts w:hint="eastAsia" w:ascii="宋体" w:hAnsi="宋体" w:eastAsia="宋体" w:cs="宋体"/>
          <w:sz w:val="24"/>
          <w:szCs w:val="24"/>
        </w:rPr>
        <w:t>盖章，且由承包人（含联合体牵头</w:t>
      </w:r>
      <w:r>
        <w:rPr>
          <w:rFonts w:hint="eastAsia" w:ascii="宋体" w:hAnsi="宋体" w:eastAsia="宋体" w:cs="宋体"/>
          <w:spacing w:val="1"/>
          <w:sz w:val="24"/>
          <w:szCs w:val="24"/>
        </w:rPr>
        <w:t>人、成员单位）盖章后提交发包人审查。本款约</w:t>
      </w:r>
      <w:r>
        <w:rPr>
          <w:rFonts w:hint="eastAsia" w:ascii="宋体" w:hAnsi="宋体" w:eastAsia="宋体" w:cs="宋体"/>
          <w:sz w:val="24"/>
          <w:szCs w:val="24"/>
        </w:rPr>
        <w:t>定并不免除联合体所有成员对本项</w:t>
      </w:r>
      <w:r>
        <w:rPr>
          <w:rFonts w:hint="eastAsia" w:ascii="宋体" w:hAnsi="宋体" w:eastAsia="宋体" w:cs="宋体"/>
          <w:spacing w:val="-2"/>
          <w:sz w:val="24"/>
          <w:szCs w:val="24"/>
        </w:rPr>
        <w:t>目设计承担的连带责任。</w:t>
      </w:r>
    </w:p>
    <w:p w14:paraId="7E3342BB">
      <w:pPr>
        <w:spacing w:line="219" w:lineRule="auto"/>
        <w:ind w:left="475"/>
        <w:rPr>
          <w:rFonts w:hint="eastAsia" w:ascii="宋体" w:hAnsi="宋体" w:eastAsia="宋体" w:cs="宋体"/>
          <w:sz w:val="24"/>
          <w:szCs w:val="24"/>
        </w:rPr>
      </w:pPr>
      <w:r>
        <w:rPr>
          <w:rFonts w:hint="eastAsia" w:ascii="宋体" w:hAnsi="宋体" w:eastAsia="宋体" w:cs="宋体"/>
          <w:spacing w:val="-1"/>
          <w:sz w:val="24"/>
          <w:szCs w:val="24"/>
        </w:rPr>
        <w:t>4.1.14  确保公路设施安全可靠运行</w:t>
      </w:r>
    </w:p>
    <w:p w14:paraId="647AB678">
      <w:pPr>
        <w:spacing w:before="117" w:line="308" w:lineRule="auto"/>
        <w:ind w:firstLine="480"/>
        <w:rPr>
          <w:rFonts w:hint="eastAsia" w:ascii="宋体" w:hAnsi="宋体" w:eastAsia="宋体" w:cs="宋体"/>
          <w:sz w:val="24"/>
          <w:szCs w:val="24"/>
        </w:rPr>
      </w:pPr>
      <w:r>
        <w:rPr>
          <w:rFonts w:hint="eastAsia" w:ascii="宋体" w:hAnsi="宋体" w:eastAsia="宋体" w:cs="宋体"/>
          <w:spacing w:val="1"/>
          <w:sz w:val="24"/>
          <w:szCs w:val="24"/>
        </w:rPr>
        <w:t>承包人对确保公路设施安全可靠运行承担主体责任，</w:t>
      </w:r>
      <w:r>
        <w:rPr>
          <w:rFonts w:hint="eastAsia" w:ascii="宋体" w:hAnsi="宋体" w:eastAsia="宋体" w:cs="宋体"/>
          <w:sz w:val="24"/>
          <w:szCs w:val="24"/>
        </w:rPr>
        <w:t>为确保公路设施安全可靠</w:t>
      </w:r>
      <w:r>
        <w:rPr>
          <w:rFonts w:hint="eastAsia" w:ascii="宋体" w:hAnsi="宋体" w:eastAsia="宋体" w:cs="宋体"/>
          <w:spacing w:val="1"/>
          <w:sz w:val="24"/>
          <w:szCs w:val="24"/>
        </w:rPr>
        <w:t>运行，承包人应在其组织结构中设立一个常态化日常养护</w:t>
      </w:r>
      <w:r>
        <w:rPr>
          <w:rFonts w:hint="eastAsia" w:ascii="宋体" w:hAnsi="宋体" w:eastAsia="宋体" w:cs="宋体"/>
          <w:sz w:val="24"/>
          <w:szCs w:val="24"/>
        </w:rPr>
        <w:t>专业管理团队，该团队须</w:t>
      </w:r>
      <w:r>
        <w:rPr>
          <w:rFonts w:hint="eastAsia" w:ascii="宋体" w:hAnsi="宋体" w:eastAsia="宋体" w:cs="宋体"/>
          <w:spacing w:val="1"/>
          <w:sz w:val="24"/>
          <w:szCs w:val="24"/>
        </w:rPr>
        <w:t>确保能够常态化验证承包人符合法律法规、标准规范要求</w:t>
      </w:r>
      <w:r>
        <w:rPr>
          <w:rFonts w:hint="eastAsia" w:ascii="宋体" w:hAnsi="宋体" w:eastAsia="宋体" w:cs="宋体"/>
          <w:sz w:val="24"/>
          <w:szCs w:val="24"/>
        </w:rPr>
        <w:t>以及合同约定的绩效服务</w:t>
      </w:r>
      <w:r>
        <w:rPr>
          <w:rFonts w:hint="eastAsia" w:ascii="宋体" w:hAnsi="宋体" w:eastAsia="宋体" w:cs="宋体"/>
          <w:spacing w:val="4"/>
          <w:sz w:val="24"/>
          <w:szCs w:val="24"/>
        </w:rPr>
        <w:t>水平，确保公路设施安全可靠运行。该团队应积极配</w:t>
      </w:r>
      <w:r>
        <w:rPr>
          <w:rFonts w:hint="eastAsia" w:ascii="宋体" w:hAnsi="宋体" w:eastAsia="宋体" w:cs="宋体"/>
          <w:spacing w:val="3"/>
          <w:sz w:val="24"/>
          <w:szCs w:val="24"/>
        </w:rPr>
        <w:t>合咨询人（监理人</w:t>
      </w:r>
      <w:r>
        <w:rPr>
          <w:rFonts w:hint="eastAsia" w:ascii="宋体" w:hAnsi="宋体" w:eastAsia="宋体" w:cs="宋体"/>
          <w:spacing w:val="-50"/>
          <w:sz w:val="24"/>
          <w:szCs w:val="24"/>
        </w:rPr>
        <w:t>），</w:t>
      </w:r>
      <w:r>
        <w:rPr>
          <w:rFonts w:hint="eastAsia" w:ascii="宋体" w:hAnsi="宋体" w:eastAsia="宋体" w:cs="宋体"/>
          <w:spacing w:val="3"/>
          <w:sz w:val="24"/>
          <w:szCs w:val="24"/>
        </w:rPr>
        <w:t>共同验</w:t>
      </w:r>
      <w:r>
        <w:rPr>
          <w:rFonts w:hint="eastAsia" w:ascii="宋体" w:hAnsi="宋体" w:eastAsia="宋体" w:cs="宋体"/>
          <w:spacing w:val="-2"/>
          <w:sz w:val="24"/>
          <w:szCs w:val="24"/>
        </w:rPr>
        <w:t>证服务水平。</w:t>
      </w:r>
    </w:p>
    <w:p w14:paraId="7CF17CCC">
      <w:pPr>
        <w:spacing w:before="79" w:line="220" w:lineRule="auto"/>
        <w:ind w:left="477"/>
        <w:outlineLvl w:val="4"/>
        <w:rPr>
          <w:rFonts w:hint="eastAsia" w:ascii="宋体" w:hAnsi="宋体" w:eastAsia="宋体" w:cs="宋体"/>
          <w:sz w:val="24"/>
          <w:szCs w:val="24"/>
        </w:rPr>
      </w:pPr>
      <w:r>
        <w:rPr>
          <w:rFonts w:hint="eastAsia" w:ascii="宋体" w:hAnsi="宋体" w:eastAsia="宋体" w:cs="宋体"/>
          <w:b/>
          <w:bCs/>
          <w:spacing w:val="-2"/>
          <w:sz w:val="24"/>
          <w:szCs w:val="24"/>
        </w:rPr>
        <w:t>4.2  履约保证金</w:t>
      </w:r>
    </w:p>
    <w:p w14:paraId="7AEF1819">
      <w:pPr>
        <w:spacing w:before="122" w:line="219" w:lineRule="auto"/>
        <w:ind w:left="480"/>
        <w:rPr>
          <w:rFonts w:hint="eastAsia" w:ascii="宋体" w:hAnsi="宋体" w:eastAsia="宋体" w:cs="宋体"/>
          <w:sz w:val="24"/>
          <w:szCs w:val="24"/>
        </w:rPr>
      </w:pPr>
      <w:r>
        <w:rPr>
          <w:rFonts w:hint="eastAsia" w:ascii="宋体" w:hAnsi="宋体" w:eastAsia="宋体" w:cs="宋体"/>
          <w:spacing w:val="-2"/>
          <w:sz w:val="24"/>
          <w:szCs w:val="24"/>
        </w:rPr>
        <w:t>第</w:t>
      </w:r>
      <w:r>
        <w:rPr>
          <w:rFonts w:hint="eastAsia" w:ascii="宋体" w:hAnsi="宋体" w:eastAsia="宋体" w:cs="宋体"/>
          <w:spacing w:val="-47"/>
          <w:sz w:val="24"/>
          <w:szCs w:val="24"/>
        </w:rPr>
        <w:t xml:space="preserve"> </w:t>
      </w:r>
      <w:r>
        <w:rPr>
          <w:rFonts w:hint="eastAsia" w:ascii="宋体" w:hAnsi="宋体" w:eastAsia="宋体" w:cs="宋体"/>
          <w:spacing w:val="-2"/>
          <w:sz w:val="24"/>
          <w:szCs w:val="24"/>
        </w:rPr>
        <w:t>4.2.1 项完善为：</w:t>
      </w:r>
    </w:p>
    <w:p w14:paraId="3255B461">
      <w:pPr>
        <w:spacing w:before="117" w:line="308" w:lineRule="auto"/>
        <w:ind w:firstLine="480"/>
        <w:rPr>
          <w:rFonts w:hint="eastAsia" w:ascii="宋体" w:hAnsi="宋体" w:eastAsia="宋体" w:cs="宋体"/>
          <w:spacing w:val="1"/>
          <w:sz w:val="24"/>
          <w:szCs w:val="24"/>
        </w:rPr>
      </w:pPr>
      <w:r>
        <w:rPr>
          <w:rFonts w:hint="eastAsia" w:ascii="宋体" w:hAnsi="宋体" w:eastAsia="宋体" w:cs="宋体"/>
          <w:spacing w:val="1"/>
          <w:sz w:val="24"/>
          <w:szCs w:val="24"/>
        </w:rPr>
        <w:t>4.2.1 承包人提交履约保证金的形式为：</w:t>
      </w:r>
      <w:r>
        <w:rPr>
          <w:rFonts w:hint="eastAsia" w:ascii="宋体" w:hAnsi="宋体" w:eastAsia="宋体" w:cs="宋体"/>
          <w:spacing w:val="1"/>
          <w:sz w:val="24"/>
          <w:szCs w:val="24"/>
          <w:u w:val="single"/>
        </w:rPr>
        <w:t>银行保函、现金、担保机构保函、保险担保保函</w:t>
      </w:r>
      <w:r>
        <w:rPr>
          <w:rFonts w:hint="eastAsia" w:ascii="宋体" w:hAnsi="宋体" w:eastAsia="宋体" w:cs="宋体"/>
          <w:spacing w:val="1"/>
          <w:sz w:val="24"/>
          <w:szCs w:val="24"/>
        </w:rPr>
        <w:t>，金额为</w:t>
      </w:r>
      <w:r>
        <w:rPr>
          <w:rFonts w:hint="eastAsia" w:ascii="宋体" w:hAnsi="宋体" w:eastAsia="宋体" w:cs="宋体"/>
          <w:spacing w:val="1"/>
          <w:sz w:val="24"/>
          <w:szCs w:val="24"/>
          <w:u w:val="single"/>
        </w:rPr>
        <w:t>合同价的2%</w:t>
      </w:r>
      <w:r>
        <w:rPr>
          <w:rFonts w:hint="eastAsia" w:ascii="宋体" w:hAnsi="宋体" w:eastAsia="宋体" w:cs="宋体"/>
          <w:spacing w:val="1"/>
          <w:sz w:val="24"/>
          <w:szCs w:val="24"/>
        </w:rPr>
        <w:t xml:space="preserve"> ，期限为</w:t>
      </w:r>
      <w:r>
        <w:rPr>
          <w:rFonts w:hint="eastAsia" w:ascii="宋体" w:hAnsi="宋体" w:eastAsia="宋体" w:cs="宋体"/>
          <w:color w:val="auto"/>
          <w:sz w:val="24"/>
          <w:szCs w:val="24"/>
          <w:u w:val="single"/>
          <w:lang w:val="en-US" w:eastAsia="zh-CN"/>
        </w:rPr>
        <w:t>签订合同开始至合同履行完毕</w:t>
      </w:r>
      <w:r>
        <w:rPr>
          <w:rFonts w:hint="eastAsia" w:ascii="宋体" w:hAnsi="宋体" w:eastAsia="宋体" w:cs="宋体"/>
          <w:color w:val="auto"/>
          <w:sz w:val="24"/>
          <w:szCs w:val="24"/>
          <w:u w:val="single"/>
          <w:lang w:eastAsia="zh-CN"/>
        </w:rPr>
        <w:t>且</w:t>
      </w:r>
      <w:r>
        <w:rPr>
          <w:rFonts w:hint="eastAsia" w:ascii="宋体" w:hAnsi="宋体" w:eastAsia="宋体" w:cs="宋体"/>
          <w:color w:val="auto"/>
          <w:sz w:val="24"/>
          <w:szCs w:val="24"/>
          <w:u w:val="single"/>
          <w:lang w:val="en-US" w:eastAsia="zh-CN"/>
        </w:rPr>
        <w:t>验收合格，</w:t>
      </w:r>
      <w:r>
        <w:rPr>
          <w:rFonts w:hint="eastAsia" w:ascii="宋体" w:hAnsi="宋体" w:eastAsia="宋体" w:cs="宋体"/>
          <w:color w:val="auto"/>
          <w:sz w:val="24"/>
          <w:szCs w:val="24"/>
          <w:u w:val="single"/>
          <w:lang w:eastAsia="zh-CN"/>
        </w:rPr>
        <w:t>履约保证金需在合同签订</w:t>
      </w:r>
      <w:r>
        <w:rPr>
          <w:rFonts w:hint="eastAsia" w:ascii="宋体" w:hAnsi="宋体" w:eastAsia="宋体" w:cs="宋体"/>
          <w:color w:val="auto"/>
          <w:sz w:val="24"/>
          <w:szCs w:val="24"/>
          <w:u w:val="single"/>
          <w:lang w:val="en-US" w:eastAsia="zh-CN"/>
        </w:rPr>
        <w:t>前完成</w:t>
      </w:r>
      <w:r>
        <w:rPr>
          <w:rFonts w:hint="eastAsia" w:ascii="宋体" w:hAnsi="宋体" w:eastAsia="宋体" w:cs="宋体"/>
          <w:color w:val="auto"/>
          <w:sz w:val="24"/>
          <w:szCs w:val="24"/>
          <w:u w:val="single"/>
          <w:lang w:eastAsia="zh-CN"/>
        </w:rPr>
        <w:t>提交</w:t>
      </w:r>
      <w:r>
        <w:rPr>
          <w:rFonts w:hint="eastAsia" w:ascii="宋体" w:hAnsi="宋体" w:eastAsia="宋体" w:cs="宋体"/>
          <w:spacing w:val="1"/>
          <w:sz w:val="24"/>
          <w:szCs w:val="24"/>
        </w:rPr>
        <w:t>。</w:t>
      </w:r>
    </w:p>
    <w:p w14:paraId="28218360">
      <w:pPr>
        <w:spacing w:before="79" w:line="220" w:lineRule="auto"/>
        <w:ind w:left="477"/>
        <w:outlineLvl w:val="4"/>
        <w:rPr>
          <w:rFonts w:hint="eastAsia" w:ascii="宋体" w:hAnsi="宋体" w:eastAsia="宋体" w:cs="宋体"/>
          <w:sz w:val="24"/>
          <w:szCs w:val="24"/>
        </w:rPr>
      </w:pPr>
      <w:r>
        <w:rPr>
          <w:rFonts w:hint="eastAsia" w:ascii="宋体" w:hAnsi="宋体" w:eastAsia="宋体" w:cs="宋体"/>
          <w:b/>
          <w:bCs/>
          <w:spacing w:val="-2"/>
          <w:sz w:val="24"/>
          <w:szCs w:val="24"/>
        </w:rPr>
        <w:t>4.3  转包、分包</w:t>
      </w:r>
    </w:p>
    <w:p w14:paraId="4F652FBD">
      <w:pPr>
        <w:spacing w:before="125" w:line="219" w:lineRule="auto"/>
        <w:ind w:left="480"/>
        <w:rPr>
          <w:rFonts w:hint="eastAsia" w:ascii="宋体" w:hAnsi="宋体" w:eastAsia="宋体" w:cs="宋体"/>
          <w:sz w:val="24"/>
          <w:szCs w:val="24"/>
        </w:rPr>
      </w:pPr>
      <w:r>
        <w:rPr>
          <w:rFonts w:hint="eastAsia" w:ascii="宋体" w:hAnsi="宋体" w:eastAsia="宋体" w:cs="宋体"/>
          <w:spacing w:val="-2"/>
          <w:sz w:val="24"/>
          <w:szCs w:val="24"/>
        </w:rPr>
        <w:t>第</w:t>
      </w:r>
      <w:r>
        <w:rPr>
          <w:rFonts w:hint="eastAsia" w:ascii="宋体" w:hAnsi="宋体" w:eastAsia="宋体" w:cs="宋体"/>
          <w:spacing w:val="-47"/>
          <w:sz w:val="24"/>
          <w:szCs w:val="24"/>
        </w:rPr>
        <w:t xml:space="preserve"> </w:t>
      </w:r>
      <w:r>
        <w:rPr>
          <w:rFonts w:hint="eastAsia" w:ascii="宋体" w:hAnsi="宋体" w:eastAsia="宋体" w:cs="宋体"/>
          <w:spacing w:val="-2"/>
          <w:sz w:val="24"/>
          <w:szCs w:val="24"/>
        </w:rPr>
        <w:t>4.3.3 项完善为：</w:t>
      </w:r>
    </w:p>
    <w:p w14:paraId="7A4A1C74">
      <w:pPr>
        <w:spacing w:before="124" w:line="219"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rPr>
        <w:t>4.3.3  承包人可分包范围及相应条件为：</w:t>
      </w:r>
      <w:r>
        <w:rPr>
          <w:rFonts w:hint="eastAsia" w:ascii="宋体" w:hAnsi="宋体" w:eastAsia="宋体" w:cs="宋体"/>
          <w:sz w:val="24"/>
          <w:szCs w:val="24"/>
          <w:u w:val="single"/>
          <w:lang w:val="en-US" w:eastAsia="zh-CN"/>
        </w:rPr>
        <w:t xml:space="preserve">    /      </w:t>
      </w:r>
    </w:p>
    <w:p w14:paraId="6E933146">
      <w:pPr>
        <w:spacing w:before="117" w:line="308" w:lineRule="auto"/>
        <w:ind w:firstLine="480"/>
        <w:rPr>
          <w:rFonts w:hint="eastAsia" w:ascii="宋体" w:hAnsi="宋体" w:eastAsia="宋体" w:cs="宋体"/>
          <w:spacing w:val="1"/>
          <w:sz w:val="24"/>
          <w:szCs w:val="24"/>
        </w:rPr>
      </w:pPr>
      <w:r>
        <w:rPr>
          <w:rFonts w:hint="eastAsia" w:ascii="宋体" w:hAnsi="宋体" w:eastAsia="宋体" w:cs="宋体"/>
          <w:spacing w:val="1"/>
          <w:sz w:val="24"/>
          <w:szCs w:val="24"/>
        </w:rPr>
        <w:t>4.5  承包人项目经理和项目总工</w:t>
      </w:r>
    </w:p>
    <w:p w14:paraId="268C9B1E">
      <w:pPr>
        <w:spacing w:before="116" w:line="219" w:lineRule="auto"/>
        <w:ind w:left="480"/>
        <w:rPr>
          <w:rFonts w:hint="eastAsia" w:ascii="宋体" w:hAnsi="宋体" w:eastAsia="宋体" w:cs="宋体"/>
          <w:sz w:val="24"/>
          <w:szCs w:val="24"/>
        </w:rPr>
      </w:pPr>
      <w:r>
        <w:rPr>
          <w:rFonts w:hint="eastAsia" w:ascii="宋体" w:hAnsi="宋体" w:eastAsia="宋体" w:cs="宋体"/>
          <w:spacing w:val="-1"/>
          <w:sz w:val="24"/>
          <w:szCs w:val="24"/>
        </w:rPr>
        <w:t>补充第</w:t>
      </w:r>
      <w:r>
        <w:rPr>
          <w:rFonts w:hint="eastAsia" w:ascii="宋体" w:hAnsi="宋体" w:eastAsia="宋体" w:cs="宋体"/>
          <w:spacing w:val="-54"/>
          <w:sz w:val="24"/>
          <w:szCs w:val="24"/>
        </w:rPr>
        <w:t xml:space="preserve"> </w:t>
      </w:r>
      <w:r>
        <w:rPr>
          <w:rFonts w:hint="eastAsia" w:ascii="宋体" w:hAnsi="宋体" w:eastAsia="宋体" w:cs="宋体"/>
          <w:spacing w:val="-1"/>
          <w:sz w:val="24"/>
          <w:szCs w:val="24"/>
        </w:rPr>
        <w:t>4.5.5~4.5.8 项：</w:t>
      </w:r>
    </w:p>
    <w:p w14:paraId="64AECE52">
      <w:pPr>
        <w:spacing w:before="111" w:line="286" w:lineRule="auto"/>
        <w:ind w:firstLine="475"/>
        <w:rPr>
          <w:rFonts w:hint="eastAsia" w:ascii="宋体" w:hAnsi="宋体" w:eastAsia="宋体" w:cs="宋体"/>
          <w:sz w:val="24"/>
          <w:szCs w:val="24"/>
        </w:rPr>
      </w:pPr>
      <w:r>
        <w:rPr>
          <w:rFonts w:hint="eastAsia" w:ascii="宋体" w:hAnsi="宋体" w:eastAsia="宋体" w:cs="宋体"/>
          <w:spacing w:val="5"/>
          <w:sz w:val="24"/>
          <w:szCs w:val="24"/>
        </w:rPr>
        <w:t>4.5.5</w:t>
      </w:r>
      <w:r>
        <w:rPr>
          <w:rFonts w:hint="eastAsia" w:ascii="宋体" w:hAnsi="宋体" w:eastAsia="宋体" w:cs="宋体"/>
          <w:spacing w:val="28"/>
          <w:sz w:val="24"/>
          <w:szCs w:val="24"/>
        </w:rPr>
        <w:t xml:space="preserve"> </w:t>
      </w:r>
      <w:r>
        <w:rPr>
          <w:rFonts w:hint="eastAsia" w:ascii="宋体" w:hAnsi="宋体" w:eastAsia="宋体" w:cs="宋体"/>
          <w:spacing w:val="5"/>
          <w:sz w:val="24"/>
          <w:szCs w:val="24"/>
        </w:rPr>
        <w:t>项目经理在合同实施期间将代表承包人行使职权，并应将合同项目下承</w:t>
      </w:r>
      <w:r>
        <w:rPr>
          <w:rFonts w:hint="eastAsia" w:ascii="宋体" w:hAnsi="宋体" w:eastAsia="宋体" w:cs="宋体"/>
          <w:spacing w:val="1"/>
          <w:sz w:val="24"/>
          <w:szCs w:val="24"/>
        </w:rPr>
        <w:t>包人的所有通知、指令、信息和其他所有通信信息提交给</w:t>
      </w:r>
      <w:r>
        <w:rPr>
          <w:rFonts w:hint="eastAsia" w:ascii="宋体" w:hAnsi="宋体" w:eastAsia="宋体" w:cs="宋体"/>
          <w:spacing w:val="1"/>
          <w:sz w:val="24"/>
          <w:szCs w:val="24"/>
          <w:lang w:val="en-US" w:eastAsia="zh-CN"/>
        </w:rPr>
        <w:t>发包人</w:t>
      </w:r>
      <w:r>
        <w:rPr>
          <w:rFonts w:hint="eastAsia" w:ascii="宋体" w:hAnsi="宋体" w:eastAsia="宋体" w:cs="宋体"/>
          <w:spacing w:val="1"/>
          <w:sz w:val="24"/>
          <w:szCs w:val="24"/>
        </w:rPr>
        <w:t>。项目经理应负责代表承包人对合同项下的工程</w:t>
      </w:r>
      <w:r>
        <w:rPr>
          <w:rFonts w:hint="eastAsia" w:ascii="宋体" w:hAnsi="宋体" w:eastAsia="宋体" w:cs="宋体"/>
          <w:sz w:val="24"/>
          <w:szCs w:val="24"/>
        </w:rPr>
        <w:t>和服务进行日常管理，同时应具有法律和其他专业的知识，以便在执行合</w:t>
      </w:r>
      <w:r>
        <w:rPr>
          <w:rFonts w:hint="eastAsia" w:ascii="宋体" w:hAnsi="宋体" w:eastAsia="宋体" w:cs="宋体"/>
          <w:spacing w:val="-1"/>
          <w:sz w:val="24"/>
          <w:szCs w:val="24"/>
        </w:rPr>
        <w:t>同时作出必要的决策。</w:t>
      </w:r>
    </w:p>
    <w:p w14:paraId="24DD9D13">
      <w:pPr>
        <w:spacing w:before="117" w:line="263" w:lineRule="auto"/>
        <w:ind w:right="2" w:firstLine="474"/>
        <w:rPr>
          <w:rFonts w:hint="eastAsia" w:ascii="宋体" w:hAnsi="宋体" w:eastAsia="宋体" w:cs="宋体"/>
          <w:sz w:val="24"/>
          <w:szCs w:val="24"/>
        </w:rPr>
      </w:pPr>
      <w:r>
        <w:rPr>
          <w:rFonts w:hint="eastAsia" w:ascii="宋体" w:hAnsi="宋体" w:eastAsia="宋体" w:cs="宋体"/>
          <w:spacing w:val="4"/>
          <w:sz w:val="24"/>
          <w:szCs w:val="24"/>
        </w:rPr>
        <w:t>4.5.6 所有由发包人</w:t>
      </w:r>
      <w:r>
        <w:rPr>
          <w:rFonts w:hint="eastAsia" w:ascii="宋体" w:hAnsi="宋体" w:eastAsia="宋体" w:cs="宋体"/>
          <w:spacing w:val="-60"/>
          <w:sz w:val="24"/>
          <w:szCs w:val="24"/>
        </w:rPr>
        <w:t xml:space="preserve"> </w:t>
      </w:r>
      <w:r>
        <w:rPr>
          <w:rFonts w:hint="eastAsia" w:ascii="宋体" w:hAnsi="宋体" w:eastAsia="宋体" w:cs="宋体"/>
          <w:spacing w:val="4"/>
          <w:sz w:val="24"/>
          <w:szCs w:val="24"/>
        </w:rPr>
        <w:t>向承包人发出的通知、指令、信息资</w:t>
      </w:r>
      <w:r>
        <w:rPr>
          <w:rFonts w:hint="eastAsia" w:ascii="宋体" w:hAnsi="宋体" w:eastAsia="宋体" w:cs="宋体"/>
          <w:sz w:val="24"/>
          <w:szCs w:val="24"/>
        </w:rPr>
        <w:t>料和其他通信信息都应交给项目经理，法律法规</w:t>
      </w:r>
      <w:r>
        <w:rPr>
          <w:rFonts w:hint="eastAsia" w:ascii="宋体" w:hAnsi="宋体" w:eastAsia="宋体" w:cs="宋体"/>
          <w:spacing w:val="-1"/>
          <w:sz w:val="24"/>
          <w:szCs w:val="24"/>
        </w:rPr>
        <w:t>或本合同另有规定除外。</w:t>
      </w:r>
    </w:p>
    <w:p w14:paraId="04EABB19">
      <w:pPr>
        <w:spacing w:before="78" w:line="307" w:lineRule="auto"/>
        <w:ind w:left="92" w:firstLine="500" w:firstLineChars="200"/>
        <w:rPr>
          <w:rFonts w:hint="eastAsia" w:ascii="宋体" w:hAnsi="宋体" w:eastAsia="宋体" w:cs="宋体"/>
          <w:sz w:val="24"/>
          <w:szCs w:val="24"/>
        </w:rPr>
      </w:pPr>
      <w:bookmarkStart w:id="186" w:name="bookmark280"/>
      <w:bookmarkEnd w:id="186"/>
      <w:r>
        <w:rPr>
          <w:rFonts w:hint="eastAsia" w:ascii="宋体" w:hAnsi="宋体" w:eastAsia="宋体" w:cs="宋体"/>
          <w:spacing w:val="5"/>
          <w:sz w:val="24"/>
          <w:szCs w:val="24"/>
        </w:rPr>
        <w:t>4.5.7</w:t>
      </w:r>
      <w:r>
        <w:rPr>
          <w:rFonts w:hint="eastAsia" w:ascii="宋体" w:hAnsi="宋体" w:eastAsia="宋体" w:cs="宋体"/>
          <w:spacing w:val="28"/>
          <w:sz w:val="24"/>
          <w:szCs w:val="24"/>
        </w:rPr>
        <w:t xml:space="preserve"> </w:t>
      </w:r>
      <w:r>
        <w:rPr>
          <w:rFonts w:hint="eastAsia" w:ascii="宋体" w:hAnsi="宋体" w:eastAsia="宋体" w:cs="宋体"/>
          <w:spacing w:val="5"/>
          <w:sz w:val="24"/>
          <w:szCs w:val="24"/>
        </w:rPr>
        <w:t>未经发包人书面同意之前，承包人不得撤销对项目经理的任命。一经发</w:t>
      </w:r>
      <w:r>
        <w:rPr>
          <w:rFonts w:hint="eastAsia" w:ascii="宋体" w:hAnsi="宋体" w:eastAsia="宋体" w:cs="宋体"/>
          <w:spacing w:val="1"/>
          <w:sz w:val="24"/>
          <w:szCs w:val="24"/>
        </w:rPr>
        <w:t>包人同意，承包人应按照规定的程序指派其他人员担任项</w:t>
      </w:r>
      <w:r>
        <w:rPr>
          <w:rFonts w:hint="eastAsia" w:ascii="宋体" w:hAnsi="宋体" w:eastAsia="宋体" w:cs="宋体"/>
          <w:sz w:val="24"/>
          <w:szCs w:val="24"/>
        </w:rPr>
        <w:t>目经理。项目经理更换需</w:t>
      </w:r>
      <w:r>
        <w:rPr>
          <w:rFonts w:hint="eastAsia" w:ascii="宋体" w:hAnsi="宋体" w:eastAsia="宋体" w:cs="宋体"/>
          <w:spacing w:val="-1"/>
          <w:sz w:val="24"/>
          <w:szCs w:val="24"/>
        </w:rPr>
        <w:t>要保证不少于</w:t>
      </w:r>
      <w:r>
        <w:rPr>
          <w:rFonts w:hint="eastAsia" w:ascii="宋体" w:hAnsi="宋体" w:eastAsia="宋体" w:cs="宋体"/>
          <w:spacing w:val="-1"/>
          <w:sz w:val="24"/>
          <w:szCs w:val="24"/>
          <w:u w:val="single"/>
        </w:rPr>
        <w:t xml:space="preserve">  14  </w:t>
      </w:r>
      <w:r>
        <w:rPr>
          <w:rFonts w:hint="eastAsia" w:ascii="宋体" w:hAnsi="宋体" w:eastAsia="宋体" w:cs="宋体"/>
          <w:spacing w:val="-106"/>
          <w:sz w:val="24"/>
          <w:szCs w:val="24"/>
        </w:rPr>
        <w:t xml:space="preserve"> </w:t>
      </w:r>
      <w:r>
        <w:rPr>
          <w:rFonts w:hint="eastAsia" w:ascii="宋体" w:hAnsi="宋体" w:eastAsia="宋体" w:cs="宋体"/>
          <w:spacing w:val="-1"/>
          <w:sz w:val="24"/>
          <w:szCs w:val="24"/>
        </w:rPr>
        <w:t>天的交接期，交接期间承包人应及时向发包人</w:t>
      </w:r>
      <w:r>
        <w:rPr>
          <w:rFonts w:hint="eastAsia" w:ascii="宋体" w:hAnsi="宋体" w:eastAsia="宋体" w:cs="宋体"/>
          <w:spacing w:val="-2"/>
          <w:sz w:val="24"/>
          <w:szCs w:val="24"/>
        </w:rPr>
        <w:t>报告交接情况。</w:t>
      </w:r>
    </w:p>
    <w:p w14:paraId="588E879E">
      <w:pPr>
        <w:spacing w:before="2" w:line="307" w:lineRule="auto"/>
        <w:ind w:left="95" w:right="185" w:firstLine="473"/>
        <w:rPr>
          <w:rFonts w:hint="eastAsia" w:ascii="宋体" w:hAnsi="宋体" w:eastAsia="宋体" w:cs="宋体"/>
          <w:sz w:val="24"/>
          <w:szCs w:val="24"/>
        </w:rPr>
      </w:pPr>
      <w:r>
        <w:rPr>
          <w:rFonts w:hint="eastAsia" w:ascii="宋体" w:hAnsi="宋体" w:eastAsia="宋体" w:cs="宋体"/>
          <w:spacing w:val="6"/>
          <w:sz w:val="24"/>
          <w:szCs w:val="24"/>
        </w:rPr>
        <w:t>4.5.8 在合同履约期间，项目经理应在整个正</w:t>
      </w:r>
      <w:r>
        <w:rPr>
          <w:rFonts w:hint="eastAsia" w:ascii="宋体" w:hAnsi="宋体" w:eastAsia="宋体" w:cs="宋体"/>
          <w:spacing w:val="5"/>
          <w:sz w:val="24"/>
          <w:szCs w:val="24"/>
        </w:rPr>
        <w:t>常工作时间期间留在现场驻场工</w:t>
      </w:r>
      <w:r>
        <w:rPr>
          <w:rFonts w:hint="eastAsia" w:ascii="宋体" w:hAnsi="宋体" w:eastAsia="宋体" w:cs="宋体"/>
          <w:spacing w:val="1"/>
          <w:sz w:val="24"/>
          <w:szCs w:val="24"/>
        </w:rPr>
        <w:t>作。若因休假、患病或与执行合同有关的其他原因</w:t>
      </w:r>
      <w:r>
        <w:rPr>
          <w:rFonts w:hint="eastAsia" w:ascii="宋体" w:hAnsi="宋体" w:eastAsia="宋体" w:cs="宋体"/>
          <w:sz w:val="24"/>
          <w:szCs w:val="24"/>
        </w:rPr>
        <w:t>而临时离开现场，则应指派一名</w:t>
      </w:r>
      <w:r>
        <w:rPr>
          <w:rFonts w:hint="eastAsia" w:ascii="宋体" w:hAnsi="宋体" w:eastAsia="宋体" w:cs="宋体"/>
          <w:spacing w:val="-3"/>
          <w:sz w:val="24"/>
          <w:szCs w:val="24"/>
        </w:rPr>
        <w:t>合适的人员代理其职责，并将相关情况及时告知发包</w:t>
      </w:r>
      <w:r>
        <w:rPr>
          <w:rFonts w:hint="eastAsia" w:ascii="宋体" w:hAnsi="宋体" w:eastAsia="宋体" w:cs="宋体"/>
          <w:spacing w:val="-4"/>
          <w:sz w:val="24"/>
          <w:szCs w:val="24"/>
        </w:rPr>
        <w:t>人。</w:t>
      </w:r>
    </w:p>
    <w:p w14:paraId="28ED6502">
      <w:pPr>
        <w:spacing w:line="219" w:lineRule="auto"/>
        <w:ind w:left="574"/>
        <w:rPr>
          <w:rFonts w:hint="eastAsia" w:ascii="宋体" w:hAnsi="宋体" w:eastAsia="宋体" w:cs="宋体"/>
          <w:sz w:val="24"/>
          <w:szCs w:val="24"/>
        </w:rPr>
      </w:pPr>
      <w:r>
        <w:rPr>
          <w:rFonts w:hint="eastAsia" w:ascii="宋体" w:hAnsi="宋体" w:eastAsia="宋体" w:cs="宋体"/>
          <w:spacing w:val="-5"/>
          <w:sz w:val="24"/>
          <w:szCs w:val="24"/>
        </w:rPr>
        <w:t>补充第</w:t>
      </w:r>
      <w:r>
        <w:rPr>
          <w:rFonts w:hint="eastAsia" w:ascii="宋体" w:hAnsi="宋体" w:eastAsia="宋体" w:cs="宋体"/>
          <w:spacing w:val="-49"/>
          <w:sz w:val="24"/>
          <w:szCs w:val="24"/>
        </w:rPr>
        <w:t xml:space="preserve"> </w:t>
      </w:r>
      <w:r>
        <w:rPr>
          <w:rFonts w:hint="eastAsia" w:ascii="宋体" w:hAnsi="宋体" w:eastAsia="宋体" w:cs="宋体"/>
          <w:spacing w:val="-5"/>
          <w:sz w:val="24"/>
          <w:szCs w:val="24"/>
        </w:rPr>
        <w:t>4.</w:t>
      </w:r>
      <w:r>
        <w:rPr>
          <w:rFonts w:hint="eastAsia" w:ascii="宋体" w:hAnsi="宋体" w:eastAsia="宋体" w:cs="宋体"/>
          <w:spacing w:val="-32"/>
          <w:sz w:val="24"/>
          <w:szCs w:val="24"/>
        </w:rPr>
        <w:t xml:space="preserve"> </w:t>
      </w:r>
      <w:r>
        <w:rPr>
          <w:rFonts w:hint="eastAsia" w:ascii="宋体" w:hAnsi="宋体" w:eastAsia="宋体" w:cs="宋体"/>
          <w:spacing w:val="-5"/>
          <w:sz w:val="24"/>
          <w:szCs w:val="24"/>
        </w:rPr>
        <w:t>14 款：</w:t>
      </w:r>
    </w:p>
    <w:p w14:paraId="34A50482">
      <w:pPr>
        <w:spacing w:before="116" w:line="219" w:lineRule="auto"/>
        <w:ind w:left="570"/>
        <w:outlineLvl w:val="4"/>
        <w:rPr>
          <w:rFonts w:hint="eastAsia" w:ascii="宋体" w:hAnsi="宋体" w:eastAsia="宋体" w:cs="宋体"/>
          <w:sz w:val="24"/>
          <w:szCs w:val="24"/>
          <w:lang w:eastAsia="zh-CN"/>
        </w:rPr>
      </w:pPr>
      <w:r>
        <w:rPr>
          <w:rFonts w:hint="eastAsia" w:ascii="宋体" w:hAnsi="宋体" w:eastAsia="宋体" w:cs="宋体"/>
          <w:b/>
          <w:bCs/>
          <w:spacing w:val="-2"/>
          <w:sz w:val="24"/>
          <w:szCs w:val="24"/>
        </w:rPr>
        <w:t>4.14  养护信息管理系统应用</w:t>
      </w:r>
    </w:p>
    <w:p w14:paraId="1CF65655">
      <w:pPr>
        <w:spacing w:before="2" w:line="307" w:lineRule="auto"/>
        <w:ind w:left="95" w:right="185" w:firstLine="473"/>
        <w:rPr>
          <w:rFonts w:hint="eastAsia" w:ascii="宋体" w:hAnsi="宋体" w:eastAsia="宋体" w:cs="宋体"/>
          <w:color w:val="auto"/>
          <w:spacing w:val="6"/>
          <w:sz w:val="24"/>
          <w:szCs w:val="24"/>
          <w:highlight w:val="none"/>
        </w:rPr>
      </w:pPr>
      <w:r>
        <w:rPr>
          <w:rFonts w:hint="eastAsia" w:ascii="宋体" w:hAnsi="宋体" w:eastAsia="宋体" w:cs="宋体"/>
          <w:spacing w:val="6"/>
          <w:sz w:val="24"/>
          <w:szCs w:val="24"/>
        </w:rPr>
        <w:t>4.14.1  承包人需配合发包人使用与本项目相关的所有养护信息管理系统，按照系统要求进行养</w:t>
      </w:r>
      <w:r>
        <w:rPr>
          <w:rFonts w:hint="eastAsia" w:ascii="宋体" w:hAnsi="宋体" w:eastAsia="宋体" w:cs="宋体"/>
          <w:color w:val="auto"/>
          <w:spacing w:val="6"/>
          <w:sz w:val="24"/>
          <w:szCs w:val="24"/>
          <w:highlight w:val="none"/>
        </w:rPr>
        <w:t>护相关技术文件和养护数据的提交、更新和管理。</w:t>
      </w:r>
    </w:p>
    <w:p w14:paraId="038D8E04">
      <w:pPr>
        <w:spacing w:before="2" w:line="307" w:lineRule="auto"/>
        <w:ind w:left="95" w:right="185" w:firstLine="473"/>
        <w:rPr>
          <w:rFonts w:hint="eastAsia" w:ascii="宋体" w:hAnsi="宋体" w:eastAsia="宋体" w:cs="宋体"/>
          <w:spacing w:val="6"/>
          <w:sz w:val="24"/>
          <w:szCs w:val="24"/>
          <w:u w:val="single"/>
        </w:rPr>
      </w:pPr>
      <w:r>
        <w:rPr>
          <w:rFonts w:hint="eastAsia" w:ascii="宋体" w:hAnsi="宋体" w:eastAsia="宋体" w:cs="宋体"/>
          <w:color w:val="auto"/>
          <w:spacing w:val="6"/>
          <w:sz w:val="24"/>
          <w:szCs w:val="24"/>
          <w:highlight w:val="none"/>
        </w:rPr>
        <w:t>具体职责为：</w:t>
      </w:r>
      <w:r>
        <w:rPr>
          <w:rFonts w:hint="eastAsia" w:ascii="宋体" w:hAnsi="宋体" w:eastAsia="宋体" w:cs="宋体"/>
          <w:color w:val="auto"/>
          <w:spacing w:val="6"/>
          <w:sz w:val="24"/>
          <w:szCs w:val="24"/>
          <w:highlight w:val="none"/>
          <w:u w:val="single"/>
        </w:rPr>
        <w:t>使用广西“路安巡”公路智能巡查管理系统</w:t>
      </w:r>
      <w:r>
        <w:rPr>
          <w:rFonts w:hint="eastAsia" w:ascii="宋体" w:hAnsi="宋体" w:eastAsia="宋体" w:cs="宋体"/>
          <w:color w:val="auto"/>
          <w:spacing w:val="6"/>
          <w:sz w:val="24"/>
          <w:szCs w:val="24"/>
          <w:highlight w:val="none"/>
          <w:u w:val="single"/>
          <w:lang w:eastAsia="zh-CN"/>
        </w:rPr>
        <w:t>、广西公路水路安全畅通与应急处置系统</w:t>
      </w:r>
      <w:r>
        <w:rPr>
          <w:rFonts w:hint="eastAsia" w:ascii="宋体" w:hAnsi="宋体" w:eastAsia="宋体" w:cs="宋体"/>
          <w:color w:val="auto"/>
          <w:spacing w:val="6"/>
          <w:sz w:val="24"/>
          <w:szCs w:val="24"/>
          <w:highlight w:val="none"/>
          <w:u w:val="single"/>
        </w:rPr>
        <w:t>进行公路巡查检查、隐患排查及记录；协助完成公路基础数据年报数据更新、桥梁管理系统数据更新、公路水</w:t>
      </w:r>
      <w:r>
        <w:rPr>
          <w:rFonts w:hint="eastAsia" w:ascii="宋体" w:hAnsi="宋体" w:eastAsia="宋体" w:cs="宋体"/>
          <w:spacing w:val="6"/>
          <w:sz w:val="24"/>
          <w:szCs w:val="24"/>
          <w:u w:val="single"/>
        </w:rPr>
        <w:t>毁系统数据更新、公路路况信息系统数据更新、自然灾害综合风险交通行业（公路水路）数据更新等工作。</w:t>
      </w:r>
    </w:p>
    <w:p w14:paraId="4C8A8305">
      <w:pPr>
        <w:spacing w:before="113" w:line="219" w:lineRule="auto"/>
        <w:ind w:left="572"/>
        <w:outlineLvl w:val="3"/>
        <w:rPr>
          <w:rFonts w:hint="eastAsia" w:ascii="宋体" w:hAnsi="宋体" w:eastAsia="宋体" w:cs="宋体"/>
          <w:sz w:val="24"/>
          <w:szCs w:val="24"/>
        </w:rPr>
      </w:pPr>
      <w:bookmarkStart w:id="187" w:name="bookmark152"/>
      <w:bookmarkEnd w:id="187"/>
      <w:bookmarkStart w:id="188" w:name="bookmark151"/>
      <w:bookmarkEnd w:id="188"/>
      <w:r>
        <w:rPr>
          <w:rFonts w:hint="eastAsia" w:ascii="宋体" w:hAnsi="宋体" w:eastAsia="宋体" w:cs="宋体"/>
          <w:b/>
          <w:bCs/>
          <w:spacing w:val="-2"/>
          <w:sz w:val="24"/>
          <w:szCs w:val="24"/>
        </w:rPr>
        <w:t>5.  材料和工程设备</w:t>
      </w:r>
    </w:p>
    <w:p w14:paraId="50217C44">
      <w:pPr>
        <w:spacing w:before="114" w:line="219" w:lineRule="auto"/>
        <w:ind w:left="572"/>
        <w:outlineLvl w:val="4"/>
        <w:rPr>
          <w:rFonts w:hint="eastAsia" w:ascii="宋体" w:hAnsi="宋体" w:eastAsia="宋体" w:cs="宋体"/>
          <w:sz w:val="24"/>
          <w:szCs w:val="24"/>
        </w:rPr>
      </w:pPr>
      <w:r>
        <w:rPr>
          <w:rFonts w:hint="eastAsia" w:ascii="宋体" w:hAnsi="宋体" w:eastAsia="宋体" w:cs="宋体"/>
          <w:b/>
          <w:bCs/>
          <w:spacing w:val="-2"/>
          <w:sz w:val="24"/>
          <w:szCs w:val="24"/>
        </w:rPr>
        <w:t>5.1  承包人提供的材料和工程设备</w:t>
      </w:r>
    </w:p>
    <w:p w14:paraId="0F6D9500">
      <w:pPr>
        <w:spacing w:before="117" w:line="219" w:lineRule="auto"/>
        <w:ind w:left="574"/>
        <w:rPr>
          <w:rFonts w:hint="eastAsia" w:ascii="宋体" w:hAnsi="宋体" w:eastAsia="宋体" w:cs="宋体"/>
          <w:sz w:val="24"/>
          <w:szCs w:val="24"/>
        </w:rPr>
      </w:pPr>
      <w:r>
        <w:rPr>
          <w:rFonts w:hint="eastAsia" w:ascii="宋体" w:hAnsi="宋体" w:eastAsia="宋体" w:cs="宋体"/>
          <w:spacing w:val="-2"/>
          <w:sz w:val="24"/>
          <w:szCs w:val="24"/>
        </w:rPr>
        <w:t>补充第</w:t>
      </w:r>
      <w:r>
        <w:rPr>
          <w:rFonts w:hint="eastAsia" w:ascii="宋体" w:hAnsi="宋体" w:eastAsia="宋体" w:cs="宋体"/>
          <w:spacing w:val="-49"/>
          <w:sz w:val="24"/>
          <w:szCs w:val="24"/>
        </w:rPr>
        <w:t xml:space="preserve"> </w:t>
      </w:r>
      <w:r>
        <w:rPr>
          <w:rFonts w:hint="eastAsia" w:ascii="宋体" w:hAnsi="宋体" w:eastAsia="宋体" w:cs="宋体"/>
          <w:spacing w:val="-2"/>
          <w:sz w:val="24"/>
          <w:szCs w:val="24"/>
        </w:rPr>
        <w:t>5.1.4 项：</w:t>
      </w:r>
    </w:p>
    <w:p w14:paraId="70FAD425">
      <w:pPr>
        <w:spacing w:before="114" w:line="308" w:lineRule="auto"/>
        <w:ind w:left="96" w:right="183" w:firstLine="480"/>
        <w:rPr>
          <w:rFonts w:hint="eastAsia" w:ascii="宋体" w:hAnsi="宋体" w:eastAsia="宋体" w:cs="宋体"/>
          <w:sz w:val="24"/>
          <w:szCs w:val="24"/>
        </w:rPr>
      </w:pPr>
      <w:r>
        <w:rPr>
          <w:rFonts w:hint="eastAsia" w:ascii="宋体" w:hAnsi="宋体" w:eastAsia="宋体" w:cs="宋体"/>
          <w:spacing w:val="5"/>
          <w:sz w:val="24"/>
          <w:szCs w:val="24"/>
        </w:rPr>
        <w:t>5.1.4 承包人执行合同时所用的材料质量应符合标准规范及合同要求。若承包</w:t>
      </w:r>
      <w:r>
        <w:rPr>
          <w:rFonts w:hint="eastAsia" w:ascii="宋体" w:hAnsi="宋体" w:eastAsia="宋体" w:cs="宋体"/>
          <w:spacing w:val="1"/>
          <w:sz w:val="24"/>
          <w:szCs w:val="24"/>
        </w:rPr>
        <w:t>人认为需使用质量优于标准规范及合同要求所规定质</w:t>
      </w:r>
      <w:r>
        <w:rPr>
          <w:rFonts w:hint="eastAsia" w:ascii="宋体" w:hAnsi="宋体" w:eastAsia="宋体" w:cs="宋体"/>
          <w:sz w:val="24"/>
          <w:szCs w:val="24"/>
        </w:rPr>
        <w:t>量的材料，承包人应向发包人</w:t>
      </w:r>
      <w:r>
        <w:rPr>
          <w:rFonts w:hint="eastAsia" w:ascii="宋体" w:hAnsi="宋体" w:eastAsia="宋体" w:cs="宋体"/>
          <w:spacing w:val="-1"/>
          <w:sz w:val="24"/>
          <w:szCs w:val="24"/>
        </w:rPr>
        <w:t>提出使用此类材料的需求，但无权提出更高的价格或酬劳。</w:t>
      </w:r>
    </w:p>
    <w:p w14:paraId="401A90C6">
      <w:pPr>
        <w:spacing w:before="122" w:line="219" w:lineRule="auto"/>
        <w:ind w:left="572"/>
        <w:rPr>
          <w:rFonts w:hint="eastAsia" w:ascii="宋体" w:hAnsi="宋体" w:eastAsia="宋体" w:cs="宋体"/>
          <w:sz w:val="24"/>
          <w:szCs w:val="24"/>
          <w:highlight w:val="none"/>
        </w:rPr>
      </w:pPr>
      <w:r>
        <w:rPr>
          <w:rFonts w:hint="eastAsia" w:ascii="宋体" w:hAnsi="宋体" w:eastAsia="宋体" w:cs="宋体"/>
          <w:spacing w:val="-3"/>
          <w:sz w:val="24"/>
          <w:szCs w:val="24"/>
        </w:rPr>
        <w:t>第</w:t>
      </w:r>
      <w:r>
        <w:rPr>
          <w:rFonts w:hint="eastAsia" w:ascii="宋体" w:hAnsi="宋体" w:eastAsia="宋体" w:cs="宋体"/>
          <w:spacing w:val="-41"/>
          <w:sz w:val="24"/>
          <w:szCs w:val="24"/>
        </w:rPr>
        <w:t xml:space="preserve"> </w:t>
      </w:r>
      <w:r>
        <w:rPr>
          <w:rFonts w:hint="eastAsia" w:ascii="宋体" w:hAnsi="宋体" w:eastAsia="宋体" w:cs="宋体"/>
          <w:spacing w:val="-3"/>
          <w:sz w:val="24"/>
          <w:szCs w:val="24"/>
        </w:rPr>
        <w:t>5.2 款修改为：</w:t>
      </w:r>
      <w:r>
        <w:rPr>
          <w:rFonts w:hint="eastAsia" w:ascii="宋体" w:hAnsi="宋体" w:eastAsia="宋体" w:cs="宋体"/>
          <w:spacing w:val="-1"/>
          <w:sz w:val="24"/>
          <w:szCs w:val="24"/>
          <w:highlight w:val="none"/>
          <w:lang w:eastAsia="zh-CN"/>
        </w:rPr>
        <w:t>本项目发包人不</w:t>
      </w:r>
      <w:r>
        <w:rPr>
          <w:rFonts w:hint="eastAsia" w:ascii="宋体" w:hAnsi="宋体" w:eastAsia="宋体" w:cs="宋体"/>
          <w:b/>
          <w:bCs/>
          <w:spacing w:val="-2"/>
          <w:sz w:val="24"/>
          <w:szCs w:val="24"/>
          <w:highlight w:val="none"/>
        </w:rPr>
        <w:t>提供养护站点设施、设备和材料</w:t>
      </w:r>
    </w:p>
    <w:p w14:paraId="0A89FBA1">
      <w:pPr>
        <w:spacing w:before="78" w:line="220" w:lineRule="auto"/>
        <w:ind w:left="580"/>
        <w:outlineLvl w:val="3"/>
        <w:rPr>
          <w:rFonts w:hint="eastAsia" w:ascii="宋体" w:hAnsi="宋体" w:eastAsia="宋体" w:cs="宋体"/>
          <w:sz w:val="24"/>
          <w:szCs w:val="24"/>
        </w:rPr>
      </w:pPr>
      <w:bookmarkStart w:id="189" w:name="bookmark153"/>
      <w:bookmarkEnd w:id="189"/>
      <w:bookmarkStart w:id="190" w:name="bookmark154"/>
      <w:bookmarkEnd w:id="190"/>
      <w:r>
        <w:rPr>
          <w:rFonts w:hint="eastAsia" w:ascii="宋体" w:hAnsi="宋体" w:eastAsia="宋体" w:cs="宋体"/>
          <w:b/>
          <w:bCs/>
          <w:spacing w:val="-3"/>
          <w:sz w:val="24"/>
          <w:szCs w:val="24"/>
        </w:rPr>
        <w:t>10.  进度计划</w:t>
      </w:r>
    </w:p>
    <w:p w14:paraId="5678EDC5">
      <w:pPr>
        <w:spacing w:before="115" w:line="219" w:lineRule="auto"/>
        <w:ind w:left="574"/>
        <w:rPr>
          <w:rFonts w:hint="eastAsia" w:ascii="宋体" w:hAnsi="宋体" w:eastAsia="宋体" w:cs="宋体"/>
          <w:sz w:val="24"/>
          <w:szCs w:val="24"/>
        </w:rPr>
      </w:pPr>
      <w:r>
        <w:rPr>
          <w:rFonts w:hint="eastAsia" w:ascii="宋体" w:hAnsi="宋体" w:eastAsia="宋体" w:cs="宋体"/>
          <w:spacing w:val="-4"/>
          <w:sz w:val="24"/>
          <w:szCs w:val="24"/>
        </w:rPr>
        <w:t>第</w:t>
      </w:r>
      <w:r>
        <w:rPr>
          <w:rFonts w:hint="eastAsia" w:ascii="宋体" w:hAnsi="宋体" w:eastAsia="宋体" w:cs="宋体"/>
          <w:spacing w:val="-27"/>
          <w:sz w:val="24"/>
          <w:szCs w:val="24"/>
        </w:rPr>
        <w:t xml:space="preserve"> </w:t>
      </w:r>
      <w:r>
        <w:rPr>
          <w:rFonts w:hint="eastAsia" w:ascii="宋体" w:hAnsi="宋体" w:eastAsia="宋体" w:cs="宋体"/>
          <w:spacing w:val="-4"/>
          <w:sz w:val="24"/>
          <w:szCs w:val="24"/>
        </w:rPr>
        <w:t>10.1 款修改为：</w:t>
      </w:r>
    </w:p>
    <w:p w14:paraId="17FC68C8">
      <w:pPr>
        <w:spacing w:before="113" w:line="220" w:lineRule="auto"/>
        <w:ind w:left="580"/>
        <w:outlineLvl w:val="4"/>
        <w:rPr>
          <w:rFonts w:hint="eastAsia" w:ascii="宋体" w:hAnsi="宋体" w:eastAsia="宋体" w:cs="宋体"/>
          <w:sz w:val="24"/>
          <w:szCs w:val="24"/>
        </w:rPr>
      </w:pPr>
      <w:r>
        <w:rPr>
          <w:rFonts w:hint="eastAsia" w:ascii="宋体" w:hAnsi="宋体" w:eastAsia="宋体" w:cs="宋体"/>
          <w:b/>
          <w:bCs/>
          <w:spacing w:val="-3"/>
          <w:sz w:val="24"/>
          <w:szCs w:val="24"/>
        </w:rPr>
        <w:t>10.1  合同进度计划</w:t>
      </w:r>
    </w:p>
    <w:p w14:paraId="2A2DDB88">
      <w:pPr>
        <w:spacing w:before="124" w:line="220" w:lineRule="auto"/>
        <w:ind w:left="592"/>
        <w:rPr>
          <w:rFonts w:hint="eastAsia" w:ascii="宋体" w:hAnsi="宋体" w:eastAsia="宋体" w:cs="宋体"/>
          <w:sz w:val="24"/>
          <w:szCs w:val="24"/>
        </w:rPr>
      </w:pPr>
      <w:r>
        <w:rPr>
          <w:rFonts w:hint="eastAsia" w:ascii="宋体" w:hAnsi="宋体" w:eastAsia="宋体" w:cs="宋体"/>
          <w:spacing w:val="-2"/>
          <w:sz w:val="24"/>
          <w:szCs w:val="24"/>
        </w:rPr>
        <w:t>10.1.1  项目总体进度计划</w:t>
      </w:r>
    </w:p>
    <w:p w14:paraId="41AF2568">
      <w:pPr>
        <w:spacing w:before="112" w:line="308" w:lineRule="auto"/>
        <w:ind w:left="96" w:firstLine="478"/>
        <w:rPr>
          <w:rFonts w:hint="eastAsia" w:ascii="宋体" w:hAnsi="宋体" w:eastAsia="宋体" w:cs="宋体"/>
          <w:color w:val="auto"/>
          <w:sz w:val="24"/>
          <w:szCs w:val="24"/>
          <w:highlight w:val="none"/>
        </w:rPr>
      </w:pPr>
      <w:r>
        <w:rPr>
          <w:rFonts w:hint="eastAsia" w:ascii="宋体" w:hAnsi="宋体" w:eastAsia="宋体" w:cs="宋体"/>
          <w:spacing w:val="3"/>
          <w:sz w:val="24"/>
          <w:szCs w:val="24"/>
        </w:rPr>
        <w:t>承包人应在项目约定的执行周期开始前</w:t>
      </w:r>
      <w:r>
        <w:rPr>
          <w:rFonts w:hint="eastAsia" w:ascii="宋体" w:hAnsi="宋体" w:eastAsia="宋体" w:cs="宋体"/>
          <w:spacing w:val="-100"/>
          <w:sz w:val="24"/>
          <w:szCs w:val="24"/>
        </w:rPr>
        <w:t xml:space="preserve"> </w:t>
      </w:r>
      <w:r>
        <w:rPr>
          <w:rFonts w:hint="eastAsia" w:ascii="宋体" w:hAnsi="宋体" w:eastAsia="宋体" w:cs="宋体"/>
          <w:spacing w:val="5"/>
          <w:sz w:val="24"/>
          <w:szCs w:val="24"/>
          <w:u w:val="single"/>
        </w:rPr>
        <w:t xml:space="preserve">  </w:t>
      </w:r>
      <w:r>
        <w:rPr>
          <w:rFonts w:hint="eastAsia" w:ascii="宋体" w:hAnsi="宋体" w:eastAsia="宋体" w:cs="宋体"/>
          <w:color w:val="auto"/>
          <w:spacing w:val="5"/>
          <w:sz w:val="24"/>
          <w:szCs w:val="24"/>
          <w:highlight w:val="none"/>
          <w:u w:val="single"/>
          <w:lang w:val="en-US" w:eastAsia="zh-CN"/>
        </w:rPr>
        <w:t>7</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06"/>
          <w:sz w:val="24"/>
          <w:szCs w:val="24"/>
          <w:highlight w:val="none"/>
        </w:rPr>
        <w:t xml:space="preserve"> </w:t>
      </w:r>
      <w:r>
        <w:rPr>
          <w:rFonts w:hint="eastAsia" w:ascii="宋体" w:hAnsi="宋体" w:eastAsia="宋体" w:cs="宋体"/>
          <w:color w:val="auto"/>
          <w:spacing w:val="3"/>
          <w:sz w:val="24"/>
          <w:szCs w:val="24"/>
          <w:highlight w:val="none"/>
        </w:rPr>
        <w:t>天内向发包人报送项目</w:t>
      </w:r>
      <w:r>
        <w:rPr>
          <w:rFonts w:hint="eastAsia" w:ascii="宋体" w:hAnsi="宋体" w:eastAsia="宋体" w:cs="宋体"/>
          <w:color w:val="auto"/>
          <w:spacing w:val="1"/>
          <w:sz w:val="24"/>
          <w:szCs w:val="24"/>
          <w:highlight w:val="none"/>
        </w:rPr>
        <w:t>总体进度计划，包括整个合同期的总体规划安排、重</w:t>
      </w:r>
      <w:r>
        <w:rPr>
          <w:rFonts w:hint="eastAsia" w:ascii="宋体" w:hAnsi="宋体" w:eastAsia="宋体" w:cs="宋体"/>
          <w:color w:val="auto"/>
          <w:sz w:val="24"/>
          <w:szCs w:val="24"/>
          <w:highlight w:val="none"/>
        </w:rPr>
        <w:t>要内容说明，以及为完成该项</w:t>
      </w:r>
      <w:r>
        <w:rPr>
          <w:rFonts w:hint="eastAsia" w:ascii="宋体" w:hAnsi="宋体" w:eastAsia="宋体" w:cs="宋体"/>
          <w:color w:val="auto"/>
          <w:spacing w:val="1"/>
          <w:sz w:val="24"/>
          <w:szCs w:val="24"/>
          <w:highlight w:val="none"/>
        </w:rPr>
        <w:t>目拟建立的组织机构图表等。发包人</w:t>
      </w:r>
      <w:r>
        <w:rPr>
          <w:rFonts w:hint="eastAsia" w:ascii="宋体" w:hAnsi="宋体" w:eastAsia="宋体" w:cs="宋体"/>
          <w:color w:val="auto"/>
          <w:sz w:val="24"/>
          <w:szCs w:val="24"/>
          <w:highlight w:val="none"/>
        </w:rPr>
        <w:t>应在承包人提交项目总体进度计划</w:t>
      </w:r>
      <w:r>
        <w:rPr>
          <w:rFonts w:hint="eastAsia" w:ascii="宋体" w:hAnsi="宋体" w:eastAsia="宋体" w:cs="宋体"/>
          <w:color w:val="auto"/>
          <w:spacing w:val="3"/>
          <w:sz w:val="24"/>
          <w:szCs w:val="24"/>
          <w:highlight w:val="none"/>
        </w:rPr>
        <w:t>的</w:t>
      </w:r>
      <w:r>
        <w:rPr>
          <w:rFonts w:hint="eastAsia" w:ascii="宋体" w:hAnsi="宋体" w:eastAsia="宋体" w:cs="宋体"/>
          <w:color w:val="auto"/>
          <w:spacing w:val="-106"/>
          <w:sz w:val="24"/>
          <w:szCs w:val="24"/>
          <w:highlight w:val="none"/>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u w:val="single"/>
          <w:lang w:val="en-US" w:eastAsia="zh-CN"/>
        </w:rPr>
        <w:t>7</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105"/>
          <w:sz w:val="24"/>
          <w:szCs w:val="24"/>
          <w:highlight w:val="none"/>
        </w:rPr>
        <w:t xml:space="preserve"> </w:t>
      </w:r>
      <w:r>
        <w:rPr>
          <w:rFonts w:hint="eastAsia" w:ascii="宋体" w:hAnsi="宋体" w:eastAsia="宋体" w:cs="宋体"/>
          <w:color w:val="auto"/>
          <w:spacing w:val="3"/>
          <w:sz w:val="24"/>
          <w:szCs w:val="24"/>
          <w:highlight w:val="none"/>
        </w:rPr>
        <w:t>天内予以批复或提出修改意见，否则该项目总体进度计划视为已得到批准。</w:t>
      </w:r>
      <w:r>
        <w:rPr>
          <w:rFonts w:hint="eastAsia" w:ascii="宋体" w:hAnsi="宋体" w:eastAsia="宋体" w:cs="宋体"/>
          <w:color w:val="auto"/>
          <w:sz w:val="24"/>
          <w:szCs w:val="24"/>
          <w:highlight w:val="none"/>
        </w:rPr>
        <w:t>经发包人批准的项目总体进度计划是控</w:t>
      </w:r>
      <w:r>
        <w:rPr>
          <w:rFonts w:hint="eastAsia" w:ascii="宋体" w:hAnsi="宋体" w:eastAsia="宋体" w:cs="宋体"/>
          <w:color w:val="auto"/>
          <w:spacing w:val="-1"/>
          <w:sz w:val="24"/>
          <w:szCs w:val="24"/>
          <w:highlight w:val="none"/>
        </w:rPr>
        <w:t>制项目执行总体进度的依据。</w:t>
      </w:r>
    </w:p>
    <w:p w14:paraId="35E25288">
      <w:pPr>
        <w:spacing w:line="21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10.1.2  年度进度计划</w:t>
      </w:r>
    </w:p>
    <w:p w14:paraId="53D2B3C6">
      <w:pPr>
        <w:spacing w:before="113" w:line="308" w:lineRule="auto"/>
        <w:ind w:left="92" w:firstLine="481"/>
        <w:rPr>
          <w:rFonts w:hint="eastAsia" w:ascii="宋体" w:hAnsi="宋体" w:eastAsia="宋体" w:cs="宋体"/>
          <w:sz w:val="24"/>
          <w:szCs w:val="24"/>
        </w:rPr>
      </w:pPr>
      <w:r>
        <w:rPr>
          <w:rFonts w:hint="eastAsia" w:ascii="宋体" w:hAnsi="宋体" w:eastAsia="宋体" w:cs="宋体"/>
          <w:color w:val="auto"/>
          <w:spacing w:val="3"/>
          <w:sz w:val="24"/>
          <w:szCs w:val="24"/>
          <w:highlight w:val="none"/>
        </w:rPr>
        <w:t>承包人应在每个合同年度周期开始前</w:t>
      </w:r>
      <w:r>
        <w:rPr>
          <w:rFonts w:hint="eastAsia" w:ascii="宋体" w:hAnsi="宋体" w:eastAsia="宋体" w:cs="宋体"/>
          <w:color w:val="auto"/>
          <w:spacing w:val="-102"/>
          <w:sz w:val="24"/>
          <w:szCs w:val="24"/>
          <w:highlight w:val="none"/>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u w:val="single"/>
          <w:lang w:val="en-US" w:eastAsia="zh-CN"/>
        </w:rPr>
        <w:t>7</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103"/>
          <w:sz w:val="24"/>
          <w:szCs w:val="24"/>
          <w:highlight w:val="none"/>
        </w:rPr>
        <w:t xml:space="preserve"> </w:t>
      </w:r>
      <w:r>
        <w:rPr>
          <w:rFonts w:hint="eastAsia" w:ascii="宋体" w:hAnsi="宋体" w:eastAsia="宋体" w:cs="宋体"/>
          <w:color w:val="auto"/>
          <w:spacing w:val="3"/>
          <w:sz w:val="24"/>
          <w:szCs w:val="24"/>
          <w:highlight w:val="none"/>
        </w:rPr>
        <w:t>天内向发包人报送年度进</w:t>
      </w:r>
      <w:r>
        <w:rPr>
          <w:rFonts w:hint="eastAsia" w:ascii="宋体" w:hAnsi="宋体" w:eastAsia="宋体" w:cs="宋体"/>
          <w:color w:val="auto"/>
          <w:spacing w:val="1"/>
          <w:sz w:val="24"/>
          <w:szCs w:val="24"/>
          <w:highlight w:val="none"/>
        </w:rPr>
        <w:t>度计划，包括年度工作的详细计划安排、工作目标、年度养护</w:t>
      </w:r>
      <w:r>
        <w:rPr>
          <w:rFonts w:hint="eastAsia" w:ascii="宋体" w:hAnsi="宋体" w:eastAsia="宋体" w:cs="宋体"/>
          <w:color w:val="auto"/>
          <w:sz w:val="24"/>
          <w:szCs w:val="24"/>
          <w:highlight w:val="none"/>
        </w:rPr>
        <w:t>工程实施进度、养护</w:t>
      </w:r>
      <w:r>
        <w:rPr>
          <w:rFonts w:hint="eastAsia" w:ascii="宋体" w:hAnsi="宋体" w:eastAsia="宋体" w:cs="宋体"/>
          <w:color w:val="auto"/>
          <w:spacing w:val="1"/>
          <w:sz w:val="24"/>
          <w:szCs w:val="24"/>
          <w:highlight w:val="none"/>
        </w:rPr>
        <w:t>工程总量及具体方案、养护技术方案说明。发包人</w:t>
      </w:r>
      <w:r>
        <w:rPr>
          <w:rFonts w:hint="eastAsia" w:ascii="宋体" w:hAnsi="宋体" w:eastAsia="宋体" w:cs="宋体"/>
          <w:color w:val="auto"/>
          <w:sz w:val="24"/>
          <w:szCs w:val="24"/>
          <w:highlight w:val="none"/>
        </w:rPr>
        <w:t>应在承包人提交年度</w:t>
      </w:r>
      <w:r>
        <w:rPr>
          <w:rFonts w:hint="eastAsia" w:ascii="宋体" w:hAnsi="宋体" w:eastAsia="宋体" w:cs="宋体"/>
          <w:color w:val="auto"/>
          <w:spacing w:val="3"/>
          <w:sz w:val="24"/>
          <w:szCs w:val="24"/>
          <w:highlight w:val="none"/>
        </w:rPr>
        <w:t>进度计划的</w:t>
      </w:r>
      <w:r>
        <w:rPr>
          <w:rFonts w:hint="eastAsia" w:ascii="宋体" w:hAnsi="宋体" w:eastAsia="宋体" w:cs="宋体"/>
          <w:color w:val="auto"/>
          <w:spacing w:val="-104"/>
          <w:sz w:val="24"/>
          <w:szCs w:val="24"/>
          <w:highlight w:val="none"/>
        </w:rPr>
        <w:t xml:space="preserve"> </w:t>
      </w:r>
      <w:r>
        <w:rPr>
          <w:rFonts w:hint="eastAsia" w:ascii="宋体" w:hAnsi="宋体" w:eastAsia="宋体" w:cs="宋体"/>
          <w:color w:val="auto"/>
          <w:spacing w:val="4"/>
          <w:sz w:val="24"/>
          <w:szCs w:val="24"/>
          <w:highlight w:val="none"/>
          <w:u w:val="single"/>
        </w:rPr>
        <w:t xml:space="preserve"> 7  </w:t>
      </w:r>
      <w:r>
        <w:rPr>
          <w:rFonts w:hint="eastAsia" w:ascii="宋体" w:hAnsi="宋体" w:eastAsia="宋体" w:cs="宋体"/>
          <w:color w:val="auto"/>
          <w:spacing w:val="-105"/>
          <w:sz w:val="24"/>
          <w:szCs w:val="24"/>
          <w:highlight w:val="none"/>
        </w:rPr>
        <w:t xml:space="preserve"> </w:t>
      </w:r>
      <w:r>
        <w:rPr>
          <w:rFonts w:hint="eastAsia" w:ascii="宋体" w:hAnsi="宋体" w:eastAsia="宋体" w:cs="宋体"/>
          <w:color w:val="auto"/>
          <w:spacing w:val="3"/>
          <w:sz w:val="24"/>
          <w:szCs w:val="24"/>
          <w:highlight w:val="none"/>
        </w:rPr>
        <w:t>天内予以批复或提出修改意见，否则该项目年度进度计划视为已得</w:t>
      </w:r>
      <w:r>
        <w:rPr>
          <w:rFonts w:hint="eastAsia" w:ascii="宋体" w:hAnsi="宋体" w:eastAsia="宋体" w:cs="宋体"/>
          <w:color w:val="auto"/>
          <w:spacing w:val="1"/>
          <w:sz w:val="24"/>
          <w:szCs w:val="24"/>
          <w:highlight w:val="none"/>
        </w:rPr>
        <w:t>到批准。经发包人批准的年度进度计划是控制</w:t>
      </w:r>
      <w:r>
        <w:rPr>
          <w:rFonts w:hint="eastAsia" w:ascii="宋体" w:hAnsi="宋体" w:eastAsia="宋体" w:cs="宋体"/>
          <w:color w:val="auto"/>
          <w:sz w:val="24"/>
          <w:szCs w:val="24"/>
          <w:highlight w:val="none"/>
        </w:rPr>
        <w:t>当年度项目执行</w:t>
      </w:r>
      <w:r>
        <w:rPr>
          <w:rFonts w:hint="eastAsia" w:ascii="宋体" w:hAnsi="宋体" w:eastAsia="宋体" w:cs="宋体"/>
          <w:sz w:val="24"/>
          <w:szCs w:val="24"/>
        </w:rPr>
        <w:t>进度的依</w:t>
      </w:r>
      <w:r>
        <w:rPr>
          <w:rFonts w:hint="eastAsia" w:ascii="宋体" w:hAnsi="宋体" w:eastAsia="宋体" w:cs="宋体"/>
          <w:spacing w:val="-4"/>
          <w:sz w:val="24"/>
          <w:szCs w:val="24"/>
        </w:rPr>
        <w:t>据。</w:t>
      </w:r>
    </w:p>
    <w:p w14:paraId="6A048B78">
      <w:pPr>
        <w:spacing w:before="2" w:line="303" w:lineRule="auto"/>
        <w:ind w:left="94" w:right="2" w:firstLine="480"/>
        <w:rPr>
          <w:rFonts w:hint="eastAsia" w:ascii="宋体" w:hAnsi="宋体" w:eastAsia="宋体" w:cs="宋体"/>
          <w:sz w:val="24"/>
          <w:szCs w:val="24"/>
        </w:rPr>
      </w:pPr>
      <w:r>
        <w:rPr>
          <w:rFonts w:hint="eastAsia" w:ascii="宋体" w:hAnsi="宋体" w:eastAsia="宋体" w:cs="宋体"/>
          <w:spacing w:val="1"/>
          <w:sz w:val="24"/>
          <w:szCs w:val="24"/>
        </w:rPr>
        <w:t>年度进度计划批准后，承包人应书面提交当年度养</w:t>
      </w:r>
      <w:r>
        <w:rPr>
          <w:rFonts w:hint="eastAsia" w:ascii="宋体" w:hAnsi="宋体" w:eastAsia="宋体" w:cs="宋体"/>
          <w:sz w:val="24"/>
          <w:szCs w:val="24"/>
        </w:rPr>
        <w:t>护工程实施承诺书，并经发包</w:t>
      </w:r>
      <w:r>
        <w:rPr>
          <w:rFonts w:hint="eastAsia" w:ascii="宋体" w:hAnsi="宋体" w:eastAsia="宋体" w:cs="宋体"/>
          <w:spacing w:val="-1"/>
          <w:sz w:val="24"/>
          <w:szCs w:val="24"/>
        </w:rPr>
        <w:t>人审核、发包人批准，确保按规范执行。</w:t>
      </w:r>
    </w:p>
    <w:p w14:paraId="6BB04C80">
      <w:pPr>
        <w:spacing w:line="219" w:lineRule="auto"/>
        <w:ind w:left="592"/>
        <w:rPr>
          <w:rFonts w:hint="eastAsia" w:ascii="宋体" w:hAnsi="宋体" w:eastAsia="宋体" w:cs="宋体"/>
          <w:sz w:val="24"/>
          <w:szCs w:val="24"/>
          <w:lang w:eastAsia="zh-CN"/>
        </w:rPr>
      </w:pPr>
      <w:r>
        <w:rPr>
          <w:rFonts w:hint="eastAsia" w:ascii="宋体" w:hAnsi="宋体" w:eastAsia="宋体" w:cs="宋体"/>
          <w:spacing w:val="-7"/>
          <w:sz w:val="24"/>
          <w:szCs w:val="24"/>
          <w:lang w:eastAsia="zh-CN"/>
        </w:rPr>
        <w:t>10.1.3</w:t>
      </w:r>
      <w:r>
        <w:rPr>
          <w:rFonts w:hint="eastAsia" w:ascii="宋体" w:hAnsi="宋体" w:eastAsia="宋体" w:cs="宋体"/>
          <w:spacing w:val="27"/>
          <w:sz w:val="24"/>
          <w:szCs w:val="24"/>
          <w:lang w:eastAsia="zh-CN"/>
        </w:rPr>
        <w:t xml:space="preserve">  </w:t>
      </w:r>
      <w:r>
        <w:rPr>
          <w:rFonts w:hint="eastAsia" w:ascii="宋体" w:hAnsi="宋体" w:eastAsia="宋体" w:cs="宋体"/>
          <w:spacing w:val="-7"/>
          <w:sz w:val="24"/>
          <w:szCs w:val="24"/>
          <w:lang w:eastAsia="zh-CN"/>
        </w:rPr>
        <w:t>日常养护计划</w:t>
      </w:r>
    </w:p>
    <w:p w14:paraId="43DDEC65">
      <w:pPr>
        <w:spacing w:before="115" w:line="308" w:lineRule="auto"/>
        <w:ind w:left="96" w:firstLine="48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eastAsia="zh-CN"/>
        </w:rPr>
        <w:t>主要针对日常养护中的日常性维修工作制定详细维修计划。承包人应在每月初上报日常养护计划，明确当月的日常性维修工作的主要内容、工作量等。维修计划经</w:t>
      </w:r>
      <w:r>
        <w:rPr>
          <w:rFonts w:hint="eastAsia" w:ascii="宋体" w:hAnsi="宋体" w:eastAsia="宋体" w:cs="宋体"/>
          <w:color w:val="000000"/>
          <w:kern w:val="0"/>
          <w:sz w:val="24"/>
          <w:szCs w:val="24"/>
          <w:highlight w:val="none"/>
          <w:lang w:val="en-US" w:eastAsia="zh-CN"/>
        </w:rPr>
        <w:t>发包人</w:t>
      </w:r>
      <w:r>
        <w:rPr>
          <w:rFonts w:hint="eastAsia" w:ascii="宋体" w:hAnsi="宋体" w:eastAsia="宋体" w:cs="宋体"/>
          <w:color w:val="000000"/>
          <w:kern w:val="0"/>
          <w:sz w:val="24"/>
          <w:szCs w:val="24"/>
          <w:highlight w:val="none"/>
          <w:lang w:eastAsia="zh-CN"/>
        </w:rPr>
        <w:t>审核后，承包人按计划组织实施。</w:t>
      </w:r>
    </w:p>
    <w:p w14:paraId="5BC4BEE2">
      <w:pPr>
        <w:spacing w:before="115" w:line="308" w:lineRule="auto"/>
        <w:ind w:left="96" w:firstLine="48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本</w:t>
      </w:r>
      <w:r>
        <w:rPr>
          <w:rFonts w:hint="eastAsia" w:ascii="宋体" w:hAnsi="宋体" w:eastAsia="宋体" w:cs="宋体"/>
          <w:color w:val="000000"/>
          <w:kern w:val="0"/>
          <w:sz w:val="24"/>
          <w:szCs w:val="24"/>
          <w:highlight w:val="none"/>
          <w:lang w:val="en-US" w:eastAsia="zh-CN"/>
        </w:rPr>
        <w:t>项</w:t>
      </w:r>
      <w:r>
        <w:rPr>
          <w:rFonts w:hint="eastAsia" w:ascii="宋体" w:hAnsi="宋体" w:eastAsia="宋体" w:cs="宋体"/>
          <w:color w:val="000000"/>
          <w:kern w:val="0"/>
          <w:sz w:val="24"/>
          <w:szCs w:val="24"/>
          <w:highlight w:val="none"/>
        </w:rPr>
        <w:t>补充：</w:t>
      </w:r>
    </w:p>
    <w:p w14:paraId="1AEC2BB6">
      <w:pPr>
        <w:spacing w:before="126" w:line="219" w:lineRule="auto"/>
        <w:ind w:left="0" w:firstLine="480" w:firstLineChars="200"/>
        <w:rPr>
          <w:rFonts w:hint="eastAsia" w:ascii="宋体" w:hAnsi="宋体" w:eastAsia="宋体" w:cs="宋体"/>
          <w:spacing w:val="-1"/>
          <w:sz w:val="24"/>
          <w:szCs w:val="24"/>
        </w:rPr>
      </w:pPr>
      <w:r>
        <w:rPr>
          <w:rFonts w:hint="eastAsia" w:ascii="宋体" w:hAnsi="宋体" w:eastAsia="宋体" w:cs="宋体"/>
          <w:color w:val="000000"/>
          <w:kern w:val="0"/>
          <w:sz w:val="24"/>
          <w:szCs w:val="24"/>
          <w:highlight w:val="none"/>
        </w:rPr>
        <w:t>承包人应在每月下旬向发包人提交下月的</w:t>
      </w:r>
      <w:r>
        <w:rPr>
          <w:rFonts w:hint="eastAsia" w:ascii="宋体" w:hAnsi="宋体" w:eastAsia="宋体" w:cs="宋体"/>
          <w:color w:val="000000"/>
          <w:kern w:val="0"/>
          <w:sz w:val="24"/>
          <w:szCs w:val="24"/>
          <w:highlight w:val="none"/>
          <w:lang w:val="en-US" w:eastAsia="zh-CN"/>
        </w:rPr>
        <w:t>日常养护（包含日常保洁、日常维修）</w:t>
      </w:r>
      <w:r>
        <w:rPr>
          <w:rFonts w:hint="eastAsia" w:ascii="宋体" w:hAnsi="宋体" w:eastAsia="宋体" w:cs="宋体"/>
          <w:color w:val="000000"/>
          <w:kern w:val="0"/>
          <w:sz w:val="24"/>
          <w:szCs w:val="24"/>
          <w:highlight w:val="none"/>
        </w:rPr>
        <w:t>月度作业计划报发包人审批，发包人也可以在每月下旬直接向承包人下达下月</w:t>
      </w:r>
      <w:r>
        <w:rPr>
          <w:rFonts w:hint="eastAsia" w:ascii="宋体" w:hAnsi="宋体" w:eastAsia="宋体" w:cs="宋体"/>
          <w:color w:val="000000"/>
          <w:kern w:val="0"/>
          <w:sz w:val="24"/>
          <w:szCs w:val="24"/>
          <w:highlight w:val="none"/>
          <w:lang w:val="en-US" w:eastAsia="zh-CN"/>
        </w:rPr>
        <w:t>日常养护</w:t>
      </w:r>
      <w:r>
        <w:rPr>
          <w:rFonts w:hint="eastAsia" w:ascii="宋体" w:hAnsi="宋体" w:eastAsia="宋体" w:cs="宋体"/>
          <w:color w:val="000000"/>
          <w:kern w:val="0"/>
          <w:sz w:val="24"/>
          <w:szCs w:val="24"/>
          <w:highlight w:val="none"/>
        </w:rPr>
        <w:t>月度作业计划或根据实际需要临时下达工作指令，承包人应按批准的</w:t>
      </w:r>
      <w:r>
        <w:rPr>
          <w:rFonts w:hint="eastAsia" w:ascii="宋体" w:hAnsi="宋体" w:eastAsia="宋体" w:cs="宋体"/>
          <w:color w:val="000000"/>
          <w:kern w:val="0"/>
          <w:sz w:val="24"/>
          <w:szCs w:val="24"/>
          <w:highlight w:val="none"/>
          <w:lang w:val="en-US" w:eastAsia="zh-CN"/>
        </w:rPr>
        <w:t>日常养护</w:t>
      </w:r>
      <w:r>
        <w:rPr>
          <w:rFonts w:hint="eastAsia" w:ascii="宋体" w:hAnsi="宋体" w:eastAsia="宋体" w:cs="宋体"/>
          <w:color w:val="000000"/>
          <w:kern w:val="0"/>
          <w:sz w:val="24"/>
          <w:szCs w:val="24"/>
          <w:highlight w:val="none"/>
        </w:rPr>
        <w:t>月度作业计划和工作指令执行</w:t>
      </w:r>
      <w:r>
        <w:rPr>
          <w:rFonts w:hint="eastAsia" w:ascii="宋体" w:hAnsi="宋体" w:eastAsia="宋体" w:cs="宋体"/>
          <w:color w:val="000000"/>
          <w:kern w:val="0"/>
          <w:sz w:val="24"/>
          <w:szCs w:val="24"/>
          <w:highlight w:val="none"/>
          <w:lang w:eastAsia="zh-CN"/>
        </w:rPr>
        <w:t>。</w:t>
      </w:r>
    </w:p>
    <w:p w14:paraId="4DE60A5B">
      <w:pPr>
        <w:spacing w:before="78" w:line="308" w:lineRule="auto"/>
        <w:ind w:left="3" w:right="18" w:firstLine="476"/>
        <w:rPr>
          <w:rFonts w:hint="eastAsia" w:ascii="宋体" w:hAnsi="宋体" w:eastAsia="宋体" w:cs="宋体"/>
          <w:spacing w:val="-2"/>
          <w:sz w:val="24"/>
          <w:szCs w:val="24"/>
        </w:rPr>
      </w:pPr>
      <w:r>
        <w:rPr>
          <w:rFonts w:hint="eastAsia" w:ascii="宋体" w:hAnsi="宋体" w:eastAsia="宋体" w:cs="宋体"/>
          <w:spacing w:val="-1"/>
          <w:sz w:val="24"/>
          <w:szCs w:val="24"/>
        </w:rPr>
        <w:t>10.1.4  应急和不可预见养护工程（工作）实</w:t>
      </w:r>
      <w:r>
        <w:rPr>
          <w:rFonts w:hint="eastAsia" w:ascii="宋体" w:hAnsi="宋体" w:eastAsia="宋体" w:cs="宋体"/>
          <w:spacing w:val="-2"/>
          <w:sz w:val="24"/>
          <w:szCs w:val="24"/>
        </w:rPr>
        <w:t>施方案</w:t>
      </w:r>
    </w:p>
    <w:p w14:paraId="661E9DDA">
      <w:pPr>
        <w:spacing w:before="78" w:line="308" w:lineRule="auto"/>
        <w:ind w:left="3" w:right="18" w:firstLine="476"/>
        <w:rPr>
          <w:rFonts w:hint="eastAsia" w:ascii="宋体" w:hAnsi="宋体" w:eastAsia="宋体" w:cs="宋体"/>
          <w:sz w:val="24"/>
          <w:szCs w:val="24"/>
        </w:rPr>
      </w:pPr>
      <w:r>
        <w:rPr>
          <w:rFonts w:hint="eastAsia" w:ascii="宋体" w:hAnsi="宋体" w:eastAsia="宋体" w:cs="宋体"/>
          <w:spacing w:val="4"/>
          <w:sz w:val="24"/>
          <w:szCs w:val="24"/>
        </w:rPr>
        <w:t>对于应急和不可预见养护工程（工作</w:t>
      </w:r>
      <w:r>
        <w:rPr>
          <w:rFonts w:hint="eastAsia" w:ascii="宋体" w:hAnsi="宋体" w:eastAsia="宋体" w:cs="宋体"/>
          <w:spacing w:val="-48"/>
          <w:sz w:val="24"/>
          <w:szCs w:val="24"/>
        </w:rPr>
        <w:t>），</w:t>
      </w:r>
      <w:r>
        <w:rPr>
          <w:rFonts w:hint="eastAsia" w:ascii="宋体" w:hAnsi="宋体" w:eastAsia="宋体" w:cs="宋体"/>
          <w:spacing w:val="4"/>
          <w:sz w:val="24"/>
          <w:szCs w:val="24"/>
        </w:rPr>
        <w:t>承包人在巡查中发</w:t>
      </w:r>
      <w:r>
        <w:rPr>
          <w:rFonts w:hint="eastAsia" w:ascii="宋体" w:hAnsi="宋体" w:eastAsia="宋体" w:cs="宋体"/>
          <w:spacing w:val="3"/>
          <w:sz w:val="24"/>
          <w:szCs w:val="24"/>
        </w:rPr>
        <w:t>现突发性道路病害</w:t>
      </w:r>
      <w:r>
        <w:rPr>
          <w:rFonts w:hint="eastAsia" w:ascii="宋体" w:hAnsi="宋体" w:eastAsia="宋体" w:cs="宋体"/>
          <w:spacing w:val="1"/>
          <w:sz w:val="24"/>
          <w:szCs w:val="24"/>
        </w:rPr>
        <w:t>或安全隐患时，需第一时间进行现场应急处理</w:t>
      </w:r>
      <w:r>
        <w:rPr>
          <w:rFonts w:hint="eastAsia" w:ascii="宋体" w:hAnsi="宋体" w:eastAsia="宋体" w:cs="宋体"/>
          <w:sz w:val="24"/>
          <w:szCs w:val="24"/>
        </w:rPr>
        <w:t>，同步向发包人上报问题</w:t>
      </w:r>
      <w:r>
        <w:rPr>
          <w:rFonts w:hint="eastAsia" w:ascii="宋体" w:hAnsi="宋体" w:eastAsia="宋体" w:cs="宋体"/>
          <w:spacing w:val="7"/>
          <w:sz w:val="24"/>
          <w:szCs w:val="24"/>
        </w:rPr>
        <w:t>详情及拟采取的维修措施。应急和不可预见养护工程（工作）实施方案经发包人</w:t>
      </w:r>
      <w:r>
        <w:rPr>
          <w:rFonts w:hint="eastAsia" w:ascii="宋体" w:hAnsi="宋体" w:eastAsia="宋体" w:cs="宋体"/>
          <w:spacing w:val="-1"/>
          <w:sz w:val="24"/>
          <w:szCs w:val="24"/>
        </w:rPr>
        <w:t>审核批准后，承包人应及时组织实施。</w:t>
      </w:r>
    </w:p>
    <w:p w14:paraId="62A5B2D4">
      <w:pPr>
        <w:spacing w:before="2" w:line="307" w:lineRule="auto"/>
        <w:ind w:right="18" w:firstLine="499"/>
        <w:rPr>
          <w:rFonts w:hint="eastAsia" w:ascii="宋体" w:hAnsi="宋体" w:eastAsia="宋体" w:cs="宋体"/>
          <w:b/>
          <w:bCs/>
          <w:spacing w:val="-3"/>
          <w:sz w:val="24"/>
          <w:szCs w:val="24"/>
          <w:highlight w:val="green"/>
        </w:rPr>
      </w:pPr>
      <w:r>
        <w:rPr>
          <w:rFonts w:hint="eastAsia" w:ascii="宋体" w:hAnsi="宋体" w:eastAsia="宋体" w:cs="宋体"/>
          <w:sz w:val="24"/>
          <w:szCs w:val="24"/>
        </w:rPr>
        <w:t>10.1.5  若承包人的实际进度滞后于或明显将要滞后于所述的计划，承包人应编</w:t>
      </w:r>
      <w:r>
        <w:rPr>
          <w:rFonts w:hint="eastAsia" w:ascii="宋体" w:hAnsi="宋体" w:eastAsia="宋体" w:cs="宋体"/>
          <w:spacing w:val="3"/>
          <w:sz w:val="24"/>
          <w:szCs w:val="24"/>
        </w:rPr>
        <w:t>制修改计划并提交给发包人</w:t>
      </w:r>
      <w:r>
        <w:rPr>
          <w:rFonts w:hint="eastAsia" w:ascii="宋体" w:hAnsi="宋体" w:eastAsia="宋体" w:cs="宋体"/>
          <w:spacing w:val="-39"/>
          <w:sz w:val="24"/>
          <w:szCs w:val="24"/>
        </w:rPr>
        <w:t>，</w:t>
      </w:r>
      <w:r>
        <w:rPr>
          <w:rFonts w:hint="eastAsia" w:ascii="宋体" w:hAnsi="宋体" w:eastAsia="宋体" w:cs="宋体"/>
          <w:spacing w:val="3"/>
          <w:sz w:val="24"/>
          <w:szCs w:val="24"/>
        </w:rPr>
        <w:t>并通知发包人加快工作进度拟</w:t>
      </w:r>
      <w:r>
        <w:rPr>
          <w:rFonts w:hint="eastAsia" w:ascii="宋体" w:hAnsi="宋体" w:eastAsia="宋体" w:cs="宋体"/>
          <w:spacing w:val="-2"/>
          <w:sz w:val="24"/>
          <w:szCs w:val="24"/>
        </w:rPr>
        <w:t>采取的措施。</w:t>
      </w:r>
      <w:bookmarkStart w:id="191" w:name="bookmark155"/>
      <w:bookmarkEnd w:id="191"/>
      <w:bookmarkStart w:id="192" w:name="bookmark156"/>
      <w:bookmarkEnd w:id="192"/>
      <w:r>
        <w:rPr>
          <w:rFonts w:hint="eastAsia" w:ascii="宋体" w:hAnsi="宋体" w:eastAsia="宋体" w:cs="宋体"/>
          <w:spacing w:val="2"/>
          <w:sz w:val="24"/>
          <w:szCs w:val="24"/>
          <w:highlight w:val="none"/>
          <w:lang w:eastAsia="zh-CN"/>
        </w:rPr>
        <w:t>承包人拒不整改或整改不彻底的，发包人有权</w:t>
      </w:r>
      <w:r>
        <w:rPr>
          <w:rFonts w:hint="eastAsia" w:ascii="宋体" w:hAnsi="宋体" w:eastAsia="宋体" w:cs="宋体"/>
          <w:spacing w:val="2"/>
          <w:sz w:val="24"/>
          <w:szCs w:val="24"/>
          <w:highlight w:val="none"/>
          <w:lang w:val="en-US" w:eastAsia="zh-CN"/>
        </w:rPr>
        <w:t>指定</w:t>
      </w:r>
      <w:r>
        <w:rPr>
          <w:rFonts w:hint="eastAsia" w:ascii="宋体" w:hAnsi="宋体" w:eastAsia="宋体" w:cs="宋体"/>
          <w:spacing w:val="2"/>
          <w:sz w:val="24"/>
          <w:szCs w:val="24"/>
          <w:highlight w:val="none"/>
          <w:lang w:eastAsia="zh-CN"/>
        </w:rPr>
        <w:t>购置安全防护设施和用具，安排</w:t>
      </w:r>
      <w:r>
        <w:rPr>
          <w:rFonts w:hint="eastAsia" w:ascii="宋体" w:hAnsi="宋体" w:eastAsia="宋体" w:cs="宋体"/>
          <w:spacing w:val="2"/>
          <w:sz w:val="24"/>
          <w:szCs w:val="24"/>
          <w:highlight w:val="none"/>
          <w:lang w:val="en-US" w:eastAsia="zh-CN"/>
        </w:rPr>
        <w:t>他</w:t>
      </w:r>
      <w:r>
        <w:rPr>
          <w:rFonts w:hint="eastAsia" w:ascii="宋体" w:hAnsi="宋体" w:eastAsia="宋体" w:cs="宋体"/>
          <w:spacing w:val="2"/>
          <w:sz w:val="24"/>
          <w:szCs w:val="24"/>
          <w:highlight w:val="none"/>
          <w:lang w:eastAsia="zh-CN"/>
        </w:rPr>
        <w:t>人</w:t>
      </w:r>
      <w:r>
        <w:rPr>
          <w:rFonts w:hint="eastAsia" w:ascii="宋体" w:hAnsi="宋体" w:eastAsia="宋体" w:cs="宋体"/>
          <w:spacing w:val="2"/>
          <w:sz w:val="24"/>
          <w:szCs w:val="24"/>
          <w:highlight w:val="none"/>
          <w:lang w:val="en-US" w:eastAsia="zh-CN"/>
        </w:rPr>
        <w:t>实施</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lang w:val="en-US" w:eastAsia="zh-CN"/>
        </w:rPr>
        <w:t>由此产生的</w:t>
      </w:r>
      <w:r>
        <w:rPr>
          <w:rFonts w:hint="eastAsia" w:ascii="宋体" w:hAnsi="宋体" w:eastAsia="宋体" w:cs="宋体"/>
          <w:spacing w:val="2"/>
          <w:sz w:val="24"/>
          <w:szCs w:val="24"/>
          <w:highlight w:val="none"/>
          <w:lang w:eastAsia="zh-CN"/>
        </w:rPr>
        <w:t>费用由承包人负责，</w:t>
      </w:r>
      <w:r>
        <w:rPr>
          <w:rFonts w:hint="eastAsia" w:ascii="宋体" w:hAnsi="宋体" w:eastAsia="宋体" w:cs="宋体"/>
          <w:spacing w:val="2"/>
          <w:sz w:val="24"/>
          <w:szCs w:val="24"/>
          <w:highlight w:val="none"/>
          <w:lang w:val="en-US" w:eastAsia="zh-CN"/>
        </w:rPr>
        <w:t>从</w:t>
      </w:r>
      <w:r>
        <w:rPr>
          <w:rFonts w:hint="eastAsia" w:ascii="宋体" w:hAnsi="宋体" w:eastAsia="宋体" w:cs="宋体"/>
          <w:spacing w:val="2"/>
          <w:sz w:val="24"/>
          <w:szCs w:val="24"/>
          <w:highlight w:val="none"/>
          <w:lang w:eastAsia="zh-CN"/>
        </w:rPr>
        <w:t>承包人计量</w:t>
      </w:r>
      <w:r>
        <w:rPr>
          <w:rFonts w:hint="eastAsia" w:ascii="宋体" w:hAnsi="宋体" w:eastAsia="宋体" w:cs="宋体"/>
          <w:spacing w:val="2"/>
          <w:sz w:val="24"/>
          <w:szCs w:val="24"/>
          <w:highlight w:val="none"/>
          <w:lang w:val="en-US" w:eastAsia="zh-CN"/>
        </w:rPr>
        <w:t>款中</w:t>
      </w:r>
      <w:r>
        <w:rPr>
          <w:rFonts w:hint="eastAsia" w:ascii="宋体" w:hAnsi="宋体" w:eastAsia="宋体" w:cs="宋体"/>
          <w:spacing w:val="2"/>
          <w:sz w:val="24"/>
          <w:szCs w:val="24"/>
          <w:highlight w:val="none"/>
          <w:lang w:eastAsia="zh-CN"/>
        </w:rPr>
        <w:t>扣除</w:t>
      </w:r>
    </w:p>
    <w:p w14:paraId="5C823A4F">
      <w:pPr>
        <w:spacing w:before="1" w:line="220" w:lineRule="auto"/>
        <w:ind w:left="487"/>
        <w:outlineLvl w:val="3"/>
        <w:rPr>
          <w:rFonts w:hint="eastAsia" w:ascii="宋体" w:hAnsi="宋体" w:eastAsia="宋体" w:cs="宋体"/>
          <w:sz w:val="24"/>
          <w:szCs w:val="24"/>
        </w:rPr>
      </w:pPr>
      <w:r>
        <w:rPr>
          <w:rFonts w:hint="eastAsia" w:ascii="宋体" w:hAnsi="宋体" w:eastAsia="宋体" w:cs="宋体"/>
          <w:b/>
          <w:bCs/>
          <w:spacing w:val="-3"/>
          <w:sz w:val="24"/>
          <w:szCs w:val="24"/>
        </w:rPr>
        <w:t>11.  开工和交工</w:t>
      </w:r>
    </w:p>
    <w:p w14:paraId="14CD2CDA">
      <w:pPr>
        <w:spacing w:before="121" w:line="219" w:lineRule="auto"/>
        <w:ind w:left="480"/>
        <w:rPr>
          <w:rFonts w:hint="eastAsia" w:ascii="宋体" w:hAnsi="宋体" w:eastAsia="宋体" w:cs="宋体"/>
          <w:sz w:val="24"/>
          <w:szCs w:val="24"/>
        </w:rPr>
      </w:pPr>
      <w:r>
        <w:rPr>
          <w:rFonts w:hint="eastAsia" w:ascii="宋体" w:hAnsi="宋体" w:eastAsia="宋体" w:cs="宋体"/>
          <w:spacing w:val="-5"/>
          <w:sz w:val="24"/>
          <w:szCs w:val="24"/>
        </w:rPr>
        <w:t>第</w:t>
      </w:r>
      <w:r>
        <w:rPr>
          <w:rFonts w:hint="eastAsia" w:ascii="宋体" w:hAnsi="宋体" w:eastAsia="宋体" w:cs="宋体"/>
          <w:spacing w:val="-25"/>
          <w:sz w:val="24"/>
          <w:szCs w:val="24"/>
        </w:rPr>
        <w:t xml:space="preserve"> </w:t>
      </w:r>
      <w:r>
        <w:rPr>
          <w:rFonts w:hint="eastAsia" w:ascii="宋体" w:hAnsi="宋体" w:eastAsia="宋体" w:cs="宋体"/>
          <w:spacing w:val="-5"/>
          <w:sz w:val="24"/>
          <w:szCs w:val="24"/>
        </w:rPr>
        <w:t>11.1 款修改为：</w:t>
      </w:r>
    </w:p>
    <w:p w14:paraId="0F6D4235">
      <w:pPr>
        <w:spacing w:before="105" w:line="221" w:lineRule="auto"/>
        <w:ind w:left="487"/>
        <w:outlineLvl w:val="4"/>
        <w:rPr>
          <w:rFonts w:hint="eastAsia" w:ascii="宋体" w:hAnsi="宋体" w:eastAsia="宋体" w:cs="宋体"/>
          <w:sz w:val="24"/>
          <w:szCs w:val="24"/>
        </w:rPr>
      </w:pPr>
      <w:r>
        <w:rPr>
          <w:rFonts w:hint="eastAsia" w:ascii="宋体" w:hAnsi="宋体" w:eastAsia="宋体" w:cs="宋体"/>
          <w:b/>
          <w:bCs/>
          <w:spacing w:val="-8"/>
          <w:sz w:val="24"/>
          <w:szCs w:val="24"/>
        </w:rPr>
        <w:t>11.1</w:t>
      </w:r>
      <w:r>
        <w:rPr>
          <w:rFonts w:hint="eastAsia" w:ascii="宋体" w:hAnsi="宋体" w:eastAsia="宋体" w:cs="宋体"/>
          <w:b/>
          <w:bCs/>
          <w:spacing w:val="5"/>
          <w:sz w:val="24"/>
          <w:szCs w:val="24"/>
        </w:rPr>
        <w:t xml:space="preserve">  </w:t>
      </w:r>
      <w:r>
        <w:rPr>
          <w:rFonts w:hint="eastAsia" w:ascii="宋体" w:hAnsi="宋体" w:eastAsia="宋体" w:cs="宋体"/>
          <w:b/>
          <w:bCs/>
          <w:spacing w:val="-8"/>
          <w:sz w:val="24"/>
          <w:szCs w:val="24"/>
        </w:rPr>
        <w:t>开工</w:t>
      </w:r>
    </w:p>
    <w:p w14:paraId="3A326368">
      <w:pPr>
        <w:spacing w:before="121" w:line="286" w:lineRule="auto"/>
        <w:ind w:left="2" w:right="15" w:firstLine="496"/>
        <w:rPr>
          <w:rFonts w:hint="eastAsia" w:ascii="宋体" w:hAnsi="宋体" w:eastAsia="宋体" w:cs="宋体"/>
          <w:sz w:val="24"/>
          <w:szCs w:val="24"/>
        </w:rPr>
      </w:pPr>
      <w:r>
        <w:rPr>
          <w:rFonts w:hint="eastAsia" w:ascii="宋体" w:hAnsi="宋体" w:eastAsia="宋体" w:cs="宋体"/>
          <w:spacing w:val="2"/>
          <w:sz w:val="24"/>
          <w:szCs w:val="24"/>
        </w:rPr>
        <w:t>11.1.1  发包人应在合同约定的整</w:t>
      </w:r>
      <w:r>
        <w:rPr>
          <w:rFonts w:hint="eastAsia" w:ascii="宋体" w:hAnsi="宋体" w:eastAsia="宋体" w:cs="宋体"/>
          <w:spacing w:val="1"/>
          <w:sz w:val="24"/>
          <w:szCs w:val="24"/>
        </w:rPr>
        <w:t>体执行周期开始的7 天前向承包人发出项目总体开工通知。合同履约时间自发包人发出的开</w:t>
      </w:r>
      <w:r>
        <w:rPr>
          <w:rFonts w:hint="eastAsia" w:ascii="宋体" w:hAnsi="宋体" w:eastAsia="宋体" w:cs="宋体"/>
          <w:sz w:val="24"/>
          <w:szCs w:val="24"/>
        </w:rPr>
        <w:t>工通知中载明的开工日期起计</w:t>
      </w:r>
      <w:r>
        <w:rPr>
          <w:rFonts w:hint="eastAsia" w:ascii="宋体" w:hAnsi="宋体" w:eastAsia="宋体" w:cs="宋体"/>
          <w:spacing w:val="-6"/>
          <w:sz w:val="24"/>
          <w:szCs w:val="24"/>
        </w:rPr>
        <w:t>算。</w:t>
      </w:r>
    </w:p>
    <w:p w14:paraId="274898E6">
      <w:pPr>
        <w:spacing w:before="115" w:line="278" w:lineRule="auto"/>
        <w:ind w:right="15" w:firstLine="498"/>
        <w:rPr>
          <w:rFonts w:hint="eastAsia" w:ascii="宋体" w:hAnsi="宋体" w:eastAsia="宋体" w:cs="宋体"/>
          <w:sz w:val="24"/>
          <w:szCs w:val="24"/>
        </w:rPr>
      </w:pPr>
      <w:r>
        <w:rPr>
          <w:rFonts w:hint="eastAsia" w:ascii="宋体" w:hAnsi="宋体" w:eastAsia="宋体" w:cs="宋体"/>
          <w:spacing w:val="-1"/>
          <w:sz w:val="24"/>
          <w:szCs w:val="24"/>
        </w:rPr>
        <w:t>11.1.2  承包人应按第</w:t>
      </w:r>
      <w:r>
        <w:rPr>
          <w:rFonts w:hint="eastAsia" w:ascii="宋体" w:hAnsi="宋体" w:eastAsia="宋体" w:cs="宋体"/>
          <w:spacing w:val="-27"/>
          <w:sz w:val="24"/>
          <w:szCs w:val="24"/>
        </w:rPr>
        <w:t xml:space="preserve"> </w:t>
      </w:r>
      <w:r>
        <w:rPr>
          <w:rFonts w:hint="eastAsia" w:ascii="宋体" w:hAnsi="宋体" w:eastAsia="宋体" w:cs="宋体"/>
          <w:spacing w:val="-1"/>
          <w:sz w:val="24"/>
          <w:szCs w:val="24"/>
        </w:rPr>
        <w:t>10.1.1</w:t>
      </w:r>
      <w:r>
        <w:rPr>
          <w:rFonts w:hint="eastAsia" w:ascii="宋体" w:hAnsi="宋体" w:eastAsia="宋体" w:cs="宋体"/>
          <w:spacing w:val="15"/>
          <w:w w:val="101"/>
          <w:sz w:val="24"/>
          <w:szCs w:val="24"/>
        </w:rPr>
        <w:t xml:space="preserve"> </w:t>
      </w:r>
      <w:r>
        <w:rPr>
          <w:rFonts w:hint="eastAsia" w:ascii="宋体" w:hAnsi="宋体" w:eastAsia="宋体" w:cs="宋体"/>
          <w:spacing w:val="-1"/>
          <w:sz w:val="24"/>
          <w:szCs w:val="24"/>
        </w:rPr>
        <w:t>项约定的项目总体进度计划，在收到开工通知前，</w:t>
      </w:r>
      <w:r>
        <w:rPr>
          <w:rFonts w:hint="eastAsia" w:ascii="宋体" w:hAnsi="宋体" w:eastAsia="宋体" w:cs="宋体"/>
          <w:spacing w:val="1"/>
          <w:sz w:val="24"/>
          <w:szCs w:val="24"/>
        </w:rPr>
        <w:t>相关管理人员和技术人员、施工机械和设备应按照合同要</w:t>
      </w:r>
      <w:r>
        <w:rPr>
          <w:rFonts w:hint="eastAsia" w:ascii="宋体" w:hAnsi="宋体" w:eastAsia="宋体" w:cs="宋体"/>
          <w:sz w:val="24"/>
          <w:szCs w:val="24"/>
        </w:rPr>
        <w:t>求及时到位，以保证项目</w:t>
      </w:r>
      <w:r>
        <w:rPr>
          <w:rFonts w:hint="eastAsia" w:ascii="宋体" w:hAnsi="宋体" w:eastAsia="宋体" w:cs="宋体"/>
          <w:spacing w:val="-1"/>
          <w:sz w:val="24"/>
          <w:szCs w:val="24"/>
        </w:rPr>
        <w:t>管理机构的有效运转。</w:t>
      </w:r>
    </w:p>
    <w:p w14:paraId="087A5D13">
      <w:pPr>
        <w:spacing w:before="115" w:line="293" w:lineRule="auto"/>
        <w:ind w:right="15" w:firstLine="498"/>
        <w:rPr>
          <w:rFonts w:hint="eastAsia" w:ascii="宋体" w:hAnsi="宋体" w:eastAsia="宋体" w:cs="宋体"/>
          <w:sz w:val="24"/>
          <w:szCs w:val="24"/>
          <w:highlight w:val="none"/>
        </w:rPr>
      </w:pPr>
      <w:r>
        <w:rPr>
          <w:rFonts w:hint="eastAsia" w:ascii="宋体" w:hAnsi="宋体" w:eastAsia="宋体" w:cs="宋体"/>
          <w:sz w:val="24"/>
          <w:szCs w:val="24"/>
        </w:rPr>
        <w:t xml:space="preserve">11.1.3  </w:t>
      </w:r>
      <w:r>
        <w:rPr>
          <w:rFonts w:hint="eastAsia" w:ascii="宋体" w:hAnsi="宋体" w:eastAsia="宋体" w:cs="宋体"/>
          <w:sz w:val="24"/>
          <w:szCs w:val="24"/>
          <w:highlight w:val="none"/>
        </w:rPr>
        <w:t>对于发包人指定实施的养护工程、承包人自主实施的养护工程，承包人</w:t>
      </w:r>
      <w:r>
        <w:rPr>
          <w:rFonts w:hint="eastAsia" w:ascii="宋体" w:hAnsi="宋体" w:eastAsia="宋体" w:cs="宋体"/>
          <w:spacing w:val="-1"/>
          <w:sz w:val="24"/>
          <w:szCs w:val="24"/>
          <w:highlight w:val="none"/>
        </w:rPr>
        <w:t>应按第</w:t>
      </w:r>
      <w:r>
        <w:rPr>
          <w:rFonts w:hint="eastAsia" w:ascii="宋体" w:hAnsi="宋体" w:eastAsia="宋体" w:cs="宋体"/>
          <w:spacing w:val="-32"/>
          <w:sz w:val="24"/>
          <w:szCs w:val="24"/>
          <w:highlight w:val="none"/>
        </w:rPr>
        <w:t xml:space="preserve"> </w:t>
      </w:r>
      <w:r>
        <w:rPr>
          <w:rFonts w:hint="eastAsia" w:ascii="宋体" w:hAnsi="宋体" w:eastAsia="宋体" w:cs="宋体"/>
          <w:spacing w:val="-1"/>
          <w:sz w:val="24"/>
          <w:szCs w:val="24"/>
          <w:highlight w:val="none"/>
        </w:rPr>
        <w:t>10.1.2</w:t>
      </w:r>
      <w:r>
        <w:rPr>
          <w:rFonts w:hint="eastAsia" w:ascii="宋体" w:hAnsi="宋体" w:eastAsia="宋体" w:cs="宋体"/>
          <w:spacing w:val="16"/>
          <w:sz w:val="24"/>
          <w:szCs w:val="24"/>
          <w:highlight w:val="none"/>
        </w:rPr>
        <w:t xml:space="preserve"> </w:t>
      </w:r>
      <w:r>
        <w:rPr>
          <w:rFonts w:hint="eastAsia" w:ascii="宋体" w:hAnsi="宋体" w:eastAsia="宋体" w:cs="宋体"/>
          <w:spacing w:val="-1"/>
          <w:sz w:val="24"/>
          <w:szCs w:val="24"/>
          <w:highlight w:val="none"/>
        </w:rPr>
        <w:t>项的要求，在年度养护工程实施承诺书提交后</w:t>
      </w:r>
      <w:r>
        <w:rPr>
          <w:rFonts w:hint="eastAsia" w:ascii="宋体" w:hAnsi="宋体" w:eastAsia="宋体" w:cs="宋体"/>
          <w:spacing w:val="-120"/>
          <w:sz w:val="24"/>
          <w:szCs w:val="24"/>
          <w:highlight w:val="none"/>
        </w:rPr>
        <w:t xml:space="preserve"> </w:t>
      </w:r>
      <w:r>
        <w:rPr>
          <w:rFonts w:hint="eastAsia" w:ascii="宋体" w:hAnsi="宋体" w:eastAsia="宋体" w:cs="宋体"/>
          <w:spacing w:val="1"/>
          <w:sz w:val="24"/>
          <w:szCs w:val="24"/>
          <w:highlight w:val="none"/>
          <w:u w:val="single"/>
        </w:rPr>
        <w:t xml:space="preserve">  </w:t>
      </w:r>
      <w:r>
        <w:rPr>
          <w:rFonts w:hint="eastAsia" w:ascii="宋体" w:hAnsi="宋体" w:eastAsia="宋体" w:cs="宋体"/>
          <w:spacing w:val="1"/>
          <w:sz w:val="24"/>
          <w:szCs w:val="24"/>
          <w:highlight w:val="none"/>
          <w:u w:val="single"/>
          <w:lang w:val="en-US" w:eastAsia="zh-CN"/>
        </w:rPr>
        <w:t>/</w:t>
      </w:r>
      <w:r>
        <w:rPr>
          <w:rFonts w:hint="eastAsia" w:ascii="宋体" w:hAnsi="宋体" w:eastAsia="宋体" w:cs="宋体"/>
          <w:spacing w:val="1"/>
          <w:sz w:val="24"/>
          <w:szCs w:val="24"/>
          <w:highlight w:val="none"/>
          <w:u w:val="single"/>
        </w:rPr>
        <w:t xml:space="preserve">  </w:t>
      </w:r>
      <w:r>
        <w:rPr>
          <w:rFonts w:hint="eastAsia" w:ascii="宋体" w:hAnsi="宋体" w:eastAsia="宋体" w:cs="宋体"/>
          <w:spacing w:val="-105"/>
          <w:sz w:val="24"/>
          <w:szCs w:val="24"/>
          <w:highlight w:val="none"/>
        </w:rPr>
        <w:t xml:space="preserve"> </w:t>
      </w:r>
      <w:r>
        <w:rPr>
          <w:rFonts w:hint="eastAsia" w:ascii="宋体" w:hAnsi="宋体" w:eastAsia="宋体" w:cs="宋体"/>
          <w:spacing w:val="-1"/>
          <w:sz w:val="24"/>
          <w:szCs w:val="24"/>
          <w:highlight w:val="none"/>
        </w:rPr>
        <w:t>天内向发包</w:t>
      </w:r>
      <w:r>
        <w:rPr>
          <w:rFonts w:hint="eastAsia" w:ascii="宋体" w:hAnsi="宋体" w:eastAsia="宋体" w:cs="宋体"/>
          <w:spacing w:val="-2"/>
          <w:sz w:val="24"/>
          <w:szCs w:val="24"/>
          <w:highlight w:val="none"/>
        </w:rPr>
        <w:t>人提交</w:t>
      </w:r>
      <w:r>
        <w:rPr>
          <w:rFonts w:hint="eastAsia" w:ascii="宋体" w:hAnsi="宋体" w:eastAsia="宋体" w:cs="宋体"/>
          <w:spacing w:val="1"/>
          <w:sz w:val="24"/>
          <w:szCs w:val="24"/>
          <w:highlight w:val="none"/>
        </w:rPr>
        <w:t>详细施工图设计</w:t>
      </w:r>
      <w:r>
        <w:rPr>
          <w:rFonts w:hint="eastAsia" w:ascii="宋体" w:hAnsi="宋体" w:eastAsia="宋体" w:cs="宋体"/>
          <w:sz w:val="24"/>
          <w:szCs w:val="24"/>
          <w:highlight w:val="none"/>
        </w:rPr>
        <w:t>，并经发包人同意后</w:t>
      </w:r>
      <w:r>
        <w:rPr>
          <w:rFonts w:hint="eastAsia" w:ascii="宋体" w:hAnsi="宋体" w:eastAsia="宋体" w:cs="宋体"/>
          <w:spacing w:val="1"/>
          <w:sz w:val="24"/>
          <w:szCs w:val="24"/>
          <w:highlight w:val="none"/>
        </w:rPr>
        <w:t>由发包人向承包人发布养护工程施工令。若承</w:t>
      </w:r>
      <w:r>
        <w:rPr>
          <w:rFonts w:hint="eastAsia" w:ascii="宋体" w:hAnsi="宋体" w:eastAsia="宋体" w:cs="宋体"/>
          <w:sz w:val="24"/>
          <w:szCs w:val="24"/>
          <w:highlight w:val="none"/>
        </w:rPr>
        <w:t>包人对施工令有异议，则项目经理应在发布施工令后</w:t>
      </w:r>
      <w:r>
        <w:rPr>
          <w:rFonts w:hint="eastAsia" w:ascii="宋体" w:hAnsi="宋体" w:eastAsia="宋体" w:cs="宋体"/>
          <w:spacing w:val="-114"/>
          <w:sz w:val="24"/>
          <w:szCs w:val="24"/>
          <w:highlight w:val="non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w:t>
      </w:r>
      <w:r>
        <w:rPr>
          <w:rFonts w:hint="eastAsia" w:ascii="宋体" w:hAnsi="宋体" w:eastAsia="宋体" w:cs="宋体"/>
          <w:sz w:val="24"/>
          <w:szCs w:val="24"/>
          <w:highlight w:val="none"/>
          <w:u w:val="single"/>
        </w:rPr>
        <w:t xml:space="preserve">  </w:t>
      </w:r>
      <w:r>
        <w:rPr>
          <w:rFonts w:hint="eastAsia" w:ascii="宋体" w:hAnsi="宋体" w:eastAsia="宋体" w:cs="宋体"/>
          <w:spacing w:val="-103"/>
          <w:sz w:val="24"/>
          <w:szCs w:val="24"/>
          <w:highlight w:val="none"/>
        </w:rPr>
        <w:t xml:space="preserve"> </w:t>
      </w:r>
      <w:r>
        <w:rPr>
          <w:rFonts w:hint="eastAsia" w:ascii="宋体" w:hAnsi="宋体" w:eastAsia="宋体" w:cs="宋体"/>
          <w:sz w:val="24"/>
          <w:szCs w:val="24"/>
          <w:highlight w:val="none"/>
        </w:rPr>
        <w:t>天内告知发包人其反对的理由。在项目经理</w:t>
      </w:r>
      <w:r>
        <w:rPr>
          <w:rFonts w:hint="eastAsia" w:ascii="宋体" w:hAnsi="宋体" w:eastAsia="宋体" w:cs="宋体"/>
          <w:spacing w:val="-1"/>
          <w:sz w:val="24"/>
          <w:szCs w:val="24"/>
          <w:highlight w:val="none"/>
        </w:rPr>
        <w:t>提出异议后的</w:t>
      </w:r>
      <w:r>
        <w:rPr>
          <w:rFonts w:hint="eastAsia" w:ascii="宋体" w:hAnsi="宋体" w:eastAsia="宋体" w:cs="宋体"/>
          <w:spacing w:val="-1"/>
          <w:sz w:val="24"/>
          <w:szCs w:val="24"/>
          <w:highlight w:val="none"/>
          <w:u w:val="single"/>
        </w:rPr>
        <w:t xml:space="preserve">   </w:t>
      </w:r>
      <w:r>
        <w:rPr>
          <w:rFonts w:hint="eastAsia" w:ascii="宋体" w:hAnsi="宋体" w:eastAsia="宋体" w:cs="宋体"/>
          <w:spacing w:val="-1"/>
          <w:sz w:val="24"/>
          <w:szCs w:val="24"/>
          <w:highlight w:val="none"/>
          <w:u w:val="single"/>
          <w:lang w:val="en-US" w:eastAsia="zh-CN"/>
        </w:rPr>
        <w:t>/</w:t>
      </w:r>
      <w:r>
        <w:rPr>
          <w:rFonts w:hint="eastAsia" w:ascii="宋体" w:hAnsi="宋体" w:eastAsia="宋体" w:cs="宋体"/>
          <w:spacing w:val="-1"/>
          <w:sz w:val="24"/>
          <w:szCs w:val="24"/>
          <w:highlight w:val="none"/>
          <w:u w:val="single"/>
        </w:rPr>
        <w:t xml:space="preserve"> </w:t>
      </w:r>
      <w:r>
        <w:rPr>
          <w:rFonts w:hint="eastAsia" w:ascii="宋体" w:hAnsi="宋体" w:eastAsia="宋体" w:cs="宋体"/>
          <w:spacing w:val="-94"/>
          <w:sz w:val="24"/>
          <w:szCs w:val="24"/>
          <w:highlight w:val="none"/>
        </w:rPr>
        <w:t xml:space="preserve"> </w:t>
      </w:r>
      <w:r>
        <w:rPr>
          <w:rFonts w:hint="eastAsia" w:ascii="宋体" w:hAnsi="宋体" w:eastAsia="宋体" w:cs="宋体"/>
          <w:spacing w:val="-1"/>
          <w:sz w:val="24"/>
          <w:szCs w:val="24"/>
          <w:highlight w:val="none"/>
        </w:rPr>
        <w:t>天内，发包人应以书面形式删除、修改或确认施工令。</w:t>
      </w:r>
    </w:p>
    <w:p w14:paraId="696404F7">
      <w:pPr>
        <w:spacing w:before="105" w:line="219" w:lineRule="auto"/>
        <w:ind w:left="499"/>
        <w:rPr>
          <w:rFonts w:hint="eastAsia" w:ascii="宋体" w:hAnsi="宋体" w:eastAsia="宋体" w:cs="宋体"/>
          <w:sz w:val="24"/>
          <w:szCs w:val="24"/>
        </w:rPr>
      </w:pPr>
      <w:r>
        <w:rPr>
          <w:rFonts w:hint="eastAsia" w:ascii="宋体" w:hAnsi="宋体" w:eastAsia="宋体" w:cs="宋体"/>
          <w:spacing w:val="-2"/>
          <w:sz w:val="24"/>
          <w:szCs w:val="24"/>
        </w:rPr>
        <w:t>11.1.4  对于日常养护承包人应按第</w:t>
      </w:r>
      <w:r>
        <w:rPr>
          <w:rFonts w:hint="eastAsia" w:ascii="宋体" w:hAnsi="宋体" w:eastAsia="宋体" w:cs="宋体"/>
          <w:spacing w:val="-27"/>
          <w:sz w:val="24"/>
          <w:szCs w:val="24"/>
        </w:rPr>
        <w:t xml:space="preserve"> </w:t>
      </w:r>
      <w:r>
        <w:rPr>
          <w:rFonts w:hint="eastAsia" w:ascii="宋体" w:hAnsi="宋体" w:eastAsia="宋体" w:cs="宋体"/>
          <w:spacing w:val="-2"/>
          <w:sz w:val="24"/>
          <w:szCs w:val="24"/>
        </w:rPr>
        <w:t>10.1.3 项的要求开展工作。</w:t>
      </w:r>
    </w:p>
    <w:p w14:paraId="661575CC">
      <w:pPr>
        <w:spacing w:before="124" w:line="278" w:lineRule="auto"/>
        <w:ind w:firstLine="498"/>
        <w:rPr>
          <w:rFonts w:hint="eastAsia" w:ascii="宋体" w:hAnsi="宋体" w:eastAsia="宋体" w:cs="宋体"/>
          <w:sz w:val="24"/>
          <w:szCs w:val="24"/>
        </w:rPr>
      </w:pPr>
      <w:r>
        <w:rPr>
          <w:rFonts w:hint="eastAsia" w:ascii="宋体" w:hAnsi="宋体" w:eastAsia="宋体" w:cs="宋体"/>
          <w:spacing w:val="-3"/>
          <w:sz w:val="24"/>
          <w:szCs w:val="24"/>
        </w:rPr>
        <w:t>11.1.5  对于应急和不可预见的专项养护工程（工作</w:t>
      </w:r>
      <w:r>
        <w:rPr>
          <w:rFonts w:hint="eastAsia" w:ascii="宋体" w:hAnsi="宋体" w:eastAsia="宋体" w:cs="宋体"/>
          <w:spacing w:val="-56"/>
          <w:sz w:val="24"/>
          <w:szCs w:val="24"/>
        </w:rPr>
        <w:t>），</w:t>
      </w:r>
      <w:r>
        <w:rPr>
          <w:rFonts w:hint="eastAsia" w:ascii="宋体" w:hAnsi="宋体" w:eastAsia="宋体" w:cs="宋体"/>
          <w:spacing w:val="-3"/>
          <w:sz w:val="24"/>
          <w:szCs w:val="24"/>
        </w:rPr>
        <w:t>应按第</w:t>
      </w:r>
      <w:r>
        <w:rPr>
          <w:rFonts w:hint="eastAsia" w:ascii="宋体" w:hAnsi="宋体" w:eastAsia="宋体" w:cs="宋体"/>
          <w:spacing w:val="-31"/>
          <w:sz w:val="24"/>
          <w:szCs w:val="24"/>
        </w:rPr>
        <w:t xml:space="preserve"> </w:t>
      </w:r>
      <w:r>
        <w:rPr>
          <w:rFonts w:hint="eastAsia" w:ascii="宋体" w:hAnsi="宋体" w:eastAsia="宋体" w:cs="宋体"/>
          <w:spacing w:val="-3"/>
          <w:sz w:val="24"/>
          <w:szCs w:val="24"/>
        </w:rPr>
        <w:t>10.</w:t>
      </w:r>
      <w:r>
        <w:rPr>
          <w:rFonts w:hint="eastAsia" w:ascii="宋体" w:hAnsi="宋体" w:eastAsia="宋体" w:cs="宋体"/>
          <w:spacing w:val="-4"/>
          <w:sz w:val="24"/>
          <w:szCs w:val="24"/>
        </w:rPr>
        <w:t>1.4 项的要求，</w:t>
      </w:r>
      <w:r>
        <w:rPr>
          <w:rFonts w:hint="eastAsia" w:ascii="宋体" w:hAnsi="宋体" w:eastAsia="宋体" w:cs="宋体"/>
          <w:spacing w:val="1"/>
          <w:sz w:val="24"/>
          <w:szCs w:val="24"/>
        </w:rPr>
        <w:t>由发包人和承包人共同确定是否有必要实施。如有必要实</w:t>
      </w:r>
      <w:r>
        <w:rPr>
          <w:rFonts w:hint="eastAsia" w:ascii="宋体" w:hAnsi="宋体" w:eastAsia="宋体" w:cs="宋体"/>
          <w:sz w:val="24"/>
          <w:szCs w:val="24"/>
        </w:rPr>
        <w:t>施，需双方共同商定技术</w:t>
      </w:r>
      <w:r>
        <w:rPr>
          <w:rFonts w:hint="eastAsia" w:ascii="宋体" w:hAnsi="宋体" w:eastAsia="宋体" w:cs="宋体"/>
          <w:spacing w:val="-1"/>
          <w:sz w:val="24"/>
          <w:szCs w:val="24"/>
        </w:rPr>
        <w:t>措施后，由发包人向承包人发布养护工程施工令。</w:t>
      </w:r>
    </w:p>
    <w:p w14:paraId="5D438535">
      <w:pPr>
        <w:spacing w:before="116" w:line="278" w:lineRule="auto"/>
        <w:ind w:left="2" w:right="16" w:firstLine="496"/>
        <w:rPr>
          <w:rFonts w:hint="eastAsia" w:ascii="宋体" w:hAnsi="宋体" w:eastAsia="宋体" w:cs="宋体"/>
          <w:sz w:val="24"/>
          <w:szCs w:val="24"/>
        </w:rPr>
      </w:pPr>
      <w:r>
        <w:rPr>
          <w:rFonts w:hint="eastAsia" w:ascii="宋体" w:hAnsi="宋体" w:eastAsia="宋体" w:cs="宋体"/>
          <w:sz w:val="24"/>
          <w:szCs w:val="24"/>
        </w:rPr>
        <w:t>11.1.6  发包人指定实施的养护工程、承包人自主实施的养护工程、应急和不可</w:t>
      </w:r>
      <w:r>
        <w:rPr>
          <w:rFonts w:hint="eastAsia" w:ascii="宋体" w:hAnsi="宋体" w:eastAsia="宋体" w:cs="宋体"/>
          <w:spacing w:val="1"/>
          <w:sz w:val="24"/>
          <w:szCs w:val="24"/>
        </w:rPr>
        <w:t>预见的专项养护工程（工作）施工令应以书面形式发</w:t>
      </w:r>
      <w:r>
        <w:rPr>
          <w:rFonts w:hint="eastAsia" w:ascii="宋体" w:hAnsi="宋体" w:eastAsia="宋体" w:cs="宋体"/>
          <w:sz w:val="24"/>
          <w:szCs w:val="24"/>
        </w:rPr>
        <w:t>布，内容应包括施工令发布的</w:t>
      </w:r>
      <w:r>
        <w:rPr>
          <w:rFonts w:hint="eastAsia" w:ascii="宋体" w:hAnsi="宋体" w:eastAsia="宋体" w:cs="宋体"/>
          <w:spacing w:val="-1"/>
          <w:sz w:val="24"/>
          <w:szCs w:val="24"/>
        </w:rPr>
        <w:t>日期、发包人及承包人盖章及其项目经理的签名。</w:t>
      </w:r>
    </w:p>
    <w:p w14:paraId="57A99B73">
      <w:pPr>
        <w:spacing w:before="117" w:line="219" w:lineRule="auto"/>
        <w:ind w:left="480"/>
        <w:rPr>
          <w:rFonts w:hint="eastAsia" w:ascii="宋体" w:hAnsi="宋体" w:eastAsia="宋体" w:cs="宋体"/>
          <w:sz w:val="24"/>
          <w:szCs w:val="24"/>
        </w:rPr>
      </w:pPr>
      <w:r>
        <w:rPr>
          <w:rFonts w:hint="eastAsia" w:ascii="宋体" w:hAnsi="宋体" w:eastAsia="宋体" w:cs="宋体"/>
          <w:spacing w:val="-5"/>
          <w:sz w:val="24"/>
          <w:szCs w:val="24"/>
        </w:rPr>
        <w:t>第</w:t>
      </w:r>
      <w:r>
        <w:rPr>
          <w:rFonts w:hint="eastAsia" w:ascii="宋体" w:hAnsi="宋体" w:eastAsia="宋体" w:cs="宋体"/>
          <w:spacing w:val="-25"/>
          <w:sz w:val="24"/>
          <w:szCs w:val="24"/>
        </w:rPr>
        <w:t xml:space="preserve"> </w:t>
      </w:r>
      <w:r>
        <w:rPr>
          <w:rFonts w:hint="eastAsia" w:ascii="宋体" w:hAnsi="宋体" w:eastAsia="宋体" w:cs="宋体"/>
          <w:spacing w:val="-5"/>
          <w:sz w:val="24"/>
          <w:szCs w:val="24"/>
        </w:rPr>
        <w:t>11.2 款修改为：</w:t>
      </w:r>
    </w:p>
    <w:p w14:paraId="6C98FCB5">
      <w:pPr>
        <w:spacing w:before="106" w:line="221" w:lineRule="auto"/>
        <w:ind w:left="487"/>
        <w:outlineLvl w:val="4"/>
        <w:rPr>
          <w:rFonts w:hint="eastAsia" w:ascii="宋体" w:hAnsi="宋体" w:eastAsia="宋体" w:cs="宋体"/>
          <w:sz w:val="24"/>
          <w:szCs w:val="24"/>
        </w:rPr>
      </w:pPr>
      <w:r>
        <w:rPr>
          <w:rFonts w:hint="eastAsia" w:ascii="宋体" w:hAnsi="宋体" w:eastAsia="宋体" w:cs="宋体"/>
          <w:b/>
          <w:bCs/>
          <w:spacing w:val="-9"/>
          <w:sz w:val="24"/>
          <w:szCs w:val="24"/>
        </w:rPr>
        <w:t>11.2</w:t>
      </w:r>
      <w:r>
        <w:rPr>
          <w:rFonts w:hint="eastAsia" w:ascii="宋体" w:hAnsi="宋体" w:eastAsia="宋体" w:cs="宋体"/>
          <w:b/>
          <w:bCs/>
          <w:spacing w:val="8"/>
          <w:sz w:val="24"/>
          <w:szCs w:val="24"/>
        </w:rPr>
        <w:t xml:space="preserve">  </w:t>
      </w:r>
      <w:r>
        <w:rPr>
          <w:rFonts w:hint="eastAsia" w:ascii="宋体" w:hAnsi="宋体" w:eastAsia="宋体" w:cs="宋体"/>
          <w:b/>
          <w:bCs/>
          <w:spacing w:val="-9"/>
          <w:sz w:val="24"/>
          <w:szCs w:val="24"/>
        </w:rPr>
        <w:t>交工</w:t>
      </w:r>
    </w:p>
    <w:p w14:paraId="7717FBDA">
      <w:pPr>
        <w:spacing w:before="78" w:line="219" w:lineRule="auto"/>
        <w:ind w:firstLine="496" w:firstLineChars="200"/>
        <w:rPr>
          <w:rFonts w:hint="eastAsia" w:ascii="宋体" w:hAnsi="宋体" w:eastAsia="宋体" w:cs="宋体"/>
          <w:sz w:val="24"/>
          <w:szCs w:val="24"/>
        </w:rPr>
      </w:pPr>
      <w:r>
        <w:rPr>
          <w:rFonts w:hint="eastAsia" w:ascii="宋体" w:hAnsi="宋体" w:eastAsia="宋体" w:cs="宋体"/>
          <w:spacing w:val="4"/>
          <w:sz w:val="24"/>
          <w:szCs w:val="24"/>
        </w:rPr>
        <w:t>（1）承包人应在约定的期限内完成发包人指定实施的养护工程、承包人</w:t>
      </w:r>
      <w:r>
        <w:rPr>
          <w:rFonts w:hint="eastAsia" w:ascii="宋体" w:hAnsi="宋体" w:eastAsia="宋体" w:cs="宋体"/>
          <w:spacing w:val="3"/>
          <w:sz w:val="24"/>
          <w:szCs w:val="24"/>
        </w:rPr>
        <w:t>自主</w:t>
      </w:r>
      <w:r>
        <w:rPr>
          <w:rFonts w:hint="eastAsia" w:ascii="宋体" w:hAnsi="宋体" w:eastAsia="宋体" w:cs="宋体"/>
          <w:spacing w:val="1"/>
          <w:sz w:val="24"/>
          <w:szCs w:val="24"/>
        </w:rPr>
        <w:t>实施的养护工程、不可预见的专项养护工程</w:t>
      </w:r>
      <w:r>
        <w:rPr>
          <w:rFonts w:hint="eastAsia" w:ascii="宋体" w:hAnsi="宋体" w:eastAsia="宋体" w:cs="宋体"/>
          <w:sz w:val="24"/>
          <w:szCs w:val="24"/>
        </w:rPr>
        <w:t>，实际交（竣）工日期在养护工程验收</w:t>
      </w:r>
      <w:r>
        <w:rPr>
          <w:rFonts w:hint="eastAsia" w:ascii="宋体" w:hAnsi="宋体" w:eastAsia="宋体" w:cs="宋体"/>
          <w:spacing w:val="-2"/>
          <w:sz w:val="24"/>
          <w:szCs w:val="24"/>
        </w:rPr>
        <w:t>证书中写明。</w:t>
      </w:r>
    </w:p>
    <w:p w14:paraId="2CFCAEA0">
      <w:pPr>
        <w:spacing w:before="117" w:line="308" w:lineRule="auto"/>
        <w:ind w:left="2" w:right="164" w:firstLine="488"/>
        <w:rPr>
          <w:rFonts w:hint="eastAsia" w:ascii="宋体" w:hAnsi="宋体" w:eastAsia="宋体" w:cs="宋体"/>
          <w:sz w:val="24"/>
          <w:szCs w:val="24"/>
        </w:rPr>
      </w:pPr>
      <w:r>
        <w:rPr>
          <w:rFonts w:hint="eastAsia" w:ascii="宋体" w:hAnsi="宋体" w:eastAsia="宋体" w:cs="宋体"/>
          <w:spacing w:val="4"/>
          <w:sz w:val="24"/>
          <w:szCs w:val="24"/>
        </w:rPr>
        <w:t>（2）承包人应在约定的完成整个合同的时间，完成合同约定的所有实际</w:t>
      </w:r>
      <w:r>
        <w:rPr>
          <w:rFonts w:hint="eastAsia" w:ascii="宋体" w:hAnsi="宋体" w:eastAsia="宋体" w:cs="宋体"/>
          <w:spacing w:val="3"/>
          <w:sz w:val="24"/>
          <w:szCs w:val="24"/>
        </w:rPr>
        <w:t>养护</w:t>
      </w:r>
      <w:r>
        <w:rPr>
          <w:rFonts w:hint="eastAsia" w:ascii="宋体" w:hAnsi="宋体" w:eastAsia="宋体" w:cs="宋体"/>
          <w:spacing w:val="-1"/>
          <w:sz w:val="24"/>
          <w:szCs w:val="24"/>
        </w:rPr>
        <w:t>工作，实际完成时间在项目总体验收证书中写明。</w:t>
      </w:r>
    </w:p>
    <w:p w14:paraId="44D35786">
      <w:pPr>
        <w:spacing w:before="78" w:line="219" w:lineRule="auto"/>
        <w:ind w:left="486"/>
        <w:outlineLvl w:val="3"/>
        <w:rPr>
          <w:rFonts w:hint="eastAsia" w:ascii="宋体" w:hAnsi="宋体" w:eastAsia="宋体" w:cs="宋体"/>
          <w:sz w:val="24"/>
          <w:szCs w:val="24"/>
        </w:rPr>
      </w:pPr>
      <w:bookmarkStart w:id="193" w:name="bookmark157"/>
      <w:bookmarkEnd w:id="193"/>
      <w:bookmarkStart w:id="194" w:name="bookmark158"/>
      <w:bookmarkEnd w:id="194"/>
      <w:r>
        <w:rPr>
          <w:rFonts w:hint="eastAsia" w:ascii="宋体" w:hAnsi="宋体" w:eastAsia="宋体" w:cs="宋体"/>
          <w:b/>
          <w:bCs/>
          <w:spacing w:val="-5"/>
          <w:sz w:val="24"/>
          <w:szCs w:val="24"/>
        </w:rPr>
        <w:t>13.</w:t>
      </w:r>
      <w:r>
        <w:rPr>
          <w:rFonts w:hint="eastAsia" w:ascii="宋体" w:hAnsi="宋体" w:eastAsia="宋体" w:cs="宋体"/>
          <w:b/>
          <w:bCs/>
          <w:spacing w:val="5"/>
          <w:sz w:val="24"/>
          <w:szCs w:val="24"/>
        </w:rPr>
        <w:t xml:space="preserve">  </w:t>
      </w:r>
      <w:r>
        <w:rPr>
          <w:rFonts w:hint="eastAsia" w:ascii="宋体" w:hAnsi="宋体" w:eastAsia="宋体" w:cs="宋体"/>
          <w:b/>
          <w:bCs/>
          <w:spacing w:val="-5"/>
          <w:sz w:val="24"/>
          <w:szCs w:val="24"/>
        </w:rPr>
        <w:t>养护质量</w:t>
      </w:r>
    </w:p>
    <w:p w14:paraId="6FA6CA67">
      <w:pPr>
        <w:spacing w:before="123" w:line="219" w:lineRule="auto"/>
        <w:ind w:left="498"/>
        <w:rPr>
          <w:rFonts w:hint="eastAsia" w:ascii="宋体" w:hAnsi="宋体" w:eastAsia="宋体" w:cs="宋体"/>
          <w:sz w:val="24"/>
          <w:szCs w:val="24"/>
        </w:rPr>
      </w:pPr>
      <w:r>
        <w:rPr>
          <w:rFonts w:hint="eastAsia" w:ascii="宋体" w:hAnsi="宋体" w:eastAsia="宋体" w:cs="宋体"/>
          <w:spacing w:val="-3"/>
          <w:sz w:val="24"/>
          <w:szCs w:val="24"/>
        </w:rPr>
        <w:t>13.1  养护质量要求</w:t>
      </w:r>
    </w:p>
    <w:p w14:paraId="0484F5A7">
      <w:pPr>
        <w:spacing w:before="116" w:line="219" w:lineRule="auto"/>
        <w:ind w:left="480"/>
        <w:rPr>
          <w:rFonts w:hint="eastAsia" w:ascii="宋体" w:hAnsi="宋体" w:eastAsia="宋体" w:cs="宋体"/>
          <w:sz w:val="24"/>
          <w:szCs w:val="24"/>
        </w:rPr>
      </w:pPr>
      <w:r>
        <w:rPr>
          <w:rFonts w:hint="eastAsia" w:ascii="宋体" w:hAnsi="宋体" w:eastAsia="宋体" w:cs="宋体"/>
          <w:spacing w:val="-3"/>
          <w:sz w:val="24"/>
          <w:szCs w:val="24"/>
        </w:rPr>
        <w:t>第</w:t>
      </w:r>
      <w:r>
        <w:rPr>
          <w:rFonts w:hint="eastAsia" w:ascii="宋体" w:hAnsi="宋体" w:eastAsia="宋体" w:cs="宋体"/>
          <w:spacing w:val="-32"/>
          <w:sz w:val="24"/>
          <w:szCs w:val="24"/>
        </w:rPr>
        <w:t xml:space="preserve"> </w:t>
      </w:r>
      <w:r>
        <w:rPr>
          <w:rFonts w:hint="eastAsia" w:ascii="宋体" w:hAnsi="宋体" w:eastAsia="宋体" w:cs="宋体"/>
          <w:spacing w:val="-3"/>
          <w:sz w:val="24"/>
          <w:szCs w:val="24"/>
        </w:rPr>
        <w:t>13.1.2 项修改为：</w:t>
      </w:r>
    </w:p>
    <w:p w14:paraId="1301F3FE">
      <w:pPr>
        <w:spacing w:before="117" w:line="307" w:lineRule="auto"/>
        <w:ind w:right="166" w:firstLine="498"/>
        <w:rPr>
          <w:rFonts w:hint="eastAsia" w:ascii="宋体" w:hAnsi="宋体" w:eastAsia="宋体" w:cs="宋体"/>
          <w:sz w:val="24"/>
          <w:szCs w:val="24"/>
        </w:rPr>
      </w:pPr>
      <w:r>
        <w:rPr>
          <w:rFonts w:hint="eastAsia" w:ascii="宋体" w:hAnsi="宋体" w:eastAsia="宋体" w:cs="宋体"/>
          <w:sz w:val="24"/>
          <w:szCs w:val="24"/>
        </w:rPr>
        <w:t>因承包人原因造成发包人指定实施的养护工程、承包人自主实施的养护工程、</w:t>
      </w:r>
      <w:r>
        <w:rPr>
          <w:rFonts w:hint="eastAsia" w:ascii="宋体" w:hAnsi="宋体" w:eastAsia="宋体" w:cs="宋体"/>
          <w:spacing w:val="3"/>
          <w:sz w:val="24"/>
          <w:szCs w:val="24"/>
        </w:rPr>
        <w:t>应急和不可预见的专项养护工程（工作</w:t>
      </w:r>
      <w:r>
        <w:rPr>
          <w:rFonts w:hint="eastAsia" w:ascii="宋体" w:hAnsi="宋体" w:eastAsia="宋体" w:cs="宋体"/>
          <w:spacing w:val="-40"/>
          <w:sz w:val="24"/>
          <w:szCs w:val="24"/>
        </w:rPr>
        <w:t>），</w:t>
      </w:r>
      <w:r>
        <w:rPr>
          <w:rFonts w:hint="eastAsia" w:ascii="宋体" w:hAnsi="宋体" w:eastAsia="宋体" w:cs="宋体"/>
          <w:spacing w:val="3"/>
          <w:sz w:val="24"/>
          <w:szCs w:val="24"/>
        </w:rPr>
        <w:t>养护质量达不到合同约定验收标准的，</w:t>
      </w:r>
      <w:r>
        <w:rPr>
          <w:rFonts w:hint="eastAsia" w:ascii="宋体" w:hAnsi="宋体" w:eastAsia="宋体" w:cs="宋体"/>
          <w:spacing w:val="1"/>
          <w:sz w:val="24"/>
          <w:szCs w:val="24"/>
        </w:rPr>
        <w:t>发包人有权要求承包人返工直至符合合同</w:t>
      </w:r>
      <w:r>
        <w:rPr>
          <w:rFonts w:hint="eastAsia" w:ascii="宋体" w:hAnsi="宋体" w:eastAsia="宋体" w:cs="宋体"/>
          <w:sz w:val="24"/>
          <w:szCs w:val="24"/>
        </w:rPr>
        <w:t>要求为止，由此造成的费用增</w:t>
      </w:r>
      <w:r>
        <w:rPr>
          <w:rFonts w:hint="eastAsia" w:ascii="宋体" w:hAnsi="宋体" w:eastAsia="宋体" w:cs="宋体"/>
          <w:spacing w:val="-1"/>
          <w:sz w:val="24"/>
          <w:szCs w:val="24"/>
        </w:rPr>
        <w:t>加和（或）工期延误由承包人承担。</w:t>
      </w:r>
    </w:p>
    <w:p w14:paraId="2BEAD018">
      <w:pPr>
        <w:spacing w:line="219" w:lineRule="auto"/>
        <w:ind w:left="480"/>
        <w:rPr>
          <w:rFonts w:hint="eastAsia" w:ascii="宋体" w:hAnsi="宋体" w:eastAsia="宋体" w:cs="宋体"/>
          <w:sz w:val="24"/>
          <w:szCs w:val="24"/>
        </w:rPr>
      </w:pPr>
      <w:r>
        <w:rPr>
          <w:rFonts w:hint="eastAsia" w:ascii="宋体" w:hAnsi="宋体" w:eastAsia="宋体" w:cs="宋体"/>
          <w:spacing w:val="-3"/>
          <w:sz w:val="24"/>
          <w:szCs w:val="24"/>
        </w:rPr>
        <w:t>第</w:t>
      </w:r>
      <w:r>
        <w:rPr>
          <w:rFonts w:hint="eastAsia" w:ascii="宋体" w:hAnsi="宋体" w:eastAsia="宋体" w:cs="宋体"/>
          <w:spacing w:val="-32"/>
          <w:sz w:val="24"/>
          <w:szCs w:val="24"/>
        </w:rPr>
        <w:t xml:space="preserve"> </w:t>
      </w:r>
      <w:r>
        <w:rPr>
          <w:rFonts w:hint="eastAsia" w:ascii="宋体" w:hAnsi="宋体" w:eastAsia="宋体" w:cs="宋体"/>
          <w:spacing w:val="-3"/>
          <w:sz w:val="24"/>
          <w:szCs w:val="24"/>
        </w:rPr>
        <w:t>13.1.3 项修改为：</w:t>
      </w:r>
    </w:p>
    <w:p w14:paraId="299FB212">
      <w:pPr>
        <w:spacing w:before="115" w:line="308" w:lineRule="auto"/>
        <w:ind w:right="164" w:firstLine="498"/>
        <w:rPr>
          <w:rFonts w:hint="eastAsia" w:ascii="宋体" w:hAnsi="宋体" w:eastAsia="宋体" w:cs="宋体"/>
          <w:sz w:val="24"/>
          <w:szCs w:val="24"/>
        </w:rPr>
      </w:pPr>
      <w:r>
        <w:rPr>
          <w:rFonts w:hint="eastAsia" w:ascii="宋体" w:hAnsi="宋体" w:eastAsia="宋体" w:cs="宋体"/>
          <w:sz w:val="24"/>
          <w:szCs w:val="24"/>
        </w:rPr>
        <w:t>因发包人原因造成发包人指定实施的养护工程、承包人自主实施的养护工程、</w:t>
      </w:r>
      <w:r>
        <w:rPr>
          <w:rFonts w:hint="eastAsia" w:ascii="宋体" w:hAnsi="宋体" w:eastAsia="宋体" w:cs="宋体"/>
          <w:spacing w:val="4"/>
          <w:sz w:val="24"/>
          <w:szCs w:val="24"/>
        </w:rPr>
        <w:t>应急和不可预见的专项养护工程（工作</w:t>
      </w:r>
      <w:r>
        <w:rPr>
          <w:rFonts w:hint="eastAsia" w:ascii="宋体" w:hAnsi="宋体" w:eastAsia="宋体" w:cs="宋体"/>
          <w:spacing w:val="-49"/>
          <w:sz w:val="24"/>
          <w:szCs w:val="24"/>
        </w:rPr>
        <w:t>），</w:t>
      </w:r>
      <w:r>
        <w:rPr>
          <w:rFonts w:hint="eastAsia" w:ascii="宋体" w:hAnsi="宋体" w:eastAsia="宋体" w:cs="宋体"/>
          <w:spacing w:val="4"/>
          <w:sz w:val="24"/>
          <w:szCs w:val="24"/>
        </w:rPr>
        <w:t>养护质量</w:t>
      </w:r>
      <w:r>
        <w:rPr>
          <w:rFonts w:hint="eastAsia" w:ascii="宋体" w:hAnsi="宋体" w:eastAsia="宋体" w:cs="宋体"/>
          <w:spacing w:val="3"/>
          <w:sz w:val="24"/>
          <w:szCs w:val="24"/>
        </w:rPr>
        <w:t>达不到合同约定验收标准的，</w:t>
      </w:r>
      <w:r>
        <w:rPr>
          <w:rFonts w:hint="eastAsia" w:ascii="宋体" w:hAnsi="宋体" w:eastAsia="宋体" w:cs="宋体"/>
          <w:spacing w:val="1"/>
          <w:sz w:val="24"/>
          <w:szCs w:val="24"/>
        </w:rPr>
        <w:t>发包人应承担由于承包人返工造成的费用增加和（或）工</w:t>
      </w:r>
      <w:r>
        <w:rPr>
          <w:rFonts w:hint="eastAsia" w:ascii="宋体" w:hAnsi="宋体" w:eastAsia="宋体" w:cs="宋体"/>
          <w:sz w:val="24"/>
          <w:szCs w:val="24"/>
        </w:rPr>
        <w:t>期延误，并支付承包人合</w:t>
      </w:r>
      <w:r>
        <w:rPr>
          <w:rFonts w:hint="eastAsia" w:ascii="宋体" w:hAnsi="宋体" w:eastAsia="宋体" w:cs="宋体"/>
          <w:spacing w:val="-3"/>
          <w:sz w:val="24"/>
          <w:szCs w:val="24"/>
        </w:rPr>
        <w:t>理利润。</w:t>
      </w:r>
    </w:p>
    <w:p w14:paraId="58B07019">
      <w:pPr>
        <w:spacing w:before="1" w:line="218" w:lineRule="auto"/>
        <w:ind w:left="480"/>
        <w:rPr>
          <w:rFonts w:hint="eastAsia" w:ascii="宋体" w:hAnsi="宋体" w:eastAsia="宋体" w:cs="宋体"/>
          <w:sz w:val="24"/>
          <w:szCs w:val="24"/>
        </w:rPr>
      </w:pPr>
      <w:r>
        <w:rPr>
          <w:rFonts w:hint="eastAsia" w:ascii="宋体" w:hAnsi="宋体" w:eastAsia="宋体" w:cs="宋体"/>
          <w:spacing w:val="-3"/>
          <w:sz w:val="24"/>
          <w:szCs w:val="24"/>
        </w:rPr>
        <w:t>本款补充第</w:t>
      </w:r>
      <w:r>
        <w:rPr>
          <w:rFonts w:hint="eastAsia" w:ascii="宋体" w:hAnsi="宋体" w:eastAsia="宋体" w:cs="宋体"/>
          <w:spacing w:val="-30"/>
          <w:sz w:val="24"/>
          <w:szCs w:val="24"/>
        </w:rPr>
        <w:t xml:space="preserve"> </w:t>
      </w:r>
      <w:r>
        <w:rPr>
          <w:rFonts w:hint="eastAsia" w:ascii="宋体" w:hAnsi="宋体" w:eastAsia="宋体" w:cs="宋体"/>
          <w:spacing w:val="-3"/>
          <w:sz w:val="24"/>
          <w:szCs w:val="24"/>
        </w:rPr>
        <w:t>13.1.4 项：</w:t>
      </w:r>
    </w:p>
    <w:p w14:paraId="0BF4A6EF">
      <w:pPr>
        <w:spacing w:before="111" w:line="309" w:lineRule="auto"/>
        <w:ind w:right="164" w:firstLine="497"/>
        <w:rPr>
          <w:rFonts w:hint="eastAsia" w:ascii="宋体" w:hAnsi="宋体" w:eastAsia="宋体" w:cs="宋体"/>
          <w:sz w:val="24"/>
          <w:szCs w:val="24"/>
        </w:rPr>
      </w:pPr>
      <w:r>
        <w:rPr>
          <w:rFonts w:hint="eastAsia" w:ascii="宋体" w:hAnsi="宋体" w:eastAsia="宋体" w:cs="宋体"/>
          <w:sz w:val="24"/>
          <w:szCs w:val="24"/>
        </w:rPr>
        <w:t>13.1.4  若承包人未能满足标准规范和合同约定的绩效服务水平，则承包人应自</w:t>
      </w:r>
      <w:r>
        <w:rPr>
          <w:rFonts w:hint="eastAsia" w:ascii="宋体" w:hAnsi="宋体" w:eastAsia="宋体" w:cs="宋体"/>
          <w:spacing w:val="1"/>
          <w:sz w:val="24"/>
          <w:szCs w:val="24"/>
        </w:rPr>
        <w:t>费对合同约定范围内的公路设施实施必要的局部维修或</w:t>
      </w:r>
      <w:r>
        <w:rPr>
          <w:rFonts w:hint="eastAsia" w:ascii="宋体" w:hAnsi="宋体" w:eastAsia="宋体" w:cs="宋体"/>
          <w:sz w:val="24"/>
          <w:szCs w:val="24"/>
        </w:rPr>
        <w:t>养护工程，以达到标准规范</w:t>
      </w:r>
      <w:r>
        <w:rPr>
          <w:rFonts w:hint="eastAsia" w:ascii="宋体" w:hAnsi="宋体" w:eastAsia="宋体" w:cs="宋体"/>
          <w:spacing w:val="1"/>
          <w:sz w:val="24"/>
          <w:szCs w:val="24"/>
        </w:rPr>
        <w:t>和合同约定的绩效服务水平。一旦完成必要的局部维修</w:t>
      </w:r>
      <w:r>
        <w:rPr>
          <w:rFonts w:hint="eastAsia" w:ascii="宋体" w:hAnsi="宋体" w:eastAsia="宋体" w:cs="宋体"/>
          <w:sz w:val="24"/>
          <w:szCs w:val="24"/>
        </w:rPr>
        <w:t>或养护工程，承包人应通知</w:t>
      </w:r>
      <w:r>
        <w:rPr>
          <w:rFonts w:hint="eastAsia" w:ascii="宋体" w:hAnsi="宋体" w:eastAsia="宋体" w:cs="宋体"/>
          <w:spacing w:val="1"/>
          <w:sz w:val="24"/>
          <w:szCs w:val="24"/>
        </w:rPr>
        <w:t>发包人，并请求发包人重新对其绩效服务水平进行综合</w:t>
      </w:r>
      <w:r>
        <w:rPr>
          <w:rFonts w:hint="eastAsia" w:ascii="宋体" w:hAnsi="宋体" w:eastAsia="宋体" w:cs="宋体"/>
          <w:sz w:val="24"/>
          <w:szCs w:val="24"/>
        </w:rPr>
        <w:t>考核评价，直至满足标准规</w:t>
      </w:r>
      <w:r>
        <w:rPr>
          <w:rFonts w:hint="eastAsia" w:ascii="宋体" w:hAnsi="宋体" w:eastAsia="宋体" w:cs="宋体"/>
          <w:spacing w:val="1"/>
          <w:sz w:val="24"/>
          <w:szCs w:val="24"/>
        </w:rPr>
        <w:t>范和合同约定的绩效服务水平。若承包人最终仍无法满</w:t>
      </w:r>
      <w:r>
        <w:rPr>
          <w:rFonts w:hint="eastAsia" w:ascii="宋体" w:hAnsi="宋体" w:eastAsia="宋体" w:cs="宋体"/>
          <w:sz w:val="24"/>
          <w:szCs w:val="24"/>
        </w:rPr>
        <w:t>足标准规范和合同约定的绩效服务水平，则发包人可终止合同，且承包人应按照</w:t>
      </w:r>
      <w:r>
        <w:rPr>
          <w:rFonts w:hint="eastAsia" w:ascii="宋体" w:hAnsi="宋体" w:eastAsia="宋体" w:cs="宋体"/>
          <w:spacing w:val="-1"/>
          <w:sz w:val="24"/>
          <w:szCs w:val="24"/>
        </w:rPr>
        <w:t>合同约定支付违约赔偿金。</w:t>
      </w:r>
    </w:p>
    <w:p w14:paraId="2B5D5309">
      <w:pPr>
        <w:spacing w:before="79" w:line="219" w:lineRule="auto"/>
        <w:ind w:left="486"/>
        <w:outlineLvl w:val="4"/>
        <w:rPr>
          <w:rFonts w:hint="eastAsia" w:ascii="宋体" w:hAnsi="宋体" w:eastAsia="宋体" w:cs="宋体"/>
          <w:sz w:val="24"/>
          <w:szCs w:val="24"/>
        </w:rPr>
      </w:pPr>
      <w:r>
        <w:rPr>
          <w:rFonts w:hint="eastAsia" w:ascii="宋体" w:hAnsi="宋体" w:eastAsia="宋体" w:cs="宋体"/>
          <w:b/>
          <w:bCs/>
          <w:spacing w:val="-3"/>
          <w:sz w:val="24"/>
          <w:szCs w:val="24"/>
        </w:rPr>
        <w:t>13.2  承包人的质量管理</w:t>
      </w:r>
    </w:p>
    <w:p w14:paraId="4A7FFF6E">
      <w:pPr>
        <w:spacing w:before="124" w:line="219" w:lineRule="auto"/>
        <w:ind w:left="480"/>
        <w:rPr>
          <w:rFonts w:hint="eastAsia" w:ascii="宋体" w:hAnsi="宋体" w:eastAsia="宋体" w:cs="宋体"/>
          <w:sz w:val="24"/>
          <w:szCs w:val="24"/>
        </w:rPr>
      </w:pPr>
      <w:r>
        <w:rPr>
          <w:rFonts w:hint="eastAsia" w:ascii="宋体" w:hAnsi="宋体" w:eastAsia="宋体" w:cs="宋体"/>
          <w:spacing w:val="-4"/>
          <w:sz w:val="24"/>
          <w:szCs w:val="24"/>
        </w:rPr>
        <w:t>本款补充第</w:t>
      </w:r>
      <w:r>
        <w:rPr>
          <w:rFonts w:hint="eastAsia" w:ascii="宋体" w:hAnsi="宋体" w:eastAsia="宋体" w:cs="宋体"/>
          <w:spacing w:val="-22"/>
          <w:sz w:val="24"/>
          <w:szCs w:val="24"/>
        </w:rPr>
        <w:t xml:space="preserve"> </w:t>
      </w:r>
      <w:r>
        <w:rPr>
          <w:rFonts w:hint="eastAsia" w:ascii="宋体" w:hAnsi="宋体" w:eastAsia="宋体" w:cs="宋体"/>
          <w:spacing w:val="-4"/>
          <w:sz w:val="24"/>
          <w:szCs w:val="24"/>
        </w:rPr>
        <w:t>13.2.7~</w:t>
      </w:r>
      <w:r>
        <w:rPr>
          <w:rFonts w:hint="eastAsia" w:ascii="宋体" w:hAnsi="宋体" w:eastAsia="宋体" w:cs="宋体"/>
          <w:spacing w:val="-32"/>
          <w:sz w:val="24"/>
          <w:szCs w:val="24"/>
        </w:rPr>
        <w:t xml:space="preserve"> </w:t>
      </w:r>
      <w:r>
        <w:rPr>
          <w:rFonts w:hint="eastAsia" w:ascii="宋体" w:hAnsi="宋体" w:eastAsia="宋体" w:cs="宋体"/>
          <w:spacing w:val="-4"/>
          <w:sz w:val="24"/>
          <w:szCs w:val="24"/>
        </w:rPr>
        <w:t>13.2.11 项：</w:t>
      </w:r>
    </w:p>
    <w:p w14:paraId="0049FBA3">
      <w:pPr>
        <w:spacing w:before="113" w:line="279" w:lineRule="auto"/>
        <w:ind w:firstLine="498"/>
        <w:rPr>
          <w:rFonts w:hint="eastAsia" w:ascii="宋体" w:hAnsi="宋体" w:eastAsia="宋体" w:cs="宋体"/>
          <w:sz w:val="24"/>
          <w:szCs w:val="24"/>
        </w:rPr>
      </w:pPr>
      <w:r>
        <w:rPr>
          <w:rFonts w:hint="eastAsia" w:ascii="宋体" w:hAnsi="宋体" w:eastAsia="宋体" w:cs="宋体"/>
          <w:sz w:val="24"/>
          <w:szCs w:val="24"/>
        </w:rPr>
        <w:t>13.2.7  承包人应负责组织相应公路设施日常养护工作，检查相应公路设施养护</w:t>
      </w:r>
      <w:r>
        <w:rPr>
          <w:rFonts w:hint="eastAsia" w:ascii="宋体" w:hAnsi="宋体" w:eastAsia="宋体" w:cs="宋体"/>
          <w:spacing w:val="-1"/>
          <w:sz w:val="24"/>
          <w:szCs w:val="24"/>
        </w:rPr>
        <w:t>质量，及时上报相应公路设施受自然灾害和其他因素</w:t>
      </w:r>
      <w:r>
        <w:rPr>
          <w:rFonts w:hint="eastAsia" w:ascii="宋体" w:hAnsi="宋体" w:eastAsia="宋体" w:cs="宋体"/>
          <w:spacing w:val="-2"/>
          <w:sz w:val="24"/>
          <w:szCs w:val="24"/>
        </w:rPr>
        <w:t>损坏的情况，提出相应的维修、</w:t>
      </w:r>
      <w:r>
        <w:rPr>
          <w:rFonts w:hint="eastAsia" w:ascii="宋体" w:hAnsi="宋体" w:eastAsia="宋体" w:cs="宋体"/>
          <w:spacing w:val="-1"/>
          <w:sz w:val="24"/>
          <w:szCs w:val="24"/>
        </w:rPr>
        <w:t>加固、更换等建议措施，并组织实施，确保公路设施安全畅通。</w:t>
      </w:r>
    </w:p>
    <w:p w14:paraId="3031BDCE">
      <w:pPr>
        <w:spacing w:before="114" w:line="278" w:lineRule="auto"/>
        <w:ind w:left="1" w:right="166" w:firstLine="496"/>
        <w:rPr>
          <w:rFonts w:hint="eastAsia" w:ascii="宋体" w:hAnsi="宋体" w:eastAsia="宋体" w:cs="宋体"/>
          <w:sz w:val="24"/>
          <w:szCs w:val="24"/>
        </w:rPr>
      </w:pPr>
      <w:r>
        <w:rPr>
          <w:rFonts w:hint="eastAsia" w:ascii="宋体" w:hAnsi="宋体" w:eastAsia="宋体" w:cs="宋体"/>
          <w:sz w:val="24"/>
          <w:szCs w:val="24"/>
        </w:rPr>
        <w:t>13.2.8  承包人应按照标准规范和合同约定及时开展相应公路设施日常巡查、经</w:t>
      </w:r>
      <w:r>
        <w:rPr>
          <w:rFonts w:hint="eastAsia" w:ascii="宋体" w:hAnsi="宋体" w:eastAsia="宋体" w:cs="宋体"/>
          <w:spacing w:val="1"/>
          <w:sz w:val="24"/>
          <w:szCs w:val="24"/>
        </w:rPr>
        <w:t>常检查等，对发现的病害和隐患及时采取处置措</w:t>
      </w:r>
      <w:r>
        <w:rPr>
          <w:rFonts w:hint="eastAsia" w:ascii="宋体" w:hAnsi="宋体" w:eastAsia="宋体" w:cs="宋体"/>
          <w:sz w:val="24"/>
          <w:szCs w:val="24"/>
        </w:rPr>
        <w:t>施。对于桥梁、涵洞和隧道技术状</w:t>
      </w:r>
      <w:r>
        <w:rPr>
          <w:rFonts w:hint="eastAsia" w:ascii="宋体" w:hAnsi="宋体" w:eastAsia="宋体" w:cs="宋体"/>
          <w:spacing w:val="-1"/>
          <w:sz w:val="24"/>
          <w:szCs w:val="24"/>
        </w:rPr>
        <w:t>况等级下降的，需及时上报专题报告。</w:t>
      </w:r>
    </w:p>
    <w:p w14:paraId="2E66B28F">
      <w:pPr>
        <w:spacing w:before="78" w:line="219" w:lineRule="auto"/>
        <w:ind w:left="1" w:firstLine="480" w:firstLineChars="200"/>
        <w:rPr>
          <w:rFonts w:hint="eastAsia" w:ascii="宋体" w:hAnsi="宋体" w:eastAsia="宋体" w:cs="宋体"/>
          <w:sz w:val="24"/>
          <w:szCs w:val="24"/>
        </w:rPr>
      </w:pPr>
      <w:bookmarkStart w:id="195" w:name="bookmark282"/>
      <w:bookmarkEnd w:id="195"/>
      <w:r>
        <w:rPr>
          <w:rFonts w:hint="eastAsia" w:ascii="宋体" w:hAnsi="宋体" w:eastAsia="宋体" w:cs="宋体"/>
          <w:sz w:val="24"/>
          <w:szCs w:val="24"/>
        </w:rPr>
        <w:t>13.2.9  承包人应根据上级审定的超限运输车辆通行技术方案，配合组织保障超限运输车辆通过路基路面（含交通安全设施）、桥梁、涵洞或者隧道，详细检查通</w:t>
      </w:r>
      <w:r>
        <w:rPr>
          <w:rFonts w:hint="eastAsia" w:ascii="宋体" w:hAnsi="宋体" w:eastAsia="宋体" w:cs="宋体"/>
          <w:spacing w:val="-1"/>
          <w:sz w:val="24"/>
          <w:szCs w:val="24"/>
        </w:rPr>
        <w:t>过后相应公路设施有无破损，并记录在案。</w:t>
      </w:r>
    </w:p>
    <w:p w14:paraId="6DF89687">
      <w:pPr>
        <w:spacing w:before="115" w:line="263" w:lineRule="auto"/>
        <w:ind w:right="148" w:firstLine="498"/>
        <w:rPr>
          <w:rFonts w:hint="eastAsia" w:ascii="宋体" w:hAnsi="宋体" w:eastAsia="宋体" w:cs="宋体"/>
          <w:sz w:val="24"/>
          <w:szCs w:val="24"/>
        </w:rPr>
      </w:pPr>
      <w:r>
        <w:rPr>
          <w:rFonts w:hint="eastAsia" w:ascii="宋体" w:hAnsi="宋体" w:eastAsia="宋体" w:cs="宋体"/>
          <w:spacing w:val="3"/>
          <w:sz w:val="24"/>
          <w:szCs w:val="24"/>
        </w:rPr>
        <w:t>13.2.10  承包人应负责编制相应公路设施的养护管理和安全运行年度报告，对</w:t>
      </w:r>
      <w:r>
        <w:rPr>
          <w:rFonts w:hint="eastAsia" w:ascii="宋体" w:hAnsi="宋体" w:eastAsia="宋体" w:cs="宋体"/>
          <w:spacing w:val="-1"/>
          <w:sz w:val="24"/>
          <w:szCs w:val="24"/>
        </w:rPr>
        <w:t>相应公路设施技术状况和养护管理工作情况进行分析并上报。</w:t>
      </w:r>
    </w:p>
    <w:p w14:paraId="0A59FBCD">
      <w:pPr>
        <w:spacing w:before="115" w:line="264" w:lineRule="auto"/>
        <w:ind w:right="148" w:firstLine="498"/>
        <w:rPr>
          <w:rFonts w:hint="eastAsia" w:ascii="宋体" w:hAnsi="宋体" w:eastAsia="宋体" w:cs="宋体"/>
          <w:sz w:val="24"/>
          <w:szCs w:val="24"/>
        </w:rPr>
      </w:pPr>
      <w:r>
        <w:rPr>
          <w:rFonts w:hint="eastAsia" w:ascii="宋体" w:hAnsi="宋体" w:eastAsia="宋体" w:cs="宋体"/>
          <w:spacing w:val="3"/>
          <w:sz w:val="24"/>
          <w:szCs w:val="24"/>
        </w:rPr>
        <w:t>13.2.11  承包人应加强养护资料及档案的规范化管理，确保养护资料及档案健</w:t>
      </w:r>
      <w:r>
        <w:rPr>
          <w:rFonts w:hint="eastAsia" w:ascii="宋体" w:hAnsi="宋体" w:eastAsia="宋体" w:cs="宋体"/>
          <w:spacing w:val="-1"/>
          <w:sz w:val="24"/>
          <w:szCs w:val="24"/>
        </w:rPr>
        <w:t>全、完善，便于随时查阅、调用。</w:t>
      </w:r>
    </w:p>
    <w:p w14:paraId="613790FB">
      <w:pPr>
        <w:spacing w:before="78" w:line="219" w:lineRule="auto"/>
        <w:ind w:left="480"/>
        <w:rPr>
          <w:rFonts w:hint="eastAsia" w:ascii="宋体" w:hAnsi="宋体" w:eastAsia="宋体" w:cs="宋体"/>
          <w:sz w:val="24"/>
          <w:szCs w:val="24"/>
        </w:rPr>
      </w:pPr>
      <w:r>
        <w:rPr>
          <w:rFonts w:hint="eastAsia" w:ascii="宋体" w:hAnsi="宋体" w:eastAsia="宋体" w:cs="宋体"/>
          <w:spacing w:val="-4"/>
          <w:sz w:val="24"/>
          <w:szCs w:val="24"/>
        </w:rPr>
        <w:t>第</w:t>
      </w:r>
      <w:r>
        <w:rPr>
          <w:rFonts w:hint="eastAsia" w:ascii="宋体" w:hAnsi="宋体" w:eastAsia="宋体" w:cs="宋体"/>
          <w:spacing w:val="-27"/>
          <w:sz w:val="24"/>
          <w:szCs w:val="24"/>
        </w:rPr>
        <w:t xml:space="preserve"> </w:t>
      </w:r>
      <w:r>
        <w:rPr>
          <w:rFonts w:hint="eastAsia" w:ascii="宋体" w:hAnsi="宋体" w:eastAsia="宋体" w:cs="宋体"/>
          <w:spacing w:val="-4"/>
          <w:sz w:val="24"/>
          <w:szCs w:val="24"/>
        </w:rPr>
        <w:t>13.3 款修改为：</w:t>
      </w:r>
    </w:p>
    <w:p w14:paraId="33745EF9">
      <w:pPr>
        <w:spacing w:before="106" w:line="219" w:lineRule="auto"/>
        <w:ind w:left="487"/>
        <w:outlineLvl w:val="4"/>
        <w:rPr>
          <w:rFonts w:hint="eastAsia" w:ascii="宋体" w:hAnsi="宋体" w:eastAsia="宋体" w:cs="宋体"/>
          <w:sz w:val="24"/>
          <w:szCs w:val="24"/>
        </w:rPr>
      </w:pPr>
      <w:r>
        <w:rPr>
          <w:rFonts w:hint="eastAsia" w:ascii="宋体" w:hAnsi="宋体" w:eastAsia="宋体" w:cs="宋体"/>
          <w:b/>
          <w:bCs/>
          <w:spacing w:val="-3"/>
          <w:sz w:val="24"/>
          <w:szCs w:val="24"/>
        </w:rPr>
        <w:t>13.3  承包人的质量检查</w:t>
      </w:r>
    </w:p>
    <w:p w14:paraId="1B622B63">
      <w:pPr>
        <w:spacing w:before="120" w:line="309" w:lineRule="auto"/>
        <w:ind w:right="145" w:firstLine="480"/>
        <w:rPr>
          <w:rFonts w:hint="eastAsia" w:ascii="宋体" w:hAnsi="宋体" w:eastAsia="宋体" w:cs="宋体"/>
          <w:sz w:val="24"/>
          <w:szCs w:val="24"/>
        </w:rPr>
      </w:pPr>
      <w:r>
        <w:rPr>
          <w:rFonts w:hint="eastAsia" w:ascii="宋体" w:hAnsi="宋体" w:eastAsia="宋体" w:cs="宋体"/>
          <w:spacing w:val="1"/>
          <w:sz w:val="24"/>
          <w:szCs w:val="24"/>
        </w:rPr>
        <w:t>承包人应按合同约定对材料、工程设备以及养护的所有部</w:t>
      </w:r>
      <w:r>
        <w:rPr>
          <w:rFonts w:hint="eastAsia" w:ascii="宋体" w:hAnsi="宋体" w:eastAsia="宋体" w:cs="宋体"/>
          <w:sz w:val="24"/>
          <w:szCs w:val="24"/>
        </w:rPr>
        <w:t>位及其工艺进行全过</w:t>
      </w:r>
      <w:r>
        <w:rPr>
          <w:rFonts w:hint="eastAsia" w:ascii="宋体" w:hAnsi="宋体" w:eastAsia="宋体" w:cs="宋体"/>
          <w:spacing w:val="1"/>
          <w:sz w:val="24"/>
          <w:szCs w:val="24"/>
        </w:rPr>
        <w:t>程的质量检查和检验，并进行详细记录。对于发包人指</w:t>
      </w:r>
      <w:r>
        <w:rPr>
          <w:rFonts w:hint="eastAsia" w:ascii="宋体" w:hAnsi="宋体" w:eastAsia="宋体" w:cs="宋体"/>
          <w:sz w:val="24"/>
          <w:szCs w:val="24"/>
        </w:rPr>
        <w:t>定实施的养护工程、承包人</w:t>
      </w:r>
      <w:r>
        <w:rPr>
          <w:rFonts w:hint="eastAsia" w:ascii="宋体" w:hAnsi="宋体" w:eastAsia="宋体" w:cs="宋体"/>
          <w:spacing w:val="1"/>
          <w:sz w:val="24"/>
          <w:szCs w:val="24"/>
        </w:rPr>
        <w:t>自主实施的养护工程，承包人应编制质量报表，报送发包人</w:t>
      </w:r>
      <w:r>
        <w:rPr>
          <w:rFonts w:hint="eastAsia" w:ascii="宋体" w:hAnsi="宋体" w:eastAsia="宋体" w:cs="宋体"/>
          <w:sz w:val="24"/>
          <w:szCs w:val="24"/>
        </w:rPr>
        <w:t>审查。对于</w:t>
      </w:r>
      <w:r>
        <w:rPr>
          <w:rFonts w:hint="eastAsia" w:ascii="宋体" w:hAnsi="宋体" w:eastAsia="宋体" w:cs="宋体"/>
          <w:spacing w:val="1"/>
          <w:sz w:val="24"/>
          <w:szCs w:val="24"/>
        </w:rPr>
        <w:t>日常养护，承包人应编制工作量完成清单，报送发包人</w:t>
      </w:r>
      <w:r>
        <w:rPr>
          <w:rFonts w:hint="eastAsia" w:ascii="宋体" w:hAnsi="宋体" w:eastAsia="宋体" w:cs="宋体"/>
          <w:sz w:val="24"/>
          <w:szCs w:val="24"/>
        </w:rPr>
        <w:t>备案。对于应急</w:t>
      </w:r>
      <w:r>
        <w:rPr>
          <w:rFonts w:hint="eastAsia" w:ascii="宋体" w:hAnsi="宋体" w:eastAsia="宋体" w:cs="宋体"/>
          <w:spacing w:val="4"/>
          <w:sz w:val="24"/>
          <w:szCs w:val="24"/>
        </w:rPr>
        <w:t>和不可预见的专项养护工程（工作</w:t>
      </w:r>
      <w:r>
        <w:rPr>
          <w:rFonts w:hint="eastAsia" w:ascii="宋体" w:hAnsi="宋体" w:eastAsia="宋体" w:cs="宋体"/>
          <w:spacing w:val="-49"/>
          <w:sz w:val="24"/>
          <w:szCs w:val="24"/>
        </w:rPr>
        <w:t>），</w:t>
      </w:r>
      <w:r>
        <w:rPr>
          <w:rFonts w:hint="eastAsia" w:ascii="宋体" w:hAnsi="宋体" w:eastAsia="宋体" w:cs="宋体"/>
          <w:spacing w:val="4"/>
          <w:sz w:val="24"/>
          <w:szCs w:val="24"/>
        </w:rPr>
        <w:t>承包人应按</w:t>
      </w:r>
      <w:r>
        <w:rPr>
          <w:rFonts w:hint="eastAsia" w:ascii="宋体" w:hAnsi="宋体" w:eastAsia="宋体" w:cs="宋体"/>
          <w:spacing w:val="3"/>
          <w:sz w:val="24"/>
          <w:szCs w:val="24"/>
        </w:rPr>
        <w:t>发包人要求编制质量报表或工程</w:t>
      </w:r>
      <w:r>
        <w:rPr>
          <w:rFonts w:hint="eastAsia" w:ascii="宋体" w:hAnsi="宋体" w:eastAsia="宋体" w:cs="宋体"/>
          <w:spacing w:val="-1"/>
          <w:sz w:val="24"/>
          <w:szCs w:val="24"/>
        </w:rPr>
        <w:t>量完成清单，报送发包人审查。</w:t>
      </w:r>
    </w:p>
    <w:p w14:paraId="16C85371">
      <w:pPr>
        <w:spacing w:before="78" w:line="219" w:lineRule="auto"/>
        <w:ind w:left="480"/>
        <w:rPr>
          <w:rFonts w:hint="eastAsia" w:ascii="宋体" w:hAnsi="宋体" w:eastAsia="宋体" w:cs="宋体"/>
          <w:sz w:val="24"/>
          <w:szCs w:val="24"/>
        </w:rPr>
      </w:pPr>
      <w:r>
        <w:rPr>
          <w:rFonts w:hint="eastAsia" w:ascii="宋体" w:hAnsi="宋体" w:eastAsia="宋体" w:cs="宋体"/>
          <w:spacing w:val="-4"/>
          <w:sz w:val="24"/>
          <w:szCs w:val="24"/>
        </w:rPr>
        <w:t>第</w:t>
      </w:r>
      <w:r>
        <w:rPr>
          <w:rFonts w:hint="eastAsia" w:ascii="宋体" w:hAnsi="宋体" w:eastAsia="宋体" w:cs="宋体"/>
          <w:spacing w:val="-27"/>
          <w:sz w:val="24"/>
          <w:szCs w:val="24"/>
        </w:rPr>
        <w:t xml:space="preserve"> </w:t>
      </w:r>
      <w:r>
        <w:rPr>
          <w:rFonts w:hint="eastAsia" w:ascii="宋体" w:hAnsi="宋体" w:eastAsia="宋体" w:cs="宋体"/>
          <w:spacing w:val="-4"/>
          <w:sz w:val="24"/>
          <w:szCs w:val="24"/>
        </w:rPr>
        <w:t>13.4 款修改为：</w:t>
      </w:r>
    </w:p>
    <w:p w14:paraId="719CAB07">
      <w:pPr>
        <w:spacing w:before="107" w:line="219" w:lineRule="auto"/>
        <w:ind w:left="487"/>
        <w:outlineLvl w:val="4"/>
        <w:rPr>
          <w:rFonts w:hint="eastAsia" w:ascii="宋体" w:hAnsi="宋体" w:eastAsia="宋体" w:cs="宋体"/>
          <w:sz w:val="24"/>
          <w:szCs w:val="24"/>
        </w:rPr>
      </w:pPr>
      <w:r>
        <w:rPr>
          <w:rFonts w:hint="eastAsia" w:ascii="宋体" w:hAnsi="宋体" w:eastAsia="宋体" w:cs="宋体"/>
          <w:b/>
          <w:bCs/>
          <w:spacing w:val="-3"/>
          <w:sz w:val="24"/>
          <w:szCs w:val="24"/>
        </w:rPr>
        <w:t>13.4  发包人的质量检查</w:t>
      </w:r>
    </w:p>
    <w:p w14:paraId="031180D8">
      <w:pPr>
        <w:spacing w:before="121" w:line="308" w:lineRule="auto"/>
        <w:ind w:firstLine="489"/>
        <w:rPr>
          <w:rFonts w:hint="eastAsia" w:ascii="宋体" w:hAnsi="宋体" w:eastAsia="宋体" w:cs="宋体"/>
          <w:sz w:val="24"/>
          <w:szCs w:val="24"/>
        </w:rPr>
      </w:pPr>
      <w:r>
        <w:rPr>
          <w:rFonts w:hint="eastAsia" w:ascii="宋体" w:hAnsi="宋体" w:eastAsia="宋体" w:cs="宋体"/>
          <w:sz w:val="24"/>
          <w:szCs w:val="24"/>
        </w:rPr>
        <w:t>发包人有权对养护工程的所有部位及其工艺、材料和工程设备进行</w:t>
      </w:r>
      <w:r>
        <w:rPr>
          <w:rFonts w:hint="eastAsia" w:ascii="宋体" w:hAnsi="宋体" w:eastAsia="宋体" w:cs="宋体"/>
          <w:spacing w:val="8"/>
          <w:sz w:val="24"/>
          <w:szCs w:val="24"/>
        </w:rPr>
        <w:t>检查和检验。承包人应为发包人的</w:t>
      </w:r>
      <w:r>
        <w:rPr>
          <w:rFonts w:hint="eastAsia" w:ascii="宋体" w:hAnsi="宋体" w:eastAsia="宋体" w:cs="宋体"/>
          <w:spacing w:val="7"/>
          <w:sz w:val="24"/>
          <w:szCs w:val="24"/>
        </w:rPr>
        <w:t>检查和检验提供方便，包括发包人</w:t>
      </w:r>
      <w:r>
        <w:rPr>
          <w:rFonts w:hint="eastAsia" w:ascii="宋体" w:hAnsi="宋体" w:eastAsia="宋体" w:cs="宋体"/>
          <w:spacing w:val="1"/>
          <w:sz w:val="24"/>
          <w:szCs w:val="24"/>
        </w:rPr>
        <w:t>到养护作业场地，或制造、加工地点，或</w:t>
      </w:r>
      <w:r>
        <w:rPr>
          <w:rFonts w:hint="eastAsia" w:ascii="宋体" w:hAnsi="宋体" w:eastAsia="宋体" w:cs="宋体"/>
          <w:sz w:val="24"/>
          <w:szCs w:val="24"/>
        </w:rPr>
        <w:t>合同约定的其他地方进行查看</w:t>
      </w:r>
      <w:r>
        <w:rPr>
          <w:rFonts w:hint="eastAsia" w:ascii="宋体" w:hAnsi="宋体" w:eastAsia="宋体" w:cs="宋体"/>
          <w:spacing w:val="1"/>
          <w:sz w:val="24"/>
          <w:szCs w:val="24"/>
        </w:rPr>
        <w:t>和查阅养护作业原始记录。承包人还应按发包人</w:t>
      </w:r>
      <w:r>
        <w:rPr>
          <w:rFonts w:hint="eastAsia" w:ascii="宋体" w:hAnsi="宋体" w:eastAsia="宋体" w:cs="宋体"/>
          <w:sz w:val="24"/>
          <w:szCs w:val="24"/>
        </w:rPr>
        <w:t>指示，进行养护作业场</w:t>
      </w:r>
      <w:r>
        <w:rPr>
          <w:rFonts w:hint="eastAsia" w:ascii="宋体" w:hAnsi="宋体" w:eastAsia="宋体" w:cs="宋体"/>
          <w:spacing w:val="1"/>
          <w:sz w:val="24"/>
          <w:szCs w:val="24"/>
        </w:rPr>
        <w:t>地取样试验、工程复核测量和设备性能检测，提供试验样</w:t>
      </w:r>
      <w:r>
        <w:rPr>
          <w:rFonts w:hint="eastAsia" w:ascii="宋体" w:hAnsi="宋体" w:eastAsia="宋体" w:cs="宋体"/>
          <w:sz w:val="24"/>
          <w:szCs w:val="24"/>
        </w:rPr>
        <w:t>品、提交试验报告和测量</w:t>
      </w:r>
      <w:r>
        <w:rPr>
          <w:rFonts w:hint="eastAsia" w:ascii="宋体" w:hAnsi="宋体" w:eastAsia="宋体" w:cs="宋体"/>
          <w:spacing w:val="-2"/>
          <w:sz w:val="24"/>
          <w:szCs w:val="24"/>
        </w:rPr>
        <w:t>成果以及发包人要求进行的其他工作。发包人的检查和检验，</w:t>
      </w:r>
      <w:r>
        <w:rPr>
          <w:rFonts w:hint="eastAsia" w:ascii="宋体" w:hAnsi="宋体" w:eastAsia="宋体" w:cs="宋体"/>
          <w:spacing w:val="-1"/>
          <w:sz w:val="24"/>
          <w:szCs w:val="24"/>
        </w:rPr>
        <w:t>不免除承包人按合同约定应负的责任。</w:t>
      </w:r>
    </w:p>
    <w:p w14:paraId="13986338">
      <w:pPr>
        <w:spacing w:before="3" w:line="307" w:lineRule="auto"/>
        <w:ind w:right="145" w:firstLine="489"/>
        <w:rPr>
          <w:rFonts w:hint="eastAsia" w:ascii="宋体" w:hAnsi="宋体" w:eastAsia="宋体" w:cs="宋体"/>
          <w:sz w:val="24"/>
          <w:szCs w:val="24"/>
        </w:rPr>
      </w:pPr>
      <w:r>
        <w:rPr>
          <w:rFonts w:hint="eastAsia" w:ascii="宋体" w:hAnsi="宋体" w:eastAsia="宋体" w:cs="宋体"/>
          <w:sz w:val="24"/>
          <w:szCs w:val="24"/>
        </w:rPr>
        <w:t>发包人可以将材料或工程设备的检查和检验委托给一家独立的具备</w:t>
      </w:r>
      <w:r>
        <w:rPr>
          <w:rFonts w:hint="eastAsia" w:ascii="宋体" w:hAnsi="宋体" w:eastAsia="宋体" w:cs="宋体"/>
          <w:spacing w:val="1"/>
          <w:sz w:val="24"/>
          <w:szCs w:val="24"/>
        </w:rPr>
        <w:t>相应检测资质资格的单位承担。该独立检验单位的检验结</w:t>
      </w:r>
      <w:r>
        <w:rPr>
          <w:rFonts w:hint="eastAsia" w:ascii="宋体" w:hAnsi="宋体" w:eastAsia="宋体" w:cs="宋体"/>
          <w:sz w:val="24"/>
          <w:szCs w:val="24"/>
        </w:rPr>
        <w:t>果应视为由发包人</w:t>
      </w:r>
      <w:r>
        <w:rPr>
          <w:rFonts w:hint="eastAsia" w:ascii="宋体" w:hAnsi="宋体" w:eastAsia="宋体" w:cs="宋体"/>
          <w:spacing w:val="-1"/>
          <w:sz w:val="24"/>
          <w:szCs w:val="24"/>
        </w:rPr>
        <w:t>完成。发包人应至少提前</w:t>
      </w:r>
      <w:r>
        <w:rPr>
          <w:rFonts w:hint="eastAsia" w:ascii="宋体" w:hAnsi="宋体" w:eastAsia="宋体" w:cs="宋体"/>
          <w:spacing w:val="-38"/>
          <w:sz w:val="24"/>
          <w:szCs w:val="24"/>
        </w:rPr>
        <w:t xml:space="preserve"> </w:t>
      </w:r>
      <w:r>
        <w:rPr>
          <w:rFonts w:hint="eastAsia" w:ascii="宋体" w:hAnsi="宋体" w:eastAsia="宋体" w:cs="宋体"/>
          <w:spacing w:val="-1"/>
          <w:sz w:val="24"/>
          <w:szCs w:val="24"/>
        </w:rPr>
        <w:t>7 天将委托通知书交给承包人。</w:t>
      </w:r>
    </w:p>
    <w:p w14:paraId="5DC85057">
      <w:pPr>
        <w:spacing w:before="3" w:line="308" w:lineRule="auto"/>
        <w:ind w:right="145" w:firstLine="489"/>
        <w:rPr>
          <w:rFonts w:hint="eastAsia" w:ascii="宋体" w:hAnsi="宋体" w:eastAsia="宋体" w:cs="宋体"/>
          <w:sz w:val="24"/>
          <w:szCs w:val="24"/>
        </w:rPr>
      </w:pPr>
      <w:r>
        <w:rPr>
          <w:rFonts w:hint="eastAsia" w:ascii="宋体" w:hAnsi="宋体" w:eastAsia="宋体" w:cs="宋体"/>
          <w:sz w:val="24"/>
          <w:szCs w:val="24"/>
        </w:rPr>
        <w:t>发包人可以采取定期或不定期的方法对承包人的日常养护工作进行</w:t>
      </w:r>
      <w:r>
        <w:rPr>
          <w:rFonts w:hint="eastAsia" w:ascii="宋体" w:hAnsi="宋体" w:eastAsia="宋体" w:cs="宋体"/>
          <w:spacing w:val="1"/>
          <w:sz w:val="24"/>
          <w:szCs w:val="24"/>
        </w:rPr>
        <w:t>检查，承包人应为检查提供方便，包括且不限于发包</w:t>
      </w:r>
      <w:r>
        <w:rPr>
          <w:rFonts w:hint="eastAsia" w:ascii="宋体" w:hAnsi="宋体" w:eastAsia="宋体" w:cs="宋体"/>
          <w:sz w:val="24"/>
          <w:szCs w:val="24"/>
        </w:rPr>
        <w:t>人到养护站点进行</w:t>
      </w:r>
      <w:r>
        <w:rPr>
          <w:rFonts w:hint="eastAsia" w:ascii="宋体" w:hAnsi="宋体" w:eastAsia="宋体" w:cs="宋体"/>
          <w:spacing w:val="1"/>
          <w:sz w:val="24"/>
          <w:szCs w:val="24"/>
        </w:rPr>
        <w:t>检查、开展内业资料查阅、在公路设施现场进行检查检验</w:t>
      </w:r>
      <w:r>
        <w:rPr>
          <w:rFonts w:hint="eastAsia" w:ascii="宋体" w:hAnsi="宋体" w:eastAsia="宋体" w:cs="宋体"/>
          <w:sz w:val="24"/>
          <w:szCs w:val="24"/>
        </w:rPr>
        <w:t>等。发包人的检查和检验，不免除承包人按合同约定达到绩</w:t>
      </w:r>
      <w:r>
        <w:rPr>
          <w:rFonts w:hint="eastAsia" w:ascii="宋体" w:hAnsi="宋体" w:eastAsia="宋体" w:cs="宋体"/>
          <w:spacing w:val="-1"/>
          <w:sz w:val="24"/>
          <w:szCs w:val="24"/>
        </w:rPr>
        <w:t>效服务水平应负的责任。</w:t>
      </w:r>
    </w:p>
    <w:p w14:paraId="5EC5185B">
      <w:pPr>
        <w:spacing w:before="79" w:line="219" w:lineRule="auto"/>
        <w:ind w:left="487"/>
        <w:outlineLvl w:val="3"/>
        <w:rPr>
          <w:rFonts w:hint="eastAsia" w:ascii="宋体" w:hAnsi="宋体" w:eastAsia="宋体" w:cs="宋体"/>
          <w:sz w:val="24"/>
          <w:szCs w:val="24"/>
        </w:rPr>
      </w:pPr>
      <w:bookmarkStart w:id="196" w:name="bookmark159"/>
      <w:bookmarkEnd w:id="196"/>
      <w:bookmarkStart w:id="197" w:name="bookmark160"/>
      <w:bookmarkEnd w:id="197"/>
      <w:r>
        <w:rPr>
          <w:rFonts w:hint="eastAsia" w:ascii="宋体" w:hAnsi="宋体" w:eastAsia="宋体" w:cs="宋体"/>
          <w:b/>
          <w:bCs/>
          <w:spacing w:val="-3"/>
          <w:sz w:val="24"/>
          <w:szCs w:val="24"/>
        </w:rPr>
        <w:t>14.  试验和检验</w:t>
      </w:r>
    </w:p>
    <w:p w14:paraId="0753C388">
      <w:pPr>
        <w:pStyle w:val="11"/>
        <w:spacing w:line="246" w:lineRule="auto"/>
        <w:ind w:firstLine="480" w:firstLineChars="200"/>
        <w:rPr>
          <w:rFonts w:hint="eastAsia" w:ascii="宋体" w:hAnsi="宋体" w:eastAsia="宋体" w:cs="宋体"/>
          <w:sz w:val="24"/>
          <w:szCs w:val="24"/>
          <w:highlight w:val="yellow"/>
          <w:lang w:eastAsia="zh-CN"/>
        </w:rPr>
      </w:pPr>
      <w:r>
        <w:rPr>
          <w:rFonts w:hint="eastAsia" w:ascii="宋体" w:hAnsi="宋体" w:eastAsia="宋体" w:cs="宋体"/>
          <w:snapToGrid w:val="0"/>
          <w:color w:val="000000"/>
          <w:kern w:val="0"/>
          <w:sz w:val="24"/>
          <w:szCs w:val="24"/>
          <w:highlight w:val="none"/>
          <w:lang w:val="en-US" w:eastAsia="zh-CN" w:bidi="ar-SA"/>
        </w:rPr>
        <w:t>补充第 14.4～14.6 款：</w:t>
      </w:r>
    </w:p>
    <w:p w14:paraId="62F913C7">
      <w:pPr>
        <w:spacing w:before="78" w:line="219" w:lineRule="auto"/>
        <w:ind w:left="502"/>
        <w:rPr>
          <w:rFonts w:hint="eastAsia" w:ascii="宋体" w:hAnsi="宋体" w:eastAsia="宋体" w:cs="宋体"/>
          <w:sz w:val="24"/>
          <w:szCs w:val="24"/>
        </w:rPr>
      </w:pPr>
      <w:r>
        <w:rPr>
          <w:rFonts w:hint="eastAsia" w:ascii="宋体" w:hAnsi="宋体" w:eastAsia="宋体" w:cs="宋体"/>
          <w:spacing w:val="-7"/>
          <w:sz w:val="24"/>
          <w:szCs w:val="24"/>
        </w:rPr>
        <w:t>14.4</w:t>
      </w:r>
      <w:r>
        <w:rPr>
          <w:rFonts w:hint="eastAsia" w:ascii="宋体" w:hAnsi="宋体" w:eastAsia="宋体" w:cs="宋体"/>
          <w:spacing w:val="30"/>
          <w:w w:val="101"/>
          <w:sz w:val="24"/>
          <w:szCs w:val="24"/>
        </w:rPr>
        <w:t xml:space="preserve">  </w:t>
      </w:r>
      <w:r>
        <w:rPr>
          <w:rFonts w:hint="eastAsia" w:ascii="宋体" w:hAnsi="宋体" w:eastAsia="宋体" w:cs="宋体"/>
          <w:spacing w:val="-7"/>
          <w:sz w:val="24"/>
          <w:szCs w:val="24"/>
        </w:rPr>
        <w:t>日常巡查和经常检查</w:t>
      </w:r>
    </w:p>
    <w:p w14:paraId="628248B6">
      <w:pPr>
        <w:spacing w:before="114" w:line="304" w:lineRule="auto"/>
        <w:ind w:left="10" w:firstLine="472"/>
        <w:rPr>
          <w:rFonts w:hint="eastAsia" w:ascii="宋体" w:hAnsi="宋体" w:eastAsia="宋体" w:cs="宋体"/>
          <w:sz w:val="24"/>
          <w:szCs w:val="24"/>
        </w:rPr>
      </w:pPr>
      <w:r>
        <w:rPr>
          <w:rFonts w:hint="eastAsia" w:ascii="宋体" w:hAnsi="宋体" w:eastAsia="宋体" w:cs="宋体"/>
          <w:spacing w:val="1"/>
          <w:sz w:val="24"/>
          <w:szCs w:val="24"/>
        </w:rPr>
        <w:t>承包人应加强对公路设施的日常巡查、经常检查，对于发</w:t>
      </w:r>
      <w:r>
        <w:rPr>
          <w:rFonts w:hint="eastAsia" w:ascii="宋体" w:hAnsi="宋体" w:eastAsia="宋体" w:cs="宋体"/>
          <w:sz w:val="24"/>
          <w:szCs w:val="24"/>
        </w:rPr>
        <w:t>现的问题及时提出解</w:t>
      </w:r>
      <w:r>
        <w:rPr>
          <w:rFonts w:hint="eastAsia" w:ascii="宋体" w:hAnsi="宋体" w:eastAsia="宋体" w:cs="宋体"/>
          <w:spacing w:val="-1"/>
          <w:sz w:val="24"/>
          <w:szCs w:val="24"/>
        </w:rPr>
        <w:t>决措施，确保公路设施安全、完好、畅通。</w:t>
      </w:r>
    </w:p>
    <w:p w14:paraId="1043F49A">
      <w:pPr>
        <w:spacing w:line="219" w:lineRule="auto"/>
        <w:ind w:left="502"/>
        <w:rPr>
          <w:rFonts w:hint="eastAsia" w:ascii="宋体" w:hAnsi="宋体" w:eastAsia="宋体" w:cs="宋体"/>
          <w:sz w:val="24"/>
          <w:szCs w:val="24"/>
        </w:rPr>
      </w:pPr>
      <w:r>
        <w:rPr>
          <w:rFonts w:hint="eastAsia" w:ascii="宋体" w:hAnsi="宋体" w:eastAsia="宋体" w:cs="宋体"/>
          <w:spacing w:val="-3"/>
          <w:sz w:val="24"/>
          <w:szCs w:val="24"/>
        </w:rPr>
        <w:t>14.5  公路技术状况检测</w:t>
      </w:r>
    </w:p>
    <w:p w14:paraId="6636A604">
      <w:pPr>
        <w:spacing w:before="116" w:line="307" w:lineRule="auto"/>
        <w:ind w:left="14" w:firstLine="468"/>
        <w:rPr>
          <w:rFonts w:hint="eastAsia" w:ascii="宋体" w:hAnsi="宋体" w:eastAsia="宋体" w:cs="宋体"/>
          <w:sz w:val="24"/>
          <w:szCs w:val="24"/>
        </w:rPr>
      </w:pPr>
      <w:r>
        <w:rPr>
          <w:rFonts w:hint="eastAsia" w:ascii="宋体" w:hAnsi="宋体" w:eastAsia="宋体" w:cs="宋体"/>
          <w:spacing w:val="8"/>
          <w:sz w:val="24"/>
          <w:szCs w:val="24"/>
        </w:rPr>
        <w:t>承包人应加强对公路设施的技术状况检测。承包人检测前应提前告知发包人</w:t>
      </w:r>
      <w:r>
        <w:rPr>
          <w:rFonts w:hint="eastAsia" w:ascii="宋体" w:hAnsi="宋体" w:eastAsia="宋体" w:cs="宋体"/>
          <w:spacing w:val="-2"/>
          <w:sz w:val="24"/>
          <w:szCs w:val="24"/>
        </w:rPr>
        <w:t>，检测后向发包人提交检测报告。</w:t>
      </w:r>
    </w:p>
    <w:p w14:paraId="259D0AE3">
      <w:pPr>
        <w:spacing w:line="219" w:lineRule="auto"/>
        <w:ind w:left="502"/>
        <w:rPr>
          <w:rFonts w:hint="eastAsia" w:ascii="宋体" w:hAnsi="宋体" w:eastAsia="宋体" w:cs="宋体"/>
          <w:sz w:val="24"/>
          <w:szCs w:val="24"/>
        </w:rPr>
      </w:pPr>
      <w:r>
        <w:rPr>
          <w:rFonts w:hint="eastAsia" w:ascii="宋体" w:hAnsi="宋体" w:eastAsia="宋体" w:cs="宋体"/>
          <w:spacing w:val="-2"/>
          <w:sz w:val="24"/>
          <w:szCs w:val="24"/>
        </w:rPr>
        <w:t>14.6  养护资料及档案规范化检查</w:t>
      </w:r>
    </w:p>
    <w:p w14:paraId="69BF0669">
      <w:pPr>
        <w:spacing w:before="116" w:line="309" w:lineRule="auto"/>
        <w:ind w:left="14" w:firstLine="468"/>
        <w:rPr>
          <w:rFonts w:hint="eastAsia" w:ascii="宋体" w:hAnsi="宋体" w:eastAsia="宋体" w:cs="宋体"/>
          <w:sz w:val="24"/>
          <w:szCs w:val="24"/>
        </w:rPr>
      </w:pPr>
      <w:r>
        <w:rPr>
          <w:rFonts w:hint="eastAsia" w:ascii="宋体" w:hAnsi="宋体" w:eastAsia="宋体" w:cs="宋体"/>
          <w:spacing w:val="1"/>
          <w:sz w:val="24"/>
          <w:szCs w:val="24"/>
        </w:rPr>
        <w:t>承包人应定期或不定期对养护资料及档案进行自检，在必</w:t>
      </w:r>
      <w:r>
        <w:rPr>
          <w:rFonts w:hint="eastAsia" w:ascii="宋体" w:hAnsi="宋体" w:eastAsia="宋体" w:cs="宋体"/>
          <w:sz w:val="24"/>
          <w:szCs w:val="24"/>
        </w:rPr>
        <w:t>要时也可邀请发包人</w:t>
      </w:r>
      <w:r>
        <w:rPr>
          <w:rFonts w:hint="eastAsia" w:ascii="宋体" w:hAnsi="宋体" w:eastAsia="宋体" w:cs="宋体"/>
          <w:spacing w:val="-2"/>
          <w:sz w:val="24"/>
          <w:szCs w:val="24"/>
        </w:rPr>
        <w:t>进行复核和现场指导。</w:t>
      </w:r>
    </w:p>
    <w:p w14:paraId="47A60650">
      <w:pPr>
        <w:spacing w:before="78" w:line="221" w:lineRule="auto"/>
        <w:ind w:left="489"/>
        <w:outlineLvl w:val="3"/>
        <w:rPr>
          <w:rFonts w:hint="eastAsia" w:ascii="宋体" w:hAnsi="宋体" w:eastAsia="宋体" w:cs="宋体"/>
          <w:sz w:val="24"/>
          <w:szCs w:val="24"/>
        </w:rPr>
      </w:pPr>
      <w:bookmarkStart w:id="198" w:name="bookmark162"/>
      <w:bookmarkEnd w:id="198"/>
      <w:bookmarkStart w:id="199" w:name="bookmark161"/>
      <w:bookmarkEnd w:id="199"/>
      <w:r>
        <w:rPr>
          <w:rFonts w:hint="eastAsia" w:ascii="宋体" w:hAnsi="宋体" w:eastAsia="宋体" w:cs="宋体"/>
          <w:b/>
          <w:bCs/>
          <w:spacing w:val="-7"/>
          <w:sz w:val="24"/>
          <w:szCs w:val="24"/>
        </w:rPr>
        <w:t>15.</w:t>
      </w:r>
      <w:r>
        <w:rPr>
          <w:rFonts w:hint="eastAsia" w:ascii="宋体" w:hAnsi="宋体" w:eastAsia="宋体" w:cs="宋体"/>
          <w:b/>
          <w:bCs/>
          <w:spacing w:val="6"/>
          <w:sz w:val="24"/>
          <w:szCs w:val="24"/>
        </w:rPr>
        <w:t xml:space="preserve">  </w:t>
      </w:r>
      <w:r>
        <w:rPr>
          <w:rFonts w:hint="eastAsia" w:ascii="宋体" w:hAnsi="宋体" w:eastAsia="宋体" w:cs="宋体"/>
          <w:b/>
          <w:bCs/>
          <w:spacing w:val="-7"/>
          <w:sz w:val="24"/>
          <w:szCs w:val="24"/>
        </w:rPr>
        <w:t>变更</w:t>
      </w:r>
    </w:p>
    <w:p w14:paraId="2660B949">
      <w:pPr>
        <w:spacing w:before="112" w:line="219" w:lineRule="auto"/>
        <w:ind w:left="489"/>
        <w:outlineLvl w:val="4"/>
        <w:rPr>
          <w:rFonts w:hint="eastAsia" w:ascii="宋体" w:hAnsi="宋体" w:eastAsia="宋体" w:cs="宋体"/>
          <w:sz w:val="24"/>
          <w:szCs w:val="24"/>
        </w:rPr>
      </w:pPr>
      <w:r>
        <w:rPr>
          <w:rFonts w:hint="eastAsia" w:ascii="宋体" w:hAnsi="宋体" w:eastAsia="宋体" w:cs="宋体"/>
          <w:b/>
          <w:bCs/>
          <w:spacing w:val="-3"/>
          <w:sz w:val="24"/>
          <w:szCs w:val="24"/>
        </w:rPr>
        <w:t>15.1  变更的范围和内容</w:t>
      </w:r>
    </w:p>
    <w:p w14:paraId="51623C95">
      <w:pPr>
        <w:spacing w:before="116" w:line="219" w:lineRule="auto"/>
        <w:ind w:left="483"/>
        <w:rPr>
          <w:rFonts w:hint="eastAsia" w:ascii="宋体" w:hAnsi="宋体" w:eastAsia="宋体" w:cs="宋体"/>
          <w:sz w:val="24"/>
          <w:szCs w:val="24"/>
        </w:rPr>
      </w:pPr>
      <w:r>
        <w:rPr>
          <w:rFonts w:hint="eastAsia" w:ascii="宋体" w:hAnsi="宋体" w:eastAsia="宋体" w:cs="宋体"/>
          <w:spacing w:val="-4"/>
          <w:sz w:val="24"/>
          <w:szCs w:val="24"/>
        </w:rPr>
        <w:t>补充第（6</w:t>
      </w:r>
      <w:r>
        <w:rPr>
          <w:rFonts w:hint="eastAsia" w:ascii="宋体" w:hAnsi="宋体" w:eastAsia="宋体" w:cs="宋体"/>
          <w:spacing w:val="-10"/>
          <w:sz w:val="24"/>
          <w:szCs w:val="24"/>
        </w:rPr>
        <w:t>）～（</w:t>
      </w:r>
      <w:r>
        <w:rPr>
          <w:rFonts w:hint="eastAsia" w:ascii="宋体" w:hAnsi="宋体" w:eastAsia="宋体" w:cs="宋体"/>
          <w:spacing w:val="-4"/>
          <w:sz w:val="24"/>
          <w:szCs w:val="24"/>
        </w:rPr>
        <w:t>8）</w:t>
      </w:r>
      <w:r>
        <w:rPr>
          <w:rFonts w:hint="eastAsia" w:ascii="宋体" w:hAnsi="宋体" w:eastAsia="宋体" w:cs="宋体"/>
          <w:spacing w:val="-65"/>
          <w:sz w:val="24"/>
          <w:szCs w:val="24"/>
        </w:rPr>
        <w:t xml:space="preserve"> </w:t>
      </w:r>
      <w:r>
        <w:rPr>
          <w:rFonts w:hint="eastAsia" w:ascii="宋体" w:hAnsi="宋体" w:eastAsia="宋体" w:cs="宋体"/>
          <w:spacing w:val="-4"/>
          <w:sz w:val="24"/>
          <w:szCs w:val="24"/>
        </w:rPr>
        <w:t>目：</w:t>
      </w:r>
    </w:p>
    <w:p w14:paraId="1E3F30CE">
      <w:pPr>
        <w:spacing w:before="126" w:line="219" w:lineRule="auto"/>
        <w:ind w:left="494"/>
        <w:rPr>
          <w:rFonts w:hint="eastAsia" w:ascii="宋体" w:hAnsi="宋体" w:eastAsia="宋体" w:cs="宋体"/>
          <w:sz w:val="24"/>
          <w:szCs w:val="24"/>
        </w:rPr>
      </w:pPr>
      <w:r>
        <w:rPr>
          <w:rFonts w:hint="eastAsia" w:ascii="宋体" w:hAnsi="宋体" w:eastAsia="宋体" w:cs="宋体"/>
          <w:spacing w:val="-2"/>
          <w:sz w:val="24"/>
          <w:szCs w:val="24"/>
        </w:rPr>
        <w:t>（6）改变合同承包年限；</w:t>
      </w:r>
    </w:p>
    <w:p w14:paraId="4D0ABCA3">
      <w:pPr>
        <w:spacing w:before="114" w:line="219" w:lineRule="auto"/>
        <w:ind w:left="494"/>
        <w:rPr>
          <w:rFonts w:hint="eastAsia" w:ascii="宋体" w:hAnsi="宋体" w:eastAsia="宋体" w:cs="宋体"/>
          <w:sz w:val="24"/>
          <w:szCs w:val="24"/>
        </w:rPr>
      </w:pPr>
      <w:r>
        <w:rPr>
          <w:rFonts w:hint="eastAsia" w:ascii="宋体" w:hAnsi="宋体" w:eastAsia="宋体" w:cs="宋体"/>
          <w:spacing w:val="-1"/>
          <w:sz w:val="24"/>
          <w:szCs w:val="24"/>
        </w:rPr>
        <w:t>（7）改变合同约定的养护里程、位置、设施种类及数量；</w:t>
      </w:r>
    </w:p>
    <w:p w14:paraId="023EC1AA">
      <w:pPr>
        <w:spacing w:before="116" w:line="219" w:lineRule="auto"/>
        <w:ind w:left="494"/>
        <w:rPr>
          <w:rFonts w:hint="eastAsia" w:ascii="宋体" w:hAnsi="宋体" w:eastAsia="宋体" w:cs="宋体"/>
          <w:sz w:val="24"/>
          <w:szCs w:val="24"/>
        </w:rPr>
      </w:pPr>
      <w:r>
        <w:rPr>
          <w:rFonts w:hint="eastAsia" w:ascii="宋体" w:hAnsi="宋体" w:eastAsia="宋体" w:cs="宋体"/>
          <w:spacing w:val="-1"/>
          <w:sz w:val="24"/>
          <w:szCs w:val="24"/>
        </w:rPr>
        <w:t>（8）改变合同总承包金额且同步改变合同约定的绩效服务水平。</w:t>
      </w:r>
    </w:p>
    <w:p w14:paraId="7DEDA1BE">
      <w:pPr>
        <w:spacing w:before="78" w:line="218" w:lineRule="auto"/>
        <w:ind w:left="489"/>
        <w:outlineLvl w:val="4"/>
        <w:rPr>
          <w:rFonts w:hint="eastAsia" w:ascii="宋体" w:hAnsi="宋体" w:eastAsia="宋体" w:cs="宋体"/>
          <w:sz w:val="24"/>
          <w:szCs w:val="24"/>
        </w:rPr>
      </w:pPr>
      <w:r>
        <w:rPr>
          <w:rFonts w:hint="eastAsia" w:ascii="宋体" w:hAnsi="宋体" w:eastAsia="宋体" w:cs="宋体"/>
          <w:b/>
          <w:bCs/>
          <w:spacing w:val="-3"/>
          <w:sz w:val="24"/>
          <w:szCs w:val="24"/>
        </w:rPr>
        <w:t>15.4  变更的估价原则</w:t>
      </w:r>
    </w:p>
    <w:p w14:paraId="3A66F7EE">
      <w:pPr>
        <w:spacing w:before="118" w:line="219" w:lineRule="auto"/>
        <w:ind w:left="483"/>
        <w:rPr>
          <w:rFonts w:hint="eastAsia" w:ascii="宋体" w:hAnsi="宋体" w:eastAsia="宋体" w:cs="宋体"/>
          <w:sz w:val="24"/>
          <w:szCs w:val="24"/>
        </w:rPr>
      </w:pPr>
      <w:r>
        <w:rPr>
          <w:rFonts w:hint="eastAsia" w:ascii="宋体" w:hAnsi="宋体" w:eastAsia="宋体" w:cs="宋体"/>
          <w:spacing w:val="-4"/>
          <w:sz w:val="24"/>
          <w:szCs w:val="24"/>
        </w:rPr>
        <w:t>补充第</w:t>
      </w:r>
      <w:r>
        <w:rPr>
          <w:rFonts w:hint="eastAsia" w:ascii="宋体" w:hAnsi="宋体" w:eastAsia="宋体" w:cs="宋体"/>
          <w:spacing w:val="-23"/>
          <w:sz w:val="24"/>
          <w:szCs w:val="24"/>
        </w:rPr>
        <w:t xml:space="preserve"> </w:t>
      </w:r>
      <w:r>
        <w:rPr>
          <w:rFonts w:hint="eastAsia" w:ascii="宋体" w:hAnsi="宋体" w:eastAsia="宋体" w:cs="宋体"/>
          <w:spacing w:val="-4"/>
          <w:sz w:val="24"/>
          <w:szCs w:val="24"/>
        </w:rPr>
        <w:t>15.4.6 项：</w:t>
      </w:r>
    </w:p>
    <w:p w14:paraId="59A5DE28">
      <w:pPr>
        <w:spacing w:before="124" w:line="309" w:lineRule="auto"/>
        <w:ind w:left="3" w:firstLine="498"/>
        <w:rPr>
          <w:rFonts w:hint="eastAsia" w:ascii="宋体" w:hAnsi="宋体" w:eastAsia="宋体" w:cs="宋体"/>
          <w:sz w:val="24"/>
          <w:szCs w:val="24"/>
        </w:rPr>
      </w:pPr>
      <w:r>
        <w:rPr>
          <w:rFonts w:hint="eastAsia" w:ascii="宋体" w:hAnsi="宋体" w:eastAsia="宋体" w:cs="宋体"/>
          <w:sz w:val="24"/>
          <w:szCs w:val="24"/>
        </w:rPr>
        <w:t>15.4.6  发包人改变合同总承包金额且同步改变合同约定的绩效服务水平或者改</w:t>
      </w:r>
      <w:r>
        <w:rPr>
          <w:rFonts w:hint="eastAsia" w:ascii="宋体" w:hAnsi="宋体" w:eastAsia="宋体" w:cs="宋体"/>
          <w:spacing w:val="1"/>
          <w:sz w:val="24"/>
          <w:szCs w:val="24"/>
        </w:rPr>
        <w:t>变合同承包期限且同步改变合同约定的绩效服务水平的，</w:t>
      </w:r>
      <w:r>
        <w:rPr>
          <w:rFonts w:hint="eastAsia" w:ascii="宋体" w:hAnsi="宋体" w:eastAsia="宋体" w:cs="宋体"/>
          <w:sz w:val="24"/>
          <w:szCs w:val="24"/>
        </w:rPr>
        <w:t>应结合合同总承包金额的</w:t>
      </w:r>
      <w:r>
        <w:rPr>
          <w:rFonts w:hint="eastAsia" w:ascii="宋体" w:hAnsi="宋体" w:eastAsia="宋体" w:cs="宋体"/>
          <w:spacing w:val="1"/>
          <w:sz w:val="24"/>
          <w:szCs w:val="24"/>
        </w:rPr>
        <w:t>变化水平、合同承包期限的变化情况，按照变更前绩效服</w:t>
      </w:r>
      <w:r>
        <w:rPr>
          <w:rFonts w:hint="eastAsia" w:ascii="宋体" w:hAnsi="宋体" w:eastAsia="宋体" w:cs="宋体"/>
          <w:sz w:val="24"/>
          <w:szCs w:val="24"/>
        </w:rPr>
        <w:t>务水平的测算方法重新进</w:t>
      </w:r>
      <w:r>
        <w:rPr>
          <w:rFonts w:hint="eastAsia" w:ascii="宋体" w:hAnsi="宋体" w:eastAsia="宋体" w:cs="宋体"/>
          <w:spacing w:val="-1"/>
          <w:sz w:val="24"/>
          <w:szCs w:val="24"/>
        </w:rPr>
        <w:t>行变更后绩效服务水平的测算，并按合同当事人商定或确定变更的绩效服务水平。</w:t>
      </w:r>
    </w:p>
    <w:p w14:paraId="6D26552F">
      <w:pPr>
        <w:spacing w:before="79" w:line="219" w:lineRule="auto"/>
        <w:ind w:left="489"/>
        <w:outlineLvl w:val="4"/>
        <w:rPr>
          <w:rFonts w:hint="eastAsia" w:ascii="宋体" w:hAnsi="宋体" w:eastAsia="宋体" w:cs="宋体"/>
          <w:sz w:val="24"/>
          <w:szCs w:val="24"/>
        </w:rPr>
      </w:pPr>
      <w:r>
        <w:rPr>
          <w:rFonts w:hint="eastAsia" w:ascii="宋体" w:hAnsi="宋体" w:eastAsia="宋体" w:cs="宋体"/>
          <w:b/>
          <w:bCs/>
          <w:spacing w:val="-6"/>
          <w:sz w:val="24"/>
          <w:szCs w:val="24"/>
        </w:rPr>
        <w:t>15.6</w:t>
      </w:r>
      <w:r>
        <w:rPr>
          <w:rFonts w:hint="eastAsia" w:ascii="宋体" w:hAnsi="宋体" w:eastAsia="宋体" w:cs="宋体"/>
          <w:b/>
          <w:bCs/>
          <w:spacing w:val="10"/>
          <w:sz w:val="24"/>
          <w:szCs w:val="24"/>
        </w:rPr>
        <w:t xml:space="preserve">  </w:t>
      </w:r>
      <w:r>
        <w:rPr>
          <w:rFonts w:hint="eastAsia" w:ascii="宋体" w:hAnsi="宋体" w:eastAsia="宋体" w:cs="宋体"/>
          <w:b/>
          <w:bCs/>
          <w:spacing w:val="-6"/>
          <w:sz w:val="24"/>
          <w:szCs w:val="24"/>
        </w:rPr>
        <w:t>暂列金额</w:t>
      </w:r>
    </w:p>
    <w:p w14:paraId="1366FD91">
      <w:pPr>
        <w:spacing w:before="126" w:line="219" w:lineRule="auto"/>
        <w:ind w:left="483"/>
        <w:rPr>
          <w:rFonts w:hint="eastAsia" w:ascii="宋体" w:hAnsi="宋体" w:eastAsia="宋体" w:cs="宋体"/>
          <w:sz w:val="24"/>
          <w:szCs w:val="24"/>
        </w:rPr>
      </w:pPr>
      <w:r>
        <w:rPr>
          <w:rFonts w:hint="eastAsia" w:ascii="宋体" w:hAnsi="宋体" w:eastAsia="宋体" w:cs="宋体"/>
          <w:spacing w:val="-4"/>
          <w:sz w:val="24"/>
          <w:szCs w:val="24"/>
        </w:rPr>
        <w:t>补充第</w:t>
      </w:r>
      <w:r>
        <w:rPr>
          <w:rFonts w:hint="eastAsia" w:ascii="宋体" w:hAnsi="宋体" w:eastAsia="宋体" w:cs="宋体"/>
          <w:spacing w:val="-23"/>
          <w:sz w:val="24"/>
          <w:szCs w:val="24"/>
        </w:rPr>
        <w:t xml:space="preserve"> </w:t>
      </w:r>
      <w:r>
        <w:rPr>
          <w:rFonts w:hint="eastAsia" w:ascii="宋体" w:hAnsi="宋体" w:eastAsia="宋体" w:cs="宋体"/>
          <w:spacing w:val="-4"/>
          <w:sz w:val="24"/>
          <w:szCs w:val="24"/>
        </w:rPr>
        <w:t>15.6.4 项：</w:t>
      </w:r>
    </w:p>
    <w:p w14:paraId="7B242BC6">
      <w:pPr>
        <w:spacing w:before="112" w:line="264" w:lineRule="auto"/>
        <w:ind w:right="2" w:firstLine="502"/>
        <w:rPr>
          <w:rFonts w:hint="eastAsia" w:ascii="宋体" w:hAnsi="宋体" w:eastAsia="宋体" w:cs="宋体"/>
          <w:sz w:val="24"/>
          <w:szCs w:val="24"/>
        </w:rPr>
      </w:pPr>
      <w:r>
        <w:rPr>
          <w:rFonts w:hint="eastAsia" w:ascii="宋体" w:hAnsi="宋体" w:eastAsia="宋体" w:cs="宋体"/>
          <w:sz w:val="24"/>
          <w:szCs w:val="24"/>
        </w:rPr>
        <w:t xml:space="preserve">15.6.4  </w:t>
      </w:r>
      <w:r>
        <w:rPr>
          <w:rFonts w:hint="eastAsia" w:ascii="宋体" w:hAnsi="宋体" w:eastAsia="宋体" w:cs="宋体"/>
          <w:spacing w:val="5"/>
          <w:sz w:val="24"/>
          <w:szCs w:val="24"/>
          <w:highlight w:val="none"/>
        </w:rPr>
        <w:t>暂列金额</w:t>
      </w:r>
      <w:r>
        <w:rPr>
          <w:rFonts w:hint="eastAsia" w:ascii="宋体" w:hAnsi="宋体" w:eastAsia="宋体" w:cs="宋体"/>
          <w:spacing w:val="5"/>
          <w:sz w:val="24"/>
          <w:szCs w:val="24"/>
          <w:highlight w:val="none"/>
          <w:lang w:val="en-US" w:eastAsia="zh-CN"/>
        </w:rPr>
        <w:t>按最高限价的5%在工程量清单报价汇总表中报价，分年度计算，包含计量模式和绩效模式所需的</w:t>
      </w:r>
      <w:r>
        <w:rPr>
          <w:rFonts w:hint="eastAsia" w:ascii="宋体" w:hAnsi="宋体" w:eastAsia="宋体" w:cs="宋体"/>
          <w:spacing w:val="5"/>
          <w:sz w:val="24"/>
          <w:szCs w:val="24"/>
          <w:highlight w:val="none"/>
        </w:rPr>
        <w:t>暂列金额</w:t>
      </w:r>
      <w:r>
        <w:rPr>
          <w:rFonts w:hint="eastAsia" w:ascii="宋体" w:hAnsi="宋体" w:eastAsia="宋体" w:cs="宋体"/>
          <w:spacing w:val="5"/>
          <w:sz w:val="24"/>
          <w:szCs w:val="24"/>
          <w:highlight w:val="none"/>
          <w:lang w:val="en-US" w:eastAsia="zh-CN"/>
        </w:rPr>
        <w:t>。</w:t>
      </w:r>
      <w:r>
        <w:rPr>
          <w:rFonts w:hint="eastAsia"/>
          <w:color w:val="auto"/>
          <w:highlight w:val="none"/>
          <w:lang w:val="en-US" w:eastAsia="zh-CN"/>
        </w:rPr>
        <w:t>本项目</w:t>
      </w:r>
      <w:r>
        <w:rPr>
          <w:rFonts w:hint="eastAsia" w:ascii="宋体" w:hAnsi="宋体" w:eastAsia="宋体" w:cs="宋体"/>
          <w:spacing w:val="5"/>
          <w:sz w:val="24"/>
          <w:szCs w:val="24"/>
          <w:highlight w:val="none"/>
        </w:rPr>
        <w:t>暂列金额</w:t>
      </w:r>
      <w:r>
        <w:rPr>
          <w:rFonts w:hint="eastAsia"/>
          <w:color w:val="auto"/>
          <w:highlight w:val="none"/>
          <w:lang w:eastAsia="zh-CN"/>
        </w:rPr>
        <w:t>作为不可竞争</w:t>
      </w:r>
      <w:r>
        <w:rPr>
          <w:rFonts w:hint="eastAsia"/>
          <w:color w:val="auto"/>
          <w:highlight w:val="none"/>
          <w:lang w:val="en-US" w:eastAsia="zh-CN"/>
        </w:rPr>
        <w:t>的固定报价</w:t>
      </w:r>
      <w:r>
        <w:rPr>
          <w:rFonts w:hint="eastAsia"/>
          <w:color w:val="auto"/>
          <w:highlight w:val="none"/>
          <w:lang w:eastAsia="zh-CN"/>
        </w:rPr>
        <w:t>，</w:t>
      </w:r>
      <w:r>
        <w:rPr>
          <w:rFonts w:hint="eastAsia"/>
          <w:color w:val="auto"/>
          <w:highlight w:val="none"/>
          <w:lang w:val="en-US" w:eastAsia="zh-CN"/>
        </w:rPr>
        <w:t>发包人在提供的工程量清单中已进行填写，投标人不需另行报价</w:t>
      </w:r>
      <w:r>
        <w:rPr>
          <w:rFonts w:hint="eastAsia"/>
          <w:color w:val="auto"/>
          <w:highlight w:val="none"/>
        </w:rPr>
        <w:t>。</w:t>
      </w:r>
      <w:r>
        <w:rPr>
          <w:rFonts w:hint="eastAsia" w:ascii="宋体" w:hAnsi="宋体" w:eastAsia="宋体" w:cs="宋体"/>
          <w:sz w:val="24"/>
          <w:szCs w:val="24"/>
          <w:highlight w:val="none"/>
        </w:rPr>
        <w:t>暂列金</w:t>
      </w:r>
      <w:r>
        <w:rPr>
          <w:rFonts w:hint="eastAsia" w:ascii="宋体" w:hAnsi="宋体" w:eastAsia="宋体" w:cs="宋体"/>
          <w:sz w:val="24"/>
          <w:szCs w:val="24"/>
        </w:rPr>
        <w:t>额用于支付应急和不可预见的专项养护工程（工作）时，应结合I 类、Ⅱ类、Ⅲ类不可预见的应急和养护专项工程（工作）</w:t>
      </w:r>
      <w:r>
        <w:rPr>
          <w:rFonts w:hint="eastAsia" w:ascii="宋体" w:hAnsi="宋体" w:eastAsia="宋体" w:cs="宋体"/>
          <w:spacing w:val="-1"/>
          <w:sz w:val="24"/>
          <w:szCs w:val="24"/>
        </w:rPr>
        <w:t>具体情况实施：</w:t>
      </w:r>
    </w:p>
    <w:p w14:paraId="7EEC1040">
      <w:pPr>
        <w:spacing w:before="116" w:line="263" w:lineRule="auto"/>
        <w:ind w:left="7" w:firstLine="496" w:firstLineChars="200"/>
        <w:rPr>
          <w:rFonts w:hint="eastAsia" w:ascii="宋体" w:hAnsi="宋体" w:eastAsia="宋体" w:cs="宋体"/>
          <w:sz w:val="24"/>
          <w:szCs w:val="24"/>
        </w:rPr>
      </w:pPr>
      <w:r>
        <w:rPr>
          <w:rFonts w:hint="eastAsia" w:ascii="宋体" w:hAnsi="宋体" w:eastAsia="宋体" w:cs="宋体"/>
          <w:spacing w:val="4"/>
          <w:sz w:val="24"/>
          <w:szCs w:val="24"/>
        </w:rPr>
        <w:t>I 类：公路突发损毁的抢通、保通、临时抢修及应</w:t>
      </w:r>
      <w:r>
        <w:rPr>
          <w:rFonts w:hint="eastAsia" w:ascii="宋体" w:hAnsi="宋体" w:eastAsia="宋体" w:cs="宋体"/>
          <w:spacing w:val="3"/>
          <w:sz w:val="24"/>
          <w:szCs w:val="24"/>
        </w:rPr>
        <w:t>急保障，在合同暂列金中进</w:t>
      </w:r>
      <w:r>
        <w:rPr>
          <w:rFonts w:hint="eastAsia" w:ascii="宋体" w:hAnsi="宋体" w:eastAsia="宋体" w:cs="宋体"/>
          <w:spacing w:val="-3"/>
          <w:sz w:val="24"/>
          <w:szCs w:val="24"/>
        </w:rPr>
        <w:t>行计量支付；</w:t>
      </w:r>
    </w:p>
    <w:p w14:paraId="2A8250CC">
      <w:pPr>
        <w:spacing w:before="114" w:line="308" w:lineRule="auto"/>
        <w:ind w:left="7" w:firstLine="492" w:firstLineChars="200"/>
        <w:rPr>
          <w:rFonts w:hint="eastAsia" w:ascii="宋体" w:hAnsi="宋体" w:eastAsia="宋体" w:cs="宋体"/>
          <w:sz w:val="24"/>
          <w:szCs w:val="24"/>
        </w:rPr>
      </w:pPr>
      <w:r>
        <w:rPr>
          <w:rFonts w:hint="eastAsia" w:ascii="宋体" w:hAnsi="宋体" w:eastAsia="宋体" w:cs="宋体"/>
          <w:spacing w:val="3"/>
          <w:sz w:val="24"/>
          <w:szCs w:val="24"/>
        </w:rPr>
        <w:t>Ⅱ类：对严重自然灾害、重特大交通事故以及其他突发事件造成的严重的公路</w:t>
      </w:r>
      <w:r>
        <w:rPr>
          <w:rFonts w:hint="eastAsia" w:ascii="宋体" w:hAnsi="宋体" w:eastAsia="宋体" w:cs="宋体"/>
          <w:spacing w:val="1"/>
          <w:sz w:val="24"/>
          <w:szCs w:val="24"/>
        </w:rPr>
        <w:t>设施损毁，优先在合同暂列金额中支付，合同暂</w:t>
      </w:r>
      <w:r>
        <w:rPr>
          <w:rFonts w:hint="eastAsia" w:ascii="宋体" w:hAnsi="宋体" w:eastAsia="宋体" w:cs="宋体"/>
          <w:sz w:val="24"/>
          <w:szCs w:val="24"/>
        </w:rPr>
        <w:t>列金额不足以支付的筹集专项资金</w:t>
      </w:r>
      <w:r>
        <w:rPr>
          <w:rFonts w:hint="eastAsia" w:ascii="宋体" w:hAnsi="宋体" w:eastAsia="宋体" w:cs="宋体"/>
          <w:spacing w:val="-3"/>
          <w:sz w:val="24"/>
          <w:szCs w:val="24"/>
        </w:rPr>
        <w:t>另行支付；</w:t>
      </w:r>
    </w:p>
    <w:p w14:paraId="76954981">
      <w:pPr>
        <w:spacing w:before="78" w:line="218" w:lineRule="auto"/>
        <w:ind w:left="10" w:firstLine="484" w:firstLineChars="200"/>
        <w:rPr>
          <w:rFonts w:hint="eastAsia" w:ascii="宋体" w:hAnsi="宋体" w:eastAsia="宋体" w:cs="宋体"/>
          <w:sz w:val="24"/>
          <w:szCs w:val="24"/>
        </w:rPr>
      </w:pPr>
      <w:r>
        <w:rPr>
          <w:rFonts w:hint="eastAsia" w:ascii="宋体" w:hAnsi="宋体" w:eastAsia="宋体" w:cs="宋体"/>
          <w:spacing w:val="1"/>
          <w:sz w:val="24"/>
          <w:szCs w:val="24"/>
        </w:rPr>
        <w:t>Ⅲ类：突发的经判定可能危及道路通行安全的重大安全隐患的处治，筹集专项</w:t>
      </w:r>
      <w:r>
        <w:rPr>
          <w:rFonts w:hint="eastAsia" w:ascii="宋体" w:hAnsi="宋体" w:eastAsia="宋体" w:cs="宋体"/>
          <w:spacing w:val="-1"/>
          <w:sz w:val="24"/>
          <w:szCs w:val="24"/>
        </w:rPr>
        <w:t>资金另行支付，包含建安费与设计费等，不在合同总价资金范围内。</w:t>
      </w:r>
    </w:p>
    <w:p w14:paraId="77538F13">
      <w:pPr>
        <w:spacing w:before="78" w:line="218" w:lineRule="auto"/>
        <w:ind w:left="486"/>
        <w:outlineLvl w:val="3"/>
        <w:rPr>
          <w:rFonts w:hint="eastAsia" w:ascii="宋体" w:hAnsi="宋体" w:eastAsia="宋体" w:cs="宋体"/>
          <w:sz w:val="24"/>
          <w:szCs w:val="24"/>
        </w:rPr>
      </w:pPr>
      <w:bookmarkStart w:id="200" w:name="bookmark164"/>
      <w:bookmarkEnd w:id="200"/>
      <w:bookmarkStart w:id="201" w:name="bookmark163"/>
      <w:bookmarkEnd w:id="201"/>
      <w:r>
        <w:rPr>
          <w:rFonts w:hint="eastAsia" w:ascii="宋体" w:hAnsi="宋体" w:eastAsia="宋体" w:cs="宋体"/>
          <w:b/>
          <w:bCs/>
          <w:spacing w:val="-5"/>
          <w:sz w:val="24"/>
          <w:szCs w:val="24"/>
        </w:rPr>
        <w:t>16.</w:t>
      </w:r>
      <w:r>
        <w:rPr>
          <w:rFonts w:hint="eastAsia" w:ascii="宋体" w:hAnsi="宋体" w:eastAsia="宋体" w:cs="宋体"/>
          <w:b/>
          <w:bCs/>
          <w:spacing w:val="5"/>
          <w:sz w:val="24"/>
          <w:szCs w:val="24"/>
        </w:rPr>
        <w:t xml:space="preserve">  </w:t>
      </w:r>
      <w:r>
        <w:rPr>
          <w:rFonts w:hint="eastAsia" w:ascii="宋体" w:hAnsi="宋体" w:eastAsia="宋体" w:cs="宋体"/>
          <w:b/>
          <w:bCs/>
          <w:spacing w:val="-5"/>
          <w:sz w:val="24"/>
          <w:szCs w:val="24"/>
        </w:rPr>
        <w:t>价格调整</w:t>
      </w:r>
    </w:p>
    <w:p w14:paraId="262CE355">
      <w:pPr>
        <w:spacing w:before="117" w:line="218" w:lineRule="auto"/>
        <w:ind w:left="486"/>
        <w:outlineLvl w:val="4"/>
        <w:rPr>
          <w:rFonts w:hint="eastAsia" w:ascii="宋体" w:hAnsi="宋体" w:eastAsia="宋体" w:cs="宋体"/>
          <w:sz w:val="24"/>
          <w:szCs w:val="24"/>
        </w:rPr>
      </w:pPr>
      <w:r>
        <w:rPr>
          <w:rFonts w:hint="eastAsia" w:ascii="宋体" w:hAnsi="宋体" w:eastAsia="宋体" w:cs="宋体"/>
          <w:b/>
          <w:bCs/>
          <w:spacing w:val="-3"/>
          <w:sz w:val="24"/>
          <w:szCs w:val="24"/>
        </w:rPr>
        <w:t>16.1  物价波动引起的价格调整</w:t>
      </w:r>
    </w:p>
    <w:p w14:paraId="06F1698E">
      <w:pPr>
        <w:spacing w:before="78" w:line="218" w:lineRule="auto"/>
        <w:ind w:left="10" w:firstLine="484" w:firstLineChars="200"/>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本款修改为：</w:t>
      </w:r>
    </w:p>
    <w:p w14:paraId="67624ED2">
      <w:pPr>
        <w:spacing w:before="78" w:line="218" w:lineRule="auto"/>
        <w:ind w:left="10" w:firstLine="484" w:firstLineChars="200"/>
        <w:rPr>
          <w:rFonts w:hint="eastAsia" w:ascii="宋体" w:hAnsi="宋体" w:eastAsia="宋体" w:cs="宋体"/>
          <w:spacing w:val="1"/>
          <w:sz w:val="24"/>
          <w:szCs w:val="24"/>
        </w:rPr>
      </w:pPr>
      <w:r>
        <w:rPr>
          <w:rFonts w:hint="eastAsia" w:ascii="宋体" w:hAnsi="宋体" w:eastAsia="宋体" w:cs="宋体"/>
          <w:spacing w:val="1"/>
          <w:sz w:val="24"/>
          <w:szCs w:val="24"/>
          <w:lang w:eastAsia="zh-CN"/>
        </w:rPr>
        <w:t>在合同履行期间（包括工期拖延期间），由于人工、材料和设备价格的上涨而引起养护成本增加的风险由承包人自行承担，合同价</w:t>
      </w:r>
      <w:r>
        <w:rPr>
          <w:rFonts w:hint="eastAsia" w:ascii="宋体" w:hAnsi="宋体" w:eastAsia="宋体" w:cs="宋体"/>
          <w:spacing w:val="1"/>
          <w:sz w:val="24"/>
          <w:szCs w:val="24"/>
          <w:lang w:val="en-US" w:eastAsia="zh-CN"/>
        </w:rPr>
        <w:t>不予</w:t>
      </w:r>
      <w:r>
        <w:rPr>
          <w:rFonts w:hint="eastAsia" w:ascii="宋体" w:hAnsi="宋体" w:eastAsia="宋体" w:cs="宋体"/>
          <w:spacing w:val="1"/>
          <w:sz w:val="24"/>
          <w:szCs w:val="24"/>
          <w:lang w:eastAsia="zh-CN"/>
        </w:rPr>
        <w:t>调整。</w:t>
      </w:r>
    </w:p>
    <w:p w14:paraId="46F6607A">
      <w:pPr>
        <w:spacing w:before="127" w:line="219" w:lineRule="auto"/>
        <w:ind w:left="480"/>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补充第</w:t>
      </w:r>
      <w:r>
        <w:rPr>
          <w:rFonts w:hint="eastAsia" w:ascii="宋体" w:hAnsi="宋体" w:eastAsia="宋体" w:cs="宋体"/>
          <w:spacing w:val="-23"/>
          <w:sz w:val="24"/>
          <w:szCs w:val="24"/>
          <w:lang w:eastAsia="zh-CN"/>
        </w:rPr>
        <w:t xml:space="preserve"> </w:t>
      </w:r>
      <w:r>
        <w:rPr>
          <w:rFonts w:hint="eastAsia" w:ascii="宋体" w:hAnsi="宋体" w:eastAsia="宋体" w:cs="宋体"/>
          <w:spacing w:val="-4"/>
          <w:sz w:val="24"/>
          <w:szCs w:val="24"/>
          <w:lang w:eastAsia="zh-CN"/>
        </w:rPr>
        <w:t>16.1.4 项：</w:t>
      </w:r>
    </w:p>
    <w:p w14:paraId="3E63BD38">
      <w:pPr>
        <w:spacing w:before="113" w:line="218" w:lineRule="auto"/>
        <w:ind w:left="498"/>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16.1.4  采用价格指数信息调整价格差额</w:t>
      </w:r>
    </w:p>
    <w:p w14:paraId="2CF2F276">
      <w:pPr>
        <w:spacing w:before="78" w:line="218" w:lineRule="auto"/>
        <w:ind w:left="10" w:firstLine="484" w:firstLineChars="20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根据国家发展改革委、国家统计局等相关机构发布的重要价格指数发生变化的情况，影响合同价格超过</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val="en-US"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  时，按照以下原则对合同价格进行调整：</w:t>
      </w:r>
    </w:p>
    <w:p w14:paraId="0A28B381">
      <w:pPr>
        <w:spacing w:before="78" w:line="218" w:lineRule="auto"/>
        <w:ind w:left="10" w:firstLine="484" w:firstLineChars="20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具体公式为：需进行价格调整的工作内容原合同价格×价格指数。</w:t>
      </w:r>
    </w:p>
    <w:p w14:paraId="6371D22A">
      <w:pPr>
        <w:spacing w:before="78" w:line="218" w:lineRule="auto"/>
        <w:ind w:left="10" w:firstLine="484" w:firstLineChars="20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需进行价格调整的工作内容为：</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val="en-US"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 xml:space="preserve"> ；</w:t>
      </w:r>
    </w:p>
    <w:p w14:paraId="2984EEF3">
      <w:pPr>
        <w:spacing w:before="78" w:line="218" w:lineRule="auto"/>
        <w:ind w:left="10" w:firstLine="484" w:firstLineChars="20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发布价格指数的机构为：</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val="en-US"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w:t>
      </w:r>
    </w:p>
    <w:p w14:paraId="6941135D">
      <w:pPr>
        <w:spacing w:before="78" w:line="218" w:lineRule="auto"/>
        <w:ind w:left="10" w:firstLine="484" w:firstLineChars="20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承包人在本合同周期内已完成的需进行价格调整的工作内容数量：</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val="en-US"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 xml:space="preserve"> ；</w:t>
      </w:r>
    </w:p>
    <w:p w14:paraId="3AE96546">
      <w:pPr>
        <w:spacing w:before="78" w:line="218" w:lineRule="auto"/>
        <w:ind w:left="10" w:firstLine="484" w:firstLineChars="200"/>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风险幅度系数：</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val="en-US"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w:t>
      </w:r>
    </w:p>
    <w:p w14:paraId="2DC07501">
      <w:pPr>
        <w:spacing w:before="79" w:line="219" w:lineRule="auto"/>
        <w:ind w:left="480"/>
        <w:rPr>
          <w:rFonts w:hint="eastAsia" w:ascii="宋体" w:hAnsi="宋体" w:eastAsia="宋体" w:cs="宋体"/>
          <w:sz w:val="24"/>
          <w:szCs w:val="24"/>
        </w:rPr>
      </w:pPr>
      <w:r>
        <w:rPr>
          <w:rFonts w:hint="eastAsia" w:ascii="宋体" w:hAnsi="宋体" w:eastAsia="宋体" w:cs="宋体"/>
          <w:spacing w:val="-5"/>
          <w:sz w:val="24"/>
          <w:szCs w:val="24"/>
        </w:rPr>
        <w:t>第</w:t>
      </w:r>
      <w:r>
        <w:rPr>
          <w:rFonts w:hint="eastAsia" w:ascii="宋体" w:hAnsi="宋体" w:eastAsia="宋体" w:cs="宋体"/>
          <w:spacing w:val="-26"/>
          <w:sz w:val="24"/>
          <w:szCs w:val="24"/>
        </w:rPr>
        <w:t xml:space="preserve"> </w:t>
      </w:r>
      <w:r>
        <w:rPr>
          <w:rFonts w:hint="eastAsia" w:ascii="宋体" w:hAnsi="宋体" w:eastAsia="宋体" w:cs="宋体"/>
          <w:spacing w:val="-5"/>
          <w:sz w:val="24"/>
          <w:szCs w:val="24"/>
        </w:rPr>
        <w:t>17 条修改为：</w:t>
      </w:r>
    </w:p>
    <w:p w14:paraId="7FC04552">
      <w:pPr>
        <w:spacing w:before="106" w:line="219" w:lineRule="auto"/>
        <w:ind w:left="486"/>
        <w:outlineLvl w:val="3"/>
        <w:rPr>
          <w:rFonts w:hint="eastAsia" w:ascii="宋体" w:hAnsi="宋体" w:eastAsia="宋体" w:cs="宋体"/>
          <w:sz w:val="24"/>
          <w:szCs w:val="24"/>
        </w:rPr>
      </w:pPr>
      <w:bookmarkStart w:id="202" w:name="bookmark165"/>
      <w:bookmarkEnd w:id="202"/>
      <w:bookmarkStart w:id="203" w:name="bookmark166"/>
      <w:bookmarkEnd w:id="203"/>
      <w:r>
        <w:rPr>
          <w:rFonts w:hint="eastAsia" w:ascii="宋体" w:hAnsi="宋体" w:eastAsia="宋体" w:cs="宋体"/>
          <w:b/>
          <w:bCs/>
          <w:spacing w:val="-3"/>
          <w:sz w:val="24"/>
          <w:szCs w:val="24"/>
        </w:rPr>
        <w:t>17.  计量、养护绩效考核与支付</w:t>
      </w:r>
    </w:p>
    <w:p w14:paraId="2DFC0E70">
      <w:pPr>
        <w:spacing w:before="126" w:line="219" w:lineRule="auto"/>
        <w:ind w:left="480"/>
        <w:rPr>
          <w:rFonts w:hint="eastAsia" w:ascii="宋体" w:hAnsi="宋体" w:eastAsia="宋体" w:cs="宋体"/>
          <w:sz w:val="24"/>
          <w:szCs w:val="24"/>
        </w:rPr>
      </w:pPr>
      <w:r>
        <w:rPr>
          <w:rFonts w:hint="eastAsia" w:ascii="宋体" w:hAnsi="宋体" w:eastAsia="宋体" w:cs="宋体"/>
          <w:spacing w:val="-4"/>
          <w:sz w:val="24"/>
          <w:szCs w:val="24"/>
        </w:rPr>
        <w:t>第</w:t>
      </w:r>
      <w:r>
        <w:rPr>
          <w:rFonts w:hint="eastAsia" w:ascii="宋体" w:hAnsi="宋体" w:eastAsia="宋体" w:cs="宋体"/>
          <w:spacing w:val="-27"/>
          <w:sz w:val="24"/>
          <w:szCs w:val="24"/>
        </w:rPr>
        <w:t xml:space="preserve"> </w:t>
      </w:r>
      <w:r>
        <w:rPr>
          <w:rFonts w:hint="eastAsia" w:ascii="宋体" w:hAnsi="宋体" w:eastAsia="宋体" w:cs="宋体"/>
          <w:spacing w:val="-4"/>
          <w:sz w:val="24"/>
          <w:szCs w:val="24"/>
        </w:rPr>
        <w:t>17.1 款修改为：</w:t>
      </w:r>
    </w:p>
    <w:p w14:paraId="4A4B0B5A">
      <w:pPr>
        <w:spacing w:before="104" w:line="219" w:lineRule="auto"/>
        <w:ind w:left="486"/>
        <w:outlineLvl w:val="4"/>
        <w:rPr>
          <w:rFonts w:hint="eastAsia" w:ascii="宋体" w:hAnsi="宋体" w:eastAsia="宋体" w:cs="宋体"/>
          <w:sz w:val="24"/>
          <w:szCs w:val="24"/>
        </w:rPr>
      </w:pPr>
      <w:r>
        <w:rPr>
          <w:rFonts w:hint="eastAsia" w:ascii="宋体" w:hAnsi="宋体" w:eastAsia="宋体" w:cs="宋体"/>
          <w:b/>
          <w:bCs/>
          <w:spacing w:val="-3"/>
          <w:sz w:val="24"/>
          <w:szCs w:val="24"/>
        </w:rPr>
        <w:t>17.1  计量和养护绩效考核</w:t>
      </w:r>
    </w:p>
    <w:p w14:paraId="6487AB59">
      <w:pPr>
        <w:spacing w:before="126" w:line="219" w:lineRule="auto"/>
        <w:ind w:left="480"/>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补充第</w:t>
      </w:r>
      <w:r>
        <w:rPr>
          <w:rFonts w:hint="eastAsia" w:ascii="宋体" w:hAnsi="宋体" w:eastAsia="宋体" w:cs="宋体"/>
          <w:spacing w:val="-22"/>
          <w:sz w:val="24"/>
          <w:szCs w:val="24"/>
          <w:lang w:eastAsia="zh-CN"/>
        </w:rPr>
        <w:t xml:space="preserve"> </w:t>
      </w:r>
      <w:r>
        <w:rPr>
          <w:rFonts w:hint="eastAsia" w:ascii="宋体" w:hAnsi="宋体" w:eastAsia="宋体" w:cs="宋体"/>
          <w:spacing w:val="-5"/>
          <w:sz w:val="24"/>
          <w:szCs w:val="24"/>
          <w:lang w:eastAsia="zh-CN"/>
        </w:rPr>
        <w:t>17.1.6~</w:t>
      </w:r>
      <w:r>
        <w:rPr>
          <w:rFonts w:hint="eastAsia" w:ascii="宋体" w:hAnsi="宋体" w:eastAsia="宋体" w:cs="宋体"/>
          <w:spacing w:val="-32"/>
          <w:sz w:val="24"/>
          <w:szCs w:val="24"/>
          <w:lang w:eastAsia="zh-CN"/>
        </w:rPr>
        <w:t xml:space="preserve"> </w:t>
      </w:r>
      <w:r>
        <w:rPr>
          <w:rFonts w:hint="eastAsia" w:ascii="宋体" w:hAnsi="宋体" w:eastAsia="宋体" w:cs="宋体"/>
          <w:spacing w:val="-5"/>
          <w:sz w:val="24"/>
          <w:szCs w:val="24"/>
          <w:lang w:eastAsia="zh-CN"/>
        </w:rPr>
        <w:t>17.1.9</w:t>
      </w:r>
      <w:r>
        <w:rPr>
          <w:rFonts w:hint="eastAsia" w:ascii="宋体" w:hAnsi="宋体" w:eastAsia="宋体" w:cs="宋体"/>
          <w:spacing w:val="13"/>
          <w:sz w:val="24"/>
          <w:szCs w:val="24"/>
          <w:lang w:eastAsia="zh-CN"/>
        </w:rPr>
        <w:t xml:space="preserve"> </w:t>
      </w:r>
      <w:r>
        <w:rPr>
          <w:rFonts w:hint="eastAsia" w:ascii="宋体" w:hAnsi="宋体" w:eastAsia="宋体" w:cs="宋体"/>
          <w:spacing w:val="-5"/>
          <w:sz w:val="24"/>
          <w:szCs w:val="24"/>
          <w:lang w:eastAsia="zh-CN"/>
        </w:rPr>
        <w:t>项：</w:t>
      </w:r>
    </w:p>
    <w:p w14:paraId="3A91DA0C">
      <w:pPr>
        <w:spacing w:before="105" w:line="293" w:lineRule="auto"/>
        <w:ind w:right="44" w:firstLine="498"/>
        <w:rPr>
          <w:rFonts w:hint="eastAsia" w:ascii="宋体" w:hAnsi="宋体" w:eastAsia="宋体" w:cs="宋体"/>
          <w:sz w:val="24"/>
          <w:szCs w:val="24"/>
          <w:lang w:eastAsia="zh-CN"/>
        </w:rPr>
      </w:pPr>
      <w:r>
        <w:rPr>
          <w:rFonts w:hint="eastAsia" w:ascii="宋体" w:hAnsi="宋体" w:eastAsia="宋体" w:cs="宋体"/>
          <w:sz w:val="24"/>
          <w:szCs w:val="24"/>
          <w:lang w:eastAsia="zh-CN"/>
        </w:rPr>
        <w:t>17.1.6  养护绩效考核的基本要求：发包人应对承包人在本项目的人员及养护设</w:t>
      </w:r>
      <w:r>
        <w:rPr>
          <w:rFonts w:hint="eastAsia" w:ascii="宋体" w:hAnsi="宋体" w:eastAsia="宋体" w:cs="宋体"/>
          <w:spacing w:val="-2"/>
          <w:sz w:val="24"/>
          <w:szCs w:val="24"/>
          <w:lang w:eastAsia="zh-CN"/>
        </w:rPr>
        <w:t>备管理、</w:t>
      </w:r>
      <w:r>
        <w:rPr>
          <w:rFonts w:hint="eastAsia" w:ascii="宋体" w:hAnsi="宋体" w:eastAsia="宋体" w:cs="宋体"/>
          <w:spacing w:val="-67"/>
          <w:sz w:val="24"/>
          <w:szCs w:val="24"/>
          <w:lang w:eastAsia="zh-CN"/>
        </w:rPr>
        <w:t xml:space="preserve"> </w:t>
      </w:r>
      <w:r>
        <w:rPr>
          <w:rFonts w:hint="eastAsia" w:ascii="宋体" w:hAnsi="宋体" w:eastAsia="宋体" w:cs="宋体"/>
          <w:spacing w:val="-2"/>
          <w:sz w:val="24"/>
          <w:szCs w:val="24"/>
          <w:lang w:eastAsia="zh-CN"/>
        </w:rPr>
        <w:t>日常巡查、</w:t>
      </w:r>
      <w:r>
        <w:rPr>
          <w:rFonts w:hint="eastAsia" w:ascii="宋体" w:hAnsi="宋体" w:eastAsia="宋体" w:cs="宋体"/>
          <w:spacing w:val="-67"/>
          <w:sz w:val="24"/>
          <w:szCs w:val="24"/>
          <w:lang w:eastAsia="zh-CN"/>
        </w:rPr>
        <w:t xml:space="preserve"> </w:t>
      </w:r>
      <w:r>
        <w:rPr>
          <w:rFonts w:hint="eastAsia" w:ascii="宋体" w:hAnsi="宋体" w:eastAsia="宋体" w:cs="宋体"/>
          <w:spacing w:val="-2"/>
          <w:sz w:val="24"/>
          <w:szCs w:val="24"/>
          <w:lang w:eastAsia="zh-CN"/>
        </w:rPr>
        <w:t>日常养护、养护工程、应急工作、内业资</w:t>
      </w:r>
      <w:r>
        <w:rPr>
          <w:rFonts w:hint="eastAsia" w:ascii="宋体" w:hAnsi="宋体" w:eastAsia="宋体" w:cs="宋体"/>
          <w:spacing w:val="-3"/>
          <w:sz w:val="24"/>
          <w:szCs w:val="24"/>
          <w:lang w:eastAsia="zh-CN"/>
        </w:rPr>
        <w:t>料管理进行养护绩效</w:t>
      </w:r>
      <w:r>
        <w:rPr>
          <w:rFonts w:hint="eastAsia" w:ascii="宋体" w:hAnsi="宋体" w:eastAsia="宋体" w:cs="宋体"/>
          <w:spacing w:val="1"/>
          <w:sz w:val="24"/>
          <w:szCs w:val="24"/>
          <w:lang w:eastAsia="zh-CN"/>
        </w:rPr>
        <w:t>考核，可结合不同的考核主体、频率、内容侧重点，分别</w:t>
      </w:r>
      <w:r>
        <w:rPr>
          <w:rFonts w:hint="eastAsia" w:ascii="宋体" w:hAnsi="宋体" w:eastAsia="宋体" w:cs="宋体"/>
          <w:sz w:val="24"/>
          <w:szCs w:val="24"/>
          <w:lang w:eastAsia="zh-CN"/>
        </w:rPr>
        <w:t>组织各项考核工作，包括</w:t>
      </w:r>
      <w:r>
        <w:rPr>
          <w:rFonts w:hint="eastAsia" w:ascii="宋体" w:hAnsi="宋体" w:eastAsia="宋体" w:cs="宋体"/>
          <w:spacing w:val="1"/>
          <w:sz w:val="24"/>
          <w:szCs w:val="24"/>
          <w:lang w:eastAsia="zh-CN"/>
        </w:rPr>
        <w:t>且不限于公路设施的完好、安全、可靠、畅通、耐久、洁</w:t>
      </w:r>
      <w:r>
        <w:rPr>
          <w:rFonts w:hint="eastAsia" w:ascii="宋体" w:hAnsi="宋体" w:eastAsia="宋体" w:cs="宋体"/>
          <w:sz w:val="24"/>
          <w:szCs w:val="24"/>
          <w:lang w:eastAsia="zh-CN"/>
        </w:rPr>
        <w:t>净、绿化、美化水平，养</w:t>
      </w:r>
      <w:r>
        <w:rPr>
          <w:rFonts w:hint="eastAsia" w:ascii="宋体" w:hAnsi="宋体" w:eastAsia="宋体" w:cs="宋体"/>
          <w:spacing w:val="1"/>
          <w:sz w:val="24"/>
          <w:szCs w:val="24"/>
          <w:lang w:eastAsia="zh-CN"/>
        </w:rPr>
        <w:t>护资料及档案规范化程度，公众满意度等。具体内容可在</w:t>
      </w:r>
      <w:r>
        <w:rPr>
          <w:rFonts w:hint="eastAsia" w:ascii="宋体" w:hAnsi="宋体" w:eastAsia="宋体" w:cs="宋体"/>
          <w:sz w:val="24"/>
          <w:szCs w:val="24"/>
          <w:lang w:eastAsia="zh-CN"/>
        </w:rPr>
        <w:t>项目绩效考核办法中进行</w:t>
      </w:r>
      <w:r>
        <w:rPr>
          <w:rFonts w:hint="eastAsia" w:ascii="宋体" w:hAnsi="宋体" w:eastAsia="宋体" w:cs="宋体"/>
          <w:spacing w:val="-2"/>
          <w:sz w:val="24"/>
          <w:szCs w:val="24"/>
          <w:lang w:eastAsia="zh-CN"/>
        </w:rPr>
        <w:t>详细规定。</w:t>
      </w:r>
    </w:p>
    <w:p w14:paraId="0C503681">
      <w:pPr>
        <w:spacing w:before="125" w:line="263" w:lineRule="auto"/>
        <w:ind w:right="46" w:firstLine="498"/>
        <w:rPr>
          <w:rFonts w:hint="eastAsia" w:ascii="宋体" w:hAnsi="宋体" w:eastAsia="宋体" w:cs="宋体"/>
          <w:sz w:val="24"/>
          <w:szCs w:val="24"/>
          <w:lang w:eastAsia="zh-CN"/>
        </w:rPr>
      </w:pPr>
      <w:r>
        <w:rPr>
          <w:rFonts w:hint="eastAsia" w:ascii="宋体" w:hAnsi="宋体" w:eastAsia="宋体" w:cs="宋体"/>
          <w:sz w:val="24"/>
          <w:szCs w:val="24"/>
          <w:lang w:eastAsia="zh-CN"/>
        </w:rPr>
        <w:t>17.1.7  发包人指定实施的养护工程按照路段价格分段分期支付，或按照工程量清单进行计量支付。具体支付方式为：</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w:t>
      </w:r>
      <w:r>
        <w:rPr>
          <w:rFonts w:hint="eastAsia" w:ascii="宋体" w:hAnsi="宋体" w:eastAsia="宋体" w:cs="宋体"/>
          <w:sz w:val="24"/>
          <w:szCs w:val="24"/>
          <w:u w:val="single"/>
          <w:lang w:eastAsia="zh-CN"/>
        </w:rPr>
        <w:t xml:space="preserve"> </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w:t>
      </w:r>
    </w:p>
    <w:p w14:paraId="58BA8253">
      <w:pPr>
        <w:spacing w:before="105" w:line="278" w:lineRule="auto"/>
        <w:ind w:left="1" w:firstLine="496"/>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17.1.8</w:t>
      </w:r>
      <w:r>
        <w:rPr>
          <w:rFonts w:hint="eastAsia" w:ascii="宋体" w:hAnsi="宋体" w:eastAsia="宋体" w:cs="宋体"/>
          <w:spacing w:val="25"/>
          <w:sz w:val="24"/>
          <w:szCs w:val="24"/>
          <w:lang w:eastAsia="zh-CN"/>
        </w:rPr>
        <w:t xml:space="preserve">  </w:t>
      </w:r>
      <w:r>
        <w:rPr>
          <w:rFonts w:hint="eastAsia" w:ascii="宋体" w:hAnsi="宋体" w:eastAsia="宋体" w:cs="宋体"/>
          <w:spacing w:val="-2"/>
          <w:sz w:val="24"/>
          <w:szCs w:val="24"/>
          <w:lang w:eastAsia="zh-CN"/>
        </w:rPr>
        <w:t>日常养护及承包人自主实施的养护工程为总报价</w:t>
      </w:r>
      <w:r>
        <w:rPr>
          <w:rFonts w:hint="eastAsia" w:ascii="宋体" w:hAnsi="宋体" w:eastAsia="宋体" w:cs="宋体"/>
          <w:spacing w:val="-27"/>
          <w:sz w:val="24"/>
          <w:szCs w:val="24"/>
          <w:lang w:eastAsia="zh-CN"/>
        </w:rPr>
        <w:t>，</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w:t>
      </w:r>
      <w:r>
        <w:rPr>
          <w:rFonts w:hint="eastAsia" w:ascii="宋体" w:hAnsi="宋体" w:eastAsia="宋体" w:cs="宋体"/>
          <w:sz w:val="24"/>
          <w:szCs w:val="24"/>
          <w:u w:val="single"/>
          <w:lang w:eastAsia="zh-CN"/>
        </w:rPr>
        <w:t xml:space="preserve">  </w:t>
      </w:r>
      <w:r>
        <w:rPr>
          <w:rFonts w:hint="eastAsia" w:ascii="宋体" w:hAnsi="宋体" w:eastAsia="宋体" w:cs="宋体"/>
          <w:spacing w:val="-27"/>
          <w:sz w:val="24"/>
          <w:szCs w:val="24"/>
          <w:lang w:eastAsia="zh-CN"/>
        </w:rPr>
        <w:t>（</w:t>
      </w:r>
      <w:r>
        <w:rPr>
          <w:rFonts w:hint="eastAsia" w:ascii="宋体" w:hAnsi="宋体" w:eastAsia="宋体" w:cs="宋体"/>
          <w:spacing w:val="-2"/>
          <w:sz w:val="24"/>
          <w:szCs w:val="24"/>
          <w:lang w:eastAsia="zh-CN"/>
        </w:rPr>
        <w:t>月度、季度、</w:t>
      </w:r>
      <w:r>
        <w:rPr>
          <w:rFonts w:hint="eastAsia" w:ascii="宋体" w:hAnsi="宋体" w:eastAsia="宋体" w:cs="宋体"/>
          <w:sz w:val="24"/>
          <w:szCs w:val="24"/>
          <w:lang w:eastAsia="zh-CN"/>
        </w:rPr>
        <w:t>半年度）支付限额为</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w:t>
      </w:r>
      <w:r>
        <w:rPr>
          <w:rFonts w:hint="eastAsia" w:ascii="宋体" w:hAnsi="宋体" w:eastAsia="宋体" w:cs="宋体"/>
          <w:sz w:val="24"/>
          <w:szCs w:val="24"/>
          <w:u w:val="single"/>
          <w:lang w:eastAsia="zh-CN"/>
        </w:rPr>
        <w:t xml:space="preserve">         </w:t>
      </w:r>
      <w:r>
        <w:rPr>
          <w:rFonts w:hint="eastAsia" w:ascii="宋体" w:hAnsi="宋体" w:eastAsia="宋体" w:cs="宋体"/>
          <w:spacing w:val="-87"/>
          <w:sz w:val="24"/>
          <w:szCs w:val="24"/>
          <w:lang w:eastAsia="zh-CN"/>
        </w:rPr>
        <w:t xml:space="preserve"> </w:t>
      </w:r>
      <w:r>
        <w:rPr>
          <w:rFonts w:hint="eastAsia" w:ascii="宋体" w:hAnsi="宋体" w:eastAsia="宋体" w:cs="宋体"/>
          <w:sz w:val="24"/>
          <w:szCs w:val="24"/>
          <w:lang w:eastAsia="zh-CN"/>
        </w:rPr>
        <w:t>。以养护绩效考核后</w:t>
      </w:r>
      <w:r>
        <w:rPr>
          <w:rFonts w:hint="eastAsia" w:ascii="宋体" w:hAnsi="宋体" w:eastAsia="宋体" w:cs="宋体"/>
          <w:spacing w:val="-1"/>
          <w:sz w:val="24"/>
          <w:szCs w:val="24"/>
          <w:lang w:eastAsia="zh-CN"/>
        </w:rPr>
        <w:t>得出的绩效服务水平为</w:t>
      </w:r>
      <w:r>
        <w:rPr>
          <w:rFonts w:hint="eastAsia" w:ascii="宋体" w:hAnsi="宋体" w:eastAsia="宋体" w:cs="宋体"/>
          <w:spacing w:val="-2"/>
          <w:sz w:val="24"/>
          <w:szCs w:val="24"/>
          <w:lang w:eastAsia="zh-CN"/>
        </w:rPr>
        <w:t>依据支付合同金额。</w:t>
      </w:r>
    </w:p>
    <w:p w14:paraId="1EEEA90B">
      <w:pPr>
        <w:spacing w:before="115" w:line="309" w:lineRule="auto"/>
        <w:ind w:right="44" w:firstLine="480"/>
        <w:jc w:val="both"/>
        <w:rPr>
          <w:rFonts w:hint="eastAsia" w:ascii="宋体" w:hAnsi="宋体" w:eastAsia="宋体" w:cs="宋体"/>
          <w:spacing w:val="-8"/>
          <w:sz w:val="24"/>
          <w:szCs w:val="24"/>
          <w:highlight w:val="none"/>
          <w:u w:val="single"/>
          <w:lang w:eastAsia="zh-CN"/>
        </w:rPr>
      </w:pPr>
      <w:r>
        <w:rPr>
          <w:rFonts w:hint="eastAsia" w:ascii="宋体" w:hAnsi="宋体" w:eastAsia="宋体" w:cs="宋体"/>
          <w:sz w:val="24"/>
          <w:szCs w:val="24"/>
          <w:highlight w:val="none"/>
          <w:lang w:eastAsia="zh-CN"/>
        </w:rPr>
        <w:t>支付合同金额的计算方法为：</w:t>
      </w:r>
      <w:r>
        <w:rPr>
          <w:rFonts w:hint="eastAsia" w:ascii="宋体" w:hAnsi="宋体" w:eastAsia="宋体" w:cs="宋体"/>
          <w:sz w:val="24"/>
          <w:szCs w:val="24"/>
          <w:highlight w:val="none"/>
          <w:u w:val="single"/>
          <w:lang w:val="en-US" w:eastAsia="zh-CN"/>
        </w:rPr>
        <w:t>按</w:t>
      </w:r>
      <w:r>
        <w:rPr>
          <w:rFonts w:hint="eastAsia" w:ascii="宋体" w:hAnsi="宋体" w:eastAsia="宋体" w:cs="宋体"/>
          <w:sz w:val="24"/>
          <w:szCs w:val="24"/>
          <w:highlight w:val="none"/>
          <w:u w:val="single"/>
          <w:lang w:eastAsia="zh-CN"/>
        </w:rPr>
        <w:t>绩效考核得分</w:t>
      </w:r>
      <w:r>
        <w:rPr>
          <w:rFonts w:hint="eastAsia" w:ascii="宋体" w:hAnsi="宋体" w:eastAsia="宋体" w:cs="宋体"/>
          <w:sz w:val="24"/>
          <w:szCs w:val="24"/>
          <w:highlight w:val="none"/>
          <w:u w:val="single"/>
          <w:lang w:val="en-US" w:eastAsia="zh-CN"/>
        </w:rPr>
        <w:t>分档：</w:t>
      </w:r>
      <w:r>
        <w:rPr>
          <w:rFonts w:hint="eastAsia" w:cs="宋体"/>
          <w:sz w:val="24"/>
          <w:szCs w:val="24"/>
          <w:highlight w:val="none"/>
          <w:u w:val="single"/>
        </w:rPr>
        <w:t xml:space="preserve">A档 </w:t>
      </w:r>
      <w:r>
        <w:rPr>
          <w:rFonts w:hint="eastAsia" w:eastAsia="宋体" w:cs="宋体"/>
          <w:sz w:val="24"/>
          <w:szCs w:val="24"/>
          <w:highlight w:val="none"/>
          <w:u w:val="single"/>
          <w:lang w:val="en-US" w:eastAsia="zh-CN"/>
        </w:rPr>
        <w:t>90</w:t>
      </w:r>
      <w:r>
        <w:rPr>
          <w:rFonts w:hint="eastAsia" w:cs="宋体"/>
          <w:sz w:val="24"/>
          <w:szCs w:val="24"/>
          <w:highlight w:val="none"/>
          <w:u w:val="single"/>
        </w:rPr>
        <w:t>-</w:t>
      </w:r>
      <w:r>
        <w:rPr>
          <w:rFonts w:hint="eastAsia" w:eastAsia="宋体" w:cs="宋体"/>
          <w:sz w:val="24"/>
          <w:szCs w:val="24"/>
          <w:highlight w:val="none"/>
          <w:u w:val="single"/>
          <w:lang w:val="en-US" w:eastAsia="zh-CN"/>
        </w:rPr>
        <w:t>100</w:t>
      </w:r>
      <w:r>
        <w:rPr>
          <w:rFonts w:hint="eastAsia" w:cs="宋体"/>
          <w:sz w:val="24"/>
          <w:szCs w:val="24"/>
          <w:highlight w:val="none"/>
          <w:u w:val="single"/>
        </w:rPr>
        <w:t xml:space="preserve"> 分、B档 </w:t>
      </w:r>
      <w:r>
        <w:rPr>
          <w:rFonts w:hint="eastAsia" w:eastAsia="宋体" w:cs="宋体"/>
          <w:sz w:val="24"/>
          <w:szCs w:val="24"/>
          <w:highlight w:val="none"/>
          <w:u w:val="single"/>
          <w:lang w:val="en-US" w:eastAsia="zh-CN"/>
        </w:rPr>
        <w:t>80</w:t>
      </w:r>
      <w:r>
        <w:rPr>
          <w:rFonts w:hint="eastAsia" w:cs="宋体"/>
          <w:sz w:val="24"/>
          <w:szCs w:val="24"/>
          <w:highlight w:val="none"/>
          <w:u w:val="single"/>
        </w:rPr>
        <w:t>-</w:t>
      </w:r>
      <w:r>
        <w:rPr>
          <w:rFonts w:hint="eastAsia" w:eastAsia="宋体" w:cs="宋体"/>
          <w:sz w:val="24"/>
          <w:szCs w:val="24"/>
          <w:highlight w:val="none"/>
          <w:u w:val="single"/>
          <w:lang w:val="en-US" w:eastAsia="zh-CN"/>
        </w:rPr>
        <w:t>89</w:t>
      </w:r>
      <w:r>
        <w:rPr>
          <w:rFonts w:hint="eastAsia" w:cs="宋体"/>
          <w:sz w:val="24"/>
          <w:szCs w:val="24"/>
          <w:highlight w:val="none"/>
          <w:u w:val="single"/>
        </w:rPr>
        <w:t xml:space="preserve">分、C档 </w:t>
      </w:r>
      <w:r>
        <w:rPr>
          <w:rFonts w:hint="eastAsia" w:eastAsia="宋体" w:cs="宋体"/>
          <w:sz w:val="24"/>
          <w:szCs w:val="24"/>
          <w:highlight w:val="none"/>
          <w:u w:val="single"/>
          <w:lang w:val="en-US" w:eastAsia="zh-CN"/>
        </w:rPr>
        <w:t>70</w:t>
      </w:r>
      <w:r>
        <w:rPr>
          <w:rFonts w:hint="eastAsia" w:cs="宋体"/>
          <w:sz w:val="24"/>
          <w:szCs w:val="24"/>
          <w:highlight w:val="none"/>
          <w:u w:val="single"/>
        </w:rPr>
        <w:t>-</w:t>
      </w:r>
      <w:r>
        <w:rPr>
          <w:rFonts w:hint="eastAsia" w:eastAsia="宋体" w:cs="宋体"/>
          <w:sz w:val="24"/>
          <w:szCs w:val="24"/>
          <w:highlight w:val="none"/>
          <w:u w:val="single"/>
          <w:lang w:val="en-US" w:eastAsia="zh-CN"/>
        </w:rPr>
        <w:t>79</w:t>
      </w:r>
      <w:r>
        <w:rPr>
          <w:rFonts w:hint="eastAsia" w:cs="宋体"/>
          <w:sz w:val="24"/>
          <w:szCs w:val="24"/>
          <w:highlight w:val="none"/>
          <w:u w:val="single"/>
        </w:rPr>
        <w:t xml:space="preserve"> 分、D档低于</w:t>
      </w:r>
      <w:r>
        <w:rPr>
          <w:rFonts w:hint="eastAsia" w:eastAsia="宋体" w:cs="宋体"/>
          <w:sz w:val="24"/>
          <w:szCs w:val="24"/>
          <w:highlight w:val="none"/>
          <w:u w:val="single"/>
          <w:lang w:val="en-US" w:eastAsia="zh-CN"/>
        </w:rPr>
        <w:t>7</w:t>
      </w:r>
      <w:r>
        <w:rPr>
          <w:rFonts w:hint="eastAsia" w:cs="宋体"/>
          <w:sz w:val="24"/>
          <w:szCs w:val="24"/>
          <w:highlight w:val="none"/>
          <w:u w:val="single"/>
        </w:rPr>
        <w:t>0分。各档次支付比例：A档支付</w:t>
      </w:r>
      <w:r>
        <w:rPr>
          <w:rFonts w:hint="eastAsia" w:eastAsia="宋体" w:cs="宋体"/>
          <w:sz w:val="24"/>
          <w:szCs w:val="24"/>
          <w:highlight w:val="none"/>
          <w:u w:val="single"/>
          <w:lang w:val="en-US" w:eastAsia="zh-CN"/>
        </w:rPr>
        <w:t>100</w:t>
      </w:r>
      <w:r>
        <w:rPr>
          <w:rFonts w:hint="eastAsia" w:cs="宋体"/>
          <w:sz w:val="24"/>
          <w:szCs w:val="24"/>
          <w:highlight w:val="none"/>
          <w:u w:val="single"/>
        </w:rPr>
        <w:t>%费用，B档支付</w:t>
      </w:r>
      <w:r>
        <w:rPr>
          <w:rFonts w:hint="eastAsia" w:eastAsia="宋体" w:cs="宋体"/>
          <w:sz w:val="24"/>
          <w:szCs w:val="24"/>
          <w:highlight w:val="none"/>
          <w:u w:val="single"/>
          <w:lang w:val="en-US" w:eastAsia="zh-CN"/>
        </w:rPr>
        <w:t>90</w:t>
      </w:r>
      <w:r>
        <w:rPr>
          <w:rFonts w:hint="eastAsia" w:cs="宋体"/>
          <w:sz w:val="24"/>
          <w:szCs w:val="24"/>
          <w:highlight w:val="none"/>
          <w:u w:val="single"/>
        </w:rPr>
        <w:t>%费用，C档支付</w:t>
      </w:r>
      <w:r>
        <w:rPr>
          <w:rFonts w:hint="eastAsia" w:eastAsia="宋体" w:cs="宋体"/>
          <w:sz w:val="24"/>
          <w:szCs w:val="24"/>
          <w:highlight w:val="none"/>
          <w:u w:val="single"/>
          <w:lang w:val="en-US" w:eastAsia="zh-CN"/>
        </w:rPr>
        <w:t>80</w:t>
      </w:r>
      <w:r>
        <w:rPr>
          <w:rFonts w:hint="eastAsia" w:cs="宋体"/>
          <w:sz w:val="24"/>
          <w:szCs w:val="24"/>
          <w:highlight w:val="none"/>
          <w:u w:val="single"/>
        </w:rPr>
        <w:t>%费用，D档暂停支付并要求承包人整改，整改合格后按 70% 支付。日常保养视得分档次比例进行结算支付，A档以下剩余费用由</w:t>
      </w:r>
      <w:r>
        <w:rPr>
          <w:rFonts w:hint="eastAsia" w:eastAsia="宋体" w:cs="宋体"/>
          <w:sz w:val="24"/>
          <w:szCs w:val="24"/>
          <w:highlight w:val="none"/>
          <w:u w:val="single"/>
          <w:lang w:val="en-US" w:eastAsia="zh-CN"/>
        </w:rPr>
        <w:t>发包</w:t>
      </w:r>
      <w:r>
        <w:rPr>
          <w:rFonts w:hint="eastAsia" w:cs="宋体"/>
          <w:sz w:val="24"/>
          <w:szCs w:val="24"/>
          <w:highlight w:val="none"/>
          <w:u w:val="single"/>
        </w:rPr>
        <w:t>人统筹使用于增加日常维修</w:t>
      </w:r>
      <w:r>
        <w:rPr>
          <w:rFonts w:hint="eastAsia" w:eastAsia="宋体" w:cs="宋体"/>
          <w:sz w:val="24"/>
          <w:szCs w:val="24"/>
          <w:highlight w:val="none"/>
          <w:u w:val="single"/>
          <w:lang w:val="en-US" w:eastAsia="zh-CN"/>
        </w:rPr>
        <w:t>或</w:t>
      </w:r>
      <w:r>
        <w:rPr>
          <w:rFonts w:hint="eastAsia" w:cs="宋体"/>
          <w:sz w:val="24"/>
          <w:szCs w:val="24"/>
          <w:highlight w:val="none"/>
          <w:u w:val="single"/>
          <w:lang w:val="en-US" w:eastAsia="zh-CN"/>
        </w:rPr>
        <w:t>养护智能化</w:t>
      </w:r>
      <w:r>
        <w:rPr>
          <w:rFonts w:hint="eastAsia" w:cs="宋体"/>
          <w:sz w:val="24"/>
          <w:szCs w:val="24"/>
          <w:highlight w:val="none"/>
          <w:u w:val="single"/>
        </w:rPr>
        <w:t>工作</w:t>
      </w:r>
      <w:r>
        <w:rPr>
          <w:rFonts w:hint="eastAsia" w:eastAsia="宋体" w:cs="宋体"/>
          <w:sz w:val="24"/>
          <w:szCs w:val="24"/>
          <w:highlight w:val="none"/>
          <w:u w:val="single"/>
          <w:lang w:eastAsia="zh-CN"/>
        </w:rPr>
        <w:t>，</w:t>
      </w:r>
      <w:r>
        <w:rPr>
          <w:rFonts w:hint="eastAsia" w:eastAsia="宋体" w:cs="宋体"/>
          <w:sz w:val="24"/>
          <w:szCs w:val="24"/>
          <w:highlight w:val="none"/>
          <w:u w:val="single"/>
          <w:lang w:val="en-US" w:eastAsia="zh-CN"/>
        </w:rPr>
        <w:t>发包人对该项费用安排的工作可以指定第三方实施</w:t>
      </w:r>
      <w:r>
        <w:rPr>
          <w:rFonts w:hint="eastAsia" w:cs="宋体"/>
          <w:sz w:val="24"/>
          <w:szCs w:val="24"/>
          <w:highlight w:val="none"/>
          <w:u w:val="single"/>
        </w:rPr>
        <w:t>。</w:t>
      </w:r>
    </w:p>
    <w:p w14:paraId="15A1937B">
      <w:pPr>
        <w:spacing w:before="115" w:line="309" w:lineRule="auto"/>
        <w:ind w:right="44" w:firstLine="48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17.1.9  应急和不可预见的专项养护工程（工作）经发包人验收合格后，按照工</w:t>
      </w:r>
      <w:r>
        <w:rPr>
          <w:rFonts w:hint="eastAsia" w:ascii="宋体" w:hAnsi="宋体" w:eastAsia="宋体" w:cs="宋体"/>
          <w:spacing w:val="-1"/>
          <w:sz w:val="24"/>
          <w:szCs w:val="24"/>
          <w:lang w:eastAsia="zh-CN"/>
        </w:rPr>
        <w:t>程量清单进行计量支付。</w:t>
      </w:r>
    </w:p>
    <w:p w14:paraId="0D99F96F">
      <w:pPr>
        <w:spacing w:before="78" w:line="219" w:lineRule="auto"/>
        <w:ind w:left="487"/>
        <w:outlineLvl w:val="4"/>
        <w:rPr>
          <w:rFonts w:hint="eastAsia" w:ascii="宋体" w:hAnsi="宋体" w:eastAsia="宋体" w:cs="宋体"/>
          <w:sz w:val="24"/>
          <w:szCs w:val="24"/>
        </w:rPr>
      </w:pPr>
      <w:r>
        <w:rPr>
          <w:rFonts w:hint="eastAsia" w:ascii="宋体" w:hAnsi="宋体" w:eastAsia="宋体" w:cs="宋体"/>
          <w:b/>
          <w:bCs/>
          <w:spacing w:val="-5"/>
          <w:sz w:val="24"/>
          <w:szCs w:val="24"/>
        </w:rPr>
        <w:t>17.2</w:t>
      </w:r>
      <w:r>
        <w:rPr>
          <w:rFonts w:hint="eastAsia" w:ascii="宋体" w:hAnsi="宋体" w:eastAsia="宋体" w:cs="宋体"/>
          <w:b/>
          <w:bCs/>
          <w:spacing w:val="5"/>
          <w:sz w:val="24"/>
          <w:szCs w:val="24"/>
        </w:rPr>
        <w:t xml:space="preserve">  </w:t>
      </w:r>
      <w:r>
        <w:rPr>
          <w:rFonts w:hint="eastAsia" w:ascii="宋体" w:hAnsi="宋体" w:eastAsia="宋体" w:cs="宋体"/>
          <w:b/>
          <w:bCs/>
          <w:spacing w:val="-5"/>
          <w:sz w:val="24"/>
          <w:szCs w:val="24"/>
        </w:rPr>
        <w:t>预付款</w:t>
      </w:r>
    </w:p>
    <w:p w14:paraId="207EF9C1">
      <w:pPr>
        <w:spacing w:before="123" w:line="219" w:lineRule="auto"/>
        <w:ind w:left="499"/>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17.2.1</w:t>
      </w:r>
      <w:r>
        <w:rPr>
          <w:rFonts w:hint="eastAsia" w:ascii="宋体" w:hAnsi="宋体" w:eastAsia="宋体" w:cs="宋体"/>
          <w:spacing w:val="15"/>
          <w:w w:val="101"/>
          <w:sz w:val="24"/>
          <w:szCs w:val="24"/>
          <w:lang w:eastAsia="zh-CN"/>
        </w:rPr>
        <w:t xml:space="preserve"> </w:t>
      </w:r>
      <w:r>
        <w:rPr>
          <w:rFonts w:hint="eastAsia" w:ascii="宋体" w:hAnsi="宋体" w:eastAsia="宋体" w:cs="宋体"/>
          <w:spacing w:val="-5"/>
          <w:sz w:val="24"/>
          <w:szCs w:val="24"/>
          <w:lang w:eastAsia="zh-CN"/>
        </w:rPr>
        <w:t>预付款</w:t>
      </w:r>
    </w:p>
    <w:p w14:paraId="03E3D75B">
      <w:pPr>
        <w:spacing w:before="115" w:line="219" w:lineRule="auto"/>
        <w:ind w:left="481"/>
        <w:rPr>
          <w:rFonts w:hint="eastAsia" w:ascii="宋体" w:hAnsi="宋体" w:eastAsia="宋体" w:cs="宋体"/>
          <w:sz w:val="24"/>
          <w:szCs w:val="24"/>
          <w:lang w:eastAsia="zh-CN"/>
        </w:rPr>
      </w:pPr>
      <w:r>
        <w:rPr>
          <w:rFonts w:hint="eastAsia" w:ascii="宋体" w:hAnsi="宋体" w:eastAsia="宋体" w:cs="宋体"/>
          <w:spacing w:val="-7"/>
          <w:sz w:val="24"/>
          <w:szCs w:val="24"/>
          <w:lang w:eastAsia="zh-CN"/>
        </w:rPr>
        <w:t>本项补充第（3）</w:t>
      </w:r>
      <w:r>
        <w:rPr>
          <w:rFonts w:hint="eastAsia" w:ascii="宋体" w:hAnsi="宋体" w:eastAsia="宋体" w:cs="宋体"/>
          <w:spacing w:val="-62"/>
          <w:sz w:val="24"/>
          <w:szCs w:val="24"/>
          <w:lang w:eastAsia="zh-CN"/>
        </w:rPr>
        <w:t xml:space="preserve"> </w:t>
      </w:r>
      <w:r>
        <w:rPr>
          <w:rFonts w:hint="eastAsia" w:ascii="宋体" w:hAnsi="宋体" w:eastAsia="宋体" w:cs="宋体"/>
          <w:spacing w:val="-7"/>
          <w:sz w:val="24"/>
          <w:szCs w:val="24"/>
          <w:lang w:eastAsia="zh-CN"/>
        </w:rPr>
        <w:t>目：</w:t>
      </w:r>
    </w:p>
    <w:p w14:paraId="48966D3A">
      <w:pPr>
        <w:spacing w:before="117" w:line="219" w:lineRule="auto"/>
        <w:jc w:val="right"/>
        <w:rPr>
          <w:rFonts w:hint="eastAsia" w:ascii="宋体" w:hAnsi="宋体" w:eastAsia="宋体" w:cs="宋体"/>
          <w:sz w:val="24"/>
          <w:szCs w:val="24"/>
          <w:lang w:eastAsia="zh-CN"/>
        </w:rPr>
      </w:pPr>
      <w:r>
        <w:rPr>
          <w:rFonts w:hint="eastAsia" w:ascii="宋体" w:hAnsi="宋体" w:eastAsia="宋体" w:cs="宋体"/>
          <w:spacing w:val="9"/>
          <w:sz w:val="24"/>
          <w:szCs w:val="24"/>
          <w:lang w:eastAsia="zh-CN"/>
        </w:rPr>
        <w:t>（3）</w:t>
      </w:r>
      <w:r>
        <w:rPr>
          <w:rFonts w:hint="eastAsia" w:ascii="宋体" w:hAnsi="宋体" w:eastAsia="宋体" w:cs="宋体"/>
          <w:spacing w:val="-43"/>
          <w:sz w:val="24"/>
          <w:szCs w:val="24"/>
          <w:lang w:eastAsia="zh-CN"/>
        </w:rPr>
        <w:t xml:space="preserve"> </w:t>
      </w:r>
      <w:r>
        <w:rPr>
          <w:rFonts w:hint="eastAsia" w:ascii="宋体" w:hAnsi="宋体" w:eastAsia="宋体" w:cs="宋体"/>
          <w:spacing w:val="9"/>
          <w:sz w:val="24"/>
          <w:szCs w:val="24"/>
          <w:lang w:eastAsia="zh-CN"/>
        </w:rPr>
        <w:t>以发包人指定实施的养护工程作为开工事项的项目，开工预付款按照</w:t>
      </w:r>
    </w:p>
    <w:p w14:paraId="6D6FBE0A">
      <w:pPr>
        <w:spacing w:before="112" w:line="308" w:lineRule="auto"/>
        <w:ind w:left="2" w:firstLine="513" w:firstLineChars="207"/>
        <w:jc w:val="both"/>
        <w:rPr>
          <w:rFonts w:hint="eastAsia" w:ascii="宋体" w:hAnsi="宋体" w:eastAsia="宋体" w:cs="宋体"/>
          <w:spacing w:val="-2"/>
          <w:sz w:val="24"/>
          <w:szCs w:val="24"/>
          <w:lang w:val="en-US" w:eastAsia="zh-CN"/>
        </w:rPr>
      </w:pPr>
      <w:r>
        <w:rPr>
          <w:rFonts w:hint="eastAsia" w:ascii="宋体" w:hAnsi="宋体" w:eastAsia="宋体" w:cs="宋体"/>
          <w:spacing w:val="4"/>
          <w:sz w:val="24"/>
          <w:szCs w:val="24"/>
          <w:lang w:eastAsia="zh-CN"/>
        </w:rPr>
        <w:t>17.2.1（1</w:t>
      </w:r>
      <w:r>
        <w:rPr>
          <w:rFonts w:hint="eastAsia" w:ascii="宋体" w:hAnsi="宋体" w:eastAsia="宋体" w:cs="宋体"/>
          <w:spacing w:val="-8"/>
          <w:sz w:val="24"/>
          <w:szCs w:val="24"/>
          <w:lang w:eastAsia="zh-CN"/>
        </w:rPr>
        <w:t>）～（</w:t>
      </w:r>
      <w:r>
        <w:rPr>
          <w:rFonts w:hint="eastAsia" w:ascii="宋体" w:hAnsi="宋体" w:eastAsia="宋体" w:cs="宋体"/>
          <w:spacing w:val="4"/>
          <w:sz w:val="24"/>
          <w:szCs w:val="24"/>
          <w:lang w:eastAsia="zh-CN"/>
        </w:rPr>
        <w:t>3）执行。以日常养护及承包人自主实施的养护工程作为开工事项</w:t>
      </w:r>
      <w:r>
        <w:rPr>
          <w:rFonts w:hint="eastAsia" w:ascii="宋体" w:hAnsi="宋体" w:eastAsia="宋体" w:cs="宋体"/>
          <w:spacing w:val="1"/>
          <w:sz w:val="24"/>
          <w:szCs w:val="24"/>
          <w:lang w:eastAsia="zh-CN"/>
        </w:rPr>
        <w:t>的项目，承包人可采用发包人认可的格式并通过其认</w:t>
      </w:r>
      <w:r>
        <w:rPr>
          <w:rFonts w:hint="eastAsia" w:ascii="宋体" w:hAnsi="宋体" w:eastAsia="宋体" w:cs="宋体"/>
          <w:sz w:val="24"/>
          <w:szCs w:val="24"/>
          <w:lang w:eastAsia="zh-CN"/>
        </w:rPr>
        <w:t>可的银行提供银行保函（金额</w:t>
      </w:r>
      <w:r>
        <w:rPr>
          <w:rFonts w:hint="eastAsia" w:ascii="宋体" w:hAnsi="宋体" w:eastAsia="宋体" w:cs="宋体"/>
          <w:spacing w:val="13"/>
          <w:sz w:val="24"/>
          <w:szCs w:val="24"/>
          <w:lang w:eastAsia="zh-CN"/>
        </w:rPr>
        <w:t>等于预付款项）后，发包人向承包人支付预付款</w:t>
      </w:r>
      <w:r>
        <w:rPr>
          <w:rFonts w:hint="eastAsia" w:ascii="宋体" w:hAnsi="宋体" w:eastAsia="宋体" w:cs="宋体"/>
          <w:spacing w:val="-59"/>
          <w:sz w:val="24"/>
          <w:szCs w:val="24"/>
          <w:lang w:eastAsia="zh-CN"/>
        </w:rPr>
        <w:t xml:space="preserve"> </w:t>
      </w:r>
      <w:r>
        <w:rPr>
          <w:rFonts w:hint="eastAsia" w:ascii="宋体" w:hAnsi="宋体" w:eastAsia="宋体" w:cs="宋体"/>
          <w:spacing w:val="13"/>
          <w:sz w:val="24"/>
          <w:szCs w:val="24"/>
          <w:lang w:eastAsia="zh-CN"/>
        </w:rPr>
        <w:t>。预付款比例为：签约</w:t>
      </w:r>
      <w:r>
        <w:rPr>
          <w:rFonts w:hint="eastAsia" w:ascii="宋体" w:hAnsi="宋体" w:eastAsia="宋体" w:cs="宋体"/>
          <w:spacing w:val="13"/>
          <w:sz w:val="24"/>
          <w:szCs w:val="24"/>
          <w:lang w:val="en-US" w:eastAsia="zh-CN"/>
        </w:rPr>
        <w:t>年度</w:t>
      </w:r>
      <w:r>
        <w:rPr>
          <w:rFonts w:hint="eastAsia" w:ascii="宋体" w:hAnsi="宋体" w:eastAsia="宋体" w:cs="宋体"/>
          <w:spacing w:val="13"/>
          <w:sz w:val="24"/>
          <w:szCs w:val="24"/>
          <w:lang w:eastAsia="zh-CN"/>
        </w:rPr>
        <w:t>合同价</w:t>
      </w:r>
      <w:r>
        <w:rPr>
          <w:rFonts w:hint="eastAsia" w:ascii="宋体" w:hAnsi="宋体" w:eastAsia="宋体" w:cs="宋体"/>
          <w:spacing w:val="-2"/>
          <w:sz w:val="24"/>
          <w:szCs w:val="24"/>
          <w:lang w:eastAsia="zh-CN"/>
        </w:rPr>
        <w:t>的</w:t>
      </w:r>
      <w:r>
        <w:rPr>
          <w:rFonts w:hint="eastAsia" w:ascii="宋体" w:hAnsi="宋体" w:eastAsia="宋体" w:cs="宋体"/>
          <w:spacing w:val="-2"/>
          <w:sz w:val="24"/>
          <w:szCs w:val="24"/>
          <w:u w:val="single"/>
          <w:lang w:eastAsia="zh-CN"/>
        </w:rPr>
        <w:t xml:space="preserve">  </w:t>
      </w:r>
      <w:r>
        <w:rPr>
          <w:rFonts w:hint="eastAsia" w:ascii="宋体" w:hAnsi="宋体" w:eastAsia="宋体" w:cs="宋体"/>
          <w:spacing w:val="-2"/>
          <w:sz w:val="24"/>
          <w:szCs w:val="24"/>
          <w:u w:val="single"/>
          <w:lang w:val="en-US" w:eastAsia="zh-CN"/>
        </w:rPr>
        <w:t>30</w:t>
      </w:r>
      <w:r>
        <w:rPr>
          <w:rFonts w:hint="eastAsia" w:ascii="宋体" w:hAnsi="宋体" w:eastAsia="宋体" w:cs="宋体"/>
          <w:spacing w:val="-2"/>
          <w:sz w:val="24"/>
          <w:szCs w:val="24"/>
          <w:u w:val="single"/>
          <w:lang w:eastAsia="zh-CN"/>
        </w:rPr>
        <w:t xml:space="preserve"> </w:t>
      </w:r>
      <w:r>
        <w:rPr>
          <w:rFonts w:hint="eastAsia" w:ascii="宋体" w:hAnsi="宋体" w:eastAsia="宋体" w:cs="宋体"/>
          <w:spacing w:val="-2"/>
          <w:sz w:val="24"/>
          <w:szCs w:val="24"/>
          <w:lang w:eastAsia="zh-CN"/>
        </w:rPr>
        <w:t xml:space="preserve"> %。该保函在扣回预付款项前始终有效。</w:t>
      </w:r>
    </w:p>
    <w:p w14:paraId="70594934">
      <w:pPr>
        <w:spacing w:line="219" w:lineRule="auto"/>
        <w:ind w:left="499"/>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17.2.3  预付款的扣回与还清</w:t>
      </w:r>
    </w:p>
    <w:p w14:paraId="0AB54D2E">
      <w:pPr>
        <w:spacing w:before="117" w:line="219" w:lineRule="auto"/>
        <w:ind w:left="480"/>
        <w:rPr>
          <w:rFonts w:hint="eastAsia" w:ascii="宋体" w:hAnsi="宋体" w:eastAsia="宋体" w:cs="宋体"/>
          <w:sz w:val="24"/>
          <w:szCs w:val="24"/>
          <w:lang w:eastAsia="zh-CN"/>
        </w:rPr>
      </w:pPr>
      <w:r>
        <w:rPr>
          <w:rFonts w:hint="eastAsia" w:ascii="宋体" w:hAnsi="宋体" w:eastAsia="宋体" w:cs="宋体"/>
          <w:spacing w:val="-9"/>
          <w:sz w:val="24"/>
          <w:szCs w:val="24"/>
          <w:lang w:eastAsia="zh-CN"/>
        </w:rPr>
        <w:t>补充第（4）</w:t>
      </w:r>
      <w:r>
        <w:rPr>
          <w:rFonts w:hint="eastAsia" w:ascii="宋体" w:hAnsi="宋体" w:eastAsia="宋体" w:cs="宋体"/>
          <w:spacing w:val="-59"/>
          <w:sz w:val="24"/>
          <w:szCs w:val="24"/>
          <w:lang w:eastAsia="zh-CN"/>
        </w:rPr>
        <w:t xml:space="preserve"> </w:t>
      </w:r>
      <w:r>
        <w:rPr>
          <w:rFonts w:hint="eastAsia" w:ascii="宋体" w:hAnsi="宋体" w:eastAsia="宋体" w:cs="宋体"/>
          <w:spacing w:val="-9"/>
          <w:sz w:val="24"/>
          <w:szCs w:val="24"/>
          <w:lang w:eastAsia="zh-CN"/>
        </w:rPr>
        <w:t>目：</w:t>
      </w:r>
    </w:p>
    <w:p w14:paraId="45F81B04">
      <w:pPr>
        <w:spacing w:before="110" w:line="309" w:lineRule="auto"/>
        <w:ind w:left="1" w:firstLine="490"/>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（4）开工预付款从发包人指定实施的养护工程价款中扣回，具体扣回方</w:t>
      </w:r>
      <w:r>
        <w:rPr>
          <w:rFonts w:hint="eastAsia" w:ascii="宋体" w:hAnsi="宋体" w:eastAsia="宋体" w:cs="宋体"/>
          <w:spacing w:val="3"/>
          <w:sz w:val="24"/>
          <w:szCs w:val="24"/>
          <w:lang w:eastAsia="zh-CN"/>
        </w:rPr>
        <w:t>式按</w:t>
      </w:r>
      <w:r>
        <w:rPr>
          <w:rFonts w:hint="eastAsia" w:ascii="宋体" w:hAnsi="宋体" w:eastAsia="宋体" w:cs="宋体"/>
          <w:spacing w:val="2"/>
          <w:sz w:val="24"/>
          <w:szCs w:val="24"/>
          <w:lang w:eastAsia="zh-CN"/>
        </w:rPr>
        <w:t>照</w:t>
      </w:r>
      <w:r>
        <w:rPr>
          <w:rFonts w:hint="eastAsia" w:ascii="宋体" w:hAnsi="宋体" w:eastAsia="宋体" w:cs="宋体"/>
          <w:spacing w:val="-29"/>
          <w:sz w:val="24"/>
          <w:szCs w:val="24"/>
          <w:lang w:eastAsia="zh-CN"/>
        </w:rPr>
        <w:t xml:space="preserve"> </w:t>
      </w:r>
      <w:r>
        <w:rPr>
          <w:rFonts w:hint="eastAsia" w:ascii="宋体" w:hAnsi="宋体" w:eastAsia="宋体" w:cs="宋体"/>
          <w:spacing w:val="2"/>
          <w:sz w:val="24"/>
          <w:szCs w:val="24"/>
          <w:lang w:eastAsia="zh-CN"/>
        </w:rPr>
        <w:t>17.2.3（1</w:t>
      </w:r>
      <w:r>
        <w:rPr>
          <w:rFonts w:hint="eastAsia" w:ascii="宋体" w:hAnsi="宋体" w:eastAsia="宋体" w:cs="宋体"/>
          <w:spacing w:val="-7"/>
          <w:sz w:val="24"/>
          <w:szCs w:val="24"/>
          <w:lang w:eastAsia="zh-CN"/>
        </w:rPr>
        <w:t>）～（</w:t>
      </w:r>
      <w:r>
        <w:rPr>
          <w:rFonts w:hint="eastAsia" w:ascii="宋体" w:hAnsi="宋体" w:eastAsia="宋体" w:cs="宋体"/>
          <w:spacing w:val="2"/>
          <w:sz w:val="24"/>
          <w:szCs w:val="24"/>
          <w:lang w:eastAsia="zh-CN"/>
        </w:rPr>
        <w:t>3）执行；或从日常养护及承包人自主实施的养护工程的月度、</w:t>
      </w:r>
      <w:r>
        <w:rPr>
          <w:rFonts w:hint="eastAsia" w:ascii="宋体" w:hAnsi="宋体" w:eastAsia="宋体" w:cs="宋体"/>
          <w:sz w:val="24"/>
          <w:szCs w:val="24"/>
          <w:lang w:eastAsia="zh-CN"/>
        </w:rPr>
        <w:t>季度或半年度支付价款中扣回，从第</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二</w:t>
      </w:r>
      <w:r>
        <w:rPr>
          <w:rFonts w:hint="eastAsia" w:ascii="宋体" w:hAnsi="宋体" w:eastAsia="宋体" w:cs="宋体"/>
          <w:sz w:val="24"/>
          <w:szCs w:val="24"/>
          <w:u w:val="single"/>
          <w:lang w:eastAsia="zh-CN"/>
        </w:rPr>
        <w:t xml:space="preserve"> </w:t>
      </w:r>
      <w:r>
        <w:rPr>
          <w:rFonts w:hint="eastAsia" w:ascii="宋体" w:hAnsi="宋体" w:eastAsia="宋体" w:cs="宋体"/>
          <w:spacing w:val="-96"/>
          <w:sz w:val="24"/>
          <w:szCs w:val="24"/>
          <w:lang w:eastAsia="zh-CN"/>
        </w:rPr>
        <w:t xml:space="preserve"> </w:t>
      </w:r>
      <w:r>
        <w:rPr>
          <w:rFonts w:hint="eastAsia" w:ascii="宋体" w:hAnsi="宋体" w:eastAsia="宋体" w:cs="宋体"/>
          <w:sz w:val="24"/>
          <w:szCs w:val="24"/>
          <w:lang w:eastAsia="zh-CN"/>
        </w:rPr>
        <w:t>个</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季度</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（月度、季度、半年度）开始，每次</w:t>
      </w:r>
      <w:r>
        <w:rPr>
          <w:rFonts w:hint="eastAsia" w:ascii="宋体" w:hAnsi="宋体" w:eastAsia="宋体" w:cs="宋体"/>
          <w:spacing w:val="1"/>
          <w:sz w:val="24"/>
          <w:szCs w:val="24"/>
          <w:lang w:eastAsia="zh-CN"/>
        </w:rPr>
        <w:t>扣回预付款的</w:t>
      </w:r>
      <w:r>
        <w:rPr>
          <w:rFonts w:hint="eastAsia" w:ascii="宋体" w:hAnsi="宋体" w:eastAsia="宋体" w:cs="宋体"/>
          <w:spacing w:val="-119"/>
          <w:sz w:val="24"/>
          <w:szCs w:val="24"/>
          <w:lang w:eastAsia="zh-CN"/>
        </w:rPr>
        <w:t xml:space="preserve"> </w:t>
      </w:r>
      <w:r>
        <w:rPr>
          <w:rFonts w:hint="eastAsia" w:ascii="宋体" w:hAnsi="宋体" w:eastAsia="宋体" w:cs="宋体"/>
          <w:spacing w:val="3"/>
          <w:sz w:val="24"/>
          <w:szCs w:val="24"/>
          <w:u w:val="single"/>
          <w:lang w:eastAsia="zh-CN"/>
        </w:rPr>
        <w:t xml:space="preserve"> </w:t>
      </w:r>
      <w:r>
        <w:rPr>
          <w:rFonts w:hint="eastAsia" w:ascii="宋体" w:hAnsi="宋体" w:eastAsia="宋体" w:cs="宋体"/>
          <w:spacing w:val="3"/>
          <w:sz w:val="24"/>
          <w:szCs w:val="24"/>
          <w:u w:val="single"/>
          <w:lang w:val="en-US" w:eastAsia="zh-CN"/>
        </w:rPr>
        <w:t>50</w:t>
      </w:r>
      <w:r>
        <w:rPr>
          <w:rFonts w:hint="eastAsia" w:ascii="宋体" w:hAnsi="宋体" w:eastAsia="宋体" w:cs="宋体"/>
          <w:spacing w:val="3"/>
          <w:sz w:val="24"/>
          <w:szCs w:val="24"/>
          <w:u w:val="single"/>
          <w:lang w:eastAsia="zh-CN"/>
        </w:rPr>
        <w:t xml:space="preserve">  </w:t>
      </w:r>
      <w:r>
        <w:rPr>
          <w:rFonts w:hint="eastAsia" w:ascii="宋体" w:hAnsi="宋体" w:eastAsia="宋体" w:cs="宋体"/>
          <w:spacing w:val="-110"/>
          <w:sz w:val="24"/>
          <w:szCs w:val="24"/>
          <w:lang w:eastAsia="zh-CN"/>
        </w:rPr>
        <w:t xml:space="preserve"> </w:t>
      </w:r>
      <w:r>
        <w:rPr>
          <w:rFonts w:hint="eastAsia" w:ascii="宋体" w:hAnsi="宋体" w:eastAsia="宋体" w:cs="宋体"/>
          <w:spacing w:val="1"/>
          <w:sz w:val="24"/>
          <w:szCs w:val="24"/>
          <w:lang w:eastAsia="zh-CN"/>
        </w:rPr>
        <w:t>%</w:t>
      </w:r>
      <w:r>
        <w:rPr>
          <w:rFonts w:hint="eastAsia" w:ascii="宋体" w:hAnsi="宋体" w:eastAsia="宋体" w:cs="宋体"/>
          <w:spacing w:val="-27"/>
          <w:sz w:val="24"/>
          <w:szCs w:val="24"/>
          <w:lang w:eastAsia="zh-CN"/>
        </w:rPr>
        <w:t xml:space="preserve"> </w:t>
      </w:r>
      <w:r>
        <w:rPr>
          <w:rFonts w:hint="eastAsia" w:ascii="宋体" w:hAnsi="宋体" w:eastAsia="宋体" w:cs="宋体"/>
          <w:spacing w:val="1"/>
          <w:sz w:val="24"/>
          <w:szCs w:val="24"/>
          <w:lang w:eastAsia="zh-CN"/>
        </w:rPr>
        <w:t>，每扣回预付款的</w:t>
      </w:r>
      <w:r>
        <w:rPr>
          <w:rFonts w:hint="eastAsia" w:ascii="宋体" w:hAnsi="宋体" w:eastAsia="宋体" w:cs="宋体"/>
          <w:spacing w:val="-118"/>
          <w:sz w:val="24"/>
          <w:szCs w:val="24"/>
          <w:lang w:eastAsia="zh-CN"/>
        </w:rPr>
        <w:t xml:space="preserve"> </w:t>
      </w:r>
      <w:r>
        <w:rPr>
          <w:rFonts w:hint="eastAsia" w:ascii="宋体" w:hAnsi="宋体" w:eastAsia="宋体" w:cs="宋体"/>
          <w:spacing w:val="3"/>
          <w:sz w:val="24"/>
          <w:szCs w:val="24"/>
          <w:u w:val="single"/>
          <w:lang w:eastAsia="zh-CN"/>
        </w:rPr>
        <w:t xml:space="preserve"> </w:t>
      </w:r>
      <w:r>
        <w:rPr>
          <w:rFonts w:hint="eastAsia" w:ascii="宋体" w:hAnsi="宋体" w:eastAsia="宋体" w:cs="宋体"/>
          <w:spacing w:val="3"/>
          <w:sz w:val="24"/>
          <w:szCs w:val="24"/>
          <w:u w:val="single"/>
          <w:lang w:val="en-US" w:eastAsia="zh-CN"/>
        </w:rPr>
        <w:t>50</w:t>
      </w:r>
      <w:r>
        <w:rPr>
          <w:rFonts w:hint="eastAsia" w:ascii="宋体" w:hAnsi="宋体" w:eastAsia="宋体" w:cs="宋体"/>
          <w:spacing w:val="3"/>
          <w:sz w:val="24"/>
          <w:szCs w:val="24"/>
          <w:u w:val="single"/>
          <w:lang w:eastAsia="zh-CN"/>
        </w:rPr>
        <w:t xml:space="preserve">  </w:t>
      </w:r>
      <w:r>
        <w:rPr>
          <w:rFonts w:hint="eastAsia" w:ascii="宋体" w:hAnsi="宋体" w:eastAsia="宋体" w:cs="宋体"/>
          <w:spacing w:val="-110"/>
          <w:sz w:val="24"/>
          <w:szCs w:val="24"/>
          <w:lang w:eastAsia="zh-CN"/>
        </w:rPr>
        <w:t xml:space="preserve"> </w:t>
      </w:r>
      <w:r>
        <w:rPr>
          <w:rFonts w:hint="eastAsia" w:ascii="宋体" w:hAnsi="宋体" w:eastAsia="宋体" w:cs="宋体"/>
          <w:spacing w:val="1"/>
          <w:sz w:val="24"/>
          <w:szCs w:val="24"/>
          <w:lang w:eastAsia="zh-CN"/>
        </w:rPr>
        <w:t>%时发包人可同意承包人重新</w:t>
      </w:r>
      <w:r>
        <w:rPr>
          <w:rFonts w:hint="eastAsia" w:ascii="宋体" w:hAnsi="宋体" w:eastAsia="宋体" w:cs="宋体"/>
          <w:sz w:val="24"/>
          <w:szCs w:val="24"/>
          <w:lang w:eastAsia="zh-CN"/>
        </w:rPr>
        <w:t>提供银行保</w:t>
      </w:r>
      <w:r>
        <w:rPr>
          <w:rFonts w:hint="eastAsia" w:ascii="宋体" w:hAnsi="宋体" w:eastAsia="宋体" w:cs="宋体"/>
          <w:spacing w:val="1"/>
          <w:sz w:val="24"/>
          <w:szCs w:val="24"/>
          <w:lang w:eastAsia="zh-CN"/>
        </w:rPr>
        <w:t>函（金额等于预付款尚未扣回的款项</w:t>
      </w:r>
      <w:r>
        <w:rPr>
          <w:rFonts w:hint="eastAsia" w:ascii="宋体" w:hAnsi="宋体" w:eastAsia="宋体" w:cs="宋体"/>
          <w:spacing w:val="-52"/>
          <w:sz w:val="24"/>
          <w:szCs w:val="24"/>
          <w:lang w:eastAsia="zh-CN"/>
        </w:rPr>
        <w:t>），</w:t>
      </w:r>
      <w:r>
        <w:rPr>
          <w:rFonts w:hint="eastAsia" w:ascii="宋体" w:hAnsi="宋体" w:eastAsia="宋体" w:cs="宋体"/>
          <w:spacing w:val="1"/>
          <w:sz w:val="24"/>
          <w:szCs w:val="24"/>
          <w:lang w:eastAsia="zh-CN"/>
        </w:rPr>
        <w:t>在累计计量金额达到签约合同价的</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val="en-US" w:eastAsia="zh-CN"/>
        </w:rPr>
        <w:t>80</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10"/>
          <w:sz w:val="24"/>
          <w:szCs w:val="24"/>
          <w:lang w:eastAsia="zh-CN"/>
        </w:rPr>
        <w:t xml:space="preserve"> </w:t>
      </w:r>
      <w:r>
        <w:rPr>
          <w:rFonts w:hint="eastAsia" w:ascii="宋体" w:hAnsi="宋体" w:eastAsia="宋体" w:cs="宋体"/>
          <w:spacing w:val="1"/>
          <w:sz w:val="24"/>
          <w:szCs w:val="24"/>
          <w:lang w:eastAsia="zh-CN"/>
        </w:rPr>
        <w:t>%时</w:t>
      </w:r>
      <w:r>
        <w:rPr>
          <w:rFonts w:hint="eastAsia" w:ascii="宋体" w:hAnsi="宋体" w:eastAsia="宋体" w:cs="宋体"/>
          <w:spacing w:val="-4"/>
          <w:sz w:val="24"/>
          <w:szCs w:val="24"/>
          <w:lang w:eastAsia="zh-CN"/>
        </w:rPr>
        <w:t>扣完。</w:t>
      </w:r>
    </w:p>
    <w:p w14:paraId="7B7B1E3E">
      <w:pPr>
        <w:spacing w:before="78" w:line="219" w:lineRule="auto"/>
        <w:ind w:left="487"/>
        <w:outlineLvl w:val="4"/>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17.3  工程进度付款</w:t>
      </w:r>
    </w:p>
    <w:p w14:paraId="05507C50">
      <w:pPr>
        <w:spacing w:before="126" w:line="219" w:lineRule="auto"/>
        <w:ind w:left="480"/>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第</w:t>
      </w:r>
      <w:r>
        <w:rPr>
          <w:rFonts w:hint="eastAsia" w:ascii="宋体" w:hAnsi="宋体" w:eastAsia="宋体" w:cs="宋体"/>
          <w:spacing w:val="-32"/>
          <w:sz w:val="24"/>
          <w:szCs w:val="24"/>
          <w:lang w:eastAsia="zh-CN"/>
        </w:rPr>
        <w:t xml:space="preserve"> </w:t>
      </w:r>
      <w:r>
        <w:rPr>
          <w:rFonts w:hint="eastAsia" w:ascii="宋体" w:hAnsi="宋体" w:eastAsia="宋体" w:cs="宋体"/>
          <w:spacing w:val="-3"/>
          <w:sz w:val="24"/>
          <w:szCs w:val="24"/>
          <w:lang w:eastAsia="zh-CN"/>
        </w:rPr>
        <w:t>17.3.1 项修改为：</w:t>
      </w:r>
    </w:p>
    <w:p w14:paraId="1CA61350">
      <w:pPr>
        <w:spacing w:before="114" w:line="219" w:lineRule="auto"/>
        <w:ind w:left="499"/>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17.3.1  付款周期</w:t>
      </w:r>
    </w:p>
    <w:p w14:paraId="018EBCD7">
      <w:pPr>
        <w:spacing w:before="116" w:line="219" w:lineRule="auto"/>
        <w:ind w:left="492"/>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（1）发包人指定实施的养护工程付款周期同计量周期。</w:t>
      </w:r>
    </w:p>
    <w:p w14:paraId="35AF8467">
      <w:pPr>
        <w:spacing w:before="115" w:line="263" w:lineRule="auto"/>
        <w:ind w:firstLine="492"/>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（2）</w:t>
      </w:r>
      <w:r>
        <w:rPr>
          <w:rFonts w:hint="eastAsia" w:ascii="宋体" w:hAnsi="宋体" w:eastAsia="宋体" w:cs="宋体"/>
          <w:spacing w:val="-68"/>
          <w:sz w:val="24"/>
          <w:szCs w:val="24"/>
          <w:lang w:eastAsia="zh-CN"/>
        </w:rPr>
        <w:t xml:space="preserve"> </w:t>
      </w:r>
      <w:r>
        <w:rPr>
          <w:rFonts w:hint="eastAsia" w:ascii="宋体" w:hAnsi="宋体" w:eastAsia="宋体" w:cs="宋体"/>
          <w:spacing w:val="-1"/>
          <w:sz w:val="24"/>
          <w:szCs w:val="24"/>
          <w:lang w:eastAsia="zh-CN"/>
        </w:rPr>
        <w:t>日常养护和承包人自主实施的养护工程付款周期为</w:t>
      </w:r>
      <w:r>
        <w:rPr>
          <w:rFonts w:hint="eastAsia" w:ascii="宋体" w:hAnsi="宋体" w:eastAsia="宋体" w:cs="宋体"/>
          <w:spacing w:val="-8"/>
          <w:sz w:val="24"/>
          <w:szCs w:val="24"/>
          <w:lang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val="en-US" w:eastAsia="zh-CN"/>
        </w:rPr>
        <w:t>月度</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8"/>
          <w:sz w:val="24"/>
          <w:szCs w:val="24"/>
          <w:lang w:eastAsia="zh-CN"/>
        </w:rPr>
        <w:t>（</w:t>
      </w:r>
      <w:r>
        <w:rPr>
          <w:rFonts w:hint="eastAsia" w:ascii="宋体" w:hAnsi="宋体" w:eastAsia="宋体" w:cs="宋体"/>
          <w:spacing w:val="-1"/>
          <w:sz w:val="24"/>
          <w:szCs w:val="24"/>
          <w:lang w:eastAsia="zh-CN"/>
        </w:rPr>
        <w:t>月度、季</w:t>
      </w:r>
      <w:r>
        <w:rPr>
          <w:rFonts w:hint="eastAsia" w:ascii="宋体" w:hAnsi="宋体" w:eastAsia="宋体" w:cs="宋体"/>
          <w:spacing w:val="-24"/>
          <w:sz w:val="24"/>
          <w:szCs w:val="24"/>
          <w:lang w:eastAsia="zh-CN"/>
        </w:rPr>
        <w:t>度等）。</w:t>
      </w:r>
    </w:p>
    <w:p w14:paraId="02EF8B14">
      <w:pPr>
        <w:spacing w:before="116" w:line="219" w:lineRule="auto"/>
        <w:ind w:left="492"/>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（3）应急和不可预见的专项养护工程（工作）付款周期同计量周期。</w:t>
      </w:r>
    </w:p>
    <w:p w14:paraId="47165264">
      <w:pPr>
        <w:spacing w:before="116" w:line="219" w:lineRule="auto"/>
        <w:ind w:left="480"/>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第</w:t>
      </w:r>
      <w:r>
        <w:rPr>
          <w:rFonts w:hint="eastAsia" w:ascii="宋体" w:hAnsi="宋体" w:eastAsia="宋体" w:cs="宋体"/>
          <w:spacing w:val="-32"/>
          <w:sz w:val="24"/>
          <w:szCs w:val="24"/>
          <w:lang w:eastAsia="zh-CN"/>
        </w:rPr>
        <w:t xml:space="preserve"> </w:t>
      </w:r>
      <w:r>
        <w:rPr>
          <w:rFonts w:hint="eastAsia" w:ascii="宋体" w:hAnsi="宋体" w:eastAsia="宋体" w:cs="宋体"/>
          <w:spacing w:val="-3"/>
          <w:sz w:val="24"/>
          <w:szCs w:val="24"/>
          <w:lang w:eastAsia="zh-CN"/>
        </w:rPr>
        <w:t>17.3.2 项修改为：</w:t>
      </w:r>
    </w:p>
    <w:p w14:paraId="670CE240">
      <w:pPr>
        <w:spacing w:before="114" w:line="219" w:lineRule="auto"/>
        <w:ind w:left="499"/>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17.3.2  进度付款申请单</w:t>
      </w:r>
    </w:p>
    <w:p w14:paraId="35618036">
      <w:pPr>
        <w:spacing w:before="116" w:line="219" w:lineRule="auto"/>
        <w:ind w:left="499"/>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17.3.2.1  发包人指定实施的养护工程进度付款申请单</w:t>
      </w:r>
    </w:p>
    <w:p w14:paraId="0AAC348F">
      <w:pPr>
        <w:spacing w:before="78" w:line="218" w:lineRule="auto"/>
        <w:ind w:left="431"/>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承包人应在每个付款周期末，按</w:t>
      </w:r>
      <w:r>
        <w:rPr>
          <w:rFonts w:hint="eastAsia" w:ascii="宋体" w:hAnsi="宋体" w:eastAsia="宋体" w:cs="宋体"/>
          <w:spacing w:val="1"/>
          <w:sz w:val="24"/>
          <w:szCs w:val="24"/>
          <w:lang w:val="en-US" w:eastAsia="zh-CN"/>
        </w:rPr>
        <w:t>发包</w:t>
      </w:r>
      <w:r>
        <w:rPr>
          <w:rFonts w:hint="eastAsia" w:ascii="宋体" w:hAnsi="宋体" w:eastAsia="宋体" w:cs="宋体"/>
          <w:spacing w:val="1"/>
          <w:sz w:val="24"/>
          <w:szCs w:val="24"/>
          <w:lang w:eastAsia="zh-CN"/>
        </w:rPr>
        <w:t>人批准的</w:t>
      </w:r>
      <w:r>
        <w:rPr>
          <w:rFonts w:hint="eastAsia" w:ascii="宋体" w:hAnsi="宋体" w:eastAsia="宋体" w:cs="宋体"/>
          <w:sz w:val="24"/>
          <w:szCs w:val="24"/>
          <w:lang w:eastAsia="zh-CN"/>
        </w:rPr>
        <w:t>格式和专用合同条款</w:t>
      </w:r>
      <w:r>
        <w:rPr>
          <w:rFonts w:hint="eastAsia" w:ascii="宋体" w:hAnsi="宋体" w:eastAsia="宋体" w:cs="宋体"/>
          <w:spacing w:val="1"/>
          <w:sz w:val="24"/>
          <w:szCs w:val="24"/>
          <w:lang w:eastAsia="zh-CN"/>
        </w:rPr>
        <w:t>约定的份数，向</w:t>
      </w:r>
      <w:r>
        <w:rPr>
          <w:rFonts w:hint="eastAsia" w:ascii="宋体" w:hAnsi="宋体" w:eastAsia="宋体" w:cs="宋体"/>
          <w:spacing w:val="1"/>
          <w:sz w:val="24"/>
          <w:szCs w:val="24"/>
          <w:lang w:val="en-US" w:eastAsia="zh-CN"/>
        </w:rPr>
        <w:t>发包人</w:t>
      </w:r>
      <w:r>
        <w:rPr>
          <w:rFonts w:hint="eastAsia" w:ascii="宋体" w:hAnsi="宋体" w:eastAsia="宋体" w:cs="宋体"/>
          <w:spacing w:val="1"/>
          <w:sz w:val="24"/>
          <w:szCs w:val="24"/>
          <w:lang w:eastAsia="zh-CN"/>
        </w:rPr>
        <w:t>提交进度付款申请单</w:t>
      </w:r>
      <w:r>
        <w:rPr>
          <w:rFonts w:hint="eastAsia" w:ascii="宋体" w:hAnsi="宋体" w:eastAsia="宋体" w:cs="宋体"/>
          <w:sz w:val="24"/>
          <w:szCs w:val="24"/>
          <w:lang w:eastAsia="zh-CN"/>
        </w:rPr>
        <w:t>，并附相应的支持性证明文</w:t>
      </w:r>
      <w:r>
        <w:rPr>
          <w:rFonts w:hint="eastAsia" w:ascii="宋体" w:hAnsi="宋体" w:eastAsia="宋体" w:cs="宋体"/>
          <w:spacing w:val="-1"/>
          <w:sz w:val="24"/>
          <w:szCs w:val="24"/>
          <w:lang w:eastAsia="zh-CN"/>
        </w:rPr>
        <w:t>件。进度付款申请单应包括下列内容：（1）截至本次付款周期末已实施养护作业的价款；</w:t>
      </w:r>
    </w:p>
    <w:p w14:paraId="6E9282E4">
      <w:pPr>
        <w:spacing w:before="127" w:line="219" w:lineRule="auto"/>
        <w:ind w:left="491"/>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（2）根据第</w:t>
      </w:r>
      <w:r>
        <w:rPr>
          <w:rFonts w:hint="eastAsia" w:ascii="宋体" w:hAnsi="宋体" w:eastAsia="宋体" w:cs="宋体"/>
          <w:spacing w:val="-16"/>
          <w:sz w:val="24"/>
          <w:szCs w:val="24"/>
          <w:lang w:eastAsia="zh-CN"/>
        </w:rPr>
        <w:t xml:space="preserve"> </w:t>
      </w:r>
      <w:r>
        <w:rPr>
          <w:rFonts w:hint="eastAsia" w:ascii="宋体" w:hAnsi="宋体" w:eastAsia="宋体" w:cs="宋体"/>
          <w:spacing w:val="-3"/>
          <w:sz w:val="24"/>
          <w:szCs w:val="24"/>
          <w:lang w:eastAsia="zh-CN"/>
        </w:rPr>
        <w:t>15 条应增加和扣减的变更金额；</w:t>
      </w:r>
    </w:p>
    <w:p w14:paraId="55C28F1D">
      <w:pPr>
        <w:spacing w:before="113" w:line="219" w:lineRule="auto"/>
        <w:ind w:left="491"/>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（3）根据第</w:t>
      </w:r>
      <w:r>
        <w:rPr>
          <w:rFonts w:hint="eastAsia" w:ascii="宋体" w:hAnsi="宋体" w:eastAsia="宋体" w:cs="宋体"/>
          <w:spacing w:val="-38"/>
          <w:sz w:val="24"/>
          <w:szCs w:val="24"/>
          <w:lang w:eastAsia="zh-CN"/>
        </w:rPr>
        <w:t xml:space="preserve"> </w:t>
      </w:r>
      <w:r>
        <w:rPr>
          <w:rFonts w:hint="eastAsia" w:ascii="宋体" w:hAnsi="宋体" w:eastAsia="宋体" w:cs="宋体"/>
          <w:spacing w:val="-2"/>
          <w:sz w:val="24"/>
          <w:szCs w:val="24"/>
          <w:lang w:eastAsia="zh-CN"/>
        </w:rPr>
        <w:t>23 条应增加和扣减的索赔金额；</w:t>
      </w:r>
    </w:p>
    <w:p w14:paraId="37D3C911">
      <w:pPr>
        <w:spacing w:before="116" w:line="219" w:lineRule="auto"/>
        <w:ind w:left="491"/>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（4）根据第</w:t>
      </w:r>
      <w:r>
        <w:rPr>
          <w:rFonts w:hint="eastAsia" w:ascii="宋体" w:hAnsi="宋体" w:eastAsia="宋体" w:cs="宋体"/>
          <w:spacing w:val="-20"/>
          <w:sz w:val="24"/>
          <w:szCs w:val="24"/>
          <w:lang w:eastAsia="zh-CN"/>
        </w:rPr>
        <w:t xml:space="preserve"> </w:t>
      </w:r>
      <w:r>
        <w:rPr>
          <w:rFonts w:hint="eastAsia" w:ascii="宋体" w:hAnsi="宋体" w:eastAsia="宋体" w:cs="宋体"/>
          <w:spacing w:val="-2"/>
          <w:sz w:val="24"/>
          <w:szCs w:val="24"/>
          <w:lang w:eastAsia="zh-CN"/>
        </w:rPr>
        <w:t>17.2 款约定应支付的预付款和扣减的返还预付款；</w:t>
      </w:r>
    </w:p>
    <w:p w14:paraId="32D84FBC">
      <w:pPr>
        <w:spacing w:before="116" w:line="219" w:lineRule="auto"/>
        <w:ind w:left="491"/>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（5）根据合同应增加和扣减的其他金额。</w:t>
      </w:r>
    </w:p>
    <w:p w14:paraId="58B5306A">
      <w:pPr>
        <w:spacing w:before="113" w:line="219" w:lineRule="auto"/>
        <w:ind w:left="498"/>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17.3.2.2</w:t>
      </w:r>
      <w:r>
        <w:rPr>
          <w:rFonts w:hint="eastAsia" w:ascii="宋体" w:hAnsi="宋体" w:eastAsia="宋体" w:cs="宋体"/>
          <w:spacing w:val="33"/>
          <w:sz w:val="24"/>
          <w:szCs w:val="24"/>
          <w:lang w:eastAsia="zh-CN"/>
        </w:rPr>
        <w:t xml:space="preserve">  </w:t>
      </w:r>
      <w:r>
        <w:rPr>
          <w:rFonts w:hint="eastAsia" w:ascii="宋体" w:hAnsi="宋体" w:eastAsia="宋体" w:cs="宋体"/>
          <w:spacing w:val="-3"/>
          <w:sz w:val="24"/>
          <w:szCs w:val="24"/>
          <w:lang w:eastAsia="zh-CN"/>
        </w:rPr>
        <w:t>日常养护和承包人自主实施的养护工程进度付款申请单</w:t>
      </w:r>
    </w:p>
    <w:p w14:paraId="1B1EDF23">
      <w:pPr>
        <w:spacing w:before="114" w:line="308" w:lineRule="auto"/>
        <w:ind w:right="147" w:firstLine="480"/>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承包人应在每个付款周期末，按</w:t>
      </w:r>
      <w:r>
        <w:rPr>
          <w:rFonts w:hint="eastAsia" w:ascii="宋体" w:hAnsi="宋体" w:eastAsia="宋体" w:cs="宋体"/>
          <w:spacing w:val="1"/>
          <w:sz w:val="24"/>
          <w:szCs w:val="24"/>
          <w:lang w:val="en-US" w:eastAsia="zh-CN"/>
        </w:rPr>
        <w:t>发包</w:t>
      </w:r>
      <w:r>
        <w:rPr>
          <w:rFonts w:hint="eastAsia" w:ascii="宋体" w:hAnsi="宋体" w:eastAsia="宋体" w:cs="宋体"/>
          <w:spacing w:val="1"/>
          <w:sz w:val="24"/>
          <w:szCs w:val="24"/>
          <w:lang w:eastAsia="zh-CN"/>
        </w:rPr>
        <w:t>人批</w:t>
      </w:r>
      <w:r>
        <w:rPr>
          <w:rFonts w:hint="eastAsia" w:ascii="宋体" w:hAnsi="宋体" w:eastAsia="宋体" w:cs="宋体"/>
          <w:sz w:val="24"/>
          <w:szCs w:val="24"/>
          <w:lang w:eastAsia="zh-CN"/>
        </w:rPr>
        <w:t>准的格式和专用合同条款</w:t>
      </w:r>
      <w:r>
        <w:rPr>
          <w:rFonts w:hint="eastAsia" w:ascii="宋体" w:hAnsi="宋体" w:eastAsia="宋体" w:cs="宋体"/>
          <w:spacing w:val="1"/>
          <w:sz w:val="24"/>
          <w:szCs w:val="24"/>
          <w:lang w:eastAsia="zh-CN"/>
        </w:rPr>
        <w:t>数据表约定的份数，向</w:t>
      </w:r>
      <w:r>
        <w:rPr>
          <w:rFonts w:hint="eastAsia" w:ascii="宋体" w:hAnsi="宋体" w:eastAsia="宋体" w:cs="宋体"/>
          <w:spacing w:val="1"/>
          <w:sz w:val="24"/>
          <w:szCs w:val="24"/>
          <w:lang w:val="en-US" w:eastAsia="zh-CN"/>
        </w:rPr>
        <w:t>发包</w:t>
      </w:r>
      <w:r>
        <w:rPr>
          <w:rFonts w:hint="eastAsia" w:ascii="宋体" w:hAnsi="宋体" w:eastAsia="宋体" w:cs="宋体"/>
          <w:spacing w:val="1"/>
          <w:sz w:val="24"/>
          <w:szCs w:val="24"/>
          <w:lang w:eastAsia="zh-CN"/>
        </w:rPr>
        <w:t>人提交进度付</w:t>
      </w:r>
      <w:r>
        <w:rPr>
          <w:rFonts w:hint="eastAsia" w:ascii="宋体" w:hAnsi="宋体" w:eastAsia="宋体" w:cs="宋体"/>
          <w:sz w:val="24"/>
          <w:szCs w:val="24"/>
          <w:lang w:eastAsia="zh-CN"/>
        </w:rPr>
        <w:t>款申请单，并附相应的支持性</w:t>
      </w:r>
      <w:r>
        <w:rPr>
          <w:rFonts w:hint="eastAsia" w:ascii="宋体" w:hAnsi="宋体" w:eastAsia="宋体" w:cs="宋体"/>
          <w:spacing w:val="-1"/>
          <w:sz w:val="24"/>
          <w:szCs w:val="24"/>
          <w:lang w:eastAsia="zh-CN"/>
        </w:rPr>
        <w:t>证明文件。进度付款申请单应包括下列内容：</w:t>
      </w:r>
    </w:p>
    <w:p w14:paraId="2E904FEC">
      <w:pPr>
        <w:spacing w:before="1" w:line="218" w:lineRule="auto"/>
        <w:ind w:left="491"/>
        <w:rPr>
          <w:rFonts w:hint="eastAsia" w:ascii="宋体" w:hAnsi="宋体" w:eastAsia="宋体" w:cs="宋体"/>
          <w:color w:val="auto"/>
          <w:sz w:val="24"/>
          <w:szCs w:val="24"/>
        </w:rPr>
      </w:pPr>
      <w:r>
        <w:rPr>
          <w:rFonts w:hint="eastAsia" w:ascii="宋体" w:hAnsi="宋体" w:eastAsia="宋体" w:cs="宋体"/>
          <w:color w:val="auto"/>
          <w:spacing w:val="-1"/>
          <w:sz w:val="24"/>
          <w:szCs w:val="24"/>
        </w:rPr>
        <w:t>（1）本周期日常养护和承包人自主实施的养护工程付款限额</w:t>
      </w:r>
      <w:r>
        <w:rPr>
          <w:rFonts w:hint="eastAsia" w:ascii="宋体" w:hAnsi="宋体" w:eastAsia="宋体" w:cs="宋体"/>
          <w:color w:val="auto"/>
          <w:spacing w:val="2"/>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pacing w:val="2"/>
          <w:sz w:val="24"/>
          <w:szCs w:val="24"/>
        </w:rPr>
        <w:t>；</w:t>
      </w:r>
    </w:p>
    <w:p w14:paraId="5EC6DA1F">
      <w:pPr>
        <w:spacing w:before="117" w:line="219" w:lineRule="auto"/>
        <w:ind w:left="491"/>
        <w:rPr>
          <w:rFonts w:hint="eastAsia" w:ascii="宋体" w:hAnsi="宋体" w:eastAsia="宋体" w:cs="宋体"/>
          <w:color w:val="auto"/>
          <w:sz w:val="24"/>
          <w:szCs w:val="24"/>
        </w:rPr>
      </w:pPr>
      <w:r>
        <w:rPr>
          <w:rFonts w:hint="eastAsia" w:ascii="宋体" w:hAnsi="宋体" w:eastAsia="宋体" w:cs="宋体"/>
          <w:color w:val="auto"/>
          <w:spacing w:val="-2"/>
          <w:sz w:val="24"/>
          <w:szCs w:val="24"/>
        </w:rPr>
        <w:t>（2）养护绩效考核后得出的绩效服务水平</w:t>
      </w:r>
      <w:r>
        <w:rPr>
          <w:rFonts w:hint="eastAsia" w:ascii="宋体" w:hAnsi="宋体" w:eastAsia="宋体" w:cs="宋体"/>
          <w:color w:val="auto"/>
          <w:spacing w:val="8"/>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按</w:t>
      </w:r>
      <w:r>
        <w:rPr>
          <w:rFonts w:hint="eastAsia" w:ascii="宋体" w:hAnsi="宋体" w:eastAsia="宋体" w:cs="宋体"/>
          <w:color w:val="auto"/>
          <w:sz w:val="24"/>
          <w:szCs w:val="24"/>
          <w:u w:val="single"/>
        </w:rPr>
        <w:t>《广西壮族自治区桂林公路发展中心公路养护服务工作要求及考核办法》</w:t>
      </w:r>
      <w:r>
        <w:rPr>
          <w:rFonts w:hint="eastAsia" w:ascii="宋体" w:hAnsi="宋体" w:eastAsia="宋体" w:cs="宋体"/>
          <w:color w:val="auto"/>
          <w:sz w:val="24"/>
          <w:szCs w:val="24"/>
          <w:u w:val="single"/>
          <w:lang w:val="en-US" w:eastAsia="zh-CN"/>
        </w:rPr>
        <w:t>评定</w:t>
      </w:r>
      <w:r>
        <w:rPr>
          <w:rFonts w:hint="eastAsia" w:ascii="宋体" w:hAnsi="宋体" w:eastAsia="宋体" w:cs="宋体"/>
          <w:color w:val="auto"/>
          <w:sz w:val="24"/>
          <w:szCs w:val="24"/>
          <w:u w:val="single"/>
        </w:rPr>
        <w:t xml:space="preserve">    </w:t>
      </w:r>
      <w:r>
        <w:rPr>
          <w:rFonts w:hint="eastAsia" w:ascii="宋体" w:hAnsi="宋体" w:eastAsia="宋体" w:cs="宋体"/>
          <w:color w:val="auto"/>
          <w:spacing w:val="8"/>
          <w:sz w:val="24"/>
          <w:szCs w:val="24"/>
        </w:rPr>
        <w:t>；</w:t>
      </w:r>
    </w:p>
    <w:p w14:paraId="2B106DBA">
      <w:pPr>
        <w:spacing w:before="113" w:line="219" w:lineRule="auto"/>
        <w:ind w:left="491"/>
        <w:rPr>
          <w:rFonts w:hint="eastAsia" w:ascii="宋体" w:hAnsi="宋体" w:eastAsia="宋体" w:cs="宋体"/>
          <w:color w:val="auto"/>
          <w:sz w:val="24"/>
          <w:szCs w:val="24"/>
        </w:rPr>
      </w:pPr>
      <w:r>
        <w:rPr>
          <w:rFonts w:hint="eastAsia" w:ascii="宋体" w:hAnsi="宋体" w:eastAsia="宋体" w:cs="宋体"/>
          <w:color w:val="auto"/>
          <w:spacing w:val="-1"/>
          <w:sz w:val="24"/>
          <w:szCs w:val="24"/>
        </w:rPr>
        <w:t>（3）本周期支付金额比例：日常保养按考核评分档次比例支付，日常维修和应急按照支付限额的</w:t>
      </w:r>
      <w:r>
        <w:rPr>
          <w:rFonts w:hint="eastAsia" w:ascii="宋体" w:hAnsi="宋体" w:eastAsia="宋体" w:cs="宋体"/>
          <w:color w:val="auto"/>
          <w:spacing w:val="-1"/>
          <w:sz w:val="24"/>
          <w:szCs w:val="24"/>
          <w:u w:val="single"/>
        </w:rPr>
        <w:t>100</w:t>
      </w:r>
      <w:r>
        <w:rPr>
          <w:rFonts w:hint="eastAsia" w:ascii="宋体" w:hAnsi="宋体" w:eastAsia="宋体" w:cs="宋体"/>
          <w:color w:val="auto"/>
          <w:spacing w:val="-1"/>
          <w:sz w:val="24"/>
          <w:szCs w:val="24"/>
        </w:rPr>
        <w:t>%进行支付；</w:t>
      </w:r>
    </w:p>
    <w:p w14:paraId="27EEABBF">
      <w:pPr>
        <w:spacing w:before="116" w:line="219" w:lineRule="auto"/>
        <w:ind w:left="491"/>
        <w:rPr>
          <w:rFonts w:hint="eastAsia" w:ascii="宋体" w:hAnsi="宋体" w:eastAsia="宋体" w:cs="宋体"/>
          <w:color w:val="auto"/>
          <w:sz w:val="24"/>
          <w:szCs w:val="24"/>
        </w:rPr>
      </w:pPr>
      <w:r>
        <w:rPr>
          <w:rFonts w:hint="eastAsia" w:ascii="宋体" w:hAnsi="宋体" w:eastAsia="宋体" w:cs="宋体"/>
          <w:color w:val="auto"/>
          <w:spacing w:val="-1"/>
          <w:sz w:val="24"/>
          <w:szCs w:val="24"/>
        </w:rPr>
        <w:t>（4）本周期扣款比例：100%－本周期实付金额比例；</w:t>
      </w:r>
    </w:p>
    <w:p w14:paraId="1B1E8E20">
      <w:pPr>
        <w:spacing w:before="116" w:line="219" w:lineRule="auto"/>
        <w:ind w:left="491"/>
        <w:rPr>
          <w:rFonts w:hint="eastAsia" w:ascii="宋体" w:hAnsi="宋体" w:eastAsia="宋体" w:cs="宋体"/>
          <w:color w:val="auto"/>
          <w:sz w:val="24"/>
          <w:szCs w:val="24"/>
        </w:rPr>
      </w:pPr>
      <w:r>
        <w:rPr>
          <w:rFonts w:hint="eastAsia" w:ascii="宋体" w:hAnsi="宋体" w:eastAsia="宋体" w:cs="宋体"/>
          <w:color w:val="auto"/>
          <w:spacing w:val="-3"/>
          <w:sz w:val="24"/>
          <w:szCs w:val="24"/>
        </w:rPr>
        <w:t>（5）本周期扣款额</w:t>
      </w:r>
      <w:r>
        <w:rPr>
          <w:rFonts w:hint="eastAsia" w:ascii="宋体" w:hAnsi="宋体" w:eastAsia="宋体" w:cs="宋体"/>
          <w:color w:val="auto"/>
          <w:spacing w:val="2"/>
          <w:sz w:val="24"/>
          <w:szCs w:val="24"/>
        </w:rPr>
        <w:t>：</w:t>
      </w:r>
      <w:r>
        <w:rPr>
          <w:rFonts w:hint="eastAsia" w:ascii="宋体" w:hAnsi="宋体" w:eastAsia="宋体" w:cs="宋体"/>
          <w:color w:val="auto"/>
          <w:sz w:val="24"/>
          <w:szCs w:val="24"/>
          <w:u w:val="single"/>
        </w:rPr>
        <w:t xml:space="preserve">   按《广西壮族自治区桂林公路发展中心公路养护服务工作要求及考核办法》</w:t>
      </w:r>
      <w:r>
        <w:rPr>
          <w:rFonts w:hint="eastAsia" w:ascii="宋体" w:hAnsi="宋体" w:eastAsia="宋体" w:cs="宋体"/>
          <w:color w:val="auto"/>
          <w:sz w:val="24"/>
          <w:szCs w:val="24"/>
          <w:u w:val="single"/>
          <w:lang w:val="en-US" w:eastAsia="zh-CN"/>
        </w:rPr>
        <w:t>执行</w:t>
      </w:r>
      <w:r>
        <w:rPr>
          <w:rFonts w:hint="eastAsia" w:ascii="宋体" w:hAnsi="宋体" w:eastAsia="宋体" w:cs="宋体"/>
          <w:color w:val="auto"/>
          <w:sz w:val="24"/>
          <w:szCs w:val="24"/>
          <w:u w:val="single"/>
        </w:rPr>
        <w:t xml:space="preserve">    </w:t>
      </w:r>
      <w:r>
        <w:rPr>
          <w:rFonts w:hint="eastAsia" w:ascii="宋体" w:hAnsi="宋体" w:eastAsia="宋体" w:cs="宋体"/>
          <w:color w:val="auto"/>
          <w:spacing w:val="2"/>
          <w:sz w:val="24"/>
          <w:szCs w:val="24"/>
        </w:rPr>
        <w:t>；</w:t>
      </w:r>
    </w:p>
    <w:p w14:paraId="7E52E21C">
      <w:pPr>
        <w:spacing w:before="114" w:line="219" w:lineRule="auto"/>
        <w:ind w:left="491"/>
        <w:rPr>
          <w:rFonts w:hint="eastAsia" w:ascii="宋体" w:hAnsi="宋体" w:eastAsia="宋体" w:cs="宋体"/>
          <w:color w:val="auto"/>
          <w:sz w:val="24"/>
          <w:szCs w:val="24"/>
        </w:rPr>
      </w:pPr>
      <w:r>
        <w:rPr>
          <w:rFonts w:hint="eastAsia" w:ascii="宋体" w:hAnsi="宋体" w:eastAsia="宋体" w:cs="宋体"/>
          <w:color w:val="auto"/>
          <w:spacing w:val="-2"/>
          <w:sz w:val="24"/>
          <w:szCs w:val="24"/>
        </w:rPr>
        <w:t>（6）本周期支付金额：</w:t>
      </w:r>
      <w:r>
        <w:rPr>
          <w:rFonts w:hint="eastAsia" w:ascii="宋体" w:hAnsi="宋体" w:eastAsia="宋体" w:cs="宋体"/>
          <w:color w:val="auto"/>
          <w:spacing w:val="-2"/>
          <w:sz w:val="24"/>
          <w:szCs w:val="24"/>
          <w:u w:val="single"/>
        </w:rPr>
        <w:t xml:space="preserve">   按《广西壮族自治区桂林公路发展中心公路养护服务工作要求及考核办法》执行    </w:t>
      </w:r>
      <w:r>
        <w:rPr>
          <w:rFonts w:hint="eastAsia" w:ascii="宋体" w:hAnsi="宋体" w:eastAsia="宋体" w:cs="宋体"/>
          <w:color w:val="auto"/>
          <w:spacing w:val="-2"/>
          <w:sz w:val="24"/>
          <w:szCs w:val="24"/>
        </w:rPr>
        <w:t>。</w:t>
      </w:r>
    </w:p>
    <w:p w14:paraId="6A674C14">
      <w:pPr>
        <w:spacing w:before="117" w:line="219" w:lineRule="auto"/>
        <w:ind w:left="498"/>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17.3.2.3  应急和不可预见的专项养护工程（工作）进度付款申请单</w:t>
      </w:r>
    </w:p>
    <w:p w14:paraId="2C13D187">
      <w:pPr>
        <w:spacing w:before="114" w:line="308" w:lineRule="auto"/>
        <w:ind w:right="147" w:firstLine="480"/>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承包人应在每个付款周期末，按</w:t>
      </w:r>
      <w:r>
        <w:rPr>
          <w:rFonts w:hint="eastAsia" w:ascii="宋体" w:hAnsi="宋体" w:eastAsia="宋体" w:cs="宋体"/>
          <w:spacing w:val="1"/>
          <w:sz w:val="24"/>
          <w:szCs w:val="24"/>
          <w:lang w:val="en-US" w:eastAsia="zh-CN"/>
        </w:rPr>
        <w:t>发包</w:t>
      </w:r>
      <w:r>
        <w:rPr>
          <w:rFonts w:hint="eastAsia" w:ascii="宋体" w:hAnsi="宋体" w:eastAsia="宋体" w:cs="宋体"/>
          <w:spacing w:val="1"/>
          <w:sz w:val="24"/>
          <w:szCs w:val="24"/>
          <w:lang w:eastAsia="zh-CN"/>
        </w:rPr>
        <w:t>人批</w:t>
      </w:r>
      <w:r>
        <w:rPr>
          <w:rFonts w:hint="eastAsia" w:ascii="宋体" w:hAnsi="宋体" w:eastAsia="宋体" w:cs="宋体"/>
          <w:sz w:val="24"/>
          <w:szCs w:val="24"/>
          <w:lang w:eastAsia="zh-CN"/>
        </w:rPr>
        <w:t>准的格式和专用合同条款</w:t>
      </w:r>
      <w:r>
        <w:rPr>
          <w:rFonts w:hint="eastAsia" w:ascii="宋体" w:hAnsi="宋体" w:eastAsia="宋体" w:cs="宋体"/>
          <w:spacing w:val="1"/>
          <w:sz w:val="24"/>
          <w:szCs w:val="24"/>
          <w:lang w:eastAsia="zh-CN"/>
        </w:rPr>
        <w:t>数据表约定的份数，向</w:t>
      </w:r>
      <w:r>
        <w:rPr>
          <w:rFonts w:hint="eastAsia" w:ascii="宋体" w:hAnsi="宋体" w:eastAsia="宋体" w:cs="宋体"/>
          <w:spacing w:val="1"/>
          <w:sz w:val="24"/>
          <w:szCs w:val="24"/>
          <w:lang w:val="en-US" w:eastAsia="zh-CN"/>
        </w:rPr>
        <w:t>发包人</w:t>
      </w:r>
      <w:r>
        <w:rPr>
          <w:rFonts w:hint="eastAsia" w:ascii="宋体" w:hAnsi="宋体" w:eastAsia="宋体" w:cs="宋体"/>
          <w:spacing w:val="1"/>
          <w:sz w:val="24"/>
          <w:szCs w:val="24"/>
          <w:lang w:eastAsia="zh-CN"/>
        </w:rPr>
        <w:t>提交进度付</w:t>
      </w:r>
      <w:r>
        <w:rPr>
          <w:rFonts w:hint="eastAsia" w:ascii="宋体" w:hAnsi="宋体" w:eastAsia="宋体" w:cs="宋体"/>
          <w:sz w:val="24"/>
          <w:szCs w:val="24"/>
          <w:lang w:eastAsia="zh-CN"/>
        </w:rPr>
        <w:t>款申请单，并附相应的支持性</w:t>
      </w:r>
      <w:r>
        <w:rPr>
          <w:rFonts w:hint="eastAsia" w:ascii="宋体" w:hAnsi="宋体" w:eastAsia="宋体" w:cs="宋体"/>
          <w:spacing w:val="-1"/>
          <w:sz w:val="24"/>
          <w:szCs w:val="24"/>
          <w:lang w:eastAsia="zh-CN"/>
        </w:rPr>
        <w:t>证明文件。进度付款申请单应包括下列内容：</w:t>
      </w:r>
    </w:p>
    <w:p w14:paraId="2C32181C">
      <w:pPr>
        <w:spacing w:before="1" w:line="217" w:lineRule="auto"/>
        <w:ind w:left="491"/>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（1）截至本次付款周期末已实施养护作业的价款；</w:t>
      </w:r>
    </w:p>
    <w:p w14:paraId="3821601E">
      <w:pPr>
        <w:spacing w:before="116" w:line="219" w:lineRule="auto"/>
        <w:ind w:left="491"/>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（2）完成的工程量清单</w:t>
      </w:r>
      <w:r>
        <w:rPr>
          <w:rFonts w:hint="eastAsia" w:ascii="宋体" w:hAnsi="宋体" w:eastAsia="宋体" w:cs="宋体"/>
          <w:sz w:val="24"/>
          <w:szCs w:val="24"/>
          <w:lang w:eastAsia="zh-CN"/>
        </w:rPr>
        <w:t>：</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w:t>
      </w:r>
    </w:p>
    <w:p w14:paraId="1F164A39">
      <w:pPr>
        <w:spacing w:before="115" w:line="219" w:lineRule="auto"/>
        <w:ind w:left="491"/>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（3）本周期支付金额：</w:t>
      </w:r>
      <w:r>
        <w:rPr>
          <w:rFonts w:hint="eastAsia" w:ascii="宋体" w:hAnsi="宋体" w:eastAsia="宋体" w:cs="宋体"/>
          <w:spacing w:val="-2"/>
          <w:sz w:val="24"/>
          <w:szCs w:val="24"/>
          <w:u w:val="single"/>
          <w:lang w:eastAsia="zh-CN"/>
        </w:rPr>
        <w:t xml:space="preserve">    </w:t>
      </w:r>
      <w:r>
        <w:rPr>
          <w:rFonts w:hint="eastAsia" w:ascii="宋体" w:hAnsi="宋体" w:eastAsia="宋体" w:cs="宋体"/>
          <w:sz w:val="24"/>
          <w:szCs w:val="24"/>
          <w:u w:val="single"/>
          <w:lang w:val="en-US"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2"/>
          <w:sz w:val="24"/>
          <w:szCs w:val="24"/>
          <w:u w:val="single"/>
          <w:lang w:eastAsia="zh-CN"/>
        </w:rPr>
        <w:t xml:space="preserve">   </w:t>
      </w:r>
      <w:r>
        <w:rPr>
          <w:rFonts w:hint="eastAsia" w:ascii="宋体" w:hAnsi="宋体" w:eastAsia="宋体" w:cs="宋体"/>
          <w:spacing w:val="-2"/>
          <w:sz w:val="24"/>
          <w:szCs w:val="24"/>
          <w:lang w:eastAsia="zh-CN"/>
        </w:rPr>
        <w:t>。</w:t>
      </w:r>
    </w:p>
    <w:p w14:paraId="206DF075">
      <w:pPr>
        <w:spacing w:before="117" w:line="219" w:lineRule="auto"/>
        <w:ind w:left="480"/>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第</w:t>
      </w:r>
      <w:r>
        <w:rPr>
          <w:rFonts w:hint="eastAsia" w:ascii="宋体" w:hAnsi="宋体" w:eastAsia="宋体" w:cs="宋体"/>
          <w:spacing w:val="-32"/>
          <w:sz w:val="24"/>
          <w:szCs w:val="24"/>
          <w:lang w:eastAsia="zh-CN"/>
        </w:rPr>
        <w:t xml:space="preserve"> </w:t>
      </w:r>
      <w:r>
        <w:rPr>
          <w:rFonts w:hint="eastAsia" w:ascii="宋体" w:hAnsi="宋体" w:eastAsia="宋体" w:cs="宋体"/>
          <w:spacing w:val="-3"/>
          <w:sz w:val="24"/>
          <w:szCs w:val="24"/>
          <w:lang w:eastAsia="zh-CN"/>
        </w:rPr>
        <w:t>17.3.6 项完善为：</w:t>
      </w:r>
    </w:p>
    <w:p w14:paraId="4ED2D107">
      <w:pPr>
        <w:spacing w:before="114" w:line="219" w:lineRule="auto"/>
        <w:ind w:left="498"/>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17.3.6  安全生产费的支付</w:t>
      </w:r>
    </w:p>
    <w:p w14:paraId="41E1F052">
      <w:pPr>
        <w:spacing w:before="114" w:line="308" w:lineRule="auto"/>
        <w:ind w:right="147" w:firstLine="483"/>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发包人应按照下列约定的比例和条件支付安</w:t>
      </w:r>
      <w:r>
        <w:rPr>
          <w:rFonts w:hint="eastAsia" w:ascii="宋体" w:hAnsi="宋体" w:eastAsia="宋体" w:cs="宋体"/>
          <w:sz w:val="24"/>
          <w:szCs w:val="24"/>
          <w:lang w:eastAsia="zh-CN"/>
        </w:rPr>
        <w:t>全生产费。安全生产费包含在绩效</w:t>
      </w:r>
      <w:r>
        <w:rPr>
          <w:rFonts w:hint="eastAsia" w:ascii="宋体" w:hAnsi="宋体" w:eastAsia="宋体" w:cs="宋体"/>
          <w:spacing w:val="3"/>
          <w:sz w:val="24"/>
          <w:szCs w:val="24"/>
          <w:lang w:eastAsia="zh-CN"/>
        </w:rPr>
        <w:t>清单表其他费用中。在开工日期后</w:t>
      </w:r>
      <w:r>
        <w:rPr>
          <w:rFonts w:hint="eastAsia" w:ascii="宋体" w:hAnsi="宋体" w:eastAsia="宋体" w:cs="宋体"/>
          <w:spacing w:val="-44"/>
          <w:sz w:val="24"/>
          <w:szCs w:val="24"/>
          <w:lang w:eastAsia="zh-CN"/>
        </w:rPr>
        <w:t xml:space="preserve"> </w:t>
      </w:r>
      <w:r>
        <w:rPr>
          <w:rFonts w:hint="eastAsia" w:ascii="宋体" w:hAnsi="宋体" w:eastAsia="宋体" w:cs="宋体"/>
          <w:spacing w:val="3"/>
          <w:sz w:val="24"/>
          <w:szCs w:val="24"/>
          <w:lang w:eastAsia="zh-CN"/>
        </w:rPr>
        <w:t>30</w:t>
      </w:r>
      <w:r>
        <w:rPr>
          <w:rFonts w:hint="eastAsia" w:ascii="宋体" w:hAnsi="宋体" w:eastAsia="宋体" w:cs="宋体"/>
          <w:spacing w:val="19"/>
          <w:sz w:val="24"/>
          <w:szCs w:val="24"/>
          <w:lang w:eastAsia="zh-CN"/>
        </w:rPr>
        <w:t xml:space="preserve"> </w:t>
      </w:r>
      <w:r>
        <w:rPr>
          <w:rFonts w:hint="eastAsia" w:ascii="宋体" w:hAnsi="宋体" w:eastAsia="宋体" w:cs="宋体"/>
          <w:spacing w:val="3"/>
          <w:sz w:val="24"/>
          <w:szCs w:val="24"/>
          <w:lang w:eastAsia="zh-CN"/>
        </w:rPr>
        <w:t>天内，发包人向承包人支付的安全生产费不</w:t>
      </w:r>
      <w:r>
        <w:rPr>
          <w:rFonts w:hint="eastAsia" w:ascii="宋体" w:hAnsi="宋体" w:eastAsia="宋体" w:cs="宋体"/>
          <w:spacing w:val="-2"/>
          <w:sz w:val="24"/>
          <w:szCs w:val="24"/>
          <w:lang w:eastAsia="zh-CN"/>
        </w:rPr>
        <w:t>得少于安全生产费总额的</w:t>
      </w:r>
      <w:r>
        <w:rPr>
          <w:rFonts w:hint="eastAsia" w:ascii="宋体" w:hAnsi="宋体" w:eastAsia="宋体" w:cs="宋体"/>
          <w:spacing w:val="-41"/>
          <w:sz w:val="24"/>
          <w:szCs w:val="24"/>
          <w:lang w:eastAsia="zh-CN"/>
        </w:rPr>
        <w:t xml:space="preserve"> </w:t>
      </w:r>
      <w:r>
        <w:rPr>
          <w:rFonts w:hint="eastAsia" w:ascii="宋体" w:hAnsi="宋体" w:eastAsia="宋体" w:cs="宋体"/>
          <w:spacing w:val="-2"/>
          <w:sz w:val="24"/>
          <w:szCs w:val="24"/>
          <w:lang w:eastAsia="zh-CN"/>
        </w:rPr>
        <w:t>50%。</w:t>
      </w:r>
    </w:p>
    <w:p w14:paraId="47D94CF9">
      <w:pPr>
        <w:spacing w:before="1" w:line="307" w:lineRule="auto"/>
        <w:ind w:left="13" w:right="147" w:firstLine="470"/>
        <w:rPr>
          <w:rFonts w:hint="eastAsia" w:ascii="宋体" w:hAnsi="宋体" w:eastAsia="宋体" w:cs="宋体"/>
          <w:sz w:val="24"/>
          <w:szCs w:val="24"/>
          <w:lang w:eastAsia="zh-CN"/>
        </w:rPr>
      </w:pPr>
      <w:r>
        <w:rPr>
          <w:rFonts w:hint="eastAsia" w:ascii="宋体" w:hAnsi="宋体" w:eastAsia="宋体" w:cs="宋体"/>
          <w:sz w:val="24"/>
          <w:szCs w:val="24"/>
          <w:lang w:eastAsia="zh-CN"/>
        </w:rPr>
        <w:t>发包人指定实施的养护工程安全生产费支付</w:t>
      </w:r>
      <w:r>
        <w:rPr>
          <w:rFonts w:hint="eastAsia" w:ascii="宋体" w:hAnsi="宋体" w:eastAsia="宋体" w:cs="宋体"/>
          <w:spacing w:val="-1"/>
          <w:sz w:val="24"/>
          <w:szCs w:val="24"/>
          <w:lang w:eastAsia="zh-CN"/>
        </w:rPr>
        <w:t>比例为</w:t>
      </w:r>
      <w:r>
        <w:rPr>
          <w:rFonts w:hint="eastAsia" w:ascii="宋体" w:hAnsi="宋体" w:eastAsia="宋体" w:cs="宋体"/>
          <w:spacing w:val="-8"/>
          <w:sz w:val="24"/>
          <w:szCs w:val="24"/>
          <w:lang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z w:val="24"/>
          <w:szCs w:val="24"/>
          <w:u w:val="single"/>
          <w:lang w:val="en-US"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90"/>
          <w:sz w:val="24"/>
          <w:szCs w:val="24"/>
          <w:lang w:eastAsia="zh-CN"/>
        </w:rPr>
        <w:t xml:space="preserve"> </w:t>
      </w:r>
      <w:r>
        <w:rPr>
          <w:rFonts w:hint="eastAsia" w:ascii="宋体" w:hAnsi="宋体" w:eastAsia="宋体" w:cs="宋体"/>
          <w:spacing w:val="-8"/>
          <w:sz w:val="24"/>
          <w:szCs w:val="24"/>
          <w:lang w:eastAsia="zh-CN"/>
        </w:rPr>
        <w:t>，</w:t>
      </w:r>
      <w:r>
        <w:rPr>
          <w:rFonts w:hint="eastAsia" w:ascii="宋体" w:hAnsi="宋体" w:eastAsia="宋体" w:cs="宋体"/>
          <w:spacing w:val="-1"/>
          <w:sz w:val="24"/>
          <w:szCs w:val="24"/>
          <w:lang w:eastAsia="zh-CN"/>
        </w:rPr>
        <w:t>安全生产</w:t>
      </w:r>
      <w:r>
        <w:rPr>
          <w:rFonts w:hint="eastAsia" w:ascii="宋体" w:hAnsi="宋体" w:eastAsia="宋体" w:cs="宋体"/>
          <w:spacing w:val="-2"/>
          <w:sz w:val="24"/>
          <w:szCs w:val="24"/>
          <w:lang w:eastAsia="zh-CN"/>
        </w:rPr>
        <w:t>费支付条件为：</w:t>
      </w:r>
      <w:r>
        <w:rPr>
          <w:rFonts w:hint="eastAsia" w:ascii="宋体" w:hAnsi="宋体" w:eastAsia="宋体" w:cs="宋体"/>
          <w:spacing w:val="-2"/>
          <w:sz w:val="24"/>
          <w:szCs w:val="24"/>
          <w:u w:val="single"/>
          <w:lang w:eastAsia="zh-CN"/>
        </w:rPr>
        <w:t xml:space="preserve">      </w:t>
      </w:r>
      <w:r>
        <w:rPr>
          <w:rFonts w:hint="eastAsia" w:ascii="宋体" w:hAnsi="宋体" w:eastAsia="宋体" w:cs="宋体"/>
          <w:sz w:val="24"/>
          <w:szCs w:val="24"/>
          <w:u w:val="single"/>
          <w:lang w:val="en-US"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2"/>
          <w:sz w:val="24"/>
          <w:szCs w:val="24"/>
          <w:u w:val="single"/>
          <w:lang w:eastAsia="zh-CN"/>
        </w:rPr>
        <w:t xml:space="preserve">      </w:t>
      </w:r>
      <w:r>
        <w:rPr>
          <w:rFonts w:hint="eastAsia" w:ascii="宋体" w:hAnsi="宋体" w:eastAsia="宋体" w:cs="宋体"/>
          <w:spacing w:val="-2"/>
          <w:sz w:val="24"/>
          <w:szCs w:val="24"/>
          <w:lang w:eastAsia="zh-CN"/>
        </w:rPr>
        <w:t xml:space="preserve"> 。</w:t>
      </w:r>
    </w:p>
    <w:p w14:paraId="11E00B94">
      <w:pPr>
        <w:spacing w:before="1" w:line="310" w:lineRule="auto"/>
        <w:ind w:left="4" w:firstLine="516"/>
        <w:rPr>
          <w:rFonts w:hint="eastAsia" w:ascii="宋体" w:hAnsi="宋体" w:eastAsia="宋体" w:cs="宋体"/>
          <w:b/>
          <w:bCs/>
          <w:spacing w:val="-3"/>
          <w:sz w:val="24"/>
          <w:szCs w:val="24"/>
        </w:rPr>
      </w:pPr>
      <w:r>
        <w:rPr>
          <w:rFonts w:hint="eastAsia" w:ascii="宋体" w:hAnsi="宋体" w:eastAsia="宋体" w:cs="宋体"/>
          <w:spacing w:val="-2"/>
          <w:sz w:val="24"/>
          <w:szCs w:val="24"/>
          <w:lang w:eastAsia="zh-CN"/>
        </w:rPr>
        <w:t>日常养护及承包人自主实施的养护工程安全生产费支付比例为</w:t>
      </w:r>
      <w:r>
        <w:rPr>
          <w:rFonts w:hint="eastAsia" w:ascii="宋体" w:hAnsi="宋体" w:eastAsia="宋体" w:cs="宋体"/>
          <w:spacing w:val="-29"/>
          <w:sz w:val="24"/>
          <w:szCs w:val="24"/>
          <w:lang w:eastAsia="zh-CN"/>
        </w:rPr>
        <w:t>：</w:t>
      </w:r>
      <w:r>
        <w:rPr>
          <w:rFonts w:hint="eastAsia" w:ascii="宋体" w:hAnsi="宋体" w:eastAsia="宋体" w:cs="宋体"/>
          <w:sz w:val="24"/>
          <w:szCs w:val="24"/>
          <w:u w:val="single"/>
          <w:lang w:eastAsia="zh-CN"/>
        </w:rPr>
        <w:t xml:space="preserve"> </w:t>
      </w:r>
      <w:r>
        <w:rPr>
          <w:rFonts w:hint="eastAsia" w:ascii="宋体" w:hAnsi="宋体" w:eastAsia="宋体" w:cs="宋体"/>
          <w:spacing w:val="4"/>
          <w:sz w:val="24"/>
          <w:szCs w:val="24"/>
          <w:u w:val="single"/>
        </w:rPr>
        <w:t>按</w:t>
      </w:r>
      <w:r>
        <w:rPr>
          <w:rFonts w:hint="eastAsia" w:ascii="宋体" w:hAnsi="宋体" w:eastAsia="宋体" w:cs="宋体"/>
          <w:spacing w:val="4"/>
          <w:sz w:val="24"/>
          <w:szCs w:val="24"/>
          <w:u w:val="single"/>
          <w:lang w:val="en-US" w:eastAsia="zh-CN"/>
        </w:rPr>
        <w:t>实际支出进度</w:t>
      </w:r>
      <w:r>
        <w:rPr>
          <w:rFonts w:hint="eastAsia" w:ascii="宋体" w:hAnsi="宋体" w:eastAsia="宋体" w:cs="宋体"/>
          <w:sz w:val="24"/>
          <w:szCs w:val="24"/>
          <w:u w:val="single"/>
          <w:lang w:eastAsia="zh-CN"/>
        </w:rPr>
        <w:t xml:space="preserve">   </w:t>
      </w:r>
      <w:r>
        <w:rPr>
          <w:rFonts w:hint="eastAsia" w:ascii="宋体" w:hAnsi="宋体" w:eastAsia="宋体" w:cs="宋体"/>
          <w:spacing w:val="-29"/>
          <w:sz w:val="24"/>
          <w:szCs w:val="24"/>
          <w:lang w:eastAsia="zh-CN"/>
        </w:rPr>
        <w:t>，</w:t>
      </w:r>
      <w:r>
        <w:rPr>
          <w:rFonts w:hint="eastAsia" w:ascii="宋体" w:hAnsi="宋体" w:eastAsia="宋体" w:cs="宋体"/>
          <w:spacing w:val="-1"/>
          <w:sz w:val="24"/>
          <w:szCs w:val="24"/>
          <w:lang w:eastAsia="zh-CN"/>
        </w:rPr>
        <w:t>安全生产费支付条件为：</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4"/>
          <w:sz w:val="24"/>
          <w:szCs w:val="24"/>
          <w:u w:val="single"/>
        </w:rPr>
        <w:t>安全生产费需提供现场安全作业设施有效发票及实物验收单，现场安全维护人员工资薪酬等证明材料</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w:t>
      </w:r>
    </w:p>
    <w:p w14:paraId="2EEBF4A7">
      <w:pPr>
        <w:pStyle w:val="11"/>
        <w:spacing w:line="246" w:lineRule="auto"/>
        <w:ind w:firstLine="470" w:firstLineChars="200"/>
        <w:rPr>
          <w:rFonts w:hint="eastAsia" w:ascii="宋体" w:hAnsi="宋体" w:eastAsia="宋体" w:cs="宋体"/>
          <w:b/>
          <w:bCs/>
          <w:spacing w:val="-3"/>
          <w:sz w:val="24"/>
          <w:szCs w:val="24"/>
          <w:lang w:eastAsia="zh-CN"/>
        </w:rPr>
      </w:pPr>
      <w:r>
        <w:rPr>
          <w:rFonts w:hint="eastAsia" w:ascii="宋体" w:hAnsi="宋体" w:eastAsia="宋体" w:cs="宋体"/>
          <w:b/>
          <w:bCs/>
          <w:spacing w:val="-3"/>
          <w:sz w:val="24"/>
          <w:szCs w:val="24"/>
          <w:lang w:eastAsia="zh-CN"/>
        </w:rPr>
        <w:t>17.4  质量保证金</w:t>
      </w:r>
    </w:p>
    <w:p w14:paraId="44F123B6">
      <w:pPr>
        <w:pStyle w:val="11"/>
        <w:spacing w:line="246" w:lineRule="auto"/>
        <w:ind w:firstLine="468" w:firstLineChars="200"/>
        <w:rPr>
          <w:rFonts w:hint="eastAsia" w:ascii="宋体" w:hAnsi="宋体" w:eastAsia="宋体" w:cs="宋体"/>
          <w:spacing w:val="-32"/>
          <w:sz w:val="24"/>
          <w:szCs w:val="24"/>
          <w:lang w:eastAsia="zh-CN"/>
        </w:rPr>
      </w:pPr>
      <w:r>
        <w:rPr>
          <w:rFonts w:hint="eastAsia" w:ascii="宋体" w:hAnsi="宋体" w:eastAsia="宋体" w:cs="宋体"/>
          <w:spacing w:val="-3"/>
          <w:sz w:val="24"/>
          <w:szCs w:val="24"/>
          <w:lang w:eastAsia="zh-CN"/>
        </w:rPr>
        <w:t>第</w:t>
      </w:r>
      <w:r>
        <w:rPr>
          <w:rFonts w:hint="eastAsia" w:ascii="宋体" w:hAnsi="宋体" w:eastAsia="宋体" w:cs="宋体"/>
          <w:spacing w:val="-32"/>
          <w:sz w:val="24"/>
          <w:szCs w:val="24"/>
          <w:lang w:eastAsia="zh-CN"/>
        </w:rPr>
        <w:t xml:space="preserve"> </w:t>
      </w:r>
      <w:r>
        <w:rPr>
          <w:rFonts w:hint="eastAsia" w:ascii="宋体" w:hAnsi="宋体" w:eastAsia="宋体" w:cs="宋体"/>
          <w:spacing w:val="-3"/>
          <w:sz w:val="24"/>
          <w:szCs w:val="24"/>
          <w:lang w:eastAsia="zh-CN"/>
        </w:rPr>
        <w:t>17.4.1 项修改为：</w:t>
      </w:r>
    </w:p>
    <w:p w14:paraId="52AC2B10">
      <w:pPr>
        <w:spacing w:before="78" w:line="219" w:lineRule="auto"/>
        <w:ind w:left="500"/>
        <w:rPr>
          <w:rFonts w:hint="eastAsia" w:ascii="宋体" w:hAnsi="宋体" w:eastAsia="宋体" w:cs="宋体"/>
          <w:sz w:val="24"/>
          <w:szCs w:val="24"/>
        </w:rPr>
      </w:pPr>
      <w:bookmarkStart w:id="204" w:name="bookmark283"/>
      <w:bookmarkEnd w:id="204"/>
      <w:r>
        <w:rPr>
          <w:rFonts w:hint="eastAsia" w:ascii="宋体" w:hAnsi="宋体" w:eastAsia="宋体" w:cs="宋体"/>
          <w:spacing w:val="-1"/>
          <w:sz w:val="24"/>
          <w:szCs w:val="24"/>
        </w:rPr>
        <w:t>17.4.1  质量保证金可选择以下方式进行缴纳：</w:t>
      </w:r>
      <w:r>
        <w:rPr>
          <w:rFonts w:hint="eastAsia" w:ascii="宋体" w:hAnsi="宋体" w:eastAsia="宋体" w:cs="宋体"/>
          <w:spacing w:val="-1"/>
          <w:sz w:val="24"/>
          <w:szCs w:val="24"/>
          <w:u w:val="single"/>
        </w:rPr>
        <w:t xml:space="preserve"> </w:t>
      </w:r>
      <w:r>
        <w:rPr>
          <w:rFonts w:hint="eastAsia" w:ascii="宋体" w:hAnsi="宋体" w:eastAsia="宋体" w:cs="宋体"/>
          <w:color w:val="auto"/>
          <w:spacing w:val="-1"/>
          <w:sz w:val="24"/>
          <w:szCs w:val="24"/>
          <w:u w:val="single"/>
        </w:rPr>
        <w:t>（1）、（2）</w:t>
      </w:r>
      <w:r>
        <w:rPr>
          <w:rFonts w:hint="eastAsia" w:ascii="宋体" w:hAnsi="宋体" w:eastAsia="宋体" w:cs="宋体"/>
          <w:color w:val="auto"/>
          <w:spacing w:val="-1"/>
          <w:sz w:val="24"/>
          <w:szCs w:val="24"/>
          <w:u w:val="single"/>
          <w:lang w:eastAsia="zh-CN"/>
        </w:rPr>
        <w:t>、</w:t>
      </w:r>
      <w:r>
        <w:rPr>
          <w:rFonts w:hint="eastAsia" w:ascii="宋体" w:hAnsi="宋体" w:eastAsia="宋体" w:cs="宋体"/>
          <w:color w:val="auto"/>
          <w:spacing w:val="-1"/>
          <w:sz w:val="24"/>
          <w:szCs w:val="24"/>
          <w:u w:val="single"/>
        </w:rPr>
        <w:t xml:space="preserve"> </w:t>
      </w:r>
      <w:r>
        <w:rPr>
          <w:rFonts w:hint="eastAsia" w:ascii="宋体" w:hAnsi="宋体" w:eastAsia="宋体" w:cs="宋体"/>
          <w:color w:val="auto"/>
          <w:spacing w:val="-1"/>
          <w:sz w:val="24"/>
          <w:szCs w:val="24"/>
          <w:u w:val="single"/>
          <w:lang w:eastAsia="zh-CN"/>
        </w:rPr>
        <w:t>（</w:t>
      </w:r>
      <w:r>
        <w:rPr>
          <w:rFonts w:hint="eastAsia" w:ascii="宋体" w:hAnsi="宋体" w:eastAsia="宋体" w:cs="宋体"/>
          <w:color w:val="auto"/>
          <w:spacing w:val="-1"/>
          <w:sz w:val="24"/>
          <w:szCs w:val="24"/>
          <w:u w:val="single"/>
          <w:lang w:val="en-US" w:eastAsia="zh-CN"/>
        </w:rPr>
        <w:t>3</w:t>
      </w:r>
      <w:r>
        <w:rPr>
          <w:rFonts w:hint="eastAsia" w:ascii="宋体" w:hAnsi="宋体" w:eastAsia="宋体" w:cs="宋体"/>
          <w:color w:val="auto"/>
          <w:spacing w:val="-1"/>
          <w:sz w:val="24"/>
          <w:szCs w:val="24"/>
          <w:u w:val="single"/>
          <w:lang w:eastAsia="zh-CN"/>
        </w:rPr>
        <w:t>）</w:t>
      </w:r>
      <w:r>
        <w:rPr>
          <w:rFonts w:hint="eastAsia" w:ascii="宋体" w:hAnsi="宋体" w:eastAsia="宋体" w:cs="宋体"/>
          <w:spacing w:val="-1"/>
          <w:sz w:val="24"/>
          <w:szCs w:val="24"/>
          <w:u w:val="single"/>
        </w:rPr>
        <w:t xml:space="preserve">   </w:t>
      </w:r>
      <w:r>
        <w:rPr>
          <w:rFonts w:hint="eastAsia" w:ascii="宋体" w:hAnsi="宋体" w:eastAsia="宋体" w:cs="宋体"/>
          <w:spacing w:val="-1"/>
          <w:sz w:val="24"/>
          <w:szCs w:val="24"/>
        </w:rPr>
        <w:t>。</w:t>
      </w:r>
    </w:p>
    <w:p w14:paraId="652F07C8">
      <w:pPr>
        <w:spacing w:before="113" w:line="286" w:lineRule="auto"/>
        <w:ind w:left="3" w:right="164" w:firstLine="489"/>
        <w:rPr>
          <w:rFonts w:hint="eastAsia" w:ascii="宋体" w:hAnsi="宋体" w:eastAsia="宋体" w:cs="宋体"/>
          <w:sz w:val="24"/>
          <w:szCs w:val="24"/>
        </w:rPr>
      </w:pPr>
      <w:r>
        <w:rPr>
          <w:rFonts w:hint="eastAsia" w:ascii="宋体" w:hAnsi="宋体" w:eastAsia="宋体" w:cs="宋体"/>
          <w:spacing w:val="4"/>
          <w:sz w:val="24"/>
          <w:szCs w:val="24"/>
        </w:rPr>
        <w:t>（1）发包人可从第一个付款周期开始，在发包人的进度付款</w:t>
      </w:r>
      <w:r>
        <w:rPr>
          <w:rFonts w:hint="eastAsia" w:ascii="宋体" w:hAnsi="宋体" w:eastAsia="宋体" w:cs="宋体"/>
          <w:spacing w:val="3"/>
          <w:sz w:val="24"/>
          <w:szCs w:val="24"/>
        </w:rPr>
        <w:t>中，</w:t>
      </w:r>
      <w:r>
        <w:rPr>
          <w:rFonts w:hint="eastAsia" w:ascii="宋体" w:hAnsi="宋体" w:eastAsia="宋体" w:cs="宋体"/>
          <w:spacing w:val="1"/>
          <w:sz w:val="24"/>
          <w:szCs w:val="24"/>
        </w:rPr>
        <w:t>按项目专用合同条款数据表规定的百分比扣留质量保</w:t>
      </w:r>
      <w:r>
        <w:rPr>
          <w:rFonts w:hint="eastAsia" w:ascii="宋体" w:hAnsi="宋体" w:eastAsia="宋体" w:cs="宋体"/>
          <w:sz w:val="24"/>
          <w:szCs w:val="24"/>
        </w:rPr>
        <w:t>证金，直至扣留的质量保证金</w:t>
      </w:r>
      <w:r>
        <w:rPr>
          <w:rFonts w:hint="eastAsia" w:ascii="宋体" w:hAnsi="宋体" w:eastAsia="宋体" w:cs="宋体"/>
          <w:spacing w:val="1"/>
          <w:sz w:val="24"/>
          <w:szCs w:val="24"/>
        </w:rPr>
        <w:t>总额达到项目专用合同条款数据表规定的限额为止。</w:t>
      </w:r>
      <w:r>
        <w:rPr>
          <w:rFonts w:hint="eastAsia" w:ascii="宋体" w:hAnsi="宋体" w:eastAsia="宋体" w:cs="宋体"/>
          <w:sz w:val="24"/>
          <w:szCs w:val="24"/>
        </w:rPr>
        <w:t>质量保证金的计算额度不包括</w:t>
      </w:r>
      <w:r>
        <w:rPr>
          <w:rFonts w:hint="eastAsia" w:ascii="宋体" w:hAnsi="宋体" w:eastAsia="宋体" w:cs="宋体"/>
          <w:spacing w:val="-1"/>
          <w:sz w:val="24"/>
          <w:szCs w:val="24"/>
        </w:rPr>
        <w:t>预付款的支付以及扣回的金额。</w:t>
      </w:r>
    </w:p>
    <w:p w14:paraId="6E9FC63B">
      <w:pPr>
        <w:spacing w:before="111" w:line="279" w:lineRule="auto"/>
        <w:ind w:left="2" w:right="166" w:firstLine="490"/>
        <w:rPr>
          <w:rFonts w:hint="eastAsia" w:ascii="宋体" w:hAnsi="宋体" w:eastAsia="宋体" w:cs="宋体"/>
          <w:sz w:val="24"/>
          <w:szCs w:val="24"/>
        </w:rPr>
      </w:pPr>
      <w:r>
        <w:rPr>
          <w:rFonts w:hint="eastAsia" w:ascii="宋体" w:hAnsi="宋体" w:eastAsia="宋体" w:cs="宋体"/>
          <w:sz w:val="24"/>
          <w:szCs w:val="24"/>
        </w:rPr>
        <w:t>（2）每年年度绩效考核完成后</w:t>
      </w:r>
      <w:r>
        <w:rPr>
          <w:rFonts w:hint="eastAsia" w:ascii="宋体" w:hAnsi="宋体" w:eastAsia="宋体" w:cs="宋体"/>
          <w:spacing w:val="-32"/>
          <w:sz w:val="24"/>
          <w:szCs w:val="24"/>
        </w:rPr>
        <w:t xml:space="preserve"> </w:t>
      </w:r>
      <w:r>
        <w:rPr>
          <w:rFonts w:hint="eastAsia" w:ascii="宋体" w:hAnsi="宋体" w:eastAsia="宋体" w:cs="宋体"/>
          <w:sz w:val="24"/>
          <w:szCs w:val="24"/>
        </w:rPr>
        <w:t>14 天内</w:t>
      </w:r>
      <w:r>
        <w:rPr>
          <w:rFonts w:hint="eastAsia" w:ascii="宋体" w:hAnsi="宋体" w:eastAsia="宋体" w:cs="宋体"/>
          <w:spacing w:val="-1"/>
          <w:sz w:val="24"/>
          <w:szCs w:val="24"/>
        </w:rPr>
        <w:t>，承包人应向发包人缴纳质量保证金。</w:t>
      </w:r>
      <w:r>
        <w:rPr>
          <w:rFonts w:hint="eastAsia" w:ascii="宋体" w:hAnsi="宋体" w:eastAsia="宋体" w:cs="宋体"/>
          <w:spacing w:val="1"/>
          <w:sz w:val="24"/>
          <w:szCs w:val="24"/>
        </w:rPr>
        <w:t>质量保证金可采用银行保函、现金、担保机构保函</w:t>
      </w:r>
      <w:r>
        <w:rPr>
          <w:rFonts w:hint="eastAsia" w:ascii="宋体" w:hAnsi="宋体" w:eastAsia="宋体" w:cs="宋体"/>
          <w:sz w:val="24"/>
          <w:szCs w:val="24"/>
        </w:rPr>
        <w:t>、保险公司保证保险以及专用合</w:t>
      </w:r>
      <w:r>
        <w:rPr>
          <w:rFonts w:hint="eastAsia" w:ascii="宋体" w:hAnsi="宋体" w:eastAsia="宋体" w:cs="宋体"/>
          <w:spacing w:val="-1"/>
          <w:sz w:val="24"/>
          <w:szCs w:val="24"/>
        </w:rPr>
        <w:t>同条款约定的其他形式，金额应符合专用合同条款数据表的规定。</w:t>
      </w:r>
    </w:p>
    <w:p w14:paraId="5B853949">
      <w:pPr>
        <w:spacing w:before="111" w:line="279" w:lineRule="auto"/>
        <w:ind w:left="1" w:right="18" w:firstLine="491"/>
        <w:rPr>
          <w:rFonts w:hint="eastAsia" w:ascii="宋体" w:hAnsi="宋体" w:eastAsia="宋体" w:cs="宋体"/>
          <w:sz w:val="24"/>
          <w:szCs w:val="24"/>
        </w:rPr>
      </w:pPr>
      <w:r>
        <w:rPr>
          <w:rFonts w:hint="eastAsia" w:ascii="宋体" w:hAnsi="宋体" w:eastAsia="宋体" w:cs="宋体"/>
          <w:spacing w:val="4"/>
          <w:sz w:val="24"/>
          <w:szCs w:val="24"/>
        </w:rPr>
        <w:t>（3）项目总体交工验收证书签发前，承包人应向发包人缴纳质量</w:t>
      </w:r>
      <w:r>
        <w:rPr>
          <w:rFonts w:hint="eastAsia" w:ascii="宋体" w:hAnsi="宋体" w:eastAsia="宋体" w:cs="宋体"/>
          <w:spacing w:val="3"/>
          <w:sz w:val="24"/>
          <w:szCs w:val="24"/>
        </w:rPr>
        <w:t>保证金。质</w:t>
      </w:r>
      <w:r>
        <w:rPr>
          <w:rFonts w:hint="eastAsia" w:ascii="宋体" w:hAnsi="宋体" w:eastAsia="宋体" w:cs="宋体"/>
          <w:spacing w:val="-2"/>
          <w:sz w:val="24"/>
          <w:szCs w:val="24"/>
        </w:rPr>
        <w:t>量保证金可采用银行保函、现金、担保机构保函、保险公司保证保险以及其他形式，</w:t>
      </w:r>
      <w:r>
        <w:rPr>
          <w:rFonts w:hint="eastAsia" w:ascii="宋体" w:hAnsi="宋体" w:eastAsia="宋体" w:cs="宋体"/>
          <w:spacing w:val="-1"/>
          <w:sz w:val="24"/>
          <w:szCs w:val="24"/>
        </w:rPr>
        <w:t>金额应符合专用合同条款数据表的规定。</w:t>
      </w:r>
    </w:p>
    <w:p w14:paraId="71B26945">
      <w:pPr>
        <w:spacing w:before="112" w:line="310" w:lineRule="auto"/>
        <w:ind w:left="1" w:right="164" w:firstLine="480"/>
        <w:rPr>
          <w:rFonts w:hint="eastAsia" w:ascii="宋体" w:hAnsi="宋体" w:eastAsia="宋体" w:cs="宋体"/>
          <w:sz w:val="24"/>
          <w:szCs w:val="24"/>
        </w:rPr>
      </w:pPr>
      <w:r>
        <w:rPr>
          <w:rFonts w:hint="eastAsia" w:ascii="宋体" w:hAnsi="宋体" w:eastAsia="宋体" w:cs="宋体"/>
          <w:spacing w:val="1"/>
          <w:sz w:val="24"/>
          <w:szCs w:val="24"/>
        </w:rPr>
        <w:t>质量保证金采用现金形式提交的，发包人应在专用合同</w:t>
      </w:r>
      <w:r>
        <w:rPr>
          <w:rFonts w:hint="eastAsia" w:ascii="宋体" w:hAnsi="宋体" w:eastAsia="宋体" w:cs="宋体"/>
          <w:sz w:val="24"/>
          <w:szCs w:val="24"/>
        </w:rPr>
        <w:t>条款数据表中明确利息</w:t>
      </w:r>
      <w:r>
        <w:rPr>
          <w:rFonts w:hint="eastAsia" w:ascii="宋体" w:hAnsi="宋体" w:eastAsia="宋体" w:cs="宋体"/>
          <w:spacing w:val="1"/>
          <w:sz w:val="24"/>
          <w:szCs w:val="24"/>
        </w:rPr>
        <w:t>的计算方式；采用非现金形式时，出具担保的机构须具有</w:t>
      </w:r>
      <w:r>
        <w:rPr>
          <w:rFonts w:hint="eastAsia" w:ascii="宋体" w:hAnsi="宋体" w:eastAsia="宋体" w:cs="宋体"/>
          <w:sz w:val="24"/>
          <w:szCs w:val="24"/>
        </w:rPr>
        <w:t>相应担保能力，且按照发</w:t>
      </w:r>
      <w:r>
        <w:rPr>
          <w:rFonts w:hint="eastAsia" w:ascii="宋体" w:hAnsi="宋体" w:eastAsia="宋体" w:cs="宋体"/>
          <w:spacing w:val="-1"/>
          <w:sz w:val="24"/>
          <w:szCs w:val="24"/>
        </w:rPr>
        <w:t>包人批准的格式出具，所需费用由承包人承担。</w:t>
      </w:r>
    </w:p>
    <w:p w14:paraId="1677A626">
      <w:pPr>
        <w:spacing w:before="79" w:line="219" w:lineRule="auto"/>
        <w:ind w:left="481"/>
        <w:rPr>
          <w:rFonts w:hint="eastAsia" w:ascii="宋体" w:hAnsi="宋体" w:eastAsia="宋体" w:cs="宋体"/>
          <w:sz w:val="24"/>
          <w:szCs w:val="24"/>
        </w:rPr>
      </w:pPr>
      <w:r>
        <w:rPr>
          <w:rFonts w:hint="eastAsia" w:ascii="宋体" w:hAnsi="宋体" w:eastAsia="宋体" w:cs="宋体"/>
          <w:spacing w:val="-4"/>
          <w:sz w:val="24"/>
          <w:szCs w:val="24"/>
        </w:rPr>
        <w:t>第</w:t>
      </w:r>
      <w:r>
        <w:rPr>
          <w:rFonts w:hint="eastAsia" w:ascii="宋体" w:hAnsi="宋体" w:eastAsia="宋体" w:cs="宋体"/>
          <w:spacing w:val="-27"/>
          <w:sz w:val="24"/>
          <w:szCs w:val="24"/>
        </w:rPr>
        <w:t xml:space="preserve"> </w:t>
      </w:r>
      <w:r>
        <w:rPr>
          <w:rFonts w:hint="eastAsia" w:ascii="宋体" w:hAnsi="宋体" w:eastAsia="宋体" w:cs="宋体"/>
          <w:spacing w:val="-4"/>
          <w:sz w:val="24"/>
          <w:szCs w:val="24"/>
        </w:rPr>
        <w:t>17.5 款修改为：</w:t>
      </w:r>
    </w:p>
    <w:p w14:paraId="6721A73A">
      <w:pPr>
        <w:spacing w:before="106" w:line="219" w:lineRule="auto"/>
        <w:ind w:left="488"/>
        <w:outlineLvl w:val="4"/>
        <w:rPr>
          <w:rFonts w:hint="eastAsia" w:ascii="宋体" w:hAnsi="宋体" w:eastAsia="宋体" w:cs="宋体"/>
          <w:sz w:val="24"/>
          <w:szCs w:val="24"/>
        </w:rPr>
      </w:pPr>
      <w:r>
        <w:rPr>
          <w:rFonts w:hint="eastAsia" w:ascii="宋体" w:hAnsi="宋体" w:eastAsia="宋体" w:cs="宋体"/>
          <w:b/>
          <w:bCs/>
          <w:spacing w:val="-3"/>
          <w:sz w:val="24"/>
          <w:szCs w:val="24"/>
        </w:rPr>
        <w:t>17.5  养护工程交（竣）工结算</w:t>
      </w:r>
    </w:p>
    <w:p w14:paraId="0B71429C">
      <w:pPr>
        <w:spacing w:before="122" w:line="290" w:lineRule="auto"/>
        <w:ind w:left="1" w:firstLine="498"/>
        <w:rPr>
          <w:rFonts w:hint="eastAsia" w:ascii="宋体" w:hAnsi="宋体" w:eastAsia="宋体" w:cs="宋体"/>
          <w:sz w:val="24"/>
          <w:szCs w:val="24"/>
        </w:rPr>
      </w:pPr>
      <w:r>
        <w:rPr>
          <w:rFonts w:hint="eastAsia" w:ascii="宋体" w:hAnsi="宋体" w:eastAsia="宋体" w:cs="宋体"/>
          <w:sz w:val="24"/>
          <w:szCs w:val="24"/>
        </w:rPr>
        <w:t>17.5.1  承包人完成发包人指定实施的养护工程、不可预见的专项养护工程，并</w:t>
      </w:r>
      <w:r>
        <w:rPr>
          <w:rFonts w:hint="eastAsia" w:ascii="宋体" w:hAnsi="宋体" w:eastAsia="宋体" w:cs="宋体"/>
          <w:spacing w:val="3"/>
          <w:sz w:val="24"/>
          <w:szCs w:val="24"/>
        </w:rPr>
        <w:t>经发包人验收合格</w:t>
      </w:r>
      <w:r>
        <w:rPr>
          <w:rFonts w:hint="eastAsia" w:ascii="宋体" w:hAnsi="宋体" w:eastAsia="宋体" w:cs="宋体"/>
          <w:spacing w:val="-27"/>
          <w:sz w:val="24"/>
          <w:szCs w:val="24"/>
        </w:rPr>
        <w:t xml:space="preserve"> </w:t>
      </w:r>
      <w:r>
        <w:rPr>
          <w:rFonts w:hint="eastAsia" w:ascii="宋体" w:hAnsi="宋体" w:eastAsia="宋体" w:cs="宋体"/>
          <w:spacing w:val="3"/>
          <w:sz w:val="24"/>
          <w:szCs w:val="24"/>
        </w:rPr>
        <w:t>14</w:t>
      </w:r>
      <w:r>
        <w:rPr>
          <w:rFonts w:hint="eastAsia" w:ascii="宋体" w:hAnsi="宋体" w:eastAsia="宋体" w:cs="宋体"/>
          <w:spacing w:val="17"/>
          <w:sz w:val="24"/>
          <w:szCs w:val="24"/>
        </w:rPr>
        <w:t xml:space="preserve"> </w:t>
      </w:r>
      <w:r>
        <w:rPr>
          <w:rFonts w:hint="eastAsia" w:ascii="宋体" w:hAnsi="宋体" w:eastAsia="宋体" w:cs="宋体"/>
          <w:spacing w:val="3"/>
          <w:sz w:val="24"/>
          <w:szCs w:val="24"/>
        </w:rPr>
        <w:t>天内，应按专</w:t>
      </w:r>
      <w:r>
        <w:rPr>
          <w:rFonts w:hint="eastAsia" w:ascii="宋体" w:hAnsi="宋体" w:eastAsia="宋体" w:cs="宋体"/>
          <w:spacing w:val="2"/>
          <w:sz w:val="24"/>
          <w:szCs w:val="24"/>
        </w:rPr>
        <w:t>用合同条款数据表约定的份数向发包</w:t>
      </w:r>
      <w:r>
        <w:rPr>
          <w:rFonts w:hint="eastAsia" w:ascii="宋体" w:hAnsi="宋体" w:eastAsia="宋体" w:cs="宋体"/>
          <w:spacing w:val="1"/>
          <w:sz w:val="24"/>
          <w:szCs w:val="24"/>
        </w:rPr>
        <w:t>人提交交（竣）工付款申请单，并提供相关</w:t>
      </w:r>
      <w:r>
        <w:rPr>
          <w:rFonts w:hint="eastAsia" w:ascii="宋体" w:hAnsi="宋体" w:eastAsia="宋体" w:cs="宋体"/>
          <w:sz w:val="24"/>
          <w:szCs w:val="24"/>
        </w:rPr>
        <w:t>证明材料。除专用合同条</w:t>
      </w:r>
      <w:r>
        <w:rPr>
          <w:rFonts w:hint="eastAsia" w:ascii="宋体" w:hAnsi="宋体" w:eastAsia="宋体" w:cs="宋体"/>
          <w:spacing w:val="-1"/>
          <w:sz w:val="24"/>
          <w:szCs w:val="24"/>
        </w:rPr>
        <w:t>款另有约定外，交（竣）工付款申请单应包括下列内</w:t>
      </w:r>
      <w:r>
        <w:rPr>
          <w:rFonts w:hint="eastAsia" w:ascii="宋体" w:hAnsi="宋体" w:eastAsia="宋体" w:cs="宋体"/>
          <w:spacing w:val="-2"/>
          <w:sz w:val="24"/>
          <w:szCs w:val="24"/>
        </w:rPr>
        <w:t>容：交（竣）工结算合同总价、</w:t>
      </w:r>
      <w:r>
        <w:rPr>
          <w:rFonts w:hint="eastAsia" w:ascii="宋体" w:hAnsi="宋体" w:eastAsia="宋体" w:cs="宋体"/>
          <w:spacing w:val="-1"/>
          <w:sz w:val="24"/>
          <w:szCs w:val="24"/>
        </w:rPr>
        <w:t>发包人已支付承包人的合同价款、应支付的交（竣）工付款金额。</w:t>
      </w:r>
    </w:p>
    <w:p w14:paraId="6BCD3BB2">
      <w:pPr>
        <w:spacing w:before="118" w:line="278" w:lineRule="auto"/>
        <w:ind w:right="164" w:firstLine="500"/>
        <w:rPr>
          <w:rFonts w:hint="eastAsia" w:ascii="宋体" w:hAnsi="宋体" w:eastAsia="宋体" w:cs="宋体"/>
          <w:sz w:val="24"/>
          <w:szCs w:val="24"/>
        </w:rPr>
      </w:pPr>
      <w:r>
        <w:rPr>
          <w:rFonts w:hint="eastAsia" w:ascii="宋体" w:hAnsi="宋体" w:eastAsia="宋体" w:cs="宋体"/>
          <w:sz w:val="24"/>
          <w:szCs w:val="24"/>
        </w:rPr>
        <w:t>17.5.2  发包人对交（竣）工付款申请单有异议的，有权要求承包人</w:t>
      </w:r>
      <w:r>
        <w:rPr>
          <w:rFonts w:hint="eastAsia" w:ascii="宋体" w:hAnsi="宋体" w:eastAsia="宋体" w:cs="宋体"/>
          <w:spacing w:val="1"/>
          <w:sz w:val="24"/>
          <w:szCs w:val="24"/>
        </w:rPr>
        <w:t>进行修正和提供补充资料。经发包人和承包人协商</w:t>
      </w:r>
      <w:r>
        <w:rPr>
          <w:rFonts w:hint="eastAsia" w:ascii="宋体" w:hAnsi="宋体" w:eastAsia="宋体" w:cs="宋体"/>
          <w:sz w:val="24"/>
          <w:szCs w:val="24"/>
        </w:rPr>
        <w:t>后，由承包人向发包</w:t>
      </w:r>
      <w:r>
        <w:rPr>
          <w:rFonts w:hint="eastAsia" w:ascii="宋体" w:hAnsi="宋体" w:eastAsia="宋体" w:cs="宋体"/>
          <w:spacing w:val="-1"/>
          <w:sz w:val="24"/>
          <w:szCs w:val="24"/>
        </w:rPr>
        <w:t>人提交修正后的交工付款申请单。</w:t>
      </w:r>
    </w:p>
    <w:p w14:paraId="28C3935A">
      <w:pPr>
        <w:spacing w:before="78" w:line="219" w:lineRule="auto"/>
        <w:ind w:left="11" w:firstLine="496" w:firstLineChars="200"/>
        <w:rPr>
          <w:rFonts w:hint="eastAsia" w:ascii="宋体" w:hAnsi="宋体" w:eastAsia="宋体" w:cs="宋体"/>
          <w:spacing w:val="-1"/>
          <w:sz w:val="24"/>
          <w:szCs w:val="24"/>
        </w:rPr>
      </w:pPr>
      <w:bookmarkStart w:id="205" w:name="bookmark284"/>
      <w:bookmarkEnd w:id="205"/>
      <w:r>
        <w:rPr>
          <w:rFonts w:hint="eastAsia" w:ascii="宋体" w:hAnsi="宋体" w:eastAsia="宋体" w:cs="宋体"/>
          <w:spacing w:val="4"/>
          <w:sz w:val="24"/>
          <w:szCs w:val="24"/>
        </w:rPr>
        <w:t>17.5.3  发包人在收到承包人提交的交（竣）工付款申请</w:t>
      </w:r>
      <w:r>
        <w:rPr>
          <w:rFonts w:hint="eastAsia" w:ascii="宋体" w:hAnsi="宋体" w:eastAsia="宋体" w:cs="宋体"/>
          <w:spacing w:val="3"/>
          <w:sz w:val="24"/>
          <w:szCs w:val="24"/>
        </w:rPr>
        <w:t>单后的</w:t>
      </w:r>
      <w:r>
        <w:rPr>
          <w:rFonts w:hint="eastAsia" w:ascii="宋体" w:hAnsi="宋体" w:eastAsia="宋体" w:cs="宋体"/>
          <w:spacing w:val="-25"/>
          <w:sz w:val="24"/>
          <w:szCs w:val="24"/>
        </w:rPr>
        <w:t xml:space="preserve"> </w:t>
      </w:r>
      <w:r>
        <w:rPr>
          <w:rFonts w:hint="eastAsia" w:ascii="宋体" w:hAnsi="宋体" w:eastAsia="宋体" w:cs="宋体"/>
          <w:spacing w:val="3"/>
          <w:sz w:val="24"/>
          <w:szCs w:val="24"/>
        </w:rPr>
        <w:t>14</w:t>
      </w:r>
      <w:r>
        <w:rPr>
          <w:rFonts w:hint="eastAsia" w:ascii="宋体" w:hAnsi="宋体" w:eastAsia="宋体" w:cs="宋体"/>
          <w:spacing w:val="-1"/>
          <w:sz w:val="24"/>
          <w:szCs w:val="24"/>
        </w:rPr>
        <w:t>天内完成核查，</w:t>
      </w:r>
      <w:r>
        <w:rPr>
          <w:rFonts w:hint="eastAsia" w:ascii="宋体" w:hAnsi="宋体" w:eastAsia="宋体" w:cs="宋体"/>
          <w:spacing w:val="-2"/>
          <w:sz w:val="24"/>
          <w:szCs w:val="24"/>
        </w:rPr>
        <w:t>审核</w:t>
      </w:r>
      <w:r>
        <w:rPr>
          <w:rFonts w:hint="eastAsia" w:ascii="宋体" w:hAnsi="宋体" w:eastAsia="宋体" w:cs="宋体"/>
          <w:spacing w:val="-1"/>
          <w:sz w:val="24"/>
          <w:szCs w:val="24"/>
        </w:rPr>
        <w:t>提出发包人到期应支付给承包人的价</w:t>
      </w:r>
      <w:r>
        <w:rPr>
          <w:rFonts w:hint="eastAsia" w:ascii="宋体" w:hAnsi="宋体" w:eastAsia="宋体" w:cs="宋体"/>
          <w:spacing w:val="-2"/>
          <w:sz w:val="24"/>
          <w:szCs w:val="24"/>
        </w:rPr>
        <w:t>款并抄送承包人。</w:t>
      </w:r>
      <w:r>
        <w:rPr>
          <w:rFonts w:hint="eastAsia" w:ascii="宋体" w:hAnsi="宋体" w:eastAsia="宋体" w:cs="宋体"/>
          <w:spacing w:val="3"/>
          <w:sz w:val="24"/>
          <w:szCs w:val="24"/>
        </w:rPr>
        <w:t>发包人应在14</w:t>
      </w:r>
      <w:r>
        <w:rPr>
          <w:rFonts w:hint="eastAsia" w:ascii="宋体" w:hAnsi="宋体" w:eastAsia="宋体" w:cs="宋体"/>
          <w:spacing w:val="19"/>
          <w:sz w:val="24"/>
          <w:szCs w:val="24"/>
        </w:rPr>
        <w:t xml:space="preserve"> </w:t>
      </w:r>
      <w:r>
        <w:rPr>
          <w:rFonts w:hint="eastAsia" w:ascii="宋体" w:hAnsi="宋体" w:eastAsia="宋体" w:cs="宋体"/>
          <w:spacing w:val="3"/>
          <w:sz w:val="24"/>
          <w:szCs w:val="24"/>
        </w:rPr>
        <w:t>天内</w:t>
      </w:r>
      <w:r>
        <w:rPr>
          <w:rFonts w:hint="eastAsia" w:ascii="宋体" w:hAnsi="宋体" w:eastAsia="宋体" w:cs="宋体"/>
          <w:spacing w:val="2"/>
          <w:sz w:val="24"/>
          <w:szCs w:val="24"/>
        </w:rPr>
        <w:t>向承包人出具经发包人</w:t>
      </w:r>
      <w:r>
        <w:rPr>
          <w:rFonts w:hint="eastAsia" w:ascii="宋体" w:hAnsi="宋体" w:eastAsia="宋体" w:cs="宋体"/>
          <w:spacing w:val="1"/>
          <w:sz w:val="24"/>
          <w:szCs w:val="24"/>
        </w:rPr>
        <w:t>签认的养护工程验收证书。发包人未在约定时间内审核又未提出具体意见的，</w:t>
      </w:r>
      <w:r>
        <w:rPr>
          <w:rFonts w:hint="eastAsia" w:ascii="宋体" w:hAnsi="宋体" w:eastAsia="宋体" w:cs="宋体"/>
          <w:sz w:val="24"/>
          <w:szCs w:val="24"/>
        </w:rPr>
        <w:t>到</w:t>
      </w:r>
      <w:r>
        <w:rPr>
          <w:rFonts w:hint="eastAsia" w:ascii="宋体" w:hAnsi="宋体" w:eastAsia="宋体" w:cs="宋体"/>
          <w:spacing w:val="-1"/>
          <w:sz w:val="24"/>
          <w:szCs w:val="24"/>
        </w:rPr>
        <w:t>期应支付给承包人的价款视为已经发包人同意。</w:t>
      </w:r>
    </w:p>
    <w:p w14:paraId="3331B2D4">
      <w:pPr>
        <w:spacing w:before="78" w:line="219" w:lineRule="auto"/>
        <w:ind w:left="11" w:firstLine="480" w:firstLineChars="200"/>
        <w:rPr>
          <w:rFonts w:hint="eastAsia" w:ascii="宋体" w:hAnsi="宋体" w:eastAsia="宋体" w:cs="宋体"/>
          <w:sz w:val="24"/>
          <w:szCs w:val="24"/>
        </w:rPr>
      </w:pPr>
      <w:r>
        <w:rPr>
          <w:rFonts w:hint="eastAsia" w:ascii="宋体" w:hAnsi="宋体" w:eastAsia="宋体" w:cs="宋体"/>
          <w:sz w:val="24"/>
          <w:szCs w:val="24"/>
        </w:rPr>
        <w:t>17.5.4  发包人应在出具养护工程验收证书且承包人提交了合</w:t>
      </w:r>
      <w:r>
        <w:rPr>
          <w:rFonts w:hint="eastAsia" w:ascii="宋体" w:hAnsi="宋体" w:eastAsia="宋体" w:cs="宋体"/>
          <w:spacing w:val="2"/>
          <w:sz w:val="24"/>
          <w:szCs w:val="24"/>
        </w:rPr>
        <w:t>格的增值税发票后的</w:t>
      </w:r>
      <w:r>
        <w:rPr>
          <w:rFonts w:hint="eastAsia" w:ascii="宋体" w:hAnsi="宋体" w:eastAsia="宋体" w:cs="宋体"/>
          <w:spacing w:val="-11"/>
          <w:sz w:val="24"/>
          <w:szCs w:val="24"/>
        </w:rPr>
        <w:t xml:space="preserve"> </w:t>
      </w:r>
      <w:r>
        <w:rPr>
          <w:rFonts w:hint="eastAsia" w:ascii="宋体" w:hAnsi="宋体" w:eastAsia="宋体" w:cs="宋体"/>
          <w:spacing w:val="2"/>
          <w:sz w:val="24"/>
          <w:szCs w:val="24"/>
        </w:rPr>
        <w:t>14</w:t>
      </w:r>
      <w:r>
        <w:rPr>
          <w:rFonts w:hint="eastAsia" w:ascii="宋体" w:hAnsi="宋体" w:eastAsia="宋体" w:cs="宋体"/>
          <w:spacing w:val="19"/>
          <w:w w:val="101"/>
          <w:sz w:val="24"/>
          <w:szCs w:val="24"/>
        </w:rPr>
        <w:t xml:space="preserve"> </w:t>
      </w:r>
      <w:r>
        <w:rPr>
          <w:rFonts w:hint="eastAsia" w:ascii="宋体" w:hAnsi="宋体" w:eastAsia="宋体" w:cs="宋体"/>
          <w:spacing w:val="2"/>
          <w:sz w:val="24"/>
          <w:szCs w:val="24"/>
        </w:rPr>
        <w:t>天内，将应支付款支付给承包人。发包人不按期支付的，</w:t>
      </w:r>
      <w:r>
        <w:rPr>
          <w:rFonts w:hint="eastAsia" w:ascii="宋体" w:hAnsi="宋体" w:eastAsia="宋体" w:cs="宋体"/>
          <w:spacing w:val="-3"/>
          <w:sz w:val="24"/>
          <w:szCs w:val="24"/>
        </w:rPr>
        <w:t>按第</w:t>
      </w:r>
      <w:r>
        <w:rPr>
          <w:rFonts w:hint="eastAsia" w:ascii="宋体" w:hAnsi="宋体" w:eastAsia="宋体" w:cs="宋体"/>
          <w:spacing w:val="-32"/>
          <w:sz w:val="24"/>
          <w:szCs w:val="24"/>
        </w:rPr>
        <w:t xml:space="preserve"> </w:t>
      </w:r>
      <w:r>
        <w:rPr>
          <w:rFonts w:hint="eastAsia" w:ascii="宋体" w:hAnsi="宋体" w:eastAsia="宋体" w:cs="宋体"/>
          <w:spacing w:val="-3"/>
          <w:sz w:val="24"/>
          <w:szCs w:val="24"/>
        </w:rPr>
        <w:t>17.3.3（2）</w:t>
      </w:r>
      <w:r>
        <w:rPr>
          <w:rFonts w:hint="eastAsia" w:ascii="宋体" w:hAnsi="宋体" w:eastAsia="宋体" w:cs="宋体"/>
          <w:spacing w:val="-65"/>
          <w:sz w:val="24"/>
          <w:szCs w:val="24"/>
        </w:rPr>
        <w:t xml:space="preserve"> </w:t>
      </w:r>
      <w:r>
        <w:rPr>
          <w:rFonts w:hint="eastAsia" w:ascii="宋体" w:hAnsi="宋体" w:eastAsia="宋体" w:cs="宋体"/>
          <w:spacing w:val="-3"/>
          <w:sz w:val="24"/>
          <w:szCs w:val="24"/>
        </w:rPr>
        <w:t>目的约定，将逾期付款违约金支付给承</w:t>
      </w:r>
      <w:r>
        <w:rPr>
          <w:rFonts w:hint="eastAsia" w:ascii="宋体" w:hAnsi="宋体" w:eastAsia="宋体" w:cs="宋体"/>
          <w:spacing w:val="-4"/>
          <w:sz w:val="24"/>
          <w:szCs w:val="24"/>
        </w:rPr>
        <w:t>包人。</w:t>
      </w:r>
    </w:p>
    <w:p w14:paraId="32CCBB43">
      <w:pPr>
        <w:spacing w:before="114" w:line="309" w:lineRule="auto"/>
        <w:ind w:left="5" w:right="145" w:firstLine="503"/>
        <w:rPr>
          <w:rFonts w:hint="eastAsia" w:ascii="宋体" w:hAnsi="宋体" w:eastAsia="宋体" w:cs="宋体"/>
          <w:sz w:val="24"/>
          <w:szCs w:val="24"/>
        </w:rPr>
      </w:pPr>
      <w:r>
        <w:rPr>
          <w:rFonts w:hint="eastAsia" w:ascii="宋体" w:hAnsi="宋体" w:eastAsia="宋体" w:cs="宋体"/>
          <w:spacing w:val="6"/>
          <w:sz w:val="24"/>
          <w:szCs w:val="24"/>
        </w:rPr>
        <w:t>17.5.5  承包人对发包人签认的应支付的交（竣）工付款金额有异议的，按第</w:t>
      </w:r>
      <w:r>
        <w:rPr>
          <w:rFonts w:hint="eastAsia" w:ascii="宋体" w:hAnsi="宋体" w:eastAsia="宋体" w:cs="宋体"/>
          <w:spacing w:val="-1"/>
          <w:sz w:val="24"/>
          <w:szCs w:val="24"/>
        </w:rPr>
        <w:t>24 条的约定办理。</w:t>
      </w:r>
    </w:p>
    <w:p w14:paraId="0C62FA7C">
      <w:pPr>
        <w:spacing w:before="78" w:line="219" w:lineRule="auto"/>
        <w:ind w:left="489"/>
        <w:rPr>
          <w:rFonts w:hint="eastAsia" w:ascii="宋体" w:hAnsi="宋体" w:eastAsia="宋体" w:cs="宋体"/>
          <w:sz w:val="24"/>
          <w:szCs w:val="24"/>
        </w:rPr>
      </w:pPr>
      <w:r>
        <w:rPr>
          <w:rFonts w:hint="eastAsia" w:ascii="宋体" w:hAnsi="宋体" w:eastAsia="宋体" w:cs="宋体"/>
          <w:spacing w:val="-5"/>
          <w:sz w:val="24"/>
          <w:szCs w:val="24"/>
        </w:rPr>
        <w:t>第</w:t>
      </w:r>
      <w:r>
        <w:rPr>
          <w:rFonts w:hint="eastAsia" w:ascii="宋体" w:hAnsi="宋体" w:eastAsia="宋体" w:cs="宋体"/>
          <w:spacing w:val="-26"/>
          <w:sz w:val="24"/>
          <w:szCs w:val="24"/>
        </w:rPr>
        <w:t xml:space="preserve"> </w:t>
      </w:r>
      <w:r>
        <w:rPr>
          <w:rFonts w:hint="eastAsia" w:ascii="宋体" w:hAnsi="宋体" w:eastAsia="宋体" w:cs="宋体"/>
          <w:spacing w:val="-5"/>
          <w:sz w:val="24"/>
          <w:szCs w:val="24"/>
        </w:rPr>
        <w:t>18 条修改为：</w:t>
      </w:r>
    </w:p>
    <w:p w14:paraId="64E76892">
      <w:pPr>
        <w:spacing w:before="104" w:line="219" w:lineRule="auto"/>
        <w:ind w:left="495"/>
        <w:outlineLvl w:val="3"/>
        <w:rPr>
          <w:rFonts w:hint="eastAsia" w:ascii="宋体" w:hAnsi="宋体" w:eastAsia="宋体" w:cs="宋体"/>
          <w:sz w:val="24"/>
          <w:szCs w:val="24"/>
        </w:rPr>
      </w:pPr>
      <w:bookmarkStart w:id="206" w:name="bookmark167"/>
      <w:bookmarkEnd w:id="206"/>
      <w:bookmarkStart w:id="207" w:name="bookmark168"/>
      <w:bookmarkEnd w:id="207"/>
      <w:r>
        <w:rPr>
          <w:rFonts w:hint="eastAsia" w:ascii="宋体" w:hAnsi="宋体" w:eastAsia="宋体" w:cs="宋体"/>
          <w:b/>
          <w:bCs/>
          <w:spacing w:val="-6"/>
          <w:sz w:val="24"/>
          <w:szCs w:val="24"/>
        </w:rPr>
        <w:t>18.</w:t>
      </w:r>
      <w:r>
        <w:rPr>
          <w:rFonts w:hint="eastAsia" w:ascii="宋体" w:hAnsi="宋体" w:eastAsia="宋体" w:cs="宋体"/>
          <w:b/>
          <w:bCs/>
          <w:spacing w:val="8"/>
          <w:sz w:val="24"/>
          <w:szCs w:val="24"/>
        </w:rPr>
        <w:t xml:space="preserve">  </w:t>
      </w:r>
      <w:r>
        <w:rPr>
          <w:rFonts w:hint="eastAsia" w:ascii="宋体" w:hAnsi="宋体" w:eastAsia="宋体" w:cs="宋体"/>
          <w:b/>
          <w:bCs/>
          <w:spacing w:val="-6"/>
          <w:sz w:val="24"/>
          <w:szCs w:val="24"/>
        </w:rPr>
        <w:t>项目验收</w:t>
      </w:r>
    </w:p>
    <w:p w14:paraId="49A75A10">
      <w:pPr>
        <w:spacing w:before="125" w:line="219" w:lineRule="auto"/>
        <w:ind w:left="489"/>
        <w:rPr>
          <w:rFonts w:hint="eastAsia" w:ascii="宋体" w:hAnsi="宋体" w:eastAsia="宋体" w:cs="宋体"/>
          <w:sz w:val="24"/>
          <w:szCs w:val="24"/>
        </w:rPr>
      </w:pPr>
      <w:r>
        <w:rPr>
          <w:rFonts w:hint="eastAsia" w:ascii="宋体" w:hAnsi="宋体" w:eastAsia="宋体" w:cs="宋体"/>
          <w:spacing w:val="-4"/>
          <w:sz w:val="24"/>
          <w:szCs w:val="24"/>
        </w:rPr>
        <w:t>第</w:t>
      </w:r>
      <w:r>
        <w:rPr>
          <w:rFonts w:hint="eastAsia" w:ascii="宋体" w:hAnsi="宋体" w:eastAsia="宋体" w:cs="宋体"/>
          <w:spacing w:val="-27"/>
          <w:sz w:val="24"/>
          <w:szCs w:val="24"/>
        </w:rPr>
        <w:t xml:space="preserve"> </w:t>
      </w:r>
      <w:r>
        <w:rPr>
          <w:rFonts w:hint="eastAsia" w:ascii="宋体" w:hAnsi="宋体" w:eastAsia="宋体" w:cs="宋体"/>
          <w:spacing w:val="-4"/>
          <w:sz w:val="24"/>
          <w:szCs w:val="24"/>
        </w:rPr>
        <w:t>18.1 款修改为：</w:t>
      </w:r>
    </w:p>
    <w:p w14:paraId="4486BD27">
      <w:pPr>
        <w:spacing w:before="116" w:line="219" w:lineRule="auto"/>
        <w:ind w:left="508"/>
        <w:rPr>
          <w:rFonts w:hint="eastAsia" w:ascii="宋体" w:hAnsi="宋体" w:eastAsia="宋体" w:cs="宋体"/>
          <w:sz w:val="24"/>
          <w:szCs w:val="24"/>
        </w:rPr>
      </w:pPr>
      <w:r>
        <w:rPr>
          <w:rFonts w:hint="eastAsia" w:ascii="宋体" w:hAnsi="宋体" w:eastAsia="宋体" w:cs="宋体"/>
          <w:spacing w:val="-3"/>
          <w:sz w:val="24"/>
          <w:szCs w:val="24"/>
        </w:rPr>
        <w:t>18.1  项目验收的含义</w:t>
      </w:r>
    </w:p>
    <w:p w14:paraId="51095DF9">
      <w:pPr>
        <w:spacing w:before="113" w:line="219" w:lineRule="auto"/>
        <w:ind w:left="508"/>
        <w:rPr>
          <w:rFonts w:hint="eastAsia" w:ascii="宋体" w:hAnsi="宋体" w:eastAsia="宋体" w:cs="宋体"/>
          <w:sz w:val="24"/>
          <w:szCs w:val="24"/>
        </w:rPr>
      </w:pPr>
      <w:r>
        <w:rPr>
          <w:rFonts w:hint="eastAsia" w:ascii="宋体" w:hAnsi="宋体" w:eastAsia="宋体" w:cs="宋体"/>
          <w:spacing w:val="-1"/>
          <w:sz w:val="24"/>
          <w:szCs w:val="24"/>
        </w:rPr>
        <w:t>18.1.1  项目验收分为养护工程验收、项目总体验</w:t>
      </w:r>
      <w:r>
        <w:rPr>
          <w:rFonts w:hint="eastAsia" w:ascii="宋体" w:hAnsi="宋体" w:eastAsia="宋体" w:cs="宋体"/>
          <w:spacing w:val="-2"/>
          <w:sz w:val="24"/>
          <w:szCs w:val="24"/>
        </w:rPr>
        <w:t>收。</w:t>
      </w:r>
    </w:p>
    <w:p w14:paraId="3FE3DF82">
      <w:pPr>
        <w:spacing w:before="116" w:line="278" w:lineRule="auto"/>
        <w:ind w:left="8" w:right="145" w:firstLine="499"/>
        <w:rPr>
          <w:rFonts w:hint="eastAsia" w:ascii="宋体" w:hAnsi="宋体" w:eastAsia="宋体" w:cs="宋体"/>
          <w:sz w:val="24"/>
          <w:szCs w:val="24"/>
        </w:rPr>
      </w:pPr>
      <w:r>
        <w:rPr>
          <w:rFonts w:hint="eastAsia" w:ascii="宋体" w:hAnsi="宋体" w:eastAsia="宋体" w:cs="宋体"/>
          <w:spacing w:val="2"/>
          <w:sz w:val="24"/>
          <w:szCs w:val="24"/>
        </w:rPr>
        <w:t>18.1.2 养护工程验收是指合同期内根据合同约定需履行</w:t>
      </w:r>
      <w:r>
        <w:rPr>
          <w:rFonts w:hint="eastAsia" w:ascii="宋体" w:hAnsi="宋体" w:eastAsia="宋体" w:cs="宋体"/>
          <w:spacing w:val="1"/>
          <w:sz w:val="24"/>
          <w:szCs w:val="24"/>
        </w:rPr>
        <w:t>验收手续的养护工程，在相应养护工程全部工作完成后，由验收单位按照合同要求</w:t>
      </w:r>
      <w:r>
        <w:rPr>
          <w:rFonts w:hint="eastAsia" w:ascii="宋体" w:hAnsi="宋体" w:eastAsia="宋体" w:cs="宋体"/>
          <w:sz w:val="24"/>
          <w:szCs w:val="24"/>
        </w:rPr>
        <w:t>进行验收，可采用一阶</w:t>
      </w:r>
      <w:r>
        <w:rPr>
          <w:rFonts w:hint="eastAsia" w:ascii="宋体" w:hAnsi="宋体" w:eastAsia="宋体" w:cs="宋体"/>
          <w:spacing w:val="-1"/>
          <w:sz w:val="24"/>
          <w:szCs w:val="24"/>
        </w:rPr>
        <w:t>段或两阶段验收。不包括日常养护、应急工作的验收。</w:t>
      </w:r>
    </w:p>
    <w:p w14:paraId="288D5A59">
      <w:pPr>
        <w:spacing w:before="117" w:line="307" w:lineRule="auto"/>
        <w:ind w:left="9" w:right="101" w:firstLine="493"/>
        <w:rPr>
          <w:rFonts w:hint="eastAsia" w:ascii="宋体" w:hAnsi="宋体" w:eastAsia="宋体" w:cs="宋体"/>
          <w:sz w:val="24"/>
          <w:szCs w:val="24"/>
          <w:u w:val="single"/>
          <w:lang w:val="en-US" w:eastAsia="zh-CN"/>
        </w:rPr>
      </w:pPr>
      <w:r>
        <w:rPr>
          <w:rFonts w:hint="eastAsia" w:ascii="宋体" w:hAnsi="宋体" w:eastAsia="宋体" w:cs="宋体"/>
          <w:spacing w:val="-1"/>
          <w:sz w:val="24"/>
          <w:szCs w:val="24"/>
        </w:rPr>
        <w:t>需验收的养护工程</w:t>
      </w:r>
      <w:r>
        <w:rPr>
          <w:rFonts w:hint="eastAsia" w:ascii="宋体" w:hAnsi="宋体" w:eastAsia="宋体" w:cs="宋体"/>
          <w:spacing w:val="-18"/>
          <w:sz w:val="24"/>
          <w:szCs w:val="24"/>
        </w:rPr>
        <w:t>：</w:t>
      </w:r>
      <w:r>
        <w:rPr>
          <w:rFonts w:hint="eastAsia" w:ascii="宋体" w:hAnsi="宋体" w:eastAsia="宋体" w:cs="宋体"/>
          <w:spacing w:val="-1"/>
          <w:sz w:val="24"/>
          <w:szCs w:val="24"/>
          <w:u w:val="single"/>
          <w:lang w:val="en-US" w:eastAsia="zh-CN"/>
        </w:rPr>
        <w:t xml:space="preserve">    /    </w:t>
      </w:r>
    </w:p>
    <w:p w14:paraId="1876EBEF">
      <w:pPr>
        <w:spacing w:line="210" w:lineRule="auto"/>
        <w:ind w:left="488"/>
        <w:rPr>
          <w:rFonts w:hint="eastAsia" w:ascii="宋体" w:hAnsi="宋体" w:eastAsia="宋体" w:cs="宋体"/>
          <w:spacing w:val="-1"/>
          <w:sz w:val="24"/>
          <w:szCs w:val="24"/>
        </w:rPr>
      </w:pPr>
      <w:r>
        <w:rPr>
          <w:rFonts w:hint="eastAsia" w:ascii="宋体" w:hAnsi="宋体" w:eastAsia="宋体" w:cs="宋体"/>
          <w:spacing w:val="-1"/>
          <w:sz w:val="24"/>
          <w:szCs w:val="24"/>
        </w:rPr>
        <w:t>验收单位：</w:t>
      </w:r>
      <w:r>
        <w:rPr>
          <w:rFonts w:hint="eastAsia" w:ascii="宋体" w:hAnsi="宋体" w:eastAsia="宋体" w:cs="宋体"/>
          <w:spacing w:val="-1"/>
          <w:sz w:val="24"/>
          <w:szCs w:val="24"/>
          <w:u w:val="single"/>
        </w:rPr>
        <w:t xml:space="preserve">     </w:t>
      </w:r>
      <w:r>
        <w:rPr>
          <w:rFonts w:hint="eastAsia" w:ascii="宋体" w:hAnsi="宋体" w:eastAsia="宋体" w:cs="宋体"/>
          <w:spacing w:val="-1"/>
          <w:sz w:val="24"/>
          <w:szCs w:val="24"/>
          <w:u w:val="single"/>
          <w:lang w:val="en-US" w:eastAsia="zh-CN"/>
        </w:rPr>
        <w:t>/</w:t>
      </w:r>
      <w:r>
        <w:rPr>
          <w:rFonts w:hint="eastAsia" w:ascii="宋体" w:hAnsi="宋体" w:eastAsia="宋体" w:cs="宋体"/>
          <w:spacing w:val="-1"/>
          <w:sz w:val="24"/>
          <w:szCs w:val="24"/>
          <w:u w:val="single"/>
        </w:rPr>
        <w:t xml:space="preserve">       </w:t>
      </w:r>
      <w:r>
        <w:rPr>
          <w:rFonts w:hint="eastAsia" w:ascii="宋体" w:hAnsi="宋体" w:eastAsia="宋体" w:cs="宋体"/>
          <w:spacing w:val="-1"/>
          <w:sz w:val="24"/>
          <w:szCs w:val="24"/>
        </w:rPr>
        <w:t>。</w:t>
      </w:r>
    </w:p>
    <w:p w14:paraId="4638FDDD">
      <w:pPr>
        <w:spacing w:before="2" w:line="343" w:lineRule="auto"/>
        <w:ind w:firstLine="472" w:firstLineChars="200"/>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养护工程验收方式：</w:t>
      </w:r>
      <w:r>
        <w:rPr>
          <w:rFonts w:hint="eastAsia" w:ascii="宋体" w:hAnsi="宋体" w:eastAsia="宋体" w:cs="宋体"/>
          <w:spacing w:val="-2"/>
          <w:sz w:val="24"/>
          <w:szCs w:val="24"/>
          <w:u w:val="single"/>
          <w:lang w:eastAsia="zh-CN"/>
        </w:rPr>
        <w:t xml:space="preserve">     </w:t>
      </w:r>
      <w:r>
        <w:rPr>
          <w:rFonts w:hint="eastAsia" w:ascii="宋体" w:hAnsi="宋体" w:eastAsia="宋体" w:cs="宋体"/>
          <w:spacing w:val="-2"/>
          <w:sz w:val="24"/>
          <w:szCs w:val="24"/>
          <w:u w:val="single"/>
          <w:lang w:val="en-US" w:eastAsia="zh-CN"/>
        </w:rPr>
        <w:t>/</w:t>
      </w:r>
      <w:r>
        <w:rPr>
          <w:rFonts w:hint="eastAsia" w:ascii="宋体" w:hAnsi="宋体" w:eastAsia="宋体" w:cs="宋体"/>
          <w:spacing w:val="-2"/>
          <w:sz w:val="24"/>
          <w:szCs w:val="24"/>
          <w:u w:val="single"/>
          <w:lang w:eastAsia="zh-CN"/>
        </w:rPr>
        <w:t xml:space="preserve">       </w:t>
      </w:r>
      <w:r>
        <w:rPr>
          <w:rFonts w:hint="eastAsia" w:ascii="宋体" w:hAnsi="宋体" w:eastAsia="宋体" w:cs="宋体"/>
          <w:spacing w:val="-86"/>
          <w:sz w:val="24"/>
          <w:szCs w:val="24"/>
          <w:lang w:eastAsia="zh-CN"/>
        </w:rPr>
        <w:t xml:space="preserve"> </w:t>
      </w:r>
      <w:r>
        <w:rPr>
          <w:rFonts w:hint="eastAsia" w:ascii="宋体" w:hAnsi="宋体" w:eastAsia="宋体" w:cs="宋体"/>
          <w:spacing w:val="-2"/>
          <w:sz w:val="24"/>
          <w:szCs w:val="24"/>
          <w:lang w:eastAsia="zh-CN"/>
        </w:rPr>
        <w:t>。</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"bookmark285" </w:instrText>
      </w:r>
      <w:r>
        <w:rPr>
          <w:rFonts w:hint="eastAsia" w:ascii="宋体" w:hAnsi="宋体" w:eastAsia="宋体" w:cs="宋体"/>
          <w:sz w:val="24"/>
          <w:szCs w:val="24"/>
        </w:rPr>
        <w:fldChar w:fldCharType="separate"/>
      </w:r>
      <w:r>
        <w:rPr>
          <w:rFonts w:hint="eastAsia" w:ascii="宋体" w:hAnsi="宋体" w:eastAsia="宋体" w:cs="宋体"/>
          <w:spacing w:val="-2"/>
          <w:position w:val="11"/>
          <w:sz w:val="24"/>
          <w:szCs w:val="24"/>
          <w:lang w:eastAsia="zh-CN"/>
        </w:rPr>
        <w:t>①</w:t>
      </w:r>
      <w:r>
        <w:rPr>
          <w:rFonts w:hint="eastAsia" w:ascii="宋体" w:hAnsi="宋体" w:eastAsia="宋体" w:cs="宋体"/>
          <w:spacing w:val="-2"/>
          <w:position w:val="11"/>
          <w:sz w:val="24"/>
          <w:szCs w:val="24"/>
          <w:lang w:eastAsia="zh-CN"/>
        </w:rPr>
        <w:fldChar w:fldCharType="end"/>
      </w:r>
    </w:p>
    <w:p w14:paraId="6AF05932">
      <w:pPr>
        <w:spacing w:before="81" w:line="219" w:lineRule="auto"/>
        <w:ind w:left="490"/>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养护工程验收时间：</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val="en-US"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w:t>
      </w:r>
    </w:p>
    <w:p w14:paraId="6575ADFB">
      <w:pPr>
        <w:spacing w:before="112" w:line="308" w:lineRule="auto"/>
        <w:ind w:firstLine="472" w:firstLineChars="200"/>
        <w:rPr>
          <w:rFonts w:hint="eastAsia" w:ascii="宋体" w:hAnsi="宋体" w:eastAsia="宋体" w:cs="宋体"/>
          <w:sz w:val="24"/>
          <w:szCs w:val="24"/>
        </w:rPr>
      </w:pPr>
      <w:r>
        <w:rPr>
          <w:rFonts w:hint="eastAsia" w:ascii="宋体" w:hAnsi="宋体" w:eastAsia="宋体" w:cs="宋体"/>
          <w:spacing w:val="-2"/>
          <w:sz w:val="24"/>
          <w:szCs w:val="24"/>
        </w:rPr>
        <w:t>18.1.3  项目总体验收可根据项目实际情况选择项目总体交（竣</w:t>
      </w:r>
      <w:r>
        <w:rPr>
          <w:rFonts w:hint="eastAsia" w:ascii="宋体" w:hAnsi="宋体" w:eastAsia="宋体" w:cs="宋体"/>
          <w:spacing w:val="-3"/>
          <w:sz w:val="24"/>
          <w:szCs w:val="24"/>
        </w:rPr>
        <w:t>）工一阶段验收，</w:t>
      </w:r>
      <w:r>
        <w:rPr>
          <w:rFonts w:hint="eastAsia" w:ascii="宋体" w:hAnsi="宋体" w:eastAsia="宋体" w:cs="宋体"/>
          <w:sz w:val="24"/>
          <w:szCs w:val="24"/>
        </w:rPr>
        <w:t>或者项目总体交工验收、项目总体竣工验收两阶段验收。若采取项目总体交（竣）</w:t>
      </w:r>
      <w:r>
        <w:rPr>
          <w:rFonts w:hint="eastAsia" w:ascii="宋体" w:hAnsi="宋体" w:eastAsia="宋体" w:cs="宋体"/>
          <w:spacing w:val="5"/>
          <w:sz w:val="24"/>
          <w:szCs w:val="24"/>
        </w:rPr>
        <w:t>工一阶段验收的，则下列（1</w:t>
      </w:r>
      <w:r>
        <w:rPr>
          <w:rFonts w:hint="eastAsia" w:ascii="宋体" w:hAnsi="宋体" w:eastAsia="宋体" w:cs="宋体"/>
          <w:spacing w:val="-67"/>
          <w:w w:val="97"/>
          <w:sz w:val="24"/>
          <w:szCs w:val="24"/>
        </w:rPr>
        <w:t>）（</w:t>
      </w:r>
      <w:r>
        <w:rPr>
          <w:rFonts w:hint="eastAsia" w:ascii="宋体" w:hAnsi="宋体" w:eastAsia="宋体" w:cs="宋体"/>
          <w:spacing w:val="5"/>
          <w:sz w:val="24"/>
          <w:szCs w:val="24"/>
        </w:rPr>
        <w:t>2）在同一时间内合并执行。若采取</w:t>
      </w:r>
      <w:r>
        <w:rPr>
          <w:rFonts w:hint="eastAsia" w:ascii="宋体" w:hAnsi="宋体" w:eastAsia="宋体" w:cs="宋体"/>
          <w:spacing w:val="4"/>
          <w:sz w:val="24"/>
          <w:szCs w:val="24"/>
        </w:rPr>
        <w:t>项目总体交工</w:t>
      </w:r>
      <w:r>
        <w:rPr>
          <w:rFonts w:hint="eastAsia" w:ascii="宋体" w:hAnsi="宋体" w:eastAsia="宋体" w:cs="宋体"/>
          <w:spacing w:val="1"/>
          <w:sz w:val="24"/>
          <w:szCs w:val="24"/>
        </w:rPr>
        <w:t>验收、项目总体竣工验收两阶段验收的，则分别按照下列</w:t>
      </w:r>
      <w:r>
        <w:rPr>
          <w:rFonts w:hint="eastAsia" w:ascii="宋体" w:hAnsi="宋体" w:eastAsia="宋体" w:cs="宋体"/>
          <w:sz w:val="24"/>
          <w:szCs w:val="24"/>
        </w:rPr>
        <w:t>（1</w:t>
      </w:r>
      <w:r>
        <w:rPr>
          <w:rFonts w:hint="eastAsia" w:ascii="宋体" w:hAnsi="宋体" w:eastAsia="宋体" w:cs="宋体"/>
          <w:spacing w:val="-65"/>
          <w:w w:val="94"/>
          <w:sz w:val="24"/>
          <w:szCs w:val="24"/>
        </w:rPr>
        <w:t>）</w:t>
      </w: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pacing w:val="-65"/>
          <w:w w:val="94"/>
          <w:sz w:val="24"/>
          <w:szCs w:val="24"/>
        </w:rPr>
        <w:t>）（（</w:t>
      </w:r>
      <w:r>
        <w:rPr>
          <w:rFonts w:hint="eastAsia" w:ascii="宋体" w:hAnsi="宋体" w:eastAsia="宋体" w:cs="宋体"/>
          <w:sz w:val="24"/>
          <w:szCs w:val="24"/>
        </w:rPr>
        <w:t>执行。</w:t>
      </w:r>
    </w:p>
    <w:p w14:paraId="705CDE6E">
      <w:pPr>
        <w:spacing w:before="7" w:line="307" w:lineRule="auto"/>
        <w:ind w:left="7" w:right="145" w:firstLine="493"/>
        <w:rPr>
          <w:rFonts w:hint="eastAsia" w:ascii="宋体" w:hAnsi="宋体" w:eastAsia="宋体" w:cs="宋体"/>
          <w:sz w:val="24"/>
          <w:szCs w:val="24"/>
        </w:rPr>
      </w:pPr>
      <w:r>
        <w:rPr>
          <w:rFonts w:hint="eastAsia" w:ascii="宋体" w:hAnsi="宋体" w:eastAsia="宋体" w:cs="宋体"/>
          <w:spacing w:val="4"/>
          <w:sz w:val="24"/>
          <w:szCs w:val="24"/>
        </w:rPr>
        <w:t>（1）项目总体交工验收是指项目总体完成日期届满对项目整个执</w:t>
      </w:r>
      <w:r>
        <w:rPr>
          <w:rFonts w:hint="eastAsia" w:ascii="宋体" w:hAnsi="宋体" w:eastAsia="宋体" w:cs="宋体"/>
          <w:spacing w:val="3"/>
          <w:sz w:val="24"/>
          <w:szCs w:val="24"/>
        </w:rPr>
        <w:t>行期内的工</w:t>
      </w:r>
      <w:r>
        <w:rPr>
          <w:rFonts w:hint="eastAsia" w:ascii="宋体" w:hAnsi="宋体" w:eastAsia="宋体" w:cs="宋体"/>
          <w:spacing w:val="1"/>
          <w:sz w:val="24"/>
          <w:szCs w:val="24"/>
        </w:rPr>
        <w:t>作进行的验收，由验收单位按照合同要求进行验收，主要</w:t>
      </w:r>
      <w:r>
        <w:rPr>
          <w:rFonts w:hint="eastAsia" w:ascii="宋体" w:hAnsi="宋体" w:eastAsia="宋体" w:cs="宋体"/>
          <w:sz w:val="24"/>
          <w:szCs w:val="24"/>
        </w:rPr>
        <w:t>内容包括但不限于合同约</w:t>
      </w:r>
      <w:r>
        <w:rPr>
          <w:rFonts w:hint="eastAsia" w:ascii="宋体" w:hAnsi="宋体" w:eastAsia="宋体" w:cs="宋体"/>
          <w:spacing w:val="1"/>
          <w:sz w:val="24"/>
          <w:szCs w:val="24"/>
        </w:rPr>
        <w:t>定的各项内容完成情况、承包人在整个项目执行期内达到的绩</w:t>
      </w:r>
      <w:r>
        <w:rPr>
          <w:rFonts w:hint="eastAsia" w:ascii="宋体" w:hAnsi="宋体" w:eastAsia="宋体" w:cs="宋体"/>
          <w:sz w:val="24"/>
          <w:szCs w:val="24"/>
        </w:rPr>
        <w:t>效服务水平总评估、</w:t>
      </w:r>
      <w:r>
        <w:rPr>
          <w:rFonts w:hint="eastAsia" w:ascii="宋体" w:hAnsi="宋体" w:eastAsia="宋体" w:cs="宋体"/>
          <w:spacing w:val="1"/>
          <w:sz w:val="24"/>
          <w:szCs w:val="24"/>
        </w:rPr>
        <w:t>全部技术档案和养护管理资料整理归档情况、承包人对养护质</w:t>
      </w:r>
      <w:r>
        <w:rPr>
          <w:rFonts w:hint="eastAsia" w:ascii="宋体" w:hAnsi="宋体" w:eastAsia="宋体" w:cs="宋体"/>
          <w:sz w:val="24"/>
          <w:szCs w:val="24"/>
        </w:rPr>
        <w:t>量的自检情况、各年</w:t>
      </w:r>
      <w:r>
        <w:rPr>
          <w:rFonts w:hint="eastAsia" w:ascii="宋体" w:hAnsi="宋体" w:eastAsia="宋体" w:cs="宋体"/>
          <w:spacing w:val="1"/>
          <w:sz w:val="24"/>
          <w:szCs w:val="24"/>
        </w:rPr>
        <w:t>度养护工程实施情况、项目执行工作总结报告情况、咨询人（</w:t>
      </w:r>
      <w:r>
        <w:rPr>
          <w:rFonts w:hint="eastAsia" w:ascii="宋体" w:hAnsi="宋体" w:eastAsia="宋体" w:cs="宋体"/>
          <w:sz w:val="24"/>
          <w:szCs w:val="24"/>
        </w:rPr>
        <w:t>监理人）对项目完成</w:t>
      </w:r>
      <w:r>
        <w:rPr>
          <w:rFonts w:hint="eastAsia" w:ascii="宋体" w:hAnsi="宋体" w:eastAsia="宋体" w:cs="宋体"/>
          <w:spacing w:val="1"/>
          <w:sz w:val="24"/>
          <w:szCs w:val="24"/>
        </w:rPr>
        <w:t>情况（开展了监理咨询的）的评定情况、检测机构对工程质量</w:t>
      </w:r>
      <w:r>
        <w:rPr>
          <w:rFonts w:hint="eastAsia" w:ascii="宋体" w:hAnsi="宋体" w:eastAsia="宋体" w:cs="宋体"/>
          <w:sz w:val="24"/>
          <w:szCs w:val="24"/>
        </w:rPr>
        <w:t>鉴定情况（按规定需</w:t>
      </w:r>
      <w:r>
        <w:rPr>
          <w:rFonts w:hint="eastAsia" w:ascii="宋体" w:hAnsi="宋体" w:eastAsia="宋体" w:cs="宋体"/>
          <w:spacing w:val="-1"/>
          <w:sz w:val="24"/>
          <w:szCs w:val="24"/>
        </w:rPr>
        <w:t>进行专业检测的工作内容）等。</w:t>
      </w:r>
    </w:p>
    <w:p w14:paraId="11CA1C19">
      <w:pPr>
        <w:spacing w:before="1" w:line="219" w:lineRule="auto"/>
        <w:ind w:left="488"/>
        <w:rPr>
          <w:rFonts w:hint="eastAsia" w:ascii="宋体" w:hAnsi="宋体" w:eastAsia="宋体" w:cs="宋体"/>
          <w:color w:val="auto"/>
          <w:sz w:val="24"/>
          <w:szCs w:val="24"/>
        </w:rPr>
      </w:pPr>
      <w:r>
        <w:rPr>
          <w:rFonts w:hint="eastAsia" w:ascii="宋体" w:hAnsi="宋体" w:eastAsia="宋体" w:cs="宋体"/>
          <w:spacing w:val="-1"/>
          <w:sz w:val="24"/>
          <w:szCs w:val="24"/>
        </w:rPr>
        <w:t>验收单位：</w:t>
      </w:r>
      <w:r>
        <w:rPr>
          <w:rFonts w:hint="eastAsia" w:ascii="宋体" w:hAnsi="宋体" w:eastAsia="宋体" w:cs="宋体"/>
          <w:spacing w:val="-1"/>
          <w:sz w:val="24"/>
          <w:szCs w:val="24"/>
          <w:u w:val="single"/>
        </w:rPr>
        <w:t xml:space="preserve"> </w:t>
      </w:r>
      <w:r>
        <w:rPr>
          <w:rFonts w:hint="eastAsia" w:ascii="宋体" w:hAnsi="宋体" w:eastAsia="宋体" w:cs="宋体"/>
          <w:color w:val="auto"/>
          <w:spacing w:val="-1"/>
          <w:sz w:val="24"/>
          <w:szCs w:val="24"/>
          <w:u w:val="single"/>
        </w:rPr>
        <w:t xml:space="preserve">   发包人        </w:t>
      </w:r>
      <w:r>
        <w:rPr>
          <w:rFonts w:hint="eastAsia" w:ascii="宋体" w:hAnsi="宋体" w:eastAsia="宋体" w:cs="宋体"/>
          <w:color w:val="auto"/>
          <w:spacing w:val="-1"/>
          <w:sz w:val="24"/>
          <w:szCs w:val="24"/>
        </w:rPr>
        <w:t>。</w:t>
      </w:r>
    </w:p>
    <w:p w14:paraId="75BCDEBD">
      <w:pPr>
        <w:spacing w:before="113" w:line="219" w:lineRule="auto"/>
        <w:ind w:left="493"/>
        <w:rPr>
          <w:rFonts w:hint="eastAsia" w:ascii="宋体" w:hAnsi="宋体" w:eastAsia="宋体" w:cs="宋体"/>
          <w:color w:val="auto"/>
          <w:sz w:val="24"/>
          <w:szCs w:val="24"/>
        </w:rPr>
      </w:pPr>
      <w:r>
        <w:rPr>
          <w:rFonts w:hint="eastAsia" w:ascii="宋体" w:hAnsi="宋体" w:eastAsia="宋体" w:cs="宋体"/>
          <w:color w:val="auto"/>
          <w:spacing w:val="-1"/>
          <w:sz w:val="24"/>
          <w:szCs w:val="24"/>
        </w:rPr>
        <w:t>项目总体交工验收方式：</w:t>
      </w:r>
      <w:r>
        <w:rPr>
          <w:rFonts w:hint="eastAsia" w:ascii="宋体" w:hAnsi="宋体" w:eastAsia="宋体" w:cs="宋体"/>
          <w:color w:val="auto"/>
          <w:spacing w:val="-1"/>
          <w:sz w:val="24"/>
          <w:szCs w:val="24"/>
          <w:u w:val="single"/>
        </w:rPr>
        <w:t xml:space="preserve">      年度考核       </w:t>
      </w:r>
      <w:r>
        <w:rPr>
          <w:rFonts w:hint="eastAsia" w:ascii="宋体" w:hAnsi="宋体" w:eastAsia="宋体" w:cs="宋体"/>
          <w:color w:val="auto"/>
          <w:spacing w:val="-1"/>
          <w:sz w:val="24"/>
          <w:szCs w:val="24"/>
        </w:rPr>
        <w:t>。</w:t>
      </w:r>
    </w:p>
    <w:p w14:paraId="7F1C0599">
      <w:pPr>
        <w:spacing w:before="117" w:line="219" w:lineRule="auto"/>
        <w:ind w:left="493"/>
        <w:rPr>
          <w:rFonts w:hint="eastAsia" w:ascii="宋体" w:hAnsi="宋体" w:eastAsia="宋体" w:cs="宋体"/>
          <w:color w:val="auto"/>
          <w:sz w:val="24"/>
          <w:szCs w:val="24"/>
        </w:rPr>
      </w:pPr>
      <w:bookmarkStart w:id="208" w:name="bookmark285"/>
      <w:bookmarkEnd w:id="208"/>
      <w:r>
        <w:rPr>
          <w:rFonts w:hint="eastAsia" w:ascii="宋体" w:hAnsi="宋体" w:eastAsia="宋体" w:cs="宋体"/>
          <w:color w:val="auto"/>
          <w:spacing w:val="-1"/>
          <w:sz w:val="24"/>
          <w:szCs w:val="24"/>
        </w:rPr>
        <w:t>项目总体交工验收时间：</w:t>
      </w:r>
      <w:r>
        <w:rPr>
          <w:rFonts w:hint="eastAsia" w:ascii="宋体" w:hAnsi="宋体" w:eastAsia="宋体" w:cs="宋体"/>
          <w:color w:val="auto"/>
          <w:spacing w:val="-1"/>
          <w:sz w:val="24"/>
          <w:szCs w:val="24"/>
          <w:u w:val="single"/>
        </w:rPr>
        <w:t xml:space="preserve">      年度末和合同期满      </w:t>
      </w:r>
      <w:r>
        <w:rPr>
          <w:rFonts w:hint="eastAsia" w:ascii="宋体" w:hAnsi="宋体" w:eastAsia="宋体" w:cs="宋体"/>
          <w:color w:val="auto"/>
          <w:spacing w:val="-1"/>
          <w:sz w:val="24"/>
          <w:szCs w:val="24"/>
        </w:rPr>
        <w:t>。</w:t>
      </w:r>
    </w:p>
    <w:p w14:paraId="7274BEBD">
      <w:pPr>
        <w:spacing w:before="78" w:line="308" w:lineRule="auto"/>
        <w:ind w:firstLine="492"/>
        <w:rPr>
          <w:rFonts w:hint="eastAsia" w:ascii="宋体" w:hAnsi="宋体" w:eastAsia="宋体" w:cs="宋体"/>
          <w:color w:val="auto"/>
          <w:spacing w:val="5"/>
          <w:sz w:val="24"/>
          <w:szCs w:val="24"/>
        </w:rPr>
      </w:pPr>
      <w:r>
        <w:rPr>
          <w:rFonts w:hint="eastAsia" w:ascii="宋体" w:hAnsi="宋体" w:eastAsia="宋体" w:cs="宋体"/>
          <w:color w:val="auto"/>
          <w:spacing w:val="13"/>
          <w:sz w:val="24"/>
          <w:szCs w:val="24"/>
        </w:rPr>
        <w:t>① 养护工程验收按照《交通运输部关于印发〈公路养护工程管理</w:t>
      </w:r>
      <w:r>
        <w:rPr>
          <w:rFonts w:hint="eastAsia" w:ascii="宋体" w:hAnsi="宋体" w:eastAsia="宋体" w:cs="宋体"/>
          <w:color w:val="auto"/>
          <w:spacing w:val="12"/>
          <w:sz w:val="24"/>
          <w:szCs w:val="24"/>
        </w:rPr>
        <w:t>办法〉</w:t>
      </w:r>
      <w:r>
        <w:rPr>
          <w:rFonts w:hint="eastAsia" w:ascii="宋体" w:hAnsi="宋体" w:eastAsia="宋体" w:cs="宋体"/>
          <w:color w:val="auto"/>
          <w:spacing w:val="-47"/>
          <w:sz w:val="24"/>
          <w:szCs w:val="24"/>
        </w:rPr>
        <w:t xml:space="preserve"> </w:t>
      </w:r>
      <w:r>
        <w:rPr>
          <w:rFonts w:hint="eastAsia" w:ascii="宋体" w:hAnsi="宋体" w:eastAsia="宋体" w:cs="宋体"/>
          <w:color w:val="auto"/>
          <w:spacing w:val="12"/>
          <w:sz w:val="24"/>
          <w:szCs w:val="24"/>
        </w:rPr>
        <w:t>的通知》（交公路发</w:t>
      </w:r>
      <w:r>
        <w:rPr>
          <w:rFonts w:hint="eastAsia" w:ascii="宋体" w:hAnsi="宋体" w:eastAsia="宋体" w:cs="宋体"/>
          <w:color w:val="auto"/>
          <w:spacing w:val="5"/>
          <w:sz w:val="24"/>
          <w:szCs w:val="24"/>
        </w:rPr>
        <w:t>〔2018〕33</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5"/>
          <w:sz w:val="24"/>
          <w:szCs w:val="24"/>
        </w:rPr>
        <w:t>号）的相关规定执行。</w:t>
      </w:r>
    </w:p>
    <w:p w14:paraId="54A7F176">
      <w:pPr>
        <w:spacing w:before="78" w:line="308" w:lineRule="auto"/>
        <w:ind w:firstLine="492"/>
        <w:rPr>
          <w:rFonts w:hint="eastAsia" w:ascii="宋体" w:hAnsi="宋体" w:eastAsia="宋体" w:cs="宋体"/>
          <w:color w:val="auto"/>
          <w:sz w:val="24"/>
          <w:szCs w:val="24"/>
        </w:rPr>
      </w:pPr>
      <w:r>
        <w:rPr>
          <w:rFonts w:hint="eastAsia" w:ascii="宋体" w:hAnsi="宋体" w:eastAsia="宋体" w:cs="宋体"/>
          <w:color w:val="auto"/>
          <w:sz w:val="24"/>
          <w:szCs w:val="24"/>
        </w:rPr>
        <w:t>（2） 项目总体竣工验收是指在整个项目执行期及缺陷责任期满后组织进行的</w:t>
      </w:r>
      <w:r>
        <w:rPr>
          <w:rFonts w:hint="eastAsia" w:ascii="宋体" w:hAnsi="宋体" w:eastAsia="宋体" w:cs="宋体"/>
          <w:color w:val="auto"/>
          <w:spacing w:val="1"/>
          <w:sz w:val="24"/>
          <w:szCs w:val="24"/>
        </w:rPr>
        <w:t>验收，由验收单位按照合同要求进行验收，主要内容包</w:t>
      </w:r>
      <w:r>
        <w:rPr>
          <w:rFonts w:hint="eastAsia" w:ascii="宋体" w:hAnsi="宋体" w:eastAsia="宋体" w:cs="宋体"/>
          <w:color w:val="auto"/>
          <w:sz w:val="24"/>
          <w:szCs w:val="24"/>
        </w:rPr>
        <w:t>括但不限于承包人在整个项</w:t>
      </w:r>
      <w:r>
        <w:rPr>
          <w:rFonts w:hint="eastAsia" w:ascii="宋体" w:hAnsi="宋体" w:eastAsia="宋体" w:cs="宋体"/>
          <w:color w:val="auto"/>
          <w:spacing w:val="1"/>
          <w:sz w:val="24"/>
          <w:szCs w:val="24"/>
        </w:rPr>
        <w:t>目执行期内达到的绩效服务水平后评估、养护工程验收</w:t>
      </w:r>
      <w:r>
        <w:rPr>
          <w:rFonts w:hint="eastAsia" w:ascii="宋体" w:hAnsi="宋体" w:eastAsia="宋体" w:cs="宋体"/>
          <w:color w:val="auto"/>
          <w:sz w:val="24"/>
          <w:szCs w:val="24"/>
        </w:rPr>
        <w:t>及效果后评估情况、参建各</w:t>
      </w:r>
      <w:r>
        <w:rPr>
          <w:rFonts w:hint="eastAsia" w:ascii="宋体" w:hAnsi="宋体" w:eastAsia="宋体" w:cs="宋体"/>
          <w:color w:val="auto"/>
          <w:spacing w:val="1"/>
          <w:sz w:val="24"/>
          <w:szCs w:val="24"/>
        </w:rPr>
        <w:t>方项目执行评价、缺陷责任期整改情况、存在的遗留问题、</w:t>
      </w:r>
      <w:r>
        <w:rPr>
          <w:rFonts w:hint="eastAsia" w:ascii="宋体" w:hAnsi="宋体" w:eastAsia="宋体" w:cs="宋体"/>
          <w:color w:val="auto"/>
          <w:sz w:val="24"/>
          <w:szCs w:val="24"/>
        </w:rPr>
        <w:t>实施经验总结、养护设</w:t>
      </w:r>
      <w:r>
        <w:rPr>
          <w:rFonts w:hint="eastAsia" w:ascii="宋体" w:hAnsi="宋体" w:eastAsia="宋体" w:cs="宋体"/>
          <w:color w:val="auto"/>
          <w:spacing w:val="3"/>
          <w:sz w:val="24"/>
          <w:szCs w:val="24"/>
        </w:rPr>
        <w:t>计的合理性、年度计划编制的准确性、财务决算情况等。项目完结验收得分</w:t>
      </w:r>
      <w:r>
        <w:rPr>
          <w:rFonts w:hint="eastAsia" w:ascii="宋体" w:hAnsi="宋体" w:eastAsia="宋体" w:cs="宋体"/>
          <w:color w:val="auto"/>
          <w:spacing w:val="-103"/>
          <w:sz w:val="24"/>
          <w:szCs w:val="24"/>
        </w:rPr>
        <w:t xml:space="preserve"> </w:t>
      </w:r>
      <w:r>
        <w:rPr>
          <w:rFonts w:hint="eastAsia" w:ascii="宋体" w:hAnsi="宋体" w:eastAsia="宋体" w:cs="宋体"/>
          <w:color w:val="auto"/>
          <w:spacing w:val="5"/>
          <w:sz w:val="24"/>
          <w:szCs w:val="24"/>
          <w:u w:val="single"/>
        </w:rPr>
        <w:t xml:space="preserve"> 95 </w:t>
      </w:r>
      <w:r>
        <w:rPr>
          <w:rFonts w:hint="eastAsia" w:ascii="宋体" w:hAnsi="宋体" w:eastAsia="宋体" w:cs="宋体"/>
          <w:color w:val="auto"/>
          <w:spacing w:val="-108"/>
          <w:sz w:val="24"/>
          <w:szCs w:val="24"/>
        </w:rPr>
        <w:t xml:space="preserve"> </w:t>
      </w:r>
      <w:r>
        <w:rPr>
          <w:rFonts w:hint="eastAsia" w:ascii="宋体" w:hAnsi="宋体" w:eastAsia="宋体" w:cs="宋体"/>
          <w:color w:val="auto"/>
          <w:spacing w:val="3"/>
          <w:sz w:val="24"/>
          <w:szCs w:val="24"/>
        </w:rPr>
        <w:t>分</w:t>
      </w:r>
      <w:r>
        <w:rPr>
          <w:rFonts w:hint="eastAsia" w:ascii="宋体" w:hAnsi="宋体" w:eastAsia="宋体" w:cs="宋体"/>
          <w:color w:val="auto"/>
          <w:spacing w:val="2"/>
          <w:sz w:val="24"/>
          <w:szCs w:val="24"/>
        </w:rPr>
        <w:t>（含）以上为优秀，</w:t>
      </w:r>
      <w:r>
        <w:rPr>
          <w:rFonts w:hint="eastAsia" w:ascii="宋体" w:hAnsi="宋体" w:eastAsia="宋体" w:cs="宋体"/>
          <w:color w:val="auto"/>
          <w:spacing w:val="2"/>
          <w:sz w:val="24"/>
          <w:szCs w:val="24"/>
          <w:u w:val="single"/>
        </w:rPr>
        <w:t xml:space="preserve"> 95  </w:t>
      </w:r>
      <w:r>
        <w:rPr>
          <w:rFonts w:hint="eastAsia" w:ascii="宋体" w:hAnsi="宋体" w:eastAsia="宋体" w:cs="宋体"/>
          <w:color w:val="auto"/>
          <w:spacing w:val="-103"/>
          <w:sz w:val="24"/>
          <w:szCs w:val="24"/>
        </w:rPr>
        <w:t xml:space="preserve"> </w:t>
      </w:r>
      <w:r>
        <w:rPr>
          <w:rFonts w:hint="eastAsia" w:ascii="宋体" w:hAnsi="宋体" w:eastAsia="宋体" w:cs="宋体"/>
          <w:color w:val="auto"/>
          <w:spacing w:val="2"/>
          <w:sz w:val="24"/>
          <w:szCs w:val="24"/>
        </w:rPr>
        <w:t>分（不含）以下</w:t>
      </w:r>
      <w:r>
        <w:rPr>
          <w:rFonts w:hint="eastAsia" w:ascii="宋体" w:hAnsi="宋体" w:eastAsia="宋体" w:cs="宋体"/>
          <w:color w:val="auto"/>
          <w:spacing w:val="-118"/>
          <w:sz w:val="24"/>
          <w:szCs w:val="24"/>
        </w:rPr>
        <w:t xml:space="preserve"> </w:t>
      </w:r>
      <w:r>
        <w:rPr>
          <w:rFonts w:hint="eastAsia" w:ascii="宋体" w:hAnsi="宋体" w:eastAsia="宋体" w:cs="宋体"/>
          <w:color w:val="auto"/>
          <w:spacing w:val="4"/>
          <w:sz w:val="24"/>
          <w:szCs w:val="24"/>
          <w:u w:val="single"/>
        </w:rPr>
        <w:t xml:space="preserve">  80 </w:t>
      </w:r>
      <w:r>
        <w:rPr>
          <w:rFonts w:hint="eastAsia" w:ascii="宋体" w:hAnsi="宋体" w:eastAsia="宋体" w:cs="宋体"/>
          <w:color w:val="auto"/>
          <w:spacing w:val="-107"/>
          <w:sz w:val="24"/>
          <w:szCs w:val="24"/>
        </w:rPr>
        <w:t xml:space="preserve"> </w:t>
      </w:r>
      <w:r>
        <w:rPr>
          <w:rFonts w:hint="eastAsia" w:ascii="宋体" w:hAnsi="宋体" w:eastAsia="宋体" w:cs="宋体"/>
          <w:color w:val="auto"/>
          <w:spacing w:val="2"/>
          <w:sz w:val="24"/>
          <w:szCs w:val="24"/>
        </w:rPr>
        <w:t>分（含）以上为合格，</w:t>
      </w:r>
      <w:r>
        <w:rPr>
          <w:rFonts w:hint="eastAsia" w:ascii="宋体" w:hAnsi="宋体" w:eastAsia="宋体" w:cs="宋体"/>
          <w:color w:val="auto"/>
          <w:spacing w:val="2"/>
          <w:sz w:val="24"/>
          <w:szCs w:val="24"/>
          <w:u w:val="single"/>
        </w:rPr>
        <w:t xml:space="preserve">  80 </w:t>
      </w:r>
      <w:r>
        <w:rPr>
          <w:rFonts w:hint="eastAsia" w:ascii="宋体" w:hAnsi="宋体" w:eastAsia="宋体" w:cs="宋体"/>
          <w:color w:val="auto"/>
          <w:spacing w:val="-108"/>
          <w:sz w:val="24"/>
          <w:szCs w:val="24"/>
        </w:rPr>
        <w:t xml:space="preserve"> </w:t>
      </w:r>
      <w:r>
        <w:rPr>
          <w:rFonts w:hint="eastAsia" w:ascii="宋体" w:hAnsi="宋体" w:eastAsia="宋体" w:cs="宋体"/>
          <w:color w:val="auto"/>
          <w:spacing w:val="2"/>
          <w:sz w:val="24"/>
          <w:szCs w:val="24"/>
        </w:rPr>
        <w:t>分（不含）</w:t>
      </w:r>
      <w:r>
        <w:rPr>
          <w:rFonts w:hint="eastAsia" w:ascii="宋体" w:hAnsi="宋体" w:eastAsia="宋体" w:cs="宋体"/>
          <w:color w:val="auto"/>
          <w:spacing w:val="-2"/>
          <w:sz w:val="24"/>
          <w:szCs w:val="24"/>
        </w:rPr>
        <w:t>以下为不合格。</w:t>
      </w:r>
    </w:p>
    <w:p w14:paraId="432791BA">
      <w:pPr>
        <w:spacing w:line="219" w:lineRule="auto"/>
        <w:ind w:left="480"/>
        <w:rPr>
          <w:rFonts w:hint="eastAsia" w:ascii="宋体" w:hAnsi="宋体" w:eastAsia="宋体" w:cs="宋体"/>
          <w:color w:val="auto"/>
          <w:sz w:val="24"/>
          <w:szCs w:val="24"/>
        </w:rPr>
      </w:pPr>
      <w:r>
        <w:rPr>
          <w:rFonts w:hint="eastAsia" w:ascii="宋体" w:hAnsi="宋体" w:eastAsia="宋体" w:cs="宋体"/>
          <w:color w:val="auto"/>
          <w:spacing w:val="-1"/>
          <w:sz w:val="24"/>
          <w:szCs w:val="24"/>
        </w:rPr>
        <w:t>验收单位：</w:t>
      </w:r>
      <w:r>
        <w:rPr>
          <w:rFonts w:hint="eastAsia" w:ascii="宋体" w:hAnsi="宋体" w:eastAsia="宋体" w:cs="宋体"/>
          <w:color w:val="auto"/>
          <w:spacing w:val="-1"/>
          <w:sz w:val="24"/>
          <w:szCs w:val="24"/>
          <w:u w:val="single"/>
        </w:rPr>
        <w:t xml:space="preserve">     发包人       </w:t>
      </w:r>
      <w:r>
        <w:rPr>
          <w:rFonts w:hint="eastAsia" w:ascii="宋体" w:hAnsi="宋体" w:eastAsia="宋体" w:cs="宋体"/>
          <w:color w:val="auto"/>
          <w:spacing w:val="-1"/>
          <w:sz w:val="24"/>
          <w:szCs w:val="24"/>
        </w:rPr>
        <w:t>。</w:t>
      </w:r>
    </w:p>
    <w:p w14:paraId="462D9553">
      <w:pPr>
        <w:spacing w:before="113" w:line="219" w:lineRule="auto"/>
        <w:ind w:left="484"/>
        <w:rPr>
          <w:rFonts w:hint="eastAsia" w:ascii="宋体" w:hAnsi="宋体" w:eastAsia="宋体" w:cs="宋体"/>
          <w:color w:val="auto"/>
          <w:sz w:val="24"/>
          <w:szCs w:val="24"/>
        </w:rPr>
      </w:pPr>
      <w:r>
        <w:rPr>
          <w:rFonts w:hint="eastAsia" w:ascii="宋体" w:hAnsi="宋体" w:eastAsia="宋体" w:cs="宋体"/>
          <w:color w:val="auto"/>
          <w:spacing w:val="-1"/>
          <w:sz w:val="24"/>
          <w:szCs w:val="24"/>
        </w:rPr>
        <w:t>项目总体竣工验收方式：</w:t>
      </w:r>
      <w:r>
        <w:rPr>
          <w:rFonts w:hint="eastAsia" w:ascii="宋体" w:hAnsi="宋体" w:eastAsia="宋体" w:cs="宋体"/>
          <w:color w:val="auto"/>
          <w:spacing w:val="-1"/>
          <w:sz w:val="24"/>
          <w:szCs w:val="24"/>
          <w:u w:val="single"/>
        </w:rPr>
        <w:t xml:space="preserve">     年度考核       </w:t>
      </w:r>
      <w:r>
        <w:rPr>
          <w:rFonts w:hint="eastAsia" w:ascii="宋体" w:hAnsi="宋体" w:eastAsia="宋体" w:cs="宋体"/>
          <w:color w:val="auto"/>
          <w:spacing w:val="-1"/>
          <w:sz w:val="24"/>
          <w:szCs w:val="24"/>
        </w:rPr>
        <w:t>。</w:t>
      </w:r>
    </w:p>
    <w:p w14:paraId="26F7076A">
      <w:pPr>
        <w:spacing w:before="116" w:line="219" w:lineRule="auto"/>
        <w:ind w:left="484"/>
        <w:rPr>
          <w:rFonts w:hint="eastAsia" w:ascii="宋体" w:hAnsi="宋体" w:eastAsia="宋体" w:cs="宋体"/>
          <w:color w:val="auto"/>
          <w:sz w:val="24"/>
          <w:szCs w:val="24"/>
        </w:rPr>
      </w:pPr>
      <w:r>
        <w:rPr>
          <w:rFonts w:hint="eastAsia" w:ascii="宋体" w:hAnsi="宋体" w:eastAsia="宋体" w:cs="宋体"/>
          <w:color w:val="auto"/>
          <w:spacing w:val="-1"/>
          <w:sz w:val="24"/>
          <w:szCs w:val="24"/>
        </w:rPr>
        <w:t>项目总体竣工验收时间：</w:t>
      </w:r>
      <w:r>
        <w:rPr>
          <w:rFonts w:hint="eastAsia" w:ascii="宋体" w:hAnsi="宋体" w:eastAsia="宋体" w:cs="宋体"/>
          <w:color w:val="auto"/>
          <w:spacing w:val="-1"/>
          <w:sz w:val="24"/>
          <w:szCs w:val="24"/>
          <w:u w:val="single"/>
        </w:rPr>
        <w:t xml:space="preserve">     年度末和合同期满       </w:t>
      </w:r>
      <w:r>
        <w:rPr>
          <w:rFonts w:hint="eastAsia" w:ascii="宋体" w:hAnsi="宋体" w:eastAsia="宋体" w:cs="宋体"/>
          <w:color w:val="auto"/>
          <w:spacing w:val="-1"/>
          <w:sz w:val="24"/>
          <w:szCs w:val="24"/>
        </w:rPr>
        <w:t>。</w:t>
      </w:r>
    </w:p>
    <w:p w14:paraId="162716B3">
      <w:pPr>
        <w:spacing w:before="78" w:line="219" w:lineRule="auto"/>
        <w:ind w:left="480"/>
        <w:rPr>
          <w:rFonts w:hint="eastAsia" w:ascii="宋体" w:hAnsi="宋体" w:eastAsia="宋体" w:cs="宋体"/>
          <w:color w:val="auto"/>
          <w:sz w:val="24"/>
          <w:szCs w:val="24"/>
        </w:rPr>
      </w:pPr>
      <w:r>
        <w:rPr>
          <w:rFonts w:hint="eastAsia" w:ascii="宋体" w:hAnsi="宋体" w:eastAsia="宋体" w:cs="宋体"/>
          <w:color w:val="auto"/>
          <w:spacing w:val="-4"/>
          <w:sz w:val="24"/>
          <w:szCs w:val="24"/>
        </w:rPr>
        <w:t>第</w:t>
      </w:r>
      <w:r>
        <w:rPr>
          <w:rFonts w:hint="eastAsia" w:ascii="宋体" w:hAnsi="宋体" w:eastAsia="宋体" w:cs="宋体"/>
          <w:color w:val="auto"/>
          <w:spacing w:val="-27"/>
          <w:sz w:val="24"/>
          <w:szCs w:val="24"/>
        </w:rPr>
        <w:t xml:space="preserve"> </w:t>
      </w:r>
      <w:r>
        <w:rPr>
          <w:rFonts w:hint="eastAsia" w:ascii="宋体" w:hAnsi="宋体" w:eastAsia="宋体" w:cs="宋体"/>
          <w:color w:val="auto"/>
          <w:spacing w:val="-4"/>
          <w:sz w:val="24"/>
          <w:szCs w:val="24"/>
        </w:rPr>
        <w:t>18.2 款修改为：</w:t>
      </w:r>
    </w:p>
    <w:p w14:paraId="174DCCD7">
      <w:pPr>
        <w:spacing w:before="107" w:line="219" w:lineRule="auto"/>
        <w:ind w:left="487"/>
        <w:outlineLvl w:val="4"/>
        <w:rPr>
          <w:rFonts w:hint="eastAsia" w:ascii="宋体" w:hAnsi="宋体" w:eastAsia="宋体" w:cs="宋体"/>
          <w:sz w:val="24"/>
          <w:szCs w:val="24"/>
        </w:rPr>
      </w:pPr>
      <w:r>
        <w:rPr>
          <w:rFonts w:hint="eastAsia" w:ascii="宋体" w:hAnsi="宋体" w:eastAsia="宋体" w:cs="宋体"/>
          <w:b/>
          <w:bCs/>
          <w:spacing w:val="-3"/>
          <w:sz w:val="24"/>
          <w:szCs w:val="24"/>
        </w:rPr>
        <w:t>18.2  验收条件</w:t>
      </w:r>
    </w:p>
    <w:p w14:paraId="3AD5FDFB">
      <w:pPr>
        <w:spacing w:before="126" w:line="219" w:lineRule="auto"/>
        <w:ind w:left="485"/>
        <w:rPr>
          <w:rFonts w:hint="eastAsia" w:ascii="宋体" w:hAnsi="宋体" w:eastAsia="宋体" w:cs="宋体"/>
          <w:sz w:val="24"/>
          <w:szCs w:val="24"/>
        </w:rPr>
      </w:pPr>
      <w:r>
        <w:rPr>
          <w:rFonts w:hint="eastAsia" w:ascii="宋体" w:hAnsi="宋体" w:eastAsia="宋体" w:cs="宋体"/>
          <w:spacing w:val="-1"/>
          <w:sz w:val="24"/>
          <w:szCs w:val="24"/>
        </w:rPr>
        <w:t>具备以下条件时，应当及时组织养护工程验收、项目总体验收：</w:t>
      </w:r>
    </w:p>
    <w:p w14:paraId="29AEDFB8">
      <w:pPr>
        <w:spacing w:before="112" w:line="219" w:lineRule="auto"/>
        <w:ind w:left="492"/>
        <w:rPr>
          <w:rFonts w:hint="eastAsia" w:ascii="宋体" w:hAnsi="宋体" w:eastAsia="宋体" w:cs="宋体"/>
          <w:sz w:val="24"/>
          <w:szCs w:val="24"/>
        </w:rPr>
      </w:pPr>
      <w:r>
        <w:rPr>
          <w:rFonts w:hint="eastAsia" w:ascii="宋体" w:hAnsi="宋体" w:eastAsia="宋体" w:cs="宋体"/>
          <w:spacing w:val="-1"/>
          <w:sz w:val="24"/>
          <w:szCs w:val="24"/>
        </w:rPr>
        <w:t>（1）完成本阶段设计文件和合同约定的各项内容；</w:t>
      </w:r>
    </w:p>
    <w:p w14:paraId="4F866704">
      <w:pPr>
        <w:spacing w:before="117" w:line="219" w:lineRule="auto"/>
        <w:ind w:left="492"/>
        <w:rPr>
          <w:rFonts w:hint="eastAsia" w:ascii="宋体" w:hAnsi="宋体" w:eastAsia="宋体" w:cs="宋体"/>
          <w:sz w:val="24"/>
          <w:szCs w:val="24"/>
        </w:rPr>
      </w:pPr>
      <w:r>
        <w:rPr>
          <w:rFonts w:hint="eastAsia" w:ascii="宋体" w:hAnsi="宋体" w:eastAsia="宋体" w:cs="宋体"/>
          <w:spacing w:val="-1"/>
          <w:sz w:val="24"/>
          <w:szCs w:val="24"/>
        </w:rPr>
        <w:t>（2）完成本阶段全部技术档案和养护管理资料整理归档；</w:t>
      </w:r>
    </w:p>
    <w:p w14:paraId="08652A13">
      <w:pPr>
        <w:spacing w:before="117" w:line="219" w:lineRule="auto"/>
        <w:ind w:left="492"/>
        <w:rPr>
          <w:rFonts w:hint="eastAsia" w:ascii="宋体" w:hAnsi="宋体" w:eastAsia="宋体" w:cs="宋体"/>
          <w:sz w:val="24"/>
          <w:szCs w:val="24"/>
        </w:rPr>
      </w:pPr>
      <w:r>
        <w:rPr>
          <w:rFonts w:hint="eastAsia" w:ascii="宋体" w:hAnsi="宋体" w:eastAsia="宋体" w:cs="宋体"/>
          <w:spacing w:val="-1"/>
          <w:sz w:val="24"/>
          <w:szCs w:val="24"/>
        </w:rPr>
        <w:t>（3）承包人按相关标准、规范和规定对养护质量自检合格；</w:t>
      </w:r>
    </w:p>
    <w:p w14:paraId="57D7D347">
      <w:pPr>
        <w:spacing w:before="113" w:line="219" w:lineRule="auto"/>
        <w:ind w:left="492"/>
        <w:rPr>
          <w:rFonts w:hint="eastAsia" w:ascii="宋体" w:hAnsi="宋体" w:eastAsia="宋体" w:cs="宋体"/>
          <w:sz w:val="24"/>
          <w:szCs w:val="24"/>
        </w:rPr>
      </w:pPr>
      <w:r>
        <w:rPr>
          <w:rFonts w:hint="eastAsia" w:ascii="宋体" w:hAnsi="宋体" w:eastAsia="宋体" w:cs="宋体"/>
          <w:spacing w:val="-2"/>
          <w:sz w:val="24"/>
          <w:szCs w:val="24"/>
        </w:rPr>
        <w:t>（4）养护质量缺陷问题已整改完毕；</w:t>
      </w:r>
    </w:p>
    <w:p w14:paraId="7E013F04">
      <w:pPr>
        <w:spacing w:before="116" w:line="218" w:lineRule="auto"/>
        <w:ind w:left="492"/>
        <w:rPr>
          <w:rFonts w:hint="eastAsia" w:ascii="宋体" w:hAnsi="宋体" w:eastAsia="宋体" w:cs="宋体"/>
          <w:sz w:val="24"/>
          <w:szCs w:val="24"/>
        </w:rPr>
      </w:pPr>
      <w:r>
        <w:rPr>
          <w:rFonts w:hint="eastAsia" w:ascii="宋体" w:hAnsi="宋体" w:eastAsia="宋体" w:cs="宋体"/>
          <w:spacing w:val="-2"/>
          <w:sz w:val="24"/>
          <w:szCs w:val="24"/>
        </w:rPr>
        <w:t>（5）参建各方完成本阶段工作总结报告；</w:t>
      </w:r>
    </w:p>
    <w:p w14:paraId="7844DE79">
      <w:pPr>
        <w:spacing w:before="118" w:line="219" w:lineRule="auto"/>
        <w:ind w:left="492"/>
        <w:rPr>
          <w:rFonts w:hint="eastAsia" w:ascii="宋体" w:hAnsi="宋体" w:eastAsia="宋体" w:cs="宋体"/>
          <w:sz w:val="24"/>
          <w:szCs w:val="24"/>
        </w:rPr>
      </w:pPr>
      <w:r>
        <w:rPr>
          <w:rFonts w:hint="eastAsia" w:ascii="宋体" w:hAnsi="宋体" w:eastAsia="宋体" w:cs="宋体"/>
          <w:spacing w:val="-1"/>
          <w:sz w:val="24"/>
          <w:szCs w:val="24"/>
        </w:rPr>
        <w:t>（6）开展了监理咨询的，咨询人（监理人）对工程质量评定为合格；</w:t>
      </w:r>
    </w:p>
    <w:p w14:paraId="67507543">
      <w:pPr>
        <w:spacing w:before="113" w:line="263" w:lineRule="auto"/>
        <w:ind w:left="6" w:firstLine="485"/>
        <w:rPr>
          <w:rFonts w:hint="eastAsia" w:ascii="宋体" w:hAnsi="宋体" w:eastAsia="宋体" w:cs="宋体"/>
          <w:sz w:val="24"/>
          <w:szCs w:val="24"/>
        </w:rPr>
      </w:pPr>
      <w:r>
        <w:rPr>
          <w:rFonts w:hint="eastAsia" w:ascii="宋体" w:hAnsi="宋体" w:eastAsia="宋体" w:cs="宋体"/>
          <w:spacing w:val="4"/>
          <w:sz w:val="24"/>
          <w:szCs w:val="24"/>
        </w:rPr>
        <w:t>（7）按规定需进行专业检测的，检测机构对工程质量鉴定完毕并出具检</w:t>
      </w:r>
      <w:r>
        <w:rPr>
          <w:rFonts w:hint="eastAsia" w:ascii="宋体" w:hAnsi="宋体" w:eastAsia="宋体" w:cs="宋体"/>
          <w:spacing w:val="3"/>
          <w:sz w:val="24"/>
          <w:szCs w:val="24"/>
        </w:rPr>
        <w:t>测报</w:t>
      </w:r>
      <w:r>
        <w:rPr>
          <w:rFonts w:hint="eastAsia" w:ascii="宋体" w:hAnsi="宋体" w:eastAsia="宋体" w:cs="宋体"/>
          <w:spacing w:val="-8"/>
          <w:sz w:val="24"/>
          <w:szCs w:val="24"/>
        </w:rPr>
        <w:t>告；</w:t>
      </w:r>
    </w:p>
    <w:p w14:paraId="30543F29">
      <w:pPr>
        <w:spacing w:before="117" w:line="219" w:lineRule="auto"/>
        <w:ind w:left="492"/>
        <w:rPr>
          <w:rFonts w:hint="eastAsia" w:ascii="宋体" w:hAnsi="宋体" w:eastAsia="宋体" w:cs="宋体"/>
          <w:sz w:val="24"/>
          <w:szCs w:val="24"/>
        </w:rPr>
      </w:pPr>
      <w:r>
        <w:rPr>
          <w:rFonts w:hint="eastAsia" w:ascii="宋体" w:hAnsi="宋体" w:eastAsia="宋体" w:cs="宋体"/>
          <w:spacing w:val="-2"/>
          <w:sz w:val="24"/>
          <w:szCs w:val="24"/>
        </w:rPr>
        <w:t>（8）完成本阶段规定的财务决算工作；</w:t>
      </w:r>
    </w:p>
    <w:p w14:paraId="44AC6F1A">
      <w:pPr>
        <w:spacing w:before="114" w:line="219" w:lineRule="auto"/>
        <w:ind w:left="492"/>
        <w:rPr>
          <w:rFonts w:hint="eastAsia" w:ascii="宋体" w:hAnsi="宋体" w:eastAsia="宋体" w:cs="宋体"/>
          <w:sz w:val="24"/>
          <w:szCs w:val="24"/>
        </w:rPr>
      </w:pPr>
      <w:r>
        <w:rPr>
          <w:rFonts w:hint="eastAsia" w:ascii="宋体" w:hAnsi="宋体" w:eastAsia="宋体" w:cs="宋体"/>
          <w:spacing w:val="-2"/>
          <w:sz w:val="24"/>
          <w:szCs w:val="24"/>
        </w:rPr>
        <w:t>（9）法律、法规、规章规定的其他条件。</w:t>
      </w:r>
    </w:p>
    <w:p w14:paraId="450FCFD1">
      <w:pPr>
        <w:spacing w:before="79" w:line="219" w:lineRule="auto"/>
        <w:ind w:left="487"/>
        <w:outlineLvl w:val="4"/>
        <w:rPr>
          <w:rFonts w:hint="eastAsia" w:ascii="宋体" w:hAnsi="宋体" w:eastAsia="宋体" w:cs="宋体"/>
          <w:sz w:val="24"/>
          <w:szCs w:val="24"/>
        </w:rPr>
      </w:pPr>
      <w:r>
        <w:rPr>
          <w:rFonts w:hint="eastAsia" w:ascii="宋体" w:hAnsi="宋体" w:eastAsia="宋体" w:cs="宋体"/>
          <w:b/>
          <w:bCs/>
          <w:spacing w:val="-3"/>
          <w:sz w:val="24"/>
          <w:szCs w:val="24"/>
        </w:rPr>
        <w:t>18.3  验收程序</w:t>
      </w:r>
    </w:p>
    <w:p w14:paraId="6CFF02EC">
      <w:pPr>
        <w:spacing w:before="113" w:line="219" w:lineRule="auto"/>
        <w:ind w:left="480"/>
        <w:rPr>
          <w:rFonts w:hint="eastAsia" w:ascii="宋体" w:hAnsi="宋体" w:eastAsia="宋体" w:cs="宋体"/>
          <w:sz w:val="24"/>
          <w:szCs w:val="24"/>
        </w:rPr>
      </w:pPr>
      <w:r>
        <w:rPr>
          <w:rFonts w:hint="eastAsia" w:ascii="宋体" w:hAnsi="宋体" w:eastAsia="宋体" w:cs="宋体"/>
          <w:spacing w:val="-3"/>
          <w:sz w:val="24"/>
          <w:szCs w:val="24"/>
        </w:rPr>
        <w:t>第</w:t>
      </w:r>
      <w:r>
        <w:rPr>
          <w:rFonts w:hint="eastAsia" w:ascii="宋体" w:hAnsi="宋体" w:eastAsia="宋体" w:cs="宋体"/>
          <w:spacing w:val="-32"/>
          <w:sz w:val="24"/>
          <w:szCs w:val="24"/>
        </w:rPr>
        <w:t xml:space="preserve"> </w:t>
      </w:r>
      <w:r>
        <w:rPr>
          <w:rFonts w:hint="eastAsia" w:ascii="宋体" w:hAnsi="宋体" w:eastAsia="宋体" w:cs="宋体"/>
          <w:spacing w:val="-3"/>
          <w:sz w:val="24"/>
          <w:szCs w:val="24"/>
        </w:rPr>
        <w:t>18.3.1 项完善为：</w:t>
      </w:r>
    </w:p>
    <w:p w14:paraId="33B367D8">
      <w:pPr>
        <w:spacing w:before="116" w:line="218" w:lineRule="auto"/>
        <w:ind w:left="480"/>
        <w:rPr>
          <w:rFonts w:hint="eastAsia" w:ascii="宋体" w:hAnsi="宋体" w:eastAsia="宋体" w:cs="宋体"/>
          <w:sz w:val="24"/>
          <w:szCs w:val="24"/>
        </w:rPr>
      </w:pPr>
      <w:r>
        <w:rPr>
          <w:rFonts w:hint="eastAsia" w:ascii="宋体" w:hAnsi="宋体" w:eastAsia="宋体" w:cs="宋体"/>
          <w:spacing w:val="-1"/>
          <w:sz w:val="24"/>
          <w:szCs w:val="24"/>
        </w:rPr>
        <w:t>承包人提供验收资料和验收申请报告的份数：</w:t>
      </w:r>
      <w:r>
        <w:rPr>
          <w:rFonts w:hint="eastAsia" w:ascii="宋体" w:hAnsi="宋体" w:eastAsia="宋体" w:cs="宋体"/>
          <w:spacing w:val="-1"/>
          <w:sz w:val="24"/>
          <w:szCs w:val="24"/>
          <w:u w:val="single"/>
        </w:rPr>
        <w:t xml:space="preserve">   3   </w:t>
      </w:r>
      <w:r>
        <w:rPr>
          <w:rFonts w:hint="eastAsia" w:ascii="宋体" w:hAnsi="宋体" w:eastAsia="宋体" w:cs="宋体"/>
          <w:spacing w:val="-103"/>
          <w:sz w:val="24"/>
          <w:szCs w:val="24"/>
        </w:rPr>
        <w:t xml:space="preserve"> </w:t>
      </w:r>
      <w:r>
        <w:rPr>
          <w:rFonts w:hint="eastAsia" w:ascii="宋体" w:hAnsi="宋体" w:eastAsia="宋体" w:cs="宋体"/>
          <w:spacing w:val="-1"/>
          <w:sz w:val="24"/>
          <w:szCs w:val="24"/>
        </w:rPr>
        <w:t>份；</w:t>
      </w:r>
    </w:p>
    <w:p w14:paraId="5346B54F">
      <w:pPr>
        <w:spacing w:before="117" w:line="218" w:lineRule="auto"/>
        <w:ind w:left="480"/>
        <w:rPr>
          <w:rFonts w:hint="eastAsia" w:ascii="宋体" w:hAnsi="宋体" w:eastAsia="宋体" w:cs="宋体"/>
          <w:sz w:val="24"/>
          <w:szCs w:val="24"/>
        </w:rPr>
      </w:pPr>
      <w:r>
        <w:rPr>
          <w:rFonts w:hint="eastAsia" w:ascii="宋体" w:hAnsi="宋体" w:eastAsia="宋体" w:cs="宋体"/>
          <w:spacing w:val="-1"/>
          <w:sz w:val="24"/>
          <w:szCs w:val="24"/>
        </w:rPr>
        <w:t>承包人提供验收资料和验收申请报告的期限：</w:t>
      </w:r>
      <w:r>
        <w:rPr>
          <w:rFonts w:hint="eastAsia" w:ascii="宋体" w:hAnsi="宋体" w:eastAsia="宋体" w:cs="宋体"/>
          <w:spacing w:val="-1"/>
          <w:sz w:val="24"/>
          <w:szCs w:val="24"/>
          <w:u w:val="single"/>
        </w:rPr>
        <w:t xml:space="preserve">   </w:t>
      </w:r>
      <w:r>
        <w:rPr>
          <w:rFonts w:hint="eastAsia" w:ascii="宋体" w:hAnsi="宋体" w:eastAsia="宋体" w:cs="宋体"/>
          <w:spacing w:val="-1"/>
          <w:sz w:val="24"/>
          <w:szCs w:val="24"/>
          <w:u w:val="single"/>
          <w:lang w:val="en-US" w:eastAsia="zh-CN"/>
        </w:rPr>
        <w:t>14天</w:t>
      </w:r>
      <w:r>
        <w:rPr>
          <w:rFonts w:hint="eastAsia" w:ascii="宋体" w:hAnsi="宋体" w:eastAsia="宋体" w:cs="宋体"/>
          <w:spacing w:val="-1"/>
          <w:sz w:val="24"/>
          <w:szCs w:val="24"/>
          <w:u w:val="single"/>
        </w:rPr>
        <w:t xml:space="preserve">   </w:t>
      </w:r>
      <w:r>
        <w:rPr>
          <w:rFonts w:hint="eastAsia" w:ascii="宋体" w:hAnsi="宋体" w:eastAsia="宋体" w:cs="宋体"/>
          <w:spacing w:val="-1"/>
          <w:sz w:val="24"/>
          <w:szCs w:val="24"/>
        </w:rPr>
        <w:t>。</w:t>
      </w:r>
    </w:p>
    <w:p w14:paraId="31F45E01">
      <w:pPr>
        <w:spacing w:before="116" w:line="219" w:lineRule="auto"/>
        <w:ind w:left="480"/>
        <w:rPr>
          <w:rFonts w:hint="eastAsia" w:ascii="宋体" w:hAnsi="宋体" w:eastAsia="宋体" w:cs="宋体"/>
          <w:sz w:val="24"/>
          <w:szCs w:val="24"/>
        </w:rPr>
      </w:pPr>
      <w:r>
        <w:rPr>
          <w:rFonts w:hint="eastAsia" w:ascii="宋体" w:hAnsi="宋体" w:eastAsia="宋体" w:cs="宋体"/>
          <w:spacing w:val="-4"/>
          <w:sz w:val="24"/>
          <w:szCs w:val="24"/>
        </w:rPr>
        <w:t>补充第</w:t>
      </w:r>
      <w:r>
        <w:rPr>
          <w:rFonts w:hint="eastAsia" w:ascii="宋体" w:hAnsi="宋体" w:eastAsia="宋体" w:cs="宋体"/>
          <w:spacing w:val="-23"/>
          <w:sz w:val="24"/>
          <w:szCs w:val="24"/>
        </w:rPr>
        <w:t xml:space="preserve"> </w:t>
      </w:r>
      <w:r>
        <w:rPr>
          <w:rFonts w:hint="eastAsia" w:ascii="宋体" w:hAnsi="宋体" w:eastAsia="宋体" w:cs="宋体"/>
          <w:spacing w:val="-4"/>
          <w:sz w:val="24"/>
          <w:szCs w:val="24"/>
        </w:rPr>
        <w:t>18.3.8 项：</w:t>
      </w:r>
    </w:p>
    <w:p w14:paraId="6AC0AC8D">
      <w:pPr>
        <w:spacing w:before="78" w:line="219" w:lineRule="auto"/>
        <w:ind w:firstLine="472" w:firstLineChars="200"/>
        <w:outlineLvl w:val="4"/>
        <w:rPr>
          <w:rFonts w:hint="eastAsia" w:ascii="宋体" w:hAnsi="宋体" w:eastAsia="宋体" w:cs="宋体"/>
          <w:spacing w:val="3"/>
          <w:sz w:val="24"/>
          <w:szCs w:val="24"/>
        </w:rPr>
      </w:pPr>
      <w:r>
        <w:rPr>
          <w:rFonts w:hint="eastAsia" w:ascii="宋体" w:hAnsi="宋体" w:eastAsia="宋体" w:cs="宋体"/>
          <w:spacing w:val="-2"/>
          <w:sz w:val="24"/>
          <w:szCs w:val="24"/>
        </w:rPr>
        <w:t>18.3.8  项目总体验收参照</w:t>
      </w:r>
      <w:r>
        <w:rPr>
          <w:rFonts w:hint="eastAsia" w:ascii="宋体" w:hAnsi="宋体" w:eastAsia="宋体" w:cs="宋体"/>
          <w:spacing w:val="-30"/>
          <w:sz w:val="24"/>
          <w:szCs w:val="24"/>
        </w:rPr>
        <w:t xml:space="preserve"> </w:t>
      </w:r>
      <w:r>
        <w:rPr>
          <w:rFonts w:hint="eastAsia" w:ascii="宋体" w:hAnsi="宋体" w:eastAsia="宋体" w:cs="宋体"/>
          <w:spacing w:val="-2"/>
          <w:sz w:val="24"/>
          <w:szCs w:val="24"/>
        </w:rPr>
        <w:t>18.3.1~</w:t>
      </w:r>
      <w:r>
        <w:rPr>
          <w:rFonts w:hint="eastAsia" w:ascii="宋体" w:hAnsi="宋体" w:eastAsia="宋体" w:cs="宋体"/>
          <w:spacing w:val="-33"/>
          <w:sz w:val="24"/>
          <w:szCs w:val="24"/>
        </w:rPr>
        <w:t xml:space="preserve"> </w:t>
      </w:r>
      <w:r>
        <w:rPr>
          <w:rFonts w:hint="eastAsia" w:ascii="宋体" w:hAnsi="宋体" w:eastAsia="宋体" w:cs="宋体"/>
          <w:spacing w:val="-2"/>
          <w:sz w:val="24"/>
          <w:szCs w:val="24"/>
        </w:rPr>
        <w:t>18.3.7</w:t>
      </w:r>
      <w:r>
        <w:rPr>
          <w:rFonts w:hint="eastAsia" w:ascii="宋体" w:hAnsi="宋体" w:eastAsia="宋体" w:cs="宋体"/>
          <w:spacing w:val="32"/>
          <w:sz w:val="24"/>
          <w:szCs w:val="24"/>
        </w:rPr>
        <w:t xml:space="preserve"> </w:t>
      </w:r>
      <w:r>
        <w:rPr>
          <w:rFonts w:hint="eastAsia" w:ascii="宋体" w:hAnsi="宋体" w:eastAsia="宋体" w:cs="宋体"/>
          <w:spacing w:val="-2"/>
          <w:sz w:val="24"/>
          <w:szCs w:val="24"/>
        </w:rPr>
        <w:t>的程序组织验收，项目总体交工验收应</w:t>
      </w:r>
      <w:r>
        <w:rPr>
          <w:rFonts w:hint="eastAsia" w:ascii="宋体" w:hAnsi="宋体" w:eastAsia="宋体" w:cs="宋体"/>
          <w:spacing w:val="3"/>
          <w:sz w:val="24"/>
          <w:szCs w:val="24"/>
        </w:rPr>
        <w:t>于合同期届满后30 天内完成。</w:t>
      </w:r>
    </w:p>
    <w:p w14:paraId="1D5D3AE0">
      <w:pPr>
        <w:spacing w:before="78" w:line="219" w:lineRule="auto"/>
        <w:ind w:firstLine="464" w:firstLineChars="200"/>
        <w:outlineLvl w:val="4"/>
        <w:rPr>
          <w:rFonts w:hint="eastAsia" w:ascii="宋体" w:hAnsi="宋体" w:eastAsia="宋体" w:cs="宋体"/>
          <w:spacing w:val="-4"/>
          <w:sz w:val="24"/>
          <w:szCs w:val="24"/>
        </w:rPr>
      </w:pPr>
      <w:r>
        <w:rPr>
          <w:rFonts w:hint="eastAsia" w:ascii="宋体" w:hAnsi="宋体" w:eastAsia="宋体" w:cs="宋体"/>
          <w:spacing w:val="-4"/>
          <w:sz w:val="24"/>
          <w:szCs w:val="24"/>
        </w:rPr>
        <w:t>补充第</w:t>
      </w:r>
      <w:r>
        <w:rPr>
          <w:rFonts w:hint="eastAsia" w:ascii="宋体" w:hAnsi="宋体" w:eastAsia="宋体" w:cs="宋体"/>
          <w:spacing w:val="-31"/>
          <w:sz w:val="24"/>
          <w:szCs w:val="24"/>
        </w:rPr>
        <w:t xml:space="preserve"> </w:t>
      </w:r>
      <w:r>
        <w:rPr>
          <w:rFonts w:hint="eastAsia" w:ascii="宋体" w:hAnsi="宋体" w:eastAsia="宋体" w:cs="宋体"/>
          <w:spacing w:val="-4"/>
          <w:sz w:val="24"/>
          <w:szCs w:val="24"/>
        </w:rPr>
        <w:t>18.7 款：</w:t>
      </w:r>
    </w:p>
    <w:p w14:paraId="0EAF4840">
      <w:pPr>
        <w:spacing w:before="78" w:line="219" w:lineRule="auto"/>
        <w:ind w:firstLine="474" w:firstLineChars="200"/>
        <w:outlineLvl w:val="4"/>
        <w:rPr>
          <w:rFonts w:hint="eastAsia" w:ascii="宋体" w:hAnsi="宋体" w:eastAsia="宋体" w:cs="宋体"/>
          <w:sz w:val="24"/>
          <w:szCs w:val="24"/>
        </w:rPr>
      </w:pPr>
      <w:r>
        <w:rPr>
          <w:rFonts w:hint="eastAsia" w:ascii="宋体" w:hAnsi="宋体" w:eastAsia="宋体" w:cs="宋体"/>
          <w:b/>
          <w:bCs/>
          <w:spacing w:val="-2"/>
          <w:sz w:val="24"/>
          <w:szCs w:val="24"/>
        </w:rPr>
        <w:t>18.7  合同期满后的公路信息资料移交</w:t>
      </w:r>
      <w:r>
        <w:rPr>
          <w:rFonts w:hint="eastAsia" w:ascii="宋体" w:hAnsi="宋体" w:eastAsia="宋体" w:cs="宋体"/>
          <w:b/>
          <w:bCs/>
          <w:spacing w:val="-3"/>
          <w:sz w:val="24"/>
          <w:szCs w:val="24"/>
        </w:rPr>
        <w:t>工作</w:t>
      </w:r>
    </w:p>
    <w:p w14:paraId="10199270">
      <w:pPr>
        <w:spacing w:before="125" w:line="219" w:lineRule="auto"/>
        <w:ind w:left="499"/>
        <w:rPr>
          <w:rFonts w:hint="eastAsia" w:ascii="宋体" w:hAnsi="宋体" w:eastAsia="宋体" w:cs="宋体"/>
          <w:sz w:val="24"/>
          <w:szCs w:val="24"/>
        </w:rPr>
      </w:pPr>
      <w:r>
        <w:rPr>
          <w:rFonts w:hint="eastAsia" w:ascii="宋体" w:hAnsi="宋体" w:eastAsia="宋体" w:cs="宋体"/>
          <w:spacing w:val="-1"/>
          <w:sz w:val="24"/>
          <w:szCs w:val="24"/>
        </w:rPr>
        <w:t>18.7.1 合同期满后，公路信息资料的移交工作按照以下程序办理：</w:t>
      </w:r>
    </w:p>
    <w:p w14:paraId="7D3C7DAB">
      <w:pPr>
        <w:spacing w:before="112" w:line="264" w:lineRule="auto"/>
        <w:ind w:right="164" w:firstLine="491"/>
        <w:rPr>
          <w:rFonts w:hint="eastAsia" w:ascii="宋体" w:hAnsi="宋体" w:eastAsia="宋体" w:cs="宋体"/>
          <w:sz w:val="24"/>
          <w:szCs w:val="24"/>
        </w:rPr>
      </w:pPr>
      <w:r>
        <w:rPr>
          <w:rFonts w:hint="eastAsia" w:ascii="宋体" w:hAnsi="宋体" w:eastAsia="宋体" w:cs="宋体"/>
          <w:spacing w:val="4"/>
          <w:sz w:val="24"/>
          <w:szCs w:val="24"/>
        </w:rPr>
        <w:t>（1）承包人完成合同约定的全部工作，且提供合同完成情况总结报告等</w:t>
      </w:r>
      <w:r>
        <w:rPr>
          <w:rFonts w:hint="eastAsia" w:ascii="宋体" w:hAnsi="宋体" w:eastAsia="宋体" w:cs="宋体"/>
          <w:spacing w:val="3"/>
          <w:sz w:val="24"/>
          <w:szCs w:val="24"/>
        </w:rPr>
        <w:t>相关</w:t>
      </w:r>
      <w:r>
        <w:rPr>
          <w:rFonts w:hint="eastAsia" w:ascii="宋体" w:hAnsi="宋体" w:eastAsia="宋体" w:cs="宋体"/>
          <w:spacing w:val="-2"/>
          <w:sz w:val="24"/>
          <w:szCs w:val="24"/>
        </w:rPr>
        <w:t>证明资料；</w:t>
      </w:r>
    </w:p>
    <w:p w14:paraId="1207231D">
      <w:pPr>
        <w:spacing w:before="115" w:line="263" w:lineRule="auto"/>
        <w:ind w:left="1" w:right="166" w:firstLine="490"/>
        <w:rPr>
          <w:rFonts w:hint="eastAsia" w:ascii="宋体" w:hAnsi="宋体" w:eastAsia="宋体" w:cs="宋体"/>
          <w:sz w:val="24"/>
          <w:szCs w:val="24"/>
        </w:rPr>
      </w:pPr>
      <w:r>
        <w:rPr>
          <w:rFonts w:hint="eastAsia" w:ascii="宋体" w:hAnsi="宋体" w:eastAsia="宋体" w:cs="宋体"/>
          <w:spacing w:val="4"/>
          <w:sz w:val="24"/>
          <w:szCs w:val="24"/>
        </w:rPr>
        <w:t>（2）承包人通过所有养护工程验收、项目总体验收，并完成所有</w:t>
      </w:r>
      <w:r>
        <w:rPr>
          <w:rFonts w:hint="eastAsia" w:ascii="宋体" w:hAnsi="宋体" w:eastAsia="宋体" w:cs="宋体"/>
          <w:spacing w:val="3"/>
          <w:sz w:val="24"/>
          <w:szCs w:val="24"/>
        </w:rPr>
        <w:t>验收资料的</w:t>
      </w:r>
      <w:r>
        <w:rPr>
          <w:rFonts w:hint="eastAsia" w:ascii="宋体" w:hAnsi="宋体" w:eastAsia="宋体" w:cs="宋体"/>
          <w:spacing w:val="-3"/>
          <w:sz w:val="24"/>
          <w:szCs w:val="24"/>
        </w:rPr>
        <w:t>整理归档；</w:t>
      </w:r>
    </w:p>
    <w:p w14:paraId="5C5AD6D8">
      <w:pPr>
        <w:spacing w:before="116" w:line="265" w:lineRule="auto"/>
        <w:ind w:right="164" w:firstLine="492"/>
        <w:rPr>
          <w:rFonts w:hint="eastAsia" w:ascii="宋体" w:hAnsi="宋体" w:eastAsia="宋体" w:cs="宋体"/>
          <w:sz w:val="24"/>
          <w:szCs w:val="24"/>
        </w:rPr>
      </w:pPr>
      <w:r>
        <w:rPr>
          <w:rFonts w:hint="eastAsia" w:ascii="宋体" w:hAnsi="宋体" w:eastAsia="宋体" w:cs="宋体"/>
          <w:spacing w:val="4"/>
          <w:sz w:val="24"/>
          <w:szCs w:val="24"/>
        </w:rPr>
        <w:t>（3）承包人通过发包人组织的各项绩效考核及规定的检测，达到绩效服</w:t>
      </w:r>
      <w:r>
        <w:rPr>
          <w:rFonts w:hint="eastAsia" w:ascii="宋体" w:hAnsi="宋体" w:eastAsia="宋体" w:cs="宋体"/>
          <w:spacing w:val="3"/>
          <w:sz w:val="24"/>
          <w:szCs w:val="24"/>
        </w:rPr>
        <w:t>务水</w:t>
      </w:r>
      <w:r>
        <w:rPr>
          <w:rFonts w:hint="eastAsia" w:ascii="宋体" w:hAnsi="宋体" w:eastAsia="宋体" w:cs="宋体"/>
          <w:spacing w:val="-5"/>
          <w:sz w:val="24"/>
          <w:szCs w:val="24"/>
        </w:rPr>
        <w:t>平；</w:t>
      </w:r>
    </w:p>
    <w:p w14:paraId="37AD24FD">
      <w:pPr>
        <w:spacing w:before="109" w:line="279" w:lineRule="auto"/>
        <w:ind w:firstLine="491"/>
        <w:rPr>
          <w:rFonts w:hint="eastAsia" w:ascii="宋体" w:hAnsi="宋体" w:eastAsia="宋体" w:cs="宋体"/>
          <w:sz w:val="24"/>
          <w:szCs w:val="24"/>
        </w:rPr>
      </w:pPr>
      <w:r>
        <w:rPr>
          <w:rFonts w:hint="eastAsia" w:ascii="宋体" w:hAnsi="宋体" w:eastAsia="宋体" w:cs="宋体"/>
          <w:spacing w:val="4"/>
          <w:sz w:val="24"/>
          <w:szCs w:val="24"/>
        </w:rPr>
        <w:t>（4）承包人向发包人发送公路信息资料移交申请，内容包括</w:t>
      </w:r>
      <w:r>
        <w:rPr>
          <w:rFonts w:hint="eastAsia" w:ascii="宋体" w:hAnsi="宋体" w:eastAsia="宋体" w:cs="宋体"/>
          <w:spacing w:val="3"/>
          <w:sz w:val="24"/>
          <w:szCs w:val="24"/>
        </w:rPr>
        <w:t>：公</w:t>
      </w:r>
      <w:r>
        <w:rPr>
          <w:rFonts w:hint="eastAsia" w:ascii="宋体" w:hAnsi="宋体" w:eastAsia="宋体" w:cs="宋体"/>
          <w:spacing w:val="1"/>
          <w:sz w:val="24"/>
          <w:szCs w:val="24"/>
        </w:rPr>
        <w:t>路的技术状况数据，公路设施的养护数据及资料，合同执行期间的所有档案资料、</w:t>
      </w:r>
      <w:r>
        <w:rPr>
          <w:rFonts w:hint="eastAsia" w:ascii="宋体" w:hAnsi="宋体" w:eastAsia="宋体" w:cs="宋体"/>
          <w:spacing w:val="-1"/>
          <w:sz w:val="24"/>
          <w:szCs w:val="24"/>
        </w:rPr>
        <w:t>信息系统等，以确保后续的公路养护工作无论是否更</w:t>
      </w:r>
      <w:r>
        <w:rPr>
          <w:rFonts w:hint="eastAsia" w:ascii="宋体" w:hAnsi="宋体" w:eastAsia="宋体" w:cs="宋体"/>
          <w:spacing w:val="-2"/>
          <w:sz w:val="24"/>
          <w:szCs w:val="24"/>
        </w:rPr>
        <w:t>换承包人仍然能够保持连续性。</w:t>
      </w:r>
    </w:p>
    <w:p w14:paraId="45245AD4">
      <w:pPr>
        <w:spacing w:before="112" w:line="310" w:lineRule="auto"/>
        <w:ind w:right="164" w:firstLine="498"/>
        <w:rPr>
          <w:rFonts w:hint="eastAsia" w:ascii="宋体" w:hAnsi="宋体" w:eastAsia="宋体" w:cs="宋体"/>
          <w:sz w:val="24"/>
          <w:szCs w:val="24"/>
        </w:rPr>
      </w:pPr>
      <w:r>
        <w:rPr>
          <w:rFonts w:hint="eastAsia" w:ascii="宋体" w:hAnsi="宋体" w:eastAsia="宋体" w:cs="宋体"/>
          <w:spacing w:val="13"/>
          <w:sz w:val="24"/>
          <w:szCs w:val="24"/>
        </w:rPr>
        <w:t>18.7.2  发包人应在收到承包人提交的公路信息资料移交申请的</w:t>
      </w:r>
      <w:r>
        <w:rPr>
          <w:rFonts w:hint="eastAsia" w:ascii="宋体" w:hAnsi="宋体" w:eastAsia="宋体" w:cs="宋体"/>
          <w:spacing w:val="1"/>
          <w:sz w:val="24"/>
          <w:szCs w:val="24"/>
        </w:rPr>
        <w:t>天内，核实公路信息资料移交申请的内容。核实确认</w:t>
      </w:r>
      <w:r>
        <w:rPr>
          <w:rFonts w:hint="eastAsia" w:ascii="宋体" w:hAnsi="宋体" w:eastAsia="宋体" w:cs="宋体"/>
          <w:sz w:val="24"/>
          <w:szCs w:val="24"/>
        </w:rPr>
        <w:t>后，由发包人向承</w:t>
      </w:r>
      <w:r>
        <w:rPr>
          <w:rFonts w:hint="eastAsia" w:ascii="宋体" w:hAnsi="宋体" w:eastAsia="宋体" w:cs="宋体"/>
          <w:spacing w:val="-1"/>
          <w:sz w:val="24"/>
          <w:szCs w:val="24"/>
        </w:rPr>
        <w:t>包人出具签认的公路信息资料移交证明。</w:t>
      </w:r>
    </w:p>
    <w:p w14:paraId="2501EED4">
      <w:pPr>
        <w:spacing w:before="79" w:line="219" w:lineRule="auto"/>
        <w:ind w:left="487"/>
        <w:outlineLvl w:val="3"/>
        <w:rPr>
          <w:rFonts w:hint="eastAsia" w:ascii="宋体" w:hAnsi="宋体" w:eastAsia="宋体" w:cs="宋体"/>
          <w:sz w:val="24"/>
          <w:szCs w:val="24"/>
        </w:rPr>
      </w:pPr>
      <w:bookmarkStart w:id="209" w:name="bookmark169"/>
      <w:bookmarkEnd w:id="209"/>
      <w:bookmarkStart w:id="210" w:name="bookmark170"/>
      <w:bookmarkEnd w:id="210"/>
      <w:r>
        <w:rPr>
          <w:rFonts w:hint="eastAsia" w:ascii="宋体" w:hAnsi="宋体" w:eastAsia="宋体" w:cs="宋体"/>
          <w:b/>
          <w:bCs/>
          <w:spacing w:val="-3"/>
          <w:sz w:val="24"/>
          <w:szCs w:val="24"/>
        </w:rPr>
        <w:t>19.  缺陷责任</w:t>
      </w:r>
    </w:p>
    <w:p w14:paraId="682296AE">
      <w:pPr>
        <w:spacing w:before="116" w:line="219" w:lineRule="auto"/>
        <w:ind w:left="487"/>
        <w:outlineLvl w:val="4"/>
        <w:rPr>
          <w:rFonts w:hint="eastAsia" w:ascii="宋体" w:hAnsi="宋体" w:eastAsia="宋体" w:cs="宋体"/>
          <w:sz w:val="24"/>
          <w:szCs w:val="24"/>
        </w:rPr>
      </w:pPr>
      <w:r>
        <w:rPr>
          <w:rFonts w:hint="eastAsia" w:ascii="宋体" w:hAnsi="宋体" w:eastAsia="宋体" w:cs="宋体"/>
          <w:b/>
          <w:bCs/>
          <w:spacing w:val="-3"/>
          <w:sz w:val="24"/>
          <w:szCs w:val="24"/>
        </w:rPr>
        <w:t>19.1  缺陷责任期</w:t>
      </w:r>
    </w:p>
    <w:p w14:paraId="503888E8">
      <w:pPr>
        <w:spacing w:before="113" w:line="219" w:lineRule="auto"/>
        <w:ind w:left="480"/>
        <w:rPr>
          <w:rFonts w:hint="eastAsia" w:ascii="宋体" w:hAnsi="宋体" w:eastAsia="宋体" w:cs="宋体"/>
          <w:sz w:val="24"/>
          <w:szCs w:val="24"/>
        </w:rPr>
      </w:pPr>
      <w:r>
        <w:rPr>
          <w:rFonts w:hint="eastAsia" w:ascii="宋体" w:hAnsi="宋体" w:eastAsia="宋体" w:cs="宋体"/>
          <w:spacing w:val="-3"/>
          <w:sz w:val="24"/>
          <w:szCs w:val="24"/>
        </w:rPr>
        <w:t>第</w:t>
      </w:r>
      <w:r>
        <w:rPr>
          <w:rFonts w:hint="eastAsia" w:ascii="宋体" w:hAnsi="宋体" w:eastAsia="宋体" w:cs="宋体"/>
          <w:spacing w:val="-32"/>
          <w:sz w:val="24"/>
          <w:szCs w:val="24"/>
        </w:rPr>
        <w:t xml:space="preserve"> </w:t>
      </w:r>
      <w:r>
        <w:rPr>
          <w:rFonts w:hint="eastAsia" w:ascii="宋体" w:hAnsi="宋体" w:eastAsia="宋体" w:cs="宋体"/>
          <w:spacing w:val="-3"/>
          <w:sz w:val="24"/>
          <w:szCs w:val="24"/>
        </w:rPr>
        <w:t>19.1.2 项修改为：</w:t>
      </w:r>
    </w:p>
    <w:p w14:paraId="17C37131">
      <w:pPr>
        <w:spacing w:before="114" w:line="309" w:lineRule="auto"/>
        <w:ind w:left="1" w:right="164" w:firstLine="497"/>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 xml:space="preserve">19.1.2  </w:t>
      </w:r>
      <w:r>
        <w:rPr>
          <w:rFonts w:hint="eastAsia" w:ascii="宋体" w:hAnsi="宋体" w:eastAsia="宋体" w:cs="宋体"/>
          <w:sz w:val="24"/>
          <w:szCs w:val="24"/>
          <w:lang w:eastAsia="zh-CN"/>
        </w:rPr>
        <w:t>养护工程验收、项目总体验收可分别约定缺陷责任期。</w:t>
      </w:r>
    </w:p>
    <w:p w14:paraId="67A68CDB">
      <w:pPr>
        <w:spacing w:before="114" w:line="309" w:lineRule="auto"/>
        <w:ind w:left="1" w:right="164" w:firstLine="497"/>
        <w:rPr>
          <w:rFonts w:hint="eastAsia" w:ascii="宋体" w:hAnsi="宋体" w:eastAsia="宋体" w:cs="宋体"/>
          <w:sz w:val="24"/>
          <w:szCs w:val="24"/>
          <w:lang w:eastAsia="zh-CN"/>
        </w:rPr>
      </w:pPr>
      <w:r>
        <w:rPr>
          <w:rFonts w:hint="eastAsia" w:ascii="宋体" w:hAnsi="宋体" w:eastAsia="宋体" w:cs="宋体"/>
          <w:sz w:val="24"/>
          <w:szCs w:val="24"/>
          <w:lang w:eastAsia="zh-CN"/>
        </w:rPr>
        <w:t>（1）养护工程的缺陷责任期自养护工程实际交工日期起计算，最长不超过 12个月。</w:t>
      </w:r>
    </w:p>
    <w:p w14:paraId="29F558D8">
      <w:pPr>
        <w:spacing w:before="114" w:line="309" w:lineRule="auto"/>
        <w:ind w:left="1" w:right="164" w:firstLine="497"/>
        <w:rPr>
          <w:rFonts w:hint="eastAsia" w:ascii="宋体" w:hAnsi="宋体" w:eastAsia="宋体" w:cs="宋体"/>
          <w:sz w:val="24"/>
          <w:szCs w:val="24"/>
          <w:lang w:eastAsia="zh-CN"/>
        </w:rPr>
      </w:pPr>
      <w:r>
        <w:rPr>
          <w:rFonts w:hint="eastAsia" w:ascii="宋体" w:hAnsi="宋体" w:eastAsia="宋体" w:cs="宋体"/>
          <w:sz w:val="24"/>
          <w:szCs w:val="24"/>
          <w:lang w:eastAsia="zh-CN"/>
        </w:rPr>
        <w:t>（2）项目总体履约的缺陷责任期自项目总体交工验收通过之日起计算，最长不超过 12 个月。</w:t>
      </w:r>
    </w:p>
    <w:p w14:paraId="20638398">
      <w:pPr>
        <w:spacing w:before="114" w:line="219" w:lineRule="auto"/>
        <w:ind w:left="487"/>
        <w:outlineLvl w:val="4"/>
        <w:rPr>
          <w:rFonts w:hint="eastAsia" w:ascii="宋体" w:hAnsi="宋体" w:eastAsia="宋体" w:cs="宋体"/>
          <w:sz w:val="24"/>
          <w:szCs w:val="24"/>
        </w:rPr>
      </w:pPr>
      <w:r>
        <w:rPr>
          <w:rFonts w:hint="eastAsia" w:ascii="宋体" w:hAnsi="宋体" w:eastAsia="宋体" w:cs="宋体"/>
          <w:b/>
          <w:bCs/>
          <w:spacing w:val="-3"/>
          <w:sz w:val="24"/>
          <w:szCs w:val="24"/>
        </w:rPr>
        <w:t>19.2  缺陷责任</w:t>
      </w:r>
    </w:p>
    <w:p w14:paraId="3CCC46AC">
      <w:pPr>
        <w:spacing w:before="126" w:line="219" w:lineRule="auto"/>
        <w:ind w:left="480"/>
        <w:rPr>
          <w:rFonts w:hint="eastAsia" w:ascii="宋体" w:hAnsi="宋体" w:eastAsia="宋体" w:cs="宋体"/>
          <w:sz w:val="24"/>
          <w:szCs w:val="24"/>
        </w:rPr>
      </w:pPr>
      <w:r>
        <w:rPr>
          <w:rFonts w:hint="eastAsia" w:ascii="宋体" w:hAnsi="宋体" w:eastAsia="宋体" w:cs="宋体"/>
          <w:spacing w:val="-4"/>
          <w:sz w:val="24"/>
          <w:szCs w:val="24"/>
        </w:rPr>
        <w:t>补充第</w:t>
      </w:r>
      <w:r>
        <w:rPr>
          <w:rFonts w:hint="eastAsia" w:ascii="宋体" w:hAnsi="宋体" w:eastAsia="宋体" w:cs="宋体"/>
          <w:spacing w:val="-23"/>
          <w:sz w:val="24"/>
          <w:szCs w:val="24"/>
        </w:rPr>
        <w:t xml:space="preserve"> </w:t>
      </w:r>
      <w:r>
        <w:rPr>
          <w:rFonts w:hint="eastAsia" w:ascii="宋体" w:hAnsi="宋体" w:eastAsia="宋体" w:cs="宋体"/>
          <w:spacing w:val="-4"/>
          <w:sz w:val="24"/>
          <w:szCs w:val="24"/>
        </w:rPr>
        <w:t>19.2.5 项：</w:t>
      </w:r>
    </w:p>
    <w:p w14:paraId="7B94B698">
      <w:pPr>
        <w:spacing w:before="114" w:line="309" w:lineRule="auto"/>
        <w:ind w:left="1" w:right="164" w:firstLine="497"/>
        <w:rPr>
          <w:rFonts w:hint="eastAsia" w:ascii="宋体" w:hAnsi="宋体" w:eastAsia="宋体" w:cs="宋体"/>
          <w:sz w:val="24"/>
          <w:szCs w:val="24"/>
        </w:rPr>
      </w:pPr>
      <w:r>
        <w:rPr>
          <w:rFonts w:hint="eastAsia" w:ascii="宋体" w:hAnsi="宋体" w:eastAsia="宋体" w:cs="宋体"/>
          <w:sz w:val="24"/>
          <w:szCs w:val="24"/>
        </w:rPr>
        <w:t>19.2.5  如果在缺陷责任期内发现承包人所提供的服务在设计、施工技术、材料</w:t>
      </w:r>
      <w:r>
        <w:rPr>
          <w:rFonts w:hint="eastAsia" w:ascii="宋体" w:hAnsi="宋体" w:eastAsia="宋体" w:cs="宋体"/>
          <w:spacing w:val="1"/>
          <w:sz w:val="24"/>
          <w:szCs w:val="24"/>
        </w:rPr>
        <w:t>和工艺方面存在缺陷，则承包人应立即与发包人就有关</w:t>
      </w:r>
      <w:r>
        <w:rPr>
          <w:rFonts w:hint="eastAsia" w:ascii="宋体" w:hAnsi="宋体" w:eastAsia="宋体" w:cs="宋体"/>
          <w:sz w:val="24"/>
          <w:szCs w:val="24"/>
        </w:rPr>
        <w:t>补救缺陷的合理措施进行协</w:t>
      </w:r>
      <w:r>
        <w:rPr>
          <w:rFonts w:hint="eastAsia" w:ascii="宋体" w:hAnsi="宋体" w:eastAsia="宋体" w:cs="宋体"/>
          <w:spacing w:val="1"/>
          <w:sz w:val="24"/>
          <w:szCs w:val="24"/>
        </w:rPr>
        <w:t>商并达成一致，并自费进行修复、更换，或将缺陷造成</w:t>
      </w:r>
      <w:r>
        <w:rPr>
          <w:rFonts w:hint="eastAsia" w:ascii="宋体" w:hAnsi="宋体" w:eastAsia="宋体" w:cs="宋体"/>
          <w:sz w:val="24"/>
          <w:szCs w:val="24"/>
        </w:rPr>
        <w:t>的公路设施的任何损坏恢复</w:t>
      </w:r>
      <w:r>
        <w:rPr>
          <w:rFonts w:hint="eastAsia" w:ascii="宋体" w:hAnsi="宋体" w:eastAsia="宋体" w:cs="宋体"/>
          <w:spacing w:val="-4"/>
          <w:sz w:val="24"/>
          <w:szCs w:val="24"/>
        </w:rPr>
        <w:t>完好。</w:t>
      </w:r>
    </w:p>
    <w:p w14:paraId="662787A8">
      <w:pPr>
        <w:spacing w:before="79" w:line="224" w:lineRule="auto"/>
        <w:ind w:left="477"/>
        <w:outlineLvl w:val="3"/>
        <w:rPr>
          <w:rFonts w:hint="eastAsia" w:ascii="宋体" w:hAnsi="宋体" w:eastAsia="宋体" w:cs="宋体"/>
          <w:sz w:val="24"/>
          <w:szCs w:val="24"/>
          <w:lang w:eastAsia="zh-CN"/>
        </w:rPr>
      </w:pPr>
      <w:bookmarkStart w:id="211" w:name="bookmark171"/>
      <w:bookmarkEnd w:id="211"/>
      <w:bookmarkStart w:id="212" w:name="bookmark172"/>
      <w:bookmarkEnd w:id="212"/>
      <w:r>
        <w:rPr>
          <w:rFonts w:hint="eastAsia" w:ascii="宋体" w:hAnsi="宋体" w:eastAsia="宋体" w:cs="宋体"/>
          <w:b/>
          <w:bCs/>
          <w:spacing w:val="-5"/>
          <w:sz w:val="24"/>
          <w:szCs w:val="24"/>
          <w:lang w:eastAsia="zh-CN"/>
        </w:rPr>
        <w:t>22.</w:t>
      </w:r>
      <w:r>
        <w:rPr>
          <w:rFonts w:hint="eastAsia" w:ascii="宋体" w:hAnsi="宋体" w:eastAsia="宋体" w:cs="宋体"/>
          <w:b/>
          <w:bCs/>
          <w:spacing w:val="6"/>
          <w:sz w:val="24"/>
          <w:szCs w:val="24"/>
          <w:lang w:eastAsia="zh-CN"/>
        </w:rPr>
        <w:t xml:space="preserve">  </w:t>
      </w:r>
      <w:r>
        <w:rPr>
          <w:rFonts w:hint="eastAsia" w:ascii="宋体" w:hAnsi="宋体" w:eastAsia="宋体" w:cs="宋体"/>
          <w:b/>
          <w:bCs/>
          <w:spacing w:val="-5"/>
          <w:sz w:val="24"/>
          <w:szCs w:val="24"/>
          <w:lang w:eastAsia="zh-CN"/>
        </w:rPr>
        <w:t>违约</w:t>
      </w:r>
    </w:p>
    <w:p w14:paraId="0C048697">
      <w:pPr>
        <w:spacing w:before="109" w:line="219" w:lineRule="auto"/>
        <w:ind w:left="477"/>
        <w:outlineLvl w:val="4"/>
        <w:rPr>
          <w:rFonts w:hint="eastAsia" w:ascii="宋体" w:hAnsi="宋体" w:eastAsia="宋体" w:cs="宋体"/>
          <w:sz w:val="24"/>
          <w:szCs w:val="24"/>
          <w:lang w:eastAsia="zh-CN"/>
        </w:rPr>
      </w:pPr>
      <w:r>
        <w:rPr>
          <w:rFonts w:hint="eastAsia" w:ascii="宋体" w:hAnsi="宋体" w:eastAsia="宋体" w:cs="宋体"/>
          <w:b/>
          <w:bCs/>
          <w:spacing w:val="-2"/>
          <w:sz w:val="24"/>
          <w:szCs w:val="24"/>
          <w:lang w:eastAsia="zh-CN"/>
        </w:rPr>
        <w:t>22.1  承包人违约</w:t>
      </w:r>
    </w:p>
    <w:p w14:paraId="4C3ED387">
      <w:pPr>
        <w:spacing w:before="114" w:line="219" w:lineRule="auto"/>
        <w:ind w:left="476"/>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22.1.1  承包人违约的情形</w:t>
      </w:r>
    </w:p>
    <w:p w14:paraId="48C750A0">
      <w:pPr>
        <w:spacing w:before="116" w:line="219" w:lineRule="auto"/>
        <w:ind w:left="480"/>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补充第</w:t>
      </w:r>
      <w:r>
        <w:rPr>
          <w:rFonts w:hint="eastAsia" w:ascii="宋体" w:hAnsi="宋体" w:eastAsia="宋体" w:cs="宋体"/>
          <w:spacing w:val="-54"/>
          <w:sz w:val="24"/>
          <w:szCs w:val="24"/>
          <w:lang w:eastAsia="zh-CN"/>
        </w:rPr>
        <w:t xml:space="preserve"> </w:t>
      </w:r>
      <w:r>
        <w:rPr>
          <w:rFonts w:hint="eastAsia" w:ascii="宋体" w:hAnsi="宋体" w:eastAsia="宋体" w:cs="宋体"/>
          <w:spacing w:val="-2"/>
          <w:sz w:val="24"/>
          <w:szCs w:val="24"/>
          <w:lang w:eastAsia="zh-CN"/>
        </w:rPr>
        <w:t>22.1.1 项第（11</w:t>
      </w:r>
      <w:r>
        <w:rPr>
          <w:rFonts w:hint="eastAsia" w:ascii="宋体" w:hAnsi="宋体" w:eastAsia="宋体" w:cs="宋体"/>
          <w:spacing w:val="-14"/>
          <w:sz w:val="24"/>
          <w:szCs w:val="24"/>
          <w:lang w:eastAsia="zh-CN"/>
        </w:rPr>
        <w:t>）～（</w:t>
      </w:r>
      <w:r>
        <w:rPr>
          <w:rFonts w:hint="eastAsia" w:ascii="宋体" w:hAnsi="宋体" w:eastAsia="宋体" w:cs="宋体"/>
          <w:spacing w:val="-2"/>
          <w:sz w:val="24"/>
          <w:szCs w:val="24"/>
          <w:lang w:val="en-US" w:eastAsia="zh-CN"/>
        </w:rPr>
        <w:t>13</w:t>
      </w:r>
      <w:r>
        <w:rPr>
          <w:rFonts w:hint="eastAsia" w:ascii="宋体" w:hAnsi="宋体" w:eastAsia="宋体" w:cs="宋体"/>
          <w:spacing w:val="-2"/>
          <w:sz w:val="24"/>
          <w:szCs w:val="24"/>
          <w:lang w:eastAsia="zh-CN"/>
        </w:rPr>
        <w:t>）</w:t>
      </w:r>
      <w:r>
        <w:rPr>
          <w:rFonts w:hint="eastAsia" w:ascii="宋体" w:hAnsi="宋体" w:eastAsia="宋体" w:cs="宋体"/>
          <w:spacing w:val="-64"/>
          <w:sz w:val="24"/>
          <w:szCs w:val="24"/>
          <w:lang w:eastAsia="zh-CN"/>
        </w:rPr>
        <w:t xml:space="preserve"> </w:t>
      </w:r>
      <w:r>
        <w:rPr>
          <w:rFonts w:hint="eastAsia" w:ascii="宋体" w:hAnsi="宋体" w:eastAsia="宋体" w:cs="宋体"/>
          <w:spacing w:val="-2"/>
          <w:sz w:val="24"/>
          <w:szCs w:val="24"/>
          <w:lang w:eastAsia="zh-CN"/>
        </w:rPr>
        <w:t>目：</w:t>
      </w:r>
    </w:p>
    <w:p w14:paraId="123A385B">
      <w:pPr>
        <w:spacing w:before="78" w:line="278" w:lineRule="auto"/>
        <w:ind w:firstLine="496" w:firstLineChars="200"/>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（11）承包人未达到约定的绩效服务水平</w:t>
      </w:r>
      <w:r>
        <w:rPr>
          <w:rFonts w:hint="eastAsia" w:ascii="宋体" w:hAnsi="宋体" w:eastAsia="宋体" w:cs="宋体"/>
          <w:spacing w:val="3"/>
          <w:sz w:val="24"/>
          <w:szCs w:val="24"/>
          <w:lang w:eastAsia="zh-CN"/>
        </w:rPr>
        <w:t>，承包人所收到的</w:t>
      </w:r>
      <w:r>
        <w:rPr>
          <w:rFonts w:hint="eastAsia" w:ascii="宋体" w:hAnsi="宋体" w:eastAsia="宋体" w:cs="宋体"/>
          <w:spacing w:val="-116"/>
          <w:sz w:val="24"/>
          <w:szCs w:val="24"/>
          <w:lang w:eastAsia="zh-CN"/>
        </w:rPr>
        <w:t xml:space="preserve"> </w:t>
      </w:r>
      <w:r>
        <w:rPr>
          <w:rFonts w:hint="eastAsia" w:ascii="宋体" w:hAnsi="宋体" w:eastAsia="宋体" w:cs="宋体"/>
          <w:spacing w:val="3"/>
          <w:sz w:val="24"/>
          <w:szCs w:val="24"/>
          <w:u w:val="single"/>
          <w:lang w:eastAsia="zh-CN"/>
        </w:rPr>
        <w:t xml:space="preserve">  </w:t>
      </w:r>
      <w:r>
        <w:rPr>
          <w:rFonts w:hint="eastAsia" w:ascii="宋体" w:hAnsi="宋体" w:eastAsia="宋体" w:cs="宋体"/>
          <w:spacing w:val="3"/>
          <w:sz w:val="24"/>
          <w:szCs w:val="24"/>
          <w:u w:val="single"/>
          <w:lang w:val="en-US" w:eastAsia="zh-CN"/>
        </w:rPr>
        <w:t>月度</w:t>
      </w:r>
      <w:r>
        <w:rPr>
          <w:rFonts w:hint="eastAsia" w:ascii="宋体" w:hAnsi="宋体" w:eastAsia="宋体" w:cs="宋体"/>
          <w:spacing w:val="3"/>
          <w:sz w:val="24"/>
          <w:szCs w:val="24"/>
          <w:u w:val="single"/>
          <w:lang w:eastAsia="zh-CN"/>
        </w:rPr>
        <w:t xml:space="preserve">   </w:t>
      </w:r>
      <w:r>
        <w:rPr>
          <w:rFonts w:hint="eastAsia" w:ascii="宋体" w:hAnsi="宋体" w:eastAsia="宋体" w:cs="宋体"/>
          <w:spacing w:val="3"/>
          <w:sz w:val="24"/>
          <w:szCs w:val="24"/>
          <w:lang w:eastAsia="zh-CN"/>
        </w:rPr>
        <w:t>（月度或季</w:t>
      </w:r>
      <w:r>
        <w:rPr>
          <w:rFonts w:hint="eastAsia" w:ascii="宋体" w:hAnsi="宋体" w:eastAsia="宋体" w:cs="宋体"/>
          <w:spacing w:val="1"/>
          <w:sz w:val="24"/>
          <w:szCs w:val="24"/>
          <w:lang w:eastAsia="zh-CN"/>
        </w:rPr>
        <w:t>度或半年度）付款减少，该情形视为违约，前述付款的减少</w:t>
      </w:r>
      <w:r>
        <w:rPr>
          <w:rFonts w:hint="eastAsia" w:ascii="宋体" w:hAnsi="宋体" w:eastAsia="宋体" w:cs="宋体"/>
          <w:sz w:val="24"/>
          <w:szCs w:val="24"/>
          <w:lang w:eastAsia="zh-CN"/>
        </w:rPr>
        <w:t>不解除承包人完成约定</w:t>
      </w:r>
      <w:r>
        <w:rPr>
          <w:rFonts w:hint="eastAsia" w:ascii="宋体" w:hAnsi="宋体" w:eastAsia="宋体" w:cs="宋体"/>
          <w:spacing w:val="-1"/>
          <w:sz w:val="24"/>
          <w:szCs w:val="24"/>
          <w:lang w:eastAsia="zh-CN"/>
        </w:rPr>
        <w:t>的绩效服务水平的义务或承包人根据本合同应承担的所有责任；</w:t>
      </w:r>
    </w:p>
    <w:p w14:paraId="614FF4A4">
      <w:pPr>
        <w:spacing w:before="116" w:line="264" w:lineRule="auto"/>
        <w:ind w:firstLine="492"/>
        <w:rPr>
          <w:rFonts w:hint="eastAsia" w:ascii="宋体" w:hAnsi="宋体" w:eastAsia="宋体" w:cs="宋体"/>
          <w:sz w:val="24"/>
          <w:szCs w:val="24"/>
          <w:lang w:eastAsia="zh-CN"/>
        </w:rPr>
      </w:pPr>
      <w:r>
        <w:rPr>
          <w:rFonts w:hint="eastAsia" w:ascii="宋体" w:hAnsi="宋体" w:eastAsia="宋体" w:cs="宋体"/>
          <w:sz w:val="24"/>
          <w:szCs w:val="24"/>
          <w:lang w:eastAsia="zh-CN"/>
        </w:rPr>
        <w:t>（12）承包人未能在约定的工期内完成发包人指定实施的养护工程，或者未能</w:t>
      </w:r>
      <w:r>
        <w:rPr>
          <w:rFonts w:hint="eastAsia" w:ascii="宋体" w:hAnsi="宋体" w:eastAsia="宋体" w:cs="宋体"/>
          <w:spacing w:val="-1"/>
          <w:sz w:val="24"/>
          <w:szCs w:val="24"/>
          <w:lang w:eastAsia="zh-CN"/>
        </w:rPr>
        <w:t>在向发包人承诺的工期内完成自主实施的养护工程；</w:t>
      </w:r>
    </w:p>
    <w:p w14:paraId="7ADA0F52">
      <w:pPr>
        <w:spacing w:before="112" w:line="264" w:lineRule="auto"/>
        <w:ind w:left="1" w:firstLine="490"/>
        <w:rPr>
          <w:rFonts w:hint="eastAsia" w:ascii="宋体" w:hAnsi="宋体" w:eastAsia="宋体" w:cs="宋体"/>
          <w:spacing w:val="-11"/>
          <w:sz w:val="24"/>
          <w:szCs w:val="24"/>
          <w:lang w:eastAsia="zh-CN"/>
        </w:rPr>
      </w:pPr>
      <w:r>
        <w:rPr>
          <w:rFonts w:hint="eastAsia" w:ascii="宋体" w:hAnsi="宋体" w:eastAsia="宋体" w:cs="宋体"/>
          <w:sz w:val="24"/>
          <w:szCs w:val="24"/>
          <w:lang w:eastAsia="zh-CN"/>
        </w:rPr>
        <w:t>（13）承包人未能按发包人要求及时处置、实施、完成应急和不可预见的专项</w:t>
      </w:r>
      <w:r>
        <w:rPr>
          <w:rFonts w:hint="eastAsia" w:ascii="宋体" w:hAnsi="宋体" w:eastAsia="宋体" w:cs="宋体"/>
          <w:spacing w:val="-11"/>
          <w:sz w:val="24"/>
          <w:szCs w:val="24"/>
          <w:lang w:eastAsia="zh-CN"/>
        </w:rPr>
        <w:t>养护工程（工作）。</w:t>
      </w:r>
    </w:p>
    <w:p w14:paraId="3D7CE404">
      <w:pPr>
        <w:spacing w:before="116" w:line="219" w:lineRule="auto"/>
        <w:ind w:left="480" w:firstLine="0"/>
        <w:rPr>
          <w:rFonts w:hint="eastAsia" w:ascii="宋体" w:hAnsi="宋体" w:eastAsia="宋体" w:cs="宋体"/>
          <w:spacing w:val="-11"/>
          <w:sz w:val="24"/>
          <w:szCs w:val="24"/>
          <w:lang w:eastAsia="zh-CN"/>
        </w:rPr>
      </w:pPr>
      <w:r>
        <w:rPr>
          <w:rFonts w:hint="eastAsia" w:ascii="宋体" w:hAnsi="宋体" w:eastAsia="宋体" w:cs="宋体"/>
          <w:spacing w:val="-2"/>
          <w:sz w:val="24"/>
          <w:szCs w:val="24"/>
          <w:lang w:eastAsia="zh-CN"/>
        </w:rPr>
        <w:t>补充第</w:t>
      </w:r>
      <w:r>
        <w:rPr>
          <w:rFonts w:hint="eastAsia" w:ascii="宋体" w:hAnsi="宋体" w:eastAsia="宋体" w:cs="宋体"/>
          <w:spacing w:val="-54"/>
          <w:sz w:val="24"/>
          <w:szCs w:val="24"/>
          <w:lang w:eastAsia="zh-CN"/>
        </w:rPr>
        <w:t xml:space="preserve"> </w:t>
      </w:r>
      <w:r>
        <w:rPr>
          <w:rFonts w:hint="eastAsia" w:ascii="宋体" w:hAnsi="宋体" w:eastAsia="宋体" w:cs="宋体"/>
          <w:spacing w:val="-2"/>
          <w:sz w:val="24"/>
          <w:szCs w:val="24"/>
          <w:lang w:eastAsia="zh-CN"/>
        </w:rPr>
        <w:t>22.1.1 项第（</w:t>
      </w:r>
      <w:r>
        <w:rPr>
          <w:rFonts w:hint="eastAsia" w:ascii="宋体" w:hAnsi="宋体" w:eastAsia="宋体" w:cs="宋体"/>
          <w:spacing w:val="-2"/>
          <w:sz w:val="24"/>
          <w:szCs w:val="24"/>
          <w:lang w:val="en-US" w:eastAsia="zh-CN"/>
        </w:rPr>
        <w:t>20</w:t>
      </w:r>
      <w:r>
        <w:rPr>
          <w:rFonts w:hint="eastAsia" w:ascii="宋体" w:hAnsi="宋体" w:eastAsia="宋体" w:cs="宋体"/>
          <w:spacing w:val="-14"/>
          <w:sz w:val="24"/>
          <w:szCs w:val="24"/>
          <w:lang w:eastAsia="zh-CN"/>
        </w:rPr>
        <w:t>）～（</w:t>
      </w:r>
      <w:r>
        <w:rPr>
          <w:rFonts w:hint="eastAsia" w:ascii="宋体" w:hAnsi="宋体" w:eastAsia="宋体" w:cs="宋体"/>
          <w:spacing w:val="-2"/>
          <w:sz w:val="24"/>
          <w:szCs w:val="24"/>
          <w:lang w:val="en-US" w:eastAsia="zh-CN"/>
        </w:rPr>
        <w:t>29</w:t>
      </w:r>
      <w:r>
        <w:rPr>
          <w:rFonts w:hint="eastAsia" w:ascii="宋体" w:hAnsi="宋体" w:eastAsia="宋体" w:cs="宋体"/>
          <w:spacing w:val="-2"/>
          <w:sz w:val="24"/>
          <w:szCs w:val="24"/>
          <w:lang w:eastAsia="zh-CN"/>
        </w:rPr>
        <w:t>）</w:t>
      </w:r>
      <w:r>
        <w:rPr>
          <w:rFonts w:hint="eastAsia" w:ascii="宋体" w:hAnsi="宋体" w:eastAsia="宋体" w:cs="宋体"/>
          <w:spacing w:val="-64"/>
          <w:sz w:val="24"/>
          <w:szCs w:val="24"/>
          <w:lang w:eastAsia="zh-CN"/>
        </w:rPr>
        <w:t xml:space="preserve"> </w:t>
      </w:r>
      <w:r>
        <w:rPr>
          <w:rFonts w:hint="eastAsia" w:ascii="宋体" w:hAnsi="宋体" w:eastAsia="宋体" w:cs="宋体"/>
          <w:spacing w:val="-2"/>
          <w:sz w:val="24"/>
          <w:szCs w:val="24"/>
          <w:lang w:eastAsia="zh-CN"/>
        </w:rPr>
        <w:t>目：</w:t>
      </w:r>
    </w:p>
    <w:p w14:paraId="49735B67">
      <w:pPr>
        <w:widowControl/>
        <w:numPr>
          <w:ilvl w:val="-1"/>
          <w:numId w:val="0"/>
        </w:numPr>
        <w:spacing w:before="114" w:line="264" w:lineRule="auto"/>
        <w:ind w:left="5" w:firstLine="490"/>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lang w:val="en-US" w:eastAsia="zh-CN"/>
        </w:rPr>
        <w:t>20</w:t>
      </w: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rPr>
        <w:t>一个合同年度内连续2个月或累计3个月日常养护考核评分为差（评分小于</w:t>
      </w:r>
      <w:r>
        <w:rPr>
          <w:rFonts w:hint="eastAsia" w:ascii="宋体" w:hAnsi="宋体" w:eastAsia="宋体" w:cs="宋体"/>
          <w:spacing w:val="4"/>
          <w:sz w:val="24"/>
          <w:szCs w:val="24"/>
          <w:highlight w:val="none"/>
          <w:lang w:val="en-US" w:eastAsia="zh-CN"/>
        </w:rPr>
        <w:t>7</w:t>
      </w:r>
      <w:r>
        <w:rPr>
          <w:rFonts w:hint="eastAsia" w:ascii="宋体" w:hAnsi="宋体" w:eastAsia="宋体" w:cs="宋体"/>
          <w:spacing w:val="4"/>
          <w:sz w:val="24"/>
          <w:szCs w:val="24"/>
          <w:highlight w:val="none"/>
        </w:rPr>
        <w:t>0分）</w:t>
      </w:r>
      <w:r>
        <w:rPr>
          <w:rFonts w:hint="eastAsia" w:ascii="宋体" w:hAnsi="宋体" w:eastAsia="宋体" w:cs="宋体"/>
          <w:spacing w:val="4"/>
          <w:sz w:val="24"/>
          <w:szCs w:val="24"/>
          <w:highlight w:val="none"/>
          <w:lang w:val="en-US" w:eastAsia="zh-CN"/>
        </w:rPr>
        <w:t>的</w:t>
      </w:r>
      <w:r>
        <w:rPr>
          <w:rFonts w:hint="eastAsia" w:ascii="宋体" w:hAnsi="宋体" w:eastAsia="宋体" w:cs="宋体"/>
          <w:spacing w:val="4"/>
          <w:sz w:val="24"/>
          <w:szCs w:val="24"/>
          <w:highlight w:val="none"/>
        </w:rPr>
        <w:t>；</w:t>
      </w:r>
    </w:p>
    <w:p w14:paraId="6F3B660E">
      <w:pPr>
        <w:widowControl/>
        <w:numPr>
          <w:ilvl w:val="-1"/>
          <w:numId w:val="0"/>
        </w:numPr>
        <w:spacing w:before="114" w:line="264" w:lineRule="auto"/>
        <w:ind w:left="5" w:firstLine="490"/>
        <w:rPr>
          <w:rFonts w:hint="eastAsia" w:ascii="宋体" w:hAnsi="宋体" w:eastAsia="宋体" w:cs="宋体"/>
          <w:b w:val="0"/>
          <w:sz w:val="24"/>
          <w:szCs w:val="24"/>
          <w:highlight w:val="none"/>
          <w:lang w:val="en-US" w:eastAsia="zh-CN"/>
        </w:rPr>
      </w:pP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lang w:val="en-US" w:eastAsia="zh-CN"/>
        </w:rPr>
        <w:t>21</w:t>
      </w: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lang w:val="en-US" w:eastAsia="zh-CN"/>
        </w:rPr>
        <w:t>不能按合同约定开展巡查巡检、日常保养（含绿化）、</w:t>
      </w:r>
      <w:r>
        <w:rPr>
          <w:rFonts w:hint="eastAsia" w:ascii="宋体" w:hAnsi="宋体" w:eastAsia="宋体" w:cs="宋体"/>
          <w:spacing w:val="4"/>
          <w:sz w:val="24"/>
          <w:szCs w:val="24"/>
          <w:highlight w:val="none"/>
        </w:rPr>
        <w:t>应急处置</w:t>
      </w:r>
      <w:r>
        <w:rPr>
          <w:rFonts w:hint="eastAsia" w:ascii="宋体" w:hAnsi="宋体" w:eastAsia="宋体" w:cs="宋体"/>
          <w:spacing w:val="4"/>
          <w:sz w:val="24"/>
          <w:szCs w:val="24"/>
          <w:highlight w:val="none"/>
          <w:lang w:eastAsia="zh-CN"/>
        </w:rPr>
        <w:t>、</w:t>
      </w:r>
      <w:r>
        <w:rPr>
          <w:rFonts w:hint="eastAsia" w:ascii="宋体" w:hAnsi="宋体" w:eastAsia="宋体" w:cs="宋体"/>
          <w:sz w:val="24"/>
          <w:szCs w:val="24"/>
          <w:highlight w:val="none"/>
          <w:lang w:eastAsia="zh-CN"/>
        </w:rPr>
        <w:t>冬季除冰雪、数据填报与管理、</w:t>
      </w:r>
      <w:r>
        <w:rPr>
          <w:rFonts w:hint="eastAsia" w:ascii="宋体" w:hAnsi="宋体" w:eastAsia="宋体" w:cs="宋体"/>
          <w:sz w:val="24"/>
          <w:szCs w:val="24"/>
          <w:highlight w:val="none"/>
          <w:lang w:val="en-US" w:eastAsia="zh-CN"/>
        </w:rPr>
        <w:t>安全管理、不可预见的专项养护</w:t>
      </w:r>
      <w:r>
        <w:rPr>
          <w:rFonts w:hint="eastAsia" w:ascii="宋体" w:hAnsi="宋体" w:eastAsia="宋体" w:cs="宋体"/>
          <w:b w:val="0"/>
          <w:sz w:val="24"/>
          <w:szCs w:val="24"/>
          <w:highlight w:val="none"/>
          <w:lang w:val="en-US" w:eastAsia="zh-CN"/>
        </w:rPr>
        <w:t>等工作的；</w:t>
      </w:r>
    </w:p>
    <w:p w14:paraId="74936B22">
      <w:pPr>
        <w:widowControl/>
        <w:numPr>
          <w:ilvl w:val="-1"/>
          <w:numId w:val="0"/>
        </w:numPr>
        <w:spacing w:before="114" w:line="264" w:lineRule="auto"/>
        <w:ind w:left="5" w:firstLine="490"/>
        <w:rPr>
          <w:rFonts w:hint="eastAsia" w:ascii="宋体" w:hAnsi="宋体" w:eastAsia="宋体" w:cs="宋体"/>
          <w:spacing w:val="4"/>
          <w:kern w:val="2"/>
          <w:sz w:val="24"/>
          <w:szCs w:val="24"/>
          <w:highlight w:val="none"/>
        </w:rPr>
      </w:pP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lang w:val="en-US" w:eastAsia="zh-CN"/>
        </w:rPr>
        <w:t>22</w:t>
      </w: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rPr>
        <w:t>应急响应及处置</w:t>
      </w:r>
      <w:r>
        <w:rPr>
          <w:rFonts w:hint="eastAsia" w:ascii="宋体" w:hAnsi="宋体" w:eastAsia="宋体" w:cs="宋体"/>
          <w:spacing w:val="4"/>
          <w:sz w:val="24"/>
          <w:szCs w:val="24"/>
          <w:highlight w:val="none"/>
          <w:lang w:val="en-US" w:eastAsia="zh-CN"/>
        </w:rPr>
        <w:t>时间</w:t>
      </w:r>
      <w:r>
        <w:rPr>
          <w:rFonts w:hint="eastAsia" w:ascii="宋体" w:hAnsi="宋体" w:eastAsia="宋体" w:cs="宋体"/>
          <w:spacing w:val="4"/>
          <w:sz w:val="24"/>
          <w:szCs w:val="24"/>
          <w:highlight w:val="none"/>
        </w:rPr>
        <w:t>超出合同约定的</w:t>
      </w:r>
      <w:r>
        <w:rPr>
          <w:rFonts w:hint="eastAsia" w:ascii="宋体" w:hAnsi="宋体" w:eastAsia="宋体" w:cs="宋体"/>
          <w:spacing w:val="4"/>
          <w:sz w:val="24"/>
          <w:szCs w:val="24"/>
          <w:highlight w:val="none"/>
          <w:lang w:eastAsia="zh-CN"/>
        </w:rPr>
        <w:t>；</w:t>
      </w:r>
    </w:p>
    <w:p w14:paraId="6CDEE9F4">
      <w:pPr>
        <w:widowControl/>
        <w:numPr>
          <w:ilvl w:val="-1"/>
          <w:numId w:val="0"/>
        </w:numPr>
        <w:spacing w:before="114" w:line="264" w:lineRule="auto"/>
        <w:ind w:left="5" w:firstLine="490"/>
        <w:rPr>
          <w:rFonts w:hint="eastAsia" w:ascii="宋体" w:hAnsi="宋体" w:eastAsia="宋体" w:cs="宋体"/>
          <w:spacing w:val="4"/>
          <w:kern w:val="2"/>
          <w:sz w:val="24"/>
          <w:szCs w:val="24"/>
          <w:highlight w:val="none"/>
        </w:rPr>
      </w:pPr>
      <w:r>
        <w:rPr>
          <w:rFonts w:hint="eastAsia" w:ascii="宋体" w:hAnsi="宋体" w:eastAsia="宋体" w:cs="宋体"/>
          <w:b w:val="0"/>
          <w:bCs w:val="0"/>
          <w:spacing w:val="4"/>
          <w:sz w:val="24"/>
          <w:szCs w:val="24"/>
          <w:highlight w:val="none"/>
          <w:shd w:val="clear"/>
          <w:lang w:eastAsia="zh-CN"/>
        </w:rPr>
        <w:t>（</w:t>
      </w:r>
      <w:r>
        <w:rPr>
          <w:rFonts w:hint="eastAsia" w:ascii="宋体" w:hAnsi="宋体" w:eastAsia="宋体" w:cs="宋体"/>
          <w:b w:val="0"/>
          <w:bCs w:val="0"/>
          <w:spacing w:val="4"/>
          <w:sz w:val="24"/>
          <w:szCs w:val="24"/>
          <w:highlight w:val="none"/>
          <w:shd w:val="clear"/>
          <w:lang w:val="en-US" w:eastAsia="zh-CN"/>
        </w:rPr>
        <w:t>23</w:t>
      </w:r>
      <w:r>
        <w:rPr>
          <w:rFonts w:hint="eastAsia" w:ascii="宋体" w:hAnsi="宋体" w:eastAsia="宋体" w:cs="宋体"/>
          <w:b w:val="0"/>
          <w:bCs w:val="0"/>
          <w:spacing w:val="4"/>
          <w:sz w:val="24"/>
          <w:szCs w:val="24"/>
          <w:highlight w:val="none"/>
          <w:shd w:val="clear"/>
          <w:lang w:eastAsia="zh-CN"/>
        </w:rPr>
        <w:t>）</w:t>
      </w:r>
      <w:r>
        <w:rPr>
          <w:rFonts w:hint="eastAsia" w:ascii="宋体" w:hAnsi="宋体" w:eastAsia="宋体" w:cs="宋体"/>
          <w:b w:val="0"/>
          <w:bCs w:val="0"/>
          <w:spacing w:val="4"/>
          <w:sz w:val="24"/>
          <w:szCs w:val="24"/>
          <w:highlight w:val="none"/>
          <w:shd w:val="clear"/>
        </w:rPr>
        <w:t>路面出现坑槽后，承包人在 24小时内未及时修补处置的；</w:t>
      </w:r>
    </w:p>
    <w:p w14:paraId="1F7D77FB">
      <w:pPr>
        <w:spacing w:before="112" w:line="264" w:lineRule="auto"/>
        <w:ind w:left="1" w:firstLine="490"/>
        <w:rPr>
          <w:rFonts w:hint="eastAsia" w:ascii="宋体" w:hAnsi="宋体" w:eastAsia="宋体" w:cs="宋体"/>
          <w:sz w:val="24"/>
          <w:szCs w:val="24"/>
          <w:highlight w:val="none"/>
          <w:lang w:eastAsia="zh-CN"/>
        </w:rPr>
      </w:pPr>
      <w:r>
        <w:rPr>
          <w:rFonts w:hint="eastAsia" w:ascii="宋体" w:hAnsi="宋体" w:eastAsia="宋体" w:cs="宋体"/>
          <w:spacing w:val="4"/>
          <w:sz w:val="24"/>
          <w:szCs w:val="24"/>
          <w:highlight w:val="none"/>
          <w:lang w:val="en-US" w:eastAsia="zh-CN"/>
        </w:rPr>
        <w:t>（24）因</w:t>
      </w:r>
      <w:r>
        <w:rPr>
          <w:rFonts w:hint="eastAsia" w:ascii="宋体" w:hAnsi="宋体" w:eastAsia="宋体" w:cs="宋体"/>
          <w:spacing w:val="4"/>
          <w:sz w:val="24"/>
          <w:szCs w:val="24"/>
          <w:highlight w:val="none"/>
        </w:rPr>
        <w:t>承包人不履行合同责任</w:t>
      </w: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lang w:val="en-US" w:eastAsia="zh-CN"/>
        </w:rPr>
        <w:t>引起群众投诉，造成</w:t>
      </w:r>
      <w:r>
        <w:rPr>
          <w:rFonts w:hint="eastAsia" w:ascii="宋体" w:hAnsi="宋体" w:eastAsia="宋体" w:cs="宋体"/>
          <w:spacing w:val="4"/>
          <w:sz w:val="24"/>
          <w:szCs w:val="24"/>
          <w:highlight w:val="none"/>
        </w:rPr>
        <w:t>不良社会影响</w:t>
      </w:r>
      <w:r>
        <w:rPr>
          <w:rFonts w:hint="eastAsia" w:ascii="宋体" w:hAnsi="宋体" w:eastAsia="宋体" w:cs="宋体"/>
          <w:spacing w:val="4"/>
          <w:sz w:val="24"/>
          <w:szCs w:val="24"/>
          <w:highlight w:val="none"/>
          <w:lang w:val="en-US" w:eastAsia="zh-CN"/>
        </w:rPr>
        <w:t>的；</w:t>
      </w:r>
    </w:p>
    <w:p w14:paraId="21EA0ECA">
      <w:pPr>
        <w:spacing w:before="112" w:line="264" w:lineRule="auto"/>
        <w:ind w:left="1" w:firstLine="490"/>
        <w:rPr>
          <w:rFonts w:hint="eastAsia" w:ascii="宋体" w:hAnsi="宋体" w:eastAsia="宋体" w:cs="宋体"/>
          <w:sz w:val="24"/>
          <w:szCs w:val="24"/>
          <w:lang w:eastAsia="zh-CN"/>
        </w:rPr>
      </w:pPr>
      <w:r>
        <w:rPr>
          <w:rFonts w:hint="eastAsia" w:ascii="宋体" w:hAnsi="宋体" w:eastAsia="宋体" w:cs="宋体"/>
          <w:sz w:val="24"/>
          <w:szCs w:val="24"/>
          <w:lang w:val="en-US" w:eastAsia="zh-CN"/>
        </w:rPr>
        <w:t>（25）因承包人原因，造成安全生产责任事故的</w:t>
      </w:r>
      <w:r>
        <w:rPr>
          <w:rFonts w:hint="eastAsia" w:ascii="宋体" w:hAnsi="宋体" w:eastAsia="宋体" w:cs="宋体"/>
          <w:sz w:val="24"/>
          <w:szCs w:val="24"/>
          <w:lang w:eastAsia="zh-CN"/>
        </w:rPr>
        <w:t>；</w:t>
      </w:r>
    </w:p>
    <w:p w14:paraId="50537441">
      <w:pPr>
        <w:spacing w:before="112" w:line="264" w:lineRule="auto"/>
        <w:ind w:left="1" w:firstLine="490"/>
        <w:rPr>
          <w:rFonts w:hint="eastAsia" w:ascii="宋体" w:hAnsi="宋体" w:eastAsia="宋体" w:cs="宋体"/>
          <w:sz w:val="24"/>
          <w:szCs w:val="24"/>
          <w:lang w:eastAsia="zh-CN"/>
        </w:rPr>
      </w:pPr>
      <w:r>
        <w:rPr>
          <w:rFonts w:hint="eastAsia" w:ascii="宋体" w:hAnsi="宋体" w:eastAsia="宋体" w:cs="宋体"/>
          <w:sz w:val="24"/>
          <w:szCs w:val="24"/>
          <w:lang w:val="en-US" w:eastAsia="zh-CN"/>
        </w:rPr>
        <w:t>（26）因</w:t>
      </w:r>
      <w:r>
        <w:rPr>
          <w:rFonts w:hint="eastAsia" w:ascii="宋体" w:hAnsi="宋体" w:eastAsia="宋体" w:cs="宋体"/>
          <w:sz w:val="24"/>
          <w:szCs w:val="24"/>
          <w:lang w:eastAsia="zh-CN"/>
        </w:rPr>
        <w:t>承包人不履行合同责任，</w:t>
      </w:r>
      <w:r>
        <w:rPr>
          <w:rFonts w:hint="eastAsia" w:ascii="宋体" w:hAnsi="宋体" w:eastAsia="宋体" w:cs="宋体"/>
          <w:sz w:val="24"/>
          <w:szCs w:val="24"/>
          <w:lang w:val="en-US" w:eastAsia="zh-CN"/>
        </w:rPr>
        <w:t>引起群众投诉，造成</w:t>
      </w:r>
      <w:r>
        <w:rPr>
          <w:rFonts w:hint="eastAsia" w:ascii="宋体" w:hAnsi="宋体" w:eastAsia="宋体" w:cs="宋体"/>
          <w:sz w:val="24"/>
          <w:szCs w:val="24"/>
          <w:lang w:eastAsia="zh-CN"/>
        </w:rPr>
        <w:t>不良社会影响</w:t>
      </w:r>
      <w:r>
        <w:rPr>
          <w:rFonts w:hint="eastAsia" w:ascii="宋体" w:hAnsi="宋体" w:eastAsia="宋体" w:cs="宋体"/>
          <w:sz w:val="24"/>
          <w:szCs w:val="24"/>
          <w:lang w:val="en-US" w:eastAsia="zh-CN"/>
        </w:rPr>
        <w:t>的；</w:t>
      </w:r>
    </w:p>
    <w:p w14:paraId="37CCB4A7">
      <w:pPr>
        <w:spacing w:before="112" w:line="264" w:lineRule="auto"/>
        <w:ind w:left="1" w:firstLine="490"/>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27）</w:t>
      </w:r>
      <w:r>
        <w:rPr>
          <w:rFonts w:hint="eastAsia" w:ascii="宋体" w:hAnsi="宋体" w:eastAsia="宋体" w:cs="宋体"/>
          <w:sz w:val="24"/>
          <w:szCs w:val="24"/>
          <w:lang w:eastAsia="zh-CN"/>
        </w:rPr>
        <w:t>未按下达的</w:t>
      </w:r>
      <w:r>
        <w:rPr>
          <w:rFonts w:hint="eastAsia" w:ascii="宋体" w:hAnsi="宋体" w:eastAsia="宋体" w:cs="宋体"/>
          <w:sz w:val="24"/>
          <w:szCs w:val="24"/>
          <w:lang w:val="en-US" w:eastAsia="zh-CN"/>
        </w:rPr>
        <w:t>日常保养（含绿化）</w:t>
      </w:r>
      <w:r>
        <w:rPr>
          <w:rFonts w:hint="eastAsia" w:ascii="宋体" w:hAnsi="宋体" w:eastAsia="宋体" w:cs="宋体"/>
          <w:sz w:val="24"/>
          <w:szCs w:val="24"/>
          <w:lang w:eastAsia="zh-CN"/>
        </w:rPr>
        <w:t>月度</w:t>
      </w:r>
      <w:r>
        <w:rPr>
          <w:rFonts w:hint="eastAsia" w:ascii="宋体" w:hAnsi="宋体" w:eastAsia="宋体" w:cs="宋体"/>
          <w:sz w:val="24"/>
          <w:szCs w:val="24"/>
          <w:lang w:val="en-US" w:eastAsia="zh-CN"/>
        </w:rPr>
        <w:t>养护</w:t>
      </w:r>
      <w:r>
        <w:rPr>
          <w:rFonts w:hint="eastAsia" w:ascii="宋体" w:hAnsi="宋体" w:eastAsia="宋体" w:cs="宋体"/>
          <w:sz w:val="24"/>
          <w:szCs w:val="24"/>
          <w:lang w:eastAsia="zh-CN"/>
        </w:rPr>
        <w:t>作业计划或工作</w:t>
      </w:r>
      <w:r>
        <w:rPr>
          <w:rFonts w:hint="eastAsia" w:ascii="宋体" w:hAnsi="宋体" w:eastAsia="宋体" w:cs="宋体"/>
          <w:sz w:val="24"/>
          <w:szCs w:val="24"/>
          <w:lang w:val="en-US" w:eastAsia="zh-CN"/>
        </w:rPr>
        <w:t>任务</w:t>
      </w:r>
      <w:r>
        <w:rPr>
          <w:rFonts w:hint="eastAsia" w:ascii="宋体" w:hAnsi="宋体" w:eastAsia="宋体" w:cs="宋体"/>
          <w:sz w:val="24"/>
          <w:szCs w:val="24"/>
          <w:lang w:eastAsia="zh-CN"/>
        </w:rPr>
        <w:t>指令完成的；</w:t>
      </w:r>
    </w:p>
    <w:p w14:paraId="29CD824F">
      <w:pPr>
        <w:spacing w:before="112" w:line="264" w:lineRule="auto"/>
        <w:ind w:left="1" w:firstLine="490"/>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28）</w:t>
      </w:r>
      <w:r>
        <w:rPr>
          <w:rFonts w:hint="eastAsia" w:ascii="宋体" w:hAnsi="宋体" w:eastAsia="宋体" w:cs="宋体"/>
          <w:sz w:val="24"/>
          <w:szCs w:val="24"/>
          <w:lang w:eastAsia="zh-CN"/>
        </w:rPr>
        <w:t>因日常养护工作受到</w:t>
      </w:r>
      <w:r>
        <w:rPr>
          <w:rFonts w:hint="eastAsia" w:ascii="宋体" w:hAnsi="宋体" w:eastAsia="宋体" w:cs="宋体"/>
          <w:sz w:val="24"/>
          <w:szCs w:val="24"/>
          <w:lang w:val="en-US" w:eastAsia="zh-CN"/>
        </w:rPr>
        <w:t>上级主管部门下发</w:t>
      </w:r>
      <w:r>
        <w:rPr>
          <w:rFonts w:hint="eastAsia" w:ascii="宋体" w:hAnsi="宋体" w:eastAsia="宋体" w:cs="宋体"/>
          <w:sz w:val="24"/>
          <w:szCs w:val="24"/>
          <w:lang w:eastAsia="zh-CN"/>
        </w:rPr>
        <w:t>整改通知、警告、通报的；</w:t>
      </w:r>
    </w:p>
    <w:p w14:paraId="3A2D574E">
      <w:pPr>
        <w:spacing w:before="112" w:line="264" w:lineRule="auto"/>
        <w:ind w:left="1" w:firstLine="490"/>
        <w:rPr>
          <w:rFonts w:hint="eastAsia" w:ascii="宋体" w:hAnsi="宋体" w:eastAsia="宋体" w:cs="宋体"/>
          <w:sz w:val="24"/>
          <w:szCs w:val="24"/>
          <w:lang w:eastAsia="zh-CN"/>
        </w:rPr>
      </w:pPr>
      <w:r>
        <w:rPr>
          <w:rFonts w:hint="eastAsia" w:ascii="宋体" w:hAnsi="宋体" w:eastAsia="宋体" w:cs="宋体"/>
          <w:sz w:val="24"/>
          <w:szCs w:val="24"/>
          <w:lang w:val="en-US" w:eastAsia="zh-CN"/>
        </w:rPr>
        <w:t>（29）因日常保养（含绿化）问题，造成损失或社会不良影响的；</w:t>
      </w:r>
    </w:p>
    <w:p w14:paraId="4C40367C">
      <w:pPr>
        <w:spacing w:before="112" w:line="264" w:lineRule="auto"/>
        <w:ind w:left="1" w:firstLine="490"/>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22.1.2  对承包人违约的处理</w:t>
      </w:r>
    </w:p>
    <w:p w14:paraId="7C4A1622">
      <w:pPr>
        <w:spacing w:before="114" w:line="264" w:lineRule="auto"/>
        <w:ind w:left="2" w:firstLine="489"/>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第</w:t>
      </w:r>
      <w:r>
        <w:rPr>
          <w:rFonts w:hint="eastAsia" w:ascii="宋体" w:hAnsi="宋体" w:eastAsia="宋体" w:cs="宋体"/>
          <w:spacing w:val="-54"/>
          <w:sz w:val="24"/>
          <w:szCs w:val="24"/>
          <w:lang w:eastAsia="zh-CN"/>
        </w:rPr>
        <w:t xml:space="preserve"> </w:t>
      </w:r>
      <w:r>
        <w:rPr>
          <w:rFonts w:hint="eastAsia" w:ascii="宋体" w:hAnsi="宋体" w:eastAsia="宋体" w:cs="宋体"/>
          <w:spacing w:val="-4"/>
          <w:sz w:val="24"/>
          <w:szCs w:val="24"/>
          <w:lang w:eastAsia="zh-CN"/>
        </w:rPr>
        <w:t>22.1.2 项第（4）</w:t>
      </w:r>
      <w:r>
        <w:rPr>
          <w:rFonts w:hint="eastAsia" w:ascii="宋体" w:hAnsi="宋体" w:eastAsia="宋体" w:cs="宋体"/>
          <w:spacing w:val="-65"/>
          <w:sz w:val="24"/>
          <w:szCs w:val="24"/>
          <w:lang w:eastAsia="zh-CN"/>
        </w:rPr>
        <w:t xml:space="preserve"> </w:t>
      </w:r>
      <w:r>
        <w:rPr>
          <w:rFonts w:hint="eastAsia" w:ascii="宋体" w:hAnsi="宋体" w:eastAsia="宋体" w:cs="宋体"/>
          <w:spacing w:val="-4"/>
          <w:sz w:val="24"/>
          <w:szCs w:val="24"/>
          <w:lang w:eastAsia="zh-CN"/>
        </w:rPr>
        <w:t>目修改为：</w:t>
      </w:r>
    </w:p>
    <w:p w14:paraId="75DB572F">
      <w:pPr>
        <w:spacing w:before="126" w:line="307" w:lineRule="auto"/>
        <w:ind w:left="1" w:right="2" w:firstLine="490"/>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（4）当承包人发生除第</w:t>
      </w:r>
      <w:r>
        <w:rPr>
          <w:rFonts w:hint="eastAsia" w:ascii="宋体" w:hAnsi="宋体" w:eastAsia="宋体" w:cs="宋体"/>
          <w:spacing w:val="-48"/>
          <w:sz w:val="24"/>
          <w:szCs w:val="24"/>
          <w:lang w:eastAsia="zh-CN"/>
        </w:rPr>
        <w:t xml:space="preserve"> </w:t>
      </w:r>
      <w:r>
        <w:rPr>
          <w:rFonts w:hint="eastAsia" w:ascii="宋体" w:hAnsi="宋体" w:eastAsia="宋体" w:cs="宋体"/>
          <w:spacing w:val="3"/>
          <w:sz w:val="24"/>
          <w:szCs w:val="24"/>
          <w:lang w:eastAsia="zh-CN"/>
        </w:rPr>
        <w:t>22.1.1（11）</w:t>
      </w:r>
      <w:r>
        <w:rPr>
          <w:rFonts w:hint="eastAsia" w:ascii="宋体" w:hAnsi="宋体" w:eastAsia="宋体" w:cs="宋体"/>
          <w:spacing w:val="-55"/>
          <w:sz w:val="24"/>
          <w:szCs w:val="24"/>
          <w:lang w:eastAsia="zh-CN"/>
        </w:rPr>
        <w:t xml:space="preserve"> </w:t>
      </w:r>
      <w:r>
        <w:rPr>
          <w:rFonts w:hint="eastAsia" w:ascii="宋体" w:hAnsi="宋体" w:eastAsia="宋体" w:cs="宋体"/>
          <w:spacing w:val="3"/>
          <w:sz w:val="24"/>
          <w:szCs w:val="24"/>
          <w:lang w:val="en-US" w:eastAsia="zh-CN"/>
        </w:rPr>
        <w:t>的</w:t>
      </w:r>
      <w:r>
        <w:rPr>
          <w:rFonts w:hint="eastAsia" w:ascii="宋体" w:hAnsi="宋体" w:eastAsia="宋体" w:cs="宋体"/>
          <w:spacing w:val="3"/>
          <w:sz w:val="24"/>
          <w:szCs w:val="24"/>
          <w:lang w:eastAsia="zh-CN"/>
        </w:rPr>
        <w:t>约定以外的其他违约情况时，发包人</w:t>
      </w:r>
      <w:r>
        <w:rPr>
          <w:rFonts w:hint="eastAsia" w:ascii="宋体" w:hAnsi="宋体" w:eastAsia="宋体" w:cs="宋体"/>
          <w:sz w:val="24"/>
          <w:szCs w:val="24"/>
          <w:lang w:eastAsia="zh-CN"/>
        </w:rPr>
        <w:t>有权向承包人课以违约金，具体约定如下：</w:t>
      </w:r>
      <w:r>
        <w:rPr>
          <w:rFonts w:hint="eastAsia" w:ascii="宋体" w:hAnsi="宋体" w:eastAsia="宋体" w:cs="宋体"/>
          <w:sz w:val="24"/>
          <w:szCs w:val="24"/>
          <w:u w:val="single"/>
          <w:lang w:eastAsia="zh-CN"/>
        </w:rPr>
        <w:t xml:space="preserve"> 《广西壮族自治区桂林公路发展中心公路养护服务工作要求及考核办法》</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w:t>
      </w:r>
    </w:p>
    <w:p w14:paraId="7289A1E4">
      <w:pPr>
        <w:spacing w:line="219" w:lineRule="auto"/>
        <w:ind w:left="480"/>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补充第</w:t>
      </w:r>
      <w:r>
        <w:rPr>
          <w:rFonts w:hint="eastAsia" w:ascii="宋体" w:hAnsi="宋体" w:eastAsia="宋体" w:cs="宋体"/>
          <w:spacing w:val="-54"/>
          <w:sz w:val="24"/>
          <w:szCs w:val="24"/>
          <w:lang w:eastAsia="zh-CN"/>
        </w:rPr>
        <w:t xml:space="preserve"> </w:t>
      </w:r>
      <w:r>
        <w:rPr>
          <w:rFonts w:hint="eastAsia" w:ascii="宋体" w:hAnsi="宋体" w:eastAsia="宋体" w:cs="宋体"/>
          <w:spacing w:val="-2"/>
          <w:sz w:val="24"/>
          <w:szCs w:val="24"/>
          <w:lang w:eastAsia="zh-CN"/>
        </w:rPr>
        <w:t>22.1.2 项第（5</w:t>
      </w:r>
      <w:r>
        <w:rPr>
          <w:rFonts w:hint="eastAsia" w:ascii="宋体" w:hAnsi="宋体" w:eastAsia="宋体" w:cs="宋体"/>
          <w:spacing w:val="-12"/>
          <w:sz w:val="24"/>
          <w:szCs w:val="24"/>
          <w:lang w:eastAsia="zh-CN"/>
        </w:rPr>
        <w:t>）～（</w:t>
      </w:r>
      <w:r>
        <w:rPr>
          <w:rFonts w:hint="eastAsia" w:ascii="宋体" w:hAnsi="宋体" w:eastAsia="宋体" w:cs="宋体"/>
          <w:spacing w:val="-2"/>
          <w:sz w:val="24"/>
          <w:szCs w:val="24"/>
          <w:lang w:eastAsia="zh-CN"/>
        </w:rPr>
        <w:t>6）</w:t>
      </w:r>
      <w:r>
        <w:rPr>
          <w:rFonts w:hint="eastAsia" w:ascii="宋体" w:hAnsi="宋体" w:eastAsia="宋体" w:cs="宋体"/>
          <w:spacing w:val="-65"/>
          <w:sz w:val="24"/>
          <w:szCs w:val="24"/>
          <w:lang w:eastAsia="zh-CN"/>
        </w:rPr>
        <w:t xml:space="preserve"> </w:t>
      </w:r>
      <w:r>
        <w:rPr>
          <w:rFonts w:hint="eastAsia" w:ascii="宋体" w:hAnsi="宋体" w:eastAsia="宋体" w:cs="宋体"/>
          <w:spacing w:val="-2"/>
          <w:sz w:val="24"/>
          <w:szCs w:val="24"/>
          <w:lang w:eastAsia="zh-CN"/>
        </w:rPr>
        <w:t>目：</w:t>
      </w:r>
    </w:p>
    <w:p w14:paraId="43076A0B">
      <w:pPr>
        <w:spacing w:before="119" w:line="291" w:lineRule="auto"/>
        <w:ind w:left="1" w:firstLine="490"/>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（5）若承包人未能满足标准规范和合同约定的绩效服务水平，则承包人</w:t>
      </w:r>
      <w:r>
        <w:rPr>
          <w:rFonts w:hint="eastAsia" w:ascii="宋体" w:hAnsi="宋体" w:eastAsia="宋体" w:cs="宋体"/>
          <w:spacing w:val="3"/>
          <w:sz w:val="24"/>
          <w:szCs w:val="24"/>
          <w:lang w:eastAsia="zh-CN"/>
        </w:rPr>
        <w:t>应自</w:t>
      </w:r>
      <w:r>
        <w:rPr>
          <w:rFonts w:hint="eastAsia" w:ascii="宋体" w:hAnsi="宋体" w:eastAsia="宋体" w:cs="宋体"/>
          <w:spacing w:val="1"/>
          <w:sz w:val="24"/>
          <w:szCs w:val="24"/>
          <w:lang w:eastAsia="zh-CN"/>
        </w:rPr>
        <w:t>费对合同约定范围内的公路设施实施必要的局部维修或</w:t>
      </w:r>
      <w:r>
        <w:rPr>
          <w:rFonts w:hint="eastAsia" w:ascii="宋体" w:hAnsi="宋体" w:eastAsia="宋体" w:cs="宋体"/>
          <w:sz w:val="24"/>
          <w:szCs w:val="24"/>
          <w:lang w:val="en-US" w:eastAsia="zh-CN"/>
        </w:rPr>
        <w:t>日常保养</w:t>
      </w:r>
      <w:r>
        <w:rPr>
          <w:rFonts w:hint="eastAsia" w:ascii="宋体" w:hAnsi="宋体" w:eastAsia="宋体" w:cs="宋体"/>
          <w:sz w:val="24"/>
          <w:szCs w:val="24"/>
          <w:lang w:eastAsia="zh-CN"/>
        </w:rPr>
        <w:t>，以达到标准规范</w:t>
      </w:r>
      <w:r>
        <w:rPr>
          <w:rFonts w:hint="eastAsia" w:ascii="宋体" w:hAnsi="宋体" w:eastAsia="宋体" w:cs="宋体"/>
          <w:spacing w:val="1"/>
          <w:sz w:val="24"/>
          <w:szCs w:val="24"/>
          <w:lang w:eastAsia="zh-CN"/>
        </w:rPr>
        <w:t>和合同约定的绩效服务水平。若承包人通过前述工作仍</w:t>
      </w:r>
      <w:r>
        <w:rPr>
          <w:rFonts w:hint="eastAsia" w:ascii="宋体" w:hAnsi="宋体" w:eastAsia="宋体" w:cs="宋体"/>
          <w:sz w:val="24"/>
          <w:szCs w:val="24"/>
          <w:lang w:eastAsia="zh-CN"/>
        </w:rPr>
        <w:t>无法满足标准规范和合同约</w:t>
      </w:r>
      <w:r>
        <w:rPr>
          <w:rFonts w:hint="eastAsia" w:ascii="宋体" w:hAnsi="宋体" w:eastAsia="宋体" w:cs="宋体"/>
          <w:spacing w:val="1"/>
          <w:sz w:val="24"/>
          <w:szCs w:val="24"/>
          <w:lang w:eastAsia="zh-CN"/>
        </w:rPr>
        <w:t>定的绩效服务水平，则发包人可终止合同，且承包人应</w:t>
      </w:r>
      <w:r>
        <w:rPr>
          <w:rFonts w:hint="eastAsia" w:ascii="宋体" w:hAnsi="宋体" w:eastAsia="宋体" w:cs="宋体"/>
          <w:sz w:val="24"/>
          <w:szCs w:val="24"/>
          <w:lang w:eastAsia="zh-CN"/>
        </w:rPr>
        <w:t>按照合同约定支付违约赔偿</w:t>
      </w:r>
      <w:r>
        <w:rPr>
          <w:rFonts w:hint="eastAsia" w:ascii="宋体" w:hAnsi="宋体" w:eastAsia="宋体" w:cs="宋体"/>
          <w:spacing w:val="-6"/>
          <w:sz w:val="24"/>
          <w:szCs w:val="24"/>
          <w:lang w:eastAsia="zh-CN"/>
        </w:rPr>
        <w:t>金。</w:t>
      </w:r>
    </w:p>
    <w:p w14:paraId="34951478">
      <w:pPr>
        <w:spacing w:before="96" w:line="263" w:lineRule="auto"/>
        <w:ind w:left="1" w:firstLine="490"/>
        <w:rPr>
          <w:rFonts w:hint="eastAsia" w:ascii="宋体" w:hAnsi="宋体" w:eastAsia="宋体" w:cs="宋体"/>
          <w:sz w:val="24"/>
          <w:szCs w:val="24"/>
          <w:lang w:eastAsia="zh-CN"/>
        </w:rPr>
      </w:pPr>
      <w:r>
        <w:rPr>
          <w:rFonts w:hint="eastAsia" w:ascii="宋体" w:hAnsi="宋体" w:eastAsia="宋体" w:cs="宋体"/>
          <w:spacing w:val="4"/>
          <w:sz w:val="24"/>
          <w:szCs w:val="24"/>
          <w:lang w:eastAsia="zh-CN"/>
        </w:rPr>
        <w:t>（6）承包人养护不到位出现以下情况，发包人有权单方面解除合同并视</w:t>
      </w:r>
      <w:r>
        <w:rPr>
          <w:rFonts w:hint="eastAsia" w:ascii="宋体" w:hAnsi="宋体" w:eastAsia="宋体" w:cs="宋体"/>
          <w:spacing w:val="3"/>
          <w:sz w:val="24"/>
          <w:szCs w:val="24"/>
          <w:lang w:eastAsia="zh-CN"/>
        </w:rPr>
        <w:t>情节</w:t>
      </w:r>
      <w:r>
        <w:rPr>
          <w:rFonts w:hint="eastAsia" w:ascii="宋体" w:hAnsi="宋体" w:eastAsia="宋体" w:cs="宋体"/>
          <w:spacing w:val="-1"/>
          <w:sz w:val="24"/>
          <w:szCs w:val="24"/>
          <w:lang w:eastAsia="zh-CN"/>
        </w:rPr>
        <w:t>严重程度追究承包人相关责任：</w:t>
      </w:r>
    </w:p>
    <w:p w14:paraId="5083E80E">
      <w:pPr>
        <w:spacing w:before="117" w:line="263" w:lineRule="auto"/>
        <w:ind w:left="1" w:firstLine="478"/>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① 公路技术状况指标均值</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val="en-US" w:eastAsia="zh-CN"/>
        </w:rPr>
        <w:t xml:space="preserve"> </w:t>
      </w:r>
      <w:r>
        <w:rPr>
          <w:rFonts w:hint="eastAsia" w:ascii="宋体" w:hAnsi="宋体" w:eastAsia="宋体" w:cs="宋体"/>
          <w:sz w:val="24"/>
          <w:szCs w:val="24"/>
          <w:u w:val="single"/>
          <w:lang w:val="en-US" w:eastAsia="zh-CN"/>
        </w:rPr>
        <w:t>/</w:t>
      </w:r>
      <w:r>
        <w:rPr>
          <w:rFonts w:hint="eastAsia" w:ascii="宋体" w:hAnsi="宋体" w:eastAsia="宋体" w:cs="宋体"/>
          <w:spacing w:val="1"/>
          <w:sz w:val="24"/>
          <w:szCs w:val="24"/>
          <w:u w:val="single"/>
          <w:lang w:val="en-US" w:eastAsia="zh-CN"/>
        </w:rPr>
        <w:t xml:space="preserve"> </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w:t>
      </w:r>
      <w:r>
        <w:rPr>
          <w:rFonts w:hint="eastAsia" w:ascii="宋体" w:hAnsi="宋体" w:eastAsia="宋体" w:cs="宋体"/>
          <w:sz w:val="24"/>
          <w:szCs w:val="24"/>
          <w:lang w:eastAsia="zh-CN"/>
        </w:rPr>
        <w:t>PQI</w:t>
      </w:r>
      <w:r>
        <w:rPr>
          <w:rFonts w:hint="eastAsia" w:ascii="宋体" w:hAnsi="宋体" w:eastAsia="宋体" w:cs="宋体"/>
          <w:spacing w:val="-32"/>
          <w:sz w:val="24"/>
          <w:szCs w:val="24"/>
          <w:lang w:eastAsia="zh-CN"/>
        </w:rPr>
        <w:t xml:space="preserve"> </w:t>
      </w:r>
      <w:r>
        <w:rPr>
          <w:rFonts w:hint="eastAsia" w:ascii="宋体" w:hAnsi="宋体" w:eastAsia="宋体" w:cs="宋体"/>
          <w:spacing w:val="1"/>
          <w:sz w:val="24"/>
          <w:szCs w:val="24"/>
          <w:lang w:eastAsia="zh-CN"/>
        </w:rPr>
        <w:t>、</w:t>
      </w:r>
      <w:r>
        <w:rPr>
          <w:rFonts w:hint="eastAsia" w:ascii="宋体" w:hAnsi="宋体" w:eastAsia="宋体" w:cs="宋体"/>
          <w:sz w:val="24"/>
          <w:szCs w:val="24"/>
          <w:lang w:eastAsia="zh-CN"/>
        </w:rPr>
        <w:t>MQI</w:t>
      </w:r>
      <w:r>
        <w:rPr>
          <w:rFonts w:hint="eastAsia" w:ascii="宋体" w:hAnsi="宋体" w:eastAsia="宋体" w:cs="宋体"/>
          <w:spacing w:val="1"/>
          <w:sz w:val="24"/>
          <w:szCs w:val="24"/>
          <w:lang w:eastAsia="zh-CN"/>
        </w:rPr>
        <w:t xml:space="preserve"> 或</w:t>
      </w:r>
      <w:r>
        <w:rPr>
          <w:rFonts w:hint="eastAsia" w:ascii="宋体" w:hAnsi="宋体" w:eastAsia="宋体" w:cs="宋体"/>
          <w:sz w:val="24"/>
          <w:szCs w:val="24"/>
          <w:lang w:eastAsia="zh-CN"/>
        </w:rPr>
        <w:t>约定的其他指标）累计</w:t>
      </w:r>
      <w:r>
        <w:rPr>
          <w:rFonts w:hint="eastAsia" w:ascii="宋体" w:hAnsi="宋体" w:eastAsia="宋体" w:cs="宋体"/>
          <w:spacing w:val="-116"/>
          <w:sz w:val="24"/>
          <w:szCs w:val="24"/>
          <w:lang w:eastAsia="zh-CN"/>
        </w:rPr>
        <w:t xml:space="preserve"> </w:t>
      </w:r>
      <w:r>
        <w:rPr>
          <w:rFonts w:hint="eastAsia" w:ascii="宋体" w:hAnsi="宋体" w:eastAsia="宋体" w:cs="宋体"/>
          <w:spacing w:val="2"/>
          <w:sz w:val="24"/>
          <w:szCs w:val="24"/>
          <w:u w:val="single"/>
          <w:lang w:eastAsia="zh-CN"/>
        </w:rPr>
        <w:t xml:space="preserve">  </w:t>
      </w:r>
      <w:r>
        <w:rPr>
          <w:rFonts w:hint="eastAsia" w:ascii="宋体" w:hAnsi="宋体" w:eastAsia="宋体" w:cs="宋体"/>
          <w:spacing w:val="2"/>
          <w:sz w:val="24"/>
          <w:szCs w:val="24"/>
          <w:u w:val="single"/>
          <w:lang w:val="en-US" w:eastAsia="zh-CN"/>
        </w:rPr>
        <w:t>/</w:t>
      </w:r>
      <w:r>
        <w:rPr>
          <w:rFonts w:hint="eastAsia" w:ascii="宋体" w:hAnsi="宋体" w:eastAsia="宋体" w:cs="宋体"/>
          <w:spacing w:val="2"/>
          <w:sz w:val="24"/>
          <w:szCs w:val="24"/>
          <w:u w:val="single"/>
          <w:lang w:eastAsia="zh-CN"/>
        </w:rPr>
        <w:t xml:space="preserve">  </w:t>
      </w:r>
      <w:r>
        <w:rPr>
          <w:rFonts w:hint="eastAsia" w:ascii="宋体" w:hAnsi="宋体" w:eastAsia="宋体" w:cs="宋体"/>
          <w:spacing w:val="-108"/>
          <w:sz w:val="24"/>
          <w:szCs w:val="24"/>
          <w:lang w:eastAsia="zh-CN"/>
        </w:rPr>
        <w:t xml:space="preserve"> </w:t>
      </w:r>
      <w:r>
        <w:rPr>
          <w:rFonts w:hint="eastAsia" w:ascii="宋体" w:hAnsi="宋体" w:eastAsia="宋体" w:cs="宋体"/>
          <w:sz w:val="24"/>
          <w:szCs w:val="24"/>
          <w:lang w:eastAsia="zh-CN"/>
        </w:rPr>
        <w:t>个</w:t>
      </w:r>
      <w:r>
        <w:rPr>
          <w:rFonts w:hint="eastAsia" w:ascii="宋体" w:hAnsi="宋体" w:eastAsia="宋体" w:cs="宋体"/>
          <w:spacing w:val="-1"/>
          <w:sz w:val="24"/>
          <w:szCs w:val="24"/>
          <w:lang w:eastAsia="zh-CN"/>
        </w:rPr>
        <w:t>年度（季度或约定的其他时间周期）低于</w:t>
      </w:r>
      <w:r>
        <w:rPr>
          <w:rFonts w:hint="eastAsia" w:ascii="宋体" w:hAnsi="宋体" w:eastAsia="宋体" w:cs="宋体"/>
          <w:spacing w:val="-103"/>
          <w:sz w:val="24"/>
          <w:szCs w:val="24"/>
          <w:lang w:eastAsia="zh-CN"/>
        </w:rPr>
        <w:t xml:space="preserve"> </w:t>
      </w:r>
      <w:r>
        <w:rPr>
          <w:rFonts w:hint="eastAsia" w:ascii="宋体" w:hAnsi="宋体" w:eastAsia="宋体" w:cs="宋体"/>
          <w:spacing w:val="-1"/>
          <w:sz w:val="24"/>
          <w:szCs w:val="24"/>
          <w:u w:val="single"/>
          <w:lang w:val="en-US" w:eastAsia="zh-CN"/>
        </w:rPr>
        <w:t xml:space="preserve">  /  </w:t>
      </w:r>
      <w:r>
        <w:rPr>
          <w:rFonts w:hint="eastAsia" w:ascii="宋体" w:hAnsi="宋体" w:eastAsia="宋体" w:cs="宋体"/>
          <w:spacing w:val="-1"/>
          <w:sz w:val="24"/>
          <w:szCs w:val="24"/>
          <w:lang w:eastAsia="zh-CN"/>
        </w:rPr>
        <w:t>；</w:t>
      </w:r>
    </w:p>
    <w:p w14:paraId="1F298AE2">
      <w:pPr>
        <w:spacing w:before="115" w:line="264" w:lineRule="auto"/>
        <w:ind w:left="2" w:firstLine="476"/>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② 桥梁、隧道累计</w:t>
      </w:r>
      <w:r>
        <w:rPr>
          <w:rFonts w:hint="eastAsia" w:ascii="宋体" w:hAnsi="宋体" w:eastAsia="宋体" w:cs="宋体"/>
          <w:spacing w:val="-98"/>
          <w:sz w:val="24"/>
          <w:szCs w:val="24"/>
          <w:lang w:eastAsia="zh-CN"/>
        </w:rPr>
        <w:t xml:space="preserve"> </w:t>
      </w:r>
      <w:r>
        <w:rPr>
          <w:rFonts w:hint="eastAsia" w:ascii="宋体" w:hAnsi="宋体" w:eastAsia="宋体" w:cs="宋体"/>
          <w:spacing w:val="4"/>
          <w:sz w:val="24"/>
          <w:szCs w:val="24"/>
          <w:u w:val="single"/>
          <w:lang w:eastAsia="zh-CN"/>
        </w:rPr>
        <w:t xml:space="preserve"> </w:t>
      </w:r>
      <w:r>
        <w:rPr>
          <w:rFonts w:hint="eastAsia" w:ascii="宋体" w:hAnsi="宋体" w:eastAsia="宋体" w:cs="宋体"/>
          <w:spacing w:val="4"/>
          <w:sz w:val="24"/>
          <w:szCs w:val="24"/>
          <w:u w:val="single"/>
          <w:lang w:val="en-US" w:eastAsia="zh-CN"/>
        </w:rPr>
        <w:t>/</w:t>
      </w:r>
      <w:r>
        <w:rPr>
          <w:rFonts w:hint="eastAsia" w:ascii="宋体" w:hAnsi="宋体" w:eastAsia="宋体" w:cs="宋体"/>
          <w:spacing w:val="4"/>
          <w:sz w:val="24"/>
          <w:szCs w:val="24"/>
          <w:u w:val="single"/>
          <w:lang w:eastAsia="zh-CN"/>
        </w:rPr>
        <w:t xml:space="preserve"> </w:t>
      </w:r>
      <w:r>
        <w:rPr>
          <w:rFonts w:hint="eastAsia" w:ascii="宋体" w:hAnsi="宋体" w:eastAsia="宋体" w:cs="宋体"/>
          <w:spacing w:val="-107"/>
          <w:sz w:val="24"/>
          <w:szCs w:val="24"/>
          <w:lang w:eastAsia="zh-CN"/>
        </w:rPr>
        <w:t xml:space="preserve"> </w:t>
      </w:r>
      <w:r>
        <w:rPr>
          <w:rFonts w:hint="eastAsia" w:ascii="宋体" w:hAnsi="宋体" w:eastAsia="宋体" w:cs="宋体"/>
          <w:spacing w:val="3"/>
          <w:sz w:val="24"/>
          <w:szCs w:val="24"/>
          <w:lang w:eastAsia="zh-CN"/>
        </w:rPr>
        <w:t>个年度（季度或约定的其他时间周期）出现技术状况</w:t>
      </w:r>
      <w:r>
        <w:rPr>
          <w:rFonts w:hint="eastAsia" w:ascii="宋体" w:hAnsi="宋体" w:eastAsia="宋体" w:cs="宋体"/>
          <w:spacing w:val="-1"/>
          <w:sz w:val="24"/>
          <w:szCs w:val="24"/>
          <w:lang w:eastAsia="zh-CN"/>
        </w:rPr>
        <w:t>等级为</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val="en-US" w:eastAsia="zh-CN"/>
        </w:rPr>
        <w:t>/</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类及以下结构物；</w:t>
      </w:r>
    </w:p>
    <w:p w14:paraId="09149E34">
      <w:pPr>
        <w:spacing w:before="114" w:line="264" w:lineRule="auto"/>
        <w:ind w:left="4" w:right="2" w:firstLine="474"/>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③ 养护绩效服务水平评分</w:t>
      </w:r>
      <w:r>
        <w:rPr>
          <w:rFonts w:hint="eastAsia" w:ascii="宋体" w:hAnsi="宋体" w:eastAsia="宋体" w:cs="宋体"/>
          <w:spacing w:val="-98"/>
          <w:sz w:val="24"/>
          <w:szCs w:val="24"/>
          <w:lang w:eastAsia="zh-CN"/>
        </w:rPr>
        <w:t xml:space="preserve"> </w:t>
      </w:r>
      <w:r>
        <w:rPr>
          <w:rFonts w:hint="eastAsia" w:ascii="宋体" w:hAnsi="宋体" w:eastAsia="宋体" w:cs="宋体"/>
          <w:spacing w:val="4"/>
          <w:sz w:val="24"/>
          <w:szCs w:val="24"/>
          <w:u w:val="single"/>
          <w:lang w:eastAsia="zh-CN"/>
        </w:rPr>
        <w:t xml:space="preserve"> </w:t>
      </w:r>
      <w:r>
        <w:rPr>
          <w:rFonts w:hint="eastAsia" w:ascii="宋体" w:hAnsi="宋体" w:eastAsia="宋体" w:cs="宋体"/>
          <w:color w:val="auto"/>
          <w:sz w:val="24"/>
          <w:szCs w:val="24"/>
          <w:highlight w:val="none"/>
          <w:u w:val="single"/>
        </w:rPr>
        <w:t>一个合同年度内连续2个月或累计3个月</w:t>
      </w:r>
      <w:r>
        <w:rPr>
          <w:rFonts w:hint="eastAsia" w:ascii="宋体" w:hAnsi="宋体" w:eastAsia="宋体" w:cs="宋体"/>
          <w:spacing w:val="4"/>
          <w:sz w:val="24"/>
          <w:szCs w:val="24"/>
          <w:u w:val="single"/>
          <w:lang w:eastAsia="zh-CN"/>
        </w:rPr>
        <w:t xml:space="preserve">   </w:t>
      </w:r>
      <w:r>
        <w:rPr>
          <w:rFonts w:hint="eastAsia" w:ascii="宋体" w:hAnsi="宋体" w:eastAsia="宋体" w:cs="宋体"/>
          <w:spacing w:val="-109"/>
          <w:sz w:val="24"/>
          <w:szCs w:val="24"/>
          <w:lang w:eastAsia="zh-CN"/>
        </w:rPr>
        <w:t xml:space="preserve"> </w:t>
      </w:r>
      <w:r>
        <w:rPr>
          <w:rFonts w:hint="eastAsia" w:ascii="宋体" w:hAnsi="宋体" w:eastAsia="宋体" w:cs="宋体"/>
          <w:spacing w:val="3"/>
          <w:sz w:val="24"/>
          <w:szCs w:val="24"/>
          <w:lang w:eastAsia="zh-CN"/>
        </w:rPr>
        <w:t>（季度或约定的其他时间周期）低</w:t>
      </w:r>
      <w:r>
        <w:rPr>
          <w:rFonts w:hint="eastAsia" w:ascii="宋体" w:hAnsi="宋体" w:eastAsia="宋体" w:cs="宋体"/>
          <w:spacing w:val="-9"/>
          <w:sz w:val="24"/>
          <w:szCs w:val="24"/>
          <w:lang w:eastAsia="zh-CN"/>
        </w:rPr>
        <w:t>于</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70</w:t>
      </w:r>
      <w:r>
        <w:rPr>
          <w:rFonts w:hint="eastAsia" w:ascii="宋体" w:hAnsi="宋体" w:eastAsia="宋体" w:cs="宋体"/>
          <w:sz w:val="24"/>
          <w:szCs w:val="24"/>
          <w:u w:val="single"/>
          <w:lang w:eastAsia="zh-CN"/>
        </w:rPr>
        <w:t xml:space="preserve">  </w:t>
      </w:r>
      <w:r>
        <w:rPr>
          <w:rFonts w:hint="eastAsia" w:ascii="宋体" w:hAnsi="宋体" w:eastAsia="宋体" w:cs="宋体"/>
          <w:spacing w:val="-108"/>
          <w:sz w:val="24"/>
          <w:szCs w:val="24"/>
          <w:lang w:eastAsia="zh-CN"/>
        </w:rPr>
        <w:t xml:space="preserve"> </w:t>
      </w:r>
      <w:r>
        <w:rPr>
          <w:rFonts w:hint="eastAsia" w:ascii="宋体" w:hAnsi="宋体" w:eastAsia="宋体" w:cs="宋体"/>
          <w:spacing w:val="-9"/>
          <w:sz w:val="24"/>
          <w:szCs w:val="24"/>
          <w:lang w:eastAsia="zh-CN"/>
        </w:rPr>
        <w:t>分；</w:t>
      </w:r>
    </w:p>
    <w:p w14:paraId="53137695">
      <w:pPr>
        <w:spacing w:before="115" w:line="217" w:lineRule="auto"/>
        <w:ind w:left="479"/>
        <w:rPr>
          <w:rFonts w:hint="eastAsia" w:ascii="宋体" w:hAnsi="宋体" w:eastAsia="宋体" w:cs="宋体"/>
          <w:sz w:val="24"/>
          <w:szCs w:val="24"/>
          <w:lang w:eastAsia="zh-CN"/>
        </w:rPr>
      </w:pPr>
      <w:r>
        <w:rPr>
          <w:rFonts w:hint="eastAsia" w:ascii="宋体" w:hAnsi="宋体" w:eastAsia="宋体" w:cs="宋体"/>
          <w:sz w:val="24"/>
          <w:szCs w:val="24"/>
          <w:lang w:eastAsia="zh-CN"/>
        </w:rPr>
        <w:t>④ 其他由于承包人养护不到位出现的情况：</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highlight w:val="none"/>
          <w:u w:val="single"/>
          <w:lang w:val="en-US" w:eastAsia="zh-CN"/>
        </w:rPr>
        <w:t>/</w:t>
      </w:r>
      <w:r>
        <w:rPr>
          <w:rFonts w:hint="eastAsia" w:ascii="宋体" w:hAnsi="宋体" w:eastAsia="宋体" w:cs="宋体"/>
          <w:spacing w:val="-1"/>
          <w:sz w:val="24"/>
          <w:szCs w:val="24"/>
          <w:highlight w:val="none"/>
          <w:u w:val="single"/>
          <w:lang w:eastAsia="zh-CN"/>
        </w:rPr>
        <w:t xml:space="preserve">   </w:t>
      </w:r>
      <w:r>
        <w:rPr>
          <w:rFonts w:hint="eastAsia" w:ascii="宋体" w:hAnsi="宋体" w:eastAsia="宋体" w:cs="宋体"/>
          <w:spacing w:val="-1"/>
          <w:sz w:val="24"/>
          <w:szCs w:val="24"/>
          <w:u w:val="single"/>
          <w:lang w:eastAsia="zh-CN"/>
        </w:rPr>
        <w:t xml:space="preserve">  </w:t>
      </w:r>
      <w:r>
        <w:rPr>
          <w:rFonts w:hint="eastAsia" w:ascii="宋体" w:hAnsi="宋体" w:eastAsia="宋体" w:cs="宋体"/>
          <w:spacing w:val="-1"/>
          <w:sz w:val="24"/>
          <w:szCs w:val="24"/>
          <w:lang w:eastAsia="zh-CN"/>
        </w:rPr>
        <w:t>。</w:t>
      </w:r>
    </w:p>
    <w:p w14:paraId="32197A3C">
      <w:pPr>
        <w:spacing w:before="116" w:line="220" w:lineRule="auto"/>
        <w:ind w:left="477"/>
        <w:outlineLvl w:val="4"/>
        <w:rPr>
          <w:rFonts w:hint="eastAsia" w:ascii="宋体" w:hAnsi="宋体" w:eastAsia="宋体" w:cs="宋体"/>
          <w:sz w:val="24"/>
          <w:szCs w:val="24"/>
        </w:rPr>
      </w:pPr>
      <w:r>
        <w:rPr>
          <w:rFonts w:hint="eastAsia" w:ascii="宋体" w:hAnsi="宋体" w:eastAsia="宋体" w:cs="宋体"/>
          <w:b/>
          <w:bCs/>
          <w:spacing w:val="-2"/>
          <w:sz w:val="24"/>
          <w:szCs w:val="24"/>
        </w:rPr>
        <w:t>22.2  发包人违约</w:t>
      </w:r>
    </w:p>
    <w:p w14:paraId="3249026D">
      <w:pPr>
        <w:spacing w:before="124" w:line="220" w:lineRule="auto"/>
        <w:ind w:left="476"/>
        <w:rPr>
          <w:rFonts w:hint="eastAsia" w:ascii="宋体" w:hAnsi="宋体" w:eastAsia="宋体" w:cs="宋体"/>
          <w:sz w:val="24"/>
          <w:szCs w:val="24"/>
        </w:rPr>
      </w:pPr>
      <w:r>
        <w:rPr>
          <w:rFonts w:hint="eastAsia" w:ascii="宋体" w:hAnsi="宋体" w:eastAsia="宋体" w:cs="宋体"/>
          <w:spacing w:val="-1"/>
          <w:sz w:val="24"/>
          <w:szCs w:val="24"/>
        </w:rPr>
        <w:t>22.2.1 发包人违约的情形</w:t>
      </w:r>
    </w:p>
    <w:p w14:paraId="544898BA">
      <w:pPr>
        <w:spacing w:before="115" w:line="219" w:lineRule="auto"/>
        <w:ind w:left="480"/>
        <w:rPr>
          <w:rFonts w:hint="eastAsia" w:ascii="宋体" w:hAnsi="宋体" w:eastAsia="宋体" w:cs="宋体"/>
          <w:sz w:val="24"/>
          <w:szCs w:val="24"/>
        </w:rPr>
      </w:pPr>
      <w:r>
        <w:rPr>
          <w:rFonts w:hint="eastAsia" w:ascii="宋体" w:hAnsi="宋体" w:eastAsia="宋体" w:cs="宋体"/>
          <w:spacing w:val="-5"/>
          <w:sz w:val="24"/>
          <w:szCs w:val="24"/>
        </w:rPr>
        <w:t>补充第</w:t>
      </w:r>
      <w:r>
        <w:rPr>
          <w:rFonts w:hint="eastAsia" w:ascii="宋体" w:hAnsi="宋体" w:eastAsia="宋体" w:cs="宋体"/>
          <w:spacing w:val="-41"/>
          <w:sz w:val="24"/>
          <w:szCs w:val="24"/>
        </w:rPr>
        <w:t xml:space="preserve"> </w:t>
      </w:r>
      <w:r>
        <w:rPr>
          <w:rFonts w:hint="eastAsia" w:ascii="宋体" w:hAnsi="宋体" w:eastAsia="宋体" w:cs="宋体"/>
          <w:spacing w:val="-5"/>
          <w:sz w:val="24"/>
          <w:szCs w:val="24"/>
        </w:rPr>
        <w:t>22.2.1 项第（6）</w:t>
      </w:r>
      <w:r>
        <w:rPr>
          <w:rFonts w:hint="eastAsia" w:ascii="宋体" w:hAnsi="宋体" w:eastAsia="宋体" w:cs="宋体"/>
          <w:spacing w:val="-65"/>
          <w:sz w:val="24"/>
          <w:szCs w:val="24"/>
        </w:rPr>
        <w:t xml:space="preserve"> </w:t>
      </w:r>
      <w:r>
        <w:rPr>
          <w:rFonts w:hint="eastAsia" w:ascii="宋体" w:hAnsi="宋体" w:eastAsia="宋体" w:cs="宋体"/>
          <w:spacing w:val="-5"/>
          <w:sz w:val="24"/>
          <w:szCs w:val="24"/>
        </w:rPr>
        <w:t>目：</w:t>
      </w:r>
    </w:p>
    <w:p w14:paraId="5F0C2A4E">
      <w:pPr>
        <w:numPr>
          <w:ilvl w:val="0"/>
          <w:numId w:val="12"/>
        </w:numPr>
        <w:spacing w:before="113" w:line="308" w:lineRule="auto"/>
        <w:ind w:firstLine="491"/>
        <w:rPr>
          <w:rFonts w:hint="eastAsia" w:ascii="宋体" w:hAnsi="宋体" w:eastAsia="宋体" w:cs="宋体"/>
          <w:spacing w:val="-1"/>
          <w:sz w:val="24"/>
          <w:szCs w:val="24"/>
        </w:rPr>
      </w:pPr>
      <w:r>
        <w:rPr>
          <w:rFonts w:hint="eastAsia" w:ascii="宋体" w:hAnsi="宋体" w:eastAsia="宋体" w:cs="宋体"/>
          <w:spacing w:val="4"/>
          <w:sz w:val="24"/>
          <w:szCs w:val="24"/>
        </w:rPr>
        <w:t>合同实施期间，由于整体规划的调整等客观原因需对合同约定的路</w:t>
      </w:r>
      <w:r>
        <w:rPr>
          <w:rFonts w:hint="eastAsia" w:ascii="宋体" w:hAnsi="宋体" w:eastAsia="宋体" w:cs="宋体"/>
          <w:spacing w:val="3"/>
          <w:sz w:val="24"/>
          <w:szCs w:val="24"/>
        </w:rPr>
        <w:t>段和</w:t>
      </w:r>
      <w:r>
        <w:rPr>
          <w:rFonts w:hint="eastAsia" w:ascii="宋体" w:hAnsi="宋体" w:eastAsia="宋体" w:cs="宋体"/>
          <w:spacing w:val="1"/>
          <w:sz w:val="24"/>
          <w:szCs w:val="24"/>
        </w:rPr>
        <w:t>设施进行大规模改扩建的，则养护合同自然终止。发包人</w:t>
      </w:r>
      <w:r>
        <w:rPr>
          <w:rFonts w:hint="eastAsia" w:ascii="宋体" w:hAnsi="宋体" w:eastAsia="宋体" w:cs="宋体"/>
          <w:sz w:val="24"/>
          <w:szCs w:val="24"/>
        </w:rPr>
        <w:t>对承包人应承担终止合同</w:t>
      </w:r>
      <w:r>
        <w:rPr>
          <w:rFonts w:hint="eastAsia" w:ascii="宋体" w:hAnsi="宋体" w:eastAsia="宋体" w:cs="宋体"/>
          <w:spacing w:val="1"/>
          <w:sz w:val="24"/>
          <w:szCs w:val="24"/>
        </w:rPr>
        <w:t>前已完成的合同价款，其范围仅限于在已给承包人的暂付</w:t>
      </w:r>
      <w:r>
        <w:rPr>
          <w:rFonts w:hint="eastAsia" w:ascii="宋体" w:hAnsi="宋体" w:eastAsia="宋体" w:cs="宋体"/>
          <w:sz w:val="24"/>
          <w:szCs w:val="24"/>
        </w:rPr>
        <w:t>款中尚未包括的款项与款</w:t>
      </w:r>
      <w:r>
        <w:rPr>
          <w:rFonts w:hint="eastAsia" w:ascii="宋体" w:hAnsi="宋体" w:eastAsia="宋体" w:cs="宋体"/>
          <w:spacing w:val="-1"/>
          <w:sz w:val="24"/>
          <w:szCs w:val="24"/>
        </w:rPr>
        <w:t>额，其单价和总额价应按合同约定执行。还应支付下述费用：</w:t>
      </w:r>
    </w:p>
    <w:p w14:paraId="2A032AB9">
      <w:pPr>
        <w:spacing w:before="78" w:line="307" w:lineRule="auto"/>
        <w:ind w:left="1" w:firstLine="492" w:firstLineChars="200"/>
        <w:rPr>
          <w:rFonts w:hint="eastAsia" w:ascii="宋体" w:hAnsi="宋体" w:eastAsia="宋体" w:cs="宋体"/>
          <w:sz w:val="24"/>
          <w:szCs w:val="24"/>
        </w:rPr>
      </w:pPr>
      <w:r>
        <w:rPr>
          <w:rFonts w:hint="eastAsia" w:ascii="宋体" w:hAnsi="宋体" w:eastAsia="宋体" w:cs="宋体"/>
          <w:spacing w:val="3"/>
          <w:sz w:val="24"/>
          <w:szCs w:val="24"/>
        </w:rPr>
        <w:t>①</w:t>
      </w:r>
      <w:r>
        <w:rPr>
          <w:rFonts w:hint="eastAsia" w:ascii="宋体" w:hAnsi="宋体" w:eastAsia="宋体" w:cs="宋体"/>
          <w:spacing w:val="47"/>
          <w:sz w:val="24"/>
          <w:szCs w:val="24"/>
        </w:rPr>
        <w:t xml:space="preserve"> </w:t>
      </w:r>
      <w:r>
        <w:rPr>
          <w:rFonts w:hint="eastAsia" w:ascii="宋体" w:hAnsi="宋体" w:eastAsia="宋体" w:cs="宋体"/>
          <w:spacing w:val="3"/>
          <w:sz w:val="24"/>
          <w:szCs w:val="24"/>
        </w:rPr>
        <w:t>已经交付承包人或承包人有责任收货的、为本合同养护工程合理订购的材</w:t>
      </w:r>
      <w:r>
        <w:rPr>
          <w:rFonts w:hint="eastAsia" w:ascii="宋体" w:hAnsi="宋体" w:eastAsia="宋体" w:cs="宋体"/>
          <w:spacing w:val="1"/>
          <w:sz w:val="24"/>
          <w:szCs w:val="24"/>
        </w:rPr>
        <w:t>料设备或货物的费用，发包人一经支付此项费用，该材料</w:t>
      </w:r>
      <w:r>
        <w:rPr>
          <w:rFonts w:hint="eastAsia" w:ascii="宋体" w:hAnsi="宋体" w:eastAsia="宋体" w:cs="宋体"/>
          <w:sz w:val="24"/>
          <w:szCs w:val="24"/>
        </w:rPr>
        <w:t>、设备或货物即成为发包</w:t>
      </w:r>
      <w:r>
        <w:rPr>
          <w:rFonts w:hint="eastAsia" w:ascii="宋体" w:hAnsi="宋体" w:eastAsia="宋体" w:cs="宋体"/>
          <w:spacing w:val="-3"/>
          <w:sz w:val="24"/>
          <w:szCs w:val="24"/>
        </w:rPr>
        <w:t>人的财产；</w:t>
      </w:r>
    </w:p>
    <w:p w14:paraId="14C603D2">
      <w:pPr>
        <w:spacing w:before="2" w:line="278" w:lineRule="auto"/>
        <w:ind w:left="4" w:firstLine="474"/>
        <w:rPr>
          <w:rFonts w:hint="eastAsia" w:ascii="宋体" w:hAnsi="宋体" w:eastAsia="宋体" w:cs="宋体"/>
          <w:sz w:val="24"/>
          <w:szCs w:val="24"/>
        </w:rPr>
      </w:pPr>
      <w:r>
        <w:rPr>
          <w:rFonts w:hint="eastAsia" w:ascii="宋体" w:hAnsi="宋体" w:eastAsia="宋体" w:cs="宋体"/>
          <w:spacing w:val="4"/>
          <w:sz w:val="24"/>
          <w:szCs w:val="24"/>
        </w:rPr>
        <w:t>② 承包人已经支付的仅为本项目提供服务的驻地建设、已合理开支的确实属</w:t>
      </w:r>
      <w:r>
        <w:rPr>
          <w:rFonts w:hint="eastAsia" w:ascii="宋体" w:hAnsi="宋体" w:eastAsia="宋体" w:cs="宋体"/>
          <w:spacing w:val="1"/>
          <w:sz w:val="24"/>
          <w:szCs w:val="24"/>
        </w:rPr>
        <w:t>于承包人为了完成本合同而预期开支的款额，发</w:t>
      </w:r>
      <w:r>
        <w:rPr>
          <w:rFonts w:hint="eastAsia" w:ascii="宋体" w:hAnsi="宋体" w:eastAsia="宋体" w:cs="宋体"/>
          <w:sz w:val="24"/>
          <w:szCs w:val="24"/>
        </w:rPr>
        <w:t>包人一经支付此项费用，此项费用</w:t>
      </w:r>
      <w:r>
        <w:rPr>
          <w:rFonts w:hint="eastAsia" w:ascii="宋体" w:hAnsi="宋体" w:eastAsia="宋体" w:cs="宋体"/>
          <w:spacing w:val="-1"/>
          <w:sz w:val="24"/>
          <w:szCs w:val="24"/>
        </w:rPr>
        <w:t>项下的所有服务和物品即归属发包人；</w:t>
      </w:r>
    </w:p>
    <w:p w14:paraId="30E0E71A">
      <w:pPr>
        <w:spacing w:before="113" w:line="217" w:lineRule="auto"/>
        <w:ind w:left="479"/>
        <w:rPr>
          <w:rFonts w:hint="eastAsia" w:ascii="宋体" w:hAnsi="宋体" w:eastAsia="宋体" w:cs="宋体"/>
          <w:sz w:val="24"/>
          <w:szCs w:val="24"/>
        </w:rPr>
      </w:pPr>
      <w:r>
        <w:rPr>
          <w:rFonts w:hint="eastAsia" w:ascii="宋体" w:hAnsi="宋体" w:eastAsia="宋体" w:cs="宋体"/>
          <w:spacing w:val="-1"/>
          <w:sz w:val="24"/>
          <w:szCs w:val="24"/>
        </w:rPr>
        <w:t>③ 承包人的员工在上述合同终止时的合理遣返费。</w:t>
      </w:r>
    </w:p>
    <w:p w14:paraId="0DC6F58B">
      <w:pPr>
        <w:spacing w:before="117" w:line="308" w:lineRule="auto"/>
        <w:ind w:left="1" w:firstLine="482"/>
        <w:rPr>
          <w:rFonts w:hint="eastAsia" w:ascii="宋体" w:hAnsi="宋体" w:eastAsia="宋体" w:cs="宋体"/>
          <w:sz w:val="24"/>
          <w:szCs w:val="24"/>
        </w:rPr>
      </w:pPr>
      <w:r>
        <w:rPr>
          <w:rFonts w:hint="eastAsia" w:ascii="宋体" w:hAnsi="宋体" w:eastAsia="宋体" w:cs="宋体"/>
          <w:spacing w:val="1"/>
          <w:sz w:val="24"/>
          <w:szCs w:val="24"/>
        </w:rPr>
        <w:t>发包人除按本款约定支付上述费用外，应有权要</w:t>
      </w:r>
      <w:r>
        <w:rPr>
          <w:rFonts w:hint="eastAsia" w:ascii="宋体" w:hAnsi="宋体" w:eastAsia="宋体" w:cs="宋体"/>
          <w:sz w:val="24"/>
          <w:szCs w:val="24"/>
        </w:rPr>
        <w:t>求承包人偿还各项预付款的未</w:t>
      </w:r>
      <w:r>
        <w:rPr>
          <w:rFonts w:hint="eastAsia" w:ascii="宋体" w:hAnsi="宋体" w:eastAsia="宋体" w:cs="宋体"/>
          <w:spacing w:val="1"/>
          <w:sz w:val="24"/>
          <w:szCs w:val="24"/>
        </w:rPr>
        <w:t>结算余额，以及在合同终止之日，按合同约定应由</w:t>
      </w:r>
      <w:r>
        <w:rPr>
          <w:rFonts w:hint="eastAsia" w:ascii="宋体" w:hAnsi="宋体" w:eastAsia="宋体" w:cs="宋体"/>
          <w:sz w:val="24"/>
          <w:szCs w:val="24"/>
        </w:rPr>
        <w:t>发包人向承包人收回的任何其他</w:t>
      </w:r>
      <w:r>
        <w:rPr>
          <w:rFonts w:hint="eastAsia" w:ascii="宋体" w:hAnsi="宋体" w:eastAsia="宋体" w:cs="宋体"/>
          <w:spacing w:val="-1"/>
          <w:sz w:val="24"/>
          <w:szCs w:val="24"/>
        </w:rPr>
        <w:t>款额。应支付的具体数额，应由发包人在与承包人协商后确定。</w:t>
      </w:r>
    </w:p>
    <w:p w14:paraId="63B46FB6">
      <w:pPr>
        <w:spacing w:line="220" w:lineRule="auto"/>
        <w:ind w:left="476"/>
        <w:rPr>
          <w:rFonts w:hint="eastAsia" w:ascii="宋体" w:hAnsi="宋体" w:eastAsia="宋体" w:cs="宋体"/>
          <w:sz w:val="24"/>
          <w:szCs w:val="24"/>
        </w:rPr>
      </w:pPr>
      <w:r>
        <w:rPr>
          <w:rFonts w:hint="eastAsia" w:ascii="宋体" w:hAnsi="宋体" w:eastAsia="宋体" w:cs="宋体"/>
          <w:spacing w:val="-1"/>
          <w:sz w:val="24"/>
          <w:szCs w:val="24"/>
        </w:rPr>
        <w:t>22.2.2  对发包人违约的处理</w:t>
      </w:r>
    </w:p>
    <w:p w14:paraId="0F0B5749">
      <w:pPr>
        <w:spacing w:before="114" w:line="304" w:lineRule="auto"/>
        <w:ind w:left="1" w:firstLine="482"/>
        <w:rPr>
          <w:rFonts w:hint="eastAsia" w:ascii="宋体" w:hAnsi="宋体" w:eastAsia="宋体" w:cs="宋体"/>
          <w:spacing w:val="-1"/>
          <w:sz w:val="24"/>
          <w:szCs w:val="24"/>
        </w:rPr>
      </w:pPr>
      <w:r>
        <w:rPr>
          <w:rFonts w:hint="eastAsia" w:ascii="宋体" w:hAnsi="宋体" w:eastAsia="宋体" w:cs="宋体"/>
          <w:spacing w:val="1"/>
          <w:sz w:val="24"/>
          <w:szCs w:val="24"/>
        </w:rPr>
        <w:t>发包人无正当理由不按时返还履约保证金或质量</w:t>
      </w:r>
      <w:r>
        <w:rPr>
          <w:rFonts w:hint="eastAsia" w:ascii="宋体" w:hAnsi="宋体" w:eastAsia="宋体" w:cs="宋体"/>
          <w:sz w:val="24"/>
          <w:szCs w:val="24"/>
        </w:rPr>
        <w:t>保证金的，发包人应向承包人</w:t>
      </w:r>
      <w:r>
        <w:rPr>
          <w:rFonts w:hint="eastAsia" w:ascii="宋体" w:hAnsi="宋体" w:eastAsia="宋体" w:cs="宋体"/>
          <w:spacing w:val="-1"/>
          <w:sz w:val="24"/>
          <w:szCs w:val="24"/>
        </w:rPr>
        <w:t>支付的违约金如下：</w:t>
      </w:r>
      <w:r>
        <w:rPr>
          <w:rFonts w:hint="eastAsia" w:ascii="宋体" w:hAnsi="宋体" w:eastAsia="宋体" w:cs="宋体"/>
          <w:spacing w:val="-1"/>
          <w:sz w:val="24"/>
          <w:szCs w:val="24"/>
          <w:lang w:val="en-US" w:eastAsia="zh-CN"/>
        </w:rPr>
        <w:t xml:space="preserve"> </w:t>
      </w:r>
      <w:r>
        <w:rPr>
          <w:rFonts w:hint="eastAsia" w:ascii="宋体" w:hAnsi="宋体" w:eastAsia="宋体" w:cs="宋体"/>
          <w:color w:val="auto"/>
          <w:spacing w:val="-1"/>
          <w:sz w:val="24"/>
          <w:szCs w:val="24"/>
          <w:u w:val="single"/>
          <w:lang w:val="en-US" w:eastAsia="zh-CN"/>
        </w:rPr>
        <w:t xml:space="preserve">     </w:t>
      </w:r>
      <w:r>
        <w:rPr>
          <w:rFonts w:hint="eastAsia" w:ascii="宋体" w:hAnsi="宋体" w:eastAsia="宋体" w:cs="宋体"/>
          <w:color w:val="auto"/>
          <w:spacing w:val="-2"/>
          <w:sz w:val="24"/>
          <w:szCs w:val="24"/>
          <w:u w:val="single"/>
          <w:lang w:val="en-US" w:eastAsia="zh-CN"/>
        </w:rPr>
        <w:t xml:space="preserve">/    </w:t>
      </w:r>
      <w:r>
        <w:rPr>
          <w:rFonts w:hint="eastAsia" w:ascii="宋体" w:hAnsi="宋体" w:eastAsia="宋体" w:cs="宋体"/>
          <w:spacing w:val="-1"/>
          <w:sz w:val="24"/>
          <w:szCs w:val="24"/>
        </w:rPr>
        <w:t>。</w:t>
      </w:r>
    </w:p>
    <w:p w14:paraId="165CC6E8">
      <w:pPr>
        <w:spacing w:line="219" w:lineRule="auto"/>
        <w:ind w:left="480"/>
        <w:rPr>
          <w:rFonts w:hint="eastAsia" w:ascii="宋体" w:hAnsi="宋体" w:eastAsia="宋体" w:cs="宋体"/>
          <w:sz w:val="24"/>
          <w:szCs w:val="24"/>
        </w:rPr>
      </w:pPr>
      <w:r>
        <w:rPr>
          <w:rFonts w:hint="eastAsia" w:ascii="宋体" w:hAnsi="宋体" w:eastAsia="宋体" w:cs="宋体"/>
          <w:b/>
          <w:bCs/>
          <w:spacing w:val="-4"/>
          <w:sz w:val="24"/>
          <w:szCs w:val="24"/>
        </w:rPr>
        <w:t>补充第</w:t>
      </w:r>
      <w:r>
        <w:rPr>
          <w:rFonts w:hint="eastAsia" w:ascii="宋体" w:hAnsi="宋体" w:eastAsia="宋体" w:cs="宋体"/>
          <w:spacing w:val="-49"/>
          <w:sz w:val="24"/>
          <w:szCs w:val="24"/>
        </w:rPr>
        <w:t xml:space="preserve"> </w:t>
      </w:r>
      <w:r>
        <w:rPr>
          <w:rFonts w:hint="eastAsia" w:ascii="宋体" w:hAnsi="宋体" w:eastAsia="宋体" w:cs="宋体"/>
          <w:b/>
          <w:bCs/>
          <w:spacing w:val="-4"/>
          <w:sz w:val="24"/>
          <w:szCs w:val="24"/>
        </w:rPr>
        <w:t>25 条：</w:t>
      </w:r>
    </w:p>
    <w:p w14:paraId="34CFC3FE">
      <w:pPr>
        <w:spacing w:before="116" w:line="219" w:lineRule="auto"/>
        <w:ind w:left="477"/>
        <w:outlineLvl w:val="4"/>
        <w:rPr>
          <w:rFonts w:hint="eastAsia" w:ascii="宋体" w:hAnsi="宋体" w:eastAsia="宋体" w:cs="宋体"/>
          <w:sz w:val="24"/>
          <w:szCs w:val="24"/>
        </w:rPr>
      </w:pPr>
      <w:r>
        <w:rPr>
          <w:rFonts w:hint="eastAsia" w:ascii="宋体" w:hAnsi="宋体" w:eastAsia="宋体" w:cs="宋体"/>
          <w:b/>
          <w:bCs/>
          <w:spacing w:val="-2"/>
          <w:sz w:val="24"/>
          <w:szCs w:val="24"/>
        </w:rPr>
        <w:t>25.基于绩效模式的合同风险提示</w:t>
      </w:r>
    </w:p>
    <w:p w14:paraId="10A0D969">
      <w:pPr>
        <w:spacing w:before="124" w:line="219" w:lineRule="auto"/>
        <w:ind w:left="480"/>
        <w:rPr>
          <w:rFonts w:hint="eastAsia" w:ascii="宋体" w:hAnsi="宋体" w:eastAsia="宋体" w:cs="宋体"/>
          <w:sz w:val="24"/>
          <w:szCs w:val="24"/>
        </w:rPr>
      </w:pPr>
      <w:r>
        <w:rPr>
          <w:rFonts w:hint="eastAsia" w:ascii="宋体" w:hAnsi="宋体" w:eastAsia="宋体" w:cs="宋体"/>
          <w:spacing w:val="-1"/>
          <w:sz w:val="24"/>
          <w:szCs w:val="24"/>
        </w:rPr>
        <w:t>承包人应承担的绩效风险，包括但不限于下列内容：</w:t>
      </w:r>
    </w:p>
    <w:p w14:paraId="02A5EFD3">
      <w:pPr>
        <w:spacing w:before="115" w:line="264" w:lineRule="auto"/>
        <w:ind w:right="2" w:firstLine="476"/>
        <w:rPr>
          <w:rFonts w:hint="eastAsia" w:ascii="宋体" w:hAnsi="宋体" w:eastAsia="宋体" w:cs="宋体"/>
          <w:sz w:val="24"/>
          <w:szCs w:val="24"/>
        </w:rPr>
      </w:pPr>
      <w:r>
        <w:rPr>
          <w:rFonts w:hint="eastAsia" w:ascii="宋体" w:hAnsi="宋体" w:eastAsia="宋体" w:cs="宋体"/>
          <w:spacing w:val="6"/>
          <w:sz w:val="24"/>
          <w:szCs w:val="24"/>
        </w:rPr>
        <w:t>25.1  承包人根据发包人的评审意见对施工</w:t>
      </w:r>
      <w:r>
        <w:rPr>
          <w:rFonts w:hint="eastAsia" w:ascii="宋体" w:hAnsi="宋体" w:eastAsia="宋体" w:cs="宋体"/>
          <w:spacing w:val="5"/>
          <w:sz w:val="24"/>
          <w:szCs w:val="24"/>
        </w:rPr>
        <w:t>图进行修改（含修正工程量清单及</w:t>
      </w:r>
      <w:r>
        <w:rPr>
          <w:rFonts w:hint="eastAsia" w:ascii="宋体" w:hAnsi="宋体" w:eastAsia="宋体" w:cs="宋体"/>
          <w:spacing w:val="-1"/>
          <w:sz w:val="24"/>
          <w:szCs w:val="24"/>
        </w:rPr>
        <w:t>施工图预算）的勘察设计费用。</w:t>
      </w:r>
    </w:p>
    <w:p w14:paraId="3DDCFB1F">
      <w:pPr>
        <w:spacing w:before="113" w:line="264" w:lineRule="auto"/>
        <w:ind w:left="1" w:right="2" w:firstLine="474"/>
        <w:rPr>
          <w:rFonts w:hint="eastAsia" w:ascii="宋体" w:hAnsi="宋体" w:eastAsia="宋体" w:cs="宋体"/>
          <w:sz w:val="24"/>
          <w:szCs w:val="24"/>
        </w:rPr>
      </w:pPr>
      <w:r>
        <w:rPr>
          <w:rFonts w:hint="eastAsia" w:ascii="宋体" w:hAnsi="宋体" w:eastAsia="宋体" w:cs="宋体"/>
          <w:spacing w:val="6"/>
          <w:sz w:val="24"/>
          <w:szCs w:val="24"/>
        </w:rPr>
        <w:t>25.2  根据发包人的评审意见对施工图设计</w:t>
      </w:r>
      <w:r>
        <w:rPr>
          <w:rFonts w:hint="eastAsia" w:ascii="宋体" w:hAnsi="宋体" w:eastAsia="宋体" w:cs="宋体"/>
          <w:spacing w:val="5"/>
          <w:sz w:val="24"/>
          <w:szCs w:val="24"/>
        </w:rPr>
        <w:t>进行修改，由此造成的施工方案变</w:t>
      </w:r>
      <w:r>
        <w:rPr>
          <w:rFonts w:hint="eastAsia" w:ascii="宋体" w:hAnsi="宋体" w:eastAsia="宋体" w:cs="宋体"/>
          <w:spacing w:val="-1"/>
          <w:sz w:val="24"/>
          <w:szCs w:val="24"/>
        </w:rPr>
        <w:t>化以及工程项目和工程量的调整费用。</w:t>
      </w:r>
    </w:p>
    <w:p w14:paraId="0F96101C">
      <w:pPr>
        <w:spacing w:before="115" w:line="278" w:lineRule="auto"/>
        <w:ind w:firstLine="476"/>
        <w:rPr>
          <w:rFonts w:hint="eastAsia" w:ascii="宋体" w:hAnsi="宋体" w:eastAsia="宋体" w:cs="宋体"/>
          <w:sz w:val="24"/>
          <w:szCs w:val="24"/>
        </w:rPr>
      </w:pPr>
      <w:r>
        <w:rPr>
          <w:rFonts w:hint="eastAsia" w:ascii="宋体" w:hAnsi="宋体" w:eastAsia="宋体" w:cs="宋体"/>
          <w:spacing w:val="6"/>
          <w:sz w:val="24"/>
          <w:szCs w:val="24"/>
        </w:rPr>
        <w:t>25.3  虽然在之前的所有审查中未被发现，</w:t>
      </w:r>
      <w:r>
        <w:rPr>
          <w:rFonts w:hint="eastAsia" w:ascii="宋体" w:hAnsi="宋体" w:eastAsia="宋体" w:cs="宋体"/>
          <w:spacing w:val="5"/>
          <w:sz w:val="24"/>
          <w:szCs w:val="24"/>
        </w:rPr>
        <w:t>但承包人的设计方案不符合招标文</w:t>
      </w:r>
      <w:r>
        <w:rPr>
          <w:rFonts w:hint="eastAsia" w:ascii="宋体" w:hAnsi="宋体" w:eastAsia="宋体" w:cs="宋体"/>
          <w:spacing w:val="1"/>
          <w:sz w:val="24"/>
          <w:szCs w:val="24"/>
        </w:rPr>
        <w:t>件和国家强制性标准要求、不满足社会公众安全要求等，承</w:t>
      </w:r>
      <w:r>
        <w:rPr>
          <w:rFonts w:hint="eastAsia" w:ascii="宋体" w:hAnsi="宋体" w:eastAsia="宋体" w:cs="宋体"/>
          <w:sz w:val="24"/>
          <w:szCs w:val="24"/>
        </w:rPr>
        <w:t>包人必须无条件更改并</w:t>
      </w:r>
      <w:r>
        <w:rPr>
          <w:rFonts w:hint="eastAsia" w:ascii="宋体" w:hAnsi="宋体" w:eastAsia="宋体" w:cs="宋体"/>
          <w:spacing w:val="-1"/>
          <w:sz w:val="24"/>
          <w:szCs w:val="24"/>
        </w:rPr>
        <w:t>承担由此造成的一切损失费用。</w:t>
      </w:r>
    </w:p>
    <w:p w14:paraId="11E37FBF">
      <w:pPr>
        <w:spacing w:before="116" w:line="219" w:lineRule="auto"/>
        <w:ind w:left="476"/>
        <w:rPr>
          <w:rFonts w:hint="eastAsia" w:ascii="宋体" w:hAnsi="宋体" w:eastAsia="宋体" w:cs="宋体"/>
          <w:sz w:val="24"/>
          <w:szCs w:val="24"/>
        </w:rPr>
      </w:pPr>
      <w:r>
        <w:rPr>
          <w:rFonts w:hint="eastAsia" w:ascii="宋体" w:hAnsi="宋体" w:eastAsia="宋体" w:cs="宋体"/>
          <w:sz w:val="24"/>
          <w:szCs w:val="24"/>
        </w:rPr>
        <w:t>25.4  施工图设计中工程量的遗漏、多列或错误以及设计</w:t>
      </w:r>
      <w:r>
        <w:rPr>
          <w:rFonts w:hint="eastAsia" w:ascii="宋体" w:hAnsi="宋体" w:eastAsia="宋体" w:cs="宋体"/>
          <w:spacing w:val="-1"/>
          <w:sz w:val="24"/>
          <w:szCs w:val="24"/>
        </w:rPr>
        <w:t>漏项、错误等。</w:t>
      </w:r>
    </w:p>
    <w:p w14:paraId="63F6783B">
      <w:pPr>
        <w:spacing w:before="112" w:line="279" w:lineRule="auto"/>
        <w:ind w:firstLine="475"/>
        <w:rPr>
          <w:rFonts w:hint="eastAsia" w:ascii="宋体" w:hAnsi="宋体" w:eastAsia="宋体" w:cs="宋体"/>
          <w:sz w:val="24"/>
          <w:szCs w:val="24"/>
        </w:rPr>
      </w:pPr>
      <w:r>
        <w:rPr>
          <w:rFonts w:hint="eastAsia" w:ascii="宋体" w:hAnsi="宋体" w:eastAsia="宋体" w:cs="宋体"/>
          <w:spacing w:val="6"/>
          <w:sz w:val="24"/>
          <w:szCs w:val="24"/>
        </w:rPr>
        <w:t>25.5  承包人在履约过程中的所有行为，包</w:t>
      </w:r>
      <w:r>
        <w:rPr>
          <w:rFonts w:hint="eastAsia" w:ascii="宋体" w:hAnsi="宋体" w:eastAsia="宋体" w:cs="宋体"/>
          <w:spacing w:val="5"/>
          <w:sz w:val="24"/>
          <w:szCs w:val="24"/>
        </w:rPr>
        <w:t>括设计、施工等，无论是否经过发</w:t>
      </w:r>
      <w:r>
        <w:rPr>
          <w:rFonts w:hint="eastAsia" w:ascii="宋体" w:hAnsi="宋体" w:eastAsia="宋体" w:cs="宋体"/>
          <w:spacing w:val="1"/>
          <w:sz w:val="24"/>
          <w:szCs w:val="24"/>
        </w:rPr>
        <w:t>包人允许，无论是否全部或部分完成发包人的指令，均不</w:t>
      </w:r>
      <w:r>
        <w:rPr>
          <w:rFonts w:hint="eastAsia" w:ascii="宋体" w:hAnsi="宋体" w:eastAsia="宋体" w:cs="宋体"/>
          <w:sz w:val="24"/>
          <w:szCs w:val="24"/>
        </w:rPr>
        <w:t>能减轻或免除其完成合同</w:t>
      </w:r>
      <w:r>
        <w:rPr>
          <w:rFonts w:hint="eastAsia" w:ascii="宋体" w:hAnsi="宋体" w:eastAsia="宋体" w:cs="宋体"/>
          <w:spacing w:val="-1"/>
          <w:sz w:val="24"/>
          <w:szCs w:val="24"/>
        </w:rPr>
        <w:t>约定的绩效服务水平的责任。</w:t>
      </w:r>
    </w:p>
    <w:p w14:paraId="46078177">
      <w:pPr>
        <w:spacing w:before="113" w:line="264" w:lineRule="auto"/>
        <w:ind w:firstLine="475"/>
        <w:rPr>
          <w:rFonts w:hint="eastAsia" w:ascii="宋体" w:hAnsi="宋体" w:eastAsia="宋体" w:cs="宋体"/>
          <w:spacing w:val="-1"/>
          <w:sz w:val="24"/>
          <w:szCs w:val="24"/>
          <w:lang w:val="en-US" w:eastAsia="zh-CN"/>
        </w:rPr>
      </w:pPr>
      <w:r>
        <w:rPr>
          <w:rFonts w:hint="eastAsia" w:ascii="宋体" w:hAnsi="宋体" w:eastAsia="宋体" w:cs="宋体"/>
          <w:spacing w:val="2"/>
          <w:sz w:val="24"/>
          <w:szCs w:val="24"/>
        </w:rPr>
        <w:t>25.6  承包人在设计、施工等工作过程中由于各种原因（除第</w:t>
      </w:r>
      <w:r>
        <w:rPr>
          <w:rFonts w:hint="eastAsia" w:ascii="宋体" w:hAnsi="宋体" w:eastAsia="宋体" w:cs="宋体"/>
          <w:spacing w:val="-49"/>
          <w:sz w:val="24"/>
          <w:szCs w:val="24"/>
        </w:rPr>
        <w:t xml:space="preserve"> </w:t>
      </w:r>
      <w:r>
        <w:rPr>
          <w:rFonts w:hint="eastAsia" w:ascii="宋体" w:hAnsi="宋体" w:eastAsia="宋体" w:cs="宋体"/>
          <w:spacing w:val="2"/>
          <w:sz w:val="24"/>
          <w:szCs w:val="24"/>
        </w:rPr>
        <w:t>21 条约定的不可</w:t>
      </w:r>
      <w:r>
        <w:rPr>
          <w:rFonts w:hint="eastAsia" w:ascii="宋体" w:hAnsi="宋体" w:eastAsia="宋体" w:cs="宋体"/>
          <w:spacing w:val="-1"/>
          <w:sz w:val="24"/>
          <w:szCs w:val="24"/>
        </w:rPr>
        <w:t>抗力外）所引起的废弃工程和返工</w:t>
      </w:r>
      <w:r>
        <w:rPr>
          <w:rFonts w:hint="eastAsia" w:ascii="宋体" w:hAnsi="宋体" w:eastAsia="宋体" w:cs="宋体"/>
          <w:spacing w:val="-1"/>
          <w:sz w:val="24"/>
          <w:szCs w:val="24"/>
          <w:lang w:val="en-US" w:eastAsia="zh-CN"/>
        </w:rPr>
        <w:t>.</w:t>
      </w:r>
    </w:p>
    <w:p w14:paraId="75841916">
      <w:pPr>
        <w:rPr>
          <w:rFonts w:ascii="宋体" w:hAnsi="宋体" w:cs="宋体"/>
          <w:spacing w:val="-1"/>
          <w:szCs w:val="21"/>
        </w:rPr>
      </w:pPr>
      <w:r>
        <w:rPr>
          <w:rFonts w:ascii="宋体" w:hAnsi="宋体" w:cs="宋体"/>
          <w:spacing w:val="-1"/>
          <w:szCs w:val="21"/>
        </w:rPr>
        <w:br w:type="page"/>
      </w:r>
    </w:p>
    <w:p w14:paraId="68799F3B">
      <w:pPr>
        <w:spacing w:before="113" w:line="264" w:lineRule="auto"/>
        <w:ind w:firstLine="475"/>
        <w:rPr>
          <w:rFonts w:ascii="宋体" w:hAnsi="宋体" w:cs="宋体"/>
          <w:spacing w:val="-1"/>
          <w:szCs w:val="21"/>
        </w:rPr>
        <w:sectPr>
          <w:headerReference r:id="rId21" w:type="default"/>
          <w:footerReference r:id="rId22" w:type="default"/>
          <w:pgSz w:w="11905" w:h="16838"/>
          <w:pgMar w:top="1440" w:right="1134" w:bottom="1440" w:left="1134" w:header="0" w:footer="720" w:gutter="0"/>
          <w:pgNumType w:fmt="decimal"/>
          <w:cols w:space="0" w:num="1"/>
          <w:rtlGutter w:val="0"/>
          <w:docGrid w:linePitch="0" w:charSpace="0"/>
        </w:sectPr>
      </w:pPr>
    </w:p>
    <w:p w14:paraId="52CF8496">
      <w:pPr>
        <w:pStyle w:val="4"/>
        <w:rPr>
          <w:rFonts w:ascii="宋体" w:hAnsi="宋体" w:cs="宋体"/>
          <w:lang w:eastAsia="zh-CN"/>
        </w:rPr>
      </w:pPr>
      <w:bookmarkStart w:id="213" w:name="_Toc17695"/>
      <w:bookmarkStart w:id="214" w:name="_Toc19689"/>
      <w:bookmarkStart w:id="215" w:name="_Toc6632"/>
      <w:bookmarkStart w:id="216" w:name="_Toc18093"/>
      <w:r>
        <w:rPr>
          <w:rFonts w:hint="eastAsia" w:ascii="宋体" w:hAnsi="宋体" w:cs="宋体"/>
          <w:lang w:eastAsia="zh-CN"/>
        </w:rPr>
        <w:t>附件一、廉政合同</w:t>
      </w:r>
      <w:bookmarkEnd w:id="213"/>
      <w:bookmarkEnd w:id="214"/>
      <w:bookmarkEnd w:id="215"/>
      <w:bookmarkEnd w:id="216"/>
    </w:p>
    <w:p w14:paraId="786FF5C5">
      <w:pPr>
        <w:tabs>
          <w:tab w:val="left" w:pos="0"/>
        </w:tabs>
        <w:jc w:val="center"/>
        <w:rPr>
          <w:rFonts w:ascii="宋体" w:hAnsi="宋体" w:cs="宋体"/>
          <w:b/>
          <w:bCs/>
          <w:sz w:val="44"/>
          <w:szCs w:val="44"/>
        </w:rPr>
      </w:pPr>
      <w:r>
        <w:rPr>
          <w:rFonts w:hint="eastAsia" w:ascii="宋体" w:hAnsi="宋体" w:cs="宋体"/>
          <w:b/>
          <w:bCs/>
          <w:sz w:val="44"/>
          <w:szCs w:val="44"/>
        </w:rPr>
        <w:t>廉政合同</w:t>
      </w:r>
    </w:p>
    <w:p w14:paraId="20604D00">
      <w:pPr>
        <w:tabs>
          <w:tab w:val="left" w:pos="0"/>
        </w:tabs>
        <w:ind w:firstLine="420"/>
        <w:rPr>
          <w:rFonts w:ascii="宋体" w:hAnsi="宋体" w:cs="宋体"/>
          <w:sz w:val="24"/>
          <w:szCs w:val="24"/>
        </w:rPr>
      </w:pPr>
      <w:r>
        <w:rPr>
          <w:rFonts w:hint="eastAsia" w:ascii="宋体" w:hAnsi="宋体" w:cs="宋体"/>
          <w:sz w:val="24"/>
          <w:szCs w:val="24"/>
        </w:rPr>
        <w:t>根据国家以及地方有关廉政建设的规定，为做好公路养护项目中的党风廉政建设，保证养护质量高效优质，保证养护资金的安全和有效使用，</w:t>
      </w:r>
      <w:r>
        <w:rPr>
          <w:rFonts w:hint="eastAsia" w:ascii="宋体" w:hAnsi="宋体" w:cs="宋体"/>
          <w:sz w:val="24"/>
          <w:szCs w:val="24"/>
          <w:u w:val="single"/>
        </w:rPr>
        <w:t xml:space="preserve">                   </w:t>
      </w:r>
      <w:r>
        <w:rPr>
          <w:rFonts w:hint="eastAsia" w:ascii="宋体" w:hAnsi="宋体" w:cs="宋体"/>
          <w:sz w:val="24"/>
          <w:szCs w:val="24"/>
        </w:rPr>
        <w:t>（项目名称）的发包人</w:t>
      </w:r>
      <w:r>
        <w:rPr>
          <w:rFonts w:hint="eastAsia" w:ascii="宋体" w:hAnsi="宋体" w:cs="宋体"/>
          <w:sz w:val="24"/>
          <w:szCs w:val="24"/>
          <w:u w:val="single"/>
        </w:rPr>
        <w:t>广西壮族自治区   公路养护中心</w:t>
      </w:r>
      <w:r>
        <w:rPr>
          <w:rFonts w:hint="eastAsia" w:ascii="宋体" w:hAnsi="宋体" w:cs="宋体"/>
          <w:sz w:val="24"/>
          <w:szCs w:val="24"/>
        </w:rPr>
        <w:t>（发包人名称，以下简称“发包人”）与该项目的服务单位</w:t>
      </w:r>
      <w:r>
        <w:rPr>
          <w:rFonts w:hint="eastAsia" w:ascii="宋体" w:hAnsi="宋体" w:cs="宋体"/>
          <w:sz w:val="24"/>
          <w:szCs w:val="24"/>
        </w:rPr>
        <w:tab/>
      </w:r>
      <w:r>
        <w:rPr>
          <w:rFonts w:hint="eastAsia" w:ascii="宋体" w:hAnsi="宋体" w:cs="宋体"/>
          <w:sz w:val="24"/>
          <w:szCs w:val="24"/>
        </w:rPr>
        <w:t>（以下简称“承包人”），特订立如下合同。</w:t>
      </w:r>
    </w:p>
    <w:p w14:paraId="67AD20E1">
      <w:pPr>
        <w:tabs>
          <w:tab w:val="left" w:pos="0"/>
        </w:tabs>
        <w:ind w:firstLine="420"/>
        <w:rPr>
          <w:rFonts w:ascii="宋体" w:hAnsi="宋体" w:cs="宋体"/>
          <w:sz w:val="24"/>
          <w:szCs w:val="24"/>
        </w:rPr>
      </w:pPr>
      <w:r>
        <w:rPr>
          <w:rFonts w:hint="eastAsia" w:ascii="宋体" w:hAnsi="宋体" w:cs="宋体"/>
          <w:sz w:val="24"/>
          <w:szCs w:val="24"/>
        </w:rPr>
        <w:t>1.发包人和承包人双方的权利和义务</w:t>
      </w:r>
    </w:p>
    <w:p w14:paraId="61A002B3">
      <w:pPr>
        <w:tabs>
          <w:tab w:val="left" w:pos="0"/>
        </w:tabs>
        <w:ind w:firstLine="420"/>
        <w:rPr>
          <w:rFonts w:ascii="宋体" w:hAnsi="宋体" w:cs="宋体"/>
          <w:sz w:val="24"/>
          <w:szCs w:val="24"/>
        </w:rPr>
      </w:pPr>
      <w:r>
        <w:rPr>
          <w:rFonts w:hint="eastAsia" w:ascii="宋体" w:hAnsi="宋体" w:cs="宋体"/>
          <w:sz w:val="24"/>
          <w:szCs w:val="24"/>
        </w:rPr>
        <w:t>（1）严格遵守党的政策规定和国家有关法律法规及交通运输部的有关规定。</w:t>
      </w:r>
    </w:p>
    <w:p w14:paraId="1F9B1927">
      <w:pPr>
        <w:tabs>
          <w:tab w:val="left" w:pos="0"/>
        </w:tabs>
        <w:ind w:firstLine="420"/>
        <w:rPr>
          <w:rFonts w:ascii="宋体" w:hAnsi="宋体" w:cs="宋体"/>
          <w:sz w:val="24"/>
          <w:szCs w:val="24"/>
        </w:rPr>
      </w:pPr>
      <w:r>
        <w:rPr>
          <w:rFonts w:hint="eastAsia" w:ascii="宋体" w:hAnsi="宋体" w:cs="宋体"/>
          <w:sz w:val="24"/>
          <w:szCs w:val="24"/>
        </w:rPr>
        <w:t>（2）严格执行</w:t>
      </w:r>
      <w:r>
        <w:rPr>
          <w:rFonts w:hint="eastAsia" w:ascii="宋体" w:hAnsi="宋体" w:cs="宋体"/>
          <w:sz w:val="24"/>
          <w:szCs w:val="24"/>
          <w:u w:val="single"/>
        </w:rPr>
        <w:t xml:space="preserve">                              </w:t>
      </w:r>
      <w:r>
        <w:rPr>
          <w:rFonts w:hint="eastAsia" w:ascii="宋体" w:hAnsi="宋体" w:cs="宋体"/>
          <w:sz w:val="24"/>
          <w:szCs w:val="24"/>
        </w:rPr>
        <w:t>（项目名称）合同文件，自觉按合同办事。</w:t>
      </w:r>
    </w:p>
    <w:p w14:paraId="254603A9">
      <w:pPr>
        <w:tabs>
          <w:tab w:val="left" w:pos="0"/>
        </w:tabs>
        <w:ind w:firstLine="420"/>
        <w:rPr>
          <w:rFonts w:ascii="宋体" w:hAnsi="宋体" w:cs="宋体"/>
          <w:sz w:val="24"/>
          <w:szCs w:val="24"/>
        </w:rPr>
      </w:pPr>
      <w:r>
        <w:rPr>
          <w:rFonts w:hint="eastAsia" w:ascii="宋体" w:hAnsi="宋体" w:cs="宋体"/>
          <w:sz w:val="24"/>
          <w:szCs w:val="24"/>
        </w:rPr>
        <w:t>（3）双方的业务活动坚持公开、公正、诚信、透明的原则（法律认定的商业秘密和合同文件另有规定除外），不得损害国家和集体利益，不得违反养护相关的管理规章制度。</w:t>
      </w:r>
    </w:p>
    <w:p w14:paraId="4BD0706C">
      <w:pPr>
        <w:tabs>
          <w:tab w:val="left" w:pos="0"/>
        </w:tabs>
        <w:ind w:firstLine="420"/>
        <w:rPr>
          <w:rFonts w:ascii="宋体" w:hAnsi="宋体" w:cs="宋体"/>
          <w:sz w:val="24"/>
          <w:szCs w:val="24"/>
        </w:rPr>
      </w:pPr>
      <w:r>
        <w:rPr>
          <w:rFonts w:hint="eastAsia" w:ascii="宋体" w:hAnsi="宋体" w:cs="宋体"/>
          <w:sz w:val="24"/>
          <w:szCs w:val="24"/>
        </w:rPr>
        <w:t>（4）建立健全廉政制度，开展廉政教育，设立廉政告示牌，公布举报电话，监督并认真查处违法违纪行为。</w:t>
      </w:r>
    </w:p>
    <w:p w14:paraId="12727F4B">
      <w:pPr>
        <w:tabs>
          <w:tab w:val="left" w:pos="0"/>
        </w:tabs>
        <w:ind w:firstLine="420"/>
        <w:rPr>
          <w:rFonts w:ascii="宋体" w:hAnsi="宋体" w:cs="宋体"/>
          <w:sz w:val="24"/>
          <w:szCs w:val="24"/>
        </w:rPr>
      </w:pPr>
      <w:r>
        <w:rPr>
          <w:rFonts w:hint="eastAsia" w:ascii="宋体" w:hAnsi="宋体" w:cs="宋体"/>
          <w:sz w:val="24"/>
          <w:szCs w:val="24"/>
        </w:rPr>
        <w:t>（5）发现对方在业务活动中有违反廉政规定的行为，有及时提醒对方纠正的权利和义务。</w:t>
      </w:r>
    </w:p>
    <w:p w14:paraId="73DA0339">
      <w:pPr>
        <w:tabs>
          <w:tab w:val="left" w:pos="0"/>
        </w:tabs>
        <w:ind w:firstLine="420"/>
        <w:rPr>
          <w:rFonts w:ascii="宋体" w:hAnsi="宋体" w:cs="宋体"/>
          <w:sz w:val="24"/>
          <w:szCs w:val="24"/>
        </w:rPr>
      </w:pPr>
      <w:r>
        <w:rPr>
          <w:rFonts w:hint="eastAsia" w:ascii="宋体" w:hAnsi="宋体" w:cs="宋体"/>
          <w:sz w:val="24"/>
          <w:szCs w:val="24"/>
        </w:rPr>
        <w:t>（6）发现对方严重违反本合同义务条款的行为，有向其上级有关部门举报、建议给予处理并要求告知处理结果的权利。</w:t>
      </w:r>
    </w:p>
    <w:p w14:paraId="523AF129">
      <w:pPr>
        <w:tabs>
          <w:tab w:val="left" w:pos="0"/>
        </w:tabs>
        <w:ind w:firstLine="420"/>
        <w:rPr>
          <w:rFonts w:ascii="宋体" w:hAnsi="宋体" w:cs="宋体"/>
          <w:sz w:val="24"/>
          <w:szCs w:val="24"/>
        </w:rPr>
      </w:pPr>
      <w:r>
        <w:rPr>
          <w:rFonts w:hint="eastAsia" w:ascii="宋体" w:hAnsi="宋体" w:cs="宋体"/>
          <w:sz w:val="24"/>
          <w:szCs w:val="24"/>
        </w:rPr>
        <w:t>2.发包人的义务</w:t>
      </w:r>
    </w:p>
    <w:p w14:paraId="696EC2AA">
      <w:pPr>
        <w:tabs>
          <w:tab w:val="left" w:pos="0"/>
        </w:tabs>
        <w:ind w:firstLine="420"/>
        <w:rPr>
          <w:rFonts w:ascii="宋体" w:hAnsi="宋体" w:cs="宋体"/>
          <w:sz w:val="24"/>
          <w:szCs w:val="24"/>
        </w:rPr>
      </w:pPr>
      <w:r>
        <w:rPr>
          <w:rFonts w:hint="eastAsia" w:ascii="宋体" w:hAnsi="宋体" w:cs="宋体"/>
          <w:sz w:val="24"/>
          <w:szCs w:val="24"/>
        </w:rPr>
        <w:t>（1）发包人及其工作人员不得索要或接受承包人的礼金、有价证券和贵重物品，不得让承包人报销任何应由发包人或发包人工作人员个人支付的费用等。</w:t>
      </w:r>
    </w:p>
    <w:p w14:paraId="5EE8ECAA">
      <w:pPr>
        <w:tabs>
          <w:tab w:val="left" w:pos="0"/>
        </w:tabs>
        <w:ind w:firstLine="420"/>
        <w:rPr>
          <w:rFonts w:ascii="宋体" w:hAnsi="宋体" w:cs="宋体"/>
          <w:sz w:val="24"/>
          <w:szCs w:val="24"/>
        </w:rPr>
      </w:pPr>
      <w:r>
        <w:rPr>
          <w:rFonts w:hint="eastAsia" w:ascii="宋体" w:hAnsi="宋体" w:cs="宋体"/>
          <w:sz w:val="24"/>
          <w:szCs w:val="24"/>
        </w:rPr>
        <w:t>（2）发包人工作人员不得参加承包人安排的超标准宴请和娱乐活动；不得接受承包人提供的通信工具、交通工具和高档办公用品等。</w:t>
      </w:r>
    </w:p>
    <w:p w14:paraId="50F55CC7">
      <w:pPr>
        <w:tabs>
          <w:tab w:val="left" w:pos="0"/>
        </w:tabs>
        <w:ind w:firstLine="420"/>
        <w:rPr>
          <w:rFonts w:ascii="宋体" w:hAnsi="宋体" w:cs="宋体"/>
          <w:sz w:val="24"/>
          <w:szCs w:val="24"/>
        </w:rPr>
      </w:pPr>
      <w:r>
        <w:rPr>
          <w:rFonts w:hint="eastAsia" w:ascii="宋体" w:hAnsi="宋体" w:cs="宋体"/>
          <w:sz w:val="24"/>
          <w:szCs w:val="24"/>
        </w:rPr>
        <w:t>（3）发包人及其工作人员不得要求或者接受承包人为其住房装修、婚丧嫁娶活动、配偶子女的工作安排以及出国出境、旅游等提供方便等。</w:t>
      </w:r>
    </w:p>
    <w:p w14:paraId="302812F0">
      <w:pPr>
        <w:tabs>
          <w:tab w:val="left" w:pos="0"/>
        </w:tabs>
        <w:ind w:firstLine="420"/>
        <w:rPr>
          <w:rFonts w:ascii="宋体" w:hAnsi="宋体" w:cs="宋体"/>
          <w:sz w:val="24"/>
          <w:szCs w:val="24"/>
        </w:rPr>
      </w:pPr>
      <w:r>
        <w:rPr>
          <w:rFonts w:hint="eastAsia" w:ascii="宋体" w:hAnsi="宋体" w:cs="宋体"/>
          <w:sz w:val="24"/>
          <w:szCs w:val="24"/>
        </w:rPr>
        <w:t>（4）发包人工作人员及其配偶、子女不得从事与发包人养护项目有关的材料设备供应、分包、劳务等经济活动等。</w:t>
      </w:r>
    </w:p>
    <w:p w14:paraId="1B79628B">
      <w:pPr>
        <w:tabs>
          <w:tab w:val="left" w:pos="0"/>
        </w:tabs>
        <w:ind w:firstLine="420"/>
        <w:rPr>
          <w:rFonts w:ascii="宋体" w:hAnsi="宋体" w:cs="宋体"/>
          <w:sz w:val="24"/>
          <w:szCs w:val="24"/>
        </w:rPr>
      </w:pPr>
      <w:r>
        <w:rPr>
          <w:rFonts w:hint="eastAsia" w:ascii="宋体" w:hAnsi="宋体" w:cs="宋体"/>
          <w:sz w:val="24"/>
          <w:szCs w:val="24"/>
        </w:rPr>
        <w:t>（5）发包人及其工作人员不得以任何理由向承包人推荐分包单位或推销材料，不得要求承包人购买合同约定外的材料和设备。</w:t>
      </w:r>
    </w:p>
    <w:p w14:paraId="2BC41AEF">
      <w:pPr>
        <w:tabs>
          <w:tab w:val="left" w:pos="0"/>
        </w:tabs>
        <w:ind w:firstLine="420"/>
        <w:rPr>
          <w:rFonts w:ascii="宋体" w:hAnsi="宋体" w:cs="宋体"/>
          <w:sz w:val="24"/>
          <w:szCs w:val="24"/>
        </w:rPr>
      </w:pPr>
      <w:r>
        <w:rPr>
          <w:rFonts w:hint="eastAsia" w:ascii="宋体" w:hAnsi="宋体" w:cs="宋体"/>
          <w:sz w:val="24"/>
          <w:szCs w:val="24"/>
        </w:rPr>
        <w:t>（6）发包人工作人员要秉公办事，不准营私舞弊，不准利用职权从事各种个人有偿中介活动和安排个人施工队伍。</w:t>
      </w:r>
    </w:p>
    <w:p w14:paraId="5F889204">
      <w:pPr>
        <w:tabs>
          <w:tab w:val="left" w:pos="0"/>
        </w:tabs>
        <w:ind w:firstLine="420"/>
        <w:rPr>
          <w:rFonts w:ascii="宋体" w:hAnsi="宋体" w:cs="宋体"/>
          <w:sz w:val="24"/>
          <w:szCs w:val="24"/>
        </w:rPr>
      </w:pPr>
      <w:r>
        <w:rPr>
          <w:rFonts w:hint="eastAsia" w:ascii="宋体" w:hAnsi="宋体" w:cs="宋体"/>
          <w:sz w:val="24"/>
          <w:szCs w:val="24"/>
        </w:rPr>
        <w:t>3.承包人的义务</w:t>
      </w:r>
    </w:p>
    <w:p w14:paraId="16BD866E">
      <w:pPr>
        <w:tabs>
          <w:tab w:val="left" w:pos="0"/>
        </w:tabs>
        <w:ind w:firstLine="420"/>
        <w:rPr>
          <w:rFonts w:ascii="宋体" w:hAnsi="宋体" w:cs="宋体"/>
          <w:sz w:val="24"/>
          <w:szCs w:val="24"/>
        </w:rPr>
      </w:pPr>
      <w:r>
        <w:rPr>
          <w:rFonts w:hint="eastAsia" w:ascii="宋体" w:hAnsi="宋体" w:cs="宋体"/>
          <w:sz w:val="24"/>
          <w:szCs w:val="24"/>
        </w:rPr>
        <w:t>（1）承包人不得以任何理由向发包人及其工作人员行贿或馈赠礼金、有价证券、贵重礼品。</w:t>
      </w:r>
    </w:p>
    <w:p w14:paraId="69A4802B">
      <w:pPr>
        <w:tabs>
          <w:tab w:val="left" w:pos="0"/>
        </w:tabs>
        <w:ind w:firstLine="420"/>
        <w:rPr>
          <w:rFonts w:ascii="宋体" w:hAnsi="宋体" w:cs="宋体"/>
          <w:sz w:val="24"/>
          <w:szCs w:val="24"/>
        </w:rPr>
      </w:pPr>
      <w:r>
        <w:rPr>
          <w:rFonts w:hint="eastAsia" w:ascii="宋体" w:hAnsi="宋体" w:cs="宋体"/>
          <w:sz w:val="24"/>
          <w:szCs w:val="24"/>
        </w:rPr>
        <w:t>（2）承包人不得以任何名义为发包人及其工作人员报销应由发包人单位或个人支付的任何费用。</w:t>
      </w:r>
    </w:p>
    <w:p w14:paraId="39A95FDA">
      <w:pPr>
        <w:tabs>
          <w:tab w:val="left" w:pos="0"/>
        </w:tabs>
        <w:ind w:firstLine="420"/>
        <w:rPr>
          <w:rFonts w:ascii="宋体" w:hAnsi="宋体" w:cs="宋体"/>
          <w:sz w:val="24"/>
          <w:szCs w:val="24"/>
        </w:rPr>
      </w:pPr>
      <w:r>
        <w:rPr>
          <w:rFonts w:hint="eastAsia" w:ascii="宋体" w:hAnsi="宋体" w:cs="宋体"/>
          <w:sz w:val="24"/>
          <w:szCs w:val="24"/>
        </w:rPr>
        <w:t>（3）承包人不得以任何理由安排发包人工作人员参加超标准宴请及娱乐活动。</w:t>
      </w:r>
    </w:p>
    <w:p w14:paraId="5120C780">
      <w:pPr>
        <w:tabs>
          <w:tab w:val="left" w:pos="0"/>
        </w:tabs>
        <w:ind w:firstLine="420"/>
        <w:rPr>
          <w:rFonts w:ascii="宋体" w:hAnsi="宋体" w:cs="宋体"/>
          <w:sz w:val="24"/>
          <w:szCs w:val="24"/>
        </w:rPr>
      </w:pPr>
      <w:r>
        <w:rPr>
          <w:rFonts w:hint="eastAsia" w:ascii="宋体" w:hAnsi="宋体" w:cs="宋体"/>
          <w:sz w:val="24"/>
          <w:szCs w:val="24"/>
        </w:rPr>
        <w:t>（4）承包人不得为发包人单位和个人购置或提供通信工具、交通工具和高档办公用品等。</w:t>
      </w:r>
    </w:p>
    <w:p w14:paraId="20242DAB">
      <w:pPr>
        <w:tabs>
          <w:tab w:val="left" w:pos="0"/>
        </w:tabs>
        <w:ind w:firstLine="420"/>
        <w:rPr>
          <w:rFonts w:ascii="宋体" w:hAnsi="宋体" w:cs="宋体"/>
          <w:sz w:val="24"/>
          <w:szCs w:val="24"/>
        </w:rPr>
      </w:pPr>
      <w:r>
        <w:rPr>
          <w:rFonts w:hint="eastAsia" w:ascii="宋体" w:hAnsi="宋体" w:cs="宋体"/>
          <w:sz w:val="24"/>
          <w:szCs w:val="24"/>
        </w:rPr>
        <w:t>4.违约责任</w:t>
      </w:r>
    </w:p>
    <w:p w14:paraId="6A056C30">
      <w:pPr>
        <w:tabs>
          <w:tab w:val="left" w:pos="0"/>
        </w:tabs>
        <w:ind w:firstLine="420"/>
        <w:rPr>
          <w:rFonts w:ascii="宋体" w:hAnsi="宋体" w:cs="宋体"/>
          <w:sz w:val="24"/>
          <w:szCs w:val="24"/>
        </w:rPr>
      </w:pPr>
      <w:r>
        <w:rPr>
          <w:rFonts w:hint="eastAsia" w:ascii="宋体" w:hAnsi="宋体" w:cs="宋体"/>
          <w:sz w:val="24"/>
          <w:szCs w:val="24"/>
        </w:rPr>
        <w:t>（1）发包人及其工作人员违反本合同第 1、2 条，按管理权限，依据有关规定给予党纪、政纪或组织处理；涉嫌犯罪的，移交司法机关追究刑事责任；给承包人单位造成经济损失的，应予以赔偿。</w:t>
      </w:r>
    </w:p>
    <w:p w14:paraId="56C80DDB">
      <w:pPr>
        <w:tabs>
          <w:tab w:val="left" w:pos="0"/>
        </w:tabs>
        <w:ind w:firstLine="420"/>
        <w:rPr>
          <w:rFonts w:ascii="宋体" w:hAnsi="宋体" w:cs="宋体"/>
          <w:sz w:val="24"/>
          <w:szCs w:val="24"/>
        </w:rPr>
      </w:pPr>
      <w:r>
        <w:rPr>
          <w:rFonts w:hint="eastAsia" w:ascii="宋体" w:hAnsi="宋体" w:cs="宋体"/>
          <w:sz w:val="24"/>
          <w:szCs w:val="24"/>
        </w:rPr>
        <w:t>（2）承包人及其工作人员违反本合同第 1、3 条，按管理权限，依据有关规定给予党纪、政纪或组织处理；给发包人单位造成经济损失的，应予以赔偿；情节严重的，发包人建议交通运输主管部门给予承包人一至三年内不得进入其主管的公路养护市场的处罚。</w:t>
      </w:r>
    </w:p>
    <w:p w14:paraId="35B00367">
      <w:pPr>
        <w:tabs>
          <w:tab w:val="left" w:pos="0"/>
        </w:tabs>
        <w:ind w:firstLine="420"/>
        <w:rPr>
          <w:rFonts w:ascii="宋体" w:hAnsi="宋体" w:cs="宋体"/>
          <w:sz w:val="24"/>
          <w:szCs w:val="24"/>
        </w:rPr>
      </w:pPr>
      <w:r>
        <w:rPr>
          <w:rFonts w:hint="eastAsia" w:ascii="宋体" w:hAnsi="宋体" w:cs="宋体"/>
          <w:sz w:val="24"/>
          <w:szCs w:val="24"/>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7DF5BF3E">
      <w:pPr>
        <w:tabs>
          <w:tab w:val="left" w:pos="0"/>
        </w:tabs>
        <w:ind w:firstLine="420"/>
        <w:rPr>
          <w:rFonts w:ascii="宋体" w:hAnsi="宋体" w:cs="宋体"/>
          <w:sz w:val="24"/>
          <w:szCs w:val="24"/>
        </w:rPr>
      </w:pPr>
      <w:r>
        <w:rPr>
          <w:rFonts w:hint="eastAsia" w:ascii="宋体" w:hAnsi="宋体" w:cs="宋体"/>
          <w:sz w:val="24"/>
          <w:szCs w:val="24"/>
        </w:rPr>
        <w:t>6.本合同有效期为发包人和承包人签署之日起至该工程项目竣工验收后止。</w:t>
      </w:r>
    </w:p>
    <w:p w14:paraId="525E3EDD">
      <w:pPr>
        <w:tabs>
          <w:tab w:val="left" w:pos="0"/>
        </w:tabs>
        <w:ind w:firstLine="420"/>
        <w:rPr>
          <w:rFonts w:ascii="宋体" w:hAnsi="宋体" w:cs="宋体"/>
          <w:sz w:val="24"/>
          <w:szCs w:val="24"/>
        </w:rPr>
      </w:pPr>
      <w:r>
        <w:rPr>
          <w:rFonts w:hint="eastAsia" w:ascii="宋体" w:hAnsi="宋体" w:cs="宋体"/>
          <w:sz w:val="24"/>
          <w:szCs w:val="24"/>
        </w:rPr>
        <w:t>7.本合同作为</w:t>
      </w:r>
      <w:r>
        <w:rPr>
          <w:rFonts w:hint="eastAsia" w:ascii="宋体" w:hAnsi="宋体" w:cs="宋体"/>
          <w:sz w:val="24"/>
          <w:szCs w:val="24"/>
          <w:u w:val="single"/>
        </w:rPr>
        <w:t xml:space="preserve">                               </w:t>
      </w:r>
      <w:r>
        <w:rPr>
          <w:rFonts w:hint="eastAsia" w:ascii="宋体" w:hAnsi="宋体" w:cs="宋体"/>
          <w:sz w:val="24"/>
          <w:szCs w:val="24"/>
        </w:rPr>
        <w:t>（项目名称）服务合同的附件，与服务合同具有同等的法律效力，经合同双方签署后立即生效。</w:t>
      </w:r>
    </w:p>
    <w:p w14:paraId="240B4690">
      <w:pPr>
        <w:tabs>
          <w:tab w:val="left" w:pos="0"/>
        </w:tabs>
        <w:ind w:firstLine="420"/>
        <w:rPr>
          <w:rFonts w:ascii="宋体" w:hAnsi="宋体" w:cs="宋体"/>
          <w:sz w:val="24"/>
          <w:szCs w:val="24"/>
        </w:rPr>
      </w:pPr>
      <w:r>
        <w:rPr>
          <w:rFonts w:hint="eastAsia" w:ascii="宋体" w:hAnsi="宋体" w:cs="宋体"/>
          <w:sz w:val="24"/>
          <w:szCs w:val="24"/>
        </w:rPr>
        <w:t>8.</w:t>
      </w:r>
      <w:r>
        <w:rPr>
          <w:rFonts w:hint="eastAsia" w:ascii="宋体" w:hAnsi="宋体" w:cs="宋体"/>
          <w:kern w:val="0"/>
          <w:sz w:val="24"/>
          <w:szCs w:val="24"/>
          <w:shd w:val="clear" w:color="auto" w:fill="FFFFFF"/>
          <w:lang w:val="zh-CN" w:bidi="zh-CN"/>
        </w:rPr>
        <w:t>本合同</w:t>
      </w:r>
      <w:r>
        <w:rPr>
          <w:rFonts w:hint="eastAsia" w:ascii="宋体" w:hAnsi="宋体" w:cs="宋体"/>
          <w:sz w:val="24"/>
          <w:szCs w:val="24"/>
        </w:rPr>
        <w:t>正本二份、副本六份，合同双方各执正本一份、发包人持副本四份,承包人持副本二份，当正本与副本的内容不一致时，以正本为准</w:t>
      </w:r>
      <w:r>
        <w:rPr>
          <w:rFonts w:hint="eastAsia" w:ascii="宋体" w:hAnsi="宋体" w:cs="宋体"/>
          <w:kern w:val="0"/>
          <w:sz w:val="24"/>
          <w:szCs w:val="24"/>
          <w:shd w:val="clear" w:color="auto" w:fill="FFFFFF"/>
          <w:lang w:val="zh-CN" w:bidi="zh-CN"/>
        </w:rPr>
        <w:t>。</w:t>
      </w:r>
    </w:p>
    <w:tbl>
      <w:tblPr>
        <w:tblStyle w:val="25"/>
        <w:tblpPr w:leftFromText="180" w:rightFromText="180" w:vertAnchor="text" w:horzAnchor="page" w:tblpX="1794" w:tblpY="452"/>
        <w:tblOverlap w:val="never"/>
        <w:tblW w:w="0" w:type="auto"/>
        <w:tblInd w:w="0" w:type="dxa"/>
        <w:tblLayout w:type="autofit"/>
        <w:tblCellMar>
          <w:top w:w="0" w:type="dxa"/>
          <w:left w:w="108" w:type="dxa"/>
          <w:bottom w:w="0" w:type="dxa"/>
          <w:right w:w="108" w:type="dxa"/>
        </w:tblCellMar>
      </w:tblPr>
      <w:tblGrid>
        <w:gridCol w:w="4926"/>
        <w:gridCol w:w="4927"/>
      </w:tblGrid>
      <w:tr w14:paraId="146948E8">
        <w:tblPrEx>
          <w:tblCellMar>
            <w:top w:w="0" w:type="dxa"/>
            <w:left w:w="108" w:type="dxa"/>
            <w:bottom w:w="0" w:type="dxa"/>
            <w:right w:w="108" w:type="dxa"/>
          </w:tblCellMar>
        </w:tblPrEx>
        <w:trPr>
          <w:trHeight w:val="850" w:hRule="atLeast"/>
        </w:trPr>
        <w:tc>
          <w:tcPr>
            <w:tcW w:w="4981" w:type="dxa"/>
          </w:tcPr>
          <w:p w14:paraId="50A60659">
            <w:pPr>
              <w:tabs>
                <w:tab w:val="left" w:pos="0"/>
              </w:tabs>
              <w:jc w:val="center"/>
              <w:rPr>
                <w:rFonts w:ascii="宋体" w:hAnsi="宋体" w:cs="宋体"/>
                <w:sz w:val="24"/>
                <w:szCs w:val="24"/>
              </w:rPr>
            </w:pPr>
            <w:r>
              <w:rPr>
                <w:rFonts w:hint="eastAsia" w:ascii="宋体" w:hAnsi="宋体" w:cs="宋体"/>
                <w:sz w:val="24"/>
                <w:szCs w:val="24"/>
              </w:rPr>
              <w:t>发包人：</w:t>
            </w:r>
            <w:r>
              <w:rPr>
                <w:rFonts w:hint="eastAsia" w:ascii="宋体" w:hAnsi="宋体" w:cs="宋体"/>
                <w:sz w:val="24"/>
                <w:szCs w:val="24"/>
                <w:u w:val="single"/>
              </w:rPr>
              <w:t xml:space="preserve">                </w:t>
            </w:r>
            <w:r>
              <w:rPr>
                <w:rFonts w:hint="eastAsia" w:ascii="宋体" w:hAnsi="宋体" w:cs="宋体"/>
                <w:sz w:val="24"/>
                <w:szCs w:val="24"/>
              </w:rPr>
              <w:t>（盖单位章）</w:t>
            </w:r>
          </w:p>
        </w:tc>
        <w:tc>
          <w:tcPr>
            <w:tcW w:w="4981" w:type="dxa"/>
          </w:tcPr>
          <w:p w14:paraId="032CA54C">
            <w:pPr>
              <w:tabs>
                <w:tab w:val="left" w:pos="0"/>
              </w:tabs>
              <w:jc w:val="center"/>
              <w:rPr>
                <w:rFonts w:ascii="宋体" w:hAnsi="宋体" w:cs="宋体"/>
                <w:sz w:val="24"/>
                <w:szCs w:val="24"/>
              </w:rPr>
            </w:pPr>
            <w:r>
              <w:rPr>
                <w:rFonts w:hint="eastAsia" w:ascii="宋体" w:hAnsi="宋体" w:cs="宋体"/>
                <w:sz w:val="24"/>
                <w:szCs w:val="24"/>
              </w:rPr>
              <w:t>承包人：</w:t>
            </w:r>
            <w:r>
              <w:rPr>
                <w:rFonts w:hint="eastAsia" w:ascii="宋体" w:hAnsi="宋体" w:cs="宋体"/>
                <w:sz w:val="24"/>
                <w:szCs w:val="24"/>
                <w:u w:val="single"/>
              </w:rPr>
              <w:t xml:space="preserve">                </w:t>
            </w:r>
            <w:r>
              <w:rPr>
                <w:rFonts w:hint="eastAsia" w:ascii="宋体" w:hAnsi="宋体" w:cs="宋体"/>
                <w:sz w:val="24"/>
                <w:szCs w:val="24"/>
              </w:rPr>
              <w:t>（盖单位章）</w:t>
            </w:r>
          </w:p>
        </w:tc>
      </w:tr>
      <w:tr w14:paraId="097FE48E">
        <w:tblPrEx>
          <w:tblCellMar>
            <w:top w:w="0" w:type="dxa"/>
            <w:left w:w="108" w:type="dxa"/>
            <w:bottom w:w="0" w:type="dxa"/>
            <w:right w:w="108" w:type="dxa"/>
          </w:tblCellMar>
        </w:tblPrEx>
        <w:trPr>
          <w:trHeight w:val="850" w:hRule="atLeast"/>
        </w:trPr>
        <w:tc>
          <w:tcPr>
            <w:tcW w:w="4981" w:type="dxa"/>
          </w:tcPr>
          <w:p w14:paraId="66930E96">
            <w:pPr>
              <w:tabs>
                <w:tab w:val="left" w:pos="0"/>
              </w:tabs>
              <w:jc w:val="center"/>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u w:val="single"/>
              </w:rPr>
              <w:t xml:space="preserve">       </w:t>
            </w:r>
            <w:r>
              <w:rPr>
                <w:rFonts w:hint="eastAsia" w:ascii="宋体" w:hAnsi="宋体" w:cs="宋体"/>
                <w:sz w:val="24"/>
                <w:szCs w:val="24"/>
              </w:rPr>
              <w:t>（签字）</w:t>
            </w:r>
          </w:p>
        </w:tc>
        <w:tc>
          <w:tcPr>
            <w:tcW w:w="4981" w:type="dxa"/>
          </w:tcPr>
          <w:p w14:paraId="4A16A958">
            <w:pPr>
              <w:tabs>
                <w:tab w:val="left" w:pos="0"/>
              </w:tabs>
              <w:jc w:val="center"/>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u w:val="single"/>
              </w:rPr>
              <w:t xml:space="preserve">       </w:t>
            </w:r>
            <w:r>
              <w:rPr>
                <w:rFonts w:hint="eastAsia" w:ascii="宋体" w:hAnsi="宋体" w:cs="宋体"/>
                <w:sz w:val="24"/>
                <w:szCs w:val="24"/>
              </w:rPr>
              <w:t>（签字）</w:t>
            </w:r>
          </w:p>
        </w:tc>
      </w:tr>
      <w:tr w14:paraId="3A1CFADA">
        <w:tblPrEx>
          <w:tblCellMar>
            <w:top w:w="0" w:type="dxa"/>
            <w:left w:w="108" w:type="dxa"/>
            <w:bottom w:w="0" w:type="dxa"/>
            <w:right w:w="108" w:type="dxa"/>
          </w:tblCellMar>
        </w:tblPrEx>
        <w:trPr>
          <w:trHeight w:val="850" w:hRule="atLeast"/>
        </w:trPr>
        <w:tc>
          <w:tcPr>
            <w:tcW w:w="4981" w:type="dxa"/>
          </w:tcPr>
          <w:p w14:paraId="0D07B097">
            <w:pPr>
              <w:tabs>
                <w:tab w:val="left" w:pos="0"/>
              </w:tabs>
              <w:jc w:val="center"/>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ab/>
            </w:r>
            <w:r>
              <w:rPr>
                <w:rFonts w:hint="eastAsia" w:ascii="宋体" w:hAnsi="宋体" w:cs="宋体"/>
                <w:sz w:val="24"/>
                <w:szCs w:val="24"/>
              </w:rPr>
              <w:t>月</w:t>
            </w:r>
            <w:r>
              <w:rPr>
                <w:rFonts w:hint="eastAsia" w:ascii="宋体" w:hAnsi="宋体" w:cs="宋体"/>
                <w:sz w:val="24"/>
                <w:szCs w:val="24"/>
              </w:rPr>
              <w:tab/>
            </w:r>
            <w:r>
              <w:rPr>
                <w:rFonts w:hint="eastAsia" w:ascii="宋体" w:hAnsi="宋体" w:cs="宋体"/>
                <w:sz w:val="24"/>
                <w:szCs w:val="24"/>
                <w:u w:val="single"/>
              </w:rPr>
              <w:t xml:space="preserve">    </w:t>
            </w:r>
            <w:r>
              <w:rPr>
                <w:rFonts w:hint="eastAsia" w:ascii="宋体" w:hAnsi="宋体" w:cs="宋体"/>
                <w:sz w:val="24"/>
                <w:szCs w:val="24"/>
              </w:rPr>
              <w:t>日</w:t>
            </w:r>
          </w:p>
        </w:tc>
        <w:tc>
          <w:tcPr>
            <w:tcW w:w="4981" w:type="dxa"/>
          </w:tcPr>
          <w:p w14:paraId="690E981A">
            <w:pPr>
              <w:tabs>
                <w:tab w:val="left" w:pos="0"/>
              </w:tabs>
              <w:jc w:val="center"/>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ab/>
            </w:r>
            <w:r>
              <w:rPr>
                <w:rFonts w:hint="eastAsia" w:ascii="宋体" w:hAnsi="宋体" w:cs="宋体"/>
                <w:sz w:val="24"/>
                <w:szCs w:val="24"/>
              </w:rPr>
              <w:t>月</w:t>
            </w:r>
            <w:r>
              <w:rPr>
                <w:rFonts w:hint="eastAsia" w:ascii="宋体" w:hAnsi="宋体" w:cs="宋体"/>
                <w:sz w:val="24"/>
                <w:szCs w:val="24"/>
              </w:rPr>
              <w:tab/>
            </w:r>
            <w:r>
              <w:rPr>
                <w:rFonts w:hint="eastAsia" w:ascii="宋体" w:hAnsi="宋体" w:cs="宋体"/>
                <w:sz w:val="24"/>
                <w:szCs w:val="24"/>
                <w:u w:val="single"/>
              </w:rPr>
              <w:t xml:space="preserve">    </w:t>
            </w:r>
            <w:r>
              <w:rPr>
                <w:rFonts w:hint="eastAsia" w:ascii="宋体" w:hAnsi="宋体" w:cs="宋体"/>
                <w:sz w:val="24"/>
                <w:szCs w:val="24"/>
              </w:rPr>
              <w:t>日</w:t>
            </w:r>
          </w:p>
        </w:tc>
      </w:tr>
    </w:tbl>
    <w:p w14:paraId="688DB5AC">
      <w:pPr>
        <w:spacing w:line="264" w:lineRule="auto"/>
        <w:rPr>
          <w:rFonts w:ascii="宋体" w:hAnsi="宋体" w:cs="宋体"/>
          <w:sz w:val="24"/>
          <w:szCs w:val="24"/>
        </w:rPr>
      </w:pPr>
    </w:p>
    <w:p w14:paraId="13229E16">
      <w:pPr>
        <w:spacing w:line="264" w:lineRule="auto"/>
        <w:rPr>
          <w:rFonts w:ascii="宋体" w:hAnsi="宋体" w:cs="宋体"/>
          <w:sz w:val="24"/>
          <w:szCs w:val="24"/>
        </w:rPr>
      </w:pPr>
    </w:p>
    <w:p w14:paraId="55559408">
      <w:pPr>
        <w:spacing w:line="264" w:lineRule="auto"/>
        <w:rPr>
          <w:rFonts w:ascii="宋体" w:hAnsi="宋体" w:cs="宋体"/>
          <w:sz w:val="24"/>
          <w:szCs w:val="24"/>
        </w:rPr>
      </w:pPr>
    </w:p>
    <w:p w14:paraId="22A56AB9">
      <w:pPr>
        <w:spacing w:line="264" w:lineRule="auto"/>
        <w:rPr>
          <w:rFonts w:ascii="宋体" w:hAnsi="宋体" w:cs="宋体"/>
          <w:sz w:val="24"/>
          <w:szCs w:val="24"/>
        </w:rPr>
      </w:pPr>
    </w:p>
    <w:p w14:paraId="3DD2B791">
      <w:pPr>
        <w:spacing w:line="264" w:lineRule="auto"/>
        <w:rPr>
          <w:rFonts w:ascii="宋体" w:hAnsi="宋体" w:cs="宋体"/>
          <w:sz w:val="24"/>
          <w:szCs w:val="24"/>
        </w:rPr>
      </w:pPr>
    </w:p>
    <w:p w14:paraId="628114FC">
      <w:pPr>
        <w:spacing w:line="264" w:lineRule="auto"/>
        <w:rPr>
          <w:rFonts w:ascii="宋体" w:hAnsi="宋体" w:cs="宋体"/>
          <w:sz w:val="24"/>
          <w:szCs w:val="24"/>
        </w:rPr>
      </w:pPr>
    </w:p>
    <w:p w14:paraId="757D43B6">
      <w:pPr>
        <w:spacing w:line="264" w:lineRule="auto"/>
        <w:rPr>
          <w:rFonts w:ascii="宋体" w:hAnsi="宋体" w:cs="宋体"/>
          <w:sz w:val="24"/>
          <w:szCs w:val="24"/>
        </w:rPr>
      </w:pPr>
    </w:p>
    <w:p w14:paraId="02AAE971">
      <w:pPr>
        <w:spacing w:line="264" w:lineRule="auto"/>
        <w:rPr>
          <w:rFonts w:ascii="宋体" w:hAnsi="宋体" w:cs="宋体"/>
          <w:sz w:val="24"/>
          <w:szCs w:val="24"/>
        </w:rPr>
      </w:pPr>
    </w:p>
    <w:p w14:paraId="09842FA2">
      <w:pPr>
        <w:spacing w:line="264" w:lineRule="auto"/>
        <w:rPr>
          <w:rFonts w:ascii="宋体" w:hAnsi="宋体" w:cs="宋体"/>
          <w:sz w:val="24"/>
          <w:szCs w:val="24"/>
        </w:rPr>
      </w:pPr>
    </w:p>
    <w:p w14:paraId="0E34A60C">
      <w:pPr>
        <w:spacing w:line="264" w:lineRule="auto"/>
        <w:rPr>
          <w:rFonts w:ascii="宋体" w:hAnsi="宋体" w:cs="宋体"/>
          <w:sz w:val="24"/>
          <w:szCs w:val="24"/>
        </w:rPr>
      </w:pPr>
    </w:p>
    <w:p w14:paraId="3E6959F3">
      <w:pPr>
        <w:spacing w:line="264" w:lineRule="auto"/>
        <w:rPr>
          <w:rFonts w:ascii="宋体" w:hAnsi="宋体" w:cs="宋体"/>
          <w:sz w:val="24"/>
          <w:szCs w:val="24"/>
        </w:rPr>
      </w:pPr>
    </w:p>
    <w:p w14:paraId="19960B0B">
      <w:pPr>
        <w:spacing w:line="264" w:lineRule="auto"/>
        <w:rPr>
          <w:rFonts w:ascii="宋体" w:hAnsi="宋体" w:cs="宋体"/>
          <w:sz w:val="24"/>
          <w:szCs w:val="24"/>
        </w:rPr>
      </w:pPr>
    </w:p>
    <w:p w14:paraId="738E342A">
      <w:pPr>
        <w:spacing w:line="264" w:lineRule="auto"/>
        <w:rPr>
          <w:rFonts w:ascii="宋体" w:hAnsi="宋体" w:cs="宋体"/>
          <w:sz w:val="24"/>
          <w:szCs w:val="24"/>
        </w:rPr>
      </w:pPr>
    </w:p>
    <w:p w14:paraId="4CBA99A2">
      <w:pPr>
        <w:spacing w:line="264" w:lineRule="auto"/>
        <w:rPr>
          <w:rFonts w:ascii="宋体" w:hAnsi="宋体" w:cs="宋体"/>
          <w:sz w:val="24"/>
          <w:szCs w:val="24"/>
        </w:rPr>
      </w:pPr>
    </w:p>
    <w:p w14:paraId="47810CB7">
      <w:pPr>
        <w:rPr>
          <w:rFonts w:hint="eastAsia" w:ascii="宋体" w:hAnsi="宋体" w:cs="宋体"/>
          <w:lang w:eastAsia="zh-CN"/>
        </w:rPr>
      </w:pPr>
      <w:bookmarkStart w:id="217" w:name="_Toc540"/>
      <w:bookmarkStart w:id="218" w:name="_Toc522"/>
      <w:bookmarkStart w:id="219" w:name="_Toc24628"/>
      <w:r>
        <w:rPr>
          <w:rFonts w:hint="eastAsia" w:ascii="宋体" w:hAnsi="宋体" w:cs="宋体"/>
          <w:lang w:eastAsia="zh-CN"/>
        </w:rPr>
        <w:br w:type="page"/>
      </w:r>
    </w:p>
    <w:p w14:paraId="67A7A035">
      <w:pPr>
        <w:pStyle w:val="4"/>
        <w:rPr>
          <w:rFonts w:ascii="宋体" w:hAnsi="宋体" w:cs="宋体"/>
          <w:lang w:eastAsia="zh-CN"/>
        </w:rPr>
      </w:pPr>
      <w:bookmarkStart w:id="220" w:name="_Toc28470"/>
      <w:r>
        <w:rPr>
          <w:rFonts w:hint="eastAsia" w:ascii="宋体" w:hAnsi="宋体" w:cs="宋体"/>
          <w:lang w:eastAsia="zh-CN"/>
        </w:rPr>
        <w:t>附件二、安全生产合同</w:t>
      </w:r>
      <w:bookmarkEnd w:id="217"/>
      <w:bookmarkEnd w:id="218"/>
      <w:bookmarkEnd w:id="219"/>
      <w:bookmarkEnd w:id="220"/>
    </w:p>
    <w:p w14:paraId="4E634FF8">
      <w:pPr>
        <w:tabs>
          <w:tab w:val="left" w:pos="0"/>
        </w:tabs>
        <w:jc w:val="center"/>
        <w:rPr>
          <w:rFonts w:ascii="宋体" w:hAnsi="宋体" w:cs="宋体"/>
          <w:b/>
          <w:bCs/>
          <w:sz w:val="44"/>
          <w:szCs w:val="44"/>
        </w:rPr>
      </w:pPr>
      <w:r>
        <w:rPr>
          <w:rFonts w:hint="eastAsia" w:ascii="宋体" w:hAnsi="宋体" w:cs="宋体"/>
          <w:b/>
          <w:bCs/>
          <w:sz w:val="44"/>
          <w:szCs w:val="44"/>
        </w:rPr>
        <w:t>安全生产合同</w:t>
      </w:r>
    </w:p>
    <w:p w14:paraId="6354137F">
      <w:pPr>
        <w:tabs>
          <w:tab w:val="left" w:pos="0"/>
        </w:tabs>
        <w:spacing w:line="360" w:lineRule="exact"/>
        <w:ind w:firstLine="420"/>
        <w:rPr>
          <w:rFonts w:ascii="宋体" w:hAnsi="宋体" w:cs="宋体"/>
          <w:sz w:val="24"/>
          <w:szCs w:val="24"/>
        </w:rPr>
      </w:pPr>
      <w:r>
        <w:rPr>
          <w:rFonts w:hint="eastAsia" w:ascii="宋体" w:hAnsi="宋体" w:cs="宋体"/>
          <w:sz w:val="24"/>
          <w:szCs w:val="24"/>
        </w:rPr>
        <w:t>为在</w:t>
      </w:r>
      <w:r>
        <w:rPr>
          <w:rFonts w:hint="eastAsia" w:ascii="宋体" w:hAnsi="宋体" w:cs="宋体"/>
          <w:sz w:val="24"/>
          <w:szCs w:val="24"/>
          <w:u w:val="single"/>
        </w:rPr>
        <w:t xml:space="preserve">                              </w:t>
      </w:r>
      <w:r>
        <w:rPr>
          <w:rFonts w:hint="eastAsia" w:ascii="宋体" w:hAnsi="宋体" w:cs="宋体"/>
          <w:sz w:val="24"/>
          <w:szCs w:val="24"/>
        </w:rPr>
        <w:t>（项目名称）服务合同的实施过程中创造安全、高效的环境，切实搞好本项目的安全管理工作，本项目发包人</w:t>
      </w:r>
      <w:r>
        <w:rPr>
          <w:rFonts w:hint="eastAsia" w:ascii="宋体" w:hAnsi="宋体" w:cs="宋体"/>
          <w:sz w:val="24"/>
          <w:szCs w:val="24"/>
          <w:u w:val="single"/>
        </w:rPr>
        <w:t>广西壮族自治区     公路养护中心</w:t>
      </w:r>
      <w:r>
        <w:rPr>
          <w:rFonts w:hint="eastAsia" w:ascii="宋体" w:hAnsi="宋体" w:cs="宋体"/>
          <w:sz w:val="24"/>
          <w:szCs w:val="24"/>
        </w:rPr>
        <w:t>（发包人名称，以下简称“发包人”）与承包人</w:t>
      </w:r>
      <w:r>
        <w:rPr>
          <w:rFonts w:hint="eastAsia" w:ascii="宋体" w:hAnsi="宋体" w:cs="宋体"/>
          <w:sz w:val="24"/>
          <w:szCs w:val="24"/>
          <w:u w:val="single"/>
        </w:rPr>
        <w:t xml:space="preserve">                     </w:t>
      </w:r>
      <w:r>
        <w:rPr>
          <w:rFonts w:hint="eastAsia" w:ascii="宋体" w:hAnsi="宋体" w:cs="宋体"/>
          <w:sz w:val="24"/>
          <w:szCs w:val="24"/>
        </w:rPr>
        <w:t>（承包人名称，以下简称“承包人”）特此签订安全生产合同。</w:t>
      </w:r>
    </w:p>
    <w:p w14:paraId="130FBDD7">
      <w:pPr>
        <w:tabs>
          <w:tab w:val="left" w:pos="0"/>
        </w:tabs>
        <w:spacing w:line="360" w:lineRule="exact"/>
        <w:ind w:firstLine="420"/>
        <w:rPr>
          <w:rFonts w:ascii="宋体" w:hAnsi="宋体" w:cs="宋体"/>
          <w:sz w:val="24"/>
          <w:szCs w:val="24"/>
        </w:rPr>
      </w:pPr>
      <w:r>
        <w:rPr>
          <w:rFonts w:hint="eastAsia" w:ascii="宋体" w:hAnsi="宋体" w:cs="宋体"/>
          <w:sz w:val="24"/>
          <w:szCs w:val="24"/>
        </w:rPr>
        <w:t>1.发包人职责</w:t>
      </w:r>
    </w:p>
    <w:p w14:paraId="4B994A93">
      <w:pPr>
        <w:tabs>
          <w:tab w:val="left" w:pos="0"/>
        </w:tabs>
        <w:spacing w:line="360" w:lineRule="exact"/>
        <w:ind w:firstLine="420"/>
        <w:rPr>
          <w:rFonts w:ascii="宋体" w:hAnsi="宋体" w:cs="宋体"/>
          <w:sz w:val="24"/>
          <w:szCs w:val="24"/>
        </w:rPr>
      </w:pPr>
      <w:r>
        <w:rPr>
          <w:rFonts w:hint="eastAsia" w:ascii="宋体" w:hAnsi="宋体" w:cs="宋体"/>
          <w:sz w:val="24"/>
          <w:szCs w:val="24"/>
        </w:rPr>
        <w:t>（1）严格遵守国家有关安全生产的法律法规，认真执行工程承包合同中的有关安全要求。</w:t>
      </w:r>
    </w:p>
    <w:p w14:paraId="07DE8279">
      <w:pPr>
        <w:tabs>
          <w:tab w:val="left" w:pos="0"/>
        </w:tabs>
        <w:spacing w:line="360" w:lineRule="exact"/>
        <w:ind w:firstLine="420"/>
        <w:rPr>
          <w:rFonts w:ascii="宋体" w:hAnsi="宋体" w:cs="宋体"/>
          <w:sz w:val="24"/>
          <w:szCs w:val="24"/>
        </w:rPr>
      </w:pPr>
      <w:r>
        <w:rPr>
          <w:rFonts w:hint="eastAsia" w:ascii="宋体" w:hAnsi="宋体" w:cs="宋体"/>
          <w:sz w:val="24"/>
          <w:szCs w:val="24"/>
        </w:rPr>
        <w:t>（2）按照“安全第一、预防为主、综合治理”和坚持“管生产必须管安全”的原则进行安全生产管理，做到生产与安全工作同时计划、布置、检查、总结和评比。</w:t>
      </w:r>
    </w:p>
    <w:p w14:paraId="6EEB1C2B">
      <w:pPr>
        <w:tabs>
          <w:tab w:val="left" w:pos="0"/>
        </w:tabs>
        <w:spacing w:line="360" w:lineRule="exact"/>
        <w:ind w:firstLine="420"/>
        <w:rPr>
          <w:rFonts w:ascii="宋体" w:hAnsi="宋体" w:cs="宋体"/>
          <w:sz w:val="24"/>
          <w:szCs w:val="24"/>
        </w:rPr>
      </w:pPr>
      <w:r>
        <w:rPr>
          <w:rFonts w:hint="eastAsia" w:ascii="宋体" w:hAnsi="宋体" w:cs="宋体"/>
          <w:sz w:val="24"/>
          <w:szCs w:val="24"/>
        </w:rPr>
        <w:t>（3）重要的安全设施必须坚持与养护作业设备同时投入使用。</w:t>
      </w:r>
    </w:p>
    <w:p w14:paraId="774CA0B8">
      <w:pPr>
        <w:tabs>
          <w:tab w:val="left" w:pos="0"/>
        </w:tabs>
        <w:spacing w:line="360" w:lineRule="exact"/>
        <w:ind w:firstLine="420"/>
        <w:rPr>
          <w:rFonts w:ascii="宋体" w:hAnsi="宋体" w:cs="宋体"/>
          <w:sz w:val="24"/>
          <w:szCs w:val="24"/>
        </w:rPr>
      </w:pPr>
      <w:r>
        <w:rPr>
          <w:rFonts w:hint="eastAsia" w:ascii="宋体" w:hAnsi="宋体" w:cs="宋体"/>
          <w:sz w:val="24"/>
          <w:szCs w:val="24"/>
        </w:rPr>
        <w:t>（4）定期召开安全生产调度会，及时传达中央及地方有关安全生产的精神。</w:t>
      </w:r>
    </w:p>
    <w:p w14:paraId="4EDF0988">
      <w:pPr>
        <w:tabs>
          <w:tab w:val="left" w:pos="0"/>
        </w:tabs>
        <w:spacing w:line="360" w:lineRule="exact"/>
        <w:ind w:firstLine="420"/>
        <w:rPr>
          <w:rFonts w:ascii="宋体" w:hAnsi="宋体" w:cs="宋体"/>
          <w:sz w:val="24"/>
          <w:szCs w:val="24"/>
        </w:rPr>
      </w:pPr>
      <w:r>
        <w:rPr>
          <w:rFonts w:hint="eastAsia" w:ascii="宋体" w:hAnsi="宋体" w:cs="宋体"/>
          <w:sz w:val="24"/>
          <w:szCs w:val="24"/>
        </w:rPr>
        <w:t>（5）组织对承包人施工现场进行安全生产检查，监督承包人及时处理发现的各种安全隐患。</w:t>
      </w:r>
    </w:p>
    <w:p w14:paraId="025ACB32">
      <w:pPr>
        <w:tabs>
          <w:tab w:val="left" w:pos="0"/>
        </w:tabs>
        <w:spacing w:line="360" w:lineRule="exact"/>
        <w:ind w:firstLine="420"/>
        <w:rPr>
          <w:rFonts w:ascii="宋体" w:hAnsi="宋体" w:cs="宋体"/>
          <w:sz w:val="24"/>
          <w:szCs w:val="24"/>
        </w:rPr>
      </w:pPr>
      <w:r>
        <w:rPr>
          <w:rFonts w:hint="eastAsia" w:ascii="宋体" w:hAnsi="宋体" w:cs="宋体"/>
          <w:sz w:val="24"/>
          <w:szCs w:val="24"/>
        </w:rPr>
        <w:t>2.承包人职责</w:t>
      </w:r>
    </w:p>
    <w:p w14:paraId="72D7AD5C">
      <w:pPr>
        <w:tabs>
          <w:tab w:val="left" w:pos="0"/>
        </w:tabs>
        <w:spacing w:line="360" w:lineRule="exact"/>
        <w:ind w:firstLine="420"/>
        <w:rPr>
          <w:rFonts w:ascii="宋体" w:hAnsi="宋体" w:cs="宋体"/>
          <w:sz w:val="24"/>
          <w:szCs w:val="24"/>
        </w:rPr>
      </w:pPr>
      <w:r>
        <w:rPr>
          <w:rFonts w:hint="eastAsia" w:ascii="宋体" w:hAnsi="宋体" w:cs="宋体"/>
          <w:sz w:val="24"/>
          <w:szCs w:val="24"/>
        </w:rPr>
        <w:t>（1）严格遵守《中华人民共和国安全生产法》等国家有关安全生产的法律法规、《公路水运工程安全生产监督管理办法》、《公路养护安全作业规程》和《公路工程施工安全技术规范》等有关安全生产的规定。认真执行养护合同中的有关安全要求。</w:t>
      </w:r>
    </w:p>
    <w:p w14:paraId="426A53F0">
      <w:pPr>
        <w:tabs>
          <w:tab w:val="left" w:pos="0"/>
        </w:tabs>
        <w:spacing w:line="360" w:lineRule="exact"/>
        <w:ind w:firstLine="420"/>
        <w:rPr>
          <w:rFonts w:ascii="宋体" w:hAnsi="宋体" w:cs="宋体"/>
          <w:sz w:val="24"/>
          <w:szCs w:val="24"/>
        </w:rPr>
      </w:pPr>
      <w:r>
        <w:rPr>
          <w:rFonts w:hint="eastAsia" w:ascii="宋体" w:hAnsi="宋体" w:cs="宋体"/>
          <w:sz w:val="24"/>
          <w:szCs w:val="24"/>
        </w:rPr>
        <w:t>（2）坚持“安全第一、预防为主、综合治理”和“管生产必须管安全”的原则，加强安全生产宣传教育，增强全员安全生产意识，建立健全各项安全生产的管理机构和安全生产管理制度，配备专职及兼职安全生产检查人员，有组织有领导地开展安全生产活动。各级领导、养护技术人员、生产管理人员和具体操作人员，必须熟悉和遵守本合同的各项约定，做到生产与安全工作同时计划、布置、检查、总结和评比。</w:t>
      </w:r>
    </w:p>
    <w:p w14:paraId="2D8EF30A">
      <w:pPr>
        <w:tabs>
          <w:tab w:val="left" w:pos="0"/>
        </w:tabs>
        <w:spacing w:line="360" w:lineRule="exact"/>
        <w:ind w:firstLine="420"/>
        <w:rPr>
          <w:rFonts w:ascii="宋体" w:hAnsi="宋体" w:cs="宋体"/>
          <w:sz w:val="24"/>
          <w:szCs w:val="24"/>
        </w:rPr>
      </w:pPr>
      <w:r>
        <w:rPr>
          <w:rFonts w:hint="eastAsia" w:ascii="宋体" w:hAnsi="宋体" w:cs="宋体"/>
          <w:sz w:val="24"/>
          <w:szCs w:val="24"/>
        </w:rPr>
        <w:t>（3）建立健全安全生产责任制。从派往项目实施的项目经理到生产工人（包括临时雇请的农民工）的安全生产管理系统必须做到纵向到底，一环不漏；各职能部门、人员的安全生产责任制做到横向到边，人人有责。项目经理是安全生产的第一责任人。现场设置的安全机构，应按养护合同约定配备专职安全生产管理人员，专职负责所有员工的安全和治安保卫工作及预防事故的发生。安全机构人员有权按有关规定发布指令，并采取保护性措施防止事故发生。</w:t>
      </w:r>
    </w:p>
    <w:p w14:paraId="15EED7C6">
      <w:pPr>
        <w:tabs>
          <w:tab w:val="left" w:pos="0"/>
        </w:tabs>
        <w:spacing w:line="360" w:lineRule="exact"/>
        <w:ind w:firstLine="420"/>
        <w:rPr>
          <w:rFonts w:ascii="宋体" w:hAnsi="宋体" w:cs="宋体"/>
          <w:sz w:val="24"/>
          <w:szCs w:val="24"/>
        </w:rPr>
      </w:pPr>
      <w:r>
        <w:rPr>
          <w:rFonts w:hint="eastAsia" w:ascii="宋体" w:hAnsi="宋体" w:cs="宋体"/>
          <w:sz w:val="24"/>
          <w:szCs w:val="24"/>
        </w:rPr>
        <w:t>（4）承包人在任何时候都应采取各种合理的预防措施，防止其员工发生任何违法、违禁、暴力或妨碍治安的行为。</w:t>
      </w:r>
    </w:p>
    <w:p w14:paraId="2D8174A7">
      <w:pPr>
        <w:tabs>
          <w:tab w:val="left" w:pos="0"/>
        </w:tabs>
        <w:spacing w:line="360" w:lineRule="exact"/>
        <w:ind w:firstLine="420"/>
        <w:rPr>
          <w:rFonts w:ascii="宋体" w:hAnsi="宋体" w:cs="宋体"/>
          <w:sz w:val="24"/>
          <w:szCs w:val="24"/>
        </w:rPr>
      </w:pPr>
      <w:r>
        <w:rPr>
          <w:rFonts w:hint="eastAsia" w:ascii="宋体" w:hAnsi="宋体" w:cs="宋体"/>
          <w:sz w:val="24"/>
          <w:szCs w:val="24"/>
        </w:rPr>
        <w:t>（5）承包人参加养护作业实施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养护作业场地如出现特种作业无证操作现象时，项目经理必须承担管理责任。</w:t>
      </w:r>
    </w:p>
    <w:p w14:paraId="70B1B2D0">
      <w:pPr>
        <w:tabs>
          <w:tab w:val="left" w:pos="0"/>
        </w:tabs>
        <w:spacing w:line="360" w:lineRule="exact"/>
        <w:ind w:firstLine="420"/>
        <w:rPr>
          <w:rFonts w:ascii="宋体" w:hAnsi="宋体" w:cs="宋体"/>
          <w:sz w:val="24"/>
          <w:szCs w:val="24"/>
        </w:rPr>
      </w:pPr>
      <w:r>
        <w:rPr>
          <w:rFonts w:hint="eastAsia" w:ascii="宋体" w:hAnsi="宋体" w:cs="宋体"/>
          <w:sz w:val="24"/>
          <w:szCs w:val="24"/>
        </w:rPr>
        <w:t>（6）对于易燃易爆的材料除应专门妥善保管之外，还应配备有足够的消防设施，所有养护人员都应熟悉消防设备的性能和使用方法；承包人不得将任何种类的爆炸物给予、易货或以其他方式转让给任何其他人，或允许、容忍上述同样行为。</w:t>
      </w:r>
    </w:p>
    <w:p w14:paraId="4FB51442">
      <w:pPr>
        <w:tabs>
          <w:tab w:val="left" w:pos="0"/>
        </w:tabs>
        <w:spacing w:line="360" w:lineRule="exact"/>
        <w:ind w:firstLine="420"/>
        <w:rPr>
          <w:rFonts w:ascii="宋体" w:hAnsi="宋体" w:cs="宋体"/>
          <w:sz w:val="24"/>
          <w:szCs w:val="24"/>
        </w:rPr>
      </w:pPr>
      <w:r>
        <w:rPr>
          <w:rFonts w:hint="eastAsia" w:ascii="宋体" w:hAnsi="宋体" w:cs="宋体"/>
          <w:sz w:val="24"/>
          <w:szCs w:val="24"/>
        </w:rPr>
        <w:t>（7）操作人员上岗，必须按规定穿戴防护用品。养护项目负责人和安全检查员应随时检查劳动防护用品的穿戴情况，不按规定穿戴防护用品的人员不得上岗。</w:t>
      </w:r>
    </w:p>
    <w:p w14:paraId="7A3768E5">
      <w:pPr>
        <w:tabs>
          <w:tab w:val="left" w:pos="0"/>
        </w:tabs>
        <w:spacing w:line="360" w:lineRule="exact"/>
        <w:ind w:firstLine="420"/>
        <w:rPr>
          <w:rFonts w:ascii="宋体" w:hAnsi="宋体" w:cs="宋体"/>
          <w:sz w:val="24"/>
          <w:szCs w:val="24"/>
        </w:rPr>
      </w:pPr>
      <w:r>
        <w:rPr>
          <w:rFonts w:hint="eastAsia" w:ascii="宋体" w:hAnsi="宋体" w:cs="宋体"/>
          <w:sz w:val="24"/>
          <w:szCs w:val="24"/>
        </w:rPr>
        <w:t>（8）所有养护作业机具设备和高空作业的设备均应定期检查，并有安全员的签字记录，保证其经常处于完好状态；不合格的机具、设备和劳动保护用品严禁使用。</w:t>
      </w:r>
    </w:p>
    <w:p w14:paraId="6810A134">
      <w:pPr>
        <w:tabs>
          <w:tab w:val="left" w:pos="0"/>
        </w:tabs>
        <w:spacing w:line="360" w:lineRule="exact"/>
        <w:ind w:firstLine="420"/>
        <w:rPr>
          <w:rFonts w:ascii="宋体" w:hAnsi="宋体" w:cs="宋体"/>
          <w:sz w:val="24"/>
          <w:szCs w:val="24"/>
        </w:rPr>
      </w:pPr>
      <w:r>
        <w:rPr>
          <w:rFonts w:hint="eastAsia" w:ascii="宋体" w:hAnsi="宋体" w:cs="宋体"/>
          <w:sz w:val="24"/>
          <w:szCs w:val="24"/>
        </w:rPr>
        <w:t>（9）养护作业实施过程中采用新技术、新工艺、新设备、新材料时，必须制定相应的安全技术措施，养护作业场地必须具有相关的安全标志牌。</w:t>
      </w:r>
    </w:p>
    <w:p w14:paraId="62A1F9B8">
      <w:pPr>
        <w:tabs>
          <w:tab w:val="left" w:pos="0"/>
        </w:tabs>
        <w:spacing w:line="360" w:lineRule="exact"/>
        <w:ind w:firstLine="420"/>
        <w:rPr>
          <w:rFonts w:ascii="宋体" w:hAnsi="宋体" w:cs="宋体"/>
          <w:sz w:val="24"/>
          <w:szCs w:val="24"/>
        </w:rPr>
      </w:pPr>
      <w:r>
        <w:rPr>
          <w:rFonts w:hint="eastAsia" w:ascii="宋体" w:hAnsi="宋体" w:cs="宋体"/>
          <w:sz w:val="24"/>
          <w:szCs w:val="24"/>
        </w:rPr>
        <w:t>（10）承包人必须按照养护项目特点，组织制定养护项目实施中的生产安全事故应急救援预案；如果发生安全事故，应按照《国务院关于特大安全事故行政责任追究的规定》以及其他有关规定，及时上报有关部门，并坚持“四不放过”的原则，严肃处理相关责任人。</w:t>
      </w:r>
    </w:p>
    <w:p w14:paraId="1CE48C26">
      <w:pPr>
        <w:tabs>
          <w:tab w:val="left" w:pos="0"/>
        </w:tabs>
        <w:spacing w:line="360" w:lineRule="exact"/>
        <w:ind w:firstLine="420"/>
        <w:rPr>
          <w:rFonts w:ascii="宋体" w:hAnsi="宋体" w:cs="宋体"/>
          <w:sz w:val="24"/>
          <w:szCs w:val="24"/>
        </w:rPr>
      </w:pPr>
      <w:r>
        <w:rPr>
          <w:rFonts w:hint="eastAsia" w:ascii="宋体" w:hAnsi="宋体" w:cs="宋体"/>
          <w:sz w:val="24"/>
          <w:szCs w:val="24"/>
        </w:rPr>
        <w:t>（11）承包人应办理通车路段作业的有关许可手续，并服从和配合路政与交管部门的统一监管。承包人应按发包人及有关行政主管部门批准的交通组织方案设置交通安全标志、标牌、护栏、隔离等交通安全防护设施，在执行过程中，应按照执行效果实时作出调整，安排应急处理设备或设施，确保其他影响道路的信息准确、安全畅通。</w:t>
      </w:r>
    </w:p>
    <w:p w14:paraId="761E3C86">
      <w:pPr>
        <w:tabs>
          <w:tab w:val="left" w:pos="0"/>
        </w:tabs>
        <w:spacing w:line="360" w:lineRule="exact"/>
        <w:ind w:firstLine="420"/>
        <w:rPr>
          <w:rFonts w:ascii="宋体" w:hAnsi="宋体" w:cs="宋体"/>
          <w:sz w:val="24"/>
          <w:szCs w:val="24"/>
        </w:rPr>
      </w:pPr>
      <w:r>
        <w:rPr>
          <w:rFonts w:hint="eastAsia" w:ascii="宋体" w:hAnsi="宋体" w:cs="宋体"/>
          <w:sz w:val="24"/>
          <w:szCs w:val="24"/>
        </w:rPr>
        <w:t>（12）安全生产费用参照《公路水运工程安全生产监督管理办法》的相关规定使用和管理。。</w:t>
      </w:r>
    </w:p>
    <w:p w14:paraId="0BA2E415">
      <w:pPr>
        <w:tabs>
          <w:tab w:val="left" w:pos="0"/>
        </w:tabs>
        <w:spacing w:line="360" w:lineRule="exact"/>
        <w:ind w:firstLine="420"/>
        <w:rPr>
          <w:rFonts w:ascii="宋体" w:hAnsi="宋体" w:cs="宋体"/>
          <w:sz w:val="24"/>
          <w:szCs w:val="24"/>
        </w:rPr>
      </w:pPr>
      <w:r>
        <w:rPr>
          <w:rFonts w:hint="eastAsia" w:ascii="宋体" w:hAnsi="宋体" w:cs="宋体"/>
          <w:sz w:val="24"/>
          <w:szCs w:val="24"/>
        </w:rPr>
        <w:t>3.违约责任</w:t>
      </w:r>
    </w:p>
    <w:p w14:paraId="2141148C">
      <w:pPr>
        <w:tabs>
          <w:tab w:val="left" w:pos="0"/>
        </w:tabs>
        <w:spacing w:line="360" w:lineRule="exact"/>
        <w:ind w:firstLine="420"/>
        <w:rPr>
          <w:rFonts w:ascii="宋体" w:hAnsi="宋体" w:cs="宋体"/>
          <w:sz w:val="24"/>
          <w:szCs w:val="24"/>
        </w:rPr>
      </w:pPr>
      <w:r>
        <w:rPr>
          <w:rFonts w:hint="eastAsia" w:ascii="宋体" w:hAnsi="宋体" w:cs="宋体"/>
          <w:sz w:val="24"/>
          <w:szCs w:val="24"/>
        </w:rPr>
        <w:t>如因发包人或承包人违约造成安全事故，应赔偿对方受到的全部损失并依法追究责任。</w:t>
      </w:r>
    </w:p>
    <w:p w14:paraId="739D401C">
      <w:pPr>
        <w:tabs>
          <w:tab w:val="left" w:pos="0"/>
        </w:tabs>
        <w:spacing w:line="360" w:lineRule="exact"/>
        <w:ind w:firstLine="420"/>
        <w:rPr>
          <w:rFonts w:ascii="宋体" w:hAnsi="宋体" w:cs="宋体"/>
          <w:sz w:val="24"/>
          <w:szCs w:val="24"/>
        </w:rPr>
      </w:pPr>
      <w:r>
        <w:rPr>
          <w:rFonts w:hint="eastAsia" w:ascii="宋体" w:hAnsi="宋体" w:cs="宋体"/>
          <w:sz w:val="24"/>
          <w:szCs w:val="24"/>
        </w:rPr>
        <w:t>4.本合同由双方法定代表人或其授权的代理人签署并加盖单位章后生效，全部工程竣工验收后失效。</w:t>
      </w:r>
    </w:p>
    <w:p w14:paraId="4E9B0DA7">
      <w:pPr>
        <w:tabs>
          <w:tab w:val="left" w:pos="0"/>
        </w:tabs>
        <w:spacing w:line="360" w:lineRule="exact"/>
        <w:ind w:firstLine="420"/>
        <w:rPr>
          <w:rFonts w:ascii="宋体" w:hAnsi="宋体" w:cs="宋体"/>
          <w:sz w:val="24"/>
          <w:szCs w:val="24"/>
        </w:rPr>
      </w:pPr>
      <w:r>
        <w:rPr>
          <w:rFonts w:hint="eastAsia" w:ascii="宋体" w:hAnsi="宋体" w:cs="宋体"/>
          <w:sz w:val="24"/>
          <w:szCs w:val="24"/>
        </w:rPr>
        <w:t>5.</w:t>
      </w:r>
      <w:r>
        <w:rPr>
          <w:rFonts w:hint="eastAsia" w:ascii="宋体" w:hAnsi="宋体" w:cs="宋体"/>
          <w:spacing w:val="8"/>
          <w:sz w:val="24"/>
          <w:szCs w:val="24"/>
        </w:rPr>
        <w:t>本合同</w:t>
      </w:r>
      <w:r>
        <w:rPr>
          <w:rFonts w:hint="eastAsia" w:ascii="宋体" w:hAnsi="宋体" w:cs="宋体"/>
          <w:sz w:val="24"/>
          <w:szCs w:val="24"/>
        </w:rPr>
        <w:t>正本二份、副本六份，合同双方各执正本一份、发包人持副本四份,承包人持副本二份，当正本与副本的内容不一致时，以正本为准</w:t>
      </w:r>
      <w:r>
        <w:rPr>
          <w:rFonts w:hint="eastAsia" w:ascii="宋体" w:hAnsi="宋体" w:cs="宋体"/>
          <w:spacing w:val="8"/>
          <w:sz w:val="24"/>
          <w:szCs w:val="24"/>
        </w:rPr>
        <w:t>。</w:t>
      </w:r>
    </w:p>
    <w:tbl>
      <w:tblPr>
        <w:tblStyle w:val="25"/>
        <w:tblpPr w:leftFromText="180" w:rightFromText="180" w:vertAnchor="text" w:horzAnchor="page" w:tblpX="1794" w:tblpY="452"/>
        <w:tblOverlap w:val="never"/>
        <w:tblW w:w="0" w:type="auto"/>
        <w:tblInd w:w="0" w:type="dxa"/>
        <w:tblLayout w:type="autofit"/>
        <w:tblCellMar>
          <w:top w:w="0" w:type="dxa"/>
          <w:left w:w="108" w:type="dxa"/>
          <w:bottom w:w="0" w:type="dxa"/>
          <w:right w:w="108" w:type="dxa"/>
        </w:tblCellMar>
      </w:tblPr>
      <w:tblGrid>
        <w:gridCol w:w="4926"/>
        <w:gridCol w:w="4927"/>
      </w:tblGrid>
      <w:tr w14:paraId="7A8B75A5">
        <w:tblPrEx>
          <w:tblCellMar>
            <w:top w:w="0" w:type="dxa"/>
            <w:left w:w="108" w:type="dxa"/>
            <w:bottom w:w="0" w:type="dxa"/>
            <w:right w:w="108" w:type="dxa"/>
          </w:tblCellMar>
        </w:tblPrEx>
        <w:trPr>
          <w:trHeight w:val="850" w:hRule="atLeast"/>
        </w:trPr>
        <w:tc>
          <w:tcPr>
            <w:tcW w:w="4981" w:type="dxa"/>
          </w:tcPr>
          <w:p w14:paraId="10209E9D">
            <w:pPr>
              <w:tabs>
                <w:tab w:val="left" w:pos="0"/>
              </w:tabs>
              <w:jc w:val="center"/>
              <w:rPr>
                <w:rFonts w:ascii="宋体" w:hAnsi="宋体" w:cs="宋体"/>
                <w:sz w:val="24"/>
                <w:szCs w:val="24"/>
              </w:rPr>
            </w:pPr>
            <w:r>
              <w:rPr>
                <w:rFonts w:hint="eastAsia" w:ascii="宋体" w:hAnsi="宋体" w:cs="宋体"/>
                <w:sz w:val="24"/>
                <w:szCs w:val="24"/>
              </w:rPr>
              <w:t>发包人：</w:t>
            </w:r>
            <w:r>
              <w:rPr>
                <w:rFonts w:hint="eastAsia" w:ascii="宋体" w:hAnsi="宋体" w:cs="宋体"/>
                <w:sz w:val="24"/>
                <w:szCs w:val="24"/>
                <w:u w:val="single"/>
              </w:rPr>
              <w:t xml:space="preserve">                </w:t>
            </w:r>
            <w:r>
              <w:rPr>
                <w:rFonts w:hint="eastAsia" w:ascii="宋体" w:hAnsi="宋体" w:cs="宋体"/>
                <w:sz w:val="24"/>
                <w:szCs w:val="24"/>
              </w:rPr>
              <w:t>（盖单位章）</w:t>
            </w:r>
          </w:p>
        </w:tc>
        <w:tc>
          <w:tcPr>
            <w:tcW w:w="4981" w:type="dxa"/>
          </w:tcPr>
          <w:p w14:paraId="7C23C043">
            <w:pPr>
              <w:tabs>
                <w:tab w:val="left" w:pos="0"/>
              </w:tabs>
              <w:jc w:val="center"/>
              <w:rPr>
                <w:rFonts w:ascii="宋体" w:hAnsi="宋体" w:cs="宋体"/>
                <w:sz w:val="24"/>
                <w:szCs w:val="24"/>
              </w:rPr>
            </w:pPr>
            <w:r>
              <w:rPr>
                <w:rFonts w:hint="eastAsia" w:ascii="宋体" w:hAnsi="宋体" w:cs="宋体"/>
                <w:sz w:val="24"/>
                <w:szCs w:val="24"/>
              </w:rPr>
              <w:t>承包人：</w:t>
            </w:r>
            <w:r>
              <w:rPr>
                <w:rFonts w:hint="eastAsia" w:ascii="宋体" w:hAnsi="宋体" w:cs="宋体"/>
                <w:sz w:val="24"/>
                <w:szCs w:val="24"/>
                <w:u w:val="single"/>
              </w:rPr>
              <w:t xml:space="preserve">                </w:t>
            </w:r>
            <w:r>
              <w:rPr>
                <w:rFonts w:hint="eastAsia" w:ascii="宋体" w:hAnsi="宋体" w:cs="宋体"/>
                <w:sz w:val="24"/>
                <w:szCs w:val="24"/>
              </w:rPr>
              <w:t>（盖单位章）</w:t>
            </w:r>
          </w:p>
        </w:tc>
      </w:tr>
      <w:tr w14:paraId="5956A981">
        <w:tblPrEx>
          <w:tblCellMar>
            <w:top w:w="0" w:type="dxa"/>
            <w:left w:w="108" w:type="dxa"/>
            <w:bottom w:w="0" w:type="dxa"/>
            <w:right w:w="108" w:type="dxa"/>
          </w:tblCellMar>
        </w:tblPrEx>
        <w:trPr>
          <w:trHeight w:val="850" w:hRule="atLeast"/>
        </w:trPr>
        <w:tc>
          <w:tcPr>
            <w:tcW w:w="4981" w:type="dxa"/>
          </w:tcPr>
          <w:p w14:paraId="183A7057">
            <w:pPr>
              <w:tabs>
                <w:tab w:val="left" w:pos="0"/>
              </w:tabs>
              <w:jc w:val="center"/>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u w:val="single"/>
              </w:rPr>
              <w:t xml:space="preserve">       </w:t>
            </w:r>
            <w:r>
              <w:rPr>
                <w:rFonts w:hint="eastAsia" w:ascii="宋体" w:hAnsi="宋体" w:cs="宋体"/>
                <w:sz w:val="24"/>
                <w:szCs w:val="24"/>
              </w:rPr>
              <w:t>（签字）</w:t>
            </w:r>
          </w:p>
        </w:tc>
        <w:tc>
          <w:tcPr>
            <w:tcW w:w="4981" w:type="dxa"/>
          </w:tcPr>
          <w:p w14:paraId="3132225C">
            <w:pPr>
              <w:tabs>
                <w:tab w:val="left" w:pos="0"/>
              </w:tabs>
              <w:jc w:val="center"/>
              <w:rPr>
                <w:rFonts w:ascii="宋体" w:hAnsi="宋体" w:cs="宋体"/>
                <w:sz w:val="24"/>
                <w:szCs w:val="24"/>
              </w:rPr>
            </w:pPr>
            <w:r>
              <w:rPr>
                <w:rFonts w:hint="eastAsia" w:ascii="宋体" w:hAnsi="宋体" w:cs="宋体"/>
                <w:sz w:val="24"/>
                <w:szCs w:val="24"/>
              </w:rPr>
              <w:t>法定代表人或其委托代理人：</w:t>
            </w:r>
            <w:r>
              <w:rPr>
                <w:rFonts w:hint="eastAsia" w:ascii="宋体" w:hAnsi="宋体" w:cs="宋体"/>
                <w:sz w:val="24"/>
                <w:szCs w:val="24"/>
                <w:u w:val="single"/>
              </w:rPr>
              <w:t xml:space="preserve">       </w:t>
            </w:r>
            <w:r>
              <w:rPr>
                <w:rFonts w:hint="eastAsia" w:ascii="宋体" w:hAnsi="宋体" w:cs="宋体"/>
                <w:sz w:val="24"/>
                <w:szCs w:val="24"/>
              </w:rPr>
              <w:t>（签字）</w:t>
            </w:r>
          </w:p>
        </w:tc>
      </w:tr>
      <w:tr w14:paraId="68802010">
        <w:tblPrEx>
          <w:tblCellMar>
            <w:top w:w="0" w:type="dxa"/>
            <w:left w:w="108" w:type="dxa"/>
            <w:bottom w:w="0" w:type="dxa"/>
            <w:right w:w="108" w:type="dxa"/>
          </w:tblCellMar>
        </w:tblPrEx>
        <w:trPr>
          <w:trHeight w:val="850" w:hRule="atLeast"/>
        </w:trPr>
        <w:tc>
          <w:tcPr>
            <w:tcW w:w="4981" w:type="dxa"/>
          </w:tcPr>
          <w:p w14:paraId="2B198A3A">
            <w:pPr>
              <w:tabs>
                <w:tab w:val="left" w:pos="0"/>
              </w:tabs>
              <w:jc w:val="center"/>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ab/>
            </w:r>
            <w:r>
              <w:rPr>
                <w:rFonts w:hint="eastAsia" w:ascii="宋体" w:hAnsi="宋体" w:cs="宋体"/>
                <w:sz w:val="24"/>
                <w:szCs w:val="24"/>
              </w:rPr>
              <w:t>月</w:t>
            </w:r>
            <w:r>
              <w:rPr>
                <w:rFonts w:hint="eastAsia" w:ascii="宋体" w:hAnsi="宋体" w:cs="宋体"/>
                <w:sz w:val="24"/>
                <w:szCs w:val="24"/>
              </w:rPr>
              <w:tab/>
            </w:r>
            <w:r>
              <w:rPr>
                <w:rFonts w:hint="eastAsia" w:ascii="宋体" w:hAnsi="宋体" w:cs="宋体"/>
                <w:sz w:val="24"/>
                <w:szCs w:val="24"/>
                <w:u w:val="single"/>
              </w:rPr>
              <w:t xml:space="preserve">    </w:t>
            </w:r>
            <w:r>
              <w:rPr>
                <w:rFonts w:hint="eastAsia" w:ascii="宋体" w:hAnsi="宋体" w:cs="宋体"/>
                <w:sz w:val="24"/>
                <w:szCs w:val="24"/>
              </w:rPr>
              <w:t>日</w:t>
            </w:r>
          </w:p>
        </w:tc>
        <w:tc>
          <w:tcPr>
            <w:tcW w:w="4981" w:type="dxa"/>
          </w:tcPr>
          <w:p w14:paraId="659DA2D3">
            <w:pPr>
              <w:tabs>
                <w:tab w:val="left" w:pos="0"/>
              </w:tabs>
              <w:jc w:val="center"/>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ab/>
            </w:r>
            <w:r>
              <w:rPr>
                <w:rFonts w:hint="eastAsia" w:ascii="宋体" w:hAnsi="宋体" w:cs="宋体"/>
                <w:sz w:val="24"/>
                <w:szCs w:val="24"/>
              </w:rPr>
              <w:t>月</w:t>
            </w:r>
            <w:r>
              <w:rPr>
                <w:rFonts w:hint="eastAsia" w:ascii="宋体" w:hAnsi="宋体" w:cs="宋体"/>
                <w:sz w:val="24"/>
                <w:szCs w:val="24"/>
              </w:rPr>
              <w:tab/>
            </w:r>
            <w:r>
              <w:rPr>
                <w:rFonts w:hint="eastAsia" w:ascii="宋体" w:hAnsi="宋体" w:cs="宋体"/>
                <w:sz w:val="24"/>
                <w:szCs w:val="24"/>
                <w:u w:val="single"/>
              </w:rPr>
              <w:t xml:space="preserve">    </w:t>
            </w:r>
            <w:r>
              <w:rPr>
                <w:rFonts w:hint="eastAsia" w:ascii="宋体" w:hAnsi="宋体" w:cs="宋体"/>
                <w:sz w:val="24"/>
                <w:szCs w:val="24"/>
              </w:rPr>
              <w:t>日</w:t>
            </w:r>
          </w:p>
        </w:tc>
      </w:tr>
    </w:tbl>
    <w:p w14:paraId="5813A863">
      <w:pPr>
        <w:spacing w:line="264" w:lineRule="auto"/>
        <w:rPr>
          <w:rFonts w:ascii="宋体" w:hAnsi="宋体" w:cs="宋体"/>
          <w:sz w:val="24"/>
          <w:szCs w:val="24"/>
        </w:rPr>
      </w:pPr>
    </w:p>
    <w:p w14:paraId="71B8218E">
      <w:pPr>
        <w:spacing w:line="264" w:lineRule="auto"/>
        <w:rPr>
          <w:rFonts w:ascii="宋体" w:hAnsi="宋体" w:cs="宋体"/>
          <w:sz w:val="24"/>
          <w:szCs w:val="24"/>
        </w:rPr>
      </w:pPr>
    </w:p>
    <w:p w14:paraId="007457D2">
      <w:pPr>
        <w:spacing w:line="264" w:lineRule="auto"/>
        <w:rPr>
          <w:rFonts w:ascii="宋体" w:hAnsi="宋体" w:cs="宋体"/>
          <w:sz w:val="24"/>
          <w:szCs w:val="24"/>
        </w:rPr>
      </w:pPr>
    </w:p>
    <w:p w14:paraId="61197219">
      <w:pPr>
        <w:spacing w:line="264" w:lineRule="auto"/>
        <w:rPr>
          <w:rFonts w:ascii="宋体" w:hAnsi="宋体" w:cs="宋体"/>
          <w:sz w:val="24"/>
          <w:szCs w:val="24"/>
        </w:rPr>
      </w:pPr>
    </w:p>
    <w:p w14:paraId="4CC733CF">
      <w:pPr>
        <w:rPr>
          <w:rFonts w:hint="eastAsia" w:ascii="宋体" w:hAnsi="宋体" w:cs="宋体"/>
          <w:lang w:eastAsia="zh-CN"/>
        </w:rPr>
      </w:pPr>
      <w:bookmarkStart w:id="221" w:name="_Toc29068"/>
      <w:r>
        <w:rPr>
          <w:rFonts w:hint="eastAsia" w:ascii="宋体" w:hAnsi="宋体" w:cs="宋体"/>
          <w:lang w:eastAsia="zh-CN"/>
        </w:rPr>
        <w:br w:type="page"/>
      </w:r>
    </w:p>
    <w:p w14:paraId="7592ECE7">
      <w:pPr>
        <w:pStyle w:val="4"/>
        <w:rPr>
          <w:rFonts w:hint="eastAsia" w:ascii="宋体" w:hAnsi="宋体" w:cs="宋体"/>
          <w:lang w:eastAsia="zh-CN"/>
        </w:rPr>
      </w:pPr>
      <w:bookmarkStart w:id="222" w:name="_Toc17883"/>
      <w:r>
        <w:rPr>
          <w:rFonts w:hint="eastAsia" w:ascii="宋体" w:hAnsi="宋体" w:cs="宋体"/>
          <w:lang w:eastAsia="zh-CN"/>
        </w:rPr>
        <w:t>附件三 、 项目主要管理人员和技术人员</w:t>
      </w:r>
      <w:bookmarkEnd w:id="221"/>
      <w:bookmarkEnd w:id="222"/>
    </w:p>
    <w:tbl>
      <w:tblPr>
        <w:tblStyle w:val="25"/>
        <w:tblW w:w="995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854"/>
        <w:gridCol w:w="1120"/>
        <w:gridCol w:w="747"/>
        <w:gridCol w:w="2240"/>
        <w:gridCol w:w="1427"/>
        <w:gridCol w:w="1449"/>
        <w:gridCol w:w="2120"/>
      </w:tblGrid>
      <w:tr w14:paraId="560666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09" w:hRule="atLeast"/>
          <w:jc w:val="center"/>
        </w:trPr>
        <w:tc>
          <w:tcPr>
            <w:tcW w:w="854" w:type="dxa"/>
          </w:tcPr>
          <w:p w14:paraId="17A08C9E">
            <w:pPr>
              <w:pStyle w:val="29"/>
              <w:tabs>
                <w:tab w:val="left" w:pos="0"/>
              </w:tabs>
              <w:spacing w:line="249" w:lineRule="auto"/>
              <w:rPr>
                <w:lang w:eastAsia="zh-CN"/>
              </w:rPr>
            </w:pPr>
          </w:p>
          <w:p w14:paraId="10922B0D">
            <w:pPr>
              <w:spacing w:before="78" w:line="221" w:lineRule="auto"/>
              <w:ind w:left="234"/>
              <w:rPr>
                <w:rFonts w:ascii="宋体" w:hAnsi="宋体" w:cs="宋体"/>
                <w:sz w:val="24"/>
              </w:rPr>
            </w:pPr>
            <w:r>
              <w:rPr>
                <w:rFonts w:ascii="宋体" w:hAnsi="宋体" w:cs="宋体"/>
                <w:spacing w:val="-5"/>
                <w:sz w:val="24"/>
              </w:rPr>
              <w:t>序号</w:t>
            </w:r>
          </w:p>
        </w:tc>
        <w:tc>
          <w:tcPr>
            <w:tcW w:w="1120" w:type="dxa"/>
          </w:tcPr>
          <w:p w14:paraId="44FA5A58">
            <w:pPr>
              <w:pStyle w:val="29"/>
              <w:tabs>
                <w:tab w:val="left" w:pos="0"/>
              </w:tabs>
              <w:spacing w:line="250" w:lineRule="auto"/>
            </w:pPr>
          </w:p>
          <w:p w14:paraId="6368AC36">
            <w:pPr>
              <w:spacing w:before="78" w:line="219" w:lineRule="auto"/>
              <w:ind w:left="230"/>
              <w:rPr>
                <w:rFonts w:ascii="宋体" w:hAnsi="宋体" w:cs="宋体"/>
                <w:sz w:val="24"/>
              </w:rPr>
            </w:pPr>
            <w:r>
              <w:rPr>
                <w:rFonts w:ascii="宋体" w:hAnsi="宋体" w:cs="宋体"/>
                <w:spacing w:val="-5"/>
                <w:sz w:val="24"/>
              </w:rPr>
              <w:t>姓名</w:t>
            </w:r>
          </w:p>
        </w:tc>
        <w:tc>
          <w:tcPr>
            <w:tcW w:w="747" w:type="dxa"/>
          </w:tcPr>
          <w:p w14:paraId="29C44F9C">
            <w:pPr>
              <w:pStyle w:val="29"/>
              <w:tabs>
                <w:tab w:val="left" w:pos="0"/>
              </w:tabs>
              <w:spacing w:line="250" w:lineRule="auto"/>
            </w:pPr>
          </w:p>
          <w:p w14:paraId="6B6E4751">
            <w:pPr>
              <w:spacing w:before="78" w:line="219" w:lineRule="auto"/>
              <w:ind w:left="113"/>
              <w:rPr>
                <w:rFonts w:ascii="宋体" w:hAnsi="宋体" w:cs="宋体"/>
                <w:sz w:val="24"/>
              </w:rPr>
            </w:pPr>
            <w:r>
              <w:rPr>
                <w:rFonts w:ascii="宋体" w:hAnsi="宋体" w:cs="宋体"/>
                <w:spacing w:val="-6"/>
                <w:sz w:val="24"/>
              </w:rPr>
              <w:t>年龄</w:t>
            </w:r>
          </w:p>
        </w:tc>
        <w:tc>
          <w:tcPr>
            <w:tcW w:w="2240" w:type="dxa"/>
          </w:tcPr>
          <w:p w14:paraId="337B06C5">
            <w:pPr>
              <w:pStyle w:val="29"/>
              <w:tabs>
                <w:tab w:val="left" w:pos="0"/>
              </w:tabs>
              <w:spacing w:line="249" w:lineRule="auto"/>
            </w:pPr>
          </w:p>
          <w:p w14:paraId="6C535F20">
            <w:pPr>
              <w:spacing w:before="78" w:line="219" w:lineRule="auto"/>
              <w:ind w:left="157"/>
              <w:rPr>
                <w:rFonts w:ascii="宋体" w:hAnsi="宋体" w:cs="宋体"/>
                <w:sz w:val="24"/>
              </w:rPr>
            </w:pPr>
            <w:r>
              <w:rPr>
                <w:rFonts w:ascii="宋体" w:hAnsi="宋体" w:cs="宋体"/>
                <w:spacing w:val="-2"/>
                <w:sz w:val="24"/>
              </w:rPr>
              <w:t>拟在本项目任职</w:t>
            </w:r>
          </w:p>
        </w:tc>
        <w:tc>
          <w:tcPr>
            <w:tcW w:w="1427" w:type="dxa"/>
          </w:tcPr>
          <w:p w14:paraId="7C1DDB34">
            <w:pPr>
              <w:pStyle w:val="29"/>
              <w:tabs>
                <w:tab w:val="left" w:pos="0"/>
              </w:tabs>
              <w:spacing w:line="250" w:lineRule="auto"/>
            </w:pPr>
          </w:p>
          <w:p w14:paraId="1EE8EFDD">
            <w:pPr>
              <w:spacing w:before="78" w:line="219" w:lineRule="auto"/>
              <w:ind w:left="190"/>
              <w:rPr>
                <w:rFonts w:ascii="宋体" w:hAnsi="宋体" w:cs="宋体"/>
                <w:sz w:val="24"/>
              </w:rPr>
            </w:pPr>
            <w:r>
              <w:rPr>
                <w:rFonts w:ascii="宋体" w:hAnsi="宋体" w:cs="宋体"/>
                <w:spacing w:val="-3"/>
                <w:sz w:val="24"/>
              </w:rPr>
              <w:t>技术职称</w:t>
            </w:r>
          </w:p>
        </w:tc>
        <w:tc>
          <w:tcPr>
            <w:tcW w:w="1449" w:type="dxa"/>
          </w:tcPr>
          <w:p w14:paraId="2534FE25">
            <w:pPr>
              <w:spacing w:before="128" w:line="219" w:lineRule="auto"/>
              <w:ind w:left="162"/>
              <w:rPr>
                <w:rFonts w:ascii="宋体" w:hAnsi="宋体" w:cs="宋体"/>
                <w:sz w:val="24"/>
              </w:rPr>
            </w:pPr>
            <w:r>
              <w:rPr>
                <w:rFonts w:ascii="宋体" w:hAnsi="宋体" w:cs="宋体"/>
                <w:spacing w:val="-3"/>
                <w:sz w:val="24"/>
              </w:rPr>
              <w:t>类似项目</w:t>
            </w:r>
          </w:p>
          <w:p w14:paraId="452A6F40">
            <w:pPr>
              <w:spacing w:before="115" w:line="208" w:lineRule="auto"/>
              <w:ind w:left="164"/>
              <w:rPr>
                <w:rFonts w:ascii="宋体" w:hAnsi="宋体" w:cs="宋体"/>
                <w:sz w:val="24"/>
              </w:rPr>
            </w:pPr>
            <w:r>
              <w:rPr>
                <w:rFonts w:ascii="宋体" w:hAnsi="宋体" w:cs="宋体"/>
                <w:spacing w:val="-3"/>
                <w:sz w:val="24"/>
              </w:rPr>
              <w:t>经验年限</w:t>
            </w:r>
          </w:p>
        </w:tc>
        <w:tc>
          <w:tcPr>
            <w:tcW w:w="2120" w:type="dxa"/>
          </w:tcPr>
          <w:p w14:paraId="1E6913F4">
            <w:pPr>
              <w:pStyle w:val="29"/>
              <w:tabs>
                <w:tab w:val="left" w:pos="0"/>
              </w:tabs>
              <w:spacing w:line="250" w:lineRule="auto"/>
            </w:pPr>
          </w:p>
          <w:p w14:paraId="386FB8B3">
            <w:pPr>
              <w:spacing w:before="78" w:line="219" w:lineRule="auto"/>
              <w:ind w:left="277"/>
              <w:rPr>
                <w:rFonts w:ascii="宋体" w:hAnsi="宋体" w:cs="宋体"/>
                <w:sz w:val="24"/>
              </w:rPr>
            </w:pPr>
            <w:r>
              <w:rPr>
                <w:rFonts w:ascii="宋体" w:hAnsi="宋体" w:cs="宋体"/>
                <w:spacing w:val="-2"/>
                <w:sz w:val="24"/>
              </w:rPr>
              <w:t>类似项目经验概述</w:t>
            </w:r>
          </w:p>
        </w:tc>
      </w:tr>
      <w:tr w14:paraId="16B44C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9" w:hRule="atLeast"/>
          <w:jc w:val="center"/>
        </w:trPr>
        <w:tc>
          <w:tcPr>
            <w:tcW w:w="854" w:type="dxa"/>
          </w:tcPr>
          <w:p w14:paraId="2D2D6447">
            <w:pPr>
              <w:pStyle w:val="29"/>
              <w:tabs>
                <w:tab w:val="left" w:pos="0"/>
              </w:tabs>
            </w:pPr>
          </w:p>
        </w:tc>
        <w:tc>
          <w:tcPr>
            <w:tcW w:w="1120" w:type="dxa"/>
          </w:tcPr>
          <w:p w14:paraId="3B0C4317">
            <w:pPr>
              <w:pStyle w:val="29"/>
              <w:tabs>
                <w:tab w:val="left" w:pos="0"/>
              </w:tabs>
            </w:pPr>
          </w:p>
        </w:tc>
        <w:tc>
          <w:tcPr>
            <w:tcW w:w="747" w:type="dxa"/>
          </w:tcPr>
          <w:p w14:paraId="5E23B866">
            <w:pPr>
              <w:pStyle w:val="29"/>
              <w:tabs>
                <w:tab w:val="left" w:pos="0"/>
              </w:tabs>
            </w:pPr>
          </w:p>
        </w:tc>
        <w:tc>
          <w:tcPr>
            <w:tcW w:w="2240" w:type="dxa"/>
          </w:tcPr>
          <w:p w14:paraId="6EA0F2AD">
            <w:pPr>
              <w:pStyle w:val="29"/>
              <w:tabs>
                <w:tab w:val="left" w:pos="0"/>
              </w:tabs>
            </w:pPr>
          </w:p>
        </w:tc>
        <w:tc>
          <w:tcPr>
            <w:tcW w:w="1427" w:type="dxa"/>
          </w:tcPr>
          <w:p w14:paraId="77F09F2E">
            <w:pPr>
              <w:pStyle w:val="29"/>
              <w:tabs>
                <w:tab w:val="left" w:pos="0"/>
              </w:tabs>
            </w:pPr>
          </w:p>
        </w:tc>
        <w:tc>
          <w:tcPr>
            <w:tcW w:w="1449" w:type="dxa"/>
          </w:tcPr>
          <w:p w14:paraId="224680CC">
            <w:pPr>
              <w:pStyle w:val="29"/>
              <w:tabs>
                <w:tab w:val="left" w:pos="0"/>
              </w:tabs>
            </w:pPr>
          </w:p>
        </w:tc>
        <w:tc>
          <w:tcPr>
            <w:tcW w:w="2120" w:type="dxa"/>
          </w:tcPr>
          <w:p w14:paraId="7810F198">
            <w:pPr>
              <w:pStyle w:val="29"/>
              <w:tabs>
                <w:tab w:val="left" w:pos="0"/>
              </w:tabs>
            </w:pPr>
          </w:p>
        </w:tc>
      </w:tr>
      <w:tr w14:paraId="4D5472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9" w:hRule="atLeast"/>
          <w:jc w:val="center"/>
        </w:trPr>
        <w:tc>
          <w:tcPr>
            <w:tcW w:w="854" w:type="dxa"/>
          </w:tcPr>
          <w:p w14:paraId="243AECDD">
            <w:pPr>
              <w:pStyle w:val="29"/>
              <w:tabs>
                <w:tab w:val="left" w:pos="0"/>
              </w:tabs>
            </w:pPr>
          </w:p>
        </w:tc>
        <w:tc>
          <w:tcPr>
            <w:tcW w:w="1120" w:type="dxa"/>
          </w:tcPr>
          <w:p w14:paraId="788399D8">
            <w:pPr>
              <w:pStyle w:val="29"/>
              <w:tabs>
                <w:tab w:val="left" w:pos="0"/>
              </w:tabs>
            </w:pPr>
          </w:p>
        </w:tc>
        <w:tc>
          <w:tcPr>
            <w:tcW w:w="747" w:type="dxa"/>
          </w:tcPr>
          <w:p w14:paraId="0DB6624B">
            <w:pPr>
              <w:pStyle w:val="29"/>
              <w:tabs>
                <w:tab w:val="left" w:pos="0"/>
              </w:tabs>
            </w:pPr>
          </w:p>
        </w:tc>
        <w:tc>
          <w:tcPr>
            <w:tcW w:w="2240" w:type="dxa"/>
          </w:tcPr>
          <w:p w14:paraId="55291C68">
            <w:pPr>
              <w:pStyle w:val="29"/>
              <w:tabs>
                <w:tab w:val="left" w:pos="0"/>
              </w:tabs>
            </w:pPr>
          </w:p>
        </w:tc>
        <w:tc>
          <w:tcPr>
            <w:tcW w:w="1427" w:type="dxa"/>
          </w:tcPr>
          <w:p w14:paraId="78B080F8">
            <w:pPr>
              <w:pStyle w:val="29"/>
              <w:tabs>
                <w:tab w:val="left" w:pos="0"/>
              </w:tabs>
            </w:pPr>
          </w:p>
        </w:tc>
        <w:tc>
          <w:tcPr>
            <w:tcW w:w="1449" w:type="dxa"/>
          </w:tcPr>
          <w:p w14:paraId="656E9526">
            <w:pPr>
              <w:pStyle w:val="29"/>
              <w:tabs>
                <w:tab w:val="left" w:pos="0"/>
              </w:tabs>
            </w:pPr>
          </w:p>
        </w:tc>
        <w:tc>
          <w:tcPr>
            <w:tcW w:w="2120" w:type="dxa"/>
          </w:tcPr>
          <w:p w14:paraId="7E5D9969">
            <w:pPr>
              <w:pStyle w:val="29"/>
              <w:tabs>
                <w:tab w:val="left" w:pos="0"/>
              </w:tabs>
            </w:pPr>
          </w:p>
        </w:tc>
      </w:tr>
      <w:tr w14:paraId="28B371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9" w:hRule="atLeast"/>
          <w:jc w:val="center"/>
        </w:trPr>
        <w:tc>
          <w:tcPr>
            <w:tcW w:w="854" w:type="dxa"/>
          </w:tcPr>
          <w:p w14:paraId="00C69670">
            <w:pPr>
              <w:pStyle w:val="29"/>
              <w:tabs>
                <w:tab w:val="left" w:pos="0"/>
              </w:tabs>
            </w:pPr>
          </w:p>
        </w:tc>
        <w:tc>
          <w:tcPr>
            <w:tcW w:w="1120" w:type="dxa"/>
          </w:tcPr>
          <w:p w14:paraId="3EE066B7">
            <w:pPr>
              <w:pStyle w:val="29"/>
              <w:tabs>
                <w:tab w:val="left" w:pos="0"/>
              </w:tabs>
            </w:pPr>
          </w:p>
        </w:tc>
        <w:tc>
          <w:tcPr>
            <w:tcW w:w="747" w:type="dxa"/>
          </w:tcPr>
          <w:p w14:paraId="52AAD5F8">
            <w:pPr>
              <w:pStyle w:val="29"/>
              <w:tabs>
                <w:tab w:val="left" w:pos="0"/>
              </w:tabs>
            </w:pPr>
          </w:p>
        </w:tc>
        <w:tc>
          <w:tcPr>
            <w:tcW w:w="2240" w:type="dxa"/>
          </w:tcPr>
          <w:p w14:paraId="66B68B42">
            <w:pPr>
              <w:pStyle w:val="29"/>
              <w:tabs>
                <w:tab w:val="left" w:pos="0"/>
              </w:tabs>
            </w:pPr>
          </w:p>
        </w:tc>
        <w:tc>
          <w:tcPr>
            <w:tcW w:w="1427" w:type="dxa"/>
          </w:tcPr>
          <w:p w14:paraId="364400D3">
            <w:pPr>
              <w:pStyle w:val="29"/>
              <w:tabs>
                <w:tab w:val="left" w:pos="0"/>
              </w:tabs>
            </w:pPr>
          </w:p>
        </w:tc>
        <w:tc>
          <w:tcPr>
            <w:tcW w:w="1449" w:type="dxa"/>
          </w:tcPr>
          <w:p w14:paraId="43ED9C7D">
            <w:pPr>
              <w:pStyle w:val="29"/>
              <w:tabs>
                <w:tab w:val="left" w:pos="0"/>
              </w:tabs>
            </w:pPr>
          </w:p>
        </w:tc>
        <w:tc>
          <w:tcPr>
            <w:tcW w:w="2120" w:type="dxa"/>
          </w:tcPr>
          <w:p w14:paraId="4497133F">
            <w:pPr>
              <w:pStyle w:val="29"/>
              <w:tabs>
                <w:tab w:val="left" w:pos="0"/>
              </w:tabs>
            </w:pPr>
          </w:p>
        </w:tc>
      </w:tr>
      <w:tr w14:paraId="407A3D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9" w:hRule="atLeast"/>
          <w:jc w:val="center"/>
        </w:trPr>
        <w:tc>
          <w:tcPr>
            <w:tcW w:w="854" w:type="dxa"/>
          </w:tcPr>
          <w:p w14:paraId="4D88C328">
            <w:pPr>
              <w:pStyle w:val="29"/>
              <w:tabs>
                <w:tab w:val="left" w:pos="0"/>
              </w:tabs>
            </w:pPr>
          </w:p>
        </w:tc>
        <w:tc>
          <w:tcPr>
            <w:tcW w:w="1120" w:type="dxa"/>
          </w:tcPr>
          <w:p w14:paraId="56CA3C3F">
            <w:pPr>
              <w:pStyle w:val="29"/>
              <w:tabs>
                <w:tab w:val="left" w:pos="0"/>
              </w:tabs>
            </w:pPr>
          </w:p>
        </w:tc>
        <w:tc>
          <w:tcPr>
            <w:tcW w:w="747" w:type="dxa"/>
          </w:tcPr>
          <w:p w14:paraId="402A9918">
            <w:pPr>
              <w:pStyle w:val="29"/>
              <w:tabs>
                <w:tab w:val="left" w:pos="0"/>
              </w:tabs>
            </w:pPr>
          </w:p>
        </w:tc>
        <w:tc>
          <w:tcPr>
            <w:tcW w:w="2240" w:type="dxa"/>
          </w:tcPr>
          <w:p w14:paraId="58CB904D">
            <w:pPr>
              <w:pStyle w:val="29"/>
              <w:tabs>
                <w:tab w:val="left" w:pos="0"/>
              </w:tabs>
            </w:pPr>
          </w:p>
        </w:tc>
        <w:tc>
          <w:tcPr>
            <w:tcW w:w="1427" w:type="dxa"/>
          </w:tcPr>
          <w:p w14:paraId="59EF8BD0">
            <w:pPr>
              <w:pStyle w:val="29"/>
              <w:tabs>
                <w:tab w:val="left" w:pos="0"/>
              </w:tabs>
            </w:pPr>
          </w:p>
        </w:tc>
        <w:tc>
          <w:tcPr>
            <w:tcW w:w="1449" w:type="dxa"/>
          </w:tcPr>
          <w:p w14:paraId="67A3209C">
            <w:pPr>
              <w:pStyle w:val="29"/>
              <w:tabs>
                <w:tab w:val="left" w:pos="0"/>
              </w:tabs>
            </w:pPr>
          </w:p>
        </w:tc>
        <w:tc>
          <w:tcPr>
            <w:tcW w:w="2120" w:type="dxa"/>
          </w:tcPr>
          <w:p w14:paraId="3DF94A30">
            <w:pPr>
              <w:pStyle w:val="29"/>
              <w:tabs>
                <w:tab w:val="left" w:pos="0"/>
              </w:tabs>
            </w:pPr>
          </w:p>
        </w:tc>
      </w:tr>
      <w:tr w14:paraId="32F81C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0" w:hRule="atLeast"/>
          <w:jc w:val="center"/>
        </w:trPr>
        <w:tc>
          <w:tcPr>
            <w:tcW w:w="854" w:type="dxa"/>
          </w:tcPr>
          <w:p w14:paraId="28F46B62">
            <w:pPr>
              <w:pStyle w:val="29"/>
              <w:tabs>
                <w:tab w:val="left" w:pos="0"/>
              </w:tabs>
            </w:pPr>
          </w:p>
        </w:tc>
        <w:tc>
          <w:tcPr>
            <w:tcW w:w="1120" w:type="dxa"/>
          </w:tcPr>
          <w:p w14:paraId="2D34181E">
            <w:pPr>
              <w:pStyle w:val="29"/>
              <w:tabs>
                <w:tab w:val="left" w:pos="0"/>
              </w:tabs>
            </w:pPr>
          </w:p>
        </w:tc>
        <w:tc>
          <w:tcPr>
            <w:tcW w:w="747" w:type="dxa"/>
          </w:tcPr>
          <w:p w14:paraId="72191197">
            <w:pPr>
              <w:pStyle w:val="29"/>
              <w:tabs>
                <w:tab w:val="left" w:pos="0"/>
              </w:tabs>
            </w:pPr>
          </w:p>
        </w:tc>
        <w:tc>
          <w:tcPr>
            <w:tcW w:w="2240" w:type="dxa"/>
          </w:tcPr>
          <w:p w14:paraId="2B781F67">
            <w:pPr>
              <w:pStyle w:val="29"/>
              <w:tabs>
                <w:tab w:val="left" w:pos="0"/>
              </w:tabs>
            </w:pPr>
          </w:p>
        </w:tc>
        <w:tc>
          <w:tcPr>
            <w:tcW w:w="1427" w:type="dxa"/>
          </w:tcPr>
          <w:p w14:paraId="282CEA63">
            <w:pPr>
              <w:pStyle w:val="29"/>
              <w:tabs>
                <w:tab w:val="left" w:pos="0"/>
              </w:tabs>
            </w:pPr>
          </w:p>
        </w:tc>
        <w:tc>
          <w:tcPr>
            <w:tcW w:w="1449" w:type="dxa"/>
          </w:tcPr>
          <w:p w14:paraId="0CC5D89F">
            <w:pPr>
              <w:pStyle w:val="29"/>
              <w:tabs>
                <w:tab w:val="left" w:pos="0"/>
              </w:tabs>
            </w:pPr>
          </w:p>
        </w:tc>
        <w:tc>
          <w:tcPr>
            <w:tcW w:w="2120" w:type="dxa"/>
          </w:tcPr>
          <w:p w14:paraId="6B5A7686">
            <w:pPr>
              <w:pStyle w:val="29"/>
              <w:tabs>
                <w:tab w:val="left" w:pos="0"/>
              </w:tabs>
            </w:pPr>
          </w:p>
        </w:tc>
      </w:tr>
      <w:tr w14:paraId="4CD96C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0" w:hRule="atLeast"/>
          <w:jc w:val="center"/>
        </w:trPr>
        <w:tc>
          <w:tcPr>
            <w:tcW w:w="854" w:type="dxa"/>
          </w:tcPr>
          <w:p w14:paraId="0F457DA0">
            <w:pPr>
              <w:pStyle w:val="29"/>
              <w:tabs>
                <w:tab w:val="left" w:pos="0"/>
              </w:tabs>
            </w:pPr>
          </w:p>
        </w:tc>
        <w:tc>
          <w:tcPr>
            <w:tcW w:w="1120" w:type="dxa"/>
          </w:tcPr>
          <w:p w14:paraId="412B649D">
            <w:pPr>
              <w:pStyle w:val="29"/>
              <w:tabs>
                <w:tab w:val="left" w:pos="0"/>
              </w:tabs>
            </w:pPr>
          </w:p>
        </w:tc>
        <w:tc>
          <w:tcPr>
            <w:tcW w:w="747" w:type="dxa"/>
          </w:tcPr>
          <w:p w14:paraId="53E49C64">
            <w:pPr>
              <w:pStyle w:val="29"/>
              <w:tabs>
                <w:tab w:val="left" w:pos="0"/>
              </w:tabs>
            </w:pPr>
          </w:p>
        </w:tc>
        <w:tc>
          <w:tcPr>
            <w:tcW w:w="2240" w:type="dxa"/>
          </w:tcPr>
          <w:p w14:paraId="472705A5">
            <w:pPr>
              <w:pStyle w:val="29"/>
              <w:tabs>
                <w:tab w:val="left" w:pos="0"/>
              </w:tabs>
            </w:pPr>
          </w:p>
        </w:tc>
        <w:tc>
          <w:tcPr>
            <w:tcW w:w="1427" w:type="dxa"/>
          </w:tcPr>
          <w:p w14:paraId="088F179B">
            <w:pPr>
              <w:pStyle w:val="29"/>
              <w:tabs>
                <w:tab w:val="left" w:pos="0"/>
              </w:tabs>
            </w:pPr>
          </w:p>
        </w:tc>
        <w:tc>
          <w:tcPr>
            <w:tcW w:w="1449" w:type="dxa"/>
          </w:tcPr>
          <w:p w14:paraId="1F837215">
            <w:pPr>
              <w:pStyle w:val="29"/>
              <w:tabs>
                <w:tab w:val="left" w:pos="0"/>
              </w:tabs>
            </w:pPr>
          </w:p>
        </w:tc>
        <w:tc>
          <w:tcPr>
            <w:tcW w:w="2120" w:type="dxa"/>
          </w:tcPr>
          <w:p w14:paraId="35C3006B">
            <w:pPr>
              <w:pStyle w:val="29"/>
              <w:tabs>
                <w:tab w:val="left" w:pos="0"/>
              </w:tabs>
            </w:pPr>
          </w:p>
        </w:tc>
      </w:tr>
      <w:tr w14:paraId="545087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0" w:hRule="atLeast"/>
          <w:jc w:val="center"/>
        </w:trPr>
        <w:tc>
          <w:tcPr>
            <w:tcW w:w="854" w:type="dxa"/>
          </w:tcPr>
          <w:p w14:paraId="0135F8A2">
            <w:pPr>
              <w:pStyle w:val="29"/>
              <w:tabs>
                <w:tab w:val="left" w:pos="0"/>
              </w:tabs>
            </w:pPr>
          </w:p>
        </w:tc>
        <w:tc>
          <w:tcPr>
            <w:tcW w:w="1120" w:type="dxa"/>
          </w:tcPr>
          <w:p w14:paraId="336F5942">
            <w:pPr>
              <w:pStyle w:val="29"/>
              <w:tabs>
                <w:tab w:val="left" w:pos="0"/>
              </w:tabs>
            </w:pPr>
          </w:p>
        </w:tc>
        <w:tc>
          <w:tcPr>
            <w:tcW w:w="747" w:type="dxa"/>
          </w:tcPr>
          <w:p w14:paraId="52B89F4F">
            <w:pPr>
              <w:pStyle w:val="29"/>
              <w:tabs>
                <w:tab w:val="left" w:pos="0"/>
              </w:tabs>
            </w:pPr>
          </w:p>
        </w:tc>
        <w:tc>
          <w:tcPr>
            <w:tcW w:w="2240" w:type="dxa"/>
          </w:tcPr>
          <w:p w14:paraId="05192957">
            <w:pPr>
              <w:pStyle w:val="29"/>
              <w:tabs>
                <w:tab w:val="left" w:pos="0"/>
              </w:tabs>
            </w:pPr>
          </w:p>
        </w:tc>
        <w:tc>
          <w:tcPr>
            <w:tcW w:w="1427" w:type="dxa"/>
          </w:tcPr>
          <w:p w14:paraId="3801AE1B">
            <w:pPr>
              <w:pStyle w:val="29"/>
              <w:tabs>
                <w:tab w:val="left" w:pos="0"/>
              </w:tabs>
            </w:pPr>
          </w:p>
        </w:tc>
        <w:tc>
          <w:tcPr>
            <w:tcW w:w="1449" w:type="dxa"/>
          </w:tcPr>
          <w:p w14:paraId="30521DA4">
            <w:pPr>
              <w:pStyle w:val="29"/>
              <w:tabs>
                <w:tab w:val="left" w:pos="0"/>
              </w:tabs>
            </w:pPr>
          </w:p>
        </w:tc>
        <w:tc>
          <w:tcPr>
            <w:tcW w:w="2120" w:type="dxa"/>
          </w:tcPr>
          <w:p w14:paraId="0CF16C4D">
            <w:pPr>
              <w:pStyle w:val="29"/>
              <w:tabs>
                <w:tab w:val="left" w:pos="0"/>
              </w:tabs>
            </w:pPr>
          </w:p>
        </w:tc>
      </w:tr>
      <w:tr w14:paraId="25A12C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0" w:hRule="atLeast"/>
          <w:jc w:val="center"/>
        </w:trPr>
        <w:tc>
          <w:tcPr>
            <w:tcW w:w="854" w:type="dxa"/>
          </w:tcPr>
          <w:p w14:paraId="1E3BAD33">
            <w:pPr>
              <w:pStyle w:val="29"/>
              <w:tabs>
                <w:tab w:val="left" w:pos="0"/>
              </w:tabs>
            </w:pPr>
          </w:p>
        </w:tc>
        <w:tc>
          <w:tcPr>
            <w:tcW w:w="1120" w:type="dxa"/>
          </w:tcPr>
          <w:p w14:paraId="763BF565">
            <w:pPr>
              <w:pStyle w:val="29"/>
              <w:tabs>
                <w:tab w:val="left" w:pos="0"/>
              </w:tabs>
            </w:pPr>
          </w:p>
        </w:tc>
        <w:tc>
          <w:tcPr>
            <w:tcW w:w="747" w:type="dxa"/>
          </w:tcPr>
          <w:p w14:paraId="319FFE5A">
            <w:pPr>
              <w:pStyle w:val="29"/>
              <w:tabs>
                <w:tab w:val="left" w:pos="0"/>
              </w:tabs>
            </w:pPr>
          </w:p>
        </w:tc>
        <w:tc>
          <w:tcPr>
            <w:tcW w:w="2240" w:type="dxa"/>
          </w:tcPr>
          <w:p w14:paraId="2254640C">
            <w:pPr>
              <w:pStyle w:val="29"/>
              <w:tabs>
                <w:tab w:val="left" w:pos="0"/>
              </w:tabs>
            </w:pPr>
          </w:p>
        </w:tc>
        <w:tc>
          <w:tcPr>
            <w:tcW w:w="1427" w:type="dxa"/>
          </w:tcPr>
          <w:p w14:paraId="2CC5F797">
            <w:pPr>
              <w:pStyle w:val="29"/>
              <w:tabs>
                <w:tab w:val="left" w:pos="0"/>
              </w:tabs>
            </w:pPr>
          </w:p>
        </w:tc>
        <w:tc>
          <w:tcPr>
            <w:tcW w:w="1449" w:type="dxa"/>
          </w:tcPr>
          <w:p w14:paraId="5AF7A8AC">
            <w:pPr>
              <w:pStyle w:val="29"/>
              <w:tabs>
                <w:tab w:val="left" w:pos="0"/>
              </w:tabs>
            </w:pPr>
          </w:p>
        </w:tc>
        <w:tc>
          <w:tcPr>
            <w:tcW w:w="2120" w:type="dxa"/>
          </w:tcPr>
          <w:p w14:paraId="1E19D3C3">
            <w:pPr>
              <w:pStyle w:val="29"/>
              <w:tabs>
                <w:tab w:val="left" w:pos="0"/>
              </w:tabs>
            </w:pPr>
          </w:p>
        </w:tc>
      </w:tr>
      <w:tr w14:paraId="26CB04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0" w:hRule="atLeast"/>
          <w:jc w:val="center"/>
        </w:trPr>
        <w:tc>
          <w:tcPr>
            <w:tcW w:w="854" w:type="dxa"/>
          </w:tcPr>
          <w:p w14:paraId="0078992D">
            <w:pPr>
              <w:pStyle w:val="29"/>
              <w:tabs>
                <w:tab w:val="left" w:pos="0"/>
              </w:tabs>
            </w:pPr>
          </w:p>
        </w:tc>
        <w:tc>
          <w:tcPr>
            <w:tcW w:w="1120" w:type="dxa"/>
          </w:tcPr>
          <w:p w14:paraId="75D3442D">
            <w:pPr>
              <w:pStyle w:val="29"/>
              <w:tabs>
                <w:tab w:val="left" w:pos="0"/>
              </w:tabs>
            </w:pPr>
          </w:p>
        </w:tc>
        <w:tc>
          <w:tcPr>
            <w:tcW w:w="747" w:type="dxa"/>
          </w:tcPr>
          <w:p w14:paraId="060A5DB9">
            <w:pPr>
              <w:pStyle w:val="29"/>
              <w:tabs>
                <w:tab w:val="left" w:pos="0"/>
              </w:tabs>
            </w:pPr>
          </w:p>
        </w:tc>
        <w:tc>
          <w:tcPr>
            <w:tcW w:w="2240" w:type="dxa"/>
          </w:tcPr>
          <w:p w14:paraId="2FA8CB45">
            <w:pPr>
              <w:pStyle w:val="29"/>
              <w:tabs>
                <w:tab w:val="left" w:pos="0"/>
              </w:tabs>
            </w:pPr>
          </w:p>
        </w:tc>
        <w:tc>
          <w:tcPr>
            <w:tcW w:w="1427" w:type="dxa"/>
          </w:tcPr>
          <w:p w14:paraId="10C70F05">
            <w:pPr>
              <w:pStyle w:val="29"/>
              <w:tabs>
                <w:tab w:val="left" w:pos="0"/>
              </w:tabs>
            </w:pPr>
          </w:p>
        </w:tc>
        <w:tc>
          <w:tcPr>
            <w:tcW w:w="1449" w:type="dxa"/>
          </w:tcPr>
          <w:p w14:paraId="76308238">
            <w:pPr>
              <w:pStyle w:val="29"/>
              <w:tabs>
                <w:tab w:val="left" w:pos="0"/>
              </w:tabs>
            </w:pPr>
          </w:p>
        </w:tc>
        <w:tc>
          <w:tcPr>
            <w:tcW w:w="2120" w:type="dxa"/>
          </w:tcPr>
          <w:p w14:paraId="5C1139F7">
            <w:pPr>
              <w:pStyle w:val="29"/>
              <w:tabs>
                <w:tab w:val="left" w:pos="0"/>
              </w:tabs>
            </w:pPr>
          </w:p>
        </w:tc>
      </w:tr>
      <w:tr w14:paraId="5B312F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34" w:hRule="atLeast"/>
          <w:jc w:val="center"/>
        </w:trPr>
        <w:tc>
          <w:tcPr>
            <w:tcW w:w="854" w:type="dxa"/>
          </w:tcPr>
          <w:p w14:paraId="0D4271BE">
            <w:pPr>
              <w:pStyle w:val="29"/>
              <w:tabs>
                <w:tab w:val="left" w:pos="0"/>
              </w:tabs>
            </w:pPr>
          </w:p>
        </w:tc>
        <w:tc>
          <w:tcPr>
            <w:tcW w:w="1120" w:type="dxa"/>
          </w:tcPr>
          <w:p w14:paraId="2CDC3653">
            <w:pPr>
              <w:pStyle w:val="29"/>
              <w:tabs>
                <w:tab w:val="left" w:pos="0"/>
              </w:tabs>
            </w:pPr>
          </w:p>
        </w:tc>
        <w:tc>
          <w:tcPr>
            <w:tcW w:w="747" w:type="dxa"/>
          </w:tcPr>
          <w:p w14:paraId="78B4C89E">
            <w:pPr>
              <w:pStyle w:val="29"/>
              <w:tabs>
                <w:tab w:val="left" w:pos="0"/>
              </w:tabs>
            </w:pPr>
          </w:p>
        </w:tc>
        <w:tc>
          <w:tcPr>
            <w:tcW w:w="2240" w:type="dxa"/>
          </w:tcPr>
          <w:p w14:paraId="5C48F0B1">
            <w:pPr>
              <w:pStyle w:val="29"/>
              <w:tabs>
                <w:tab w:val="left" w:pos="0"/>
              </w:tabs>
            </w:pPr>
          </w:p>
        </w:tc>
        <w:tc>
          <w:tcPr>
            <w:tcW w:w="1427" w:type="dxa"/>
          </w:tcPr>
          <w:p w14:paraId="10E56EE9">
            <w:pPr>
              <w:pStyle w:val="29"/>
              <w:tabs>
                <w:tab w:val="left" w:pos="0"/>
              </w:tabs>
            </w:pPr>
          </w:p>
        </w:tc>
        <w:tc>
          <w:tcPr>
            <w:tcW w:w="1449" w:type="dxa"/>
          </w:tcPr>
          <w:p w14:paraId="2226E996">
            <w:pPr>
              <w:pStyle w:val="29"/>
              <w:tabs>
                <w:tab w:val="left" w:pos="0"/>
              </w:tabs>
            </w:pPr>
          </w:p>
        </w:tc>
        <w:tc>
          <w:tcPr>
            <w:tcW w:w="2120" w:type="dxa"/>
          </w:tcPr>
          <w:p w14:paraId="4341FDC4">
            <w:pPr>
              <w:pStyle w:val="29"/>
              <w:tabs>
                <w:tab w:val="left" w:pos="0"/>
              </w:tabs>
            </w:pPr>
          </w:p>
        </w:tc>
      </w:tr>
    </w:tbl>
    <w:p w14:paraId="4D8012C6">
      <w:pPr>
        <w:tabs>
          <w:tab w:val="left" w:pos="0"/>
        </w:tabs>
        <w:spacing w:line="360" w:lineRule="auto"/>
        <w:ind w:firstLine="420"/>
        <w:rPr>
          <w:sz w:val="24"/>
          <w:szCs w:val="24"/>
        </w:rPr>
      </w:pPr>
      <w:r>
        <w:rPr>
          <w:rFonts w:hint="eastAsia"/>
          <w:sz w:val="24"/>
          <w:szCs w:val="24"/>
        </w:rPr>
        <w:t>主要管理和技术人员最低要求</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90"/>
        <w:gridCol w:w="861"/>
        <w:gridCol w:w="7502"/>
      </w:tblGrid>
      <w:tr w14:paraId="3B554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490" w:type="dxa"/>
            <w:vAlign w:val="center"/>
          </w:tcPr>
          <w:p w14:paraId="60E5B2A9">
            <w:pPr>
              <w:tabs>
                <w:tab w:val="left" w:pos="0"/>
              </w:tabs>
              <w:jc w:val="center"/>
              <w:rPr>
                <w:b/>
                <w:bCs/>
                <w:sz w:val="24"/>
                <w:szCs w:val="24"/>
              </w:rPr>
            </w:pPr>
            <w:r>
              <w:rPr>
                <w:rFonts w:hint="eastAsia"/>
                <w:b/>
                <w:bCs/>
                <w:sz w:val="24"/>
                <w:szCs w:val="24"/>
              </w:rPr>
              <w:t>人员</w:t>
            </w:r>
          </w:p>
        </w:tc>
        <w:tc>
          <w:tcPr>
            <w:tcW w:w="861" w:type="dxa"/>
            <w:vAlign w:val="center"/>
          </w:tcPr>
          <w:p w14:paraId="656FC4C3">
            <w:pPr>
              <w:tabs>
                <w:tab w:val="left" w:pos="0"/>
              </w:tabs>
              <w:jc w:val="center"/>
              <w:rPr>
                <w:b/>
                <w:bCs/>
                <w:sz w:val="24"/>
                <w:szCs w:val="24"/>
              </w:rPr>
            </w:pPr>
            <w:r>
              <w:rPr>
                <w:rFonts w:hint="eastAsia"/>
                <w:b/>
                <w:bCs/>
                <w:sz w:val="24"/>
                <w:szCs w:val="24"/>
              </w:rPr>
              <w:t>数量</w:t>
            </w:r>
          </w:p>
        </w:tc>
        <w:tc>
          <w:tcPr>
            <w:tcW w:w="7503" w:type="dxa"/>
            <w:vAlign w:val="center"/>
          </w:tcPr>
          <w:p w14:paraId="70B6EBDA">
            <w:pPr>
              <w:tabs>
                <w:tab w:val="left" w:pos="0"/>
              </w:tabs>
              <w:jc w:val="center"/>
              <w:rPr>
                <w:b/>
                <w:bCs/>
                <w:sz w:val="24"/>
                <w:szCs w:val="24"/>
              </w:rPr>
            </w:pPr>
            <w:r>
              <w:rPr>
                <w:rFonts w:hint="eastAsia"/>
                <w:b/>
                <w:bCs/>
                <w:sz w:val="24"/>
                <w:szCs w:val="24"/>
              </w:rPr>
              <w:t>资格要求</w:t>
            </w:r>
          </w:p>
        </w:tc>
      </w:tr>
      <w:tr w14:paraId="1B318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90" w:type="dxa"/>
            <w:vAlign w:val="center"/>
          </w:tcPr>
          <w:p w14:paraId="0F58D303">
            <w:pPr>
              <w:tabs>
                <w:tab w:val="left" w:pos="0"/>
              </w:tabs>
              <w:jc w:val="center"/>
              <w:rPr>
                <w:sz w:val="24"/>
                <w:szCs w:val="24"/>
              </w:rPr>
            </w:pPr>
            <w:r>
              <w:rPr>
                <w:rFonts w:hint="eastAsia"/>
                <w:sz w:val="24"/>
                <w:szCs w:val="24"/>
              </w:rPr>
              <w:t>项目经理</w:t>
            </w:r>
          </w:p>
        </w:tc>
        <w:tc>
          <w:tcPr>
            <w:tcW w:w="861" w:type="dxa"/>
            <w:vAlign w:val="center"/>
          </w:tcPr>
          <w:p w14:paraId="365E91AE">
            <w:pPr>
              <w:tabs>
                <w:tab w:val="left" w:pos="0"/>
              </w:tabs>
              <w:jc w:val="center"/>
              <w:rPr>
                <w:sz w:val="24"/>
                <w:szCs w:val="24"/>
              </w:rPr>
            </w:pPr>
            <w:r>
              <w:rPr>
                <w:rFonts w:hint="eastAsia"/>
                <w:sz w:val="24"/>
                <w:szCs w:val="24"/>
              </w:rPr>
              <w:t>1</w:t>
            </w:r>
          </w:p>
        </w:tc>
        <w:tc>
          <w:tcPr>
            <w:tcW w:w="7503" w:type="dxa"/>
            <w:vAlign w:val="center"/>
          </w:tcPr>
          <w:p w14:paraId="79F1E06E">
            <w:pPr>
              <w:pStyle w:val="9"/>
              <w:tabs>
                <w:tab w:val="left" w:pos="0"/>
              </w:tabs>
              <w:rPr>
                <w:sz w:val="24"/>
                <w:szCs w:val="24"/>
                <w:lang w:eastAsia="zh-CN"/>
              </w:rPr>
            </w:pPr>
            <w:r>
              <w:rPr>
                <w:rFonts w:hint="eastAsia"/>
                <w:sz w:val="24"/>
                <w:szCs w:val="24"/>
                <w:lang w:eastAsia="zh-CN"/>
              </w:rPr>
              <w:t>公路工程专业二级注册建造师执业资格及路桥类专业中级职称（或以上）及具备有效的安全生产考核合格证(B类)。</w:t>
            </w:r>
          </w:p>
        </w:tc>
      </w:tr>
      <w:tr w14:paraId="3AD9E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90" w:type="dxa"/>
            <w:vAlign w:val="center"/>
          </w:tcPr>
          <w:p w14:paraId="4D70BFE4">
            <w:pPr>
              <w:tabs>
                <w:tab w:val="left" w:pos="0"/>
              </w:tabs>
              <w:jc w:val="center"/>
              <w:rPr>
                <w:rFonts w:hint="eastAsia" w:eastAsia="宋体"/>
                <w:sz w:val="24"/>
                <w:szCs w:val="24"/>
                <w:lang w:eastAsia="zh-CN"/>
              </w:rPr>
            </w:pPr>
            <w:r>
              <w:rPr>
                <w:rFonts w:hint="eastAsia" w:eastAsia="宋体"/>
                <w:sz w:val="24"/>
                <w:szCs w:val="24"/>
                <w:lang w:eastAsia="zh-CN"/>
              </w:rPr>
              <w:t>项目总工</w:t>
            </w:r>
          </w:p>
        </w:tc>
        <w:tc>
          <w:tcPr>
            <w:tcW w:w="861" w:type="dxa"/>
            <w:vAlign w:val="center"/>
          </w:tcPr>
          <w:p w14:paraId="2F808DBF">
            <w:pPr>
              <w:tabs>
                <w:tab w:val="left" w:pos="0"/>
              </w:tabs>
              <w:jc w:val="center"/>
              <w:rPr>
                <w:sz w:val="24"/>
                <w:szCs w:val="24"/>
              </w:rPr>
            </w:pPr>
            <w:r>
              <w:rPr>
                <w:rFonts w:hint="eastAsia"/>
                <w:sz w:val="24"/>
                <w:szCs w:val="24"/>
              </w:rPr>
              <w:t>1</w:t>
            </w:r>
          </w:p>
        </w:tc>
        <w:tc>
          <w:tcPr>
            <w:tcW w:w="7503" w:type="dxa"/>
            <w:vAlign w:val="center"/>
          </w:tcPr>
          <w:p w14:paraId="275967A9">
            <w:pPr>
              <w:tabs>
                <w:tab w:val="left" w:pos="0"/>
              </w:tabs>
              <w:jc w:val="left"/>
              <w:rPr>
                <w:sz w:val="24"/>
                <w:szCs w:val="24"/>
              </w:rPr>
            </w:pPr>
            <w:r>
              <w:rPr>
                <w:rFonts w:hint="eastAsia"/>
                <w:sz w:val="24"/>
                <w:szCs w:val="24"/>
              </w:rPr>
              <w:t>具有路桥类工程师或以上职称。</w:t>
            </w:r>
          </w:p>
        </w:tc>
      </w:tr>
      <w:tr w14:paraId="71295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90" w:type="dxa"/>
            <w:vAlign w:val="center"/>
          </w:tcPr>
          <w:p w14:paraId="2FEBC6F7">
            <w:pPr>
              <w:tabs>
                <w:tab w:val="left" w:pos="0"/>
              </w:tabs>
              <w:jc w:val="center"/>
              <w:rPr>
                <w:sz w:val="24"/>
                <w:szCs w:val="24"/>
                <w:highlight w:val="none"/>
              </w:rPr>
            </w:pPr>
            <w:r>
              <w:rPr>
                <w:rFonts w:hint="eastAsia"/>
                <w:sz w:val="24"/>
                <w:szCs w:val="24"/>
                <w:highlight w:val="none"/>
              </w:rPr>
              <w:t>现场管理负责人</w:t>
            </w:r>
            <w:r>
              <w:rPr>
                <w:rFonts w:hint="eastAsia" w:ascii="宋体" w:hAnsi="宋体" w:eastAsia="宋体" w:cs="宋体"/>
                <w:spacing w:val="0"/>
                <w:w w:val="100"/>
                <w:position w:val="0"/>
                <w:sz w:val="24"/>
                <w:szCs w:val="24"/>
                <w:highlight w:val="none"/>
                <w:lang w:eastAsia="zh-CN"/>
              </w:rPr>
              <w:t>（</w:t>
            </w:r>
            <w:r>
              <w:rPr>
                <w:rFonts w:hint="eastAsia" w:ascii="宋体" w:hAnsi="宋体" w:eastAsia="宋体" w:cs="宋体"/>
                <w:spacing w:val="0"/>
                <w:w w:val="100"/>
                <w:position w:val="0"/>
                <w:sz w:val="24"/>
                <w:szCs w:val="24"/>
                <w:highlight w:val="none"/>
                <w:lang w:val="en-US" w:eastAsia="zh-CN"/>
              </w:rPr>
              <w:t>养护工程师</w:t>
            </w:r>
            <w:r>
              <w:rPr>
                <w:rFonts w:hint="eastAsia" w:ascii="宋体" w:hAnsi="宋体" w:eastAsia="宋体" w:cs="宋体"/>
                <w:spacing w:val="0"/>
                <w:w w:val="100"/>
                <w:position w:val="0"/>
                <w:sz w:val="24"/>
                <w:szCs w:val="24"/>
                <w:highlight w:val="none"/>
                <w:lang w:eastAsia="zh-CN"/>
              </w:rPr>
              <w:t>）</w:t>
            </w:r>
          </w:p>
        </w:tc>
        <w:tc>
          <w:tcPr>
            <w:tcW w:w="861" w:type="dxa"/>
            <w:vAlign w:val="center"/>
          </w:tcPr>
          <w:p w14:paraId="2DD47D2B">
            <w:pPr>
              <w:tabs>
                <w:tab w:val="left" w:pos="0"/>
              </w:tabs>
              <w:jc w:val="center"/>
              <w:rPr>
                <w:rFonts w:hint="eastAsia" w:eastAsia="宋体"/>
                <w:color w:val="auto"/>
                <w:sz w:val="24"/>
                <w:szCs w:val="24"/>
                <w:highlight w:val="none"/>
                <w:lang w:eastAsia="zh-CN"/>
              </w:rPr>
            </w:pPr>
            <w:r>
              <w:rPr>
                <w:rFonts w:hint="eastAsia" w:eastAsia="宋体"/>
                <w:color w:val="auto"/>
                <w:sz w:val="24"/>
                <w:szCs w:val="24"/>
                <w:highlight w:val="none"/>
                <w:lang w:val="en-US" w:eastAsia="zh-CN"/>
              </w:rPr>
              <w:t>4</w:t>
            </w:r>
          </w:p>
        </w:tc>
        <w:tc>
          <w:tcPr>
            <w:tcW w:w="7503" w:type="dxa"/>
            <w:vAlign w:val="center"/>
          </w:tcPr>
          <w:p w14:paraId="65C14F3B">
            <w:pPr>
              <w:tabs>
                <w:tab w:val="left" w:pos="0"/>
              </w:tabs>
              <w:jc w:val="left"/>
              <w:rPr>
                <w:color w:val="auto"/>
                <w:sz w:val="24"/>
                <w:szCs w:val="24"/>
                <w:highlight w:val="none"/>
              </w:rPr>
            </w:pPr>
            <w:r>
              <w:rPr>
                <w:rFonts w:hint="eastAsia"/>
                <w:color w:val="auto"/>
                <w:sz w:val="24"/>
                <w:szCs w:val="24"/>
                <w:highlight w:val="none"/>
              </w:rPr>
              <w:t>具有路桥类工程师或以上职称。A、B、C</w:t>
            </w:r>
            <w:r>
              <w:rPr>
                <w:rFonts w:hint="eastAsia" w:eastAsia="宋体"/>
                <w:color w:val="auto"/>
                <w:sz w:val="24"/>
                <w:szCs w:val="24"/>
                <w:highlight w:val="none"/>
                <w:lang w:eastAsia="zh-CN"/>
              </w:rPr>
              <w:t>、</w:t>
            </w:r>
            <w:r>
              <w:rPr>
                <w:rFonts w:hint="eastAsia" w:eastAsia="宋体"/>
                <w:color w:val="auto"/>
                <w:sz w:val="24"/>
                <w:szCs w:val="24"/>
                <w:highlight w:val="none"/>
                <w:lang w:val="en-US" w:eastAsia="zh-CN"/>
              </w:rPr>
              <w:t>D</w:t>
            </w:r>
            <w:r>
              <w:rPr>
                <w:rFonts w:hint="eastAsia"/>
                <w:color w:val="auto"/>
                <w:sz w:val="24"/>
                <w:szCs w:val="24"/>
                <w:highlight w:val="none"/>
              </w:rPr>
              <w:t>各段安排1名现场管理负责人</w:t>
            </w:r>
            <w:r>
              <w:rPr>
                <w:rFonts w:hint="eastAsia" w:ascii="宋体" w:hAnsi="宋体" w:eastAsia="宋体" w:cs="宋体"/>
                <w:spacing w:val="0"/>
                <w:w w:val="100"/>
                <w:position w:val="0"/>
                <w:sz w:val="24"/>
                <w:szCs w:val="24"/>
                <w:highlight w:val="none"/>
                <w:lang w:eastAsia="zh-CN"/>
              </w:rPr>
              <w:t>（</w:t>
            </w:r>
            <w:r>
              <w:rPr>
                <w:rFonts w:hint="eastAsia" w:ascii="宋体" w:hAnsi="宋体" w:eastAsia="宋体" w:cs="宋体"/>
                <w:spacing w:val="0"/>
                <w:w w:val="100"/>
                <w:position w:val="0"/>
                <w:sz w:val="24"/>
                <w:szCs w:val="24"/>
                <w:highlight w:val="none"/>
                <w:lang w:val="en-US" w:eastAsia="zh-CN"/>
              </w:rPr>
              <w:t>养护工程师</w:t>
            </w:r>
            <w:r>
              <w:rPr>
                <w:rFonts w:hint="eastAsia" w:ascii="宋体" w:hAnsi="宋体" w:eastAsia="宋体" w:cs="宋体"/>
                <w:spacing w:val="0"/>
                <w:w w:val="100"/>
                <w:position w:val="0"/>
                <w:sz w:val="24"/>
                <w:szCs w:val="24"/>
                <w:highlight w:val="none"/>
                <w:lang w:eastAsia="zh-CN"/>
              </w:rPr>
              <w:t>）</w:t>
            </w:r>
            <w:r>
              <w:rPr>
                <w:rFonts w:hint="eastAsia"/>
                <w:color w:val="auto"/>
                <w:sz w:val="24"/>
                <w:szCs w:val="24"/>
                <w:highlight w:val="none"/>
              </w:rPr>
              <w:t>。</w:t>
            </w:r>
          </w:p>
        </w:tc>
      </w:tr>
      <w:tr w14:paraId="2F5F1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90" w:type="dxa"/>
            <w:vAlign w:val="center"/>
          </w:tcPr>
          <w:p w14:paraId="66BFED52">
            <w:pPr>
              <w:tabs>
                <w:tab w:val="left" w:pos="0"/>
              </w:tabs>
              <w:jc w:val="center"/>
              <w:rPr>
                <w:sz w:val="24"/>
                <w:szCs w:val="24"/>
              </w:rPr>
            </w:pPr>
            <w:r>
              <w:rPr>
                <w:rFonts w:hint="eastAsia"/>
                <w:sz w:val="24"/>
                <w:szCs w:val="24"/>
              </w:rPr>
              <w:t>专职安全员</w:t>
            </w:r>
          </w:p>
        </w:tc>
        <w:tc>
          <w:tcPr>
            <w:tcW w:w="861" w:type="dxa"/>
            <w:vAlign w:val="center"/>
          </w:tcPr>
          <w:p w14:paraId="7E71E6FB">
            <w:pPr>
              <w:tabs>
                <w:tab w:val="left" w:pos="0"/>
              </w:tabs>
              <w:jc w:val="center"/>
              <w:rPr>
                <w:rFonts w:hint="eastAsia" w:eastAsia="宋体"/>
                <w:color w:val="auto"/>
                <w:sz w:val="24"/>
                <w:szCs w:val="24"/>
                <w:lang w:eastAsia="zh-CN"/>
              </w:rPr>
            </w:pPr>
            <w:r>
              <w:rPr>
                <w:rFonts w:hint="eastAsia" w:eastAsia="宋体"/>
                <w:color w:val="auto"/>
                <w:sz w:val="24"/>
                <w:szCs w:val="24"/>
                <w:lang w:val="en-US" w:eastAsia="zh-CN"/>
              </w:rPr>
              <w:t>4</w:t>
            </w:r>
          </w:p>
        </w:tc>
        <w:tc>
          <w:tcPr>
            <w:tcW w:w="7503" w:type="dxa"/>
            <w:vAlign w:val="center"/>
          </w:tcPr>
          <w:p w14:paraId="7E881385">
            <w:pPr>
              <w:tabs>
                <w:tab w:val="left" w:pos="0"/>
              </w:tabs>
              <w:jc w:val="left"/>
              <w:rPr>
                <w:color w:val="auto"/>
                <w:sz w:val="24"/>
                <w:szCs w:val="24"/>
              </w:rPr>
            </w:pPr>
            <w:r>
              <w:rPr>
                <w:rFonts w:hint="eastAsia"/>
                <w:color w:val="auto"/>
                <w:sz w:val="24"/>
                <w:szCs w:val="24"/>
              </w:rPr>
              <w:t>具有省级（或以上）交通主管部门颁发或建设主管部门颁发的有效安全生产“三类人员”</w:t>
            </w:r>
            <w:r>
              <w:rPr>
                <w:color w:val="auto"/>
                <w:sz w:val="24"/>
                <w:szCs w:val="24"/>
              </w:rPr>
              <w:t>C</w:t>
            </w:r>
            <w:r>
              <w:rPr>
                <w:rFonts w:hint="eastAsia"/>
                <w:color w:val="auto"/>
                <w:sz w:val="24"/>
                <w:szCs w:val="24"/>
              </w:rPr>
              <w:t>类证书”，A、B、C</w:t>
            </w:r>
            <w:r>
              <w:rPr>
                <w:rFonts w:hint="eastAsia" w:eastAsia="宋体"/>
                <w:color w:val="auto"/>
                <w:sz w:val="24"/>
                <w:szCs w:val="24"/>
                <w:lang w:eastAsia="zh-CN"/>
              </w:rPr>
              <w:t>、</w:t>
            </w:r>
            <w:r>
              <w:rPr>
                <w:rFonts w:hint="eastAsia" w:eastAsia="宋体"/>
                <w:color w:val="auto"/>
                <w:sz w:val="24"/>
                <w:szCs w:val="24"/>
                <w:lang w:val="en-US" w:eastAsia="zh-CN"/>
              </w:rPr>
              <w:t>D</w:t>
            </w:r>
            <w:r>
              <w:rPr>
                <w:rFonts w:hint="eastAsia"/>
                <w:color w:val="auto"/>
                <w:sz w:val="24"/>
                <w:szCs w:val="24"/>
              </w:rPr>
              <w:t>各段至少安排1名专职安全员</w:t>
            </w:r>
          </w:p>
        </w:tc>
      </w:tr>
      <w:tr w14:paraId="107F2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490" w:type="dxa"/>
            <w:vAlign w:val="center"/>
          </w:tcPr>
          <w:p w14:paraId="3CC78A5D">
            <w:pPr>
              <w:tabs>
                <w:tab w:val="left" w:pos="0"/>
              </w:tabs>
              <w:jc w:val="center"/>
              <w:rPr>
                <w:sz w:val="24"/>
                <w:szCs w:val="24"/>
              </w:rPr>
            </w:pPr>
            <w:r>
              <w:rPr>
                <w:rFonts w:hint="eastAsia"/>
                <w:sz w:val="24"/>
                <w:szCs w:val="24"/>
              </w:rPr>
              <w:t>资料员</w:t>
            </w:r>
          </w:p>
        </w:tc>
        <w:tc>
          <w:tcPr>
            <w:tcW w:w="861" w:type="dxa"/>
            <w:vAlign w:val="center"/>
          </w:tcPr>
          <w:p w14:paraId="43E22DDC">
            <w:pPr>
              <w:tabs>
                <w:tab w:val="left" w:pos="0"/>
              </w:tabs>
              <w:jc w:val="center"/>
              <w:rPr>
                <w:sz w:val="24"/>
                <w:szCs w:val="24"/>
              </w:rPr>
            </w:pPr>
            <w:r>
              <w:rPr>
                <w:sz w:val="24"/>
                <w:szCs w:val="24"/>
              </w:rPr>
              <w:t>1</w:t>
            </w:r>
          </w:p>
        </w:tc>
        <w:tc>
          <w:tcPr>
            <w:tcW w:w="7503" w:type="dxa"/>
            <w:vAlign w:val="center"/>
          </w:tcPr>
          <w:p w14:paraId="170F9AB8">
            <w:pPr>
              <w:tabs>
                <w:tab w:val="left" w:pos="0"/>
              </w:tabs>
              <w:jc w:val="left"/>
              <w:rPr>
                <w:sz w:val="24"/>
                <w:szCs w:val="24"/>
              </w:rPr>
            </w:pPr>
            <w:r>
              <w:rPr>
                <w:rFonts w:hint="eastAsia"/>
                <w:sz w:val="24"/>
                <w:szCs w:val="24"/>
              </w:rPr>
              <w:t>具有助理工程师或以上职称</w:t>
            </w:r>
            <w:r>
              <w:rPr>
                <w:rFonts w:hAnsi="FZZhengHeiS-DB-GB"/>
                <w:b/>
                <w:bCs/>
                <w:color w:val="FFFFFF"/>
                <w:sz w:val="24"/>
                <w:szCs w:val="24"/>
                <w:shd w:val="clear" w:color="auto" w:fill="FFFFFF"/>
              </w:rPr>
              <w:t>与应急平台</w:t>
            </w:r>
          </w:p>
        </w:tc>
      </w:tr>
    </w:tbl>
    <w:p w14:paraId="1000F460">
      <w:pPr>
        <w:tabs>
          <w:tab w:val="left" w:pos="0"/>
        </w:tabs>
        <w:rPr>
          <w:rFonts w:ascii="宋体" w:hAnsi="宋体" w:cs="宋体"/>
          <w:b/>
          <w:bCs/>
          <w:sz w:val="24"/>
          <w:szCs w:val="24"/>
        </w:rPr>
      </w:pPr>
    </w:p>
    <w:p w14:paraId="09D8E784">
      <w:pPr>
        <w:pStyle w:val="4"/>
        <w:rPr>
          <w:rFonts w:ascii="宋体" w:hAnsi="宋体" w:cs="宋体"/>
          <w:sz w:val="21"/>
          <w:szCs w:val="21"/>
          <w:lang w:eastAsia="zh-CN"/>
        </w:rPr>
      </w:pPr>
      <w:bookmarkStart w:id="223" w:name="_Toc11419"/>
      <w:bookmarkStart w:id="224" w:name="_Toc13216"/>
      <w:bookmarkStart w:id="225" w:name="_Toc15156"/>
      <w:r>
        <w:rPr>
          <w:rFonts w:hint="eastAsia" w:ascii="宋体" w:hAnsi="宋体" w:cs="宋体"/>
          <w:b w:val="0"/>
          <w:bCs w:val="0"/>
          <w:sz w:val="24"/>
          <w:szCs w:val="24"/>
          <w:lang w:eastAsia="zh-CN"/>
        </w:rPr>
        <w:t>注：采购人将在签订合同之前要求中标人按照本表的最低要求填报派驻本标段的主要管理人员和技术人员，在经采购人审批后，作为派驻本标段的项目管理机构主要人员</w:t>
      </w:r>
      <w:r>
        <w:rPr>
          <w:rFonts w:hint="eastAsia" w:ascii="宋体" w:hAnsi="宋体" w:cs="宋体"/>
          <w:b w:val="0"/>
          <w:bCs w:val="0"/>
          <w:sz w:val="21"/>
          <w:szCs w:val="21"/>
          <w:lang w:eastAsia="zh-CN"/>
        </w:rPr>
        <w:t>。</w:t>
      </w:r>
      <w:bookmarkEnd w:id="223"/>
      <w:bookmarkEnd w:id="224"/>
      <w:bookmarkEnd w:id="225"/>
    </w:p>
    <w:p w14:paraId="74023D2D">
      <w:pPr>
        <w:spacing w:line="264" w:lineRule="auto"/>
        <w:rPr>
          <w:rFonts w:ascii="宋体" w:hAnsi="宋体" w:cs="宋体"/>
          <w:sz w:val="24"/>
          <w:szCs w:val="24"/>
        </w:rPr>
        <w:sectPr>
          <w:headerReference r:id="rId23" w:type="default"/>
          <w:footerReference r:id="rId24" w:type="default"/>
          <w:pgSz w:w="11905" w:h="16838"/>
          <w:pgMar w:top="1440" w:right="1134" w:bottom="1440" w:left="1134" w:header="0" w:footer="720" w:gutter="0"/>
          <w:pgNumType w:fmt="decimal"/>
          <w:cols w:space="0" w:num="1"/>
          <w:rtlGutter w:val="0"/>
          <w:docGrid w:linePitch="0" w:charSpace="0"/>
        </w:sectPr>
      </w:pPr>
    </w:p>
    <w:p w14:paraId="67901975">
      <w:pPr>
        <w:pStyle w:val="4"/>
        <w:spacing w:before="0" w:after="0" w:line="240" w:lineRule="auto"/>
        <w:rPr>
          <w:rFonts w:ascii="宋体" w:hAnsi="宋体" w:cs="宋体"/>
          <w:sz w:val="12"/>
          <w:szCs w:val="12"/>
        </w:rPr>
      </w:pPr>
      <w:bookmarkStart w:id="226" w:name="_Toc24260"/>
      <w:bookmarkStart w:id="227" w:name="_Toc15365"/>
      <w:r>
        <w:rPr>
          <w:rFonts w:hint="eastAsia" w:ascii="宋体" w:hAnsi="宋体" w:cs="宋体"/>
          <w:lang w:eastAsia="zh-CN"/>
        </w:rPr>
        <w:t>附件四、  主要机械设备和试验检测设备</w:t>
      </w:r>
      <w:bookmarkEnd w:id="226"/>
      <w:bookmarkEnd w:id="227"/>
    </w:p>
    <w:p w14:paraId="46E8AADF">
      <w:pPr>
        <w:spacing w:line="147" w:lineRule="exact"/>
      </w:pPr>
    </w:p>
    <w:tbl>
      <w:tblPr>
        <w:tblStyle w:val="25"/>
        <w:tblW w:w="975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97"/>
        <w:gridCol w:w="1423"/>
        <w:gridCol w:w="886"/>
        <w:gridCol w:w="730"/>
        <w:gridCol w:w="738"/>
        <w:gridCol w:w="942"/>
        <w:gridCol w:w="618"/>
        <w:gridCol w:w="739"/>
        <w:gridCol w:w="470"/>
        <w:gridCol w:w="563"/>
        <w:gridCol w:w="647"/>
        <w:gridCol w:w="1299"/>
      </w:tblGrid>
      <w:tr w14:paraId="03FC26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Header/>
          <w:jc w:val="center"/>
        </w:trPr>
        <w:tc>
          <w:tcPr>
            <w:tcW w:w="697" w:type="dxa"/>
            <w:vMerge w:val="restart"/>
            <w:tcBorders>
              <w:bottom w:val="nil"/>
            </w:tcBorders>
          </w:tcPr>
          <w:p w14:paraId="67C9FB02">
            <w:pPr>
              <w:pStyle w:val="29"/>
              <w:tabs>
                <w:tab w:val="left" w:pos="0"/>
              </w:tabs>
              <w:snapToGrid w:val="0"/>
              <w:spacing w:line="322" w:lineRule="auto"/>
              <w:rPr>
                <w:lang w:eastAsia="zh-CN"/>
              </w:rPr>
            </w:pPr>
          </w:p>
          <w:p w14:paraId="0BF4006A">
            <w:pPr>
              <w:pStyle w:val="29"/>
              <w:tabs>
                <w:tab w:val="left" w:pos="0"/>
              </w:tabs>
              <w:snapToGrid w:val="0"/>
              <w:spacing w:line="323" w:lineRule="auto"/>
              <w:rPr>
                <w:lang w:eastAsia="zh-CN"/>
              </w:rPr>
            </w:pPr>
          </w:p>
          <w:p w14:paraId="07BDD450">
            <w:pPr>
              <w:snapToGrid w:val="0"/>
              <w:spacing w:before="78" w:line="221" w:lineRule="auto"/>
              <w:ind w:left="168"/>
              <w:rPr>
                <w:rFonts w:ascii="宋体" w:hAnsi="宋体" w:cs="宋体"/>
                <w:sz w:val="24"/>
              </w:rPr>
            </w:pPr>
            <w:r>
              <w:rPr>
                <w:rFonts w:ascii="宋体" w:hAnsi="宋体" w:cs="宋体"/>
                <w:spacing w:val="-5"/>
                <w:sz w:val="24"/>
              </w:rPr>
              <w:t>序号</w:t>
            </w:r>
          </w:p>
        </w:tc>
        <w:tc>
          <w:tcPr>
            <w:tcW w:w="1423" w:type="dxa"/>
            <w:vMerge w:val="restart"/>
            <w:tcBorders>
              <w:bottom w:val="nil"/>
            </w:tcBorders>
          </w:tcPr>
          <w:p w14:paraId="568AB910">
            <w:pPr>
              <w:pStyle w:val="29"/>
              <w:tabs>
                <w:tab w:val="left" w:pos="0"/>
              </w:tabs>
              <w:snapToGrid w:val="0"/>
              <w:spacing w:line="448" w:lineRule="auto"/>
            </w:pPr>
          </w:p>
          <w:p w14:paraId="2C2AFFE4">
            <w:pPr>
              <w:snapToGrid w:val="0"/>
              <w:spacing w:before="78" w:line="311" w:lineRule="auto"/>
              <w:ind w:left="419" w:right="175" w:hanging="235"/>
              <w:rPr>
                <w:rFonts w:ascii="宋体" w:hAnsi="宋体" w:cs="宋体"/>
                <w:sz w:val="24"/>
              </w:rPr>
            </w:pPr>
            <w:r>
              <w:rPr>
                <w:rFonts w:ascii="宋体" w:hAnsi="宋体" w:cs="宋体"/>
                <w:spacing w:val="-5"/>
                <w:sz w:val="24"/>
              </w:rPr>
              <w:t>设备名</w:t>
            </w:r>
            <w:r>
              <w:rPr>
                <w:rFonts w:ascii="宋体" w:hAnsi="宋体" w:cs="宋体"/>
                <w:sz w:val="24"/>
              </w:rPr>
              <w:t>称</w:t>
            </w:r>
          </w:p>
        </w:tc>
        <w:tc>
          <w:tcPr>
            <w:tcW w:w="886" w:type="dxa"/>
            <w:vMerge w:val="restart"/>
            <w:tcBorders>
              <w:bottom w:val="nil"/>
            </w:tcBorders>
          </w:tcPr>
          <w:p w14:paraId="7BE5146B">
            <w:pPr>
              <w:pStyle w:val="29"/>
              <w:tabs>
                <w:tab w:val="left" w:pos="0"/>
              </w:tabs>
              <w:snapToGrid w:val="0"/>
              <w:spacing w:line="448" w:lineRule="auto"/>
            </w:pPr>
          </w:p>
          <w:p w14:paraId="21BFFCE6">
            <w:pPr>
              <w:snapToGrid w:val="0"/>
              <w:spacing w:before="78" w:line="310" w:lineRule="auto"/>
              <w:ind w:left="139" w:right="129" w:firstLine="6"/>
              <w:rPr>
                <w:rFonts w:ascii="宋体" w:hAnsi="宋体" w:cs="宋体"/>
                <w:sz w:val="24"/>
              </w:rPr>
            </w:pPr>
            <w:r>
              <w:rPr>
                <w:rFonts w:ascii="宋体" w:hAnsi="宋体" w:cs="宋体"/>
                <w:spacing w:val="-9"/>
                <w:sz w:val="24"/>
              </w:rPr>
              <w:t>型号</w:t>
            </w:r>
            <w:r>
              <w:rPr>
                <w:rFonts w:ascii="宋体" w:hAnsi="宋体" w:cs="宋体"/>
                <w:spacing w:val="-6"/>
                <w:sz w:val="24"/>
              </w:rPr>
              <w:t>规格</w:t>
            </w:r>
          </w:p>
        </w:tc>
        <w:tc>
          <w:tcPr>
            <w:tcW w:w="730" w:type="dxa"/>
            <w:vMerge w:val="restart"/>
            <w:tcBorders>
              <w:bottom w:val="nil"/>
            </w:tcBorders>
            <w:textDirection w:val="tbRlV"/>
          </w:tcPr>
          <w:p w14:paraId="5C31DC94">
            <w:pPr>
              <w:snapToGrid w:val="0"/>
              <w:spacing w:before="204" w:line="208" w:lineRule="auto"/>
              <w:ind w:left="127"/>
              <w:rPr>
                <w:rFonts w:ascii="宋体" w:hAnsi="宋体" w:cs="宋体"/>
                <w:sz w:val="24"/>
              </w:rPr>
            </w:pPr>
            <w:r>
              <w:rPr>
                <w:rFonts w:ascii="宋体" w:hAnsi="宋体" w:cs="宋体"/>
                <w:spacing w:val="-1"/>
                <w:sz w:val="24"/>
              </w:rPr>
              <w:t>国</w:t>
            </w:r>
            <w:r>
              <w:rPr>
                <w:rFonts w:ascii="宋体" w:hAnsi="宋体" w:cs="宋体"/>
                <w:spacing w:val="43"/>
                <w:sz w:val="24"/>
              </w:rPr>
              <w:t xml:space="preserve"> </w:t>
            </w:r>
            <w:r>
              <w:rPr>
                <w:rFonts w:ascii="宋体" w:hAnsi="宋体" w:cs="宋体"/>
                <w:spacing w:val="-1"/>
                <w:sz w:val="24"/>
              </w:rPr>
              <w:t>别</w:t>
            </w:r>
            <w:r>
              <w:rPr>
                <w:rFonts w:ascii="宋体" w:hAnsi="宋体" w:cs="宋体"/>
                <w:spacing w:val="41"/>
                <w:sz w:val="24"/>
              </w:rPr>
              <w:t xml:space="preserve"> </w:t>
            </w:r>
            <w:r>
              <w:rPr>
                <w:rFonts w:ascii="宋体" w:hAnsi="宋体" w:cs="宋体"/>
                <w:spacing w:val="-1"/>
                <w:sz w:val="24"/>
              </w:rPr>
              <w:t>产</w:t>
            </w:r>
            <w:r>
              <w:rPr>
                <w:rFonts w:ascii="宋体" w:hAnsi="宋体" w:cs="宋体"/>
                <w:spacing w:val="39"/>
                <w:sz w:val="24"/>
              </w:rPr>
              <w:t xml:space="preserve"> </w:t>
            </w:r>
            <w:r>
              <w:rPr>
                <w:rFonts w:ascii="宋体" w:hAnsi="宋体" w:cs="宋体"/>
                <w:spacing w:val="-1"/>
                <w:sz w:val="24"/>
              </w:rPr>
              <w:t>地</w:t>
            </w:r>
          </w:p>
        </w:tc>
        <w:tc>
          <w:tcPr>
            <w:tcW w:w="738" w:type="dxa"/>
            <w:vMerge w:val="restart"/>
            <w:tcBorders>
              <w:bottom w:val="nil"/>
            </w:tcBorders>
            <w:textDirection w:val="tbRlV"/>
          </w:tcPr>
          <w:p w14:paraId="48FCE246">
            <w:pPr>
              <w:snapToGrid w:val="0"/>
              <w:spacing w:before="197" w:line="209" w:lineRule="auto"/>
              <w:ind w:left="127"/>
              <w:rPr>
                <w:rFonts w:ascii="宋体" w:hAnsi="宋体" w:cs="宋体"/>
                <w:sz w:val="24"/>
              </w:rPr>
            </w:pPr>
            <w:r>
              <w:rPr>
                <w:rFonts w:ascii="宋体" w:hAnsi="宋体" w:cs="宋体"/>
                <w:spacing w:val="-1"/>
                <w:sz w:val="24"/>
              </w:rPr>
              <w:t>制</w:t>
            </w:r>
            <w:r>
              <w:rPr>
                <w:rFonts w:ascii="宋体" w:hAnsi="宋体" w:cs="宋体"/>
                <w:spacing w:val="43"/>
                <w:sz w:val="24"/>
              </w:rPr>
              <w:t xml:space="preserve"> </w:t>
            </w:r>
            <w:r>
              <w:rPr>
                <w:rFonts w:ascii="宋体" w:hAnsi="宋体" w:cs="宋体"/>
                <w:spacing w:val="-1"/>
                <w:sz w:val="24"/>
              </w:rPr>
              <w:t>造</w:t>
            </w:r>
            <w:r>
              <w:rPr>
                <w:rFonts w:ascii="宋体" w:hAnsi="宋体" w:cs="宋体"/>
                <w:spacing w:val="41"/>
                <w:sz w:val="24"/>
              </w:rPr>
              <w:t xml:space="preserve"> </w:t>
            </w:r>
            <w:r>
              <w:rPr>
                <w:rFonts w:ascii="宋体" w:hAnsi="宋体" w:cs="宋体"/>
                <w:spacing w:val="-1"/>
                <w:sz w:val="24"/>
              </w:rPr>
              <w:t>年</w:t>
            </w:r>
            <w:r>
              <w:rPr>
                <w:rFonts w:ascii="宋体" w:hAnsi="宋体" w:cs="宋体"/>
                <w:spacing w:val="39"/>
                <w:sz w:val="24"/>
              </w:rPr>
              <w:t xml:space="preserve"> </w:t>
            </w:r>
            <w:r>
              <w:rPr>
                <w:rFonts w:ascii="宋体" w:hAnsi="宋体" w:cs="宋体"/>
                <w:spacing w:val="-1"/>
                <w:sz w:val="24"/>
              </w:rPr>
              <w:t>份</w:t>
            </w:r>
          </w:p>
        </w:tc>
        <w:tc>
          <w:tcPr>
            <w:tcW w:w="942" w:type="dxa"/>
            <w:vMerge w:val="restart"/>
            <w:tcBorders>
              <w:bottom w:val="nil"/>
            </w:tcBorders>
          </w:tcPr>
          <w:p w14:paraId="73075A71">
            <w:pPr>
              <w:pStyle w:val="29"/>
              <w:tabs>
                <w:tab w:val="left" w:pos="0"/>
              </w:tabs>
              <w:snapToGrid w:val="0"/>
              <w:spacing w:line="250" w:lineRule="auto"/>
            </w:pPr>
          </w:p>
          <w:p w14:paraId="63EDC958">
            <w:pPr>
              <w:snapToGrid w:val="0"/>
              <w:spacing w:before="78" w:line="307" w:lineRule="auto"/>
              <w:ind w:left="411" w:right="156" w:hanging="241"/>
              <w:rPr>
                <w:rFonts w:ascii="宋体" w:hAnsi="宋体" w:cs="宋体"/>
                <w:sz w:val="24"/>
              </w:rPr>
            </w:pPr>
            <w:r>
              <w:rPr>
                <w:rFonts w:ascii="宋体" w:hAnsi="宋体" w:cs="宋体"/>
                <w:spacing w:val="-4"/>
                <w:sz w:val="24"/>
              </w:rPr>
              <w:t>额定功</w:t>
            </w:r>
            <w:r>
              <w:rPr>
                <w:rFonts w:ascii="宋体" w:hAnsi="宋体" w:cs="宋体"/>
                <w:sz w:val="24"/>
              </w:rPr>
              <w:t>率</w:t>
            </w:r>
          </w:p>
          <w:p w14:paraId="3466D89D">
            <w:pPr>
              <w:snapToGrid w:val="0"/>
              <w:spacing w:line="231" w:lineRule="auto"/>
              <w:ind w:left="127"/>
              <w:rPr>
                <w:rFonts w:ascii="宋体" w:hAnsi="宋体" w:cs="宋体"/>
                <w:sz w:val="24"/>
              </w:rPr>
            </w:pPr>
            <w:r>
              <w:rPr>
                <w:rFonts w:ascii="宋体" w:hAnsi="宋体" w:cs="宋体"/>
                <w:spacing w:val="-6"/>
                <w:sz w:val="24"/>
              </w:rPr>
              <w:t>（</w:t>
            </w:r>
            <w:r>
              <w:rPr>
                <w:rFonts w:eastAsia="Times New Roman"/>
                <w:spacing w:val="-6"/>
                <w:sz w:val="24"/>
              </w:rPr>
              <w:t>kW</w:t>
            </w:r>
            <w:r>
              <w:rPr>
                <w:rFonts w:ascii="宋体" w:hAnsi="宋体" w:cs="宋体"/>
                <w:spacing w:val="-6"/>
                <w:sz w:val="24"/>
              </w:rPr>
              <w:t>）</w:t>
            </w:r>
          </w:p>
        </w:tc>
        <w:tc>
          <w:tcPr>
            <w:tcW w:w="618" w:type="dxa"/>
            <w:vMerge w:val="restart"/>
            <w:tcBorders>
              <w:bottom w:val="nil"/>
            </w:tcBorders>
            <w:textDirection w:val="tbRlV"/>
          </w:tcPr>
          <w:p w14:paraId="75461B78">
            <w:pPr>
              <w:snapToGrid w:val="0"/>
              <w:spacing w:before="190" w:line="208" w:lineRule="auto"/>
              <w:ind w:left="127"/>
              <w:rPr>
                <w:rFonts w:ascii="宋体" w:hAnsi="宋体" w:cs="宋体"/>
                <w:sz w:val="24"/>
              </w:rPr>
            </w:pPr>
            <w:r>
              <w:rPr>
                <w:rFonts w:ascii="宋体" w:hAnsi="宋体" w:cs="宋体"/>
                <w:spacing w:val="-1"/>
                <w:sz w:val="24"/>
              </w:rPr>
              <w:t>生</w:t>
            </w:r>
            <w:r>
              <w:rPr>
                <w:rFonts w:ascii="宋体" w:hAnsi="宋体" w:cs="宋体"/>
                <w:spacing w:val="43"/>
                <w:sz w:val="24"/>
              </w:rPr>
              <w:t xml:space="preserve"> </w:t>
            </w:r>
            <w:r>
              <w:rPr>
                <w:rFonts w:ascii="宋体" w:hAnsi="宋体" w:cs="宋体"/>
                <w:spacing w:val="-1"/>
                <w:sz w:val="24"/>
              </w:rPr>
              <w:t>产</w:t>
            </w:r>
            <w:r>
              <w:rPr>
                <w:rFonts w:ascii="宋体" w:hAnsi="宋体" w:cs="宋体"/>
                <w:spacing w:val="41"/>
                <w:sz w:val="24"/>
              </w:rPr>
              <w:t xml:space="preserve"> </w:t>
            </w:r>
            <w:r>
              <w:rPr>
                <w:rFonts w:ascii="宋体" w:hAnsi="宋体" w:cs="宋体"/>
                <w:spacing w:val="-1"/>
                <w:sz w:val="24"/>
              </w:rPr>
              <w:t>能</w:t>
            </w:r>
            <w:r>
              <w:rPr>
                <w:rFonts w:ascii="宋体" w:hAnsi="宋体" w:cs="宋体"/>
                <w:spacing w:val="39"/>
                <w:sz w:val="24"/>
              </w:rPr>
              <w:t xml:space="preserve"> </w:t>
            </w:r>
            <w:r>
              <w:rPr>
                <w:rFonts w:ascii="宋体" w:hAnsi="宋体" w:cs="宋体"/>
                <w:spacing w:val="-1"/>
                <w:sz w:val="24"/>
              </w:rPr>
              <w:t>力</w:t>
            </w:r>
          </w:p>
        </w:tc>
        <w:tc>
          <w:tcPr>
            <w:tcW w:w="2419" w:type="dxa"/>
            <w:gridSpan w:val="4"/>
          </w:tcPr>
          <w:p w14:paraId="604C217C">
            <w:pPr>
              <w:snapToGrid w:val="0"/>
              <w:spacing w:before="127" w:line="209" w:lineRule="auto"/>
              <w:ind w:left="458"/>
              <w:rPr>
                <w:rFonts w:ascii="宋体" w:hAnsi="宋体" w:cs="宋体"/>
                <w:sz w:val="24"/>
              </w:rPr>
            </w:pPr>
            <w:r>
              <w:rPr>
                <w:rFonts w:ascii="宋体" w:hAnsi="宋体" w:cs="宋体"/>
                <w:spacing w:val="-3"/>
                <w:sz w:val="24"/>
              </w:rPr>
              <w:t>数量（台）</w:t>
            </w:r>
          </w:p>
        </w:tc>
        <w:tc>
          <w:tcPr>
            <w:tcW w:w="1299" w:type="dxa"/>
            <w:vMerge w:val="restart"/>
            <w:tcBorders>
              <w:bottom w:val="nil"/>
            </w:tcBorders>
          </w:tcPr>
          <w:p w14:paraId="3194B6CA">
            <w:pPr>
              <w:pStyle w:val="29"/>
              <w:tabs>
                <w:tab w:val="left" w:pos="0"/>
              </w:tabs>
              <w:snapToGrid w:val="0"/>
              <w:spacing w:line="251" w:lineRule="auto"/>
            </w:pPr>
          </w:p>
          <w:p w14:paraId="1104CA62">
            <w:pPr>
              <w:snapToGrid w:val="0"/>
              <w:spacing w:before="78" w:line="309" w:lineRule="auto"/>
              <w:ind w:left="234" w:right="226" w:firstLine="3"/>
              <w:rPr>
                <w:rFonts w:ascii="宋体" w:hAnsi="宋体" w:cs="宋体"/>
                <w:sz w:val="24"/>
              </w:rPr>
            </w:pPr>
            <w:r>
              <w:rPr>
                <w:rFonts w:ascii="宋体" w:hAnsi="宋体" w:cs="宋体"/>
                <w:spacing w:val="-6"/>
                <w:sz w:val="24"/>
              </w:rPr>
              <w:t>预计</w:t>
            </w:r>
            <w:r>
              <w:rPr>
                <w:rFonts w:ascii="宋体" w:hAnsi="宋体" w:cs="宋体"/>
                <w:spacing w:val="-4"/>
                <w:sz w:val="24"/>
              </w:rPr>
              <w:t>进场时间</w:t>
            </w:r>
          </w:p>
        </w:tc>
      </w:tr>
      <w:tr w14:paraId="115536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Header/>
          <w:jc w:val="center"/>
        </w:trPr>
        <w:tc>
          <w:tcPr>
            <w:tcW w:w="697" w:type="dxa"/>
            <w:vMerge w:val="continue"/>
            <w:tcBorders>
              <w:top w:val="nil"/>
              <w:bottom w:val="nil"/>
            </w:tcBorders>
          </w:tcPr>
          <w:p w14:paraId="19EBB5C7">
            <w:pPr>
              <w:pStyle w:val="29"/>
              <w:tabs>
                <w:tab w:val="left" w:pos="0"/>
              </w:tabs>
              <w:snapToGrid w:val="0"/>
            </w:pPr>
          </w:p>
        </w:tc>
        <w:tc>
          <w:tcPr>
            <w:tcW w:w="1423" w:type="dxa"/>
            <w:vMerge w:val="continue"/>
            <w:tcBorders>
              <w:top w:val="nil"/>
              <w:bottom w:val="nil"/>
            </w:tcBorders>
          </w:tcPr>
          <w:p w14:paraId="54330230">
            <w:pPr>
              <w:pStyle w:val="29"/>
              <w:tabs>
                <w:tab w:val="left" w:pos="0"/>
              </w:tabs>
              <w:snapToGrid w:val="0"/>
            </w:pPr>
          </w:p>
        </w:tc>
        <w:tc>
          <w:tcPr>
            <w:tcW w:w="886" w:type="dxa"/>
            <w:vMerge w:val="continue"/>
            <w:tcBorders>
              <w:top w:val="nil"/>
              <w:bottom w:val="nil"/>
            </w:tcBorders>
          </w:tcPr>
          <w:p w14:paraId="1C10ED2A">
            <w:pPr>
              <w:pStyle w:val="29"/>
              <w:tabs>
                <w:tab w:val="left" w:pos="0"/>
              </w:tabs>
              <w:snapToGrid w:val="0"/>
            </w:pPr>
          </w:p>
        </w:tc>
        <w:tc>
          <w:tcPr>
            <w:tcW w:w="730" w:type="dxa"/>
            <w:vMerge w:val="continue"/>
            <w:tcBorders>
              <w:top w:val="nil"/>
              <w:bottom w:val="nil"/>
            </w:tcBorders>
            <w:textDirection w:val="tbRlV"/>
          </w:tcPr>
          <w:p w14:paraId="0F73EF58">
            <w:pPr>
              <w:pStyle w:val="29"/>
              <w:tabs>
                <w:tab w:val="left" w:pos="0"/>
              </w:tabs>
              <w:snapToGrid w:val="0"/>
            </w:pPr>
          </w:p>
        </w:tc>
        <w:tc>
          <w:tcPr>
            <w:tcW w:w="738" w:type="dxa"/>
            <w:vMerge w:val="continue"/>
            <w:tcBorders>
              <w:top w:val="nil"/>
              <w:bottom w:val="nil"/>
            </w:tcBorders>
            <w:textDirection w:val="tbRlV"/>
          </w:tcPr>
          <w:p w14:paraId="33B80B99">
            <w:pPr>
              <w:pStyle w:val="29"/>
              <w:tabs>
                <w:tab w:val="left" w:pos="0"/>
              </w:tabs>
              <w:snapToGrid w:val="0"/>
            </w:pPr>
          </w:p>
        </w:tc>
        <w:tc>
          <w:tcPr>
            <w:tcW w:w="942" w:type="dxa"/>
            <w:vMerge w:val="continue"/>
            <w:tcBorders>
              <w:top w:val="nil"/>
              <w:bottom w:val="nil"/>
            </w:tcBorders>
          </w:tcPr>
          <w:p w14:paraId="2325230A">
            <w:pPr>
              <w:pStyle w:val="29"/>
              <w:tabs>
                <w:tab w:val="left" w:pos="0"/>
              </w:tabs>
              <w:snapToGrid w:val="0"/>
            </w:pPr>
          </w:p>
        </w:tc>
        <w:tc>
          <w:tcPr>
            <w:tcW w:w="618" w:type="dxa"/>
            <w:vMerge w:val="continue"/>
            <w:tcBorders>
              <w:top w:val="nil"/>
              <w:bottom w:val="nil"/>
            </w:tcBorders>
            <w:textDirection w:val="tbRlV"/>
          </w:tcPr>
          <w:p w14:paraId="42BE01B0">
            <w:pPr>
              <w:pStyle w:val="29"/>
              <w:tabs>
                <w:tab w:val="left" w:pos="0"/>
              </w:tabs>
              <w:snapToGrid w:val="0"/>
            </w:pPr>
          </w:p>
        </w:tc>
        <w:tc>
          <w:tcPr>
            <w:tcW w:w="739" w:type="dxa"/>
            <w:vMerge w:val="restart"/>
            <w:tcBorders>
              <w:bottom w:val="nil"/>
            </w:tcBorders>
            <w:textDirection w:val="tbRlV"/>
          </w:tcPr>
          <w:p w14:paraId="37C9B2CC">
            <w:pPr>
              <w:snapToGrid w:val="0"/>
              <w:spacing w:before="104" w:line="209" w:lineRule="auto"/>
              <w:ind w:left="320"/>
              <w:rPr>
                <w:rFonts w:ascii="宋体" w:hAnsi="宋体" w:cs="宋体"/>
                <w:sz w:val="24"/>
              </w:rPr>
            </w:pPr>
            <w:r>
              <w:rPr>
                <w:rFonts w:ascii="宋体" w:hAnsi="宋体" w:cs="宋体"/>
                <w:spacing w:val="-1"/>
                <w:sz w:val="24"/>
              </w:rPr>
              <w:t>小</w:t>
            </w:r>
            <w:r>
              <w:rPr>
                <w:rFonts w:ascii="宋体" w:hAnsi="宋体" w:cs="宋体"/>
                <w:spacing w:val="39"/>
                <w:sz w:val="24"/>
              </w:rPr>
              <w:t xml:space="preserve"> </w:t>
            </w:r>
            <w:r>
              <w:rPr>
                <w:rFonts w:ascii="宋体" w:hAnsi="宋体" w:cs="宋体"/>
                <w:spacing w:val="-1"/>
                <w:sz w:val="24"/>
              </w:rPr>
              <w:t>计</w:t>
            </w:r>
          </w:p>
        </w:tc>
        <w:tc>
          <w:tcPr>
            <w:tcW w:w="1680" w:type="dxa"/>
            <w:gridSpan w:val="3"/>
          </w:tcPr>
          <w:p w14:paraId="3CFEA548">
            <w:pPr>
              <w:snapToGrid w:val="0"/>
              <w:spacing w:before="123" w:line="208" w:lineRule="auto"/>
              <w:ind w:left="469"/>
              <w:rPr>
                <w:rFonts w:ascii="宋体" w:hAnsi="宋体" w:cs="宋体"/>
                <w:sz w:val="24"/>
              </w:rPr>
            </w:pPr>
            <w:r>
              <w:rPr>
                <w:rFonts w:ascii="宋体" w:hAnsi="宋体" w:cs="宋体"/>
                <w:spacing w:val="-6"/>
                <w:sz w:val="24"/>
              </w:rPr>
              <w:t>其</w:t>
            </w:r>
            <w:r>
              <w:rPr>
                <w:rFonts w:ascii="宋体" w:hAnsi="宋体" w:cs="宋体"/>
                <w:spacing w:val="16"/>
                <w:sz w:val="24"/>
              </w:rPr>
              <w:t xml:space="preserve">  </w:t>
            </w:r>
            <w:r>
              <w:rPr>
                <w:rFonts w:ascii="宋体" w:hAnsi="宋体" w:cs="宋体"/>
                <w:spacing w:val="-6"/>
                <w:sz w:val="24"/>
              </w:rPr>
              <w:t>中</w:t>
            </w:r>
          </w:p>
        </w:tc>
        <w:tc>
          <w:tcPr>
            <w:tcW w:w="1299" w:type="dxa"/>
            <w:vMerge w:val="continue"/>
            <w:tcBorders>
              <w:top w:val="nil"/>
              <w:bottom w:val="nil"/>
            </w:tcBorders>
          </w:tcPr>
          <w:p w14:paraId="5ED36CDB">
            <w:pPr>
              <w:pStyle w:val="29"/>
              <w:tabs>
                <w:tab w:val="left" w:pos="0"/>
              </w:tabs>
              <w:snapToGrid w:val="0"/>
            </w:pPr>
          </w:p>
        </w:tc>
      </w:tr>
      <w:tr w14:paraId="20D5C4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blHeader/>
          <w:jc w:val="center"/>
        </w:trPr>
        <w:tc>
          <w:tcPr>
            <w:tcW w:w="697" w:type="dxa"/>
            <w:vMerge w:val="continue"/>
            <w:tcBorders>
              <w:top w:val="nil"/>
            </w:tcBorders>
          </w:tcPr>
          <w:p w14:paraId="0737133D">
            <w:pPr>
              <w:pStyle w:val="29"/>
              <w:tabs>
                <w:tab w:val="left" w:pos="0"/>
              </w:tabs>
              <w:snapToGrid w:val="0"/>
            </w:pPr>
          </w:p>
        </w:tc>
        <w:tc>
          <w:tcPr>
            <w:tcW w:w="1423" w:type="dxa"/>
            <w:vMerge w:val="continue"/>
            <w:tcBorders>
              <w:top w:val="nil"/>
            </w:tcBorders>
          </w:tcPr>
          <w:p w14:paraId="6D7B06F7">
            <w:pPr>
              <w:pStyle w:val="29"/>
              <w:tabs>
                <w:tab w:val="left" w:pos="0"/>
              </w:tabs>
              <w:snapToGrid w:val="0"/>
            </w:pPr>
          </w:p>
        </w:tc>
        <w:tc>
          <w:tcPr>
            <w:tcW w:w="886" w:type="dxa"/>
            <w:vMerge w:val="continue"/>
            <w:tcBorders>
              <w:top w:val="nil"/>
            </w:tcBorders>
          </w:tcPr>
          <w:p w14:paraId="1733BAF2">
            <w:pPr>
              <w:pStyle w:val="29"/>
              <w:tabs>
                <w:tab w:val="left" w:pos="0"/>
              </w:tabs>
              <w:snapToGrid w:val="0"/>
            </w:pPr>
          </w:p>
        </w:tc>
        <w:tc>
          <w:tcPr>
            <w:tcW w:w="730" w:type="dxa"/>
            <w:vMerge w:val="continue"/>
            <w:tcBorders>
              <w:top w:val="nil"/>
            </w:tcBorders>
            <w:textDirection w:val="tbRlV"/>
          </w:tcPr>
          <w:p w14:paraId="213FF4B4">
            <w:pPr>
              <w:pStyle w:val="29"/>
              <w:tabs>
                <w:tab w:val="left" w:pos="0"/>
              </w:tabs>
              <w:snapToGrid w:val="0"/>
            </w:pPr>
          </w:p>
        </w:tc>
        <w:tc>
          <w:tcPr>
            <w:tcW w:w="738" w:type="dxa"/>
            <w:vMerge w:val="continue"/>
            <w:tcBorders>
              <w:top w:val="nil"/>
            </w:tcBorders>
            <w:textDirection w:val="tbRlV"/>
          </w:tcPr>
          <w:p w14:paraId="1754A705">
            <w:pPr>
              <w:pStyle w:val="29"/>
              <w:tabs>
                <w:tab w:val="left" w:pos="0"/>
              </w:tabs>
              <w:snapToGrid w:val="0"/>
            </w:pPr>
          </w:p>
        </w:tc>
        <w:tc>
          <w:tcPr>
            <w:tcW w:w="942" w:type="dxa"/>
            <w:vMerge w:val="continue"/>
            <w:tcBorders>
              <w:top w:val="nil"/>
            </w:tcBorders>
          </w:tcPr>
          <w:p w14:paraId="050EFAD4">
            <w:pPr>
              <w:pStyle w:val="29"/>
              <w:tabs>
                <w:tab w:val="left" w:pos="0"/>
              </w:tabs>
              <w:snapToGrid w:val="0"/>
            </w:pPr>
          </w:p>
        </w:tc>
        <w:tc>
          <w:tcPr>
            <w:tcW w:w="618" w:type="dxa"/>
            <w:vMerge w:val="continue"/>
            <w:tcBorders>
              <w:top w:val="nil"/>
            </w:tcBorders>
            <w:textDirection w:val="tbRlV"/>
          </w:tcPr>
          <w:p w14:paraId="26016D09">
            <w:pPr>
              <w:pStyle w:val="29"/>
              <w:tabs>
                <w:tab w:val="left" w:pos="0"/>
              </w:tabs>
              <w:snapToGrid w:val="0"/>
            </w:pPr>
          </w:p>
        </w:tc>
        <w:tc>
          <w:tcPr>
            <w:tcW w:w="739" w:type="dxa"/>
            <w:vMerge w:val="continue"/>
            <w:tcBorders>
              <w:top w:val="nil"/>
            </w:tcBorders>
            <w:textDirection w:val="tbRlV"/>
          </w:tcPr>
          <w:p w14:paraId="0350BCC5">
            <w:pPr>
              <w:pStyle w:val="29"/>
              <w:tabs>
                <w:tab w:val="left" w:pos="0"/>
              </w:tabs>
              <w:snapToGrid w:val="0"/>
            </w:pPr>
          </w:p>
        </w:tc>
        <w:tc>
          <w:tcPr>
            <w:tcW w:w="470" w:type="dxa"/>
          </w:tcPr>
          <w:p w14:paraId="08D11E77">
            <w:pPr>
              <w:snapToGrid w:val="0"/>
              <w:spacing w:before="315" w:line="220" w:lineRule="auto"/>
              <w:ind w:left="80"/>
              <w:rPr>
                <w:rFonts w:ascii="宋体" w:hAnsi="宋体" w:cs="宋体"/>
                <w:sz w:val="24"/>
              </w:rPr>
            </w:pPr>
            <w:r>
              <w:rPr>
                <w:rFonts w:ascii="宋体" w:hAnsi="宋体" w:cs="宋体"/>
                <w:spacing w:val="-25"/>
                <w:sz w:val="24"/>
              </w:rPr>
              <w:t>自有</w:t>
            </w:r>
          </w:p>
        </w:tc>
        <w:tc>
          <w:tcPr>
            <w:tcW w:w="563" w:type="dxa"/>
          </w:tcPr>
          <w:p w14:paraId="0A47B1D3">
            <w:pPr>
              <w:snapToGrid w:val="0"/>
              <w:spacing w:before="315" w:line="220" w:lineRule="auto"/>
              <w:ind w:left="43"/>
              <w:rPr>
                <w:rFonts w:ascii="宋体" w:hAnsi="宋体" w:cs="宋体"/>
                <w:sz w:val="24"/>
              </w:rPr>
            </w:pPr>
            <w:r>
              <w:rPr>
                <w:rFonts w:ascii="宋体" w:hAnsi="宋体" w:cs="宋体"/>
                <w:spacing w:val="-6"/>
                <w:sz w:val="24"/>
              </w:rPr>
              <w:t>新购</w:t>
            </w:r>
          </w:p>
        </w:tc>
        <w:tc>
          <w:tcPr>
            <w:tcW w:w="647" w:type="dxa"/>
          </w:tcPr>
          <w:p w14:paraId="786B21C2">
            <w:pPr>
              <w:snapToGrid w:val="0"/>
              <w:spacing w:before="315" w:line="220" w:lineRule="auto"/>
              <w:ind w:left="45"/>
              <w:rPr>
                <w:rFonts w:ascii="宋体" w:hAnsi="宋体" w:cs="宋体"/>
                <w:sz w:val="24"/>
              </w:rPr>
            </w:pPr>
            <w:r>
              <w:rPr>
                <w:rFonts w:ascii="宋体" w:hAnsi="宋体" w:cs="宋体"/>
                <w:spacing w:val="-6"/>
                <w:sz w:val="24"/>
              </w:rPr>
              <w:t>租赁</w:t>
            </w:r>
          </w:p>
        </w:tc>
        <w:tc>
          <w:tcPr>
            <w:tcW w:w="1299" w:type="dxa"/>
            <w:vMerge w:val="continue"/>
            <w:tcBorders>
              <w:top w:val="nil"/>
            </w:tcBorders>
          </w:tcPr>
          <w:p w14:paraId="129A9669">
            <w:pPr>
              <w:pStyle w:val="29"/>
              <w:tabs>
                <w:tab w:val="left" w:pos="0"/>
              </w:tabs>
              <w:snapToGrid w:val="0"/>
            </w:pPr>
          </w:p>
        </w:tc>
      </w:tr>
      <w:tr w14:paraId="3E389B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3D838B4D">
            <w:pPr>
              <w:pStyle w:val="29"/>
              <w:tabs>
                <w:tab w:val="left" w:pos="0"/>
              </w:tabs>
              <w:snapToGrid w:val="0"/>
            </w:pPr>
          </w:p>
        </w:tc>
        <w:tc>
          <w:tcPr>
            <w:tcW w:w="1423" w:type="dxa"/>
          </w:tcPr>
          <w:p w14:paraId="6E34A853">
            <w:pPr>
              <w:pStyle w:val="29"/>
              <w:tabs>
                <w:tab w:val="left" w:pos="0"/>
              </w:tabs>
              <w:snapToGrid w:val="0"/>
            </w:pPr>
          </w:p>
        </w:tc>
        <w:tc>
          <w:tcPr>
            <w:tcW w:w="886" w:type="dxa"/>
          </w:tcPr>
          <w:p w14:paraId="6CA33C83">
            <w:pPr>
              <w:pStyle w:val="29"/>
              <w:tabs>
                <w:tab w:val="left" w:pos="0"/>
              </w:tabs>
              <w:snapToGrid w:val="0"/>
            </w:pPr>
          </w:p>
        </w:tc>
        <w:tc>
          <w:tcPr>
            <w:tcW w:w="730" w:type="dxa"/>
          </w:tcPr>
          <w:p w14:paraId="243A8DE0">
            <w:pPr>
              <w:pStyle w:val="29"/>
              <w:tabs>
                <w:tab w:val="left" w:pos="0"/>
              </w:tabs>
              <w:snapToGrid w:val="0"/>
            </w:pPr>
          </w:p>
        </w:tc>
        <w:tc>
          <w:tcPr>
            <w:tcW w:w="738" w:type="dxa"/>
          </w:tcPr>
          <w:p w14:paraId="2303CFB3">
            <w:pPr>
              <w:pStyle w:val="29"/>
              <w:tabs>
                <w:tab w:val="left" w:pos="0"/>
              </w:tabs>
              <w:snapToGrid w:val="0"/>
            </w:pPr>
          </w:p>
        </w:tc>
        <w:tc>
          <w:tcPr>
            <w:tcW w:w="942" w:type="dxa"/>
          </w:tcPr>
          <w:p w14:paraId="5264B05E">
            <w:pPr>
              <w:pStyle w:val="29"/>
              <w:tabs>
                <w:tab w:val="left" w:pos="0"/>
              </w:tabs>
              <w:snapToGrid w:val="0"/>
            </w:pPr>
          </w:p>
        </w:tc>
        <w:tc>
          <w:tcPr>
            <w:tcW w:w="618" w:type="dxa"/>
          </w:tcPr>
          <w:p w14:paraId="20AA9057">
            <w:pPr>
              <w:pStyle w:val="29"/>
              <w:tabs>
                <w:tab w:val="left" w:pos="0"/>
              </w:tabs>
              <w:snapToGrid w:val="0"/>
            </w:pPr>
          </w:p>
        </w:tc>
        <w:tc>
          <w:tcPr>
            <w:tcW w:w="739" w:type="dxa"/>
          </w:tcPr>
          <w:p w14:paraId="0AF1C858">
            <w:pPr>
              <w:pStyle w:val="29"/>
              <w:tabs>
                <w:tab w:val="left" w:pos="0"/>
              </w:tabs>
              <w:snapToGrid w:val="0"/>
            </w:pPr>
          </w:p>
        </w:tc>
        <w:tc>
          <w:tcPr>
            <w:tcW w:w="470" w:type="dxa"/>
          </w:tcPr>
          <w:p w14:paraId="551CE244">
            <w:pPr>
              <w:pStyle w:val="29"/>
              <w:tabs>
                <w:tab w:val="left" w:pos="0"/>
              </w:tabs>
              <w:snapToGrid w:val="0"/>
            </w:pPr>
          </w:p>
        </w:tc>
        <w:tc>
          <w:tcPr>
            <w:tcW w:w="563" w:type="dxa"/>
          </w:tcPr>
          <w:p w14:paraId="42A6922E">
            <w:pPr>
              <w:pStyle w:val="29"/>
              <w:tabs>
                <w:tab w:val="left" w:pos="0"/>
              </w:tabs>
              <w:snapToGrid w:val="0"/>
            </w:pPr>
          </w:p>
        </w:tc>
        <w:tc>
          <w:tcPr>
            <w:tcW w:w="647" w:type="dxa"/>
          </w:tcPr>
          <w:p w14:paraId="6F5005B2">
            <w:pPr>
              <w:pStyle w:val="29"/>
              <w:tabs>
                <w:tab w:val="left" w:pos="0"/>
              </w:tabs>
              <w:snapToGrid w:val="0"/>
            </w:pPr>
          </w:p>
        </w:tc>
        <w:tc>
          <w:tcPr>
            <w:tcW w:w="1299" w:type="dxa"/>
          </w:tcPr>
          <w:p w14:paraId="1D53111C">
            <w:pPr>
              <w:pStyle w:val="29"/>
              <w:tabs>
                <w:tab w:val="left" w:pos="0"/>
              </w:tabs>
              <w:snapToGrid w:val="0"/>
            </w:pPr>
          </w:p>
        </w:tc>
      </w:tr>
      <w:tr w14:paraId="264DF1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3D35D2EF">
            <w:pPr>
              <w:pStyle w:val="29"/>
              <w:tabs>
                <w:tab w:val="left" w:pos="0"/>
              </w:tabs>
              <w:snapToGrid w:val="0"/>
            </w:pPr>
          </w:p>
        </w:tc>
        <w:tc>
          <w:tcPr>
            <w:tcW w:w="1423" w:type="dxa"/>
          </w:tcPr>
          <w:p w14:paraId="5486E5A1">
            <w:pPr>
              <w:pStyle w:val="29"/>
              <w:tabs>
                <w:tab w:val="left" w:pos="0"/>
              </w:tabs>
              <w:snapToGrid w:val="0"/>
            </w:pPr>
          </w:p>
        </w:tc>
        <w:tc>
          <w:tcPr>
            <w:tcW w:w="886" w:type="dxa"/>
          </w:tcPr>
          <w:p w14:paraId="0FA65D1D">
            <w:pPr>
              <w:pStyle w:val="29"/>
              <w:tabs>
                <w:tab w:val="left" w:pos="0"/>
              </w:tabs>
              <w:snapToGrid w:val="0"/>
            </w:pPr>
          </w:p>
        </w:tc>
        <w:tc>
          <w:tcPr>
            <w:tcW w:w="730" w:type="dxa"/>
          </w:tcPr>
          <w:p w14:paraId="52F0FC0E">
            <w:pPr>
              <w:pStyle w:val="29"/>
              <w:tabs>
                <w:tab w:val="left" w:pos="0"/>
              </w:tabs>
              <w:snapToGrid w:val="0"/>
            </w:pPr>
          </w:p>
        </w:tc>
        <w:tc>
          <w:tcPr>
            <w:tcW w:w="738" w:type="dxa"/>
          </w:tcPr>
          <w:p w14:paraId="0DE6735E">
            <w:pPr>
              <w:pStyle w:val="29"/>
              <w:tabs>
                <w:tab w:val="left" w:pos="0"/>
              </w:tabs>
              <w:snapToGrid w:val="0"/>
            </w:pPr>
          </w:p>
        </w:tc>
        <w:tc>
          <w:tcPr>
            <w:tcW w:w="942" w:type="dxa"/>
          </w:tcPr>
          <w:p w14:paraId="160B829F">
            <w:pPr>
              <w:pStyle w:val="29"/>
              <w:tabs>
                <w:tab w:val="left" w:pos="0"/>
              </w:tabs>
              <w:snapToGrid w:val="0"/>
            </w:pPr>
          </w:p>
        </w:tc>
        <w:tc>
          <w:tcPr>
            <w:tcW w:w="618" w:type="dxa"/>
          </w:tcPr>
          <w:p w14:paraId="2CE15D7A">
            <w:pPr>
              <w:pStyle w:val="29"/>
              <w:tabs>
                <w:tab w:val="left" w:pos="0"/>
              </w:tabs>
              <w:snapToGrid w:val="0"/>
            </w:pPr>
          </w:p>
        </w:tc>
        <w:tc>
          <w:tcPr>
            <w:tcW w:w="739" w:type="dxa"/>
          </w:tcPr>
          <w:p w14:paraId="1A796C2D">
            <w:pPr>
              <w:pStyle w:val="29"/>
              <w:tabs>
                <w:tab w:val="left" w:pos="0"/>
              </w:tabs>
              <w:snapToGrid w:val="0"/>
            </w:pPr>
          </w:p>
        </w:tc>
        <w:tc>
          <w:tcPr>
            <w:tcW w:w="470" w:type="dxa"/>
          </w:tcPr>
          <w:p w14:paraId="019553E1">
            <w:pPr>
              <w:pStyle w:val="29"/>
              <w:tabs>
                <w:tab w:val="left" w:pos="0"/>
              </w:tabs>
              <w:snapToGrid w:val="0"/>
            </w:pPr>
          </w:p>
        </w:tc>
        <w:tc>
          <w:tcPr>
            <w:tcW w:w="563" w:type="dxa"/>
          </w:tcPr>
          <w:p w14:paraId="34C8245B">
            <w:pPr>
              <w:pStyle w:val="29"/>
              <w:tabs>
                <w:tab w:val="left" w:pos="0"/>
              </w:tabs>
              <w:snapToGrid w:val="0"/>
            </w:pPr>
          </w:p>
        </w:tc>
        <w:tc>
          <w:tcPr>
            <w:tcW w:w="647" w:type="dxa"/>
          </w:tcPr>
          <w:p w14:paraId="5056E5C8">
            <w:pPr>
              <w:pStyle w:val="29"/>
              <w:tabs>
                <w:tab w:val="left" w:pos="0"/>
              </w:tabs>
              <w:snapToGrid w:val="0"/>
            </w:pPr>
          </w:p>
        </w:tc>
        <w:tc>
          <w:tcPr>
            <w:tcW w:w="1299" w:type="dxa"/>
          </w:tcPr>
          <w:p w14:paraId="13D36D0C">
            <w:pPr>
              <w:pStyle w:val="29"/>
              <w:tabs>
                <w:tab w:val="left" w:pos="0"/>
              </w:tabs>
              <w:snapToGrid w:val="0"/>
            </w:pPr>
          </w:p>
        </w:tc>
      </w:tr>
      <w:tr w14:paraId="19E09D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50C9C3E8">
            <w:pPr>
              <w:pStyle w:val="29"/>
              <w:tabs>
                <w:tab w:val="left" w:pos="0"/>
              </w:tabs>
              <w:snapToGrid w:val="0"/>
            </w:pPr>
          </w:p>
        </w:tc>
        <w:tc>
          <w:tcPr>
            <w:tcW w:w="1423" w:type="dxa"/>
          </w:tcPr>
          <w:p w14:paraId="1814626C">
            <w:pPr>
              <w:pStyle w:val="29"/>
              <w:tabs>
                <w:tab w:val="left" w:pos="0"/>
              </w:tabs>
              <w:snapToGrid w:val="0"/>
            </w:pPr>
          </w:p>
        </w:tc>
        <w:tc>
          <w:tcPr>
            <w:tcW w:w="886" w:type="dxa"/>
          </w:tcPr>
          <w:p w14:paraId="1B296426">
            <w:pPr>
              <w:pStyle w:val="29"/>
              <w:tabs>
                <w:tab w:val="left" w:pos="0"/>
              </w:tabs>
              <w:snapToGrid w:val="0"/>
            </w:pPr>
          </w:p>
        </w:tc>
        <w:tc>
          <w:tcPr>
            <w:tcW w:w="730" w:type="dxa"/>
          </w:tcPr>
          <w:p w14:paraId="1111CFD7">
            <w:pPr>
              <w:pStyle w:val="29"/>
              <w:tabs>
                <w:tab w:val="left" w:pos="0"/>
              </w:tabs>
              <w:snapToGrid w:val="0"/>
            </w:pPr>
          </w:p>
        </w:tc>
        <w:tc>
          <w:tcPr>
            <w:tcW w:w="738" w:type="dxa"/>
          </w:tcPr>
          <w:p w14:paraId="700A97A9">
            <w:pPr>
              <w:pStyle w:val="29"/>
              <w:tabs>
                <w:tab w:val="left" w:pos="0"/>
              </w:tabs>
              <w:snapToGrid w:val="0"/>
            </w:pPr>
          </w:p>
        </w:tc>
        <w:tc>
          <w:tcPr>
            <w:tcW w:w="942" w:type="dxa"/>
          </w:tcPr>
          <w:p w14:paraId="711E16D3">
            <w:pPr>
              <w:pStyle w:val="29"/>
              <w:tabs>
                <w:tab w:val="left" w:pos="0"/>
              </w:tabs>
              <w:snapToGrid w:val="0"/>
            </w:pPr>
          </w:p>
        </w:tc>
        <w:tc>
          <w:tcPr>
            <w:tcW w:w="618" w:type="dxa"/>
          </w:tcPr>
          <w:p w14:paraId="4F0B5727">
            <w:pPr>
              <w:pStyle w:val="29"/>
              <w:tabs>
                <w:tab w:val="left" w:pos="0"/>
              </w:tabs>
              <w:snapToGrid w:val="0"/>
            </w:pPr>
          </w:p>
        </w:tc>
        <w:tc>
          <w:tcPr>
            <w:tcW w:w="739" w:type="dxa"/>
          </w:tcPr>
          <w:p w14:paraId="184E423B">
            <w:pPr>
              <w:pStyle w:val="29"/>
              <w:tabs>
                <w:tab w:val="left" w:pos="0"/>
              </w:tabs>
              <w:snapToGrid w:val="0"/>
            </w:pPr>
          </w:p>
        </w:tc>
        <w:tc>
          <w:tcPr>
            <w:tcW w:w="470" w:type="dxa"/>
          </w:tcPr>
          <w:p w14:paraId="2E0F3270">
            <w:pPr>
              <w:pStyle w:val="29"/>
              <w:tabs>
                <w:tab w:val="left" w:pos="0"/>
              </w:tabs>
              <w:snapToGrid w:val="0"/>
            </w:pPr>
          </w:p>
        </w:tc>
        <w:tc>
          <w:tcPr>
            <w:tcW w:w="563" w:type="dxa"/>
          </w:tcPr>
          <w:p w14:paraId="7F8C83E1">
            <w:pPr>
              <w:pStyle w:val="29"/>
              <w:tabs>
                <w:tab w:val="left" w:pos="0"/>
              </w:tabs>
              <w:snapToGrid w:val="0"/>
            </w:pPr>
          </w:p>
        </w:tc>
        <w:tc>
          <w:tcPr>
            <w:tcW w:w="647" w:type="dxa"/>
          </w:tcPr>
          <w:p w14:paraId="7EC05E39">
            <w:pPr>
              <w:pStyle w:val="29"/>
              <w:tabs>
                <w:tab w:val="left" w:pos="0"/>
              </w:tabs>
              <w:snapToGrid w:val="0"/>
            </w:pPr>
          </w:p>
        </w:tc>
        <w:tc>
          <w:tcPr>
            <w:tcW w:w="1299" w:type="dxa"/>
          </w:tcPr>
          <w:p w14:paraId="17D8F2A5">
            <w:pPr>
              <w:pStyle w:val="29"/>
              <w:tabs>
                <w:tab w:val="left" w:pos="0"/>
              </w:tabs>
              <w:snapToGrid w:val="0"/>
            </w:pPr>
          </w:p>
        </w:tc>
      </w:tr>
      <w:tr w14:paraId="06E066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044D5D59">
            <w:pPr>
              <w:pStyle w:val="29"/>
              <w:tabs>
                <w:tab w:val="left" w:pos="0"/>
              </w:tabs>
              <w:snapToGrid w:val="0"/>
            </w:pPr>
          </w:p>
        </w:tc>
        <w:tc>
          <w:tcPr>
            <w:tcW w:w="1423" w:type="dxa"/>
          </w:tcPr>
          <w:p w14:paraId="7610281A">
            <w:pPr>
              <w:pStyle w:val="29"/>
              <w:tabs>
                <w:tab w:val="left" w:pos="0"/>
              </w:tabs>
              <w:snapToGrid w:val="0"/>
            </w:pPr>
          </w:p>
        </w:tc>
        <w:tc>
          <w:tcPr>
            <w:tcW w:w="886" w:type="dxa"/>
          </w:tcPr>
          <w:p w14:paraId="1DA59911">
            <w:pPr>
              <w:pStyle w:val="29"/>
              <w:tabs>
                <w:tab w:val="left" w:pos="0"/>
              </w:tabs>
              <w:snapToGrid w:val="0"/>
            </w:pPr>
          </w:p>
        </w:tc>
        <w:tc>
          <w:tcPr>
            <w:tcW w:w="730" w:type="dxa"/>
          </w:tcPr>
          <w:p w14:paraId="4D2EFD13">
            <w:pPr>
              <w:pStyle w:val="29"/>
              <w:tabs>
                <w:tab w:val="left" w:pos="0"/>
              </w:tabs>
              <w:snapToGrid w:val="0"/>
            </w:pPr>
          </w:p>
        </w:tc>
        <w:tc>
          <w:tcPr>
            <w:tcW w:w="738" w:type="dxa"/>
          </w:tcPr>
          <w:p w14:paraId="5CB55EDE">
            <w:pPr>
              <w:pStyle w:val="29"/>
              <w:tabs>
                <w:tab w:val="left" w:pos="0"/>
              </w:tabs>
              <w:snapToGrid w:val="0"/>
            </w:pPr>
          </w:p>
        </w:tc>
        <w:tc>
          <w:tcPr>
            <w:tcW w:w="942" w:type="dxa"/>
          </w:tcPr>
          <w:p w14:paraId="40050FC6">
            <w:pPr>
              <w:pStyle w:val="29"/>
              <w:tabs>
                <w:tab w:val="left" w:pos="0"/>
              </w:tabs>
              <w:snapToGrid w:val="0"/>
            </w:pPr>
          </w:p>
        </w:tc>
        <w:tc>
          <w:tcPr>
            <w:tcW w:w="618" w:type="dxa"/>
          </w:tcPr>
          <w:p w14:paraId="7B5092A6">
            <w:pPr>
              <w:pStyle w:val="29"/>
              <w:tabs>
                <w:tab w:val="left" w:pos="0"/>
              </w:tabs>
              <w:snapToGrid w:val="0"/>
            </w:pPr>
          </w:p>
        </w:tc>
        <w:tc>
          <w:tcPr>
            <w:tcW w:w="739" w:type="dxa"/>
          </w:tcPr>
          <w:p w14:paraId="61DD8E63">
            <w:pPr>
              <w:pStyle w:val="29"/>
              <w:tabs>
                <w:tab w:val="left" w:pos="0"/>
              </w:tabs>
              <w:snapToGrid w:val="0"/>
            </w:pPr>
          </w:p>
        </w:tc>
        <w:tc>
          <w:tcPr>
            <w:tcW w:w="470" w:type="dxa"/>
          </w:tcPr>
          <w:p w14:paraId="57F3B953">
            <w:pPr>
              <w:pStyle w:val="29"/>
              <w:tabs>
                <w:tab w:val="left" w:pos="0"/>
              </w:tabs>
              <w:snapToGrid w:val="0"/>
            </w:pPr>
          </w:p>
        </w:tc>
        <w:tc>
          <w:tcPr>
            <w:tcW w:w="563" w:type="dxa"/>
          </w:tcPr>
          <w:p w14:paraId="49011541">
            <w:pPr>
              <w:pStyle w:val="29"/>
              <w:tabs>
                <w:tab w:val="left" w:pos="0"/>
              </w:tabs>
              <w:snapToGrid w:val="0"/>
            </w:pPr>
          </w:p>
        </w:tc>
        <w:tc>
          <w:tcPr>
            <w:tcW w:w="647" w:type="dxa"/>
          </w:tcPr>
          <w:p w14:paraId="15D60373">
            <w:pPr>
              <w:pStyle w:val="29"/>
              <w:tabs>
                <w:tab w:val="left" w:pos="0"/>
              </w:tabs>
              <w:snapToGrid w:val="0"/>
            </w:pPr>
          </w:p>
        </w:tc>
        <w:tc>
          <w:tcPr>
            <w:tcW w:w="1299" w:type="dxa"/>
          </w:tcPr>
          <w:p w14:paraId="0AAAA3DA">
            <w:pPr>
              <w:pStyle w:val="29"/>
              <w:tabs>
                <w:tab w:val="left" w:pos="0"/>
              </w:tabs>
              <w:snapToGrid w:val="0"/>
            </w:pPr>
          </w:p>
        </w:tc>
      </w:tr>
      <w:tr w14:paraId="41F662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54F2F61D">
            <w:pPr>
              <w:pStyle w:val="29"/>
              <w:tabs>
                <w:tab w:val="left" w:pos="0"/>
              </w:tabs>
              <w:snapToGrid w:val="0"/>
            </w:pPr>
          </w:p>
        </w:tc>
        <w:tc>
          <w:tcPr>
            <w:tcW w:w="1423" w:type="dxa"/>
          </w:tcPr>
          <w:p w14:paraId="05FCBCD0">
            <w:pPr>
              <w:pStyle w:val="29"/>
              <w:tabs>
                <w:tab w:val="left" w:pos="0"/>
              </w:tabs>
              <w:snapToGrid w:val="0"/>
            </w:pPr>
          </w:p>
        </w:tc>
        <w:tc>
          <w:tcPr>
            <w:tcW w:w="886" w:type="dxa"/>
          </w:tcPr>
          <w:p w14:paraId="49F36736">
            <w:pPr>
              <w:pStyle w:val="29"/>
              <w:tabs>
                <w:tab w:val="left" w:pos="0"/>
              </w:tabs>
              <w:snapToGrid w:val="0"/>
            </w:pPr>
          </w:p>
        </w:tc>
        <w:tc>
          <w:tcPr>
            <w:tcW w:w="730" w:type="dxa"/>
          </w:tcPr>
          <w:p w14:paraId="36B99CE3">
            <w:pPr>
              <w:pStyle w:val="29"/>
              <w:tabs>
                <w:tab w:val="left" w:pos="0"/>
              </w:tabs>
              <w:snapToGrid w:val="0"/>
            </w:pPr>
          </w:p>
        </w:tc>
        <w:tc>
          <w:tcPr>
            <w:tcW w:w="738" w:type="dxa"/>
          </w:tcPr>
          <w:p w14:paraId="6362891D">
            <w:pPr>
              <w:pStyle w:val="29"/>
              <w:tabs>
                <w:tab w:val="left" w:pos="0"/>
              </w:tabs>
              <w:snapToGrid w:val="0"/>
            </w:pPr>
          </w:p>
        </w:tc>
        <w:tc>
          <w:tcPr>
            <w:tcW w:w="942" w:type="dxa"/>
          </w:tcPr>
          <w:p w14:paraId="5930B70B">
            <w:pPr>
              <w:pStyle w:val="29"/>
              <w:tabs>
                <w:tab w:val="left" w:pos="0"/>
              </w:tabs>
              <w:snapToGrid w:val="0"/>
            </w:pPr>
          </w:p>
        </w:tc>
        <w:tc>
          <w:tcPr>
            <w:tcW w:w="618" w:type="dxa"/>
          </w:tcPr>
          <w:p w14:paraId="325DA523">
            <w:pPr>
              <w:pStyle w:val="29"/>
              <w:tabs>
                <w:tab w:val="left" w:pos="0"/>
              </w:tabs>
              <w:snapToGrid w:val="0"/>
            </w:pPr>
          </w:p>
        </w:tc>
        <w:tc>
          <w:tcPr>
            <w:tcW w:w="739" w:type="dxa"/>
          </w:tcPr>
          <w:p w14:paraId="3E456A82">
            <w:pPr>
              <w:pStyle w:val="29"/>
              <w:tabs>
                <w:tab w:val="left" w:pos="0"/>
              </w:tabs>
              <w:snapToGrid w:val="0"/>
            </w:pPr>
          </w:p>
        </w:tc>
        <w:tc>
          <w:tcPr>
            <w:tcW w:w="470" w:type="dxa"/>
          </w:tcPr>
          <w:p w14:paraId="1380E42D">
            <w:pPr>
              <w:pStyle w:val="29"/>
              <w:tabs>
                <w:tab w:val="left" w:pos="0"/>
              </w:tabs>
              <w:snapToGrid w:val="0"/>
            </w:pPr>
          </w:p>
        </w:tc>
        <w:tc>
          <w:tcPr>
            <w:tcW w:w="563" w:type="dxa"/>
          </w:tcPr>
          <w:p w14:paraId="17D361CF">
            <w:pPr>
              <w:pStyle w:val="29"/>
              <w:tabs>
                <w:tab w:val="left" w:pos="0"/>
              </w:tabs>
              <w:snapToGrid w:val="0"/>
            </w:pPr>
          </w:p>
        </w:tc>
        <w:tc>
          <w:tcPr>
            <w:tcW w:w="647" w:type="dxa"/>
          </w:tcPr>
          <w:p w14:paraId="2B916BD8">
            <w:pPr>
              <w:pStyle w:val="29"/>
              <w:tabs>
                <w:tab w:val="left" w:pos="0"/>
              </w:tabs>
              <w:snapToGrid w:val="0"/>
            </w:pPr>
          </w:p>
        </w:tc>
        <w:tc>
          <w:tcPr>
            <w:tcW w:w="1299" w:type="dxa"/>
          </w:tcPr>
          <w:p w14:paraId="7153130F">
            <w:pPr>
              <w:pStyle w:val="29"/>
              <w:tabs>
                <w:tab w:val="left" w:pos="0"/>
              </w:tabs>
              <w:snapToGrid w:val="0"/>
            </w:pPr>
          </w:p>
        </w:tc>
      </w:tr>
      <w:tr w14:paraId="36EB17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5E1095EC">
            <w:pPr>
              <w:pStyle w:val="29"/>
              <w:tabs>
                <w:tab w:val="left" w:pos="0"/>
              </w:tabs>
              <w:snapToGrid w:val="0"/>
            </w:pPr>
          </w:p>
        </w:tc>
        <w:tc>
          <w:tcPr>
            <w:tcW w:w="1423" w:type="dxa"/>
          </w:tcPr>
          <w:p w14:paraId="1482BCF1">
            <w:pPr>
              <w:pStyle w:val="29"/>
              <w:tabs>
                <w:tab w:val="left" w:pos="0"/>
              </w:tabs>
              <w:snapToGrid w:val="0"/>
            </w:pPr>
          </w:p>
        </w:tc>
        <w:tc>
          <w:tcPr>
            <w:tcW w:w="886" w:type="dxa"/>
          </w:tcPr>
          <w:p w14:paraId="54A08312">
            <w:pPr>
              <w:pStyle w:val="29"/>
              <w:tabs>
                <w:tab w:val="left" w:pos="0"/>
              </w:tabs>
              <w:snapToGrid w:val="0"/>
            </w:pPr>
          </w:p>
        </w:tc>
        <w:tc>
          <w:tcPr>
            <w:tcW w:w="730" w:type="dxa"/>
          </w:tcPr>
          <w:p w14:paraId="02246E2E">
            <w:pPr>
              <w:pStyle w:val="29"/>
              <w:tabs>
                <w:tab w:val="left" w:pos="0"/>
              </w:tabs>
              <w:snapToGrid w:val="0"/>
            </w:pPr>
          </w:p>
        </w:tc>
        <w:tc>
          <w:tcPr>
            <w:tcW w:w="738" w:type="dxa"/>
          </w:tcPr>
          <w:p w14:paraId="7479AE38">
            <w:pPr>
              <w:pStyle w:val="29"/>
              <w:tabs>
                <w:tab w:val="left" w:pos="0"/>
              </w:tabs>
              <w:snapToGrid w:val="0"/>
            </w:pPr>
          </w:p>
        </w:tc>
        <w:tc>
          <w:tcPr>
            <w:tcW w:w="942" w:type="dxa"/>
          </w:tcPr>
          <w:p w14:paraId="7E507EF1">
            <w:pPr>
              <w:pStyle w:val="29"/>
              <w:tabs>
                <w:tab w:val="left" w:pos="0"/>
              </w:tabs>
              <w:snapToGrid w:val="0"/>
            </w:pPr>
          </w:p>
        </w:tc>
        <w:tc>
          <w:tcPr>
            <w:tcW w:w="618" w:type="dxa"/>
          </w:tcPr>
          <w:p w14:paraId="3A5C3340">
            <w:pPr>
              <w:pStyle w:val="29"/>
              <w:tabs>
                <w:tab w:val="left" w:pos="0"/>
              </w:tabs>
              <w:snapToGrid w:val="0"/>
            </w:pPr>
          </w:p>
        </w:tc>
        <w:tc>
          <w:tcPr>
            <w:tcW w:w="739" w:type="dxa"/>
          </w:tcPr>
          <w:p w14:paraId="4F48D130">
            <w:pPr>
              <w:pStyle w:val="29"/>
              <w:tabs>
                <w:tab w:val="left" w:pos="0"/>
              </w:tabs>
              <w:snapToGrid w:val="0"/>
            </w:pPr>
          </w:p>
        </w:tc>
        <w:tc>
          <w:tcPr>
            <w:tcW w:w="470" w:type="dxa"/>
          </w:tcPr>
          <w:p w14:paraId="75C11EDA">
            <w:pPr>
              <w:pStyle w:val="29"/>
              <w:tabs>
                <w:tab w:val="left" w:pos="0"/>
              </w:tabs>
              <w:snapToGrid w:val="0"/>
            </w:pPr>
          </w:p>
        </w:tc>
        <w:tc>
          <w:tcPr>
            <w:tcW w:w="563" w:type="dxa"/>
          </w:tcPr>
          <w:p w14:paraId="42A4766B">
            <w:pPr>
              <w:pStyle w:val="29"/>
              <w:tabs>
                <w:tab w:val="left" w:pos="0"/>
              </w:tabs>
              <w:snapToGrid w:val="0"/>
            </w:pPr>
          </w:p>
        </w:tc>
        <w:tc>
          <w:tcPr>
            <w:tcW w:w="647" w:type="dxa"/>
          </w:tcPr>
          <w:p w14:paraId="3E3D927F">
            <w:pPr>
              <w:pStyle w:val="29"/>
              <w:tabs>
                <w:tab w:val="left" w:pos="0"/>
              </w:tabs>
              <w:snapToGrid w:val="0"/>
            </w:pPr>
          </w:p>
        </w:tc>
        <w:tc>
          <w:tcPr>
            <w:tcW w:w="1299" w:type="dxa"/>
          </w:tcPr>
          <w:p w14:paraId="0ED5F699">
            <w:pPr>
              <w:pStyle w:val="29"/>
              <w:tabs>
                <w:tab w:val="left" w:pos="0"/>
              </w:tabs>
              <w:snapToGrid w:val="0"/>
            </w:pPr>
          </w:p>
        </w:tc>
      </w:tr>
      <w:tr w14:paraId="2A246B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3C5107B1">
            <w:pPr>
              <w:pStyle w:val="29"/>
              <w:tabs>
                <w:tab w:val="left" w:pos="0"/>
              </w:tabs>
              <w:snapToGrid w:val="0"/>
            </w:pPr>
          </w:p>
        </w:tc>
        <w:tc>
          <w:tcPr>
            <w:tcW w:w="1423" w:type="dxa"/>
          </w:tcPr>
          <w:p w14:paraId="1B687F9A">
            <w:pPr>
              <w:pStyle w:val="29"/>
              <w:tabs>
                <w:tab w:val="left" w:pos="0"/>
              </w:tabs>
              <w:snapToGrid w:val="0"/>
            </w:pPr>
          </w:p>
        </w:tc>
        <w:tc>
          <w:tcPr>
            <w:tcW w:w="886" w:type="dxa"/>
          </w:tcPr>
          <w:p w14:paraId="61BCDD24">
            <w:pPr>
              <w:pStyle w:val="29"/>
              <w:tabs>
                <w:tab w:val="left" w:pos="0"/>
              </w:tabs>
              <w:snapToGrid w:val="0"/>
            </w:pPr>
          </w:p>
        </w:tc>
        <w:tc>
          <w:tcPr>
            <w:tcW w:w="730" w:type="dxa"/>
          </w:tcPr>
          <w:p w14:paraId="13A4C6BD">
            <w:pPr>
              <w:pStyle w:val="29"/>
              <w:tabs>
                <w:tab w:val="left" w:pos="0"/>
              </w:tabs>
              <w:snapToGrid w:val="0"/>
            </w:pPr>
          </w:p>
        </w:tc>
        <w:tc>
          <w:tcPr>
            <w:tcW w:w="738" w:type="dxa"/>
          </w:tcPr>
          <w:p w14:paraId="6D376476">
            <w:pPr>
              <w:pStyle w:val="29"/>
              <w:tabs>
                <w:tab w:val="left" w:pos="0"/>
              </w:tabs>
              <w:snapToGrid w:val="0"/>
            </w:pPr>
          </w:p>
        </w:tc>
        <w:tc>
          <w:tcPr>
            <w:tcW w:w="942" w:type="dxa"/>
          </w:tcPr>
          <w:p w14:paraId="7C3AC715">
            <w:pPr>
              <w:pStyle w:val="29"/>
              <w:tabs>
                <w:tab w:val="left" w:pos="0"/>
              </w:tabs>
              <w:snapToGrid w:val="0"/>
            </w:pPr>
          </w:p>
        </w:tc>
        <w:tc>
          <w:tcPr>
            <w:tcW w:w="618" w:type="dxa"/>
          </w:tcPr>
          <w:p w14:paraId="2E18148B">
            <w:pPr>
              <w:pStyle w:val="29"/>
              <w:tabs>
                <w:tab w:val="left" w:pos="0"/>
              </w:tabs>
              <w:snapToGrid w:val="0"/>
            </w:pPr>
          </w:p>
        </w:tc>
        <w:tc>
          <w:tcPr>
            <w:tcW w:w="739" w:type="dxa"/>
          </w:tcPr>
          <w:p w14:paraId="28D4FC3E">
            <w:pPr>
              <w:pStyle w:val="29"/>
              <w:tabs>
                <w:tab w:val="left" w:pos="0"/>
              </w:tabs>
              <w:snapToGrid w:val="0"/>
            </w:pPr>
          </w:p>
        </w:tc>
        <w:tc>
          <w:tcPr>
            <w:tcW w:w="470" w:type="dxa"/>
          </w:tcPr>
          <w:p w14:paraId="29D676AE">
            <w:pPr>
              <w:pStyle w:val="29"/>
              <w:tabs>
                <w:tab w:val="left" w:pos="0"/>
              </w:tabs>
              <w:snapToGrid w:val="0"/>
            </w:pPr>
          </w:p>
        </w:tc>
        <w:tc>
          <w:tcPr>
            <w:tcW w:w="563" w:type="dxa"/>
          </w:tcPr>
          <w:p w14:paraId="6E554CDC">
            <w:pPr>
              <w:pStyle w:val="29"/>
              <w:tabs>
                <w:tab w:val="left" w:pos="0"/>
              </w:tabs>
              <w:snapToGrid w:val="0"/>
            </w:pPr>
          </w:p>
        </w:tc>
        <w:tc>
          <w:tcPr>
            <w:tcW w:w="647" w:type="dxa"/>
          </w:tcPr>
          <w:p w14:paraId="75D06B83">
            <w:pPr>
              <w:pStyle w:val="29"/>
              <w:tabs>
                <w:tab w:val="left" w:pos="0"/>
              </w:tabs>
              <w:snapToGrid w:val="0"/>
            </w:pPr>
          </w:p>
        </w:tc>
        <w:tc>
          <w:tcPr>
            <w:tcW w:w="1299" w:type="dxa"/>
          </w:tcPr>
          <w:p w14:paraId="07CEF3BE">
            <w:pPr>
              <w:pStyle w:val="29"/>
              <w:tabs>
                <w:tab w:val="left" w:pos="0"/>
              </w:tabs>
              <w:snapToGrid w:val="0"/>
            </w:pPr>
          </w:p>
        </w:tc>
      </w:tr>
      <w:tr w14:paraId="7BF5FE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43F24358">
            <w:pPr>
              <w:pStyle w:val="29"/>
              <w:tabs>
                <w:tab w:val="left" w:pos="0"/>
              </w:tabs>
              <w:snapToGrid w:val="0"/>
            </w:pPr>
          </w:p>
        </w:tc>
        <w:tc>
          <w:tcPr>
            <w:tcW w:w="1423" w:type="dxa"/>
          </w:tcPr>
          <w:p w14:paraId="731E7D06">
            <w:pPr>
              <w:pStyle w:val="29"/>
              <w:tabs>
                <w:tab w:val="left" w:pos="0"/>
              </w:tabs>
              <w:snapToGrid w:val="0"/>
            </w:pPr>
          </w:p>
        </w:tc>
        <w:tc>
          <w:tcPr>
            <w:tcW w:w="886" w:type="dxa"/>
          </w:tcPr>
          <w:p w14:paraId="52AAA6C1">
            <w:pPr>
              <w:pStyle w:val="29"/>
              <w:tabs>
                <w:tab w:val="left" w:pos="0"/>
              </w:tabs>
              <w:snapToGrid w:val="0"/>
            </w:pPr>
          </w:p>
        </w:tc>
        <w:tc>
          <w:tcPr>
            <w:tcW w:w="730" w:type="dxa"/>
          </w:tcPr>
          <w:p w14:paraId="6EC7DA97">
            <w:pPr>
              <w:pStyle w:val="29"/>
              <w:tabs>
                <w:tab w:val="left" w:pos="0"/>
              </w:tabs>
              <w:snapToGrid w:val="0"/>
            </w:pPr>
          </w:p>
        </w:tc>
        <w:tc>
          <w:tcPr>
            <w:tcW w:w="738" w:type="dxa"/>
          </w:tcPr>
          <w:p w14:paraId="018ADFA2">
            <w:pPr>
              <w:pStyle w:val="29"/>
              <w:tabs>
                <w:tab w:val="left" w:pos="0"/>
              </w:tabs>
              <w:snapToGrid w:val="0"/>
            </w:pPr>
          </w:p>
        </w:tc>
        <w:tc>
          <w:tcPr>
            <w:tcW w:w="942" w:type="dxa"/>
          </w:tcPr>
          <w:p w14:paraId="741CD8B3">
            <w:pPr>
              <w:pStyle w:val="29"/>
              <w:tabs>
                <w:tab w:val="left" w:pos="0"/>
              </w:tabs>
              <w:snapToGrid w:val="0"/>
            </w:pPr>
          </w:p>
        </w:tc>
        <w:tc>
          <w:tcPr>
            <w:tcW w:w="618" w:type="dxa"/>
          </w:tcPr>
          <w:p w14:paraId="3290719A">
            <w:pPr>
              <w:pStyle w:val="29"/>
              <w:tabs>
                <w:tab w:val="left" w:pos="0"/>
              </w:tabs>
              <w:snapToGrid w:val="0"/>
            </w:pPr>
          </w:p>
        </w:tc>
        <w:tc>
          <w:tcPr>
            <w:tcW w:w="739" w:type="dxa"/>
          </w:tcPr>
          <w:p w14:paraId="524F13EE">
            <w:pPr>
              <w:pStyle w:val="29"/>
              <w:tabs>
                <w:tab w:val="left" w:pos="0"/>
              </w:tabs>
              <w:snapToGrid w:val="0"/>
            </w:pPr>
          </w:p>
        </w:tc>
        <w:tc>
          <w:tcPr>
            <w:tcW w:w="470" w:type="dxa"/>
          </w:tcPr>
          <w:p w14:paraId="4C1255A9">
            <w:pPr>
              <w:pStyle w:val="29"/>
              <w:tabs>
                <w:tab w:val="left" w:pos="0"/>
              </w:tabs>
              <w:snapToGrid w:val="0"/>
            </w:pPr>
          </w:p>
        </w:tc>
        <w:tc>
          <w:tcPr>
            <w:tcW w:w="563" w:type="dxa"/>
          </w:tcPr>
          <w:p w14:paraId="73F1AD15">
            <w:pPr>
              <w:pStyle w:val="29"/>
              <w:tabs>
                <w:tab w:val="left" w:pos="0"/>
              </w:tabs>
              <w:snapToGrid w:val="0"/>
            </w:pPr>
          </w:p>
        </w:tc>
        <w:tc>
          <w:tcPr>
            <w:tcW w:w="647" w:type="dxa"/>
          </w:tcPr>
          <w:p w14:paraId="37ED2C9F">
            <w:pPr>
              <w:pStyle w:val="29"/>
              <w:tabs>
                <w:tab w:val="left" w:pos="0"/>
              </w:tabs>
              <w:snapToGrid w:val="0"/>
            </w:pPr>
          </w:p>
        </w:tc>
        <w:tc>
          <w:tcPr>
            <w:tcW w:w="1299" w:type="dxa"/>
          </w:tcPr>
          <w:p w14:paraId="7E48FDEE">
            <w:pPr>
              <w:pStyle w:val="29"/>
              <w:tabs>
                <w:tab w:val="left" w:pos="0"/>
              </w:tabs>
              <w:snapToGrid w:val="0"/>
            </w:pPr>
          </w:p>
        </w:tc>
      </w:tr>
      <w:tr w14:paraId="39EF88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6A09C323">
            <w:pPr>
              <w:pStyle w:val="29"/>
              <w:tabs>
                <w:tab w:val="left" w:pos="0"/>
              </w:tabs>
              <w:snapToGrid w:val="0"/>
            </w:pPr>
          </w:p>
        </w:tc>
        <w:tc>
          <w:tcPr>
            <w:tcW w:w="1423" w:type="dxa"/>
          </w:tcPr>
          <w:p w14:paraId="14548BBF">
            <w:pPr>
              <w:pStyle w:val="29"/>
              <w:tabs>
                <w:tab w:val="left" w:pos="0"/>
              </w:tabs>
              <w:snapToGrid w:val="0"/>
            </w:pPr>
          </w:p>
        </w:tc>
        <w:tc>
          <w:tcPr>
            <w:tcW w:w="886" w:type="dxa"/>
          </w:tcPr>
          <w:p w14:paraId="7B96F05F">
            <w:pPr>
              <w:pStyle w:val="29"/>
              <w:tabs>
                <w:tab w:val="left" w:pos="0"/>
              </w:tabs>
              <w:snapToGrid w:val="0"/>
            </w:pPr>
          </w:p>
        </w:tc>
        <w:tc>
          <w:tcPr>
            <w:tcW w:w="730" w:type="dxa"/>
          </w:tcPr>
          <w:p w14:paraId="786CE5AE">
            <w:pPr>
              <w:pStyle w:val="29"/>
              <w:tabs>
                <w:tab w:val="left" w:pos="0"/>
              </w:tabs>
              <w:snapToGrid w:val="0"/>
            </w:pPr>
          </w:p>
        </w:tc>
        <w:tc>
          <w:tcPr>
            <w:tcW w:w="738" w:type="dxa"/>
          </w:tcPr>
          <w:p w14:paraId="455F1EBF">
            <w:pPr>
              <w:pStyle w:val="29"/>
              <w:tabs>
                <w:tab w:val="left" w:pos="0"/>
              </w:tabs>
              <w:snapToGrid w:val="0"/>
            </w:pPr>
          </w:p>
        </w:tc>
        <w:tc>
          <w:tcPr>
            <w:tcW w:w="942" w:type="dxa"/>
          </w:tcPr>
          <w:p w14:paraId="5BFEC200">
            <w:pPr>
              <w:pStyle w:val="29"/>
              <w:tabs>
                <w:tab w:val="left" w:pos="0"/>
              </w:tabs>
              <w:snapToGrid w:val="0"/>
            </w:pPr>
          </w:p>
        </w:tc>
        <w:tc>
          <w:tcPr>
            <w:tcW w:w="618" w:type="dxa"/>
          </w:tcPr>
          <w:p w14:paraId="1F1E3ACA">
            <w:pPr>
              <w:pStyle w:val="29"/>
              <w:tabs>
                <w:tab w:val="left" w:pos="0"/>
              </w:tabs>
              <w:snapToGrid w:val="0"/>
            </w:pPr>
          </w:p>
        </w:tc>
        <w:tc>
          <w:tcPr>
            <w:tcW w:w="739" w:type="dxa"/>
          </w:tcPr>
          <w:p w14:paraId="412C708B">
            <w:pPr>
              <w:pStyle w:val="29"/>
              <w:tabs>
                <w:tab w:val="left" w:pos="0"/>
              </w:tabs>
              <w:snapToGrid w:val="0"/>
            </w:pPr>
          </w:p>
        </w:tc>
        <w:tc>
          <w:tcPr>
            <w:tcW w:w="470" w:type="dxa"/>
          </w:tcPr>
          <w:p w14:paraId="519297C4">
            <w:pPr>
              <w:pStyle w:val="29"/>
              <w:tabs>
                <w:tab w:val="left" w:pos="0"/>
              </w:tabs>
              <w:snapToGrid w:val="0"/>
            </w:pPr>
          </w:p>
        </w:tc>
        <w:tc>
          <w:tcPr>
            <w:tcW w:w="563" w:type="dxa"/>
          </w:tcPr>
          <w:p w14:paraId="61100AB1">
            <w:pPr>
              <w:pStyle w:val="29"/>
              <w:tabs>
                <w:tab w:val="left" w:pos="0"/>
              </w:tabs>
              <w:snapToGrid w:val="0"/>
            </w:pPr>
          </w:p>
        </w:tc>
        <w:tc>
          <w:tcPr>
            <w:tcW w:w="647" w:type="dxa"/>
          </w:tcPr>
          <w:p w14:paraId="5A55B0DB">
            <w:pPr>
              <w:pStyle w:val="29"/>
              <w:tabs>
                <w:tab w:val="left" w:pos="0"/>
              </w:tabs>
              <w:snapToGrid w:val="0"/>
            </w:pPr>
          </w:p>
        </w:tc>
        <w:tc>
          <w:tcPr>
            <w:tcW w:w="1299" w:type="dxa"/>
          </w:tcPr>
          <w:p w14:paraId="75805C3C">
            <w:pPr>
              <w:pStyle w:val="29"/>
              <w:tabs>
                <w:tab w:val="left" w:pos="0"/>
              </w:tabs>
              <w:snapToGrid w:val="0"/>
            </w:pPr>
          </w:p>
        </w:tc>
      </w:tr>
      <w:tr w14:paraId="410980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7B8E995B">
            <w:pPr>
              <w:pStyle w:val="29"/>
              <w:tabs>
                <w:tab w:val="left" w:pos="0"/>
              </w:tabs>
              <w:snapToGrid w:val="0"/>
            </w:pPr>
          </w:p>
        </w:tc>
        <w:tc>
          <w:tcPr>
            <w:tcW w:w="1423" w:type="dxa"/>
          </w:tcPr>
          <w:p w14:paraId="5A8361D7">
            <w:pPr>
              <w:pStyle w:val="29"/>
              <w:tabs>
                <w:tab w:val="left" w:pos="0"/>
              </w:tabs>
              <w:snapToGrid w:val="0"/>
            </w:pPr>
          </w:p>
        </w:tc>
        <w:tc>
          <w:tcPr>
            <w:tcW w:w="886" w:type="dxa"/>
          </w:tcPr>
          <w:p w14:paraId="08212AB4">
            <w:pPr>
              <w:pStyle w:val="29"/>
              <w:tabs>
                <w:tab w:val="left" w:pos="0"/>
              </w:tabs>
              <w:snapToGrid w:val="0"/>
            </w:pPr>
          </w:p>
        </w:tc>
        <w:tc>
          <w:tcPr>
            <w:tcW w:w="730" w:type="dxa"/>
          </w:tcPr>
          <w:p w14:paraId="3EE99024">
            <w:pPr>
              <w:pStyle w:val="29"/>
              <w:tabs>
                <w:tab w:val="left" w:pos="0"/>
              </w:tabs>
              <w:snapToGrid w:val="0"/>
            </w:pPr>
          </w:p>
        </w:tc>
        <w:tc>
          <w:tcPr>
            <w:tcW w:w="738" w:type="dxa"/>
          </w:tcPr>
          <w:p w14:paraId="1584E86F">
            <w:pPr>
              <w:pStyle w:val="29"/>
              <w:tabs>
                <w:tab w:val="left" w:pos="0"/>
              </w:tabs>
              <w:snapToGrid w:val="0"/>
            </w:pPr>
          </w:p>
        </w:tc>
        <w:tc>
          <w:tcPr>
            <w:tcW w:w="942" w:type="dxa"/>
          </w:tcPr>
          <w:p w14:paraId="21A6CBA1">
            <w:pPr>
              <w:pStyle w:val="29"/>
              <w:tabs>
                <w:tab w:val="left" w:pos="0"/>
              </w:tabs>
              <w:snapToGrid w:val="0"/>
            </w:pPr>
          </w:p>
        </w:tc>
        <w:tc>
          <w:tcPr>
            <w:tcW w:w="618" w:type="dxa"/>
          </w:tcPr>
          <w:p w14:paraId="136100B5">
            <w:pPr>
              <w:pStyle w:val="29"/>
              <w:tabs>
                <w:tab w:val="left" w:pos="0"/>
              </w:tabs>
              <w:snapToGrid w:val="0"/>
            </w:pPr>
          </w:p>
        </w:tc>
        <w:tc>
          <w:tcPr>
            <w:tcW w:w="739" w:type="dxa"/>
          </w:tcPr>
          <w:p w14:paraId="5F39DD07">
            <w:pPr>
              <w:pStyle w:val="29"/>
              <w:tabs>
                <w:tab w:val="left" w:pos="0"/>
              </w:tabs>
              <w:snapToGrid w:val="0"/>
            </w:pPr>
          </w:p>
        </w:tc>
        <w:tc>
          <w:tcPr>
            <w:tcW w:w="470" w:type="dxa"/>
          </w:tcPr>
          <w:p w14:paraId="5859075B">
            <w:pPr>
              <w:pStyle w:val="29"/>
              <w:tabs>
                <w:tab w:val="left" w:pos="0"/>
              </w:tabs>
              <w:snapToGrid w:val="0"/>
            </w:pPr>
          </w:p>
        </w:tc>
        <w:tc>
          <w:tcPr>
            <w:tcW w:w="563" w:type="dxa"/>
          </w:tcPr>
          <w:p w14:paraId="5F3CDD30">
            <w:pPr>
              <w:pStyle w:val="29"/>
              <w:tabs>
                <w:tab w:val="left" w:pos="0"/>
              </w:tabs>
              <w:snapToGrid w:val="0"/>
            </w:pPr>
          </w:p>
        </w:tc>
        <w:tc>
          <w:tcPr>
            <w:tcW w:w="647" w:type="dxa"/>
          </w:tcPr>
          <w:p w14:paraId="0F4F7A5F">
            <w:pPr>
              <w:pStyle w:val="29"/>
              <w:tabs>
                <w:tab w:val="left" w:pos="0"/>
              </w:tabs>
              <w:snapToGrid w:val="0"/>
            </w:pPr>
          </w:p>
        </w:tc>
        <w:tc>
          <w:tcPr>
            <w:tcW w:w="1299" w:type="dxa"/>
          </w:tcPr>
          <w:p w14:paraId="6404E860">
            <w:pPr>
              <w:pStyle w:val="29"/>
              <w:tabs>
                <w:tab w:val="left" w:pos="0"/>
              </w:tabs>
              <w:snapToGrid w:val="0"/>
            </w:pPr>
          </w:p>
        </w:tc>
      </w:tr>
      <w:tr w14:paraId="05CFED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30296725">
            <w:pPr>
              <w:pStyle w:val="29"/>
              <w:tabs>
                <w:tab w:val="left" w:pos="0"/>
              </w:tabs>
              <w:snapToGrid w:val="0"/>
            </w:pPr>
          </w:p>
        </w:tc>
        <w:tc>
          <w:tcPr>
            <w:tcW w:w="1423" w:type="dxa"/>
          </w:tcPr>
          <w:p w14:paraId="6496FFFA">
            <w:pPr>
              <w:pStyle w:val="29"/>
              <w:tabs>
                <w:tab w:val="left" w:pos="0"/>
              </w:tabs>
              <w:snapToGrid w:val="0"/>
            </w:pPr>
          </w:p>
        </w:tc>
        <w:tc>
          <w:tcPr>
            <w:tcW w:w="886" w:type="dxa"/>
          </w:tcPr>
          <w:p w14:paraId="4D18FC2D">
            <w:pPr>
              <w:pStyle w:val="29"/>
              <w:tabs>
                <w:tab w:val="left" w:pos="0"/>
              </w:tabs>
              <w:snapToGrid w:val="0"/>
            </w:pPr>
          </w:p>
        </w:tc>
        <w:tc>
          <w:tcPr>
            <w:tcW w:w="730" w:type="dxa"/>
          </w:tcPr>
          <w:p w14:paraId="7CBAD197">
            <w:pPr>
              <w:pStyle w:val="29"/>
              <w:tabs>
                <w:tab w:val="left" w:pos="0"/>
              </w:tabs>
              <w:snapToGrid w:val="0"/>
            </w:pPr>
          </w:p>
        </w:tc>
        <w:tc>
          <w:tcPr>
            <w:tcW w:w="738" w:type="dxa"/>
          </w:tcPr>
          <w:p w14:paraId="06CF5641">
            <w:pPr>
              <w:pStyle w:val="29"/>
              <w:tabs>
                <w:tab w:val="left" w:pos="0"/>
              </w:tabs>
              <w:snapToGrid w:val="0"/>
            </w:pPr>
          </w:p>
        </w:tc>
        <w:tc>
          <w:tcPr>
            <w:tcW w:w="942" w:type="dxa"/>
          </w:tcPr>
          <w:p w14:paraId="6DBA0FBB">
            <w:pPr>
              <w:pStyle w:val="29"/>
              <w:tabs>
                <w:tab w:val="left" w:pos="0"/>
              </w:tabs>
              <w:snapToGrid w:val="0"/>
            </w:pPr>
          </w:p>
        </w:tc>
        <w:tc>
          <w:tcPr>
            <w:tcW w:w="618" w:type="dxa"/>
          </w:tcPr>
          <w:p w14:paraId="48BAF3FE">
            <w:pPr>
              <w:pStyle w:val="29"/>
              <w:tabs>
                <w:tab w:val="left" w:pos="0"/>
              </w:tabs>
              <w:snapToGrid w:val="0"/>
            </w:pPr>
          </w:p>
        </w:tc>
        <w:tc>
          <w:tcPr>
            <w:tcW w:w="739" w:type="dxa"/>
          </w:tcPr>
          <w:p w14:paraId="6D211F15">
            <w:pPr>
              <w:pStyle w:val="29"/>
              <w:tabs>
                <w:tab w:val="left" w:pos="0"/>
              </w:tabs>
              <w:snapToGrid w:val="0"/>
            </w:pPr>
          </w:p>
        </w:tc>
        <w:tc>
          <w:tcPr>
            <w:tcW w:w="470" w:type="dxa"/>
          </w:tcPr>
          <w:p w14:paraId="2C62BB8C">
            <w:pPr>
              <w:pStyle w:val="29"/>
              <w:tabs>
                <w:tab w:val="left" w:pos="0"/>
              </w:tabs>
              <w:snapToGrid w:val="0"/>
            </w:pPr>
          </w:p>
        </w:tc>
        <w:tc>
          <w:tcPr>
            <w:tcW w:w="563" w:type="dxa"/>
          </w:tcPr>
          <w:p w14:paraId="5669DD53">
            <w:pPr>
              <w:pStyle w:val="29"/>
              <w:tabs>
                <w:tab w:val="left" w:pos="0"/>
              </w:tabs>
              <w:snapToGrid w:val="0"/>
            </w:pPr>
          </w:p>
        </w:tc>
        <w:tc>
          <w:tcPr>
            <w:tcW w:w="647" w:type="dxa"/>
          </w:tcPr>
          <w:p w14:paraId="6CCB777F">
            <w:pPr>
              <w:pStyle w:val="29"/>
              <w:tabs>
                <w:tab w:val="left" w:pos="0"/>
              </w:tabs>
              <w:snapToGrid w:val="0"/>
            </w:pPr>
          </w:p>
        </w:tc>
        <w:tc>
          <w:tcPr>
            <w:tcW w:w="1299" w:type="dxa"/>
          </w:tcPr>
          <w:p w14:paraId="39B08447">
            <w:pPr>
              <w:pStyle w:val="29"/>
              <w:tabs>
                <w:tab w:val="left" w:pos="0"/>
              </w:tabs>
              <w:snapToGrid w:val="0"/>
            </w:pPr>
          </w:p>
        </w:tc>
      </w:tr>
      <w:tr w14:paraId="0D9ADE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1B3A8CEC">
            <w:pPr>
              <w:pStyle w:val="29"/>
              <w:tabs>
                <w:tab w:val="left" w:pos="0"/>
              </w:tabs>
              <w:snapToGrid w:val="0"/>
            </w:pPr>
          </w:p>
        </w:tc>
        <w:tc>
          <w:tcPr>
            <w:tcW w:w="1423" w:type="dxa"/>
          </w:tcPr>
          <w:p w14:paraId="1FF480B7">
            <w:pPr>
              <w:pStyle w:val="29"/>
              <w:tabs>
                <w:tab w:val="left" w:pos="0"/>
              </w:tabs>
              <w:snapToGrid w:val="0"/>
            </w:pPr>
          </w:p>
        </w:tc>
        <w:tc>
          <w:tcPr>
            <w:tcW w:w="886" w:type="dxa"/>
          </w:tcPr>
          <w:p w14:paraId="144851FF">
            <w:pPr>
              <w:pStyle w:val="29"/>
              <w:tabs>
                <w:tab w:val="left" w:pos="0"/>
              </w:tabs>
              <w:snapToGrid w:val="0"/>
            </w:pPr>
          </w:p>
        </w:tc>
        <w:tc>
          <w:tcPr>
            <w:tcW w:w="730" w:type="dxa"/>
          </w:tcPr>
          <w:p w14:paraId="2E333795">
            <w:pPr>
              <w:pStyle w:val="29"/>
              <w:tabs>
                <w:tab w:val="left" w:pos="0"/>
              </w:tabs>
              <w:snapToGrid w:val="0"/>
            </w:pPr>
          </w:p>
        </w:tc>
        <w:tc>
          <w:tcPr>
            <w:tcW w:w="738" w:type="dxa"/>
          </w:tcPr>
          <w:p w14:paraId="1810E42A">
            <w:pPr>
              <w:pStyle w:val="29"/>
              <w:tabs>
                <w:tab w:val="left" w:pos="0"/>
              </w:tabs>
              <w:snapToGrid w:val="0"/>
            </w:pPr>
          </w:p>
        </w:tc>
        <w:tc>
          <w:tcPr>
            <w:tcW w:w="942" w:type="dxa"/>
          </w:tcPr>
          <w:p w14:paraId="7CE4C8B9">
            <w:pPr>
              <w:pStyle w:val="29"/>
              <w:tabs>
                <w:tab w:val="left" w:pos="0"/>
              </w:tabs>
              <w:snapToGrid w:val="0"/>
            </w:pPr>
          </w:p>
        </w:tc>
        <w:tc>
          <w:tcPr>
            <w:tcW w:w="618" w:type="dxa"/>
          </w:tcPr>
          <w:p w14:paraId="277E0757">
            <w:pPr>
              <w:pStyle w:val="29"/>
              <w:tabs>
                <w:tab w:val="left" w:pos="0"/>
              </w:tabs>
              <w:snapToGrid w:val="0"/>
            </w:pPr>
          </w:p>
        </w:tc>
        <w:tc>
          <w:tcPr>
            <w:tcW w:w="739" w:type="dxa"/>
          </w:tcPr>
          <w:p w14:paraId="62625CC4">
            <w:pPr>
              <w:pStyle w:val="29"/>
              <w:tabs>
                <w:tab w:val="left" w:pos="0"/>
              </w:tabs>
              <w:snapToGrid w:val="0"/>
            </w:pPr>
          </w:p>
        </w:tc>
        <w:tc>
          <w:tcPr>
            <w:tcW w:w="470" w:type="dxa"/>
          </w:tcPr>
          <w:p w14:paraId="17A36E8C">
            <w:pPr>
              <w:pStyle w:val="29"/>
              <w:tabs>
                <w:tab w:val="left" w:pos="0"/>
              </w:tabs>
              <w:snapToGrid w:val="0"/>
            </w:pPr>
          </w:p>
        </w:tc>
        <w:tc>
          <w:tcPr>
            <w:tcW w:w="563" w:type="dxa"/>
          </w:tcPr>
          <w:p w14:paraId="26B7CD0E">
            <w:pPr>
              <w:pStyle w:val="29"/>
              <w:tabs>
                <w:tab w:val="left" w:pos="0"/>
              </w:tabs>
              <w:snapToGrid w:val="0"/>
            </w:pPr>
          </w:p>
        </w:tc>
        <w:tc>
          <w:tcPr>
            <w:tcW w:w="647" w:type="dxa"/>
          </w:tcPr>
          <w:p w14:paraId="5DC5B593">
            <w:pPr>
              <w:pStyle w:val="29"/>
              <w:tabs>
                <w:tab w:val="left" w:pos="0"/>
              </w:tabs>
              <w:snapToGrid w:val="0"/>
            </w:pPr>
          </w:p>
        </w:tc>
        <w:tc>
          <w:tcPr>
            <w:tcW w:w="1299" w:type="dxa"/>
          </w:tcPr>
          <w:p w14:paraId="6A43862D">
            <w:pPr>
              <w:pStyle w:val="29"/>
              <w:tabs>
                <w:tab w:val="left" w:pos="0"/>
              </w:tabs>
              <w:snapToGrid w:val="0"/>
            </w:pPr>
          </w:p>
        </w:tc>
      </w:tr>
      <w:tr w14:paraId="25035F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563B829F">
            <w:pPr>
              <w:pStyle w:val="29"/>
              <w:tabs>
                <w:tab w:val="left" w:pos="0"/>
              </w:tabs>
              <w:snapToGrid w:val="0"/>
            </w:pPr>
          </w:p>
        </w:tc>
        <w:tc>
          <w:tcPr>
            <w:tcW w:w="1423" w:type="dxa"/>
          </w:tcPr>
          <w:p w14:paraId="248ADAAA">
            <w:pPr>
              <w:pStyle w:val="29"/>
              <w:tabs>
                <w:tab w:val="left" w:pos="0"/>
              </w:tabs>
              <w:snapToGrid w:val="0"/>
            </w:pPr>
          </w:p>
        </w:tc>
        <w:tc>
          <w:tcPr>
            <w:tcW w:w="886" w:type="dxa"/>
          </w:tcPr>
          <w:p w14:paraId="2BFAE72E">
            <w:pPr>
              <w:pStyle w:val="29"/>
              <w:tabs>
                <w:tab w:val="left" w:pos="0"/>
              </w:tabs>
              <w:snapToGrid w:val="0"/>
            </w:pPr>
          </w:p>
        </w:tc>
        <w:tc>
          <w:tcPr>
            <w:tcW w:w="730" w:type="dxa"/>
          </w:tcPr>
          <w:p w14:paraId="4921E756">
            <w:pPr>
              <w:pStyle w:val="29"/>
              <w:tabs>
                <w:tab w:val="left" w:pos="0"/>
              </w:tabs>
              <w:snapToGrid w:val="0"/>
            </w:pPr>
          </w:p>
        </w:tc>
        <w:tc>
          <w:tcPr>
            <w:tcW w:w="738" w:type="dxa"/>
          </w:tcPr>
          <w:p w14:paraId="66FCE3F7">
            <w:pPr>
              <w:pStyle w:val="29"/>
              <w:tabs>
                <w:tab w:val="left" w:pos="0"/>
              </w:tabs>
              <w:snapToGrid w:val="0"/>
            </w:pPr>
          </w:p>
        </w:tc>
        <w:tc>
          <w:tcPr>
            <w:tcW w:w="942" w:type="dxa"/>
          </w:tcPr>
          <w:p w14:paraId="7F27DDA0">
            <w:pPr>
              <w:pStyle w:val="29"/>
              <w:tabs>
                <w:tab w:val="left" w:pos="0"/>
              </w:tabs>
              <w:snapToGrid w:val="0"/>
            </w:pPr>
          </w:p>
        </w:tc>
        <w:tc>
          <w:tcPr>
            <w:tcW w:w="618" w:type="dxa"/>
          </w:tcPr>
          <w:p w14:paraId="6DC5F932">
            <w:pPr>
              <w:pStyle w:val="29"/>
              <w:tabs>
                <w:tab w:val="left" w:pos="0"/>
              </w:tabs>
              <w:snapToGrid w:val="0"/>
            </w:pPr>
          </w:p>
        </w:tc>
        <w:tc>
          <w:tcPr>
            <w:tcW w:w="739" w:type="dxa"/>
          </w:tcPr>
          <w:p w14:paraId="00EA89CD">
            <w:pPr>
              <w:pStyle w:val="29"/>
              <w:tabs>
                <w:tab w:val="left" w:pos="0"/>
              </w:tabs>
              <w:snapToGrid w:val="0"/>
            </w:pPr>
          </w:p>
        </w:tc>
        <w:tc>
          <w:tcPr>
            <w:tcW w:w="470" w:type="dxa"/>
          </w:tcPr>
          <w:p w14:paraId="3C4EB245">
            <w:pPr>
              <w:pStyle w:val="29"/>
              <w:tabs>
                <w:tab w:val="left" w:pos="0"/>
              </w:tabs>
              <w:snapToGrid w:val="0"/>
            </w:pPr>
          </w:p>
        </w:tc>
        <w:tc>
          <w:tcPr>
            <w:tcW w:w="563" w:type="dxa"/>
          </w:tcPr>
          <w:p w14:paraId="47BBF483">
            <w:pPr>
              <w:pStyle w:val="29"/>
              <w:tabs>
                <w:tab w:val="left" w:pos="0"/>
              </w:tabs>
              <w:snapToGrid w:val="0"/>
            </w:pPr>
          </w:p>
        </w:tc>
        <w:tc>
          <w:tcPr>
            <w:tcW w:w="647" w:type="dxa"/>
          </w:tcPr>
          <w:p w14:paraId="06EE7229">
            <w:pPr>
              <w:pStyle w:val="29"/>
              <w:tabs>
                <w:tab w:val="left" w:pos="0"/>
              </w:tabs>
              <w:snapToGrid w:val="0"/>
            </w:pPr>
          </w:p>
        </w:tc>
        <w:tc>
          <w:tcPr>
            <w:tcW w:w="1299" w:type="dxa"/>
          </w:tcPr>
          <w:p w14:paraId="307EA080">
            <w:pPr>
              <w:pStyle w:val="29"/>
              <w:tabs>
                <w:tab w:val="left" w:pos="0"/>
              </w:tabs>
              <w:snapToGrid w:val="0"/>
            </w:pPr>
          </w:p>
        </w:tc>
      </w:tr>
      <w:tr w14:paraId="3E3C66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76EE2540">
            <w:pPr>
              <w:pStyle w:val="29"/>
              <w:tabs>
                <w:tab w:val="left" w:pos="0"/>
              </w:tabs>
              <w:snapToGrid w:val="0"/>
            </w:pPr>
          </w:p>
        </w:tc>
        <w:tc>
          <w:tcPr>
            <w:tcW w:w="1423" w:type="dxa"/>
          </w:tcPr>
          <w:p w14:paraId="31B299F0">
            <w:pPr>
              <w:pStyle w:val="29"/>
              <w:tabs>
                <w:tab w:val="left" w:pos="0"/>
              </w:tabs>
              <w:snapToGrid w:val="0"/>
            </w:pPr>
          </w:p>
        </w:tc>
        <w:tc>
          <w:tcPr>
            <w:tcW w:w="886" w:type="dxa"/>
          </w:tcPr>
          <w:p w14:paraId="542E9398">
            <w:pPr>
              <w:pStyle w:val="29"/>
              <w:tabs>
                <w:tab w:val="left" w:pos="0"/>
              </w:tabs>
              <w:snapToGrid w:val="0"/>
            </w:pPr>
          </w:p>
        </w:tc>
        <w:tc>
          <w:tcPr>
            <w:tcW w:w="730" w:type="dxa"/>
          </w:tcPr>
          <w:p w14:paraId="4238B8E8">
            <w:pPr>
              <w:pStyle w:val="29"/>
              <w:tabs>
                <w:tab w:val="left" w:pos="0"/>
              </w:tabs>
              <w:snapToGrid w:val="0"/>
            </w:pPr>
          </w:p>
        </w:tc>
        <w:tc>
          <w:tcPr>
            <w:tcW w:w="738" w:type="dxa"/>
          </w:tcPr>
          <w:p w14:paraId="7F52A53C">
            <w:pPr>
              <w:pStyle w:val="29"/>
              <w:tabs>
                <w:tab w:val="left" w:pos="0"/>
              </w:tabs>
              <w:snapToGrid w:val="0"/>
            </w:pPr>
          </w:p>
        </w:tc>
        <w:tc>
          <w:tcPr>
            <w:tcW w:w="942" w:type="dxa"/>
          </w:tcPr>
          <w:p w14:paraId="3777F0F2">
            <w:pPr>
              <w:pStyle w:val="29"/>
              <w:tabs>
                <w:tab w:val="left" w:pos="0"/>
              </w:tabs>
              <w:snapToGrid w:val="0"/>
            </w:pPr>
          </w:p>
        </w:tc>
        <w:tc>
          <w:tcPr>
            <w:tcW w:w="618" w:type="dxa"/>
          </w:tcPr>
          <w:p w14:paraId="7BDCF69E">
            <w:pPr>
              <w:pStyle w:val="29"/>
              <w:tabs>
                <w:tab w:val="left" w:pos="0"/>
              </w:tabs>
              <w:snapToGrid w:val="0"/>
            </w:pPr>
          </w:p>
        </w:tc>
        <w:tc>
          <w:tcPr>
            <w:tcW w:w="739" w:type="dxa"/>
          </w:tcPr>
          <w:p w14:paraId="2D4F2487">
            <w:pPr>
              <w:pStyle w:val="29"/>
              <w:tabs>
                <w:tab w:val="left" w:pos="0"/>
              </w:tabs>
              <w:snapToGrid w:val="0"/>
            </w:pPr>
          </w:p>
        </w:tc>
        <w:tc>
          <w:tcPr>
            <w:tcW w:w="470" w:type="dxa"/>
          </w:tcPr>
          <w:p w14:paraId="12EFE0F2">
            <w:pPr>
              <w:pStyle w:val="29"/>
              <w:tabs>
                <w:tab w:val="left" w:pos="0"/>
              </w:tabs>
              <w:snapToGrid w:val="0"/>
            </w:pPr>
          </w:p>
        </w:tc>
        <w:tc>
          <w:tcPr>
            <w:tcW w:w="563" w:type="dxa"/>
          </w:tcPr>
          <w:p w14:paraId="264F830A">
            <w:pPr>
              <w:pStyle w:val="29"/>
              <w:tabs>
                <w:tab w:val="left" w:pos="0"/>
              </w:tabs>
              <w:snapToGrid w:val="0"/>
            </w:pPr>
          </w:p>
        </w:tc>
        <w:tc>
          <w:tcPr>
            <w:tcW w:w="647" w:type="dxa"/>
          </w:tcPr>
          <w:p w14:paraId="324F673E">
            <w:pPr>
              <w:pStyle w:val="29"/>
              <w:tabs>
                <w:tab w:val="left" w:pos="0"/>
              </w:tabs>
              <w:snapToGrid w:val="0"/>
            </w:pPr>
          </w:p>
        </w:tc>
        <w:tc>
          <w:tcPr>
            <w:tcW w:w="1299" w:type="dxa"/>
          </w:tcPr>
          <w:p w14:paraId="10CC911F">
            <w:pPr>
              <w:pStyle w:val="29"/>
              <w:tabs>
                <w:tab w:val="left" w:pos="0"/>
              </w:tabs>
              <w:snapToGrid w:val="0"/>
            </w:pPr>
          </w:p>
        </w:tc>
      </w:tr>
      <w:tr w14:paraId="3BCC34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02F2F848">
            <w:pPr>
              <w:pStyle w:val="29"/>
              <w:tabs>
                <w:tab w:val="left" w:pos="0"/>
              </w:tabs>
              <w:snapToGrid w:val="0"/>
            </w:pPr>
          </w:p>
        </w:tc>
        <w:tc>
          <w:tcPr>
            <w:tcW w:w="1423" w:type="dxa"/>
          </w:tcPr>
          <w:p w14:paraId="70ED6F9E">
            <w:pPr>
              <w:pStyle w:val="29"/>
              <w:tabs>
                <w:tab w:val="left" w:pos="0"/>
              </w:tabs>
              <w:snapToGrid w:val="0"/>
            </w:pPr>
          </w:p>
        </w:tc>
        <w:tc>
          <w:tcPr>
            <w:tcW w:w="886" w:type="dxa"/>
          </w:tcPr>
          <w:p w14:paraId="055934F2">
            <w:pPr>
              <w:pStyle w:val="29"/>
              <w:tabs>
                <w:tab w:val="left" w:pos="0"/>
              </w:tabs>
              <w:snapToGrid w:val="0"/>
            </w:pPr>
          </w:p>
        </w:tc>
        <w:tc>
          <w:tcPr>
            <w:tcW w:w="730" w:type="dxa"/>
          </w:tcPr>
          <w:p w14:paraId="5BEC9CB2">
            <w:pPr>
              <w:pStyle w:val="29"/>
              <w:tabs>
                <w:tab w:val="left" w:pos="0"/>
              </w:tabs>
              <w:snapToGrid w:val="0"/>
            </w:pPr>
          </w:p>
        </w:tc>
        <w:tc>
          <w:tcPr>
            <w:tcW w:w="738" w:type="dxa"/>
          </w:tcPr>
          <w:p w14:paraId="65CA07EE">
            <w:pPr>
              <w:pStyle w:val="29"/>
              <w:tabs>
                <w:tab w:val="left" w:pos="0"/>
              </w:tabs>
              <w:snapToGrid w:val="0"/>
            </w:pPr>
          </w:p>
        </w:tc>
        <w:tc>
          <w:tcPr>
            <w:tcW w:w="942" w:type="dxa"/>
          </w:tcPr>
          <w:p w14:paraId="5E98467D">
            <w:pPr>
              <w:pStyle w:val="29"/>
              <w:tabs>
                <w:tab w:val="left" w:pos="0"/>
              </w:tabs>
              <w:snapToGrid w:val="0"/>
            </w:pPr>
          </w:p>
        </w:tc>
        <w:tc>
          <w:tcPr>
            <w:tcW w:w="618" w:type="dxa"/>
          </w:tcPr>
          <w:p w14:paraId="43EE10CD">
            <w:pPr>
              <w:pStyle w:val="29"/>
              <w:tabs>
                <w:tab w:val="left" w:pos="0"/>
              </w:tabs>
              <w:snapToGrid w:val="0"/>
            </w:pPr>
          </w:p>
        </w:tc>
        <w:tc>
          <w:tcPr>
            <w:tcW w:w="739" w:type="dxa"/>
          </w:tcPr>
          <w:p w14:paraId="771F8318">
            <w:pPr>
              <w:pStyle w:val="29"/>
              <w:tabs>
                <w:tab w:val="left" w:pos="0"/>
              </w:tabs>
              <w:snapToGrid w:val="0"/>
            </w:pPr>
          </w:p>
        </w:tc>
        <w:tc>
          <w:tcPr>
            <w:tcW w:w="470" w:type="dxa"/>
          </w:tcPr>
          <w:p w14:paraId="73DC9C2F">
            <w:pPr>
              <w:pStyle w:val="29"/>
              <w:tabs>
                <w:tab w:val="left" w:pos="0"/>
              </w:tabs>
              <w:snapToGrid w:val="0"/>
            </w:pPr>
          </w:p>
        </w:tc>
        <w:tc>
          <w:tcPr>
            <w:tcW w:w="563" w:type="dxa"/>
          </w:tcPr>
          <w:p w14:paraId="12CD9624">
            <w:pPr>
              <w:pStyle w:val="29"/>
              <w:tabs>
                <w:tab w:val="left" w:pos="0"/>
              </w:tabs>
              <w:snapToGrid w:val="0"/>
            </w:pPr>
          </w:p>
        </w:tc>
        <w:tc>
          <w:tcPr>
            <w:tcW w:w="647" w:type="dxa"/>
          </w:tcPr>
          <w:p w14:paraId="3CB98AD8">
            <w:pPr>
              <w:pStyle w:val="29"/>
              <w:tabs>
                <w:tab w:val="left" w:pos="0"/>
              </w:tabs>
              <w:snapToGrid w:val="0"/>
            </w:pPr>
          </w:p>
        </w:tc>
        <w:tc>
          <w:tcPr>
            <w:tcW w:w="1299" w:type="dxa"/>
          </w:tcPr>
          <w:p w14:paraId="6A8B66AF">
            <w:pPr>
              <w:pStyle w:val="29"/>
              <w:tabs>
                <w:tab w:val="left" w:pos="0"/>
              </w:tabs>
              <w:snapToGrid w:val="0"/>
            </w:pPr>
          </w:p>
        </w:tc>
      </w:tr>
      <w:tr w14:paraId="39AF1F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3BB02103">
            <w:pPr>
              <w:pStyle w:val="29"/>
              <w:tabs>
                <w:tab w:val="left" w:pos="0"/>
              </w:tabs>
              <w:snapToGrid w:val="0"/>
            </w:pPr>
          </w:p>
        </w:tc>
        <w:tc>
          <w:tcPr>
            <w:tcW w:w="1423" w:type="dxa"/>
          </w:tcPr>
          <w:p w14:paraId="2746CB44">
            <w:pPr>
              <w:pStyle w:val="29"/>
              <w:tabs>
                <w:tab w:val="left" w:pos="0"/>
              </w:tabs>
              <w:snapToGrid w:val="0"/>
            </w:pPr>
          </w:p>
        </w:tc>
        <w:tc>
          <w:tcPr>
            <w:tcW w:w="886" w:type="dxa"/>
          </w:tcPr>
          <w:p w14:paraId="4DE703AD">
            <w:pPr>
              <w:pStyle w:val="29"/>
              <w:tabs>
                <w:tab w:val="left" w:pos="0"/>
              </w:tabs>
              <w:snapToGrid w:val="0"/>
            </w:pPr>
          </w:p>
        </w:tc>
        <w:tc>
          <w:tcPr>
            <w:tcW w:w="730" w:type="dxa"/>
          </w:tcPr>
          <w:p w14:paraId="095A363B">
            <w:pPr>
              <w:pStyle w:val="29"/>
              <w:tabs>
                <w:tab w:val="left" w:pos="0"/>
              </w:tabs>
              <w:snapToGrid w:val="0"/>
            </w:pPr>
          </w:p>
        </w:tc>
        <w:tc>
          <w:tcPr>
            <w:tcW w:w="738" w:type="dxa"/>
          </w:tcPr>
          <w:p w14:paraId="378624C3">
            <w:pPr>
              <w:pStyle w:val="29"/>
              <w:tabs>
                <w:tab w:val="left" w:pos="0"/>
              </w:tabs>
              <w:snapToGrid w:val="0"/>
            </w:pPr>
          </w:p>
        </w:tc>
        <w:tc>
          <w:tcPr>
            <w:tcW w:w="942" w:type="dxa"/>
          </w:tcPr>
          <w:p w14:paraId="062D33EF">
            <w:pPr>
              <w:pStyle w:val="29"/>
              <w:tabs>
                <w:tab w:val="left" w:pos="0"/>
              </w:tabs>
              <w:snapToGrid w:val="0"/>
            </w:pPr>
          </w:p>
        </w:tc>
        <w:tc>
          <w:tcPr>
            <w:tcW w:w="618" w:type="dxa"/>
          </w:tcPr>
          <w:p w14:paraId="3CCA38CE">
            <w:pPr>
              <w:pStyle w:val="29"/>
              <w:tabs>
                <w:tab w:val="left" w:pos="0"/>
              </w:tabs>
              <w:snapToGrid w:val="0"/>
            </w:pPr>
          </w:p>
        </w:tc>
        <w:tc>
          <w:tcPr>
            <w:tcW w:w="739" w:type="dxa"/>
          </w:tcPr>
          <w:p w14:paraId="26849489">
            <w:pPr>
              <w:pStyle w:val="29"/>
              <w:tabs>
                <w:tab w:val="left" w:pos="0"/>
              </w:tabs>
              <w:snapToGrid w:val="0"/>
            </w:pPr>
          </w:p>
        </w:tc>
        <w:tc>
          <w:tcPr>
            <w:tcW w:w="470" w:type="dxa"/>
          </w:tcPr>
          <w:p w14:paraId="4DA42EDF">
            <w:pPr>
              <w:pStyle w:val="29"/>
              <w:tabs>
                <w:tab w:val="left" w:pos="0"/>
              </w:tabs>
              <w:snapToGrid w:val="0"/>
            </w:pPr>
          </w:p>
        </w:tc>
        <w:tc>
          <w:tcPr>
            <w:tcW w:w="563" w:type="dxa"/>
          </w:tcPr>
          <w:p w14:paraId="2A70563B">
            <w:pPr>
              <w:pStyle w:val="29"/>
              <w:tabs>
                <w:tab w:val="left" w:pos="0"/>
              </w:tabs>
              <w:snapToGrid w:val="0"/>
            </w:pPr>
          </w:p>
        </w:tc>
        <w:tc>
          <w:tcPr>
            <w:tcW w:w="647" w:type="dxa"/>
          </w:tcPr>
          <w:p w14:paraId="6D104B48">
            <w:pPr>
              <w:pStyle w:val="29"/>
              <w:tabs>
                <w:tab w:val="left" w:pos="0"/>
              </w:tabs>
              <w:snapToGrid w:val="0"/>
            </w:pPr>
          </w:p>
        </w:tc>
        <w:tc>
          <w:tcPr>
            <w:tcW w:w="1299" w:type="dxa"/>
          </w:tcPr>
          <w:p w14:paraId="033822DB">
            <w:pPr>
              <w:pStyle w:val="29"/>
              <w:tabs>
                <w:tab w:val="left" w:pos="0"/>
              </w:tabs>
              <w:snapToGrid w:val="0"/>
            </w:pPr>
          </w:p>
        </w:tc>
      </w:tr>
      <w:tr w14:paraId="37C626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6CB9A519">
            <w:pPr>
              <w:pStyle w:val="29"/>
              <w:tabs>
                <w:tab w:val="left" w:pos="0"/>
              </w:tabs>
              <w:snapToGrid w:val="0"/>
            </w:pPr>
          </w:p>
        </w:tc>
        <w:tc>
          <w:tcPr>
            <w:tcW w:w="1423" w:type="dxa"/>
          </w:tcPr>
          <w:p w14:paraId="5FA8F6EA">
            <w:pPr>
              <w:pStyle w:val="29"/>
              <w:tabs>
                <w:tab w:val="left" w:pos="0"/>
              </w:tabs>
              <w:snapToGrid w:val="0"/>
            </w:pPr>
          </w:p>
        </w:tc>
        <w:tc>
          <w:tcPr>
            <w:tcW w:w="886" w:type="dxa"/>
          </w:tcPr>
          <w:p w14:paraId="5C1D0F62">
            <w:pPr>
              <w:pStyle w:val="29"/>
              <w:tabs>
                <w:tab w:val="left" w:pos="0"/>
              </w:tabs>
              <w:snapToGrid w:val="0"/>
            </w:pPr>
          </w:p>
        </w:tc>
        <w:tc>
          <w:tcPr>
            <w:tcW w:w="730" w:type="dxa"/>
          </w:tcPr>
          <w:p w14:paraId="633F2E39">
            <w:pPr>
              <w:pStyle w:val="29"/>
              <w:tabs>
                <w:tab w:val="left" w:pos="0"/>
              </w:tabs>
              <w:snapToGrid w:val="0"/>
            </w:pPr>
          </w:p>
        </w:tc>
        <w:tc>
          <w:tcPr>
            <w:tcW w:w="738" w:type="dxa"/>
          </w:tcPr>
          <w:p w14:paraId="6FFCCF04">
            <w:pPr>
              <w:pStyle w:val="29"/>
              <w:tabs>
                <w:tab w:val="left" w:pos="0"/>
              </w:tabs>
              <w:snapToGrid w:val="0"/>
            </w:pPr>
          </w:p>
        </w:tc>
        <w:tc>
          <w:tcPr>
            <w:tcW w:w="942" w:type="dxa"/>
          </w:tcPr>
          <w:p w14:paraId="0250D8FC">
            <w:pPr>
              <w:pStyle w:val="29"/>
              <w:tabs>
                <w:tab w:val="left" w:pos="0"/>
              </w:tabs>
              <w:snapToGrid w:val="0"/>
            </w:pPr>
          </w:p>
        </w:tc>
        <w:tc>
          <w:tcPr>
            <w:tcW w:w="618" w:type="dxa"/>
          </w:tcPr>
          <w:p w14:paraId="12F81B7B">
            <w:pPr>
              <w:pStyle w:val="29"/>
              <w:tabs>
                <w:tab w:val="left" w:pos="0"/>
              </w:tabs>
              <w:snapToGrid w:val="0"/>
            </w:pPr>
          </w:p>
        </w:tc>
        <w:tc>
          <w:tcPr>
            <w:tcW w:w="739" w:type="dxa"/>
          </w:tcPr>
          <w:p w14:paraId="3711E313">
            <w:pPr>
              <w:pStyle w:val="29"/>
              <w:tabs>
                <w:tab w:val="left" w:pos="0"/>
              </w:tabs>
              <w:snapToGrid w:val="0"/>
            </w:pPr>
          </w:p>
        </w:tc>
        <w:tc>
          <w:tcPr>
            <w:tcW w:w="470" w:type="dxa"/>
          </w:tcPr>
          <w:p w14:paraId="0DAD0698">
            <w:pPr>
              <w:pStyle w:val="29"/>
              <w:tabs>
                <w:tab w:val="left" w:pos="0"/>
              </w:tabs>
              <w:snapToGrid w:val="0"/>
            </w:pPr>
          </w:p>
        </w:tc>
        <w:tc>
          <w:tcPr>
            <w:tcW w:w="563" w:type="dxa"/>
          </w:tcPr>
          <w:p w14:paraId="1AEE36BE">
            <w:pPr>
              <w:pStyle w:val="29"/>
              <w:tabs>
                <w:tab w:val="left" w:pos="0"/>
              </w:tabs>
              <w:snapToGrid w:val="0"/>
            </w:pPr>
          </w:p>
        </w:tc>
        <w:tc>
          <w:tcPr>
            <w:tcW w:w="647" w:type="dxa"/>
          </w:tcPr>
          <w:p w14:paraId="0E3D77FE">
            <w:pPr>
              <w:pStyle w:val="29"/>
              <w:tabs>
                <w:tab w:val="left" w:pos="0"/>
              </w:tabs>
              <w:snapToGrid w:val="0"/>
            </w:pPr>
          </w:p>
        </w:tc>
        <w:tc>
          <w:tcPr>
            <w:tcW w:w="1299" w:type="dxa"/>
          </w:tcPr>
          <w:p w14:paraId="1C381D15">
            <w:pPr>
              <w:pStyle w:val="29"/>
              <w:tabs>
                <w:tab w:val="left" w:pos="0"/>
              </w:tabs>
              <w:snapToGrid w:val="0"/>
            </w:pPr>
          </w:p>
        </w:tc>
      </w:tr>
      <w:tr w14:paraId="0589A3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52BFE182">
            <w:pPr>
              <w:pStyle w:val="29"/>
              <w:tabs>
                <w:tab w:val="left" w:pos="0"/>
              </w:tabs>
              <w:snapToGrid w:val="0"/>
            </w:pPr>
          </w:p>
        </w:tc>
        <w:tc>
          <w:tcPr>
            <w:tcW w:w="1423" w:type="dxa"/>
          </w:tcPr>
          <w:p w14:paraId="0E2C0E6D">
            <w:pPr>
              <w:pStyle w:val="29"/>
              <w:tabs>
                <w:tab w:val="left" w:pos="0"/>
              </w:tabs>
              <w:snapToGrid w:val="0"/>
            </w:pPr>
          </w:p>
        </w:tc>
        <w:tc>
          <w:tcPr>
            <w:tcW w:w="886" w:type="dxa"/>
          </w:tcPr>
          <w:p w14:paraId="27C57222">
            <w:pPr>
              <w:pStyle w:val="29"/>
              <w:tabs>
                <w:tab w:val="left" w:pos="0"/>
              </w:tabs>
              <w:snapToGrid w:val="0"/>
            </w:pPr>
          </w:p>
        </w:tc>
        <w:tc>
          <w:tcPr>
            <w:tcW w:w="730" w:type="dxa"/>
          </w:tcPr>
          <w:p w14:paraId="07AE9AF2">
            <w:pPr>
              <w:pStyle w:val="29"/>
              <w:tabs>
                <w:tab w:val="left" w:pos="0"/>
              </w:tabs>
              <w:snapToGrid w:val="0"/>
            </w:pPr>
          </w:p>
        </w:tc>
        <w:tc>
          <w:tcPr>
            <w:tcW w:w="738" w:type="dxa"/>
          </w:tcPr>
          <w:p w14:paraId="023F83BD">
            <w:pPr>
              <w:pStyle w:val="29"/>
              <w:tabs>
                <w:tab w:val="left" w:pos="0"/>
              </w:tabs>
              <w:snapToGrid w:val="0"/>
            </w:pPr>
          </w:p>
        </w:tc>
        <w:tc>
          <w:tcPr>
            <w:tcW w:w="942" w:type="dxa"/>
          </w:tcPr>
          <w:p w14:paraId="79EF2631">
            <w:pPr>
              <w:pStyle w:val="29"/>
              <w:tabs>
                <w:tab w:val="left" w:pos="0"/>
              </w:tabs>
              <w:snapToGrid w:val="0"/>
            </w:pPr>
          </w:p>
        </w:tc>
        <w:tc>
          <w:tcPr>
            <w:tcW w:w="618" w:type="dxa"/>
          </w:tcPr>
          <w:p w14:paraId="0E0A5E6D">
            <w:pPr>
              <w:pStyle w:val="29"/>
              <w:tabs>
                <w:tab w:val="left" w:pos="0"/>
              </w:tabs>
              <w:snapToGrid w:val="0"/>
            </w:pPr>
          </w:p>
        </w:tc>
        <w:tc>
          <w:tcPr>
            <w:tcW w:w="739" w:type="dxa"/>
          </w:tcPr>
          <w:p w14:paraId="0F382569">
            <w:pPr>
              <w:pStyle w:val="29"/>
              <w:tabs>
                <w:tab w:val="left" w:pos="0"/>
              </w:tabs>
              <w:snapToGrid w:val="0"/>
            </w:pPr>
          </w:p>
        </w:tc>
        <w:tc>
          <w:tcPr>
            <w:tcW w:w="470" w:type="dxa"/>
          </w:tcPr>
          <w:p w14:paraId="74DB42E6">
            <w:pPr>
              <w:pStyle w:val="29"/>
              <w:tabs>
                <w:tab w:val="left" w:pos="0"/>
              </w:tabs>
              <w:snapToGrid w:val="0"/>
            </w:pPr>
          </w:p>
        </w:tc>
        <w:tc>
          <w:tcPr>
            <w:tcW w:w="563" w:type="dxa"/>
          </w:tcPr>
          <w:p w14:paraId="782073E1">
            <w:pPr>
              <w:pStyle w:val="29"/>
              <w:tabs>
                <w:tab w:val="left" w:pos="0"/>
              </w:tabs>
              <w:snapToGrid w:val="0"/>
            </w:pPr>
          </w:p>
        </w:tc>
        <w:tc>
          <w:tcPr>
            <w:tcW w:w="647" w:type="dxa"/>
          </w:tcPr>
          <w:p w14:paraId="40078C10">
            <w:pPr>
              <w:pStyle w:val="29"/>
              <w:tabs>
                <w:tab w:val="left" w:pos="0"/>
              </w:tabs>
              <w:snapToGrid w:val="0"/>
            </w:pPr>
          </w:p>
        </w:tc>
        <w:tc>
          <w:tcPr>
            <w:tcW w:w="1299" w:type="dxa"/>
          </w:tcPr>
          <w:p w14:paraId="54CAD407">
            <w:pPr>
              <w:pStyle w:val="29"/>
              <w:tabs>
                <w:tab w:val="left" w:pos="0"/>
              </w:tabs>
              <w:snapToGrid w:val="0"/>
            </w:pPr>
          </w:p>
        </w:tc>
      </w:tr>
      <w:tr w14:paraId="5BA3F2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4FA740D9">
            <w:pPr>
              <w:pStyle w:val="29"/>
              <w:tabs>
                <w:tab w:val="left" w:pos="0"/>
              </w:tabs>
              <w:snapToGrid w:val="0"/>
            </w:pPr>
          </w:p>
        </w:tc>
        <w:tc>
          <w:tcPr>
            <w:tcW w:w="1423" w:type="dxa"/>
          </w:tcPr>
          <w:p w14:paraId="12E89938">
            <w:pPr>
              <w:pStyle w:val="29"/>
              <w:tabs>
                <w:tab w:val="left" w:pos="0"/>
              </w:tabs>
              <w:snapToGrid w:val="0"/>
            </w:pPr>
          </w:p>
        </w:tc>
        <w:tc>
          <w:tcPr>
            <w:tcW w:w="886" w:type="dxa"/>
          </w:tcPr>
          <w:p w14:paraId="736E60F0">
            <w:pPr>
              <w:pStyle w:val="29"/>
              <w:tabs>
                <w:tab w:val="left" w:pos="0"/>
              </w:tabs>
              <w:snapToGrid w:val="0"/>
            </w:pPr>
          </w:p>
        </w:tc>
        <w:tc>
          <w:tcPr>
            <w:tcW w:w="730" w:type="dxa"/>
          </w:tcPr>
          <w:p w14:paraId="0D40CAF6">
            <w:pPr>
              <w:pStyle w:val="29"/>
              <w:tabs>
                <w:tab w:val="left" w:pos="0"/>
              </w:tabs>
              <w:snapToGrid w:val="0"/>
            </w:pPr>
          </w:p>
        </w:tc>
        <w:tc>
          <w:tcPr>
            <w:tcW w:w="738" w:type="dxa"/>
          </w:tcPr>
          <w:p w14:paraId="654985D7">
            <w:pPr>
              <w:pStyle w:val="29"/>
              <w:tabs>
                <w:tab w:val="left" w:pos="0"/>
              </w:tabs>
              <w:snapToGrid w:val="0"/>
            </w:pPr>
          </w:p>
        </w:tc>
        <w:tc>
          <w:tcPr>
            <w:tcW w:w="942" w:type="dxa"/>
          </w:tcPr>
          <w:p w14:paraId="3D555A1F">
            <w:pPr>
              <w:pStyle w:val="29"/>
              <w:tabs>
                <w:tab w:val="left" w:pos="0"/>
              </w:tabs>
              <w:snapToGrid w:val="0"/>
            </w:pPr>
          </w:p>
        </w:tc>
        <w:tc>
          <w:tcPr>
            <w:tcW w:w="618" w:type="dxa"/>
          </w:tcPr>
          <w:p w14:paraId="2DD81406">
            <w:pPr>
              <w:pStyle w:val="29"/>
              <w:tabs>
                <w:tab w:val="left" w:pos="0"/>
              </w:tabs>
              <w:snapToGrid w:val="0"/>
            </w:pPr>
          </w:p>
        </w:tc>
        <w:tc>
          <w:tcPr>
            <w:tcW w:w="739" w:type="dxa"/>
          </w:tcPr>
          <w:p w14:paraId="0BAE2D54">
            <w:pPr>
              <w:pStyle w:val="29"/>
              <w:tabs>
                <w:tab w:val="left" w:pos="0"/>
              </w:tabs>
              <w:snapToGrid w:val="0"/>
            </w:pPr>
          </w:p>
        </w:tc>
        <w:tc>
          <w:tcPr>
            <w:tcW w:w="470" w:type="dxa"/>
          </w:tcPr>
          <w:p w14:paraId="0B255242">
            <w:pPr>
              <w:pStyle w:val="29"/>
              <w:tabs>
                <w:tab w:val="left" w:pos="0"/>
              </w:tabs>
              <w:snapToGrid w:val="0"/>
            </w:pPr>
          </w:p>
        </w:tc>
        <w:tc>
          <w:tcPr>
            <w:tcW w:w="563" w:type="dxa"/>
          </w:tcPr>
          <w:p w14:paraId="53417ED5">
            <w:pPr>
              <w:pStyle w:val="29"/>
              <w:tabs>
                <w:tab w:val="left" w:pos="0"/>
              </w:tabs>
              <w:snapToGrid w:val="0"/>
            </w:pPr>
          </w:p>
        </w:tc>
        <w:tc>
          <w:tcPr>
            <w:tcW w:w="647" w:type="dxa"/>
          </w:tcPr>
          <w:p w14:paraId="5C5BBA23">
            <w:pPr>
              <w:pStyle w:val="29"/>
              <w:tabs>
                <w:tab w:val="left" w:pos="0"/>
              </w:tabs>
              <w:snapToGrid w:val="0"/>
            </w:pPr>
          </w:p>
        </w:tc>
        <w:tc>
          <w:tcPr>
            <w:tcW w:w="1299" w:type="dxa"/>
          </w:tcPr>
          <w:p w14:paraId="6308EFA8">
            <w:pPr>
              <w:pStyle w:val="29"/>
              <w:tabs>
                <w:tab w:val="left" w:pos="0"/>
              </w:tabs>
              <w:snapToGrid w:val="0"/>
            </w:pPr>
          </w:p>
        </w:tc>
      </w:tr>
      <w:tr w14:paraId="08C2DC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4A67CFD9">
            <w:pPr>
              <w:pStyle w:val="29"/>
              <w:tabs>
                <w:tab w:val="left" w:pos="0"/>
              </w:tabs>
              <w:snapToGrid w:val="0"/>
            </w:pPr>
          </w:p>
        </w:tc>
        <w:tc>
          <w:tcPr>
            <w:tcW w:w="1423" w:type="dxa"/>
          </w:tcPr>
          <w:p w14:paraId="5B5E5E09">
            <w:pPr>
              <w:pStyle w:val="29"/>
              <w:tabs>
                <w:tab w:val="left" w:pos="0"/>
              </w:tabs>
              <w:snapToGrid w:val="0"/>
            </w:pPr>
          </w:p>
        </w:tc>
        <w:tc>
          <w:tcPr>
            <w:tcW w:w="886" w:type="dxa"/>
          </w:tcPr>
          <w:p w14:paraId="3E941FF3">
            <w:pPr>
              <w:pStyle w:val="29"/>
              <w:tabs>
                <w:tab w:val="left" w:pos="0"/>
              </w:tabs>
              <w:snapToGrid w:val="0"/>
            </w:pPr>
          </w:p>
        </w:tc>
        <w:tc>
          <w:tcPr>
            <w:tcW w:w="730" w:type="dxa"/>
          </w:tcPr>
          <w:p w14:paraId="4F2C2003">
            <w:pPr>
              <w:pStyle w:val="29"/>
              <w:tabs>
                <w:tab w:val="left" w:pos="0"/>
              </w:tabs>
              <w:snapToGrid w:val="0"/>
            </w:pPr>
          </w:p>
        </w:tc>
        <w:tc>
          <w:tcPr>
            <w:tcW w:w="738" w:type="dxa"/>
          </w:tcPr>
          <w:p w14:paraId="3044EAC5">
            <w:pPr>
              <w:pStyle w:val="29"/>
              <w:tabs>
                <w:tab w:val="left" w:pos="0"/>
              </w:tabs>
              <w:snapToGrid w:val="0"/>
            </w:pPr>
          </w:p>
        </w:tc>
        <w:tc>
          <w:tcPr>
            <w:tcW w:w="942" w:type="dxa"/>
          </w:tcPr>
          <w:p w14:paraId="505BD54A">
            <w:pPr>
              <w:pStyle w:val="29"/>
              <w:tabs>
                <w:tab w:val="left" w:pos="0"/>
              </w:tabs>
              <w:snapToGrid w:val="0"/>
            </w:pPr>
          </w:p>
        </w:tc>
        <w:tc>
          <w:tcPr>
            <w:tcW w:w="618" w:type="dxa"/>
          </w:tcPr>
          <w:p w14:paraId="46A9A474">
            <w:pPr>
              <w:pStyle w:val="29"/>
              <w:tabs>
                <w:tab w:val="left" w:pos="0"/>
              </w:tabs>
              <w:snapToGrid w:val="0"/>
            </w:pPr>
          </w:p>
        </w:tc>
        <w:tc>
          <w:tcPr>
            <w:tcW w:w="739" w:type="dxa"/>
          </w:tcPr>
          <w:p w14:paraId="7CB0C822">
            <w:pPr>
              <w:pStyle w:val="29"/>
              <w:tabs>
                <w:tab w:val="left" w:pos="0"/>
              </w:tabs>
              <w:snapToGrid w:val="0"/>
            </w:pPr>
          </w:p>
        </w:tc>
        <w:tc>
          <w:tcPr>
            <w:tcW w:w="470" w:type="dxa"/>
          </w:tcPr>
          <w:p w14:paraId="3767274A">
            <w:pPr>
              <w:pStyle w:val="29"/>
              <w:tabs>
                <w:tab w:val="left" w:pos="0"/>
              </w:tabs>
              <w:snapToGrid w:val="0"/>
            </w:pPr>
          </w:p>
        </w:tc>
        <w:tc>
          <w:tcPr>
            <w:tcW w:w="563" w:type="dxa"/>
          </w:tcPr>
          <w:p w14:paraId="03185DC6">
            <w:pPr>
              <w:pStyle w:val="29"/>
              <w:tabs>
                <w:tab w:val="left" w:pos="0"/>
              </w:tabs>
              <w:snapToGrid w:val="0"/>
            </w:pPr>
          </w:p>
        </w:tc>
        <w:tc>
          <w:tcPr>
            <w:tcW w:w="647" w:type="dxa"/>
          </w:tcPr>
          <w:p w14:paraId="4BE5111F">
            <w:pPr>
              <w:pStyle w:val="29"/>
              <w:tabs>
                <w:tab w:val="left" w:pos="0"/>
              </w:tabs>
              <w:snapToGrid w:val="0"/>
            </w:pPr>
          </w:p>
        </w:tc>
        <w:tc>
          <w:tcPr>
            <w:tcW w:w="1299" w:type="dxa"/>
          </w:tcPr>
          <w:p w14:paraId="29C75FF0">
            <w:pPr>
              <w:pStyle w:val="29"/>
              <w:tabs>
                <w:tab w:val="left" w:pos="0"/>
              </w:tabs>
              <w:snapToGrid w:val="0"/>
            </w:pPr>
          </w:p>
        </w:tc>
      </w:tr>
      <w:tr w14:paraId="4DE7A0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2C8C8848">
            <w:pPr>
              <w:pStyle w:val="29"/>
              <w:tabs>
                <w:tab w:val="left" w:pos="0"/>
              </w:tabs>
              <w:snapToGrid w:val="0"/>
            </w:pPr>
          </w:p>
        </w:tc>
        <w:tc>
          <w:tcPr>
            <w:tcW w:w="1423" w:type="dxa"/>
          </w:tcPr>
          <w:p w14:paraId="7FD920CD">
            <w:pPr>
              <w:pStyle w:val="29"/>
              <w:tabs>
                <w:tab w:val="left" w:pos="0"/>
              </w:tabs>
              <w:snapToGrid w:val="0"/>
            </w:pPr>
          </w:p>
        </w:tc>
        <w:tc>
          <w:tcPr>
            <w:tcW w:w="886" w:type="dxa"/>
          </w:tcPr>
          <w:p w14:paraId="075CD525">
            <w:pPr>
              <w:pStyle w:val="29"/>
              <w:tabs>
                <w:tab w:val="left" w:pos="0"/>
              </w:tabs>
              <w:snapToGrid w:val="0"/>
            </w:pPr>
          </w:p>
        </w:tc>
        <w:tc>
          <w:tcPr>
            <w:tcW w:w="730" w:type="dxa"/>
          </w:tcPr>
          <w:p w14:paraId="390DC042">
            <w:pPr>
              <w:pStyle w:val="29"/>
              <w:tabs>
                <w:tab w:val="left" w:pos="0"/>
              </w:tabs>
              <w:snapToGrid w:val="0"/>
            </w:pPr>
          </w:p>
        </w:tc>
        <w:tc>
          <w:tcPr>
            <w:tcW w:w="738" w:type="dxa"/>
          </w:tcPr>
          <w:p w14:paraId="13C3D906">
            <w:pPr>
              <w:pStyle w:val="29"/>
              <w:tabs>
                <w:tab w:val="left" w:pos="0"/>
              </w:tabs>
              <w:snapToGrid w:val="0"/>
            </w:pPr>
          </w:p>
        </w:tc>
        <w:tc>
          <w:tcPr>
            <w:tcW w:w="942" w:type="dxa"/>
          </w:tcPr>
          <w:p w14:paraId="62B9354A">
            <w:pPr>
              <w:pStyle w:val="29"/>
              <w:tabs>
                <w:tab w:val="left" w:pos="0"/>
              </w:tabs>
              <w:snapToGrid w:val="0"/>
            </w:pPr>
          </w:p>
        </w:tc>
        <w:tc>
          <w:tcPr>
            <w:tcW w:w="618" w:type="dxa"/>
          </w:tcPr>
          <w:p w14:paraId="2DE2F11B">
            <w:pPr>
              <w:pStyle w:val="29"/>
              <w:tabs>
                <w:tab w:val="left" w:pos="0"/>
              </w:tabs>
              <w:snapToGrid w:val="0"/>
            </w:pPr>
          </w:p>
        </w:tc>
        <w:tc>
          <w:tcPr>
            <w:tcW w:w="739" w:type="dxa"/>
          </w:tcPr>
          <w:p w14:paraId="7D4B4BA6">
            <w:pPr>
              <w:pStyle w:val="29"/>
              <w:tabs>
                <w:tab w:val="left" w:pos="0"/>
              </w:tabs>
              <w:snapToGrid w:val="0"/>
            </w:pPr>
          </w:p>
        </w:tc>
        <w:tc>
          <w:tcPr>
            <w:tcW w:w="470" w:type="dxa"/>
          </w:tcPr>
          <w:p w14:paraId="21C43120">
            <w:pPr>
              <w:pStyle w:val="29"/>
              <w:tabs>
                <w:tab w:val="left" w:pos="0"/>
              </w:tabs>
              <w:snapToGrid w:val="0"/>
            </w:pPr>
          </w:p>
        </w:tc>
        <w:tc>
          <w:tcPr>
            <w:tcW w:w="563" w:type="dxa"/>
          </w:tcPr>
          <w:p w14:paraId="54DBCD39">
            <w:pPr>
              <w:pStyle w:val="29"/>
              <w:tabs>
                <w:tab w:val="left" w:pos="0"/>
              </w:tabs>
              <w:snapToGrid w:val="0"/>
            </w:pPr>
          </w:p>
        </w:tc>
        <w:tc>
          <w:tcPr>
            <w:tcW w:w="647" w:type="dxa"/>
          </w:tcPr>
          <w:p w14:paraId="6DC611FF">
            <w:pPr>
              <w:pStyle w:val="29"/>
              <w:tabs>
                <w:tab w:val="left" w:pos="0"/>
              </w:tabs>
              <w:snapToGrid w:val="0"/>
            </w:pPr>
          </w:p>
        </w:tc>
        <w:tc>
          <w:tcPr>
            <w:tcW w:w="1299" w:type="dxa"/>
          </w:tcPr>
          <w:p w14:paraId="09F81DB5">
            <w:pPr>
              <w:pStyle w:val="29"/>
              <w:tabs>
                <w:tab w:val="left" w:pos="0"/>
              </w:tabs>
              <w:snapToGrid w:val="0"/>
            </w:pPr>
          </w:p>
        </w:tc>
      </w:tr>
      <w:tr w14:paraId="22E067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4F1E4C8A">
            <w:pPr>
              <w:pStyle w:val="29"/>
              <w:tabs>
                <w:tab w:val="left" w:pos="0"/>
              </w:tabs>
              <w:snapToGrid w:val="0"/>
            </w:pPr>
          </w:p>
        </w:tc>
        <w:tc>
          <w:tcPr>
            <w:tcW w:w="1423" w:type="dxa"/>
          </w:tcPr>
          <w:p w14:paraId="55FCA8D7">
            <w:pPr>
              <w:pStyle w:val="29"/>
              <w:tabs>
                <w:tab w:val="left" w:pos="0"/>
              </w:tabs>
              <w:snapToGrid w:val="0"/>
            </w:pPr>
          </w:p>
        </w:tc>
        <w:tc>
          <w:tcPr>
            <w:tcW w:w="886" w:type="dxa"/>
          </w:tcPr>
          <w:p w14:paraId="46EF7BF1">
            <w:pPr>
              <w:pStyle w:val="29"/>
              <w:tabs>
                <w:tab w:val="left" w:pos="0"/>
              </w:tabs>
              <w:snapToGrid w:val="0"/>
            </w:pPr>
          </w:p>
        </w:tc>
        <w:tc>
          <w:tcPr>
            <w:tcW w:w="730" w:type="dxa"/>
          </w:tcPr>
          <w:p w14:paraId="3BEAC3FA">
            <w:pPr>
              <w:pStyle w:val="29"/>
              <w:tabs>
                <w:tab w:val="left" w:pos="0"/>
              </w:tabs>
              <w:snapToGrid w:val="0"/>
            </w:pPr>
          </w:p>
        </w:tc>
        <w:tc>
          <w:tcPr>
            <w:tcW w:w="738" w:type="dxa"/>
          </w:tcPr>
          <w:p w14:paraId="239986A6">
            <w:pPr>
              <w:pStyle w:val="29"/>
              <w:tabs>
                <w:tab w:val="left" w:pos="0"/>
              </w:tabs>
              <w:snapToGrid w:val="0"/>
            </w:pPr>
          </w:p>
        </w:tc>
        <w:tc>
          <w:tcPr>
            <w:tcW w:w="942" w:type="dxa"/>
          </w:tcPr>
          <w:p w14:paraId="35BB221E">
            <w:pPr>
              <w:pStyle w:val="29"/>
              <w:tabs>
                <w:tab w:val="left" w:pos="0"/>
              </w:tabs>
              <w:snapToGrid w:val="0"/>
            </w:pPr>
          </w:p>
        </w:tc>
        <w:tc>
          <w:tcPr>
            <w:tcW w:w="618" w:type="dxa"/>
          </w:tcPr>
          <w:p w14:paraId="5F0620CB">
            <w:pPr>
              <w:pStyle w:val="29"/>
              <w:tabs>
                <w:tab w:val="left" w:pos="0"/>
              </w:tabs>
              <w:snapToGrid w:val="0"/>
            </w:pPr>
          </w:p>
        </w:tc>
        <w:tc>
          <w:tcPr>
            <w:tcW w:w="739" w:type="dxa"/>
          </w:tcPr>
          <w:p w14:paraId="176124ED">
            <w:pPr>
              <w:pStyle w:val="29"/>
              <w:tabs>
                <w:tab w:val="left" w:pos="0"/>
              </w:tabs>
              <w:snapToGrid w:val="0"/>
            </w:pPr>
          </w:p>
        </w:tc>
        <w:tc>
          <w:tcPr>
            <w:tcW w:w="470" w:type="dxa"/>
          </w:tcPr>
          <w:p w14:paraId="20B94A38">
            <w:pPr>
              <w:pStyle w:val="29"/>
              <w:tabs>
                <w:tab w:val="left" w:pos="0"/>
              </w:tabs>
              <w:snapToGrid w:val="0"/>
            </w:pPr>
          </w:p>
        </w:tc>
        <w:tc>
          <w:tcPr>
            <w:tcW w:w="563" w:type="dxa"/>
          </w:tcPr>
          <w:p w14:paraId="5A9745C6">
            <w:pPr>
              <w:pStyle w:val="29"/>
              <w:tabs>
                <w:tab w:val="left" w:pos="0"/>
              </w:tabs>
              <w:snapToGrid w:val="0"/>
            </w:pPr>
          </w:p>
        </w:tc>
        <w:tc>
          <w:tcPr>
            <w:tcW w:w="647" w:type="dxa"/>
          </w:tcPr>
          <w:p w14:paraId="23D74259">
            <w:pPr>
              <w:pStyle w:val="29"/>
              <w:tabs>
                <w:tab w:val="left" w:pos="0"/>
              </w:tabs>
              <w:snapToGrid w:val="0"/>
            </w:pPr>
          </w:p>
        </w:tc>
        <w:tc>
          <w:tcPr>
            <w:tcW w:w="1299" w:type="dxa"/>
          </w:tcPr>
          <w:p w14:paraId="4953F36B">
            <w:pPr>
              <w:pStyle w:val="29"/>
              <w:tabs>
                <w:tab w:val="left" w:pos="0"/>
              </w:tabs>
              <w:snapToGrid w:val="0"/>
            </w:pPr>
          </w:p>
        </w:tc>
      </w:tr>
      <w:tr w14:paraId="31CBE7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17D575A3">
            <w:pPr>
              <w:pStyle w:val="29"/>
              <w:tabs>
                <w:tab w:val="left" w:pos="0"/>
              </w:tabs>
              <w:snapToGrid w:val="0"/>
            </w:pPr>
          </w:p>
        </w:tc>
        <w:tc>
          <w:tcPr>
            <w:tcW w:w="1423" w:type="dxa"/>
          </w:tcPr>
          <w:p w14:paraId="6788F236">
            <w:pPr>
              <w:pStyle w:val="29"/>
              <w:tabs>
                <w:tab w:val="left" w:pos="0"/>
              </w:tabs>
              <w:snapToGrid w:val="0"/>
            </w:pPr>
          </w:p>
        </w:tc>
        <w:tc>
          <w:tcPr>
            <w:tcW w:w="886" w:type="dxa"/>
          </w:tcPr>
          <w:p w14:paraId="6522F57B">
            <w:pPr>
              <w:pStyle w:val="29"/>
              <w:tabs>
                <w:tab w:val="left" w:pos="0"/>
              </w:tabs>
              <w:snapToGrid w:val="0"/>
            </w:pPr>
          </w:p>
        </w:tc>
        <w:tc>
          <w:tcPr>
            <w:tcW w:w="730" w:type="dxa"/>
          </w:tcPr>
          <w:p w14:paraId="0A9DE4D9">
            <w:pPr>
              <w:pStyle w:val="29"/>
              <w:tabs>
                <w:tab w:val="left" w:pos="0"/>
              </w:tabs>
              <w:snapToGrid w:val="0"/>
            </w:pPr>
          </w:p>
        </w:tc>
        <w:tc>
          <w:tcPr>
            <w:tcW w:w="738" w:type="dxa"/>
          </w:tcPr>
          <w:p w14:paraId="4E2A865E">
            <w:pPr>
              <w:pStyle w:val="29"/>
              <w:tabs>
                <w:tab w:val="left" w:pos="0"/>
              </w:tabs>
              <w:snapToGrid w:val="0"/>
            </w:pPr>
          </w:p>
        </w:tc>
        <w:tc>
          <w:tcPr>
            <w:tcW w:w="942" w:type="dxa"/>
          </w:tcPr>
          <w:p w14:paraId="55DF2703">
            <w:pPr>
              <w:pStyle w:val="29"/>
              <w:tabs>
                <w:tab w:val="left" w:pos="0"/>
              </w:tabs>
              <w:snapToGrid w:val="0"/>
            </w:pPr>
          </w:p>
        </w:tc>
        <w:tc>
          <w:tcPr>
            <w:tcW w:w="618" w:type="dxa"/>
          </w:tcPr>
          <w:p w14:paraId="210DF26F">
            <w:pPr>
              <w:pStyle w:val="29"/>
              <w:tabs>
                <w:tab w:val="left" w:pos="0"/>
              </w:tabs>
              <w:snapToGrid w:val="0"/>
            </w:pPr>
          </w:p>
        </w:tc>
        <w:tc>
          <w:tcPr>
            <w:tcW w:w="739" w:type="dxa"/>
          </w:tcPr>
          <w:p w14:paraId="2F1F5387">
            <w:pPr>
              <w:pStyle w:val="29"/>
              <w:tabs>
                <w:tab w:val="left" w:pos="0"/>
              </w:tabs>
              <w:snapToGrid w:val="0"/>
            </w:pPr>
          </w:p>
        </w:tc>
        <w:tc>
          <w:tcPr>
            <w:tcW w:w="470" w:type="dxa"/>
          </w:tcPr>
          <w:p w14:paraId="6018F7AE">
            <w:pPr>
              <w:pStyle w:val="29"/>
              <w:tabs>
                <w:tab w:val="left" w:pos="0"/>
              </w:tabs>
              <w:snapToGrid w:val="0"/>
            </w:pPr>
          </w:p>
        </w:tc>
        <w:tc>
          <w:tcPr>
            <w:tcW w:w="563" w:type="dxa"/>
          </w:tcPr>
          <w:p w14:paraId="73436AF6">
            <w:pPr>
              <w:pStyle w:val="29"/>
              <w:tabs>
                <w:tab w:val="left" w:pos="0"/>
              </w:tabs>
              <w:snapToGrid w:val="0"/>
            </w:pPr>
          </w:p>
        </w:tc>
        <w:tc>
          <w:tcPr>
            <w:tcW w:w="647" w:type="dxa"/>
          </w:tcPr>
          <w:p w14:paraId="4317BB62">
            <w:pPr>
              <w:pStyle w:val="29"/>
              <w:tabs>
                <w:tab w:val="left" w:pos="0"/>
              </w:tabs>
              <w:snapToGrid w:val="0"/>
            </w:pPr>
          </w:p>
        </w:tc>
        <w:tc>
          <w:tcPr>
            <w:tcW w:w="1299" w:type="dxa"/>
          </w:tcPr>
          <w:p w14:paraId="62A0BAD9">
            <w:pPr>
              <w:pStyle w:val="29"/>
              <w:tabs>
                <w:tab w:val="left" w:pos="0"/>
              </w:tabs>
              <w:snapToGrid w:val="0"/>
            </w:pPr>
          </w:p>
        </w:tc>
      </w:tr>
      <w:tr w14:paraId="10DF1D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jc w:val="center"/>
        </w:trPr>
        <w:tc>
          <w:tcPr>
            <w:tcW w:w="697" w:type="dxa"/>
          </w:tcPr>
          <w:p w14:paraId="4A4CA1C4">
            <w:pPr>
              <w:pStyle w:val="29"/>
              <w:tabs>
                <w:tab w:val="left" w:pos="0"/>
              </w:tabs>
              <w:snapToGrid w:val="0"/>
            </w:pPr>
          </w:p>
        </w:tc>
        <w:tc>
          <w:tcPr>
            <w:tcW w:w="1423" w:type="dxa"/>
          </w:tcPr>
          <w:p w14:paraId="163D6440">
            <w:pPr>
              <w:pStyle w:val="29"/>
              <w:tabs>
                <w:tab w:val="left" w:pos="0"/>
              </w:tabs>
              <w:snapToGrid w:val="0"/>
            </w:pPr>
          </w:p>
        </w:tc>
        <w:tc>
          <w:tcPr>
            <w:tcW w:w="886" w:type="dxa"/>
          </w:tcPr>
          <w:p w14:paraId="7C14ECC9">
            <w:pPr>
              <w:pStyle w:val="29"/>
              <w:tabs>
                <w:tab w:val="left" w:pos="0"/>
              </w:tabs>
              <w:snapToGrid w:val="0"/>
            </w:pPr>
          </w:p>
        </w:tc>
        <w:tc>
          <w:tcPr>
            <w:tcW w:w="730" w:type="dxa"/>
          </w:tcPr>
          <w:p w14:paraId="1C0159C8">
            <w:pPr>
              <w:pStyle w:val="29"/>
              <w:tabs>
                <w:tab w:val="left" w:pos="0"/>
              </w:tabs>
              <w:snapToGrid w:val="0"/>
            </w:pPr>
          </w:p>
        </w:tc>
        <w:tc>
          <w:tcPr>
            <w:tcW w:w="738" w:type="dxa"/>
          </w:tcPr>
          <w:p w14:paraId="44A70230">
            <w:pPr>
              <w:pStyle w:val="29"/>
              <w:tabs>
                <w:tab w:val="left" w:pos="0"/>
              </w:tabs>
              <w:snapToGrid w:val="0"/>
            </w:pPr>
          </w:p>
        </w:tc>
        <w:tc>
          <w:tcPr>
            <w:tcW w:w="942" w:type="dxa"/>
          </w:tcPr>
          <w:p w14:paraId="38E26E2F">
            <w:pPr>
              <w:pStyle w:val="29"/>
              <w:tabs>
                <w:tab w:val="left" w:pos="0"/>
              </w:tabs>
              <w:snapToGrid w:val="0"/>
            </w:pPr>
          </w:p>
        </w:tc>
        <w:tc>
          <w:tcPr>
            <w:tcW w:w="618" w:type="dxa"/>
          </w:tcPr>
          <w:p w14:paraId="2A64EEC7">
            <w:pPr>
              <w:pStyle w:val="29"/>
              <w:tabs>
                <w:tab w:val="left" w:pos="0"/>
              </w:tabs>
              <w:snapToGrid w:val="0"/>
            </w:pPr>
          </w:p>
        </w:tc>
        <w:tc>
          <w:tcPr>
            <w:tcW w:w="739" w:type="dxa"/>
          </w:tcPr>
          <w:p w14:paraId="1E272272">
            <w:pPr>
              <w:pStyle w:val="29"/>
              <w:tabs>
                <w:tab w:val="left" w:pos="0"/>
              </w:tabs>
              <w:snapToGrid w:val="0"/>
            </w:pPr>
          </w:p>
        </w:tc>
        <w:tc>
          <w:tcPr>
            <w:tcW w:w="470" w:type="dxa"/>
          </w:tcPr>
          <w:p w14:paraId="08DED327">
            <w:pPr>
              <w:pStyle w:val="29"/>
              <w:tabs>
                <w:tab w:val="left" w:pos="0"/>
              </w:tabs>
              <w:snapToGrid w:val="0"/>
            </w:pPr>
          </w:p>
        </w:tc>
        <w:tc>
          <w:tcPr>
            <w:tcW w:w="563" w:type="dxa"/>
          </w:tcPr>
          <w:p w14:paraId="71B8D6E2">
            <w:pPr>
              <w:pStyle w:val="29"/>
              <w:tabs>
                <w:tab w:val="left" w:pos="0"/>
              </w:tabs>
              <w:snapToGrid w:val="0"/>
            </w:pPr>
          </w:p>
        </w:tc>
        <w:tc>
          <w:tcPr>
            <w:tcW w:w="647" w:type="dxa"/>
          </w:tcPr>
          <w:p w14:paraId="6B8731BB">
            <w:pPr>
              <w:pStyle w:val="29"/>
              <w:tabs>
                <w:tab w:val="left" w:pos="0"/>
              </w:tabs>
              <w:snapToGrid w:val="0"/>
            </w:pPr>
          </w:p>
        </w:tc>
        <w:tc>
          <w:tcPr>
            <w:tcW w:w="1299" w:type="dxa"/>
          </w:tcPr>
          <w:p w14:paraId="62D0C66C">
            <w:pPr>
              <w:pStyle w:val="29"/>
              <w:tabs>
                <w:tab w:val="left" w:pos="0"/>
              </w:tabs>
              <w:snapToGrid w:val="0"/>
            </w:pPr>
          </w:p>
        </w:tc>
      </w:tr>
    </w:tbl>
    <w:p w14:paraId="11473CF1">
      <w:pPr>
        <w:pStyle w:val="11"/>
        <w:spacing w:line="258" w:lineRule="auto"/>
      </w:pPr>
    </w:p>
    <w:p w14:paraId="1B33935B">
      <w:pPr>
        <w:pStyle w:val="11"/>
        <w:spacing w:line="258" w:lineRule="auto"/>
      </w:pPr>
    </w:p>
    <w:p w14:paraId="665FCCB5">
      <w:pPr>
        <w:pStyle w:val="11"/>
        <w:spacing w:line="258" w:lineRule="auto"/>
      </w:pPr>
    </w:p>
    <w:p w14:paraId="7A235680">
      <w:pPr>
        <w:pStyle w:val="11"/>
        <w:spacing w:line="258" w:lineRule="auto"/>
      </w:pPr>
    </w:p>
    <w:p w14:paraId="25A02A09">
      <w:pPr>
        <w:pStyle w:val="11"/>
        <w:spacing w:line="258" w:lineRule="auto"/>
      </w:pPr>
    </w:p>
    <w:p w14:paraId="13F0DEF8">
      <w:pPr>
        <w:pStyle w:val="11"/>
        <w:spacing w:line="258" w:lineRule="auto"/>
      </w:pPr>
    </w:p>
    <w:p w14:paraId="6A12D3A5">
      <w:pPr>
        <w:pStyle w:val="11"/>
        <w:spacing w:line="258" w:lineRule="auto"/>
      </w:pPr>
    </w:p>
    <w:p w14:paraId="5F2DCC47">
      <w:pPr>
        <w:pStyle w:val="11"/>
        <w:spacing w:line="258" w:lineRule="auto"/>
      </w:pPr>
    </w:p>
    <w:p w14:paraId="6B4CD607">
      <w:pPr>
        <w:pStyle w:val="11"/>
        <w:spacing w:line="258" w:lineRule="auto"/>
      </w:pPr>
    </w:p>
    <w:p w14:paraId="078B8D6A">
      <w:pPr>
        <w:pStyle w:val="11"/>
        <w:spacing w:line="258" w:lineRule="auto"/>
      </w:pPr>
    </w:p>
    <w:p w14:paraId="4797C453">
      <w:pPr>
        <w:pStyle w:val="11"/>
        <w:spacing w:line="258" w:lineRule="auto"/>
      </w:pPr>
    </w:p>
    <w:p w14:paraId="36C2BC22">
      <w:pPr>
        <w:pStyle w:val="11"/>
        <w:spacing w:line="258" w:lineRule="auto"/>
      </w:pPr>
    </w:p>
    <w:p w14:paraId="7F8666C9">
      <w:pPr>
        <w:pStyle w:val="4"/>
        <w:spacing w:before="0" w:after="0" w:line="240" w:lineRule="auto"/>
        <w:rPr>
          <w:rFonts w:hint="eastAsia" w:ascii="宋体" w:hAnsi="宋体" w:cs="宋体"/>
          <w:lang w:eastAsia="zh-CN"/>
        </w:rPr>
      </w:pPr>
      <w:bookmarkStart w:id="228" w:name="_Toc30653"/>
      <w:bookmarkStart w:id="229" w:name="_Toc22824"/>
      <w:r>
        <w:rPr>
          <w:rFonts w:hint="eastAsia" w:ascii="宋体" w:hAnsi="宋体" w:cs="宋体"/>
          <w:lang w:eastAsia="zh-CN"/>
        </w:rPr>
        <w:t>附件五、养护站点设施、设备清单</w:t>
      </w:r>
      <w:bookmarkEnd w:id="228"/>
      <w:bookmarkEnd w:id="229"/>
    </w:p>
    <w:tbl>
      <w:tblPr>
        <w:tblStyle w:val="25"/>
        <w:tblW w:w="0" w:type="auto"/>
        <w:tblInd w:w="108" w:type="dxa"/>
        <w:tblLayout w:type="autofit"/>
        <w:tblCellMar>
          <w:top w:w="0" w:type="dxa"/>
          <w:left w:w="108" w:type="dxa"/>
          <w:bottom w:w="0" w:type="dxa"/>
          <w:right w:w="108" w:type="dxa"/>
        </w:tblCellMar>
      </w:tblPr>
      <w:tblGrid>
        <w:gridCol w:w="709"/>
        <w:gridCol w:w="2187"/>
        <w:gridCol w:w="4497"/>
        <w:gridCol w:w="2269"/>
      </w:tblGrid>
      <w:tr w14:paraId="650812EF">
        <w:tblPrEx>
          <w:tblCellMar>
            <w:top w:w="0" w:type="dxa"/>
            <w:left w:w="108" w:type="dxa"/>
            <w:bottom w:w="0" w:type="dxa"/>
            <w:right w:w="108" w:type="dxa"/>
          </w:tblCellMar>
        </w:tblPrEx>
        <w:trPr>
          <w:trHeight w:val="408" w:hRule="atLeast"/>
        </w:trPr>
        <w:tc>
          <w:tcPr>
            <w:tcW w:w="9662" w:type="dxa"/>
            <w:gridSpan w:val="4"/>
            <w:tcBorders>
              <w:top w:val="nil"/>
              <w:left w:val="nil"/>
              <w:bottom w:val="nil"/>
              <w:right w:val="nil"/>
            </w:tcBorders>
            <w:noWrap/>
            <w:vAlign w:val="center"/>
          </w:tcPr>
          <w:p w14:paraId="343A8401">
            <w:pPr>
              <w:widowControl/>
              <w:jc w:val="center"/>
              <w:rPr>
                <w:rFonts w:ascii="宋体" w:hAnsi="宋体" w:cs="宋体"/>
                <w:kern w:val="0"/>
                <w:sz w:val="32"/>
                <w:szCs w:val="32"/>
              </w:rPr>
            </w:pPr>
            <w:r>
              <w:rPr>
                <w:rFonts w:ascii="宋体" w:hAnsi="宋体" w:cs="宋体"/>
                <w:b/>
                <w:bCs/>
                <w:spacing w:val="-4"/>
                <w:sz w:val="24"/>
              </w:rPr>
              <w:t>养护站点清单</w:t>
            </w:r>
          </w:p>
        </w:tc>
      </w:tr>
      <w:tr w14:paraId="52C20606">
        <w:tblPrEx>
          <w:tblCellMar>
            <w:top w:w="0" w:type="dxa"/>
            <w:left w:w="108" w:type="dxa"/>
            <w:bottom w:w="0" w:type="dxa"/>
            <w:right w:w="108" w:type="dxa"/>
          </w:tblCellMar>
        </w:tblPrEx>
        <w:trPr>
          <w:trHeight w:val="699"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5794A5A9">
            <w:pPr>
              <w:widowControl/>
              <w:jc w:val="center"/>
              <w:rPr>
                <w:rFonts w:ascii="宋体" w:hAnsi="宋体" w:cs="宋体"/>
                <w:kern w:val="0"/>
                <w:sz w:val="24"/>
              </w:rPr>
            </w:pPr>
            <w:r>
              <w:rPr>
                <w:rFonts w:hint="eastAsia" w:ascii="宋体" w:hAnsi="宋体" w:cs="宋体"/>
                <w:kern w:val="0"/>
                <w:sz w:val="24"/>
              </w:rPr>
              <w:t>序号</w:t>
            </w:r>
          </w:p>
        </w:tc>
        <w:tc>
          <w:tcPr>
            <w:tcW w:w="2187" w:type="dxa"/>
            <w:tcBorders>
              <w:top w:val="single" w:color="000000" w:sz="4" w:space="0"/>
              <w:left w:val="nil"/>
              <w:bottom w:val="single" w:color="000000" w:sz="4" w:space="0"/>
              <w:right w:val="single" w:color="000000" w:sz="4" w:space="0"/>
            </w:tcBorders>
            <w:vAlign w:val="center"/>
          </w:tcPr>
          <w:p w14:paraId="7185E824">
            <w:pPr>
              <w:widowControl/>
              <w:jc w:val="center"/>
              <w:rPr>
                <w:rFonts w:ascii="宋体" w:hAnsi="宋体" w:cs="宋体"/>
                <w:kern w:val="0"/>
                <w:sz w:val="24"/>
              </w:rPr>
            </w:pPr>
            <w:r>
              <w:rPr>
                <w:rFonts w:hint="eastAsia" w:ascii="宋体" w:hAnsi="宋体" w:cs="宋体"/>
                <w:color w:val="auto"/>
                <w:kern w:val="0"/>
                <w:sz w:val="24"/>
              </w:rPr>
              <w:t>养护站点名称</w:t>
            </w:r>
          </w:p>
        </w:tc>
        <w:tc>
          <w:tcPr>
            <w:tcW w:w="4497" w:type="dxa"/>
            <w:tcBorders>
              <w:top w:val="single" w:color="000000" w:sz="4" w:space="0"/>
              <w:left w:val="nil"/>
              <w:bottom w:val="single" w:color="000000" w:sz="4" w:space="0"/>
              <w:right w:val="single" w:color="000000" w:sz="4" w:space="0"/>
            </w:tcBorders>
            <w:vAlign w:val="center"/>
          </w:tcPr>
          <w:p w14:paraId="026B4058">
            <w:pPr>
              <w:widowControl/>
              <w:jc w:val="center"/>
              <w:rPr>
                <w:rFonts w:ascii="宋体" w:hAnsi="宋体" w:cs="宋体"/>
                <w:kern w:val="0"/>
                <w:sz w:val="24"/>
              </w:rPr>
            </w:pPr>
            <w:r>
              <w:rPr>
                <w:rFonts w:hint="eastAsia" w:ascii="宋体" w:hAnsi="宋体" w:cs="宋体"/>
                <w:color w:val="auto"/>
                <w:kern w:val="0"/>
                <w:sz w:val="24"/>
              </w:rPr>
              <w:t>所属项目业主</w:t>
            </w:r>
          </w:p>
        </w:tc>
        <w:tc>
          <w:tcPr>
            <w:tcW w:w="2269" w:type="dxa"/>
            <w:tcBorders>
              <w:top w:val="single" w:color="000000" w:sz="4" w:space="0"/>
              <w:left w:val="nil"/>
              <w:bottom w:val="single" w:color="000000" w:sz="4" w:space="0"/>
              <w:right w:val="single" w:color="000000" w:sz="4" w:space="0"/>
            </w:tcBorders>
            <w:vAlign w:val="center"/>
          </w:tcPr>
          <w:p w14:paraId="70C1DA1A">
            <w:pPr>
              <w:widowControl/>
              <w:jc w:val="center"/>
              <w:rPr>
                <w:rFonts w:ascii="宋体" w:hAnsi="宋体" w:cs="宋体"/>
                <w:kern w:val="0"/>
                <w:sz w:val="24"/>
              </w:rPr>
            </w:pPr>
            <w:r>
              <w:rPr>
                <w:rFonts w:hint="eastAsia" w:ascii="宋体" w:hAnsi="宋体" w:cs="宋体"/>
                <w:color w:val="auto"/>
                <w:kern w:val="0"/>
                <w:sz w:val="24"/>
              </w:rPr>
              <w:t>地点、位置</w:t>
            </w:r>
          </w:p>
        </w:tc>
      </w:tr>
      <w:tr w14:paraId="1213B616">
        <w:tblPrEx>
          <w:tblCellMar>
            <w:top w:w="0" w:type="dxa"/>
            <w:left w:w="108" w:type="dxa"/>
            <w:bottom w:w="0" w:type="dxa"/>
            <w:right w:w="108" w:type="dxa"/>
          </w:tblCellMar>
        </w:tblPrEx>
        <w:trPr>
          <w:trHeight w:val="699" w:hRule="atLeast"/>
        </w:trPr>
        <w:tc>
          <w:tcPr>
            <w:tcW w:w="709" w:type="dxa"/>
            <w:tcBorders>
              <w:top w:val="nil"/>
              <w:left w:val="single" w:color="000000" w:sz="4" w:space="0"/>
              <w:bottom w:val="single" w:color="000000" w:sz="4" w:space="0"/>
              <w:right w:val="single" w:color="000000" w:sz="4" w:space="0"/>
            </w:tcBorders>
            <w:vAlign w:val="center"/>
          </w:tcPr>
          <w:p w14:paraId="76FE76A5">
            <w:pPr>
              <w:widowControl/>
              <w:jc w:val="center"/>
              <w:rPr>
                <w:rFonts w:ascii="宋体" w:hAnsi="宋体" w:cs="宋体"/>
                <w:kern w:val="0"/>
                <w:sz w:val="24"/>
              </w:rPr>
            </w:pPr>
            <w:r>
              <w:rPr>
                <w:rFonts w:hint="eastAsia" w:ascii="宋体" w:hAnsi="宋体" w:cs="宋体"/>
                <w:kern w:val="0"/>
                <w:sz w:val="24"/>
              </w:rPr>
              <w:t>1</w:t>
            </w:r>
          </w:p>
        </w:tc>
        <w:tc>
          <w:tcPr>
            <w:tcW w:w="2187" w:type="dxa"/>
            <w:tcBorders>
              <w:top w:val="nil"/>
              <w:left w:val="nil"/>
              <w:bottom w:val="single" w:color="000000" w:sz="4" w:space="0"/>
              <w:right w:val="single" w:color="000000" w:sz="4" w:space="0"/>
            </w:tcBorders>
            <w:vAlign w:val="center"/>
          </w:tcPr>
          <w:p w14:paraId="6E2666CC">
            <w:pPr>
              <w:widowControl/>
              <w:jc w:val="center"/>
              <w:rPr>
                <w:rFonts w:ascii="宋体" w:hAnsi="宋体" w:cs="宋体"/>
                <w:color w:val="FF0000"/>
                <w:kern w:val="0"/>
                <w:sz w:val="24"/>
              </w:rPr>
            </w:pPr>
            <w:r>
              <w:rPr>
                <w:rFonts w:hint="eastAsia" w:ascii="宋体" w:hAnsi="宋体" w:cs="宋体"/>
                <w:color w:val="auto"/>
                <w:kern w:val="0"/>
                <w:sz w:val="24"/>
                <w:lang w:val="en-US" w:eastAsia="zh-CN"/>
              </w:rPr>
              <w:t>栗木养护站</w:t>
            </w:r>
          </w:p>
        </w:tc>
        <w:tc>
          <w:tcPr>
            <w:tcW w:w="4497" w:type="dxa"/>
            <w:tcBorders>
              <w:top w:val="nil"/>
              <w:left w:val="nil"/>
              <w:bottom w:val="single" w:color="000000" w:sz="4" w:space="0"/>
              <w:right w:val="single" w:color="000000" w:sz="4" w:space="0"/>
            </w:tcBorders>
            <w:vAlign w:val="center"/>
          </w:tcPr>
          <w:p w14:paraId="093147B1">
            <w:pPr>
              <w:widowControl/>
              <w:jc w:val="center"/>
              <w:rPr>
                <w:rFonts w:ascii="宋体" w:hAnsi="宋体" w:cs="宋体"/>
                <w:kern w:val="0"/>
                <w:sz w:val="24"/>
              </w:rPr>
            </w:pPr>
            <w:r>
              <w:rPr>
                <w:rFonts w:hint="eastAsia" w:ascii="宋体" w:hAnsi="宋体" w:cs="宋体"/>
                <w:color w:val="auto"/>
                <w:kern w:val="0"/>
                <w:sz w:val="24"/>
              </w:rPr>
              <w:t>广西壮族自治区恭城公路养护中心</w:t>
            </w:r>
          </w:p>
        </w:tc>
        <w:tc>
          <w:tcPr>
            <w:tcW w:w="2269" w:type="dxa"/>
            <w:tcBorders>
              <w:top w:val="nil"/>
              <w:left w:val="nil"/>
              <w:bottom w:val="single" w:color="000000" w:sz="4" w:space="0"/>
              <w:right w:val="single" w:color="000000" w:sz="4" w:space="0"/>
            </w:tcBorders>
            <w:vAlign w:val="center"/>
          </w:tcPr>
          <w:p w14:paraId="0FB86672">
            <w:pPr>
              <w:keepNext w:val="0"/>
              <w:keepLines w:val="0"/>
              <w:numPr>
                <w:ilvl w:val="0"/>
                <w:numId w:val="0"/>
              </w:numPr>
              <w:suppressLineNumbers w:val="0"/>
              <w:tabs>
                <w:tab w:val="left" w:pos="0"/>
              </w:tabs>
              <w:spacing w:before="0" w:beforeAutospacing="0" w:after="0" w:afterAutospacing="0" w:line="240" w:lineRule="auto"/>
              <w:ind w:left="0" w:leftChars="0" w:right="0" w:rightChars="0" w:firstLine="0" w:firstLineChars="0"/>
              <w:jc w:val="both"/>
              <w:rPr>
                <w:rFonts w:ascii="宋体" w:hAnsi="宋体" w:cs="宋体"/>
                <w:color w:val="FF0000"/>
                <w:kern w:val="0"/>
                <w:sz w:val="24"/>
              </w:rPr>
            </w:pPr>
            <w:r>
              <w:rPr>
                <w:rFonts w:hint="eastAsia"/>
                <w:lang w:val="en-US" w:eastAsia="zh-CN"/>
              </w:rPr>
              <w:t xml:space="preserve"> </w:t>
            </w:r>
            <w:r>
              <w:rPr>
                <w:rFonts w:hint="eastAsia" w:ascii="宋体" w:hAnsi="宋体" w:cs="宋体"/>
                <w:color w:val="auto"/>
                <w:kern w:val="0"/>
                <w:sz w:val="24"/>
                <w:lang w:val="en-US" w:eastAsia="zh-CN"/>
              </w:rPr>
              <w:t>栗木镇G241线K2855+000</w:t>
            </w:r>
          </w:p>
        </w:tc>
      </w:tr>
      <w:tr w14:paraId="116CC80E">
        <w:tblPrEx>
          <w:tblCellMar>
            <w:top w:w="0" w:type="dxa"/>
            <w:left w:w="108" w:type="dxa"/>
            <w:bottom w:w="0" w:type="dxa"/>
            <w:right w:w="108" w:type="dxa"/>
          </w:tblCellMar>
        </w:tblPrEx>
        <w:trPr>
          <w:trHeight w:val="699" w:hRule="atLeast"/>
        </w:trPr>
        <w:tc>
          <w:tcPr>
            <w:tcW w:w="709" w:type="dxa"/>
            <w:tcBorders>
              <w:top w:val="nil"/>
              <w:left w:val="single" w:color="000000" w:sz="4" w:space="0"/>
              <w:bottom w:val="single" w:color="000000" w:sz="4" w:space="0"/>
              <w:right w:val="single" w:color="000000" w:sz="4" w:space="0"/>
            </w:tcBorders>
            <w:vAlign w:val="center"/>
          </w:tcPr>
          <w:p w14:paraId="3CFAABDB">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2</w:t>
            </w:r>
          </w:p>
        </w:tc>
        <w:tc>
          <w:tcPr>
            <w:tcW w:w="2187" w:type="dxa"/>
            <w:tcBorders>
              <w:top w:val="nil"/>
              <w:left w:val="nil"/>
              <w:bottom w:val="single" w:color="000000" w:sz="4" w:space="0"/>
              <w:right w:val="single" w:color="000000" w:sz="4" w:space="0"/>
            </w:tcBorders>
            <w:vAlign w:val="center"/>
          </w:tcPr>
          <w:p w14:paraId="1DFEED14">
            <w:pPr>
              <w:widowControl/>
              <w:jc w:val="center"/>
              <w:rPr>
                <w:rFonts w:ascii="宋体" w:hAnsi="宋体" w:cs="宋体"/>
                <w:color w:val="FF0000"/>
                <w:kern w:val="0"/>
                <w:sz w:val="24"/>
              </w:rPr>
            </w:pPr>
            <w:r>
              <w:rPr>
                <w:rFonts w:hint="eastAsia" w:ascii="宋体" w:hAnsi="宋体" w:cs="宋体"/>
                <w:color w:val="auto"/>
                <w:kern w:val="0"/>
                <w:sz w:val="24"/>
              </w:rPr>
              <w:t>秧家养护站</w:t>
            </w:r>
          </w:p>
        </w:tc>
        <w:tc>
          <w:tcPr>
            <w:tcW w:w="4497" w:type="dxa"/>
            <w:tcBorders>
              <w:top w:val="nil"/>
              <w:left w:val="nil"/>
              <w:bottom w:val="single" w:color="000000" w:sz="4" w:space="0"/>
              <w:right w:val="single" w:color="000000" w:sz="4" w:space="0"/>
            </w:tcBorders>
            <w:vAlign w:val="center"/>
          </w:tcPr>
          <w:p w14:paraId="0FA772DE">
            <w:pPr>
              <w:widowControl/>
              <w:jc w:val="center"/>
              <w:rPr>
                <w:rFonts w:ascii="宋体" w:hAnsi="宋体" w:cs="宋体"/>
                <w:kern w:val="0"/>
                <w:sz w:val="24"/>
              </w:rPr>
            </w:pPr>
            <w:r>
              <w:rPr>
                <w:rFonts w:hint="eastAsia" w:ascii="宋体" w:hAnsi="宋体" w:cs="宋体"/>
                <w:color w:val="auto"/>
                <w:kern w:val="0"/>
                <w:sz w:val="24"/>
              </w:rPr>
              <w:t>广西壮族自治区恭城公路养护中心</w:t>
            </w:r>
          </w:p>
        </w:tc>
        <w:tc>
          <w:tcPr>
            <w:tcW w:w="2269" w:type="dxa"/>
            <w:tcBorders>
              <w:top w:val="nil"/>
              <w:left w:val="nil"/>
              <w:bottom w:val="single" w:color="000000" w:sz="4" w:space="0"/>
              <w:right w:val="single" w:color="000000" w:sz="4" w:space="0"/>
            </w:tcBorders>
            <w:vAlign w:val="center"/>
          </w:tcPr>
          <w:p w14:paraId="79137B10">
            <w:pPr>
              <w:keepNext w:val="0"/>
              <w:keepLines w:val="0"/>
              <w:numPr>
                <w:ilvl w:val="0"/>
                <w:numId w:val="0"/>
              </w:numPr>
              <w:suppressLineNumbers w:val="0"/>
              <w:tabs>
                <w:tab w:val="left" w:pos="0"/>
              </w:tabs>
              <w:spacing w:before="0" w:beforeAutospacing="0" w:after="0" w:afterAutospacing="0" w:line="240" w:lineRule="auto"/>
              <w:ind w:left="0" w:leftChars="0" w:right="0" w:rightChars="0" w:firstLine="0" w:firstLineChars="0"/>
              <w:jc w:val="both"/>
              <w:rPr>
                <w:rFonts w:ascii="宋体" w:hAnsi="宋体" w:cs="宋体"/>
                <w:color w:val="FF0000"/>
                <w:kern w:val="0"/>
                <w:sz w:val="24"/>
              </w:rPr>
            </w:pPr>
            <w:r>
              <w:rPr>
                <w:rFonts w:hint="eastAsia" w:ascii="宋体" w:hAnsi="宋体" w:cs="宋体"/>
                <w:color w:val="auto"/>
                <w:kern w:val="0"/>
                <w:sz w:val="24"/>
                <w:lang w:val="en-US" w:eastAsia="zh-CN"/>
              </w:rPr>
              <w:t xml:space="preserve"> 嘉会镇G241线K2872+200</w:t>
            </w:r>
          </w:p>
        </w:tc>
      </w:tr>
      <w:tr w14:paraId="739E778C">
        <w:tblPrEx>
          <w:tblCellMar>
            <w:top w:w="0" w:type="dxa"/>
            <w:left w:w="108" w:type="dxa"/>
            <w:bottom w:w="0" w:type="dxa"/>
            <w:right w:w="108" w:type="dxa"/>
          </w:tblCellMar>
        </w:tblPrEx>
        <w:trPr>
          <w:trHeight w:val="699" w:hRule="atLeast"/>
        </w:trPr>
        <w:tc>
          <w:tcPr>
            <w:tcW w:w="709" w:type="dxa"/>
            <w:tcBorders>
              <w:top w:val="nil"/>
              <w:left w:val="single" w:color="000000" w:sz="4" w:space="0"/>
              <w:bottom w:val="single" w:color="000000" w:sz="4" w:space="0"/>
              <w:right w:val="single" w:color="000000" w:sz="4" w:space="0"/>
            </w:tcBorders>
            <w:vAlign w:val="center"/>
          </w:tcPr>
          <w:p w14:paraId="3E9FEFEF">
            <w:pPr>
              <w:widowControl/>
              <w:jc w:val="center"/>
              <w:rPr>
                <w:rFonts w:hint="eastAsia" w:ascii="宋体" w:hAnsi="宋体" w:eastAsia="宋体" w:cs="宋体"/>
                <w:kern w:val="0"/>
                <w:sz w:val="24"/>
                <w:lang w:eastAsia="zh-CN"/>
              </w:rPr>
            </w:pPr>
            <w:r>
              <w:rPr>
                <w:rFonts w:hint="eastAsia" w:ascii="宋体" w:hAnsi="宋体" w:cs="宋体"/>
                <w:kern w:val="0"/>
                <w:sz w:val="24"/>
                <w:lang w:val="en-US" w:eastAsia="zh-CN"/>
              </w:rPr>
              <w:t>3</w:t>
            </w:r>
          </w:p>
        </w:tc>
        <w:tc>
          <w:tcPr>
            <w:tcW w:w="2187" w:type="dxa"/>
            <w:tcBorders>
              <w:top w:val="nil"/>
              <w:left w:val="nil"/>
              <w:bottom w:val="single" w:color="000000" w:sz="4" w:space="0"/>
              <w:right w:val="single" w:color="000000" w:sz="4" w:space="0"/>
            </w:tcBorders>
            <w:vAlign w:val="center"/>
          </w:tcPr>
          <w:p w14:paraId="6A846231">
            <w:pPr>
              <w:widowControl/>
              <w:jc w:val="center"/>
              <w:rPr>
                <w:rFonts w:ascii="宋体" w:hAnsi="宋体" w:cs="宋体"/>
                <w:color w:val="FF0000"/>
                <w:kern w:val="0"/>
                <w:sz w:val="24"/>
              </w:rPr>
            </w:pPr>
            <w:r>
              <w:rPr>
                <w:rFonts w:hint="eastAsia" w:ascii="宋体" w:hAnsi="宋体" w:cs="宋体"/>
                <w:color w:val="auto"/>
                <w:kern w:val="0"/>
                <w:sz w:val="24"/>
                <w:lang w:val="en-US" w:eastAsia="zh-CN"/>
              </w:rPr>
              <w:t>二塘养护站</w:t>
            </w:r>
          </w:p>
        </w:tc>
        <w:tc>
          <w:tcPr>
            <w:tcW w:w="4497" w:type="dxa"/>
            <w:tcBorders>
              <w:top w:val="nil"/>
              <w:left w:val="nil"/>
              <w:bottom w:val="single" w:color="000000" w:sz="4" w:space="0"/>
              <w:right w:val="single" w:color="000000" w:sz="4" w:space="0"/>
            </w:tcBorders>
            <w:vAlign w:val="center"/>
          </w:tcPr>
          <w:p w14:paraId="12595ABC">
            <w:pPr>
              <w:widowControl/>
              <w:jc w:val="center"/>
              <w:rPr>
                <w:rFonts w:ascii="宋体" w:hAnsi="宋体" w:cs="宋体"/>
                <w:kern w:val="0"/>
                <w:sz w:val="24"/>
              </w:rPr>
            </w:pPr>
            <w:r>
              <w:rPr>
                <w:rFonts w:hint="eastAsia" w:ascii="宋体" w:hAnsi="宋体" w:cs="宋体"/>
                <w:color w:val="auto"/>
                <w:kern w:val="0"/>
                <w:sz w:val="24"/>
                <w:lang w:eastAsia="zh-CN"/>
              </w:rPr>
              <w:t>广西壮族自治区平乐公路养护中心</w:t>
            </w:r>
          </w:p>
        </w:tc>
        <w:tc>
          <w:tcPr>
            <w:tcW w:w="2269" w:type="dxa"/>
            <w:tcBorders>
              <w:top w:val="nil"/>
              <w:left w:val="nil"/>
              <w:bottom w:val="single" w:color="000000" w:sz="4" w:space="0"/>
              <w:right w:val="single" w:color="000000" w:sz="4" w:space="0"/>
            </w:tcBorders>
            <w:vAlign w:val="center"/>
          </w:tcPr>
          <w:p w14:paraId="1D787125">
            <w:pPr>
              <w:keepNext w:val="0"/>
              <w:keepLines w:val="0"/>
              <w:widowControl/>
              <w:suppressLineNumbers w:val="0"/>
              <w:jc w:val="center"/>
              <w:textAlignment w:val="center"/>
              <w:rPr>
                <w:rFonts w:ascii="宋体" w:hAnsi="宋体" w:cs="宋体"/>
                <w:color w:val="FF0000"/>
                <w:kern w:val="0"/>
                <w:sz w:val="24"/>
              </w:rPr>
            </w:pPr>
            <w:r>
              <w:rPr>
                <w:rFonts w:hint="eastAsia" w:ascii="宋体" w:hAnsi="宋体" w:cs="宋体"/>
                <w:color w:val="auto"/>
                <w:kern w:val="0"/>
                <w:sz w:val="24"/>
                <w:lang w:val="en-US" w:eastAsia="zh-CN"/>
              </w:rPr>
              <w:t>二塘镇（S302线K119+630）</w:t>
            </w:r>
            <w:r>
              <w:rPr>
                <w:rFonts w:hint="eastAsia" w:ascii="Calibri" w:hAnsi="Calibri" w:eastAsia="宋体" w:cs="Calibri"/>
                <w:i w:val="0"/>
                <w:iCs w:val="0"/>
                <w:snapToGrid w:val="0"/>
                <w:color w:val="000000"/>
                <w:kern w:val="0"/>
                <w:sz w:val="22"/>
                <w:szCs w:val="22"/>
                <w:u w:val="none"/>
                <w:lang w:val="en-US" w:eastAsia="zh-CN" w:bidi="ar"/>
              </w:rPr>
              <w:t xml:space="preserve"> </w:t>
            </w:r>
          </w:p>
        </w:tc>
      </w:tr>
      <w:tr w14:paraId="54C73403">
        <w:tblPrEx>
          <w:tblCellMar>
            <w:top w:w="0" w:type="dxa"/>
            <w:left w:w="108" w:type="dxa"/>
            <w:bottom w:w="0" w:type="dxa"/>
            <w:right w:w="108" w:type="dxa"/>
          </w:tblCellMar>
        </w:tblPrEx>
        <w:trPr>
          <w:trHeight w:val="699"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3E9FDAC8">
            <w:pPr>
              <w:widowControl/>
              <w:jc w:val="center"/>
              <w:rPr>
                <w:rFonts w:hint="eastAsia" w:ascii="宋体" w:hAnsi="宋体" w:eastAsia="宋体" w:cs="宋体"/>
                <w:kern w:val="0"/>
                <w:sz w:val="24"/>
                <w:lang w:eastAsia="zh-CN"/>
              </w:rPr>
            </w:pPr>
            <w:r>
              <w:rPr>
                <w:rFonts w:hint="eastAsia" w:ascii="宋体" w:hAnsi="宋体" w:cs="宋体"/>
                <w:kern w:val="0"/>
                <w:sz w:val="24"/>
                <w:lang w:val="en-US" w:eastAsia="zh-CN"/>
              </w:rPr>
              <w:t>4</w:t>
            </w:r>
          </w:p>
        </w:tc>
        <w:tc>
          <w:tcPr>
            <w:tcW w:w="2187" w:type="dxa"/>
            <w:tcBorders>
              <w:top w:val="single" w:color="000000" w:sz="4" w:space="0"/>
              <w:left w:val="single" w:color="000000" w:sz="4" w:space="0"/>
              <w:bottom w:val="single" w:color="000000" w:sz="4" w:space="0"/>
              <w:right w:val="single" w:color="000000" w:sz="4" w:space="0"/>
            </w:tcBorders>
            <w:vAlign w:val="center"/>
          </w:tcPr>
          <w:p w14:paraId="4EF16F37">
            <w:pPr>
              <w:widowControl/>
              <w:jc w:val="center"/>
              <w:rPr>
                <w:rFonts w:ascii="宋体" w:hAnsi="宋体" w:cs="宋体"/>
                <w:color w:val="FF0000"/>
                <w:kern w:val="0"/>
                <w:sz w:val="24"/>
              </w:rPr>
            </w:pPr>
            <w:r>
              <w:rPr>
                <w:rFonts w:hint="eastAsia" w:ascii="宋体" w:hAnsi="宋体" w:cs="宋体"/>
                <w:color w:val="auto"/>
                <w:kern w:val="0"/>
                <w:sz w:val="24"/>
                <w:lang w:val="en-US" w:eastAsia="zh-CN"/>
              </w:rPr>
              <w:t>同安养护站</w:t>
            </w:r>
          </w:p>
        </w:tc>
        <w:tc>
          <w:tcPr>
            <w:tcW w:w="4497" w:type="dxa"/>
            <w:tcBorders>
              <w:top w:val="single" w:color="000000" w:sz="4" w:space="0"/>
              <w:left w:val="single" w:color="000000" w:sz="4" w:space="0"/>
              <w:bottom w:val="single" w:color="000000" w:sz="4" w:space="0"/>
              <w:right w:val="single" w:color="000000" w:sz="4" w:space="0"/>
            </w:tcBorders>
            <w:vAlign w:val="center"/>
          </w:tcPr>
          <w:p w14:paraId="30263049">
            <w:pPr>
              <w:widowControl/>
              <w:jc w:val="center"/>
              <w:rPr>
                <w:rFonts w:ascii="宋体" w:hAnsi="宋体" w:cs="宋体"/>
                <w:kern w:val="0"/>
                <w:sz w:val="24"/>
              </w:rPr>
            </w:pPr>
            <w:r>
              <w:rPr>
                <w:rFonts w:hint="eastAsia" w:ascii="宋体" w:hAnsi="宋体" w:cs="宋体"/>
                <w:color w:val="auto"/>
                <w:kern w:val="0"/>
                <w:sz w:val="24"/>
                <w:lang w:eastAsia="zh-CN"/>
              </w:rPr>
              <w:t>广西壮族自治区平乐公路养护中心</w:t>
            </w:r>
          </w:p>
        </w:tc>
        <w:tc>
          <w:tcPr>
            <w:tcW w:w="2269" w:type="dxa"/>
            <w:tcBorders>
              <w:top w:val="single" w:color="000000" w:sz="4" w:space="0"/>
              <w:left w:val="single" w:color="000000" w:sz="4" w:space="0"/>
              <w:bottom w:val="single" w:color="000000" w:sz="4" w:space="0"/>
              <w:right w:val="single" w:color="000000" w:sz="4" w:space="0"/>
            </w:tcBorders>
            <w:vAlign w:val="center"/>
          </w:tcPr>
          <w:p w14:paraId="4DD79124">
            <w:pPr>
              <w:keepNext w:val="0"/>
              <w:keepLines w:val="0"/>
              <w:widowControl/>
              <w:suppressLineNumbers w:val="0"/>
              <w:jc w:val="center"/>
              <w:textAlignment w:val="center"/>
              <w:rPr>
                <w:rFonts w:ascii="宋体" w:hAnsi="宋体" w:cs="宋体"/>
                <w:color w:val="FF0000"/>
                <w:kern w:val="0"/>
                <w:sz w:val="24"/>
              </w:rPr>
            </w:pPr>
            <w:r>
              <w:rPr>
                <w:rFonts w:hint="eastAsia" w:ascii="宋体" w:hAnsi="宋体" w:cs="宋体"/>
                <w:color w:val="auto"/>
                <w:kern w:val="0"/>
                <w:sz w:val="24"/>
                <w:lang w:val="en-US" w:eastAsia="zh-CN"/>
              </w:rPr>
              <w:t xml:space="preserve">同安镇（G241线k2929+600） </w:t>
            </w:r>
          </w:p>
        </w:tc>
      </w:tr>
      <w:tr w14:paraId="0CAECE23">
        <w:tblPrEx>
          <w:tblCellMar>
            <w:top w:w="0" w:type="dxa"/>
            <w:left w:w="108" w:type="dxa"/>
            <w:bottom w:w="0" w:type="dxa"/>
            <w:right w:w="108" w:type="dxa"/>
          </w:tblCellMar>
        </w:tblPrEx>
        <w:trPr>
          <w:trHeight w:val="699"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19D0A6A9">
            <w:pPr>
              <w:widowControl/>
              <w:jc w:val="center"/>
              <w:rPr>
                <w:rFonts w:hint="eastAsia" w:ascii="宋体" w:hAnsi="宋体" w:eastAsia="宋体" w:cs="宋体"/>
                <w:kern w:val="0"/>
                <w:sz w:val="24"/>
                <w:lang w:eastAsia="zh-CN"/>
              </w:rPr>
            </w:pPr>
            <w:r>
              <w:rPr>
                <w:rFonts w:hint="eastAsia" w:ascii="宋体" w:hAnsi="宋体" w:cs="宋体"/>
                <w:kern w:val="0"/>
                <w:sz w:val="24"/>
                <w:lang w:val="en-US" w:eastAsia="zh-CN"/>
              </w:rPr>
              <w:t>5</w:t>
            </w:r>
          </w:p>
        </w:tc>
        <w:tc>
          <w:tcPr>
            <w:tcW w:w="2187" w:type="dxa"/>
            <w:tcBorders>
              <w:top w:val="single" w:color="000000" w:sz="4" w:space="0"/>
              <w:left w:val="single" w:color="000000" w:sz="4" w:space="0"/>
              <w:bottom w:val="single" w:color="000000" w:sz="4" w:space="0"/>
              <w:right w:val="single" w:color="000000" w:sz="4" w:space="0"/>
            </w:tcBorders>
            <w:vAlign w:val="center"/>
          </w:tcPr>
          <w:p w14:paraId="33AA9EFE">
            <w:pPr>
              <w:widowControl/>
              <w:jc w:val="center"/>
              <w:rPr>
                <w:rFonts w:ascii="宋体" w:hAnsi="宋体" w:cs="宋体"/>
                <w:color w:val="FF0000"/>
                <w:kern w:val="0"/>
                <w:sz w:val="24"/>
              </w:rPr>
            </w:pPr>
            <w:r>
              <w:rPr>
                <w:rFonts w:hint="eastAsia" w:ascii="宋体" w:hAnsi="宋体" w:cs="宋体"/>
                <w:color w:val="auto"/>
                <w:kern w:val="0"/>
                <w:sz w:val="24"/>
                <w:lang w:val="en-US" w:eastAsia="zh-CN"/>
              </w:rPr>
              <w:t>沙子养护站</w:t>
            </w:r>
          </w:p>
        </w:tc>
        <w:tc>
          <w:tcPr>
            <w:tcW w:w="4497" w:type="dxa"/>
            <w:tcBorders>
              <w:top w:val="single" w:color="000000" w:sz="4" w:space="0"/>
              <w:left w:val="single" w:color="000000" w:sz="4" w:space="0"/>
              <w:bottom w:val="single" w:color="000000" w:sz="4" w:space="0"/>
              <w:right w:val="single" w:color="000000" w:sz="4" w:space="0"/>
            </w:tcBorders>
            <w:vAlign w:val="center"/>
          </w:tcPr>
          <w:p w14:paraId="561BC454">
            <w:pPr>
              <w:widowControl/>
              <w:jc w:val="center"/>
              <w:rPr>
                <w:rFonts w:ascii="宋体" w:hAnsi="宋体" w:cs="宋体"/>
                <w:kern w:val="0"/>
                <w:sz w:val="24"/>
              </w:rPr>
            </w:pPr>
            <w:r>
              <w:rPr>
                <w:rFonts w:hint="eastAsia" w:ascii="宋体" w:hAnsi="宋体" w:cs="宋体"/>
                <w:color w:val="auto"/>
                <w:kern w:val="0"/>
                <w:sz w:val="24"/>
                <w:lang w:eastAsia="zh-CN"/>
              </w:rPr>
              <w:t>广西壮族自治区平乐公路养护中心</w:t>
            </w:r>
          </w:p>
        </w:tc>
        <w:tc>
          <w:tcPr>
            <w:tcW w:w="2269" w:type="dxa"/>
            <w:tcBorders>
              <w:top w:val="single" w:color="000000" w:sz="4" w:space="0"/>
              <w:left w:val="single" w:color="000000" w:sz="4" w:space="0"/>
              <w:bottom w:val="single" w:color="000000" w:sz="4" w:space="0"/>
              <w:right w:val="single" w:color="000000" w:sz="4" w:space="0"/>
            </w:tcBorders>
            <w:vAlign w:val="center"/>
          </w:tcPr>
          <w:p w14:paraId="68C36F65">
            <w:pPr>
              <w:keepNext w:val="0"/>
              <w:keepLines w:val="0"/>
              <w:widowControl/>
              <w:suppressLineNumbers w:val="0"/>
              <w:jc w:val="center"/>
              <w:textAlignment w:val="center"/>
              <w:rPr>
                <w:rFonts w:ascii="宋体" w:hAnsi="宋体" w:cs="宋体"/>
                <w:color w:val="FF0000"/>
                <w:kern w:val="0"/>
                <w:sz w:val="24"/>
              </w:rPr>
            </w:pPr>
            <w:r>
              <w:rPr>
                <w:rFonts w:hint="eastAsia" w:ascii="宋体" w:hAnsi="宋体" w:cs="宋体"/>
                <w:color w:val="auto"/>
                <w:kern w:val="0"/>
                <w:sz w:val="24"/>
                <w:lang w:val="en-US" w:eastAsia="zh-CN"/>
              </w:rPr>
              <w:t>沙子镇（S302线K134+350）</w:t>
            </w:r>
            <w:r>
              <w:rPr>
                <w:rFonts w:hint="eastAsia" w:ascii="Calibri" w:hAnsi="Calibri" w:eastAsia="宋体" w:cs="Calibri"/>
                <w:i w:val="0"/>
                <w:iCs w:val="0"/>
                <w:snapToGrid w:val="0"/>
                <w:color w:val="000000"/>
                <w:kern w:val="0"/>
                <w:sz w:val="22"/>
                <w:szCs w:val="22"/>
                <w:u w:val="none"/>
                <w:lang w:val="en-US" w:eastAsia="zh-CN" w:bidi="ar"/>
              </w:rPr>
              <w:t xml:space="preserve"> </w:t>
            </w:r>
          </w:p>
        </w:tc>
      </w:tr>
      <w:tr w14:paraId="2D69B847">
        <w:tblPrEx>
          <w:tblCellMar>
            <w:top w:w="0" w:type="dxa"/>
            <w:left w:w="108" w:type="dxa"/>
            <w:bottom w:w="0" w:type="dxa"/>
            <w:right w:w="108" w:type="dxa"/>
          </w:tblCellMar>
        </w:tblPrEx>
        <w:trPr>
          <w:trHeight w:val="699"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0BACCC46">
            <w:pPr>
              <w:widowControl/>
              <w:jc w:val="center"/>
              <w:rPr>
                <w:rFonts w:hint="eastAsia" w:ascii="宋体" w:hAnsi="宋体" w:eastAsia="宋体" w:cs="宋体"/>
                <w:kern w:val="0"/>
                <w:sz w:val="24"/>
                <w:lang w:eastAsia="zh-CN"/>
              </w:rPr>
            </w:pPr>
            <w:r>
              <w:rPr>
                <w:rFonts w:hint="eastAsia" w:ascii="宋体" w:hAnsi="宋体" w:cs="宋体"/>
                <w:kern w:val="0"/>
                <w:sz w:val="24"/>
                <w:lang w:val="en-US" w:eastAsia="zh-CN"/>
              </w:rPr>
              <w:t>6</w:t>
            </w:r>
          </w:p>
        </w:tc>
        <w:tc>
          <w:tcPr>
            <w:tcW w:w="2187" w:type="dxa"/>
            <w:tcBorders>
              <w:top w:val="single" w:color="000000" w:sz="4" w:space="0"/>
              <w:left w:val="single" w:color="000000" w:sz="4" w:space="0"/>
              <w:bottom w:val="single" w:color="000000" w:sz="4" w:space="0"/>
              <w:right w:val="single" w:color="000000" w:sz="4" w:space="0"/>
            </w:tcBorders>
            <w:vAlign w:val="center"/>
          </w:tcPr>
          <w:p w14:paraId="5841A556">
            <w:pPr>
              <w:widowControl/>
              <w:jc w:val="center"/>
              <w:rPr>
                <w:rFonts w:ascii="宋体" w:hAnsi="宋体" w:cs="宋体"/>
                <w:color w:val="FF0000"/>
                <w:kern w:val="0"/>
                <w:sz w:val="24"/>
              </w:rPr>
            </w:pPr>
            <w:r>
              <w:rPr>
                <w:rFonts w:hint="eastAsia" w:ascii="宋体" w:hAnsi="宋体" w:cs="宋体"/>
                <w:color w:val="auto"/>
                <w:kern w:val="0"/>
                <w:sz w:val="24"/>
                <w:lang w:val="en-US" w:eastAsia="zh-CN"/>
              </w:rPr>
              <w:t>月落湾养护站</w:t>
            </w:r>
          </w:p>
        </w:tc>
        <w:tc>
          <w:tcPr>
            <w:tcW w:w="4497" w:type="dxa"/>
            <w:tcBorders>
              <w:top w:val="single" w:color="000000" w:sz="4" w:space="0"/>
              <w:left w:val="single" w:color="000000" w:sz="4" w:space="0"/>
              <w:bottom w:val="single" w:color="000000" w:sz="4" w:space="0"/>
              <w:right w:val="single" w:color="000000" w:sz="4" w:space="0"/>
            </w:tcBorders>
            <w:vAlign w:val="center"/>
          </w:tcPr>
          <w:p w14:paraId="3E1358C5">
            <w:pPr>
              <w:widowControl/>
              <w:jc w:val="center"/>
              <w:rPr>
                <w:rFonts w:ascii="宋体" w:hAnsi="宋体" w:cs="宋体"/>
                <w:kern w:val="0"/>
                <w:sz w:val="24"/>
              </w:rPr>
            </w:pPr>
            <w:r>
              <w:rPr>
                <w:rFonts w:hint="eastAsia" w:ascii="宋体" w:hAnsi="宋体" w:cs="宋体"/>
                <w:color w:val="auto"/>
                <w:kern w:val="0"/>
                <w:sz w:val="24"/>
                <w:lang w:eastAsia="zh-CN"/>
              </w:rPr>
              <w:t>广西壮族自治区阳朔公路养护中心</w:t>
            </w:r>
          </w:p>
        </w:tc>
        <w:tc>
          <w:tcPr>
            <w:tcW w:w="2269" w:type="dxa"/>
            <w:tcBorders>
              <w:top w:val="single" w:color="000000" w:sz="4" w:space="0"/>
              <w:left w:val="single" w:color="000000" w:sz="4" w:space="0"/>
              <w:bottom w:val="single" w:color="000000" w:sz="4" w:space="0"/>
              <w:right w:val="single" w:color="000000" w:sz="4" w:space="0"/>
            </w:tcBorders>
            <w:vAlign w:val="center"/>
          </w:tcPr>
          <w:p w14:paraId="7C3F5E30">
            <w:pPr>
              <w:keepNext w:val="0"/>
              <w:keepLines w:val="0"/>
              <w:widowControl/>
              <w:suppressLineNumbers w:val="0"/>
              <w:jc w:val="center"/>
              <w:textAlignment w:val="center"/>
              <w:rPr>
                <w:rFonts w:ascii="宋体" w:hAnsi="宋体" w:cs="宋体"/>
                <w:color w:val="FF0000"/>
                <w:kern w:val="0"/>
                <w:sz w:val="24"/>
              </w:rPr>
            </w:pPr>
            <w:r>
              <w:rPr>
                <w:rFonts w:hint="eastAsia" w:ascii="宋体" w:hAnsi="宋体" w:cs="宋体"/>
                <w:color w:val="auto"/>
                <w:kern w:val="0"/>
                <w:sz w:val="24"/>
                <w:lang w:val="en-US" w:eastAsia="zh-CN"/>
              </w:rPr>
              <w:t>S302线</w:t>
            </w:r>
          </w:p>
        </w:tc>
      </w:tr>
      <w:tr w14:paraId="39F72BF0">
        <w:tblPrEx>
          <w:tblCellMar>
            <w:top w:w="0" w:type="dxa"/>
            <w:left w:w="108" w:type="dxa"/>
            <w:bottom w:w="0" w:type="dxa"/>
            <w:right w:w="108" w:type="dxa"/>
          </w:tblCellMar>
        </w:tblPrEx>
        <w:trPr>
          <w:trHeight w:val="699"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7D9FDB6B">
            <w:pPr>
              <w:widowControl/>
              <w:jc w:val="center"/>
              <w:rPr>
                <w:rFonts w:hint="eastAsia" w:ascii="宋体" w:hAnsi="宋体" w:eastAsia="宋体" w:cs="宋体"/>
                <w:kern w:val="0"/>
                <w:sz w:val="24"/>
                <w:lang w:eastAsia="zh-CN"/>
              </w:rPr>
            </w:pPr>
            <w:r>
              <w:rPr>
                <w:rFonts w:hint="eastAsia" w:ascii="宋体" w:hAnsi="宋体" w:cs="宋体"/>
                <w:kern w:val="0"/>
                <w:sz w:val="24"/>
                <w:lang w:val="en-US" w:eastAsia="zh-CN"/>
              </w:rPr>
              <w:t>7</w:t>
            </w:r>
          </w:p>
        </w:tc>
        <w:tc>
          <w:tcPr>
            <w:tcW w:w="2187" w:type="dxa"/>
            <w:tcBorders>
              <w:top w:val="single" w:color="000000" w:sz="4" w:space="0"/>
              <w:left w:val="single" w:color="000000" w:sz="4" w:space="0"/>
              <w:bottom w:val="single" w:color="000000" w:sz="4" w:space="0"/>
              <w:right w:val="single" w:color="000000" w:sz="4" w:space="0"/>
            </w:tcBorders>
            <w:vAlign w:val="top"/>
          </w:tcPr>
          <w:p w14:paraId="3D9F9FE7">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right="0" w:rightChars="0" w:firstLine="240" w:firstLineChars="100"/>
              <w:textAlignment w:val="baseline"/>
              <w:rPr>
                <w:rFonts w:ascii="宋体" w:hAnsi="宋体" w:cs="宋体"/>
                <w:kern w:val="0"/>
                <w:sz w:val="24"/>
              </w:rPr>
            </w:pPr>
            <w:r>
              <w:rPr>
                <w:rFonts w:hint="eastAsia" w:ascii="宋体" w:hAnsi="宋体" w:eastAsia="Arial" w:cs="宋体"/>
                <w:snapToGrid w:val="0"/>
                <w:color w:val="auto"/>
                <w:kern w:val="0"/>
                <w:sz w:val="24"/>
                <w:szCs w:val="21"/>
                <w:lang w:val="en-US" w:eastAsia="zh-CN" w:bidi="ar-SA"/>
              </w:rPr>
              <w:t>黄关养护站</w:t>
            </w:r>
          </w:p>
        </w:tc>
        <w:tc>
          <w:tcPr>
            <w:tcW w:w="4497" w:type="dxa"/>
            <w:tcBorders>
              <w:top w:val="single" w:color="000000" w:sz="4" w:space="0"/>
              <w:left w:val="single" w:color="000000" w:sz="4" w:space="0"/>
              <w:bottom w:val="single" w:color="000000" w:sz="4" w:space="0"/>
              <w:right w:val="single" w:color="000000" w:sz="4" w:space="0"/>
            </w:tcBorders>
            <w:vAlign w:val="top"/>
          </w:tcPr>
          <w:p w14:paraId="78D9BBF3">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right="0" w:rightChars="0"/>
              <w:textAlignment w:val="baseline"/>
              <w:rPr>
                <w:rFonts w:ascii="宋体" w:hAnsi="宋体" w:cs="宋体"/>
                <w:kern w:val="0"/>
                <w:sz w:val="24"/>
              </w:rPr>
            </w:pPr>
            <w:r>
              <w:rPr>
                <w:rFonts w:hint="eastAsia" w:ascii="宋体" w:hAnsi="宋体" w:eastAsia="Arial" w:cs="宋体"/>
                <w:snapToGrid w:val="0"/>
                <w:color w:val="auto"/>
                <w:kern w:val="0"/>
                <w:sz w:val="24"/>
                <w:szCs w:val="21"/>
                <w:lang w:val="en-US" w:eastAsia="zh-CN" w:bidi="ar-SA"/>
              </w:rPr>
              <w:t>广西壮族自治区灌阳公路养护中心</w:t>
            </w:r>
          </w:p>
        </w:tc>
        <w:tc>
          <w:tcPr>
            <w:tcW w:w="2269" w:type="dxa"/>
            <w:tcBorders>
              <w:top w:val="single" w:color="000000" w:sz="4" w:space="0"/>
              <w:left w:val="single" w:color="000000" w:sz="4" w:space="0"/>
              <w:bottom w:val="single" w:color="000000" w:sz="4" w:space="0"/>
              <w:right w:val="single" w:color="000000" w:sz="4" w:space="0"/>
            </w:tcBorders>
            <w:vAlign w:val="top"/>
          </w:tcPr>
          <w:p w14:paraId="4B73B67B">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right="0" w:rightChars="0"/>
              <w:textAlignment w:val="baseline"/>
              <w:rPr>
                <w:rFonts w:ascii="宋体" w:hAnsi="宋体" w:cs="宋体"/>
                <w:color w:val="FF0000"/>
                <w:kern w:val="0"/>
                <w:sz w:val="24"/>
              </w:rPr>
            </w:pPr>
            <w:r>
              <w:rPr>
                <w:rFonts w:hint="eastAsia" w:ascii="宋体" w:hAnsi="宋体" w:eastAsia="Arial" w:cs="宋体"/>
                <w:snapToGrid w:val="0"/>
                <w:color w:val="auto"/>
                <w:kern w:val="0"/>
                <w:sz w:val="24"/>
                <w:szCs w:val="21"/>
                <w:lang w:val="en-US" w:eastAsia="zh-CN" w:bidi="ar-SA"/>
              </w:rPr>
              <w:t>G241线K2816+700右侧</w:t>
            </w:r>
          </w:p>
        </w:tc>
      </w:tr>
    </w:tbl>
    <w:p w14:paraId="6A0DBEAA">
      <w:pPr>
        <w:tabs>
          <w:tab w:val="left" w:pos="0"/>
        </w:tabs>
        <w:rPr>
          <w:rFonts w:hint="eastAsia" w:ascii="宋体" w:hAnsi="宋体" w:cs="宋体"/>
          <w:b/>
          <w:bCs/>
          <w:sz w:val="30"/>
          <w:szCs w:val="32"/>
        </w:rPr>
      </w:pPr>
      <w:bookmarkStart w:id="230" w:name="_Toc7164"/>
    </w:p>
    <w:p w14:paraId="5023764C">
      <w:pPr>
        <w:tabs>
          <w:tab w:val="left" w:pos="0"/>
        </w:tabs>
        <w:rPr>
          <w:rFonts w:hint="eastAsia" w:ascii="宋体" w:hAnsi="宋体" w:cs="宋体"/>
          <w:b/>
          <w:bCs/>
          <w:sz w:val="30"/>
          <w:szCs w:val="32"/>
        </w:rPr>
      </w:pPr>
    </w:p>
    <w:p w14:paraId="2A173A26">
      <w:pPr>
        <w:tabs>
          <w:tab w:val="left" w:pos="0"/>
        </w:tabs>
        <w:rPr>
          <w:rFonts w:hint="eastAsia" w:ascii="宋体" w:hAnsi="宋体" w:cs="宋体"/>
          <w:b/>
          <w:bCs/>
          <w:sz w:val="30"/>
          <w:szCs w:val="32"/>
        </w:rPr>
      </w:pPr>
    </w:p>
    <w:p w14:paraId="53088620">
      <w:pPr>
        <w:tabs>
          <w:tab w:val="left" w:pos="0"/>
        </w:tabs>
        <w:rPr>
          <w:rFonts w:hint="eastAsia" w:ascii="宋体" w:hAnsi="宋体" w:cs="宋体"/>
          <w:b/>
          <w:bCs/>
          <w:sz w:val="30"/>
          <w:szCs w:val="32"/>
        </w:rPr>
      </w:pPr>
    </w:p>
    <w:p w14:paraId="5E1BAE55">
      <w:pPr>
        <w:tabs>
          <w:tab w:val="left" w:pos="0"/>
        </w:tabs>
        <w:rPr>
          <w:rFonts w:hint="eastAsia" w:ascii="宋体" w:hAnsi="宋体" w:cs="宋体"/>
          <w:b/>
          <w:bCs/>
          <w:sz w:val="30"/>
          <w:szCs w:val="32"/>
        </w:rPr>
      </w:pPr>
    </w:p>
    <w:p w14:paraId="38483134">
      <w:pPr>
        <w:tabs>
          <w:tab w:val="left" w:pos="0"/>
        </w:tabs>
        <w:rPr>
          <w:rFonts w:hint="eastAsia" w:ascii="宋体" w:hAnsi="宋体" w:cs="宋体"/>
          <w:b/>
          <w:bCs/>
          <w:sz w:val="30"/>
          <w:szCs w:val="32"/>
        </w:rPr>
      </w:pPr>
    </w:p>
    <w:p w14:paraId="0F1F27A0">
      <w:pPr>
        <w:tabs>
          <w:tab w:val="left" w:pos="0"/>
        </w:tabs>
        <w:rPr>
          <w:rFonts w:hint="eastAsia" w:ascii="宋体" w:hAnsi="宋体" w:cs="宋体"/>
          <w:b/>
          <w:bCs/>
          <w:sz w:val="30"/>
          <w:szCs w:val="32"/>
        </w:rPr>
      </w:pPr>
    </w:p>
    <w:p w14:paraId="6F10044D">
      <w:pPr>
        <w:tabs>
          <w:tab w:val="left" w:pos="0"/>
        </w:tabs>
        <w:rPr>
          <w:rFonts w:hint="eastAsia" w:ascii="宋体" w:hAnsi="宋体" w:cs="宋体"/>
          <w:b/>
          <w:bCs/>
          <w:sz w:val="30"/>
          <w:szCs w:val="32"/>
        </w:rPr>
      </w:pPr>
    </w:p>
    <w:p w14:paraId="09C49C66">
      <w:pPr>
        <w:tabs>
          <w:tab w:val="left" w:pos="0"/>
        </w:tabs>
        <w:rPr>
          <w:rFonts w:hint="eastAsia" w:ascii="宋体" w:hAnsi="宋体" w:cs="宋体"/>
          <w:b/>
          <w:bCs/>
          <w:sz w:val="30"/>
          <w:szCs w:val="32"/>
        </w:rPr>
      </w:pPr>
    </w:p>
    <w:p w14:paraId="09D1E4FA">
      <w:pPr>
        <w:tabs>
          <w:tab w:val="left" w:pos="0"/>
        </w:tabs>
        <w:rPr>
          <w:rFonts w:hint="eastAsia" w:ascii="宋体" w:hAnsi="宋体" w:cs="宋体"/>
          <w:b/>
          <w:bCs/>
          <w:sz w:val="30"/>
          <w:szCs w:val="32"/>
        </w:rPr>
      </w:pPr>
    </w:p>
    <w:p w14:paraId="0F309F06">
      <w:pPr>
        <w:tabs>
          <w:tab w:val="left" w:pos="0"/>
        </w:tabs>
        <w:rPr>
          <w:rFonts w:hint="eastAsia" w:ascii="宋体" w:hAnsi="宋体" w:cs="宋体"/>
          <w:b/>
          <w:bCs/>
          <w:sz w:val="30"/>
          <w:szCs w:val="32"/>
        </w:rPr>
      </w:pPr>
    </w:p>
    <w:p w14:paraId="4F8E15FF">
      <w:pPr>
        <w:tabs>
          <w:tab w:val="left" w:pos="0"/>
        </w:tabs>
        <w:rPr>
          <w:rFonts w:hint="eastAsia" w:ascii="宋体" w:hAnsi="宋体" w:cs="宋体"/>
          <w:b/>
          <w:bCs/>
          <w:sz w:val="30"/>
          <w:szCs w:val="32"/>
        </w:rPr>
      </w:pPr>
    </w:p>
    <w:p w14:paraId="17E587FE">
      <w:pPr>
        <w:tabs>
          <w:tab w:val="left" w:pos="0"/>
        </w:tabs>
        <w:rPr>
          <w:rFonts w:hint="eastAsia" w:ascii="宋体" w:hAnsi="宋体" w:cs="宋体"/>
          <w:b/>
          <w:bCs/>
          <w:sz w:val="30"/>
          <w:szCs w:val="32"/>
        </w:rPr>
      </w:pPr>
    </w:p>
    <w:p w14:paraId="45CD1DAA">
      <w:pPr>
        <w:rPr>
          <w:rFonts w:hint="eastAsia" w:ascii="宋体" w:hAnsi="宋体" w:cs="宋体"/>
          <w:lang w:eastAsia="zh-CN"/>
        </w:rPr>
      </w:pPr>
      <w:bookmarkStart w:id="231" w:name="_Toc18100"/>
      <w:r>
        <w:rPr>
          <w:rFonts w:hint="eastAsia" w:ascii="宋体" w:hAnsi="宋体" w:cs="宋体"/>
          <w:lang w:eastAsia="zh-CN"/>
        </w:rPr>
        <w:br w:type="page"/>
      </w:r>
    </w:p>
    <w:p w14:paraId="5468403D">
      <w:pPr>
        <w:pStyle w:val="4"/>
        <w:spacing w:before="0" w:after="0" w:line="240" w:lineRule="auto"/>
        <w:rPr>
          <w:rFonts w:ascii="宋体" w:hAnsi="宋体" w:cs="宋体"/>
          <w:b/>
          <w:bCs/>
          <w:sz w:val="30"/>
          <w:szCs w:val="32"/>
        </w:rPr>
      </w:pPr>
      <w:bookmarkStart w:id="232" w:name="_Toc10208"/>
      <w:r>
        <w:rPr>
          <w:rFonts w:hint="eastAsia" w:ascii="宋体" w:hAnsi="宋体" w:cs="宋体"/>
          <w:lang w:eastAsia="zh-CN"/>
        </w:rPr>
        <w:t>附件六、项目经理委任书</w:t>
      </w:r>
      <w:bookmarkEnd w:id="230"/>
      <w:bookmarkEnd w:id="231"/>
      <w:bookmarkEnd w:id="232"/>
    </w:p>
    <w:p w14:paraId="0F8BB357">
      <w:pPr>
        <w:tabs>
          <w:tab w:val="left" w:pos="0"/>
        </w:tabs>
        <w:jc w:val="center"/>
        <w:rPr>
          <w:rFonts w:ascii="宋体" w:hAnsi="宋体" w:cs="宋体"/>
          <w:b/>
          <w:bCs/>
          <w:sz w:val="44"/>
          <w:szCs w:val="44"/>
          <w:u w:val="single"/>
        </w:rPr>
      </w:pPr>
      <w:r>
        <w:rPr>
          <w:rFonts w:hint="eastAsia" w:ascii="宋体" w:hAnsi="宋体" w:cs="宋体"/>
          <w:b/>
          <w:bCs/>
          <w:sz w:val="44"/>
          <w:szCs w:val="44"/>
          <w:u w:val="single"/>
        </w:rPr>
        <w:t>（承包人全称）</w:t>
      </w:r>
    </w:p>
    <w:p w14:paraId="45D7ED2D">
      <w:pPr>
        <w:tabs>
          <w:tab w:val="left" w:pos="0"/>
        </w:tabs>
        <w:jc w:val="center"/>
        <w:rPr>
          <w:rFonts w:ascii="宋体" w:hAnsi="宋体" w:cs="宋体"/>
          <w:b/>
          <w:bCs/>
          <w:sz w:val="44"/>
          <w:szCs w:val="44"/>
        </w:rPr>
      </w:pPr>
      <w:r>
        <w:rPr>
          <w:rFonts w:hint="eastAsia" w:ascii="宋体" w:hAnsi="宋体" w:cs="宋体"/>
          <w:b/>
          <w:bCs/>
          <w:sz w:val="44"/>
          <w:szCs w:val="44"/>
          <w:u w:val="single"/>
        </w:rPr>
        <w:t>（项目名称）</w:t>
      </w:r>
      <w:r>
        <w:rPr>
          <w:rFonts w:hint="eastAsia" w:ascii="宋体" w:hAnsi="宋体" w:cs="宋体"/>
          <w:b/>
          <w:bCs/>
          <w:sz w:val="44"/>
          <w:szCs w:val="44"/>
        </w:rPr>
        <w:t>项目经理委任书</w:t>
      </w:r>
    </w:p>
    <w:p w14:paraId="74DE609C">
      <w:pPr>
        <w:tabs>
          <w:tab w:val="left" w:pos="0"/>
        </w:tabs>
        <w:rPr>
          <w:rFonts w:ascii="宋体" w:hAnsi="宋体" w:cs="宋体"/>
        </w:rPr>
      </w:pPr>
    </w:p>
    <w:p w14:paraId="28D6B198">
      <w:pPr>
        <w:keepNext w:val="0"/>
        <w:keepLines w:val="0"/>
        <w:pageBreakBefore w:val="0"/>
        <w:widowControl w:val="0"/>
        <w:tabs>
          <w:tab w:val="left" w:pos="0"/>
        </w:tabs>
        <w:kinsoku/>
        <w:wordWrap/>
        <w:overflowPunct/>
        <w:topLinePunct w:val="0"/>
        <w:autoSpaceDE/>
        <w:autoSpaceDN/>
        <w:bidi w:val="0"/>
        <w:adjustRightInd/>
        <w:snapToGrid/>
        <w:spacing w:line="360" w:lineRule="auto"/>
        <w:textAlignment w:val="auto"/>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（发包人全称）</w:t>
      </w:r>
    </w:p>
    <w:p w14:paraId="23C4D1D2">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80"/>
        <w:textAlignment w:val="auto"/>
        <w:rPr>
          <w:rFonts w:ascii="宋体" w:hAnsi="宋体" w:cs="宋体"/>
          <w:sz w:val="24"/>
          <w:szCs w:val="24"/>
        </w:rPr>
      </w:pPr>
      <w:r>
        <w:rPr>
          <w:rFonts w:hint="eastAsia" w:ascii="宋体" w:hAnsi="宋体" w:cs="宋体"/>
          <w:sz w:val="24"/>
          <w:szCs w:val="24"/>
          <w:u w:val="single"/>
        </w:rPr>
        <w:t xml:space="preserve">（承包人全称） </w:t>
      </w:r>
      <w:r>
        <w:rPr>
          <w:rFonts w:hint="eastAsia" w:ascii="宋体" w:hAnsi="宋体" w:cs="宋体"/>
          <w:sz w:val="24"/>
          <w:szCs w:val="24"/>
        </w:rPr>
        <w:t>法定代表人</w:t>
      </w:r>
      <w:r>
        <w:rPr>
          <w:rFonts w:hint="eastAsia" w:ascii="宋体" w:hAnsi="宋体" w:cs="宋体"/>
          <w:sz w:val="24"/>
          <w:szCs w:val="24"/>
          <w:u w:val="single"/>
        </w:rPr>
        <w:t xml:space="preserve">（职务、姓名） </w:t>
      </w:r>
      <w:r>
        <w:rPr>
          <w:rFonts w:hint="eastAsia" w:ascii="宋体" w:hAnsi="宋体" w:cs="宋体"/>
          <w:sz w:val="24"/>
          <w:szCs w:val="24"/>
        </w:rPr>
        <w:t>代表本单位委任</w:t>
      </w:r>
      <w:r>
        <w:rPr>
          <w:rFonts w:hint="eastAsia" w:ascii="宋体" w:hAnsi="宋体" w:cs="宋体"/>
          <w:sz w:val="24"/>
          <w:szCs w:val="24"/>
          <w:u w:val="single"/>
        </w:rPr>
        <w:t xml:space="preserve">（职务、姓名） </w:t>
      </w:r>
      <w:r>
        <w:rPr>
          <w:rFonts w:hint="eastAsia" w:ascii="宋体" w:hAnsi="宋体" w:cs="宋体"/>
          <w:sz w:val="24"/>
          <w:szCs w:val="24"/>
        </w:rPr>
        <w:t>为</w:t>
      </w:r>
      <w:r>
        <w:rPr>
          <w:rFonts w:hint="eastAsia" w:ascii="宋体" w:hAnsi="宋体" w:cs="宋体"/>
          <w:sz w:val="24"/>
          <w:szCs w:val="24"/>
          <w:u w:val="single"/>
        </w:rPr>
        <w:t>（项目名称）</w:t>
      </w:r>
      <w:r>
        <w:rPr>
          <w:rFonts w:hint="eastAsia" w:ascii="宋体" w:hAnsi="宋体" w:cs="宋体"/>
          <w:sz w:val="24"/>
          <w:szCs w:val="24"/>
        </w:rPr>
        <w:t>的项目经理。凡本合同执行中的有关技术、工程进度、现场管理、质量检验、结算与支付等方面工作，由</w:t>
      </w:r>
      <w:r>
        <w:rPr>
          <w:rFonts w:hint="eastAsia" w:ascii="宋体" w:hAnsi="宋体" w:cs="宋体"/>
          <w:sz w:val="24"/>
          <w:szCs w:val="24"/>
          <w:u w:val="single"/>
        </w:rPr>
        <w:t xml:space="preserve"> （姓名） </w:t>
      </w:r>
      <w:r>
        <w:rPr>
          <w:rFonts w:hint="eastAsia" w:ascii="宋体" w:hAnsi="宋体" w:cs="宋体"/>
          <w:sz w:val="24"/>
          <w:szCs w:val="24"/>
        </w:rPr>
        <w:t>代表本单位全面负责。</w:t>
      </w:r>
    </w:p>
    <w:p w14:paraId="55D73510">
      <w:pPr>
        <w:tabs>
          <w:tab w:val="left" w:pos="0"/>
        </w:tabs>
        <w:ind w:firstLine="480"/>
        <w:rPr>
          <w:rFonts w:ascii="宋体" w:hAnsi="宋体" w:cs="宋体"/>
          <w:sz w:val="24"/>
          <w:szCs w:val="24"/>
        </w:rPr>
      </w:pPr>
    </w:p>
    <w:p w14:paraId="1F9A05E8">
      <w:pPr>
        <w:tabs>
          <w:tab w:val="left" w:pos="0"/>
        </w:tabs>
        <w:spacing w:line="480" w:lineRule="auto"/>
        <w:ind w:firstLine="480"/>
        <w:jc w:val="right"/>
        <w:rPr>
          <w:rFonts w:ascii="宋体" w:hAnsi="宋体" w:cs="宋体"/>
          <w:sz w:val="24"/>
          <w:szCs w:val="24"/>
        </w:rPr>
      </w:pPr>
      <w:r>
        <w:rPr>
          <w:rFonts w:hint="eastAsia" w:ascii="宋体" w:hAnsi="宋体" w:cs="宋体"/>
          <w:sz w:val="24"/>
          <w:szCs w:val="24"/>
        </w:rPr>
        <w:t>承包人：</w:t>
      </w:r>
      <w:r>
        <w:rPr>
          <w:rFonts w:hint="eastAsia" w:ascii="宋体" w:hAnsi="宋体" w:cs="宋体"/>
          <w:sz w:val="24"/>
          <w:szCs w:val="24"/>
          <w:u w:val="single"/>
        </w:rPr>
        <w:t xml:space="preserve">                 </w:t>
      </w:r>
      <w:r>
        <w:rPr>
          <w:rFonts w:hint="eastAsia" w:ascii="宋体" w:hAnsi="宋体" w:cs="宋体"/>
          <w:sz w:val="24"/>
          <w:szCs w:val="24"/>
        </w:rPr>
        <w:tab/>
      </w:r>
      <w:r>
        <w:rPr>
          <w:rFonts w:hint="eastAsia" w:ascii="宋体" w:hAnsi="宋体" w:cs="宋体"/>
          <w:sz w:val="24"/>
          <w:szCs w:val="24"/>
        </w:rPr>
        <w:tab/>
      </w:r>
      <w:r>
        <w:rPr>
          <w:rFonts w:hint="eastAsia" w:ascii="宋体" w:hAnsi="宋体" w:cs="宋体"/>
          <w:sz w:val="24"/>
          <w:szCs w:val="24"/>
        </w:rPr>
        <w:t xml:space="preserve">（盖单位章） </w:t>
      </w:r>
    </w:p>
    <w:p w14:paraId="78F6B923">
      <w:pPr>
        <w:tabs>
          <w:tab w:val="left" w:pos="0"/>
        </w:tabs>
        <w:spacing w:line="480" w:lineRule="auto"/>
        <w:ind w:firstLine="480"/>
        <w:jc w:val="right"/>
        <w:rPr>
          <w:rFonts w:ascii="宋体" w:hAnsi="宋体" w:cs="宋体"/>
          <w:sz w:val="24"/>
          <w:szCs w:val="24"/>
          <w:u w:val="single"/>
        </w:rPr>
      </w:pPr>
      <w:r>
        <w:rPr>
          <w:rFonts w:hint="eastAsia" w:ascii="宋体" w:hAnsi="宋体" w:cs="宋体"/>
          <w:sz w:val="24"/>
          <w:szCs w:val="24"/>
        </w:rPr>
        <w:t>法定代表人：</w:t>
      </w:r>
      <w:r>
        <w:rPr>
          <w:rFonts w:hint="eastAsia" w:ascii="宋体" w:hAnsi="宋体" w:cs="宋体"/>
          <w:sz w:val="24"/>
          <w:szCs w:val="24"/>
          <w:u w:val="single"/>
        </w:rPr>
        <w:t xml:space="preserve">          </w:t>
      </w:r>
      <w:r>
        <w:rPr>
          <w:rFonts w:hint="eastAsia" w:ascii="宋体" w:hAnsi="宋体" w:cs="宋体"/>
          <w:sz w:val="24"/>
          <w:szCs w:val="24"/>
          <w:u w:val="single"/>
        </w:rPr>
        <w:tab/>
      </w:r>
      <w:r>
        <w:rPr>
          <w:rFonts w:hint="eastAsia" w:ascii="宋体" w:hAnsi="宋体" w:cs="宋体"/>
          <w:sz w:val="24"/>
          <w:szCs w:val="24"/>
          <w:u w:val="single"/>
        </w:rPr>
        <w:t>（职务）</w:t>
      </w:r>
      <w:r>
        <w:rPr>
          <w:rFonts w:hint="eastAsia" w:ascii="宋体" w:hAnsi="宋体" w:cs="宋体"/>
          <w:sz w:val="24"/>
          <w:szCs w:val="24"/>
          <w:u w:val="single"/>
        </w:rPr>
        <w:tab/>
      </w:r>
      <w:r>
        <w:rPr>
          <w:rFonts w:hint="eastAsia" w:ascii="宋体" w:hAnsi="宋体" w:cs="宋体"/>
          <w:sz w:val="24"/>
          <w:szCs w:val="24"/>
          <w:u w:val="single"/>
        </w:rPr>
        <w:t xml:space="preserve">            </w:t>
      </w:r>
    </w:p>
    <w:p w14:paraId="0549B016">
      <w:pPr>
        <w:tabs>
          <w:tab w:val="left" w:pos="0"/>
        </w:tabs>
        <w:spacing w:line="480" w:lineRule="auto"/>
        <w:ind w:firstLine="480"/>
        <w:jc w:val="right"/>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u w:val="single"/>
        </w:rPr>
        <w:tab/>
      </w:r>
      <w:r>
        <w:rPr>
          <w:rFonts w:hint="eastAsia" w:ascii="宋体" w:hAnsi="宋体" w:cs="宋体"/>
          <w:sz w:val="24"/>
          <w:szCs w:val="24"/>
          <w:u w:val="single"/>
        </w:rPr>
        <w:t>（姓名）</w:t>
      </w:r>
      <w:r>
        <w:rPr>
          <w:rFonts w:hint="eastAsia" w:ascii="宋体" w:hAnsi="宋体" w:cs="宋体"/>
          <w:sz w:val="24"/>
          <w:szCs w:val="24"/>
          <w:u w:val="single"/>
        </w:rPr>
        <w:tab/>
      </w:r>
      <w:r>
        <w:rPr>
          <w:rFonts w:hint="eastAsia" w:ascii="宋体" w:hAnsi="宋体" w:cs="宋体"/>
          <w:sz w:val="24"/>
          <w:szCs w:val="24"/>
          <w:u w:val="single"/>
        </w:rPr>
        <w:t xml:space="preserve">            </w:t>
      </w:r>
      <w:r>
        <w:rPr>
          <w:rFonts w:hint="eastAsia" w:ascii="宋体" w:hAnsi="宋体" w:cs="宋体"/>
          <w:sz w:val="24"/>
          <w:szCs w:val="24"/>
        </w:rPr>
        <w:tab/>
      </w:r>
    </w:p>
    <w:p w14:paraId="72B60C93">
      <w:pPr>
        <w:tabs>
          <w:tab w:val="left" w:pos="0"/>
        </w:tabs>
        <w:spacing w:line="480" w:lineRule="auto"/>
        <w:ind w:firstLine="480"/>
        <w:jc w:val="right"/>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u w:val="single"/>
        </w:rPr>
        <w:tab/>
      </w:r>
      <w:r>
        <w:rPr>
          <w:rFonts w:hint="eastAsia" w:ascii="宋体" w:hAnsi="宋体" w:cs="宋体"/>
          <w:sz w:val="24"/>
          <w:szCs w:val="24"/>
          <w:u w:val="single"/>
        </w:rPr>
        <w:t>（签字）</w:t>
      </w:r>
      <w:r>
        <w:rPr>
          <w:rFonts w:hint="eastAsia" w:ascii="宋体" w:hAnsi="宋体" w:cs="宋体"/>
          <w:sz w:val="24"/>
          <w:szCs w:val="24"/>
          <w:u w:val="single"/>
        </w:rPr>
        <w:tab/>
      </w:r>
      <w:r>
        <w:rPr>
          <w:rFonts w:hint="eastAsia" w:ascii="宋体" w:hAnsi="宋体" w:cs="宋体"/>
          <w:sz w:val="24"/>
          <w:szCs w:val="24"/>
          <w:u w:val="single"/>
        </w:rPr>
        <w:t xml:space="preserve">            </w:t>
      </w:r>
      <w:r>
        <w:rPr>
          <w:rFonts w:hint="eastAsia" w:ascii="宋体" w:hAnsi="宋体" w:cs="宋体"/>
          <w:sz w:val="24"/>
          <w:szCs w:val="24"/>
        </w:rPr>
        <w:tab/>
      </w:r>
    </w:p>
    <w:p w14:paraId="6F3F51DA">
      <w:pPr>
        <w:tabs>
          <w:tab w:val="left" w:pos="0"/>
        </w:tabs>
        <w:rPr>
          <w:rFonts w:ascii="宋体" w:hAnsi="宋体" w:cs="宋体"/>
          <w:b/>
          <w:bCs/>
          <w:sz w:val="24"/>
          <w:szCs w:val="24"/>
        </w:rPr>
      </w:pPr>
      <w:r>
        <w:rPr>
          <w:rFonts w:hint="eastAsia" w:ascii="宋体" w:hAnsi="宋体" w:cs="宋体"/>
          <w:sz w:val="24"/>
          <w:szCs w:val="24"/>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ab/>
      </w:r>
      <w:r>
        <w:rPr>
          <w:rFonts w:hint="eastAsia" w:ascii="宋体" w:hAnsi="宋体" w:cs="宋体"/>
          <w:sz w:val="24"/>
          <w:szCs w:val="24"/>
        </w:rPr>
        <w:t>月</w:t>
      </w:r>
      <w:r>
        <w:rPr>
          <w:rFonts w:hint="eastAsia" w:ascii="宋体" w:hAnsi="宋体" w:cs="宋体"/>
          <w:sz w:val="24"/>
          <w:szCs w:val="24"/>
        </w:rPr>
        <w:tab/>
      </w:r>
      <w:r>
        <w:rPr>
          <w:rFonts w:hint="eastAsia" w:ascii="宋体" w:hAnsi="宋体" w:cs="宋体"/>
          <w:sz w:val="24"/>
          <w:szCs w:val="24"/>
          <w:u w:val="single"/>
        </w:rPr>
        <w:t xml:space="preserve">    </w:t>
      </w:r>
      <w:r>
        <w:rPr>
          <w:rFonts w:hint="eastAsia" w:ascii="宋体" w:hAnsi="宋体" w:cs="宋体"/>
          <w:sz w:val="24"/>
          <w:szCs w:val="24"/>
        </w:rPr>
        <w:t>日</w:t>
      </w:r>
    </w:p>
    <w:p w14:paraId="20F2D6EA">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r>
        <w:rPr>
          <w:rFonts w:hint="eastAsia" w:ascii="宋体" w:hAnsi="宋体" w:cs="宋体"/>
          <w:b/>
          <w:bCs/>
          <w:sz w:val="24"/>
          <w:szCs w:val="24"/>
        </w:rPr>
        <w:br w:type="page"/>
      </w:r>
    </w:p>
    <w:p w14:paraId="5FA2D5CC">
      <w:pPr>
        <w:pStyle w:val="4"/>
        <w:spacing w:before="0" w:after="0" w:line="240" w:lineRule="auto"/>
        <w:rPr>
          <w:rFonts w:hint="eastAsia" w:ascii="宋体" w:hAnsi="宋体" w:cs="宋体"/>
          <w:lang w:eastAsia="zh-CN"/>
        </w:rPr>
      </w:pPr>
      <w:bookmarkStart w:id="233" w:name="_Toc18945"/>
      <w:bookmarkStart w:id="234" w:name="_Toc1044"/>
      <w:r>
        <w:rPr>
          <w:rFonts w:hint="eastAsia" w:ascii="宋体" w:hAnsi="宋体" w:cs="宋体"/>
          <w:lang w:eastAsia="zh-CN"/>
        </w:rPr>
        <w:t>附件七、履约保证金担</w:t>
      </w:r>
      <w:r>
        <w:rPr>
          <w:rFonts w:hint="eastAsia" w:ascii="宋体" w:hAnsi="宋体" w:cs="宋体"/>
          <w:lang w:val="en-US" w:eastAsia="zh-CN"/>
        </w:rPr>
        <w:t>保</w:t>
      </w:r>
      <w:r>
        <w:rPr>
          <w:rFonts w:hint="eastAsia" w:ascii="宋体" w:hAnsi="宋体" w:cs="宋体"/>
          <w:lang w:eastAsia="zh-CN"/>
        </w:rPr>
        <w:t>格式</w:t>
      </w:r>
      <w:bookmarkEnd w:id="233"/>
      <w:bookmarkEnd w:id="234"/>
    </w:p>
    <w:p w14:paraId="54F8854F">
      <w:pPr>
        <w:spacing w:before="78" w:line="219" w:lineRule="auto"/>
        <w:ind w:left="28"/>
        <w:jc w:val="center"/>
        <w:outlineLvl w:val="9"/>
        <w:rPr>
          <w:rFonts w:ascii="宋体" w:hAnsi="宋体" w:cs="宋体"/>
          <w:b/>
          <w:bCs/>
          <w:spacing w:val="-4"/>
          <w:sz w:val="24"/>
        </w:rPr>
      </w:pPr>
    </w:p>
    <w:p w14:paraId="07166227">
      <w:pPr>
        <w:spacing w:before="270" w:line="212" w:lineRule="auto"/>
        <w:ind w:left="493"/>
        <w:rPr>
          <w:rFonts w:ascii="宋体" w:hAnsi="宋体" w:cs="宋体"/>
          <w:sz w:val="24"/>
          <w:szCs w:val="24"/>
        </w:rPr>
      </w:pPr>
      <w:r>
        <w:rPr>
          <w:rFonts w:ascii="宋体" w:hAnsi="宋体" w:cs="宋体"/>
          <w:spacing w:val="-1"/>
          <w:sz w:val="24"/>
          <w:szCs w:val="24"/>
        </w:rPr>
        <w:t>如采用非现金担保，格式如下。</w:t>
      </w:r>
    </w:p>
    <w:p w14:paraId="3A37FDD8">
      <w:pPr>
        <w:spacing w:before="57" w:line="341" w:lineRule="exact"/>
        <w:ind w:left="3920"/>
        <w:rPr>
          <w:rFonts w:ascii="宋体" w:hAnsi="宋体" w:cs="宋体"/>
          <w:sz w:val="24"/>
          <w:szCs w:val="24"/>
        </w:rPr>
      </w:pPr>
      <w:r>
        <w:rPr>
          <w:rFonts w:ascii="宋体" w:hAnsi="宋体" w:cs="宋体"/>
          <w:spacing w:val="-1"/>
          <w:sz w:val="24"/>
          <w:szCs w:val="24"/>
        </w:rPr>
        <w:t>履约保证金</w:t>
      </w:r>
    </w:p>
    <w:p w14:paraId="58107575">
      <w:pPr>
        <w:tabs>
          <w:tab w:val="left" w:pos="2280"/>
        </w:tabs>
        <w:spacing w:before="126" w:line="220" w:lineRule="auto"/>
        <w:ind w:left="480"/>
        <w:rPr>
          <w:rFonts w:ascii="宋体" w:hAnsi="宋体" w:cs="宋体"/>
          <w:sz w:val="24"/>
          <w:szCs w:val="24"/>
        </w:rPr>
      </w:pPr>
      <w:r>
        <w:rPr>
          <w:rFonts w:ascii="宋体" w:hAnsi="宋体" w:cs="宋体"/>
          <w:sz w:val="24"/>
          <w:szCs w:val="24"/>
          <w:u w:val="single"/>
        </w:rPr>
        <w:tab/>
      </w:r>
      <w:r>
        <w:rPr>
          <w:rFonts w:ascii="宋体" w:hAnsi="宋体" w:cs="宋体"/>
          <w:spacing w:val="-1"/>
          <w:sz w:val="24"/>
          <w:szCs w:val="24"/>
        </w:rPr>
        <w:t>（发包人名称</w:t>
      </w:r>
      <w:r>
        <w:rPr>
          <w:rFonts w:ascii="宋体" w:hAnsi="宋体" w:cs="宋体"/>
          <w:spacing w:val="-63"/>
          <w:w w:val="98"/>
          <w:sz w:val="24"/>
          <w:szCs w:val="24"/>
        </w:rPr>
        <w:t>）：</w:t>
      </w:r>
    </w:p>
    <w:p w14:paraId="30E2A8C8">
      <w:pPr>
        <w:pStyle w:val="11"/>
        <w:spacing w:line="431" w:lineRule="auto"/>
        <w:rPr>
          <w:sz w:val="24"/>
          <w:szCs w:val="24"/>
          <w:lang w:eastAsia="zh-CN"/>
        </w:rPr>
      </w:pPr>
    </w:p>
    <w:p w14:paraId="1F8B9E56">
      <w:pPr>
        <w:spacing w:before="79" w:line="308" w:lineRule="auto"/>
        <w:ind w:left="8" w:firstLine="483"/>
        <w:rPr>
          <w:rFonts w:ascii="宋体" w:hAnsi="宋体" w:cs="宋体"/>
          <w:sz w:val="24"/>
          <w:szCs w:val="24"/>
        </w:rPr>
      </w:pPr>
      <w:r>
        <w:rPr>
          <w:rFonts w:ascii="宋体" w:hAnsi="宋体" w:cs="宋体"/>
          <w:spacing w:val="-3"/>
          <w:sz w:val="24"/>
          <w:szCs w:val="24"/>
        </w:rPr>
        <w:t>鉴于</w:t>
      </w:r>
      <w:r>
        <w:rPr>
          <w:rFonts w:ascii="宋体" w:hAnsi="宋体" w:cs="宋体"/>
          <w:spacing w:val="-3"/>
          <w:sz w:val="24"/>
          <w:szCs w:val="24"/>
          <w:u w:val="single"/>
        </w:rPr>
        <w:t xml:space="preserve">           </w:t>
      </w:r>
      <w:r>
        <w:rPr>
          <w:rFonts w:ascii="宋体" w:hAnsi="宋体" w:cs="宋体"/>
          <w:spacing w:val="-3"/>
          <w:sz w:val="24"/>
          <w:szCs w:val="24"/>
        </w:rPr>
        <w:t>（发包人名称，以下简称“发包人</w:t>
      </w:r>
      <w:r>
        <w:rPr>
          <w:rFonts w:ascii="宋体" w:hAnsi="宋体" w:cs="宋体"/>
          <w:spacing w:val="-85"/>
          <w:sz w:val="24"/>
          <w:szCs w:val="24"/>
        </w:rPr>
        <w:t xml:space="preserve"> </w:t>
      </w:r>
      <w:r>
        <w:rPr>
          <w:rFonts w:ascii="宋体" w:hAnsi="宋体" w:cs="宋体"/>
          <w:spacing w:val="-3"/>
          <w:sz w:val="24"/>
          <w:szCs w:val="24"/>
        </w:rPr>
        <w:t>”）接受</w:t>
      </w:r>
      <w:r>
        <w:rPr>
          <w:rFonts w:ascii="宋体" w:hAnsi="宋体" w:cs="宋体"/>
          <w:spacing w:val="-3"/>
          <w:sz w:val="24"/>
          <w:szCs w:val="24"/>
          <w:u w:val="single"/>
        </w:rPr>
        <w:t xml:space="preserve">     </w:t>
      </w:r>
      <w:r>
        <w:rPr>
          <w:rFonts w:ascii="宋体" w:hAnsi="宋体" w:cs="宋体"/>
          <w:spacing w:val="-4"/>
          <w:sz w:val="24"/>
          <w:szCs w:val="24"/>
          <w:u w:val="single"/>
        </w:rPr>
        <w:t xml:space="preserve"> </w:t>
      </w:r>
      <w:r>
        <w:rPr>
          <w:rFonts w:ascii="宋体" w:hAnsi="宋体" w:cs="宋体"/>
          <w:spacing w:val="-4"/>
          <w:sz w:val="24"/>
          <w:szCs w:val="24"/>
        </w:rPr>
        <w:t>（承包人名</w:t>
      </w:r>
      <w:r>
        <w:rPr>
          <w:rFonts w:ascii="宋体" w:hAnsi="宋体" w:cs="宋体"/>
          <w:spacing w:val="-8"/>
          <w:sz w:val="24"/>
          <w:szCs w:val="24"/>
        </w:rPr>
        <w:t>称，以下简称“承包人</w:t>
      </w:r>
      <w:r>
        <w:rPr>
          <w:rFonts w:ascii="宋体" w:hAnsi="宋体" w:cs="宋体"/>
          <w:spacing w:val="-87"/>
          <w:sz w:val="24"/>
          <w:szCs w:val="24"/>
        </w:rPr>
        <w:t xml:space="preserve"> </w:t>
      </w:r>
      <w:r>
        <w:rPr>
          <w:rFonts w:ascii="宋体" w:hAnsi="宋体" w:cs="宋体"/>
          <w:spacing w:val="-8"/>
          <w:sz w:val="24"/>
          <w:szCs w:val="24"/>
        </w:rPr>
        <w:t>”）于</w:t>
      </w:r>
      <w:r>
        <w:rPr>
          <w:rFonts w:ascii="宋体" w:hAnsi="宋体" w:cs="宋体"/>
          <w:spacing w:val="-118"/>
          <w:sz w:val="24"/>
          <w:szCs w:val="24"/>
        </w:rPr>
        <w:t xml:space="preserve"> </w:t>
      </w:r>
      <w:r>
        <w:rPr>
          <w:rFonts w:ascii="宋体" w:hAnsi="宋体" w:cs="宋体"/>
          <w:spacing w:val="4"/>
          <w:sz w:val="24"/>
          <w:szCs w:val="24"/>
          <w:u w:val="single"/>
        </w:rPr>
        <w:t xml:space="preserve">     </w:t>
      </w:r>
      <w:r>
        <w:rPr>
          <w:rFonts w:ascii="宋体" w:hAnsi="宋体" w:cs="宋体"/>
          <w:spacing w:val="-110"/>
          <w:sz w:val="24"/>
          <w:szCs w:val="24"/>
        </w:rPr>
        <w:t xml:space="preserve"> </w:t>
      </w:r>
      <w:r>
        <w:rPr>
          <w:rFonts w:ascii="宋体" w:hAnsi="宋体" w:cs="宋体"/>
          <w:spacing w:val="-8"/>
          <w:sz w:val="24"/>
          <w:szCs w:val="24"/>
        </w:rPr>
        <w:t>年</w:t>
      </w:r>
      <w:r>
        <w:rPr>
          <w:rFonts w:ascii="宋体" w:hAnsi="宋体" w:cs="宋体"/>
          <w:spacing w:val="-118"/>
          <w:sz w:val="24"/>
          <w:szCs w:val="24"/>
        </w:rPr>
        <w:t xml:space="preserve"> </w:t>
      </w:r>
      <w:r>
        <w:rPr>
          <w:rFonts w:ascii="宋体" w:hAnsi="宋体" w:cs="宋体"/>
          <w:spacing w:val="3"/>
          <w:sz w:val="24"/>
          <w:szCs w:val="24"/>
          <w:u w:val="single"/>
        </w:rPr>
        <w:t xml:space="preserve">    </w:t>
      </w:r>
      <w:r>
        <w:rPr>
          <w:rFonts w:ascii="宋体" w:hAnsi="宋体" w:cs="宋体"/>
          <w:spacing w:val="-104"/>
          <w:sz w:val="24"/>
          <w:szCs w:val="24"/>
        </w:rPr>
        <w:t xml:space="preserve"> </w:t>
      </w:r>
      <w:r>
        <w:rPr>
          <w:rFonts w:ascii="宋体" w:hAnsi="宋体" w:cs="宋体"/>
          <w:spacing w:val="-8"/>
          <w:sz w:val="24"/>
          <w:szCs w:val="24"/>
        </w:rPr>
        <w:t>月</w:t>
      </w:r>
      <w:r>
        <w:rPr>
          <w:rFonts w:ascii="宋体" w:hAnsi="宋体" w:cs="宋体"/>
          <w:spacing w:val="-116"/>
          <w:sz w:val="24"/>
          <w:szCs w:val="24"/>
        </w:rPr>
        <w:t xml:space="preserve"> </w:t>
      </w:r>
      <w:r>
        <w:rPr>
          <w:rFonts w:ascii="宋体" w:hAnsi="宋体" w:cs="宋体"/>
          <w:spacing w:val="3"/>
          <w:sz w:val="24"/>
          <w:szCs w:val="24"/>
          <w:u w:val="single"/>
        </w:rPr>
        <w:t xml:space="preserve">    </w:t>
      </w:r>
      <w:r>
        <w:rPr>
          <w:rFonts w:ascii="宋体" w:hAnsi="宋体" w:cs="宋体"/>
          <w:spacing w:val="-69"/>
          <w:sz w:val="24"/>
          <w:szCs w:val="24"/>
        </w:rPr>
        <w:t xml:space="preserve"> </w:t>
      </w:r>
      <w:r>
        <w:rPr>
          <w:rFonts w:ascii="宋体" w:hAnsi="宋体" w:cs="宋体"/>
          <w:spacing w:val="-8"/>
          <w:sz w:val="24"/>
          <w:szCs w:val="24"/>
        </w:rPr>
        <w:t>日参加</w:t>
      </w:r>
      <w:r>
        <w:rPr>
          <w:rFonts w:ascii="宋体" w:hAnsi="宋体" w:cs="宋体"/>
          <w:spacing w:val="-118"/>
          <w:sz w:val="24"/>
          <w:szCs w:val="24"/>
        </w:rPr>
        <w:t xml:space="preserve"> </w:t>
      </w:r>
      <w:r>
        <w:rPr>
          <w:rFonts w:ascii="宋体" w:hAnsi="宋体" w:cs="宋体"/>
          <w:spacing w:val="3"/>
          <w:sz w:val="24"/>
          <w:szCs w:val="24"/>
          <w:u w:val="single"/>
        </w:rPr>
        <w:t xml:space="preserve">           </w:t>
      </w:r>
      <w:r>
        <w:rPr>
          <w:rFonts w:ascii="宋体" w:hAnsi="宋体" w:cs="宋体"/>
          <w:spacing w:val="-8"/>
          <w:sz w:val="24"/>
          <w:szCs w:val="24"/>
        </w:rPr>
        <w:t>（项目名称）</w:t>
      </w:r>
      <w:r>
        <w:rPr>
          <w:rFonts w:ascii="宋体" w:hAnsi="宋体" w:cs="宋体"/>
          <w:spacing w:val="-2"/>
          <w:sz w:val="24"/>
          <w:szCs w:val="24"/>
        </w:rPr>
        <w:t>养护项目的实施。我方愿意无条件地、不可撤销地就承包人履行与你方订立的合同，向你方提供担保。</w:t>
      </w:r>
    </w:p>
    <w:p w14:paraId="773FC3FF">
      <w:pPr>
        <w:spacing w:line="218" w:lineRule="auto"/>
        <w:ind w:left="508"/>
        <w:rPr>
          <w:rFonts w:ascii="宋体" w:hAnsi="宋体" w:cs="宋体"/>
          <w:sz w:val="24"/>
          <w:szCs w:val="24"/>
        </w:rPr>
      </w:pPr>
      <w:r>
        <w:rPr>
          <w:rFonts w:eastAsia="Times New Roman"/>
          <w:spacing w:val="-4"/>
          <w:sz w:val="24"/>
          <w:szCs w:val="24"/>
        </w:rPr>
        <w:t xml:space="preserve">1.  </w:t>
      </w:r>
      <w:r>
        <w:rPr>
          <w:rFonts w:ascii="宋体" w:hAnsi="宋体" w:cs="宋体"/>
          <w:spacing w:val="-4"/>
          <w:sz w:val="24"/>
          <w:szCs w:val="24"/>
        </w:rPr>
        <w:t>担保金额人民币（大写）</w:t>
      </w:r>
      <w:r>
        <w:rPr>
          <w:rFonts w:ascii="宋体" w:hAnsi="宋体" w:cs="宋体"/>
          <w:spacing w:val="1"/>
          <w:sz w:val="24"/>
          <w:szCs w:val="24"/>
          <w:u w:val="single"/>
        </w:rPr>
        <w:t xml:space="preserve">                 </w:t>
      </w:r>
      <w:r>
        <w:rPr>
          <w:rFonts w:ascii="宋体" w:hAnsi="宋体" w:cs="宋体"/>
          <w:spacing w:val="-4"/>
          <w:sz w:val="24"/>
          <w:szCs w:val="24"/>
          <w:u w:val="single"/>
        </w:rPr>
        <w:t>元 (</w:t>
      </w:r>
      <w:r>
        <w:rPr>
          <w:rFonts w:eastAsia="Times New Roman"/>
          <w:spacing w:val="-4"/>
          <w:sz w:val="24"/>
          <w:szCs w:val="24"/>
          <w:u w:val="single"/>
        </w:rPr>
        <w:t>¥</w:t>
      </w:r>
      <w:r>
        <w:rPr>
          <w:rFonts w:eastAsia="Times New Roman"/>
          <w:spacing w:val="1"/>
          <w:sz w:val="24"/>
          <w:szCs w:val="24"/>
          <w:u w:val="single"/>
        </w:rPr>
        <w:t xml:space="preserve">                          </w:t>
      </w:r>
      <w:r>
        <w:rPr>
          <w:rFonts w:ascii="宋体" w:hAnsi="宋体" w:cs="宋体"/>
          <w:spacing w:val="-4"/>
          <w:sz w:val="24"/>
          <w:szCs w:val="24"/>
          <w:u w:val="single"/>
        </w:rPr>
        <w:t>)</w:t>
      </w:r>
      <w:r>
        <w:rPr>
          <w:rFonts w:ascii="宋体" w:hAnsi="宋体" w:cs="宋体"/>
          <w:spacing w:val="-4"/>
          <w:sz w:val="24"/>
          <w:szCs w:val="24"/>
        </w:rPr>
        <w:t>。</w:t>
      </w:r>
    </w:p>
    <w:p w14:paraId="373C56EF">
      <w:pPr>
        <w:spacing w:before="115" w:line="277" w:lineRule="auto"/>
        <w:ind w:left="17" w:right="148" w:firstLine="467"/>
        <w:rPr>
          <w:rFonts w:ascii="宋体" w:hAnsi="宋体" w:cs="宋体"/>
          <w:sz w:val="24"/>
          <w:szCs w:val="24"/>
        </w:rPr>
      </w:pPr>
      <w:r>
        <w:rPr>
          <w:rFonts w:eastAsia="Times New Roman"/>
          <w:spacing w:val="6"/>
          <w:sz w:val="24"/>
          <w:szCs w:val="24"/>
        </w:rPr>
        <w:t xml:space="preserve">2.  </w:t>
      </w:r>
      <w:r>
        <w:rPr>
          <w:rFonts w:ascii="宋体" w:hAnsi="宋体" w:cs="宋体"/>
          <w:spacing w:val="6"/>
          <w:sz w:val="24"/>
          <w:szCs w:val="24"/>
        </w:rPr>
        <w:t>担保有效期自发包人与承包人签订的合同生效之日起</w:t>
      </w:r>
      <w:r>
        <w:rPr>
          <w:rFonts w:ascii="宋体" w:hAnsi="宋体" w:cs="宋体"/>
          <w:spacing w:val="5"/>
          <w:sz w:val="24"/>
          <w:szCs w:val="24"/>
        </w:rPr>
        <w:t>至发包人签发交工验</w:t>
      </w:r>
      <w:r>
        <w:rPr>
          <w:rFonts w:ascii="宋体" w:hAnsi="宋体" w:cs="宋体"/>
          <w:spacing w:val="-1"/>
          <w:sz w:val="24"/>
          <w:szCs w:val="24"/>
        </w:rPr>
        <w:t>收证书且承包人按照合同约定缴纳质量保证金之日止。</w:t>
      </w:r>
      <w:r>
        <w:rPr>
          <w:sz w:val="24"/>
          <w:szCs w:val="24"/>
        </w:rPr>
        <w:fldChar w:fldCharType="begin"/>
      </w:r>
      <w:r>
        <w:rPr>
          <w:sz w:val="24"/>
          <w:szCs w:val="24"/>
        </w:rPr>
        <w:instrText xml:space="preserve"> HYPERLINK \l "bookmark238" </w:instrText>
      </w:r>
      <w:r>
        <w:rPr>
          <w:sz w:val="24"/>
          <w:szCs w:val="24"/>
        </w:rPr>
        <w:fldChar w:fldCharType="separate"/>
      </w:r>
      <w:r>
        <w:rPr>
          <w:rFonts w:ascii="宋体" w:hAnsi="宋体" w:cs="宋体"/>
          <w:spacing w:val="-1"/>
          <w:position w:val="12"/>
          <w:sz w:val="24"/>
          <w:szCs w:val="24"/>
        </w:rPr>
        <w:t>②</w:t>
      </w:r>
      <w:r>
        <w:rPr>
          <w:rFonts w:ascii="宋体" w:hAnsi="宋体" w:cs="宋体"/>
          <w:spacing w:val="-1"/>
          <w:position w:val="12"/>
          <w:sz w:val="24"/>
          <w:szCs w:val="24"/>
        </w:rPr>
        <w:fldChar w:fldCharType="end"/>
      </w:r>
    </w:p>
    <w:p w14:paraId="598D58CB">
      <w:pPr>
        <w:spacing w:before="80" w:line="278" w:lineRule="auto"/>
        <w:ind w:left="32" w:right="147" w:firstLine="456"/>
        <w:rPr>
          <w:rFonts w:ascii="宋体" w:hAnsi="宋体" w:cs="宋体"/>
          <w:sz w:val="24"/>
          <w:szCs w:val="24"/>
        </w:rPr>
      </w:pPr>
      <w:r>
        <w:rPr>
          <w:rFonts w:eastAsia="Times New Roman"/>
          <w:spacing w:val="6"/>
          <w:sz w:val="24"/>
          <w:szCs w:val="24"/>
        </w:rPr>
        <w:t xml:space="preserve">3.  </w:t>
      </w:r>
      <w:r>
        <w:rPr>
          <w:rFonts w:ascii="宋体" w:hAnsi="宋体" w:cs="宋体"/>
          <w:spacing w:val="6"/>
          <w:sz w:val="24"/>
          <w:szCs w:val="24"/>
        </w:rPr>
        <w:t>在本担保有效期内，如果承包人不履行合</w:t>
      </w:r>
      <w:r>
        <w:rPr>
          <w:rFonts w:ascii="宋体" w:hAnsi="宋体" w:cs="宋体"/>
          <w:spacing w:val="5"/>
          <w:sz w:val="24"/>
          <w:szCs w:val="24"/>
        </w:rPr>
        <w:t>同约定的义务或其履行不符合合</w:t>
      </w:r>
      <w:r>
        <w:rPr>
          <w:rFonts w:ascii="宋体" w:hAnsi="宋体" w:cs="宋体"/>
          <w:spacing w:val="1"/>
          <w:sz w:val="24"/>
          <w:szCs w:val="24"/>
        </w:rPr>
        <w:t>同的约定时，我方在收到你方以书面形式提出的在担保金额内的赔偿要求后，在</w:t>
      </w:r>
      <w:r>
        <w:rPr>
          <w:rFonts w:ascii="宋体" w:hAnsi="宋体" w:cs="宋体"/>
          <w:spacing w:val="-37"/>
          <w:sz w:val="24"/>
          <w:szCs w:val="24"/>
        </w:rPr>
        <w:t xml:space="preserve"> </w:t>
      </w:r>
      <w:r>
        <w:rPr>
          <w:rFonts w:eastAsia="Times New Roman"/>
          <w:spacing w:val="1"/>
          <w:sz w:val="24"/>
          <w:szCs w:val="24"/>
        </w:rPr>
        <w:t>7</w:t>
      </w:r>
      <w:r>
        <w:rPr>
          <w:rFonts w:ascii="宋体" w:hAnsi="宋体" w:cs="宋体"/>
          <w:spacing w:val="-2"/>
          <w:sz w:val="24"/>
          <w:szCs w:val="24"/>
        </w:rPr>
        <w:t>日内无条件支付，无须你方出具证明或陈述理由。</w:t>
      </w:r>
    </w:p>
    <w:p w14:paraId="32D57488">
      <w:pPr>
        <w:spacing w:before="116" w:line="263" w:lineRule="auto"/>
        <w:ind w:left="11" w:right="59" w:firstLine="472"/>
        <w:rPr>
          <w:rFonts w:ascii="宋体" w:hAnsi="宋体" w:cs="宋体"/>
          <w:sz w:val="24"/>
          <w:szCs w:val="24"/>
        </w:rPr>
      </w:pPr>
      <w:r>
        <w:rPr>
          <w:rFonts w:eastAsia="Times New Roman"/>
          <w:spacing w:val="-2"/>
          <w:sz w:val="24"/>
          <w:szCs w:val="24"/>
        </w:rPr>
        <w:t xml:space="preserve">4.  </w:t>
      </w:r>
      <w:r>
        <w:rPr>
          <w:rFonts w:ascii="宋体" w:hAnsi="宋体" w:cs="宋体"/>
          <w:spacing w:val="-2"/>
          <w:sz w:val="24"/>
          <w:szCs w:val="24"/>
        </w:rPr>
        <w:t>发包人和承包人按合同条款第</w:t>
      </w:r>
      <w:r>
        <w:rPr>
          <w:rFonts w:ascii="宋体" w:hAnsi="宋体" w:cs="宋体"/>
          <w:spacing w:val="-32"/>
          <w:sz w:val="24"/>
          <w:szCs w:val="24"/>
        </w:rPr>
        <w:t xml:space="preserve"> </w:t>
      </w:r>
      <w:r>
        <w:rPr>
          <w:rFonts w:eastAsia="Times New Roman"/>
          <w:spacing w:val="-2"/>
          <w:sz w:val="24"/>
          <w:szCs w:val="24"/>
        </w:rPr>
        <w:t xml:space="preserve">15 </w:t>
      </w:r>
      <w:r>
        <w:rPr>
          <w:rFonts w:ascii="宋体" w:hAnsi="宋体" w:cs="宋体"/>
          <w:spacing w:val="-2"/>
          <w:sz w:val="24"/>
          <w:szCs w:val="24"/>
        </w:rPr>
        <w:t>条变更合同</w:t>
      </w:r>
      <w:r>
        <w:rPr>
          <w:rFonts w:ascii="宋体" w:hAnsi="宋体" w:cs="宋体"/>
          <w:spacing w:val="-3"/>
          <w:sz w:val="24"/>
          <w:szCs w:val="24"/>
        </w:rPr>
        <w:t>时，无论我方是否收到该变更，</w:t>
      </w:r>
      <w:r>
        <w:rPr>
          <w:rFonts w:ascii="宋体" w:hAnsi="宋体" w:cs="宋体"/>
          <w:spacing w:val="-1"/>
          <w:sz w:val="24"/>
          <w:szCs w:val="24"/>
        </w:rPr>
        <w:t>我方承担本担保规定的义务不变。</w:t>
      </w:r>
    </w:p>
    <w:p w14:paraId="2A6BDFEB">
      <w:pPr>
        <w:pStyle w:val="11"/>
        <w:spacing w:line="436" w:lineRule="auto"/>
        <w:rPr>
          <w:sz w:val="24"/>
          <w:szCs w:val="24"/>
          <w:lang w:eastAsia="zh-CN"/>
        </w:rPr>
      </w:pPr>
    </w:p>
    <w:p w14:paraId="5BA1A8C6">
      <w:pPr>
        <w:spacing w:before="78" w:line="219" w:lineRule="auto"/>
        <w:ind w:left="490"/>
        <w:rPr>
          <w:rFonts w:ascii="宋体" w:hAnsi="宋体" w:cs="宋体"/>
          <w:sz w:val="24"/>
          <w:szCs w:val="24"/>
        </w:rPr>
      </w:pPr>
      <w:r>
        <w:rPr>
          <w:rFonts w:ascii="宋体" w:hAnsi="宋体" w:cs="宋体"/>
          <w:spacing w:val="2"/>
          <w:sz w:val="24"/>
          <w:szCs w:val="24"/>
        </w:rPr>
        <w:t>担保人名称</w:t>
      </w:r>
      <w:r>
        <w:rPr>
          <w:rFonts w:ascii="宋体" w:hAnsi="宋体" w:cs="宋体"/>
          <w:spacing w:val="-16"/>
          <w:sz w:val="24"/>
          <w:szCs w:val="24"/>
        </w:rPr>
        <w:t>：</w:t>
      </w:r>
      <w:r>
        <w:rPr>
          <w:rFonts w:ascii="宋体" w:hAnsi="宋体" w:cs="宋体"/>
          <w:sz w:val="24"/>
          <w:szCs w:val="24"/>
          <w:u w:val="single"/>
        </w:rPr>
        <w:t xml:space="preserve">                     </w:t>
      </w:r>
      <w:r>
        <w:rPr>
          <w:rFonts w:ascii="宋体" w:hAnsi="宋体" w:cs="宋体"/>
          <w:spacing w:val="-16"/>
          <w:sz w:val="24"/>
          <w:szCs w:val="24"/>
        </w:rPr>
        <w:t>（</w:t>
      </w:r>
      <w:r>
        <w:rPr>
          <w:rFonts w:ascii="宋体" w:hAnsi="宋体" w:cs="宋体"/>
          <w:spacing w:val="2"/>
          <w:sz w:val="24"/>
          <w:szCs w:val="24"/>
        </w:rPr>
        <w:t>盖单位章）</w:t>
      </w:r>
    </w:p>
    <w:p w14:paraId="41B90301">
      <w:pPr>
        <w:spacing w:before="114" w:line="219" w:lineRule="auto"/>
        <w:ind w:left="490"/>
        <w:rPr>
          <w:rFonts w:ascii="宋体" w:hAnsi="宋体" w:cs="宋体"/>
          <w:sz w:val="24"/>
          <w:szCs w:val="24"/>
        </w:rPr>
      </w:pPr>
      <w:r>
        <w:rPr>
          <w:rFonts w:ascii="宋体" w:hAnsi="宋体" w:cs="宋体"/>
          <w:spacing w:val="1"/>
          <w:sz w:val="24"/>
          <w:szCs w:val="24"/>
        </w:rPr>
        <w:t>法定代表人或其委托代理人</w:t>
      </w:r>
      <w:r>
        <w:rPr>
          <w:rFonts w:ascii="宋体" w:hAnsi="宋体" w:cs="宋体"/>
          <w:spacing w:val="-14"/>
          <w:sz w:val="24"/>
          <w:szCs w:val="24"/>
        </w:rPr>
        <w:t>：</w:t>
      </w:r>
      <w:r>
        <w:rPr>
          <w:rFonts w:ascii="宋体" w:hAnsi="宋体" w:cs="宋体"/>
          <w:sz w:val="24"/>
          <w:szCs w:val="24"/>
          <w:u w:val="single"/>
        </w:rPr>
        <w:t xml:space="preserve">           </w:t>
      </w:r>
      <w:r>
        <w:rPr>
          <w:rFonts w:ascii="宋体" w:hAnsi="宋体" w:cs="宋体"/>
          <w:spacing w:val="-14"/>
          <w:sz w:val="24"/>
          <w:szCs w:val="24"/>
        </w:rPr>
        <w:t>（</w:t>
      </w:r>
      <w:r>
        <w:rPr>
          <w:rFonts w:ascii="宋体" w:hAnsi="宋体" w:cs="宋体"/>
          <w:spacing w:val="1"/>
          <w:sz w:val="24"/>
          <w:szCs w:val="24"/>
        </w:rPr>
        <w:t>签名）</w:t>
      </w:r>
    </w:p>
    <w:p w14:paraId="369B0F41">
      <w:pPr>
        <w:spacing w:before="116" w:line="229" w:lineRule="auto"/>
        <w:ind w:left="489"/>
        <w:rPr>
          <w:rFonts w:ascii="宋体" w:hAnsi="宋体" w:cs="宋体"/>
          <w:sz w:val="24"/>
          <w:szCs w:val="24"/>
        </w:rPr>
      </w:pPr>
      <w:r>
        <w:rPr>
          <w:rFonts w:ascii="宋体" w:hAnsi="宋体" w:cs="宋体"/>
          <w:spacing w:val="-17"/>
          <w:sz w:val="24"/>
          <w:szCs w:val="24"/>
        </w:rPr>
        <w:t>地</w:t>
      </w:r>
      <w:r>
        <w:rPr>
          <w:rFonts w:ascii="宋体" w:hAnsi="宋体" w:cs="宋体"/>
          <w:spacing w:val="2"/>
          <w:sz w:val="24"/>
          <w:szCs w:val="24"/>
        </w:rPr>
        <w:t xml:space="preserve">    </w:t>
      </w:r>
      <w:r>
        <w:rPr>
          <w:rFonts w:ascii="宋体" w:hAnsi="宋体" w:cs="宋体"/>
          <w:spacing w:val="-17"/>
          <w:sz w:val="24"/>
          <w:szCs w:val="24"/>
        </w:rPr>
        <w:t>址</w:t>
      </w:r>
      <w:r>
        <w:rPr>
          <w:rFonts w:ascii="宋体" w:hAnsi="宋体" w:cs="宋体"/>
          <w:spacing w:val="-88"/>
          <w:sz w:val="24"/>
          <w:szCs w:val="24"/>
        </w:rPr>
        <w:t xml:space="preserve"> </w:t>
      </w:r>
      <w:r>
        <w:rPr>
          <w:rFonts w:ascii="宋体" w:hAnsi="宋体" w:cs="宋体"/>
          <w:spacing w:val="-17"/>
          <w:sz w:val="24"/>
          <w:szCs w:val="24"/>
        </w:rPr>
        <w:t>：</w:t>
      </w:r>
      <w:r>
        <w:rPr>
          <w:rFonts w:ascii="宋体" w:hAnsi="宋体" w:cs="宋体"/>
          <w:sz w:val="24"/>
          <w:szCs w:val="24"/>
          <w:u w:val="single"/>
        </w:rPr>
        <w:t xml:space="preserve">                                    </w:t>
      </w:r>
    </w:p>
    <w:p w14:paraId="0E1BF195">
      <w:pPr>
        <w:spacing w:before="104" w:line="219" w:lineRule="auto"/>
        <w:ind w:left="507"/>
        <w:rPr>
          <w:rFonts w:ascii="宋体" w:hAnsi="宋体" w:cs="宋体"/>
          <w:sz w:val="24"/>
          <w:szCs w:val="24"/>
        </w:rPr>
      </w:pPr>
      <w:r>
        <w:rPr>
          <w:rFonts w:ascii="宋体" w:hAnsi="宋体" w:cs="宋体"/>
          <w:spacing w:val="-4"/>
          <w:sz w:val="24"/>
          <w:szCs w:val="24"/>
        </w:rPr>
        <w:t>邮政编码：</w:t>
      </w:r>
      <w:r>
        <w:rPr>
          <w:rFonts w:ascii="宋体" w:hAnsi="宋体" w:cs="宋体"/>
          <w:spacing w:val="-4"/>
          <w:sz w:val="24"/>
          <w:szCs w:val="24"/>
          <w:u w:val="single"/>
        </w:rPr>
        <w:t xml:space="preserve">                                    </w:t>
      </w:r>
    </w:p>
    <w:p w14:paraId="30E90821">
      <w:pPr>
        <w:spacing w:before="114" w:line="221" w:lineRule="auto"/>
        <w:ind w:left="517"/>
        <w:rPr>
          <w:rFonts w:ascii="宋体" w:hAnsi="宋体" w:cs="宋体"/>
          <w:sz w:val="24"/>
          <w:szCs w:val="24"/>
        </w:rPr>
      </w:pPr>
      <w:r>
        <w:rPr>
          <w:rFonts w:ascii="宋体" w:hAnsi="宋体" w:cs="宋体"/>
          <w:spacing w:val="-26"/>
          <w:sz w:val="24"/>
          <w:szCs w:val="24"/>
        </w:rPr>
        <w:t>电</w:t>
      </w:r>
      <w:r>
        <w:rPr>
          <w:rFonts w:ascii="宋体" w:hAnsi="宋体" w:cs="宋体"/>
          <w:spacing w:val="2"/>
          <w:sz w:val="24"/>
          <w:szCs w:val="24"/>
        </w:rPr>
        <w:t xml:space="preserve">    </w:t>
      </w:r>
      <w:r>
        <w:rPr>
          <w:rFonts w:ascii="宋体" w:hAnsi="宋体" w:cs="宋体"/>
          <w:spacing w:val="-26"/>
          <w:sz w:val="24"/>
          <w:szCs w:val="24"/>
        </w:rPr>
        <w:t>话</w:t>
      </w:r>
      <w:r>
        <w:rPr>
          <w:rFonts w:ascii="宋体" w:hAnsi="宋体" w:cs="宋体"/>
          <w:spacing w:val="-89"/>
          <w:sz w:val="24"/>
          <w:szCs w:val="24"/>
        </w:rPr>
        <w:t xml:space="preserve"> </w:t>
      </w:r>
      <w:r>
        <w:rPr>
          <w:rFonts w:ascii="宋体" w:hAnsi="宋体" w:cs="宋体"/>
          <w:spacing w:val="-26"/>
          <w:sz w:val="24"/>
          <w:szCs w:val="24"/>
        </w:rPr>
        <w:t>：</w:t>
      </w:r>
      <w:r>
        <w:rPr>
          <w:rFonts w:ascii="宋体" w:hAnsi="宋体" w:cs="宋体"/>
          <w:sz w:val="24"/>
          <w:szCs w:val="24"/>
          <w:u w:val="single"/>
        </w:rPr>
        <w:t xml:space="preserve">                                    </w:t>
      </w:r>
    </w:p>
    <w:p w14:paraId="292358F6">
      <w:pPr>
        <w:spacing w:before="112" w:line="219" w:lineRule="auto"/>
        <w:ind w:left="487"/>
        <w:rPr>
          <w:rFonts w:ascii="宋体" w:hAnsi="宋体" w:cs="宋体"/>
          <w:sz w:val="24"/>
          <w:szCs w:val="24"/>
        </w:rPr>
      </w:pPr>
      <w:r>
        <w:rPr>
          <w:rFonts w:ascii="宋体" w:hAnsi="宋体" w:cs="宋体"/>
          <w:spacing w:val="-17"/>
          <w:sz w:val="24"/>
          <w:szCs w:val="24"/>
        </w:rPr>
        <w:t>传</w:t>
      </w:r>
      <w:r>
        <w:rPr>
          <w:rFonts w:ascii="宋体" w:hAnsi="宋体" w:cs="宋体"/>
          <w:spacing w:val="3"/>
          <w:sz w:val="24"/>
          <w:szCs w:val="24"/>
        </w:rPr>
        <w:t xml:space="preserve">    </w:t>
      </w:r>
      <w:r>
        <w:rPr>
          <w:rFonts w:ascii="宋体" w:hAnsi="宋体" w:cs="宋体"/>
          <w:spacing w:val="-17"/>
          <w:sz w:val="24"/>
          <w:szCs w:val="24"/>
        </w:rPr>
        <w:t>真</w:t>
      </w:r>
      <w:r>
        <w:rPr>
          <w:rFonts w:ascii="宋体" w:hAnsi="宋体" w:cs="宋体"/>
          <w:spacing w:val="-90"/>
          <w:sz w:val="24"/>
          <w:szCs w:val="24"/>
        </w:rPr>
        <w:t xml:space="preserve"> </w:t>
      </w:r>
      <w:r>
        <w:rPr>
          <w:rFonts w:ascii="宋体" w:hAnsi="宋体" w:cs="宋体"/>
          <w:spacing w:val="-17"/>
          <w:sz w:val="24"/>
          <w:szCs w:val="24"/>
        </w:rPr>
        <w:t>：</w:t>
      </w:r>
      <w:r>
        <w:rPr>
          <w:rFonts w:ascii="宋体" w:hAnsi="宋体" w:cs="宋体"/>
          <w:sz w:val="24"/>
          <w:szCs w:val="24"/>
          <w:u w:val="single"/>
        </w:rPr>
        <w:t xml:space="preserve">                                    </w:t>
      </w:r>
    </w:p>
    <w:p w14:paraId="0B5A0363">
      <w:pPr>
        <w:tabs>
          <w:tab w:val="left" w:pos="3840"/>
        </w:tabs>
        <w:spacing w:before="117" w:line="219" w:lineRule="auto"/>
        <w:ind w:left="3000"/>
        <w:rPr>
          <w:lang w:eastAsia="zh-CN"/>
        </w:rPr>
      </w:pPr>
      <w:r>
        <w:rPr>
          <w:rFonts w:ascii="宋体" w:hAnsi="宋体" w:cs="宋体"/>
          <w:sz w:val="24"/>
          <w:szCs w:val="24"/>
          <w:u w:val="single"/>
        </w:rPr>
        <w:tab/>
      </w:r>
      <w:r>
        <w:rPr>
          <w:rFonts w:ascii="宋体" w:hAnsi="宋体" w:cs="宋体"/>
          <w:spacing w:val="-110"/>
          <w:sz w:val="24"/>
          <w:szCs w:val="24"/>
        </w:rPr>
        <w:t xml:space="preserve"> </w:t>
      </w:r>
      <w:r>
        <w:rPr>
          <w:rFonts w:ascii="宋体" w:hAnsi="宋体" w:cs="宋体"/>
          <w:spacing w:val="-9"/>
          <w:sz w:val="24"/>
          <w:szCs w:val="24"/>
        </w:rPr>
        <w:t>年</w:t>
      </w:r>
      <w:r>
        <w:rPr>
          <w:rFonts w:ascii="宋体" w:hAnsi="宋体" w:cs="宋体"/>
          <w:sz w:val="24"/>
          <w:szCs w:val="24"/>
          <w:u w:val="single"/>
        </w:rPr>
        <w:t xml:space="preserve">      </w:t>
      </w:r>
      <w:r>
        <w:rPr>
          <w:rFonts w:ascii="宋体" w:hAnsi="宋体" w:cs="宋体"/>
          <w:spacing w:val="-105"/>
          <w:sz w:val="24"/>
          <w:szCs w:val="24"/>
        </w:rPr>
        <w:t xml:space="preserve"> </w:t>
      </w:r>
      <w:r>
        <w:rPr>
          <w:rFonts w:ascii="宋体" w:hAnsi="宋体" w:cs="宋体"/>
          <w:spacing w:val="-9"/>
          <w:sz w:val="24"/>
          <w:szCs w:val="24"/>
        </w:rPr>
        <w:t>月</w:t>
      </w:r>
      <w:r>
        <w:rPr>
          <w:rFonts w:ascii="宋体" w:hAnsi="宋体" w:cs="宋体"/>
          <w:sz w:val="24"/>
          <w:szCs w:val="24"/>
          <w:u w:val="single"/>
        </w:rPr>
        <w:t xml:space="preserve">      </w:t>
      </w:r>
      <w:r>
        <w:rPr>
          <w:rFonts w:ascii="宋体" w:hAnsi="宋体" w:cs="宋体"/>
          <w:spacing w:val="-69"/>
          <w:sz w:val="24"/>
          <w:szCs w:val="24"/>
        </w:rPr>
        <w:t xml:space="preserve"> </w:t>
      </w:r>
      <w:r>
        <w:rPr>
          <w:rFonts w:ascii="宋体" w:hAnsi="宋体" w:cs="宋体"/>
          <w:spacing w:val="-9"/>
          <w:sz w:val="24"/>
          <w:szCs w:val="24"/>
        </w:rPr>
        <w:t>日</w:t>
      </w:r>
    </w:p>
    <w:p w14:paraId="6478573A">
      <w:pPr>
        <w:pStyle w:val="11"/>
        <w:spacing w:line="276" w:lineRule="auto"/>
        <w:rPr>
          <w:lang w:eastAsia="zh-CN"/>
        </w:rPr>
      </w:pPr>
    </w:p>
    <w:p w14:paraId="013FBABC">
      <w:pPr>
        <w:pStyle w:val="11"/>
        <w:spacing w:line="276" w:lineRule="auto"/>
        <w:rPr>
          <w:lang w:eastAsia="zh-CN"/>
        </w:rPr>
      </w:pPr>
      <w:r>
        <w:rPr>
          <w:snapToGrid w:val="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44450</wp:posOffset>
                </wp:positionV>
                <wp:extent cx="1828800" cy="0"/>
                <wp:effectExtent l="0" t="4445" r="0" b="5080"/>
                <wp:wrapNone/>
                <wp:docPr id="8" name="自选图形 2"/>
                <wp:cNvGraphicFramePr/>
                <a:graphic xmlns:a="http://schemas.openxmlformats.org/drawingml/2006/main">
                  <a:graphicData uri="http://schemas.microsoft.com/office/word/2010/wordprocessingShape">
                    <wps:wsp>
                      <wps:cNvSpPr/>
                      <wps:spPr>
                        <a:xfrm>
                          <a:off x="0" y="0"/>
                          <a:ext cx="1828800" cy="0"/>
                        </a:xfrm>
                        <a:custGeom>
                          <a:avLst/>
                          <a:gdLst/>
                          <a:ahLst/>
                          <a:cxnLst/>
                          <a:pathLst>
                            <a:path w="2880" h="1">
                              <a:moveTo>
                                <a:pt x="0" y="0"/>
                              </a:moveTo>
                              <a:lnTo>
                                <a:pt x="2880" y="0"/>
                              </a:lnTo>
                            </a:path>
                          </a:pathLst>
                        </a:custGeom>
                        <a:noFill/>
                        <a:ln w="9525" cap="flat" cmpd="sng">
                          <a:solidFill>
                            <a:srgbClr val="000000"/>
                          </a:solidFill>
                          <a:prstDash val="solid"/>
                          <a:round/>
                          <a:headEnd type="none" w="med" len="med"/>
                          <a:tailEnd type="none" w="med" len="med"/>
                        </a:ln>
                      </wps:spPr>
                      <wps:bodyPr upright="1"/>
                    </wps:wsp>
                  </a:graphicData>
                </a:graphic>
              </wp:anchor>
            </w:drawing>
          </mc:Choice>
          <mc:Fallback>
            <w:pict>
              <v:shape id="自选图形 2" o:spid="_x0000_s1026" o:spt="100" style="position:absolute;left:0pt;margin-left:0pt;margin-top:3.5pt;height:0pt;width:144pt;z-index:251659264;mso-width-relative:page;mso-height-relative:page;" filled="f" stroked="t" coordsize="2880,1" o:gfxdata="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wbsVrTAAAABAEAAA8AAAAAAAAAAQAgAAAAIgAAAGRycy9kb3ducmV2LnhtbFBLAQIUABQAAAAI&#10;AIdO4kDV6NvYKwIAAI8EAAAOAAAAAAAAAAEAIAAAACIBAABkcnMvZTJvRG9jLnhtbFBLBQYAAAAA&#10;BgAGAFkBAAC/BQAAAAA=&#10;" path="m0,0l2880,0e">
                <v:fill on="f" focussize="0,0"/>
                <v:stroke color="#000000" joinstyle="round"/>
                <v:imagedata o:title=""/>
                <o:lock v:ext="edit" aspectratio="f"/>
              </v:shape>
            </w:pict>
          </mc:Fallback>
        </mc:AlternateContent>
      </w:r>
    </w:p>
    <w:p w14:paraId="5B715CDF">
      <w:pPr>
        <w:spacing w:before="63" w:line="308" w:lineRule="auto"/>
        <w:ind w:left="8" w:right="145" w:firstLine="399"/>
        <w:rPr>
          <w:rFonts w:ascii="宋体" w:hAnsi="宋体" w:cs="宋体"/>
          <w:sz w:val="19"/>
          <w:szCs w:val="19"/>
        </w:rPr>
      </w:pPr>
      <w:bookmarkStart w:id="235" w:name="bookmark237"/>
      <w:bookmarkEnd w:id="235"/>
      <w:r>
        <w:rPr>
          <w:rFonts w:ascii="宋体" w:hAnsi="宋体" w:cs="宋体"/>
          <w:spacing w:val="11"/>
          <w:sz w:val="19"/>
          <w:szCs w:val="19"/>
        </w:rPr>
        <w:t>① 允许使用银行</w:t>
      </w:r>
      <w:r>
        <w:rPr>
          <w:rFonts w:eastAsia="Times New Roman"/>
          <w:spacing w:val="11"/>
          <w:sz w:val="19"/>
          <w:szCs w:val="19"/>
        </w:rPr>
        <w:t>/</w:t>
      </w:r>
      <w:r>
        <w:rPr>
          <w:rFonts w:ascii="宋体" w:hAnsi="宋体" w:cs="宋体"/>
          <w:spacing w:val="11"/>
          <w:sz w:val="19"/>
          <w:szCs w:val="19"/>
        </w:rPr>
        <w:t>担保机构</w:t>
      </w:r>
      <w:r>
        <w:rPr>
          <w:rFonts w:eastAsia="Times New Roman"/>
          <w:spacing w:val="11"/>
          <w:sz w:val="19"/>
          <w:szCs w:val="19"/>
        </w:rPr>
        <w:t>/</w:t>
      </w:r>
      <w:r>
        <w:rPr>
          <w:rFonts w:ascii="宋体" w:hAnsi="宋体" w:cs="宋体"/>
          <w:spacing w:val="11"/>
          <w:sz w:val="19"/>
          <w:szCs w:val="19"/>
        </w:rPr>
        <w:t>保险公司出具的担保格式，但必须为无条件、不可</w:t>
      </w:r>
      <w:r>
        <w:rPr>
          <w:rFonts w:ascii="宋体" w:hAnsi="宋体" w:cs="宋体"/>
          <w:spacing w:val="10"/>
          <w:sz w:val="19"/>
          <w:szCs w:val="19"/>
        </w:rPr>
        <w:t>撤销的见索即付</w:t>
      </w:r>
      <w:bookmarkStart w:id="236" w:name="bookmark238"/>
      <w:bookmarkEnd w:id="236"/>
      <w:r>
        <w:rPr>
          <w:rFonts w:ascii="宋体" w:hAnsi="宋体" w:cs="宋体"/>
          <w:spacing w:val="9"/>
          <w:sz w:val="19"/>
          <w:szCs w:val="19"/>
        </w:rPr>
        <w:t>担保，且不得更改本格式中的实质性内容。</w:t>
      </w:r>
    </w:p>
    <w:p w14:paraId="00ADEFF7">
      <w:pPr>
        <w:spacing w:before="166" w:line="349" w:lineRule="auto"/>
        <w:ind w:left="8" w:right="148" w:firstLine="398"/>
        <w:rPr>
          <w:rFonts w:ascii="宋体" w:hAnsi="宋体" w:cs="宋体"/>
          <w:sz w:val="19"/>
          <w:szCs w:val="19"/>
        </w:rPr>
      </w:pPr>
      <w:r>
        <w:rPr>
          <w:rFonts w:ascii="宋体" w:hAnsi="宋体" w:cs="宋体"/>
          <w:spacing w:val="9"/>
          <w:sz w:val="19"/>
          <w:szCs w:val="19"/>
        </w:rPr>
        <w:t>② 本条内容可修改为：</w:t>
      </w:r>
      <w:r>
        <w:rPr>
          <w:rFonts w:ascii="宋体" w:hAnsi="宋体" w:cs="宋体"/>
          <w:spacing w:val="-62"/>
          <w:sz w:val="19"/>
          <w:szCs w:val="19"/>
        </w:rPr>
        <w:t xml:space="preserve"> </w:t>
      </w:r>
      <w:r>
        <w:rPr>
          <w:rFonts w:ascii="宋体" w:hAnsi="宋体" w:cs="宋体"/>
          <w:spacing w:val="9"/>
          <w:sz w:val="19"/>
          <w:szCs w:val="19"/>
        </w:rPr>
        <w:t>“本担保自</w:t>
      </w:r>
      <w:r>
        <w:rPr>
          <w:rFonts w:ascii="宋体" w:hAnsi="宋体" w:cs="宋体"/>
          <w:spacing w:val="-93"/>
          <w:sz w:val="19"/>
          <w:szCs w:val="19"/>
        </w:rPr>
        <w:t xml:space="preserve"> </w:t>
      </w:r>
      <w:r>
        <w:rPr>
          <w:rFonts w:ascii="宋体" w:hAnsi="宋体" w:cs="宋体"/>
          <w:spacing w:val="9"/>
          <w:sz w:val="19"/>
          <w:szCs w:val="19"/>
          <w:u w:val="single"/>
        </w:rPr>
        <w:t xml:space="preserve">       </w:t>
      </w:r>
      <w:r>
        <w:rPr>
          <w:rFonts w:ascii="宋体" w:hAnsi="宋体" w:cs="宋体"/>
          <w:spacing w:val="9"/>
          <w:sz w:val="19"/>
          <w:szCs w:val="19"/>
        </w:rPr>
        <w:t>（生效日期）之日起生效。</w:t>
      </w:r>
      <w:r>
        <w:rPr>
          <w:rFonts w:ascii="宋体" w:hAnsi="宋体" w:cs="宋体"/>
          <w:spacing w:val="-60"/>
          <w:sz w:val="19"/>
          <w:szCs w:val="19"/>
        </w:rPr>
        <w:t xml:space="preserve"> </w:t>
      </w:r>
      <w:r>
        <w:rPr>
          <w:rFonts w:ascii="宋体" w:hAnsi="宋体" w:cs="宋体"/>
          <w:spacing w:val="9"/>
          <w:sz w:val="19"/>
          <w:szCs w:val="19"/>
        </w:rPr>
        <w:t>”如发包人接受履约保</w:t>
      </w:r>
      <w:r>
        <w:rPr>
          <w:rFonts w:ascii="宋体" w:hAnsi="宋体" w:cs="宋体"/>
          <w:spacing w:val="12"/>
          <w:sz w:val="19"/>
          <w:szCs w:val="19"/>
        </w:rPr>
        <w:t>函采用固定有效期，在专用合同条款中应增加</w:t>
      </w:r>
      <w:r>
        <w:rPr>
          <w:rFonts w:ascii="宋体" w:hAnsi="宋体" w:cs="宋体"/>
          <w:spacing w:val="11"/>
          <w:sz w:val="19"/>
          <w:szCs w:val="19"/>
        </w:rPr>
        <w:t>保证承包人在履约保函失效日前向发包人出具后续阶</w:t>
      </w:r>
      <w:r>
        <w:rPr>
          <w:rFonts w:ascii="宋体" w:hAnsi="宋体" w:cs="宋体"/>
          <w:spacing w:val="12"/>
          <w:sz w:val="19"/>
          <w:szCs w:val="19"/>
        </w:rPr>
        <w:t>段履约保函的约束性条款，直至发包人签发交</w:t>
      </w:r>
      <w:r>
        <w:rPr>
          <w:rFonts w:ascii="宋体" w:hAnsi="宋体" w:cs="宋体"/>
          <w:spacing w:val="11"/>
          <w:sz w:val="19"/>
          <w:szCs w:val="19"/>
        </w:rPr>
        <w:t>工验收证书且承包人按照合同约定缴纳质量保证金之</w:t>
      </w:r>
      <w:r>
        <w:rPr>
          <w:rFonts w:ascii="宋体" w:hAnsi="宋体" w:cs="宋体"/>
          <w:spacing w:val="5"/>
          <w:sz w:val="19"/>
          <w:szCs w:val="19"/>
        </w:rPr>
        <w:t>日为止。</w:t>
      </w:r>
    </w:p>
    <w:p w14:paraId="46FA9ACB">
      <w:pPr>
        <w:tabs>
          <w:tab w:val="left" w:pos="0"/>
        </w:tabs>
        <w:spacing w:line="560" w:lineRule="exact"/>
        <w:jc w:val="left"/>
        <w:rPr>
          <w:rFonts w:hint="eastAsia" w:ascii="宋体" w:hAnsi="宋体" w:cs="宋体"/>
          <w:bCs/>
          <w:sz w:val="32"/>
          <w:szCs w:val="32"/>
        </w:rPr>
      </w:pPr>
    </w:p>
    <w:p w14:paraId="1DF20F49">
      <w:pPr>
        <w:pStyle w:val="4"/>
        <w:spacing w:before="0" w:after="0" w:line="240" w:lineRule="auto"/>
        <w:rPr>
          <w:rFonts w:hint="eastAsia" w:ascii="宋体" w:hAnsi="宋体" w:cs="宋体"/>
          <w:lang w:eastAsia="zh-CN"/>
        </w:rPr>
      </w:pPr>
      <w:bookmarkStart w:id="237" w:name="_Toc9560"/>
      <w:bookmarkStart w:id="238" w:name="_Toc30382"/>
      <w:r>
        <w:rPr>
          <w:rFonts w:hint="eastAsia" w:ascii="宋体" w:hAnsi="宋体" w:cs="宋体"/>
          <w:lang w:eastAsia="zh-CN"/>
        </w:rPr>
        <w:t>附件八、项目资金监管协议格式</w:t>
      </w:r>
      <w:bookmarkEnd w:id="237"/>
      <w:bookmarkEnd w:id="238"/>
    </w:p>
    <w:p w14:paraId="27ECFBA5">
      <w:pPr>
        <w:tabs>
          <w:tab w:val="left" w:pos="0"/>
        </w:tabs>
        <w:spacing w:line="560" w:lineRule="exact"/>
        <w:jc w:val="left"/>
        <w:rPr>
          <w:rFonts w:ascii="宋体" w:hAnsi="宋体" w:cs="宋体"/>
          <w:bCs/>
          <w:sz w:val="32"/>
          <w:szCs w:val="32"/>
        </w:rPr>
      </w:pPr>
    </w:p>
    <w:p w14:paraId="2A0E5F81">
      <w:pPr>
        <w:tabs>
          <w:tab w:val="left" w:pos="0"/>
        </w:tabs>
        <w:spacing w:line="360" w:lineRule="auto"/>
        <w:jc w:val="center"/>
        <w:rPr>
          <w:rFonts w:ascii="宋体" w:hAnsi="宋体" w:cs="宋体"/>
          <w:bCs/>
          <w:sz w:val="24"/>
          <w:szCs w:val="24"/>
        </w:rPr>
      </w:pPr>
      <w:r>
        <w:rPr>
          <w:rFonts w:hint="eastAsia" w:ascii="宋体" w:hAnsi="宋体" w:cs="宋体"/>
          <w:bCs/>
          <w:sz w:val="24"/>
          <w:szCs w:val="24"/>
        </w:rPr>
        <w:t>项目资金监管协议</w:t>
      </w:r>
    </w:p>
    <w:p w14:paraId="5A4146C8">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发包人：（以下简称"甲方")</w:t>
      </w:r>
    </w:p>
    <w:p w14:paraId="478D4A3D">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承包人：（以下简称"乙方")</w:t>
      </w:r>
    </w:p>
    <w:p w14:paraId="4452C4E3">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经办银行：（以下简称"丙方")</w:t>
      </w:r>
    </w:p>
    <w:p w14:paraId="42F0C4A3">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为了促进（项目名称）的顺利实施，管好用好建设资金，确保工程资金专款专用，同时为承包人提供便捷有效的银行业务服务，根据称）合同条款有关规定，经甲、乙、丙三方协商，达成协议如下：</w:t>
      </w:r>
    </w:p>
    <w:p w14:paraId="72ABC853">
      <w:pPr>
        <w:tabs>
          <w:tab w:val="left" w:pos="0"/>
        </w:tabs>
        <w:spacing w:line="360" w:lineRule="auto"/>
        <w:jc w:val="left"/>
        <w:rPr>
          <w:rFonts w:ascii="宋体" w:hAnsi="宋体" w:cs="宋体"/>
          <w:bCs/>
          <w:sz w:val="24"/>
          <w:szCs w:val="24"/>
        </w:rPr>
      </w:pPr>
      <w:r>
        <w:rPr>
          <w:rFonts w:hint="eastAsia" w:ascii="宋体" w:hAnsi="宋体" w:cs="宋体"/>
          <w:bCs/>
          <w:sz w:val="24"/>
          <w:szCs w:val="24"/>
        </w:rPr>
        <w:t>（项目名称）</w:t>
      </w:r>
    </w:p>
    <w:p w14:paraId="3CE4CA3C">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1．资金管理的内容</w:t>
      </w:r>
    </w:p>
    <w:p w14:paraId="35876E93">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(1）乙方为完成（项目名称）工程成立的项目经理部在丙方开设基本结算户：</w:t>
      </w:r>
    </w:p>
    <w:p w14:paraId="20C62AA7">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(2）甲方应按合同规定将工程款汇入乙方在丙方开设的账户；</w:t>
      </w:r>
    </w:p>
    <w:p w14:paraId="5D1D1F38">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(3）乙方应将流动资金及甲方所拨付资金专项用于（项目名称）:</w:t>
      </w:r>
    </w:p>
    <w:p w14:paraId="18C0D1D1">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(4）丙方应为乙方提供便捷有效的银行业务服务，并接受甲方委托对乙方在丙方开设的基本结算户资金使用情况进行监督。</w:t>
      </w:r>
    </w:p>
    <w:p w14:paraId="5252D1E4">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2．甲方的权责</w:t>
      </w:r>
    </w:p>
    <w:p w14:paraId="6BC0D518">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(1）按照（项目名称）合同有关条款规定的时间和方式，向乙方支付工程款：</w:t>
      </w:r>
    </w:p>
    <w:p w14:paraId="25B12815">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(2）在发现乙方将本项目资金挪用、转移时，甲方有权中止资金支付，直至乙方改正为止：</w:t>
      </w:r>
    </w:p>
    <w:p w14:paraId="34FA0F98">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(3）不定期审查丙方对乙方的资金使用监督情况，如丙方不能履行其责任，甲方有权随时终止本协议：</w:t>
      </w:r>
    </w:p>
    <w:p w14:paraId="197244AC">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(4）在乙、丙双方发生争议时，甲方应负责协调、解决。</w:t>
      </w:r>
    </w:p>
    <w:p w14:paraId="115F633C">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3．乙方的权责</w:t>
      </w:r>
    </w:p>
    <w:p w14:paraId="7A3C586A">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(1）项目经理部成立以后，乙方应尽快在丙方开设基本结算户；</w:t>
      </w:r>
    </w:p>
    <w:p w14:paraId="5A22E7B2">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(2）确保本项目资金专款专用，不发生挪用、转移资金的现象；保证不通过权益转让、抵押、担保承担债务等任何其他方式使用基本结算户的资金；</w:t>
      </w:r>
    </w:p>
    <w:p w14:paraId="698C4AD5">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(3）办理材料、设备等采购业务金额在＿万元以上的，应出示购货合同、协议和发票；在办理总额超过＿万元以上的采购业务时，应将合同、协议和发票复印件送丙方备案；购买应急材料、设备时可先办理支付手续，但事后必须补备有关资料；办理支票转付手续；</w:t>
      </w:r>
    </w:p>
    <w:p w14:paraId="24D9DE58">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(4）用银行转账支票办理支付款项时，必须将转账支票送交丙方，由丙方负责</w:t>
      </w:r>
    </w:p>
    <w:p w14:paraId="7BCF402D">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(5）向分包单位支付工程进度款时，应附甲方批准分包的文件；</w:t>
      </w:r>
    </w:p>
    <w:p w14:paraId="5A53F087">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(6）向上级单位缴纳管理费、机械设备及周转材料租赁摊销费等款项时，应附上级单位出具的转账通知等有关资料，以确保资金专款专用。</w:t>
      </w:r>
    </w:p>
    <w:p w14:paraId="703EBC5E">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4．丙方的权责</w:t>
      </w:r>
    </w:p>
    <w:p w14:paraId="52C74BA7">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(1）成立（项目名称）工程资金管理服务小组，明确业务流程，提高工作效率，杜绝"压票"现象；</w:t>
      </w:r>
    </w:p>
    <w:p w14:paraId="7BE6351C">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(2）根据乙方提供的购货合同、协议和发票，检查其所购材料、设备是否用于＿（项目名称）工程建设，对本标段以外的购货款项，有权拒绝办理，并及时报告甲方；</w:t>
      </w:r>
    </w:p>
    <w:p w14:paraId="5B4BFBCE">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(3）根据乙方与分包单位签订的合同及支付文件，检查其支付款项是否符合有关条件，向分包单位以外单位的支付有权拒绝办理，并及时报告甲方；</w:t>
      </w:r>
    </w:p>
    <w:p w14:paraId="3ABC60BC">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(4）根据乙方提供的上级单位出具的转账通知等有关资料，办理管理费、机械设备及周转材料租赁摊销费等款项的支付；对超出转账通知等有关资料以外的支付，有权拒绝办理，并及时报告甲方；</w:t>
      </w:r>
    </w:p>
    <w:p w14:paraId="33988BC5">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(5）定期将乙方前一个周期的支付情况，整理后书面报送甲方；乙方复印备案的材料一并送甲方。</w:t>
      </w:r>
    </w:p>
    <w:p w14:paraId="6B69C44A">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5．甲、乙、丙三方都应履行保密责任，不得将其他两方的业务情况透露给三方以外的其他单位或个人。</w:t>
      </w:r>
    </w:p>
    <w:p w14:paraId="4448D38C">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6．本协议有效期自乙方在丙方开户起，至工程交工验收甲方向乙方颁发交工验收证书后结束。</w:t>
      </w:r>
    </w:p>
    <w:p w14:paraId="72AB2437">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7．本协议未尽事宜，由甲方牵头，三方协商解决。</w:t>
      </w:r>
    </w:p>
    <w:p w14:paraId="7090E8B1">
      <w:pPr>
        <w:tabs>
          <w:tab w:val="left" w:pos="0"/>
        </w:tabs>
        <w:spacing w:line="360" w:lineRule="auto"/>
        <w:ind w:firstLine="480" w:firstLineChars="200"/>
        <w:jc w:val="left"/>
        <w:rPr>
          <w:rFonts w:ascii="宋体" w:hAnsi="宋体" w:cs="宋体"/>
          <w:bCs/>
          <w:sz w:val="24"/>
          <w:szCs w:val="24"/>
        </w:rPr>
      </w:pPr>
      <w:r>
        <w:rPr>
          <w:rFonts w:hint="eastAsia" w:ascii="宋体" w:hAnsi="宋体" w:cs="宋体"/>
          <w:bCs/>
          <w:sz w:val="24"/>
          <w:szCs w:val="24"/>
        </w:rPr>
        <w:t>8．本协议正本三份、副本份。合同三方各执正本一份、副本份，当正本与副本内容不一致时，以正本为准。</w:t>
      </w:r>
    </w:p>
    <w:p w14:paraId="11CC570F">
      <w:pPr>
        <w:tabs>
          <w:tab w:val="left" w:pos="0"/>
        </w:tabs>
        <w:spacing w:line="360" w:lineRule="auto"/>
        <w:jc w:val="left"/>
        <w:rPr>
          <w:rFonts w:ascii="宋体" w:hAnsi="宋体" w:cs="宋体"/>
          <w:bCs/>
          <w:sz w:val="24"/>
          <w:szCs w:val="24"/>
        </w:rPr>
      </w:pPr>
    </w:p>
    <w:p w14:paraId="04C8D96D">
      <w:pPr>
        <w:tabs>
          <w:tab w:val="left" w:pos="0"/>
        </w:tabs>
        <w:spacing w:line="360" w:lineRule="auto"/>
        <w:jc w:val="left"/>
        <w:rPr>
          <w:rFonts w:ascii="宋体" w:hAnsi="宋体" w:cs="宋体"/>
          <w:bCs/>
          <w:sz w:val="24"/>
          <w:szCs w:val="24"/>
        </w:rPr>
      </w:pPr>
      <w:r>
        <w:rPr>
          <w:rFonts w:hint="eastAsia" w:ascii="宋体" w:hAnsi="宋体" w:cs="宋体"/>
          <w:bCs/>
          <w:sz w:val="24"/>
          <w:szCs w:val="24"/>
        </w:rPr>
        <w:t>发包人：（盖单位章）</w:t>
      </w:r>
    </w:p>
    <w:p w14:paraId="6CA16CA2">
      <w:pPr>
        <w:tabs>
          <w:tab w:val="left" w:pos="0"/>
        </w:tabs>
        <w:spacing w:line="360" w:lineRule="auto"/>
        <w:jc w:val="left"/>
        <w:rPr>
          <w:rFonts w:ascii="宋体" w:hAnsi="宋体" w:cs="宋体"/>
          <w:bCs/>
          <w:sz w:val="24"/>
          <w:szCs w:val="24"/>
        </w:rPr>
      </w:pPr>
      <w:r>
        <w:rPr>
          <w:rFonts w:hint="eastAsia" w:ascii="宋体" w:hAnsi="宋体" w:cs="宋体"/>
          <w:bCs/>
          <w:sz w:val="24"/>
          <w:szCs w:val="24"/>
        </w:rPr>
        <w:t>法定代表人或其委托代理人：（签字）</w:t>
      </w:r>
    </w:p>
    <w:p w14:paraId="13518280">
      <w:pPr>
        <w:tabs>
          <w:tab w:val="left" w:pos="0"/>
        </w:tabs>
        <w:spacing w:line="360" w:lineRule="auto"/>
        <w:ind w:firstLine="960" w:firstLineChars="400"/>
        <w:jc w:val="left"/>
        <w:rPr>
          <w:rFonts w:ascii="宋体" w:hAnsi="宋体" w:cs="宋体"/>
          <w:bCs/>
          <w:sz w:val="24"/>
          <w:szCs w:val="24"/>
        </w:rPr>
      </w:pPr>
      <w:r>
        <w:rPr>
          <w:rFonts w:hint="eastAsia" w:ascii="宋体" w:hAnsi="宋体" w:cs="宋体"/>
          <w:bCs/>
          <w:sz w:val="24"/>
          <w:szCs w:val="24"/>
        </w:rPr>
        <w:t>年  月  日</w:t>
      </w:r>
    </w:p>
    <w:p w14:paraId="17C7B338">
      <w:pPr>
        <w:tabs>
          <w:tab w:val="left" w:pos="0"/>
        </w:tabs>
        <w:spacing w:line="360" w:lineRule="auto"/>
        <w:jc w:val="left"/>
        <w:rPr>
          <w:rFonts w:ascii="宋体" w:hAnsi="宋体" w:cs="宋体"/>
          <w:bCs/>
          <w:sz w:val="24"/>
          <w:szCs w:val="24"/>
        </w:rPr>
      </w:pPr>
    </w:p>
    <w:p w14:paraId="73D5696B">
      <w:pPr>
        <w:tabs>
          <w:tab w:val="left" w:pos="0"/>
        </w:tabs>
        <w:spacing w:line="360" w:lineRule="auto"/>
        <w:jc w:val="left"/>
        <w:rPr>
          <w:rFonts w:ascii="宋体" w:hAnsi="宋体" w:cs="宋体"/>
          <w:bCs/>
          <w:sz w:val="24"/>
          <w:szCs w:val="24"/>
        </w:rPr>
      </w:pPr>
      <w:r>
        <w:rPr>
          <w:rFonts w:hint="eastAsia" w:ascii="宋体" w:hAnsi="宋体" w:cs="宋体"/>
          <w:bCs/>
          <w:sz w:val="24"/>
          <w:szCs w:val="24"/>
        </w:rPr>
        <w:t>承包人：（盖单位章）</w:t>
      </w:r>
    </w:p>
    <w:p w14:paraId="171AE0B6">
      <w:pPr>
        <w:tabs>
          <w:tab w:val="left" w:pos="0"/>
        </w:tabs>
        <w:spacing w:line="360" w:lineRule="auto"/>
        <w:jc w:val="left"/>
        <w:rPr>
          <w:rFonts w:ascii="宋体" w:hAnsi="宋体" w:cs="宋体"/>
          <w:bCs/>
          <w:sz w:val="24"/>
          <w:szCs w:val="24"/>
        </w:rPr>
      </w:pPr>
      <w:r>
        <w:rPr>
          <w:rFonts w:hint="eastAsia" w:ascii="宋体" w:hAnsi="宋体" w:cs="宋体"/>
          <w:bCs/>
          <w:sz w:val="24"/>
          <w:szCs w:val="24"/>
        </w:rPr>
        <w:t>法定代表人或其委托代理人：（签字）</w:t>
      </w:r>
    </w:p>
    <w:p w14:paraId="7D1CA025">
      <w:pPr>
        <w:tabs>
          <w:tab w:val="left" w:pos="0"/>
        </w:tabs>
        <w:spacing w:line="360" w:lineRule="auto"/>
        <w:ind w:firstLine="960" w:firstLineChars="400"/>
        <w:jc w:val="left"/>
        <w:rPr>
          <w:rFonts w:ascii="宋体" w:hAnsi="宋体" w:cs="宋体"/>
          <w:bCs/>
          <w:sz w:val="24"/>
          <w:szCs w:val="24"/>
        </w:rPr>
      </w:pPr>
      <w:r>
        <w:rPr>
          <w:rFonts w:hint="eastAsia" w:ascii="宋体" w:hAnsi="宋体" w:cs="宋体"/>
          <w:bCs/>
          <w:sz w:val="24"/>
          <w:szCs w:val="24"/>
        </w:rPr>
        <w:t>年  月  日</w:t>
      </w:r>
    </w:p>
    <w:p w14:paraId="5AC2D3C2">
      <w:pPr>
        <w:tabs>
          <w:tab w:val="left" w:pos="0"/>
        </w:tabs>
        <w:spacing w:line="360" w:lineRule="auto"/>
        <w:jc w:val="left"/>
        <w:rPr>
          <w:rFonts w:ascii="宋体" w:hAnsi="宋体" w:cs="宋体"/>
          <w:bCs/>
          <w:sz w:val="24"/>
          <w:szCs w:val="24"/>
        </w:rPr>
      </w:pPr>
    </w:p>
    <w:p w14:paraId="2AFE95B9">
      <w:pPr>
        <w:tabs>
          <w:tab w:val="left" w:pos="0"/>
        </w:tabs>
        <w:spacing w:line="360" w:lineRule="auto"/>
        <w:jc w:val="left"/>
        <w:rPr>
          <w:rFonts w:ascii="宋体" w:hAnsi="宋体" w:cs="宋体"/>
          <w:bCs/>
          <w:sz w:val="24"/>
          <w:szCs w:val="24"/>
        </w:rPr>
      </w:pPr>
      <w:r>
        <w:rPr>
          <w:rFonts w:hint="eastAsia" w:ascii="宋体" w:hAnsi="宋体" w:cs="宋体"/>
          <w:bCs/>
          <w:sz w:val="24"/>
          <w:szCs w:val="24"/>
        </w:rPr>
        <w:t>经办银行：（盖单位章）</w:t>
      </w:r>
    </w:p>
    <w:p w14:paraId="6B556933">
      <w:pPr>
        <w:tabs>
          <w:tab w:val="left" w:pos="0"/>
        </w:tabs>
        <w:spacing w:line="360" w:lineRule="auto"/>
        <w:jc w:val="left"/>
        <w:rPr>
          <w:rFonts w:ascii="宋体" w:hAnsi="宋体" w:cs="宋体"/>
          <w:bCs/>
          <w:sz w:val="24"/>
          <w:szCs w:val="24"/>
        </w:rPr>
      </w:pPr>
      <w:r>
        <w:rPr>
          <w:rFonts w:hint="eastAsia" w:ascii="宋体" w:hAnsi="宋体" w:cs="宋体"/>
          <w:bCs/>
          <w:sz w:val="24"/>
          <w:szCs w:val="24"/>
        </w:rPr>
        <w:t>法定代表人或其委托代理人：（签字）</w:t>
      </w:r>
    </w:p>
    <w:p w14:paraId="74797375">
      <w:pPr>
        <w:tabs>
          <w:tab w:val="left" w:pos="0"/>
        </w:tabs>
        <w:spacing w:line="360" w:lineRule="auto"/>
        <w:ind w:firstLine="960" w:firstLineChars="400"/>
        <w:jc w:val="left"/>
        <w:rPr>
          <w:rFonts w:ascii="宋体" w:hAnsi="宋体" w:cs="宋体"/>
          <w:bCs/>
          <w:sz w:val="24"/>
          <w:szCs w:val="24"/>
        </w:rPr>
      </w:pPr>
      <w:r>
        <w:rPr>
          <w:rFonts w:hint="eastAsia" w:ascii="宋体" w:hAnsi="宋体" w:cs="宋体"/>
          <w:bCs/>
          <w:sz w:val="24"/>
          <w:szCs w:val="24"/>
        </w:rPr>
        <w:t>年  月  日</w:t>
      </w:r>
    </w:p>
    <w:p w14:paraId="0C6283CD">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11308244">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41841C81">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5E231ECB">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6A3E3551">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09CA96FB">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4BB162EB">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6F1695EB">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5C384BD2">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265F4234">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25887812">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7A5D25FF">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695757BE">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084A9D4E">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1559091E">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40268ED0">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72A7A6D4">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401977B1">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40D3A2EC">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15AB45E4">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26C82061">
      <w:pPr>
        <w:keepNext w:val="0"/>
        <w:keepLines w:val="0"/>
        <w:pageBreakBefore w:val="0"/>
        <w:kinsoku/>
        <w:wordWrap/>
        <w:overflowPunct/>
        <w:topLinePunct w:val="0"/>
        <w:autoSpaceDE/>
        <w:autoSpaceDN/>
        <w:bidi w:val="0"/>
        <w:adjustRightInd/>
        <w:snapToGrid/>
        <w:spacing w:line="360" w:lineRule="auto"/>
        <w:ind w:left="476" w:firstLine="480" w:firstLineChars="200"/>
        <w:textAlignment w:val="auto"/>
        <w:outlineLvl w:val="9"/>
        <w:rPr>
          <w:rFonts w:hint="eastAsia" w:ascii="宋体" w:hAnsi="宋体" w:cs="宋体"/>
          <w:b/>
          <w:bCs/>
          <w:sz w:val="24"/>
          <w:szCs w:val="24"/>
        </w:rPr>
      </w:pPr>
    </w:p>
    <w:p w14:paraId="30BBE25A">
      <w:pPr>
        <w:keepNext w:val="0"/>
        <w:keepLines w:val="0"/>
        <w:pageBreakBefore w:val="0"/>
        <w:kinsoku/>
        <w:wordWrap/>
        <w:overflowPunct/>
        <w:topLinePunct w:val="0"/>
        <w:autoSpaceDE/>
        <w:autoSpaceDN/>
        <w:bidi w:val="0"/>
        <w:adjustRightInd/>
        <w:snapToGrid/>
        <w:spacing w:line="360" w:lineRule="auto"/>
        <w:textAlignment w:val="auto"/>
        <w:outlineLvl w:val="9"/>
        <w:rPr>
          <w:rFonts w:hint="default" w:ascii="宋体" w:hAnsi="宋体" w:eastAsia="宋体" w:cs="宋体"/>
          <w:b/>
          <w:bCs/>
          <w:sz w:val="24"/>
          <w:szCs w:val="24"/>
          <w:lang w:val="en-US" w:eastAsia="zh-CN"/>
        </w:rPr>
      </w:pPr>
    </w:p>
    <w:p w14:paraId="37D619E9">
      <w:pPr>
        <w:rPr>
          <w:rFonts w:hint="eastAsia"/>
          <w:kern w:val="44"/>
          <w:sz w:val="36"/>
          <w:szCs w:val="36"/>
        </w:rPr>
      </w:pPr>
      <w:r>
        <w:rPr>
          <w:rFonts w:hint="eastAsia"/>
          <w:kern w:val="44"/>
          <w:sz w:val="36"/>
          <w:szCs w:val="36"/>
        </w:rPr>
        <w:br w:type="page"/>
      </w:r>
    </w:p>
    <w:p w14:paraId="2BC89BB2">
      <w:pPr>
        <w:tabs>
          <w:tab w:val="left" w:pos="0"/>
        </w:tabs>
        <w:spacing w:line="560" w:lineRule="exact"/>
        <w:jc w:val="center"/>
        <w:outlineLvl w:val="1"/>
        <w:rPr>
          <w:rFonts w:ascii="宋体" w:hAnsi="宋体" w:cs="宋体"/>
          <w:spacing w:val="-73"/>
          <w:sz w:val="36"/>
          <w:szCs w:val="36"/>
        </w:rPr>
      </w:pPr>
      <w:bookmarkStart w:id="239" w:name="_Toc30569"/>
      <w:r>
        <w:rPr>
          <w:rFonts w:hint="eastAsia"/>
          <w:kern w:val="44"/>
          <w:sz w:val="36"/>
          <w:szCs w:val="36"/>
        </w:rPr>
        <w:t>第</w:t>
      </w:r>
      <w:r>
        <w:rPr>
          <w:rFonts w:hint="eastAsia"/>
          <w:kern w:val="44"/>
          <w:sz w:val="36"/>
          <w:szCs w:val="36"/>
          <w:lang w:val="en-US" w:eastAsia="zh-CN"/>
        </w:rPr>
        <w:t>四</w:t>
      </w:r>
      <w:r>
        <w:rPr>
          <w:rFonts w:hint="eastAsia"/>
          <w:kern w:val="44"/>
          <w:sz w:val="36"/>
          <w:szCs w:val="36"/>
        </w:rPr>
        <w:t xml:space="preserve">节 </w:t>
      </w:r>
      <w:r>
        <w:rPr>
          <w:rFonts w:hint="eastAsia"/>
          <w:kern w:val="44"/>
          <w:sz w:val="36"/>
          <w:szCs w:val="36"/>
          <w:lang w:val="en-US" w:eastAsia="zh-CN"/>
        </w:rPr>
        <w:t>养护</w:t>
      </w:r>
      <w:r>
        <w:rPr>
          <w:rFonts w:ascii="宋体" w:hAnsi="宋体" w:cs="宋体"/>
          <w:spacing w:val="-3"/>
          <w:sz w:val="36"/>
          <w:szCs w:val="36"/>
        </w:rPr>
        <w:t>绩效管理规则</w:t>
      </w:r>
      <w:bookmarkEnd w:id="239"/>
      <w:r>
        <w:rPr>
          <w:rFonts w:ascii="宋体" w:hAnsi="宋体" w:cs="宋体"/>
          <w:spacing w:val="-73"/>
          <w:sz w:val="36"/>
          <w:szCs w:val="36"/>
        </w:rPr>
        <w:t xml:space="preserve"> </w:t>
      </w:r>
    </w:p>
    <w:p w14:paraId="054A723E">
      <w:pPr>
        <w:spacing w:before="255" w:line="220" w:lineRule="auto"/>
        <w:ind w:left="487"/>
        <w:outlineLvl w:val="2"/>
        <w:rPr>
          <w:rFonts w:ascii="宋体" w:hAnsi="宋体" w:cs="宋体"/>
          <w:sz w:val="24"/>
          <w:szCs w:val="24"/>
        </w:rPr>
      </w:pPr>
      <w:bookmarkStart w:id="240" w:name="_Toc24867"/>
      <w:bookmarkStart w:id="241" w:name="_Toc31817"/>
      <w:bookmarkStart w:id="242" w:name="_Toc7814"/>
      <w:r>
        <w:rPr>
          <w:rFonts w:eastAsia="Times New Roman"/>
          <w:b/>
          <w:bCs/>
          <w:spacing w:val="-10"/>
          <w:sz w:val="24"/>
          <w:szCs w:val="24"/>
        </w:rPr>
        <w:t>1.</w:t>
      </w:r>
      <w:r>
        <w:rPr>
          <w:rFonts w:eastAsia="Times New Roman"/>
          <w:b/>
          <w:bCs/>
          <w:spacing w:val="9"/>
          <w:sz w:val="24"/>
          <w:szCs w:val="24"/>
        </w:rPr>
        <w:t xml:space="preserve">  </w:t>
      </w:r>
      <w:r>
        <w:rPr>
          <w:rFonts w:ascii="宋体" w:hAnsi="宋体" w:cs="宋体"/>
          <w:b/>
          <w:bCs/>
          <w:spacing w:val="-10"/>
          <w:sz w:val="24"/>
          <w:szCs w:val="24"/>
        </w:rPr>
        <w:t>总则</w:t>
      </w:r>
      <w:bookmarkEnd w:id="240"/>
      <w:bookmarkEnd w:id="241"/>
      <w:bookmarkEnd w:id="242"/>
    </w:p>
    <w:p w14:paraId="19D6B883">
      <w:pPr>
        <w:spacing w:before="266" w:line="286" w:lineRule="auto"/>
        <w:ind w:right="164" w:firstLine="499"/>
        <w:rPr>
          <w:rFonts w:ascii="宋体" w:hAnsi="宋体" w:cs="宋体"/>
          <w:sz w:val="24"/>
          <w:szCs w:val="24"/>
        </w:rPr>
      </w:pPr>
      <w:r>
        <w:rPr>
          <w:rFonts w:eastAsia="Times New Roman"/>
          <w:spacing w:val="2"/>
          <w:sz w:val="24"/>
          <w:szCs w:val="24"/>
        </w:rPr>
        <w:t xml:space="preserve">1.1  </w:t>
      </w:r>
      <w:r>
        <w:rPr>
          <w:rFonts w:ascii="宋体" w:hAnsi="宋体" w:cs="宋体"/>
          <w:spacing w:val="2"/>
          <w:sz w:val="24"/>
          <w:szCs w:val="24"/>
        </w:rPr>
        <w:t>基于绩效模式的养护合同旨在提升公路养护管理水</w:t>
      </w:r>
      <w:r>
        <w:rPr>
          <w:rFonts w:ascii="宋体" w:hAnsi="宋体" w:cs="宋体"/>
          <w:spacing w:val="1"/>
          <w:sz w:val="24"/>
          <w:szCs w:val="24"/>
        </w:rPr>
        <w:t>平、服务水平与养护效</w:t>
      </w:r>
      <w:r>
        <w:rPr>
          <w:rFonts w:ascii="宋体" w:hAnsi="宋体" w:cs="宋体"/>
          <w:spacing w:val="-1"/>
          <w:sz w:val="24"/>
          <w:szCs w:val="24"/>
        </w:rPr>
        <w:t>率，通过养护绩效管理，调动承包人主动实施精细化养护，</w:t>
      </w:r>
      <w:r>
        <w:rPr>
          <w:rFonts w:ascii="宋体" w:hAnsi="宋体" w:cs="宋体"/>
          <w:spacing w:val="-58"/>
          <w:sz w:val="24"/>
          <w:szCs w:val="24"/>
        </w:rPr>
        <w:t xml:space="preserve"> </w:t>
      </w:r>
      <w:r>
        <w:rPr>
          <w:rFonts w:ascii="宋体" w:hAnsi="宋体" w:cs="宋体"/>
          <w:spacing w:val="-1"/>
          <w:sz w:val="24"/>
          <w:szCs w:val="24"/>
        </w:rPr>
        <w:t>自主在最适当的时机、</w:t>
      </w:r>
      <w:r>
        <w:rPr>
          <w:rFonts w:ascii="宋体" w:hAnsi="宋体" w:cs="宋体"/>
          <w:spacing w:val="1"/>
          <w:sz w:val="24"/>
          <w:szCs w:val="24"/>
        </w:rPr>
        <w:t>采用最科学的方法、以最优的质量开展养护工作，实现合同</w:t>
      </w:r>
      <w:r>
        <w:rPr>
          <w:rFonts w:ascii="宋体" w:hAnsi="宋体" w:cs="宋体"/>
          <w:sz w:val="24"/>
          <w:szCs w:val="24"/>
        </w:rPr>
        <w:t>周期内养护投资效益最</w:t>
      </w:r>
      <w:r>
        <w:rPr>
          <w:rFonts w:ascii="宋体" w:hAnsi="宋体" w:cs="宋体"/>
          <w:spacing w:val="-5"/>
          <w:sz w:val="24"/>
          <w:szCs w:val="24"/>
        </w:rPr>
        <w:t>优。</w:t>
      </w:r>
    </w:p>
    <w:p w14:paraId="32DB680C">
      <w:pPr>
        <w:spacing w:before="117" w:line="285" w:lineRule="auto"/>
        <w:ind w:left="5" w:right="164" w:firstLine="493"/>
        <w:rPr>
          <w:rFonts w:ascii="宋体" w:hAnsi="宋体" w:cs="宋体"/>
          <w:sz w:val="24"/>
          <w:szCs w:val="24"/>
        </w:rPr>
      </w:pPr>
      <w:r>
        <w:rPr>
          <w:rFonts w:eastAsia="Times New Roman"/>
          <w:spacing w:val="2"/>
          <w:sz w:val="24"/>
          <w:szCs w:val="24"/>
        </w:rPr>
        <w:t xml:space="preserve">1.2  </w:t>
      </w:r>
      <w:r>
        <w:rPr>
          <w:rFonts w:ascii="宋体" w:hAnsi="宋体" w:cs="宋体"/>
          <w:spacing w:val="2"/>
          <w:sz w:val="24"/>
          <w:szCs w:val="24"/>
        </w:rPr>
        <w:t>养护绩效管理的内容和要求除了满足国家、行业、</w:t>
      </w:r>
      <w:r>
        <w:rPr>
          <w:rFonts w:ascii="宋体" w:hAnsi="宋体" w:cs="宋体"/>
          <w:spacing w:val="1"/>
          <w:sz w:val="24"/>
          <w:szCs w:val="24"/>
        </w:rPr>
        <w:t>地方现行标准规范要求外，还应满足项目所在地区域与公路养护相关</w:t>
      </w:r>
      <w:r>
        <w:rPr>
          <w:rFonts w:ascii="宋体" w:hAnsi="宋体" w:cs="宋体"/>
          <w:sz w:val="24"/>
          <w:szCs w:val="24"/>
        </w:rPr>
        <w:t>的管理政策要求，包括但不限于本地</w:t>
      </w:r>
      <w:r>
        <w:rPr>
          <w:rFonts w:ascii="宋体" w:hAnsi="宋体" w:cs="宋体"/>
          <w:spacing w:val="1"/>
          <w:sz w:val="24"/>
          <w:szCs w:val="24"/>
        </w:rPr>
        <w:t>区养护管理办法、各类考核办法、与养护相关</w:t>
      </w:r>
      <w:r>
        <w:rPr>
          <w:rFonts w:ascii="宋体" w:hAnsi="宋体" w:cs="宋体"/>
          <w:sz w:val="24"/>
          <w:szCs w:val="24"/>
        </w:rPr>
        <w:t>的制度和要求等。具体政策清单可另</w:t>
      </w:r>
      <w:r>
        <w:rPr>
          <w:rFonts w:ascii="宋体" w:hAnsi="宋体" w:cs="宋体"/>
          <w:spacing w:val="-8"/>
          <w:sz w:val="24"/>
          <w:szCs w:val="24"/>
        </w:rPr>
        <w:t>附。</w:t>
      </w:r>
    </w:p>
    <w:p w14:paraId="4C6A5110">
      <w:pPr>
        <w:spacing w:before="116" w:line="263" w:lineRule="auto"/>
        <w:ind w:left="5" w:right="166" w:firstLine="493"/>
        <w:rPr>
          <w:rFonts w:ascii="宋体" w:hAnsi="宋体" w:cs="宋体"/>
          <w:sz w:val="24"/>
          <w:szCs w:val="24"/>
        </w:rPr>
      </w:pPr>
      <w:r>
        <w:rPr>
          <w:rFonts w:eastAsia="Times New Roman"/>
          <w:spacing w:val="2"/>
          <w:sz w:val="24"/>
          <w:szCs w:val="24"/>
        </w:rPr>
        <w:t xml:space="preserve">1.3  </w:t>
      </w:r>
      <w:r>
        <w:rPr>
          <w:rFonts w:ascii="宋体" w:hAnsi="宋体" w:cs="宋体"/>
          <w:spacing w:val="2"/>
          <w:sz w:val="24"/>
          <w:szCs w:val="24"/>
        </w:rPr>
        <w:t>发包人将根据项目特点建立科学、合理的全寿命周</w:t>
      </w:r>
      <w:r>
        <w:rPr>
          <w:rFonts w:ascii="宋体" w:hAnsi="宋体" w:cs="宋体"/>
          <w:spacing w:val="1"/>
          <w:sz w:val="24"/>
          <w:szCs w:val="24"/>
        </w:rPr>
        <w:t>期养护项目绩效评价体</w:t>
      </w:r>
      <w:r>
        <w:rPr>
          <w:rFonts w:ascii="宋体" w:hAnsi="宋体" w:cs="宋体"/>
          <w:sz w:val="24"/>
          <w:szCs w:val="24"/>
        </w:rPr>
        <w:t>系，加强和规范基于绩效模式的养护合同的绩效管理工作。在养护合同执行期内，</w:t>
      </w:r>
      <w:r>
        <w:rPr>
          <w:rFonts w:ascii="宋体" w:hAnsi="宋体" w:cs="宋体"/>
          <w:spacing w:val="-1"/>
          <w:sz w:val="24"/>
          <w:szCs w:val="24"/>
        </w:rPr>
        <w:t>经发包人和承包人协商一致，养护绩效管理规则</w:t>
      </w:r>
      <w:r>
        <w:rPr>
          <w:rFonts w:ascii="宋体" w:hAnsi="宋体" w:cs="宋体"/>
          <w:spacing w:val="-2"/>
          <w:sz w:val="24"/>
          <w:szCs w:val="24"/>
        </w:rPr>
        <w:t>可根据项目执行情况进行动态调整。</w:t>
      </w:r>
    </w:p>
    <w:p w14:paraId="3206EEAD">
      <w:pPr>
        <w:spacing w:before="113" w:line="278" w:lineRule="auto"/>
        <w:ind w:left="1" w:right="166" w:firstLine="497"/>
        <w:rPr>
          <w:rFonts w:ascii="宋体" w:hAnsi="宋体" w:cs="宋体"/>
          <w:sz w:val="24"/>
          <w:szCs w:val="24"/>
        </w:rPr>
      </w:pPr>
      <w:r>
        <w:rPr>
          <w:rFonts w:eastAsia="Times New Roman"/>
          <w:spacing w:val="2"/>
          <w:sz w:val="24"/>
          <w:szCs w:val="24"/>
        </w:rPr>
        <w:t xml:space="preserve">1.4  </w:t>
      </w:r>
      <w:r>
        <w:rPr>
          <w:rFonts w:ascii="宋体" w:hAnsi="宋体" w:cs="宋体"/>
          <w:spacing w:val="2"/>
          <w:sz w:val="24"/>
          <w:szCs w:val="24"/>
        </w:rPr>
        <w:t>养护绩效管理应当突出结果导向，注重养护质量、</w:t>
      </w:r>
      <w:r>
        <w:rPr>
          <w:rFonts w:ascii="宋体" w:hAnsi="宋体" w:cs="宋体"/>
          <w:spacing w:val="1"/>
          <w:sz w:val="24"/>
          <w:szCs w:val="24"/>
        </w:rPr>
        <w:t>资金效益、社会效益等</w:t>
      </w:r>
      <w:r>
        <w:rPr>
          <w:rFonts w:ascii="宋体" w:hAnsi="宋体" w:cs="宋体"/>
          <w:spacing w:val="7"/>
          <w:sz w:val="24"/>
          <w:szCs w:val="24"/>
        </w:rPr>
        <w:t>绩效指标，评价范围涵盖日常养护、养护工程、应急和不可预见的养护工程（工</w:t>
      </w:r>
      <w:r>
        <w:rPr>
          <w:rFonts w:ascii="宋体" w:hAnsi="宋体" w:cs="宋体"/>
          <w:spacing w:val="-1"/>
          <w:sz w:val="24"/>
          <w:szCs w:val="24"/>
        </w:rPr>
        <w:t>作</w:t>
      </w:r>
      <w:r>
        <w:rPr>
          <w:rFonts w:ascii="宋体" w:hAnsi="宋体" w:cs="宋体"/>
          <w:spacing w:val="-51"/>
          <w:sz w:val="24"/>
          <w:szCs w:val="24"/>
        </w:rPr>
        <w:t>），</w:t>
      </w:r>
      <w:r>
        <w:rPr>
          <w:rFonts w:ascii="宋体" w:hAnsi="宋体" w:cs="宋体"/>
          <w:spacing w:val="-1"/>
          <w:sz w:val="24"/>
          <w:szCs w:val="24"/>
        </w:rPr>
        <w:t>包含年度实施、中期评估、各阶段验收、后评估等项目实施全过程。</w:t>
      </w:r>
    </w:p>
    <w:p w14:paraId="6B2215A0">
      <w:pPr>
        <w:spacing w:before="118" w:line="278" w:lineRule="auto"/>
        <w:ind w:right="164" w:firstLine="499"/>
        <w:rPr>
          <w:rFonts w:ascii="宋体" w:hAnsi="宋体" w:cs="宋体"/>
          <w:sz w:val="24"/>
          <w:szCs w:val="24"/>
        </w:rPr>
      </w:pPr>
      <w:r>
        <w:rPr>
          <w:rFonts w:eastAsia="Times New Roman"/>
          <w:spacing w:val="2"/>
          <w:sz w:val="24"/>
          <w:szCs w:val="24"/>
        </w:rPr>
        <w:t xml:space="preserve">1.5  </w:t>
      </w:r>
      <w:r>
        <w:rPr>
          <w:rFonts w:ascii="宋体" w:hAnsi="宋体" w:cs="宋体"/>
          <w:spacing w:val="2"/>
          <w:sz w:val="24"/>
          <w:szCs w:val="24"/>
        </w:rPr>
        <w:t>发包人按照合同约定根据承包人达到的养护绩效服务水</w:t>
      </w:r>
      <w:r>
        <w:rPr>
          <w:rFonts w:ascii="宋体" w:hAnsi="宋体" w:cs="宋体"/>
          <w:spacing w:val="1"/>
          <w:sz w:val="24"/>
          <w:szCs w:val="24"/>
        </w:rPr>
        <w:t>平而支付的资金，均为发包人对承包人当期服务水平的实际支付，由于承包人</w:t>
      </w:r>
      <w:r>
        <w:rPr>
          <w:rFonts w:ascii="宋体" w:hAnsi="宋体" w:cs="宋体"/>
          <w:sz w:val="24"/>
          <w:szCs w:val="24"/>
        </w:rPr>
        <w:t>未达到养护绩效服务水</w:t>
      </w:r>
      <w:r>
        <w:rPr>
          <w:rFonts w:ascii="宋体" w:hAnsi="宋体" w:cs="宋体"/>
          <w:spacing w:val="-1"/>
          <w:sz w:val="24"/>
          <w:szCs w:val="24"/>
        </w:rPr>
        <w:t>平而被扣减的养护资金将不再支付。</w:t>
      </w:r>
    </w:p>
    <w:p w14:paraId="01E99B47">
      <w:pPr>
        <w:spacing w:before="118" w:line="285" w:lineRule="auto"/>
        <w:ind w:right="164" w:firstLine="498"/>
        <w:rPr>
          <w:rFonts w:ascii="宋体" w:hAnsi="宋体" w:cs="宋体"/>
          <w:sz w:val="24"/>
          <w:szCs w:val="24"/>
        </w:rPr>
      </w:pPr>
      <w:r>
        <w:rPr>
          <w:rFonts w:eastAsia="Times New Roman"/>
          <w:spacing w:val="2"/>
          <w:sz w:val="24"/>
          <w:szCs w:val="24"/>
        </w:rPr>
        <w:t xml:space="preserve">1.6  </w:t>
      </w:r>
      <w:r>
        <w:rPr>
          <w:rFonts w:ascii="宋体" w:hAnsi="宋体" w:cs="宋体"/>
          <w:spacing w:val="2"/>
          <w:sz w:val="24"/>
          <w:szCs w:val="24"/>
        </w:rPr>
        <w:t>除发生第三篇第一章第</w:t>
      </w:r>
      <w:r>
        <w:rPr>
          <w:rFonts w:ascii="宋体" w:hAnsi="宋体" w:cs="宋体"/>
          <w:spacing w:val="-22"/>
          <w:sz w:val="24"/>
          <w:szCs w:val="24"/>
        </w:rPr>
        <w:t xml:space="preserve"> </w:t>
      </w:r>
      <w:r>
        <w:rPr>
          <w:rFonts w:eastAsia="Times New Roman"/>
          <w:spacing w:val="2"/>
          <w:sz w:val="24"/>
          <w:szCs w:val="24"/>
        </w:rPr>
        <w:t>15</w:t>
      </w:r>
      <w:r>
        <w:rPr>
          <w:rFonts w:eastAsia="Times New Roman"/>
          <w:spacing w:val="18"/>
          <w:w w:val="101"/>
          <w:sz w:val="24"/>
          <w:szCs w:val="24"/>
        </w:rPr>
        <w:t xml:space="preserve"> </w:t>
      </w:r>
      <w:r>
        <w:rPr>
          <w:rFonts w:ascii="宋体" w:hAnsi="宋体" w:cs="宋体"/>
          <w:spacing w:val="2"/>
          <w:sz w:val="24"/>
          <w:szCs w:val="24"/>
        </w:rPr>
        <w:t>条变更情形外，</w:t>
      </w:r>
      <w:r>
        <w:rPr>
          <w:rFonts w:ascii="宋体" w:hAnsi="宋体" w:cs="宋体"/>
          <w:spacing w:val="-62"/>
          <w:sz w:val="24"/>
          <w:szCs w:val="24"/>
        </w:rPr>
        <w:t xml:space="preserve"> </w:t>
      </w:r>
      <w:r>
        <w:rPr>
          <w:rFonts w:ascii="宋体" w:hAnsi="宋体" w:cs="宋体"/>
          <w:spacing w:val="2"/>
          <w:sz w:val="24"/>
          <w:szCs w:val="24"/>
        </w:rPr>
        <w:t>日常养护、发包人指定实</w:t>
      </w:r>
      <w:r>
        <w:rPr>
          <w:rFonts w:ascii="宋体" w:hAnsi="宋体" w:cs="宋体"/>
          <w:spacing w:val="1"/>
          <w:sz w:val="24"/>
          <w:szCs w:val="24"/>
        </w:rPr>
        <w:t>施的养护工程、承包人自主实施的养护工程的支付总额均应当</w:t>
      </w:r>
      <w:r>
        <w:rPr>
          <w:rFonts w:ascii="宋体" w:hAnsi="宋体" w:cs="宋体"/>
          <w:sz w:val="24"/>
          <w:szCs w:val="24"/>
        </w:rPr>
        <w:t>在合同约定的总价范围之</w:t>
      </w:r>
      <w:r>
        <w:rPr>
          <w:rFonts w:ascii="宋体" w:hAnsi="宋体" w:cs="宋体"/>
          <w:spacing w:val="1"/>
          <w:sz w:val="24"/>
          <w:szCs w:val="24"/>
        </w:rPr>
        <w:t>内。暂列金额用于支付应急和不可预见的专项养护工</w:t>
      </w:r>
      <w:r>
        <w:rPr>
          <w:rFonts w:ascii="宋体" w:hAnsi="宋体" w:cs="宋体"/>
          <w:sz w:val="24"/>
          <w:szCs w:val="24"/>
        </w:rPr>
        <w:t>程（工作）时，应按照第三篇</w:t>
      </w:r>
      <w:r>
        <w:rPr>
          <w:rFonts w:ascii="宋体" w:hAnsi="宋体" w:cs="宋体"/>
          <w:spacing w:val="-3"/>
          <w:sz w:val="24"/>
          <w:szCs w:val="24"/>
        </w:rPr>
        <w:t>第一章第</w:t>
      </w:r>
      <w:r>
        <w:rPr>
          <w:rFonts w:ascii="宋体" w:hAnsi="宋体" w:cs="宋体"/>
          <w:spacing w:val="-32"/>
          <w:sz w:val="24"/>
          <w:szCs w:val="24"/>
        </w:rPr>
        <w:t xml:space="preserve"> </w:t>
      </w:r>
      <w:r>
        <w:rPr>
          <w:rFonts w:eastAsia="Times New Roman"/>
          <w:spacing w:val="-3"/>
          <w:sz w:val="24"/>
          <w:szCs w:val="24"/>
        </w:rPr>
        <w:t xml:space="preserve">15.6 </w:t>
      </w:r>
      <w:r>
        <w:rPr>
          <w:rFonts w:ascii="宋体" w:hAnsi="宋体" w:cs="宋体"/>
          <w:spacing w:val="-3"/>
          <w:sz w:val="24"/>
          <w:szCs w:val="24"/>
        </w:rPr>
        <w:t>款执行。</w:t>
      </w:r>
    </w:p>
    <w:p w14:paraId="01C6E027">
      <w:pPr>
        <w:spacing w:before="78" w:line="219" w:lineRule="auto"/>
        <w:ind w:left="477"/>
        <w:outlineLvl w:val="2"/>
        <w:rPr>
          <w:rFonts w:ascii="宋体" w:hAnsi="宋体" w:cs="宋体"/>
          <w:sz w:val="24"/>
          <w:szCs w:val="24"/>
        </w:rPr>
      </w:pPr>
      <w:bookmarkStart w:id="243" w:name="_Toc13484"/>
      <w:bookmarkStart w:id="244" w:name="_Toc8105"/>
      <w:bookmarkStart w:id="245" w:name="_Toc8663"/>
      <w:r>
        <w:rPr>
          <w:rFonts w:eastAsia="Times New Roman"/>
          <w:b/>
          <w:bCs/>
          <w:spacing w:val="-2"/>
          <w:sz w:val="24"/>
          <w:szCs w:val="24"/>
        </w:rPr>
        <w:t xml:space="preserve">2.  </w:t>
      </w:r>
      <w:r>
        <w:rPr>
          <w:rFonts w:ascii="宋体" w:hAnsi="宋体" w:cs="宋体"/>
          <w:b/>
          <w:bCs/>
          <w:spacing w:val="-2"/>
          <w:sz w:val="24"/>
          <w:szCs w:val="24"/>
        </w:rPr>
        <w:t>养护绩效内容及约定的相关要求</w:t>
      </w:r>
      <w:bookmarkEnd w:id="243"/>
      <w:bookmarkEnd w:id="244"/>
      <w:bookmarkEnd w:id="245"/>
    </w:p>
    <w:p w14:paraId="1B14206C">
      <w:pPr>
        <w:spacing w:before="260" w:line="219" w:lineRule="auto"/>
        <w:ind w:left="477"/>
        <w:outlineLvl w:val="3"/>
        <w:rPr>
          <w:rFonts w:ascii="宋体" w:hAnsi="宋体" w:cs="宋体"/>
          <w:sz w:val="24"/>
          <w:szCs w:val="24"/>
        </w:rPr>
      </w:pPr>
      <w:r>
        <w:rPr>
          <w:rFonts w:eastAsia="Times New Roman"/>
          <w:b/>
          <w:bCs/>
          <w:spacing w:val="-2"/>
          <w:sz w:val="24"/>
          <w:szCs w:val="24"/>
        </w:rPr>
        <w:t xml:space="preserve">2.1  </w:t>
      </w:r>
      <w:r>
        <w:rPr>
          <w:rFonts w:ascii="宋体" w:hAnsi="宋体" w:cs="宋体"/>
          <w:b/>
          <w:bCs/>
          <w:spacing w:val="-2"/>
          <w:sz w:val="24"/>
          <w:szCs w:val="24"/>
        </w:rPr>
        <w:t>人员及养护设备要求</w:t>
      </w:r>
    </w:p>
    <w:p w14:paraId="471B247B">
      <w:pPr>
        <w:ind w:firstLine="480" w:firstLineChars="200"/>
        <w:rPr>
          <w:rFonts w:asciiTheme="minorEastAsia" w:hAnsiTheme="minorEastAsia" w:eastAsiaTheme="minorEastAsia"/>
          <w:color w:val="auto"/>
          <w:sz w:val="24"/>
          <w:szCs w:val="24"/>
        </w:rPr>
      </w:pPr>
      <w:r>
        <w:rPr>
          <w:rFonts w:asciiTheme="minorEastAsia" w:hAnsiTheme="minorEastAsia" w:eastAsiaTheme="minorEastAsia"/>
          <w:sz w:val="24"/>
          <w:szCs w:val="24"/>
        </w:rPr>
        <w:t>（1）人</w:t>
      </w:r>
      <w:r>
        <w:rPr>
          <w:rFonts w:asciiTheme="minorEastAsia" w:hAnsiTheme="minorEastAsia" w:eastAsiaTheme="minorEastAsia"/>
          <w:color w:val="auto"/>
          <w:sz w:val="24"/>
          <w:szCs w:val="24"/>
        </w:rPr>
        <w:t>员要求</w:t>
      </w:r>
    </w:p>
    <w:p w14:paraId="56ACCA6F">
      <w:pPr>
        <w:spacing w:before="103" w:line="309" w:lineRule="auto"/>
        <w:ind w:right="166" w:firstLine="484"/>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具体为：</w:t>
      </w:r>
      <w:r>
        <w:rPr>
          <w:rFonts w:hint="eastAsia" w:asciiTheme="minorEastAsia" w:hAnsiTheme="minorEastAsia" w:eastAsiaTheme="minorEastAsia"/>
          <w:color w:val="auto"/>
          <w:sz w:val="24"/>
          <w:szCs w:val="24"/>
          <w:u w:val="single"/>
        </w:rPr>
        <w:t>主要人员到位</w:t>
      </w:r>
      <w:r>
        <w:rPr>
          <w:rFonts w:hint="eastAsia" w:asciiTheme="minorEastAsia" w:hAnsiTheme="minorEastAsia" w:eastAsiaTheme="minorEastAsia"/>
          <w:color w:val="auto"/>
          <w:sz w:val="24"/>
          <w:szCs w:val="24"/>
          <w:u w:val="single"/>
          <w:lang w:val="en-US" w:eastAsia="zh-CN"/>
        </w:rPr>
        <w:t>最低</w:t>
      </w:r>
      <w:r>
        <w:rPr>
          <w:rFonts w:hint="eastAsia" w:asciiTheme="minorEastAsia" w:hAnsiTheme="minorEastAsia" w:eastAsiaTheme="minorEastAsia"/>
          <w:color w:val="auto"/>
          <w:sz w:val="24"/>
          <w:szCs w:val="24"/>
          <w:u w:val="single"/>
        </w:rPr>
        <w:t>要求，项目经理1人</w:t>
      </w:r>
      <w:r>
        <w:rPr>
          <w:rFonts w:hint="eastAsia" w:asciiTheme="minorEastAsia" w:hAnsiTheme="minorEastAsia" w:eastAsiaTheme="minorEastAsia"/>
          <w:color w:val="auto"/>
          <w:sz w:val="24"/>
          <w:szCs w:val="24"/>
          <w:u w:val="single"/>
          <w:lang w:eastAsia="zh-CN"/>
        </w:rPr>
        <w:t>、</w:t>
      </w:r>
      <w:r>
        <w:rPr>
          <w:rFonts w:hint="eastAsia" w:asciiTheme="minorEastAsia" w:hAnsiTheme="minorEastAsia" w:eastAsiaTheme="minorEastAsia"/>
          <w:color w:val="auto"/>
          <w:sz w:val="24"/>
          <w:szCs w:val="24"/>
          <w:highlight w:val="none"/>
          <w:u w:val="single"/>
          <w:lang w:eastAsia="zh-CN"/>
        </w:rPr>
        <w:t>项目总工</w:t>
      </w:r>
      <w:r>
        <w:rPr>
          <w:rFonts w:hint="eastAsia" w:asciiTheme="minorEastAsia" w:hAnsiTheme="minorEastAsia" w:eastAsiaTheme="minorEastAsia"/>
          <w:color w:val="auto"/>
          <w:sz w:val="24"/>
          <w:szCs w:val="24"/>
          <w:highlight w:val="none"/>
          <w:u w:val="single"/>
        </w:rPr>
        <w:t>1人</w:t>
      </w:r>
      <w:r>
        <w:rPr>
          <w:rFonts w:hint="eastAsia" w:asciiTheme="minorEastAsia" w:hAnsiTheme="minorEastAsia" w:eastAsiaTheme="minorEastAsia"/>
          <w:color w:val="auto"/>
          <w:sz w:val="24"/>
          <w:szCs w:val="24"/>
          <w:highlight w:val="none"/>
          <w:u w:val="single"/>
          <w:lang w:eastAsia="zh-CN"/>
        </w:rPr>
        <w:t>、</w:t>
      </w:r>
      <w:r>
        <w:rPr>
          <w:rFonts w:hint="eastAsia" w:asciiTheme="minorEastAsia" w:hAnsiTheme="minorEastAsia" w:eastAsiaTheme="minorEastAsia"/>
          <w:color w:val="auto"/>
          <w:sz w:val="24"/>
          <w:szCs w:val="24"/>
          <w:u w:val="single"/>
        </w:rPr>
        <w:t>现场管理人员</w:t>
      </w:r>
      <w:r>
        <w:rPr>
          <w:rFonts w:hint="eastAsia" w:asciiTheme="minorEastAsia" w:hAnsiTheme="minorEastAsia" w:eastAsiaTheme="minorEastAsia"/>
          <w:color w:val="auto"/>
          <w:sz w:val="24"/>
          <w:szCs w:val="24"/>
          <w:u w:val="single"/>
          <w:lang w:val="en-US" w:eastAsia="zh-CN"/>
        </w:rPr>
        <w:t>4</w:t>
      </w:r>
      <w:r>
        <w:rPr>
          <w:rFonts w:hint="eastAsia" w:asciiTheme="minorEastAsia" w:hAnsiTheme="minorEastAsia" w:eastAsiaTheme="minorEastAsia"/>
          <w:color w:val="auto"/>
          <w:sz w:val="24"/>
          <w:szCs w:val="24"/>
          <w:u w:val="single"/>
        </w:rPr>
        <w:t>人</w:t>
      </w:r>
      <w:r>
        <w:rPr>
          <w:rFonts w:hint="eastAsia" w:asciiTheme="minorEastAsia" w:hAnsiTheme="minorEastAsia" w:eastAsiaTheme="minorEastAsia"/>
          <w:color w:val="auto"/>
          <w:sz w:val="24"/>
          <w:szCs w:val="24"/>
          <w:u w:val="single"/>
          <w:lang w:eastAsia="zh-CN"/>
        </w:rPr>
        <w:t>、</w:t>
      </w:r>
      <w:r>
        <w:rPr>
          <w:rFonts w:hint="eastAsia" w:asciiTheme="minorEastAsia" w:hAnsiTheme="minorEastAsia" w:eastAsiaTheme="minorEastAsia"/>
          <w:color w:val="auto"/>
          <w:sz w:val="24"/>
          <w:szCs w:val="24"/>
          <w:u w:val="single"/>
        </w:rPr>
        <w:t>专职安全员</w:t>
      </w:r>
      <w:r>
        <w:rPr>
          <w:rFonts w:hint="eastAsia" w:asciiTheme="minorEastAsia" w:hAnsiTheme="minorEastAsia" w:eastAsiaTheme="minorEastAsia"/>
          <w:color w:val="auto"/>
          <w:sz w:val="24"/>
          <w:szCs w:val="24"/>
          <w:u w:val="single"/>
          <w:lang w:val="en-US" w:eastAsia="zh-CN"/>
        </w:rPr>
        <w:t>4</w:t>
      </w:r>
      <w:r>
        <w:rPr>
          <w:rFonts w:hint="eastAsia" w:asciiTheme="minorEastAsia" w:hAnsiTheme="minorEastAsia" w:eastAsiaTheme="minorEastAsia"/>
          <w:color w:val="auto"/>
          <w:sz w:val="24"/>
          <w:szCs w:val="24"/>
          <w:u w:val="single"/>
        </w:rPr>
        <w:t>人</w:t>
      </w:r>
      <w:r>
        <w:rPr>
          <w:rFonts w:hint="eastAsia" w:asciiTheme="minorEastAsia" w:hAnsiTheme="minorEastAsia" w:eastAsiaTheme="minorEastAsia"/>
          <w:color w:val="auto"/>
          <w:sz w:val="24"/>
          <w:szCs w:val="24"/>
          <w:u w:val="single"/>
          <w:lang w:eastAsia="zh-CN"/>
        </w:rPr>
        <w:t>、</w:t>
      </w:r>
      <w:r>
        <w:rPr>
          <w:rFonts w:hint="eastAsia" w:asciiTheme="minorEastAsia" w:hAnsiTheme="minorEastAsia" w:eastAsiaTheme="minorEastAsia"/>
          <w:color w:val="auto"/>
          <w:sz w:val="24"/>
          <w:szCs w:val="24"/>
          <w:u w:val="single"/>
        </w:rPr>
        <w:t>资料员1人；主要人员驻场要求</w:t>
      </w:r>
      <w:r>
        <w:rPr>
          <w:rFonts w:hint="eastAsia" w:asciiTheme="minorEastAsia" w:hAnsiTheme="minorEastAsia" w:eastAsiaTheme="minorEastAsia"/>
          <w:color w:val="auto"/>
          <w:sz w:val="24"/>
          <w:szCs w:val="24"/>
          <w:u w:val="single"/>
          <w:lang w:eastAsia="zh-CN"/>
        </w:rPr>
        <w:t>，</w:t>
      </w:r>
      <w:r>
        <w:rPr>
          <w:rFonts w:hint="eastAsia" w:asciiTheme="minorEastAsia" w:hAnsiTheme="minorEastAsia" w:eastAsiaTheme="minorEastAsia"/>
          <w:color w:val="auto"/>
          <w:sz w:val="24"/>
          <w:szCs w:val="24"/>
          <w:u w:val="single"/>
          <w:lang w:val="en-US" w:eastAsia="zh-CN"/>
        </w:rPr>
        <w:t>每月驻现场不少于22天；</w:t>
      </w:r>
      <w:r>
        <w:rPr>
          <w:rFonts w:hint="eastAsia" w:asciiTheme="minorEastAsia" w:hAnsiTheme="minorEastAsia" w:eastAsiaTheme="minorEastAsia"/>
          <w:color w:val="auto"/>
          <w:sz w:val="24"/>
          <w:szCs w:val="24"/>
          <w:u w:val="single"/>
        </w:rPr>
        <w:t>主要人员</w:t>
      </w:r>
      <w:r>
        <w:rPr>
          <w:rFonts w:hint="eastAsia" w:asciiTheme="minorEastAsia" w:hAnsiTheme="minorEastAsia" w:eastAsiaTheme="minorEastAsia"/>
          <w:color w:val="auto"/>
          <w:sz w:val="24"/>
          <w:szCs w:val="24"/>
          <w:u w:val="single"/>
          <w:lang w:eastAsia="zh-CN"/>
        </w:rPr>
        <w:t>履职</w:t>
      </w:r>
      <w:r>
        <w:rPr>
          <w:rFonts w:hint="eastAsia" w:asciiTheme="minorEastAsia" w:hAnsiTheme="minorEastAsia" w:eastAsiaTheme="minorEastAsia"/>
          <w:color w:val="auto"/>
          <w:sz w:val="24"/>
          <w:szCs w:val="24"/>
          <w:u w:val="single"/>
          <w:lang w:val="en-US" w:eastAsia="zh-CN"/>
        </w:rPr>
        <w:t>要求，按照合同要求能够胜任岗位需求。</w:t>
      </w:r>
      <w:r>
        <w:rPr>
          <w:rFonts w:ascii="宋体" w:hAnsi="宋体" w:eastAsia="宋体" w:cs="宋体"/>
          <w:color w:val="auto"/>
          <w:spacing w:val="-18"/>
          <w:sz w:val="24"/>
          <w:szCs w:val="24"/>
          <w:lang w:eastAsia="zh-CN"/>
        </w:rPr>
        <w:t>（</w:t>
      </w:r>
      <w:r>
        <w:rPr>
          <w:rFonts w:ascii="宋体" w:hAnsi="宋体" w:eastAsia="宋体" w:cs="宋体"/>
          <w:color w:val="auto"/>
          <w:spacing w:val="3"/>
          <w:sz w:val="24"/>
          <w:szCs w:val="24"/>
          <w:lang w:eastAsia="zh-CN"/>
        </w:rPr>
        <w:t>包括人员到</w:t>
      </w:r>
      <w:r>
        <w:rPr>
          <w:rFonts w:ascii="宋体" w:hAnsi="宋体" w:eastAsia="宋体" w:cs="宋体"/>
          <w:color w:val="auto"/>
          <w:spacing w:val="-7"/>
          <w:sz w:val="24"/>
          <w:szCs w:val="24"/>
          <w:lang w:eastAsia="zh-CN"/>
        </w:rPr>
        <w:t>位情况、驻场情况、履职情况等）。</w:t>
      </w:r>
      <w:r>
        <w:rPr>
          <w:rFonts w:asciiTheme="minorEastAsia" w:hAnsiTheme="minorEastAsia" w:eastAsiaTheme="minorEastAsia"/>
          <w:color w:val="auto"/>
          <w:sz w:val="24"/>
          <w:szCs w:val="24"/>
        </w:rPr>
        <w:t xml:space="preserve">                                     </w:t>
      </w:r>
    </w:p>
    <w:p w14:paraId="7D03E242">
      <w:pPr>
        <w:ind w:firstLine="480" w:firstLineChars="20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（2）养护设备要求</w:t>
      </w:r>
    </w:p>
    <w:p w14:paraId="5C236B37">
      <w:pPr>
        <w:spacing w:before="105" w:line="309" w:lineRule="auto"/>
        <w:ind w:left="3" w:right="166" w:firstLine="481"/>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具体为下表，到位的养护设备应检测合格，能够满足养护作业需求;到位的养护设备应加强日常保养维护，确保正常使用。(包括养护设备到位情况、运行情况、维护情况等)。</w:t>
      </w:r>
    </w:p>
    <w:p w14:paraId="3E11346A">
      <w:pPr>
        <w:rPr>
          <w:rFonts w:hint="eastAsia" w:ascii="宋体" w:hAnsi="宋体" w:eastAsia="宋体" w:cs="宋体"/>
          <w:spacing w:val="0"/>
          <w:w w:val="100"/>
          <w:position w:val="0"/>
          <w:sz w:val="24"/>
          <w:szCs w:val="24"/>
          <w:highlight w:val="none"/>
          <w:lang w:eastAsia="zh-CN"/>
        </w:rPr>
      </w:pPr>
      <w:r>
        <w:rPr>
          <w:rFonts w:hint="eastAsia" w:ascii="宋体" w:hAnsi="宋体" w:eastAsia="宋体" w:cs="宋体"/>
          <w:spacing w:val="0"/>
          <w:w w:val="100"/>
          <w:position w:val="0"/>
          <w:sz w:val="24"/>
          <w:szCs w:val="24"/>
          <w:highlight w:val="none"/>
          <w:lang w:eastAsia="zh-CN"/>
        </w:rPr>
        <w:br w:type="page"/>
      </w:r>
    </w:p>
    <w:p w14:paraId="414A070F">
      <w:pPr>
        <w:pStyle w:val="31"/>
        <w:keepNext w:val="0"/>
        <w:keepLines w:val="0"/>
        <w:pageBreakBefore w:val="0"/>
        <w:widowControl w:val="0"/>
        <w:kinsoku/>
        <w:wordWrap w:val="0"/>
        <w:overflowPunct/>
        <w:topLinePunct w:val="0"/>
        <w:autoSpaceDE w:val="0"/>
        <w:autoSpaceDN w:val="0"/>
        <w:bidi w:val="0"/>
        <w:adjustRightInd w:val="0"/>
        <w:snapToGrid w:val="0"/>
        <w:spacing w:before="0" w:after="0" w:line="360" w:lineRule="auto"/>
        <w:ind w:left="0" w:leftChars="0" w:right="0" w:rightChars="0" w:firstLine="0" w:firstLineChars="0"/>
        <w:textAlignment w:val="baseline"/>
        <w:outlineLvl w:val="9"/>
        <w:rPr>
          <w:rFonts w:hint="eastAsia" w:ascii="宋体" w:hAnsi="宋体" w:eastAsia="宋体" w:cs="宋体"/>
          <w:spacing w:val="0"/>
          <w:w w:val="100"/>
          <w:position w:val="0"/>
          <w:sz w:val="24"/>
          <w:szCs w:val="24"/>
          <w:highlight w:val="none"/>
          <w:lang w:eastAsia="zh-CN"/>
        </w:rPr>
      </w:pPr>
      <w:r>
        <w:rPr>
          <w:rFonts w:hint="eastAsia" w:ascii="宋体" w:hAnsi="宋体" w:eastAsia="宋体" w:cs="宋体"/>
          <w:spacing w:val="0"/>
          <w:w w:val="100"/>
          <w:position w:val="0"/>
          <w:sz w:val="24"/>
          <w:szCs w:val="24"/>
          <w:highlight w:val="none"/>
          <w:lang w:eastAsia="zh-CN"/>
        </w:rPr>
        <w:t>（主要机械设备和试验检测设备最低要求）</w:t>
      </w:r>
    </w:p>
    <w:tbl>
      <w:tblPr>
        <w:tblStyle w:val="25"/>
        <w:tblW w:w="0" w:type="auto"/>
        <w:jc w:val="center"/>
        <w:tblLayout w:type="fixed"/>
        <w:tblCellMar>
          <w:top w:w="0" w:type="dxa"/>
          <w:left w:w="0" w:type="dxa"/>
          <w:bottom w:w="0" w:type="dxa"/>
          <w:right w:w="0" w:type="dxa"/>
        </w:tblCellMar>
      </w:tblPr>
      <w:tblGrid>
        <w:gridCol w:w="661"/>
        <w:gridCol w:w="2491"/>
        <w:gridCol w:w="2901"/>
        <w:gridCol w:w="661"/>
        <w:gridCol w:w="661"/>
        <w:gridCol w:w="1943"/>
      </w:tblGrid>
      <w:tr w14:paraId="51303C65">
        <w:tblPrEx>
          <w:tblCellMar>
            <w:top w:w="0" w:type="dxa"/>
            <w:left w:w="0" w:type="dxa"/>
            <w:bottom w:w="0" w:type="dxa"/>
            <w:right w:w="0" w:type="dxa"/>
          </w:tblCellMar>
        </w:tblPrEx>
        <w:trPr>
          <w:trHeight w:val="724" w:hRule="atLeast"/>
          <w:tblHeader/>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0181E40">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napToGrid w:val="0"/>
                <w:spacing w:val="0"/>
                <w:w w:val="100"/>
                <w:kern w:val="0"/>
                <w:position w:val="0"/>
                <w:sz w:val="24"/>
                <w:szCs w:val="24"/>
              </w:rPr>
            </w:pPr>
            <w:r>
              <w:rPr>
                <w:rFonts w:hint="eastAsia" w:ascii="宋体" w:hAnsi="宋体" w:eastAsia="宋体" w:cs="宋体"/>
                <w:b/>
                <w:bCs/>
                <w:snapToGrid w:val="0"/>
                <w:spacing w:val="0"/>
                <w:w w:val="100"/>
                <w:kern w:val="0"/>
                <w:position w:val="0"/>
                <w:sz w:val="24"/>
                <w:szCs w:val="24"/>
              </w:rPr>
              <w:t>序号</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5665BB2">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napToGrid w:val="0"/>
                <w:spacing w:val="0"/>
                <w:w w:val="100"/>
                <w:kern w:val="0"/>
                <w:position w:val="0"/>
                <w:sz w:val="24"/>
                <w:szCs w:val="24"/>
              </w:rPr>
            </w:pPr>
            <w:r>
              <w:rPr>
                <w:rFonts w:hint="eastAsia" w:ascii="宋体" w:hAnsi="宋体" w:eastAsia="宋体" w:cs="宋体"/>
                <w:b/>
                <w:bCs/>
                <w:snapToGrid w:val="0"/>
                <w:spacing w:val="0"/>
                <w:w w:val="100"/>
                <w:kern w:val="0"/>
                <w:position w:val="0"/>
                <w:sz w:val="24"/>
                <w:szCs w:val="24"/>
              </w:rPr>
              <w:t>机械设备名称</w:t>
            </w:r>
          </w:p>
        </w:tc>
        <w:tc>
          <w:tcPr>
            <w:tcW w:w="29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25FABB1">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napToGrid w:val="0"/>
                <w:spacing w:val="0"/>
                <w:w w:val="100"/>
                <w:kern w:val="0"/>
                <w:position w:val="0"/>
                <w:sz w:val="24"/>
                <w:szCs w:val="24"/>
              </w:rPr>
            </w:pPr>
            <w:r>
              <w:rPr>
                <w:rFonts w:hint="eastAsia" w:ascii="宋体" w:hAnsi="宋体" w:eastAsia="宋体" w:cs="宋体"/>
                <w:b/>
                <w:bCs/>
                <w:spacing w:val="0"/>
                <w:w w:val="100"/>
                <w:kern w:val="0"/>
                <w:position w:val="0"/>
                <w:sz w:val="24"/>
                <w:szCs w:val="24"/>
              </w:rPr>
              <w:t>规格、功率及容量</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F641CE8">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napToGrid w:val="0"/>
                <w:spacing w:val="0"/>
                <w:w w:val="100"/>
                <w:kern w:val="0"/>
                <w:position w:val="0"/>
                <w:sz w:val="24"/>
                <w:szCs w:val="24"/>
              </w:rPr>
            </w:pPr>
            <w:r>
              <w:rPr>
                <w:rFonts w:hint="eastAsia" w:ascii="宋体" w:hAnsi="宋体" w:eastAsia="宋体" w:cs="宋体"/>
                <w:b/>
                <w:bCs/>
                <w:snapToGrid w:val="0"/>
                <w:spacing w:val="0"/>
                <w:w w:val="100"/>
                <w:kern w:val="0"/>
                <w:position w:val="0"/>
                <w:sz w:val="24"/>
                <w:szCs w:val="24"/>
              </w:rPr>
              <w:t>单位</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990CA6D">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napToGrid w:val="0"/>
                <w:spacing w:val="0"/>
                <w:w w:val="100"/>
                <w:kern w:val="0"/>
                <w:position w:val="0"/>
                <w:sz w:val="24"/>
                <w:szCs w:val="24"/>
              </w:rPr>
            </w:pPr>
            <w:r>
              <w:rPr>
                <w:rFonts w:hint="eastAsia" w:ascii="宋体" w:hAnsi="宋体" w:eastAsia="宋体" w:cs="宋体"/>
                <w:b/>
                <w:bCs/>
                <w:snapToGrid w:val="0"/>
                <w:spacing w:val="0"/>
                <w:w w:val="100"/>
                <w:kern w:val="0"/>
                <w:position w:val="0"/>
                <w:sz w:val="24"/>
                <w:szCs w:val="24"/>
              </w:rPr>
              <w:t>数量</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33D8BC0">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b/>
                <w:bCs/>
                <w:snapToGrid w:val="0"/>
                <w:spacing w:val="0"/>
                <w:w w:val="100"/>
                <w:kern w:val="0"/>
                <w:position w:val="0"/>
                <w:sz w:val="24"/>
                <w:szCs w:val="24"/>
              </w:rPr>
            </w:pPr>
            <w:r>
              <w:rPr>
                <w:rFonts w:hint="eastAsia" w:ascii="宋体" w:hAnsi="宋体" w:eastAsia="宋体" w:cs="宋体"/>
                <w:b/>
                <w:bCs/>
                <w:snapToGrid w:val="0"/>
                <w:spacing w:val="0"/>
                <w:w w:val="100"/>
                <w:kern w:val="0"/>
                <w:position w:val="0"/>
                <w:sz w:val="24"/>
                <w:szCs w:val="24"/>
              </w:rPr>
              <w:t>备注</w:t>
            </w:r>
          </w:p>
        </w:tc>
      </w:tr>
      <w:tr w14:paraId="3CCFA7D3">
        <w:tblPrEx>
          <w:tblCellMar>
            <w:top w:w="0" w:type="dxa"/>
            <w:left w:w="0" w:type="dxa"/>
            <w:bottom w:w="0" w:type="dxa"/>
            <w:right w:w="0" w:type="dxa"/>
          </w:tblCellMar>
        </w:tblPrEx>
        <w:trPr>
          <w:trHeight w:val="399"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C65C782">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6180D18">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管理和巡查用车</w:t>
            </w:r>
          </w:p>
        </w:tc>
        <w:tc>
          <w:tcPr>
            <w:tcW w:w="29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759DEEF">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rPr>
              <w:t>皮卡车或小型汽车</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55555D5">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D883EE2">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4</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ED72A30">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768F273F">
        <w:tblPrEx>
          <w:tblCellMar>
            <w:top w:w="0" w:type="dxa"/>
            <w:left w:w="0" w:type="dxa"/>
            <w:bottom w:w="0" w:type="dxa"/>
            <w:right w:w="0" w:type="dxa"/>
          </w:tblCellMar>
        </w:tblPrEx>
        <w:trPr>
          <w:trHeight w:val="399"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4B04A1E">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2</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C8CEF4D">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napToGrid w:val="0"/>
                <w:spacing w:val="0"/>
                <w:w w:val="100"/>
                <w:kern w:val="0"/>
                <w:position w:val="0"/>
                <w:sz w:val="24"/>
                <w:szCs w:val="24"/>
              </w:rPr>
              <w:t>轻型自卸养护车</w:t>
            </w:r>
          </w:p>
        </w:tc>
        <w:tc>
          <w:tcPr>
            <w:tcW w:w="29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08FA441">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rPr>
              <w:t>1~4.5吨</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F7E2B63">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62F7232">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6</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2DC847B">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13668D54">
        <w:tblPrEx>
          <w:tblCellMar>
            <w:top w:w="0" w:type="dxa"/>
            <w:left w:w="0" w:type="dxa"/>
            <w:bottom w:w="0" w:type="dxa"/>
            <w:right w:w="0" w:type="dxa"/>
          </w:tblCellMar>
        </w:tblPrEx>
        <w:trPr>
          <w:trHeight w:val="399"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EB38891">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3</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BF5D78E">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高枝修剪车</w:t>
            </w:r>
          </w:p>
        </w:tc>
        <w:tc>
          <w:tcPr>
            <w:tcW w:w="29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3186E09">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rPr>
              <w:t>修剪高度大于5米</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7C7639D">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BB220F7">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811C5BE">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p>
        </w:tc>
      </w:tr>
      <w:tr w14:paraId="247BC79E">
        <w:tblPrEx>
          <w:tblCellMar>
            <w:top w:w="0" w:type="dxa"/>
            <w:left w:w="0" w:type="dxa"/>
            <w:bottom w:w="0" w:type="dxa"/>
            <w:right w:w="0" w:type="dxa"/>
          </w:tblCellMar>
        </w:tblPrEx>
        <w:trPr>
          <w:trHeight w:val="399"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F96D1E0">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4</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DED9628">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护栏清洗机</w:t>
            </w:r>
          </w:p>
        </w:tc>
        <w:tc>
          <w:tcPr>
            <w:tcW w:w="29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25671C2">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rPr>
              <w:t>30千瓦-75千瓦</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89E6744">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554CA68">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00D9C9E">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p>
        </w:tc>
      </w:tr>
      <w:tr w14:paraId="18209B9B">
        <w:tblPrEx>
          <w:tblCellMar>
            <w:top w:w="0" w:type="dxa"/>
            <w:left w:w="0" w:type="dxa"/>
            <w:bottom w:w="0" w:type="dxa"/>
            <w:right w:w="0" w:type="dxa"/>
          </w:tblCellMar>
        </w:tblPrEx>
        <w:trPr>
          <w:trHeight w:val="724"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168B7C0">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5</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4ADA2A5">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洒水车</w:t>
            </w:r>
          </w:p>
        </w:tc>
        <w:tc>
          <w:tcPr>
            <w:tcW w:w="29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14B037F">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rPr>
              <w:t>容量≥4吨</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0651B3D">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辆</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5508FBD">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038C05B">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napToGrid w:val="0"/>
                <w:spacing w:val="0"/>
                <w:w w:val="100"/>
                <w:kern w:val="0"/>
                <w:position w:val="0"/>
                <w:sz w:val="24"/>
                <w:szCs w:val="24"/>
              </w:rPr>
              <w:t>配高压冲洗设备</w:t>
            </w:r>
          </w:p>
        </w:tc>
      </w:tr>
      <w:tr w14:paraId="39515B1C">
        <w:tblPrEx>
          <w:tblCellMar>
            <w:top w:w="0" w:type="dxa"/>
            <w:left w:w="0" w:type="dxa"/>
            <w:bottom w:w="0" w:type="dxa"/>
            <w:right w:w="0" w:type="dxa"/>
          </w:tblCellMar>
        </w:tblPrEx>
        <w:trPr>
          <w:trHeight w:val="724"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294C26A">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6</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6F4BD82">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道路清扫车</w:t>
            </w:r>
          </w:p>
        </w:tc>
        <w:tc>
          <w:tcPr>
            <w:tcW w:w="29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68500E8">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highlight w:val="none"/>
              </w:rPr>
              <w:t>真空吸扫式容量≥3</w:t>
            </w:r>
            <w:r>
              <w:rPr>
                <w:rFonts w:hint="eastAsia" w:ascii="宋体" w:hAnsi="宋体" w:eastAsia="宋体" w:cs="宋体"/>
                <w:sz w:val="24"/>
                <w:szCs w:val="24"/>
                <w:highlight w:val="none"/>
                <w:lang w:val="en-US" w:eastAsia="zh-CN"/>
              </w:rPr>
              <w:t>m</w:t>
            </w:r>
            <w:r>
              <w:rPr>
                <w:rFonts w:hint="eastAsia" w:ascii="宋体" w:hAnsi="宋体" w:eastAsia="宋体" w:cs="宋体"/>
                <w:sz w:val="24"/>
                <w:szCs w:val="24"/>
                <w:highlight w:val="none"/>
              </w:rPr>
              <w:t>³</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87555B8">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1D8295E">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1900154">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30DD384A">
        <w:tblPrEx>
          <w:tblCellMar>
            <w:top w:w="0" w:type="dxa"/>
            <w:left w:w="0" w:type="dxa"/>
            <w:bottom w:w="0" w:type="dxa"/>
            <w:right w:w="0" w:type="dxa"/>
          </w:tblCellMar>
        </w:tblPrEx>
        <w:trPr>
          <w:trHeight w:val="724"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2C37D8E">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7</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A0ECE5F">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道路清扫车</w:t>
            </w:r>
          </w:p>
        </w:tc>
        <w:tc>
          <w:tcPr>
            <w:tcW w:w="29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7A44890">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highlight w:val="none"/>
              </w:rPr>
              <w:t>真空吸扫式容量</w:t>
            </w:r>
            <w:r>
              <w:rPr>
                <w:rFonts w:hint="eastAsia" w:ascii="宋体" w:hAnsi="宋体" w:eastAsia="宋体" w:cs="宋体"/>
                <w:color w:val="auto"/>
                <w:sz w:val="24"/>
                <w:szCs w:val="24"/>
                <w:highlight w:val="none"/>
                <w:lang w:val="en-US" w:eastAsia="zh-CN"/>
              </w:rPr>
              <w:t>＞1</w:t>
            </w:r>
            <w:r>
              <w:rPr>
                <w:rFonts w:hint="eastAsia" w:ascii="宋体" w:hAnsi="宋体" w:eastAsia="宋体" w:cs="宋体"/>
                <w:sz w:val="24"/>
                <w:szCs w:val="24"/>
                <w:highlight w:val="none"/>
                <w:lang w:val="en-US" w:eastAsia="zh-CN"/>
              </w:rPr>
              <w:t>m</w:t>
            </w:r>
            <w:r>
              <w:rPr>
                <w:rFonts w:hint="eastAsia" w:ascii="宋体" w:hAnsi="宋体" w:eastAsia="宋体" w:cs="宋体"/>
                <w:sz w:val="24"/>
                <w:szCs w:val="24"/>
                <w:highlight w:val="none"/>
              </w:rPr>
              <w:t>³</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9C95B70">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CA89438">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26C88AC">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260E0B15">
        <w:tblPrEx>
          <w:tblCellMar>
            <w:top w:w="0" w:type="dxa"/>
            <w:left w:w="0" w:type="dxa"/>
            <w:bottom w:w="0" w:type="dxa"/>
            <w:right w:w="0" w:type="dxa"/>
          </w:tblCellMar>
        </w:tblPrEx>
        <w:trPr>
          <w:trHeight w:val="399"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718D6AF">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8</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041FFAF">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短油锯</w:t>
            </w:r>
          </w:p>
        </w:tc>
        <w:tc>
          <w:tcPr>
            <w:tcW w:w="29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58D481D">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rPr>
              <w:t>功率≥1.8千瓦</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DF86CC5">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A104340">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6</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EB13D1F">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133352C0">
        <w:tblPrEx>
          <w:tblCellMar>
            <w:top w:w="0" w:type="dxa"/>
            <w:left w:w="0" w:type="dxa"/>
            <w:bottom w:w="0" w:type="dxa"/>
            <w:right w:w="0" w:type="dxa"/>
          </w:tblCellMar>
        </w:tblPrEx>
        <w:trPr>
          <w:trHeight w:val="724"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3B5CE81">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9</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040EA08">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高空作业平台（车）</w:t>
            </w:r>
          </w:p>
        </w:tc>
        <w:tc>
          <w:tcPr>
            <w:tcW w:w="290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58D6681">
            <w:pPr>
              <w:tabs>
                <w:tab w:val="left" w:pos="0"/>
              </w:tabs>
              <w:jc w:val="left"/>
              <w:rPr>
                <w:rFonts w:hint="eastAsia" w:ascii="宋体" w:hAnsi="宋体" w:eastAsia="宋体" w:cs="宋体"/>
                <w:spacing w:val="0"/>
                <w:w w:val="100"/>
                <w:position w:val="0"/>
                <w:sz w:val="24"/>
                <w:szCs w:val="24"/>
              </w:rPr>
            </w:pPr>
            <w:r>
              <w:rPr>
                <w:rFonts w:hint="eastAsia" w:ascii="宋体" w:hAnsi="宋体" w:eastAsia="宋体" w:cs="宋体"/>
                <w:sz w:val="24"/>
                <w:szCs w:val="24"/>
              </w:rPr>
              <w:t>升高不小于5m</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6AC10D5">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台</w:t>
            </w:r>
          </w:p>
        </w:tc>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BCDB236">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1</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493DD4A">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73711050">
        <w:tblPrEx>
          <w:tblCellMar>
            <w:top w:w="0" w:type="dxa"/>
            <w:left w:w="0" w:type="dxa"/>
            <w:bottom w:w="0" w:type="dxa"/>
            <w:right w:w="0" w:type="dxa"/>
          </w:tblCellMar>
        </w:tblPrEx>
        <w:trPr>
          <w:trHeight w:val="399"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0A24D0F">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10</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34F89FF">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高枝油锯</w:t>
            </w:r>
          </w:p>
        </w:tc>
        <w:tc>
          <w:tcPr>
            <w:tcW w:w="2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42E1DB">
            <w:pPr>
              <w:tabs>
                <w:tab w:val="left" w:pos="0"/>
              </w:tabs>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臂长1.5米</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D28B18">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台</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361ABF">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3</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3B833DA">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50578C8E">
        <w:tblPrEx>
          <w:tblCellMar>
            <w:top w:w="0" w:type="dxa"/>
            <w:left w:w="0" w:type="dxa"/>
            <w:bottom w:w="0" w:type="dxa"/>
            <w:right w:w="0" w:type="dxa"/>
          </w:tblCellMar>
        </w:tblPrEx>
        <w:trPr>
          <w:trHeight w:val="399"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3D88D92">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11</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555B764">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割草机</w:t>
            </w:r>
          </w:p>
        </w:tc>
        <w:tc>
          <w:tcPr>
            <w:tcW w:w="2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6EB673">
            <w:pPr>
              <w:tabs>
                <w:tab w:val="left" w:pos="0"/>
              </w:tabs>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排量≥20cc</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E917E4">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台</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0B968B">
            <w:pPr>
              <w:tabs>
                <w:tab w:val="left" w:pos="0"/>
              </w:tabs>
              <w:jc w:val="center"/>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z w:val="24"/>
                <w:szCs w:val="24"/>
                <w:highlight w:val="none"/>
                <w:lang w:val="en-US" w:eastAsia="zh-CN"/>
              </w:rPr>
              <w:t>18</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FD8E010">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336C54B8">
        <w:tblPrEx>
          <w:tblCellMar>
            <w:top w:w="0" w:type="dxa"/>
            <w:left w:w="0" w:type="dxa"/>
            <w:bottom w:w="0" w:type="dxa"/>
            <w:right w:w="0" w:type="dxa"/>
          </w:tblCellMar>
        </w:tblPrEx>
        <w:trPr>
          <w:trHeight w:val="399"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61E57D3">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12</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E132B85">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轮式挖掘机</w:t>
            </w:r>
          </w:p>
        </w:tc>
        <w:tc>
          <w:tcPr>
            <w:tcW w:w="2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CD85B3">
            <w:pPr>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斗容量≥0.1m³</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03FD9D">
            <w:pPr>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kern w:val="0"/>
                <w:sz w:val="24"/>
                <w:szCs w:val="24"/>
              </w:rPr>
              <w:t>台</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95B1BA">
            <w:pPr>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kern w:val="0"/>
                <w:sz w:val="24"/>
                <w:szCs w:val="24"/>
              </w:rPr>
              <w:t>1</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A89070E">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pacing w:val="0"/>
                <w:w w:val="100"/>
                <w:position w:val="0"/>
                <w:sz w:val="24"/>
                <w:szCs w:val="24"/>
              </w:rPr>
            </w:pPr>
          </w:p>
        </w:tc>
      </w:tr>
      <w:tr w14:paraId="76C56313">
        <w:tblPrEx>
          <w:tblCellMar>
            <w:top w:w="0" w:type="dxa"/>
            <w:left w:w="0" w:type="dxa"/>
            <w:bottom w:w="0" w:type="dxa"/>
            <w:right w:w="0" w:type="dxa"/>
          </w:tblCellMar>
        </w:tblPrEx>
        <w:trPr>
          <w:trHeight w:val="724"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D7FCE23">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13</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6B5C34B">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多旋翼无人机</w:t>
            </w:r>
          </w:p>
        </w:tc>
        <w:tc>
          <w:tcPr>
            <w:tcW w:w="2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31DE4A">
            <w:pPr>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续航≥30分钟，像素≥2000万</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549D08">
            <w:pPr>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kern w:val="0"/>
                <w:sz w:val="24"/>
                <w:szCs w:val="24"/>
              </w:rPr>
              <w:t>台</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4551B4">
            <w:pPr>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kern w:val="0"/>
                <w:sz w:val="24"/>
                <w:szCs w:val="24"/>
              </w:rPr>
              <w:t>3</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51DAB1F">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p>
        </w:tc>
      </w:tr>
      <w:tr w14:paraId="00840325">
        <w:tblPrEx>
          <w:tblCellMar>
            <w:top w:w="0" w:type="dxa"/>
            <w:left w:w="0" w:type="dxa"/>
            <w:bottom w:w="0" w:type="dxa"/>
            <w:right w:w="0" w:type="dxa"/>
          </w:tblCellMar>
        </w:tblPrEx>
        <w:trPr>
          <w:trHeight w:val="399"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10ED42C">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14</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9C48CB2">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热熔划线机</w:t>
            </w:r>
          </w:p>
        </w:tc>
        <w:tc>
          <w:tcPr>
            <w:tcW w:w="2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FCE9C4">
            <w:pPr>
              <w:tabs>
                <w:tab w:val="left" w:pos="0"/>
              </w:tabs>
              <w:jc w:val="left"/>
              <w:rPr>
                <w:rFonts w:hint="eastAsia" w:ascii="宋体" w:hAnsi="宋体" w:eastAsia="宋体" w:cs="宋体"/>
                <w:snapToGrid w:val="0"/>
                <w:color w:val="000000"/>
                <w:kern w:val="0"/>
                <w:sz w:val="24"/>
                <w:szCs w:val="24"/>
                <w:lang w:val="en-US" w:eastAsia="en-US" w:bidi="ar-SA"/>
              </w:rPr>
            </w:pP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8DC66E">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台</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D405D2">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1</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0B81C2C">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p>
        </w:tc>
      </w:tr>
      <w:tr w14:paraId="4CF406F9">
        <w:tblPrEx>
          <w:tblCellMar>
            <w:top w:w="0" w:type="dxa"/>
            <w:left w:w="0" w:type="dxa"/>
            <w:bottom w:w="0" w:type="dxa"/>
            <w:right w:w="0" w:type="dxa"/>
          </w:tblCellMar>
        </w:tblPrEx>
        <w:trPr>
          <w:trHeight w:val="399"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E3E7540">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15</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D1C0CAE">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履带式挖掘机</w:t>
            </w:r>
          </w:p>
        </w:tc>
        <w:tc>
          <w:tcPr>
            <w:tcW w:w="2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92861E">
            <w:pPr>
              <w:tabs>
                <w:tab w:val="left" w:pos="0"/>
              </w:tabs>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斗容量≥0.5m³</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F088B7">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台</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2EE470">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1</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E749998">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p>
        </w:tc>
      </w:tr>
      <w:tr w14:paraId="110258C2">
        <w:tblPrEx>
          <w:tblCellMar>
            <w:top w:w="0" w:type="dxa"/>
            <w:left w:w="0" w:type="dxa"/>
            <w:bottom w:w="0" w:type="dxa"/>
            <w:right w:w="0" w:type="dxa"/>
          </w:tblCellMar>
        </w:tblPrEx>
        <w:trPr>
          <w:trHeight w:val="399"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610C57F">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16</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BBF4902">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装载机</w:t>
            </w:r>
          </w:p>
        </w:tc>
        <w:tc>
          <w:tcPr>
            <w:tcW w:w="2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B22FA7">
            <w:pPr>
              <w:tabs>
                <w:tab w:val="left" w:pos="0"/>
              </w:tabs>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斗容量≥</w:t>
            </w:r>
            <w:r>
              <w:rPr>
                <w:rFonts w:hint="eastAsia" w:ascii="宋体" w:hAnsi="宋体" w:eastAsia="宋体" w:cs="宋体"/>
                <w:sz w:val="24"/>
                <w:szCs w:val="24"/>
                <w:highlight w:val="none"/>
                <w:lang w:val="en-US" w:eastAsia="zh-CN"/>
              </w:rPr>
              <w:t>1m</w:t>
            </w:r>
            <w:r>
              <w:rPr>
                <w:rFonts w:hint="eastAsia" w:ascii="宋体" w:hAnsi="宋体" w:eastAsia="宋体" w:cs="宋体"/>
                <w:sz w:val="24"/>
                <w:szCs w:val="24"/>
                <w:highlight w:val="none"/>
              </w:rPr>
              <w:t>³</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A331F0">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台</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E90636">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1</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0A48A78">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p>
        </w:tc>
      </w:tr>
      <w:tr w14:paraId="2A0B86AC">
        <w:tblPrEx>
          <w:tblCellMar>
            <w:top w:w="0" w:type="dxa"/>
            <w:left w:w="0" w:type="dxa"/>
            <w:bottom w:w="0" w:type="dxa"/>
            <w:right w:w="0" w:type="dxa"/>
          </w:tblCellMar>
        </w:tblPrEx>
        <w:trPr>
          <w:trHeight w:val="430" w:hRule="atLeast"/>
          <w:jc w:val="cent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66DCC79">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r>
              <w:rPr>
                <w:rFonts w:hint="eastAsia" w:ascii="宋体" w:hAnsi="宋体" w:eastAsia="宋体" w:cs="宋体"/>
                <w:snapToGrid w:val="0"/>
                <w:spacing w:val="0"/>
                <w:w w:val="100"/>
                <w:kern w:val="0"/>
                <w:position w:val="0"/>
                <w:sz w:val="24"/>
                <w:szCs w:val="24"/>
              </w:rPr>
              <w:t>17</w:t>
            </w:r>
          </w:p>
        </w:tc>
        <w:tc>
          <w:tcPr>
            <w:tcW w:w="24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A747F7F">
            <w:pPr>
              <w:keepNext w:val="0"/>
              <w:keepLines w:val="0"/>
              <w:pageBreakBefore w:val="0"/>
              <w:widowControl w:val="0"/>
              <w:tabs>
                <w:tab w:val="left" w:pos="0"/>
              </w:tabs>
              <w:kinsoku/>
              <w:wordWrap w:val="0"/>
              <w:overflowPunct/>
              <w:topLinePunct w:val="0"/>
              <w:autoSpaceDE w:val="0"/>
              <w:autoSpaceDN w:val="0"/>
              <w:bidi w:val="0"/>
              <w:adjustRightInd w:val="0"/>
              <w:snapToGrid w:val="0"/>
              <w:spacing w:line="240" w:lineRule="auto"/>
              <w:ind w:left="0" w:right="0" w:firstLine="0" w:firstLineChars="0"/>
              <w:jc w:val="left"/>
              <w:textAlignment w:val="baseline"/>
              <w:rPr>
                <w:rFonts w:hint="eastAsia" w:ascii="宋体" w:hAnsi="宋体" w:eastAsia="宋体" w:cs="宋体"/>
                <w:spacing w:val="0"/>
                <w:w w:val="100"/>
                <w:position w:val="0"/>
                <w:sz w:val="24"/>
                <w:szCs w:val="24"/>
              </w:rPr>
            </w:pPr>
            <w:r>
              <w:rPr>
                <w:rFonts w:hint="eastAsia" w:ascii="宋体" w:hAnsi="宋体" w:eastAsia="宋体" w:cs="宋体"/>
                <w:spacing w:val="0"/>
                <w:w w:val="100"/>
                <w:position w:val="0"/>
                <w:sz w:val="24"/>
                <w:szCs w:val="24"/>
              </w:rPr>
              <w:t xml:space="preserve">发电机组 </w:t>
            </w:r>
          </w:p>
        </w:tc>
        <w:tc>
          <w:tcPr>
            <w:tcW w:w="290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4A00E2">
            <w:pPr>
              <w:tabs>
                <w:tab w:val="left" w:pos="0"/>
              </w:tabs>
              <w:jc w:val="left"/>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发电量≥12千瓦</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F3621D">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台</w:t>
            </w:r>
          </w:p>
        </w:tc>
        <w:tc>
          <w:tcPr>
            <w:tcW w:w="66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5E57F6">
            <w:pPr>
              <w:tabs>
                <w:tab w:val="left" w:pos="0"/>
              </w:tabs>
              <w:jc w:val="center"/>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z w:val="24"/>
                <w:szCs w:val="24"/>
              </w:rPr>
              <w:t>1</w:t>
            </w:r>
          </w:p>
        </w:tc>
        <w:tc>
          <w:tcPr>
            <w:tcW w:w="19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7386F1F">
            <w:pPr>
              <w:keepNext w:val="0"/>
              <w:keepLines w:val="0"/>
              <w:pageBreakBefore w:val="0"/>
              <w:widowControl w:val="0"/>
              <w:kinsoku/>
              <w:wordWrap w:val="0"/>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宋体" w:hAnsi="宋体" w:eastAsia="宋体" w:cs="宋体"/>
                <w:snapToGrid w:val="0"/>
                <w:spacing w:val="0"/>
                <w:w w:val="100"/>
                <w:kern w:val="0"/>
                <w:position w:val="0"/>
                <w:sz w:val="24"/>
                <w:szCs w:val="24"/>
              </w:rPr>
            </w:pPr>
          </w:p>
        </w:tc>
      </w:tr>
    </w:tbl>
    <w:p w14:paraId="462ADF81">
      <w:pPr>
        <w:spacing w:before="105" w:line="309" w:lineRule="auto"/>
        <w:ind w:left="3" w:right="166" w:firstLine="481"/>
        <w:rPr>
          <w:rFonts w:hint="eastAsia" w:asciiTheme="minorEastAsia" w:hAnsiTheme="minorEastAsia" w:eastAsiaTheme="minorEastAsia"/>
          <w:color w:val="auto"/>
          <w:sz w:val="24"/>
          <w:szCs w:val="24"/>
        </w:rPr>
      </w:pPr>
    </w:p>
    <w:p w14:paraId="1D0235AE">
      <w:pPr>
        <w:spacing w:before="78" w:line="219" w:lineRule="auto"/>
        <w:ind w:left="490"/>
        <w:outlineLvl w:val="3"/>
        <w:rPr>
          <w:rFonts w:ascii="宋体" w:hAnsi="宋体" w:cs="宋体"/>
          <w:sz w:val="24"/>
          <w:szCs w:val="24"/>
        </w:rPr>
      </w:pPr>
      <w:r>
        <w:rPr>
          <w:rFonts w:eastAsia="Times New Roman"/>
          <w:b/>
          <w:bCs/>
          <w:spacing w:val="-6"/>
          <w:sz w:val="24"/>
          <w:szCs w:val="24"/>
        </w:rPr>
        <w:t>2.2</w:t>
      </w:r>
      <w:r>
        <w:rPr>
          <w:rFonts w:eastAsia="Times New Roman"/>
          <w:b/>
          <w:bCs/>
          <w:spacing w:val="25"/>
          <w:sz w:val="24"/>
          <w:szCs w:val="24"/>
        </w:rPr>
        <w:t xml:space="preserve">  </w:t>
      </w:r>
      <w:r>
        <w:rPr>
          <w:rFonts w:ascii="宋体" w:hAnsi="宋体" w:cs="宋体"/>
          <w:b/>
          <w:bCs/>
          <w:spacing w:val="-6"/>
          <w:sz w:val="24"/>
          <w:szCs w:val="24"/>
        </w:rPr>
        <w:t>日常养护内容及要求</w:t>
      </w:r>
    </w:p>
    <w:p w14:paraId="38394392">
      <w:pPr>
        <w:spacing w:before="114" w:line="308" w:lineRule="auto"/>
        <w:ind w:left="16" w:right="446" w:firstLine="482"/>
        <w:rPr>
          <w:rFonts w:ascii="宋体" w:hAnsi="宋体" w:eastAsia="宋体" w:cs="宋体"/>
          <w:sz w:val="24"/>
          <w:szCs w:val="24"/>
          <w:lang w:eastAsia="zh-CN"/>
        </w:rPr>
      </w:pPr>
      <w:r>
        <w:rPr>
          <w:rFonts w:ascii="宋体" w:hAnsi="宋体" w:cs="宋体"/>
          <w:spacing w:val="3"/>
          <w:sz w:val="24"/>
          <w:szCs w:val="24"/>
          <w:highlight w:val="none"/>
        </w:rPr>
        <w:t>具体为</w:t>
      </w:r>
      <w:r>
        <w:rPr>
          <w:rFonts w:ascii="宋体" w:hAnsi="宋体" w:cs="宋体"/>
          <w:color w:val="auto"/>
          <w:spacing w:val="-16"/>
          <w:sz w:val="24"/>
          <w:szCs w:val="24"/>
          <w:highlight w:val="none"/>
        </w:rPr>
        <w:t>：</w:t>
      </w:r>
      <w:r>
        <w:rPr>
          <w:rFonts w:ascii="宋体" w:hAnsi="宋体" w:cs="宋体"/>
          <w:color w:val="auto"/>
          <w:sz w:val="24"/>
          <w:szCs w:val="24"/>
          <w:highlight w:val="none"/>
        </w:rPr>
        <w:t xml:space="preserve"> </w:t>
      </w:r>
      <w:r>
        <w:rPr>
          <w:rFonts w:hint="eastAsia" w:ascii="宋体" w:hAnsi="宋体" w:cs="宋体"/>
          <w:color w:val="auto"/>
          <w:sz w:val="24"/>
          <w:szCs w:val="24"/>
          <w:highlight w:val="none"/>
          <w:u w:val="single"/>
        </w:rPr>
        <w:t>A段、B段、C段</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D段</w:t>
      </w:r>
      <w:r>
        <w:rPr>
          <w:rFonts w:ascii="宋体" w:hAnsi="宋体" w:cs="宋体"/>
          <w:color w:val="auto"/>
          <w:spacing w:val="1"/>
          <w:sz w:val="24"/>
          <w:szCs w:val="24"/>
          <w:highlight w:val="none"/>
          <w:u w:val="single"/>
        </w:rPr>
        <w:t>范围内的路基、路面、桥梁、</w:t>
      </w:r>
      <w:r>
        <w:rPr>
          <w:rFonts w:ascii="宋体" w:hAnsi="宋体" w:cs="宋体"/>
          <w:color w:val="auto"/>
          <w:sz w:val="24"/>
          <w:szCs w:val="24"/>
          <w:highlight w:val="none"/>
          <w:u w:val="single"/>
        </w:rPr>
        <w:t>涵洞、隧道、交通安全设施、机电</w:t>
      </w:r>
      <w:r>
        <w:rPr>
          <w:rFonts w:ascii="宋体" w:hAnsi="宋体" w:cs="宋体"/>
          <w:color w:val="auto"/>
          <w:spacing w:val="-2"/>
          <w:sz w:val="24"/>
          <w:szCs w:val="24"/>
          <w:highlight w:val="none"/>
          <w:u w:val="single"/>
        </w:rPr>
        <w:t>设施、管理服务设施、绿化与环境保护等</w:t>
      </w:r>
      <w:r>
        <w:rPr>
          <w:rFonts w:ascii="宋体" w:hAnsi="宋体" w:cs="宋体"/>
          <w:spacing w:val="-2"/>
          <w:sz w:val="24"/>
          <w:szCs w:val="24"/>
          <w:highlight w:val="none"/>
          <w:u w:val="single"/>
        </w:rPr>
        <w:t>设施的巡查检查、</w:t>
      </w:r>
      <w:r>
        <w:rPr>
          <w:rFonts w:ascii="宋体" w:hAnsi="宋体" w:cs="宋体"/>
          <w:spacing w:val="-60"/>
          <w:sz w:val="24"/>
          <w:szCs w:val="24"/>
          <w:highlight w:val="none"/>
          <w:u w:val="single"/>
        </w:rPr>
        <w:t xml:space="preserve"> </w:t>
      </w:r>
      <w:r>
        <w:rPr>
          <w:rFonts w:ascii="宋体" w:hAnsi="宋体" w:cs="宋体"/>
          <w:spacing w:val="-2"/>
          <w:sz w:val="24"/>
          <w:szCs w:val="24"/>
          <w:highlight w:val="none"/>
          <w:u w:val="single"/>
        </w:rPr>
        <w:t>日常保养（含绿化）、</w:t>
      </w:r>
      <w:r>
        <w:rPr>
          <w:rFonts w:ascii="宋体" w:hAnsi="宋体" w:cs="宋体"/>
          <w:sz w:val="24"/>
          <w:szCs w:val="24"/>
          <w:highlight w:val="none"/>
          <w:u w:val="single"/>
        </w:rPr>
        <w:t>应急处置、冬季除冰雪、数据填报与管理</w:t>
      </w:r>
      <w:r>
        <w:rPr>
          <w:rFonts w:hint="eastAsia" w:ascii="宋体" w:hAnsi="宋体" w:cs="宋体"/>
          <w:sz w:val="24"/>
          <w:szCs w:val="24"/>
          <w:highlight w:val="none"/>
          <w:u w:val="single"/>
          <w:lang w:eastAsia="zh-CN"/>
        </w:rPr>
        <w:t>、</w:t>
      </w:r>
      <w:r>
        <w:rPr>
          <w:rFonts w:hint="eastAsia" w:ascii="宋体" w:hAnsi="宋体" w:cs="宋体"/>
          <w:sz w:val="24"/>
          <w:szCs w:val="24"/>
          <w:highlight w:val="none"/>
          <w:u w:val="single"/>
          <w:lang w:val="en-US" w:eastAsia="zh-CN"/>
        </w:rPr>
        <w:t>安全管理、</w:t>
      </w:r>
      <w:r>
        <w:rPr>
          <w:rFonts w:ascii="宋体" w:hAnsi="宋体" w:cs="宋体"/>
          <w:sz w:val="24"/>
          <w:szCs w:val="24"/>
          <w:u w:val="single"/>
        </w:rPr>
        <w:t>不可预见的专项养护</w:t>
      </w:r>
      <w:r>
        <w:rPr>
          <w:rFonts w:ascii="宋体" w:hAnsi="宋体" w:cs="宋体"/>
          <w:sz w:val="24"/>
          <w:szCs w:val="24"/>
          <w:highlight w:val="none"/>
          <w:u w:val="single"/>
        </w:rPr>
        <w:t>等。</w:t>
      </w:r>
      <w:r>
        <w:rPr>
          <w:rFonts w:ascii="宋体" w:hAnsi="宋体" w:eastAsia="宋体" w:cs="宋体"/>
          <w:spacing w:val="-16"/>
          <w:sz w:val="24"/>
          <w:szCs w:val="24"/>
          <w:lang w:eastAsia="zh-CN"/>
        </w:rPr>
        <w:t>（</w:t>
      </w:r>
      <w:r>
        <w:rPr>
          <w:rFonts w:ascii="宋体" w:hAnsi="宋体" w:eastAsia="宋体" w:cs="宋体"/>
          <w:spacing w:val="3"/>
          <w:sz w:val="24"/>
          <w:szCs w:val="24"/>
          <w:lang w:eastAsia="zh-CN"/>
        </w:rPr>
        <w:t>例如：某</w:t>
      </w:r>
      <w:r>
        <w:rPr>
          <w:rFonts w:ascii="宋体" w:hAnsi="宋体" w:eastAsia="宋体" w:cs="宋体"/>
          <w:spacing w:val="1"/>
          <w:sz w:val="24"/>
          <w:szCs w:val="24"/>
          <w:lang w:eastAsia="zh-CN"/>
        </w:rPr>
        <w:t>路线某起终点桩号范围内的路基、路面、桥梁、</w:t>
      </w:r>
      <w:r>
        <w:rPr>
          <w:rFonts w:ascii="宋体" w:hAnsi="宋体" w:eastAsia="宋体" w:cs="宋体"/>
          <w:sz w:val="24"/>
          <w:szCs w:val="24"/>
          <w:lang w:eastAsia="zh-CN"/>
        </w:rPr>
        <w:t>涵洞、隧道、交通安全设施、机电</w:t>
      </w:r>
      <w:r>
        <w:rPr>
          <w:rFonts w:ascii="宋体" w:hAnsi="宋体" w:eastAsia="宋体" w:cs="宋体"/>
          <w:spacing w:val="-2"/>
          <w:sz w:val="24"/>
          <w:szCs w:val="24"/>
          <w:lang w:eastAsia="zh-CN"/>
        </w:rPr>
        <w:t>设施、管理服务设施、绿化与环境保护等设施的巡查检查、</w:t>
      </w:r>
      <w:r>
        <w:rPr>
          <w:rFonts w:ascii="宋体" w:hAnsi="宋体" w:eastAsia="宋体" w:cs="宋体"/>
          <w:spacing w:val="-60"/>
          <w:sz w:val="24"/>
          <w:szCs w:val="24"/>
          <w:lang w:eastAsia="zh-CN"/>
        </w:rPr>
        <w:t xml:space="preserve"> </w:t>
      </w:r>
      <w:r>
        <w:rPr>
          <w:rFonts w:ascii="宋体" w:hAnsi="宋体" w:eastAsia="宋体" w:cs="宋体"/>
          <w:spacing w:val="-2"/>
          <w:sz w:val="24"/>
          <w:szCs w:val="24"/>
          <w:lang w:eastAsia="zh-CN"/>
        </w:rPr>
        <w:t>日常保养（含绿化）、</w:t>
      </w:r>
      <w:r>
        <w:rPr>
          <w:rFonts w:ascii="宋体" w:hAnsi="宋体" w:eastAsia="宋体" w:cs="宋体"/>
          <w:sz w:val="24"/>
          <w:szCs w:val="24"/>
          <w:lang w:eastAsia="zh-CN"/>
        </w:rPr>
        <w:t>日常维修、应急处置、冬季除冰雪、数据填报与管理，以及相关集中修补作业等）。</w:t>
      </w:r>
    </w:p>
    <w:p w14:paraId="6CBE7610">
      <w:pPr>
        <w:spacing w:before="113" w:line="219" w:lineRule="auto"/>
        <w:ind w:left="265"/>
        <w:rPr>
          <w:rFonts w:ascii="宋体" w:hAnsi="宋体" w:cs="宋体"/>
          <w:sz w:val="24"/>
          <w:szCs w:val="24"/>
        </w:rPr>
      </w:pPr>
      <w:r>
        <w:rPr>
          <w:rFonts w:ascii="宋体" w:hAnsi="宋体" w:cs="宋体"/>
          <w:spacing w:val="-3"/>
          <w:sz w:val="24"/>
          <w:szCs w:val="24"/>
        </w:rPr>
        <w:t>（</w:t>
      </w:r>
      <w:r>
        <w:rPr>
          <w:rFonts w:eastAsia="Times New Roman"/>
          <w:spacing w:val="-3"/>
          <w:sz w:val="24"/>
          <w:szCs w:val="24"/>
        </w:rPr>
        <w:t>1</w:t>
      </w:r>
      <w:r>
        <w:rPr>
          <w:rFonts w:ascii="宋体" w:hAnsi="宋体" w:cs="宋体"/>
          <w:spacing w:val="-3"/>
          <w:sz w:val="24"/>
          <w:szCs w:val="24"/>
        </w:rPr>
        <w:t>）路况检查</w:t>
      </w:r>
    </w:p>
    <w:p w14:paraId="5BB5C056">
      <w:pPr>
        <w:ind w:left="496"/>
        <w:rPr>
          <w:rFonts w:ascii="宋体" w:hAnsi="宋体" w:cs="宋体"/>
          <w:sz w:val="24"/>
          <w:szCs w:val="24"/>
        </w:rPr>
      </w:pPr>
      <w:r>
        <w:rPr>
          <w:rFonts w:ascii="Cambria Math" w:hAnsi="Cambria Math" w:eastAsia="Cambria Math" w:cs="Cambria Math"/>
          <w:b/>
          <w:bCs/>
          <w:spacing w:val="-4"/>
          <w:sz w:val="24"/>
          <w:szCs w:val="24"/>
        </w:rPr>
        <w:t>①</w:t>
      </w:r>
      <w:r>
        <w:rPr>
          <w:rFonts w:ascii="宋体" w:hAnsi="宋体" w:cs="宋体"/>
          <w:b/>
          <w:bCs/>
          <w:spacing w:val="-4"/>
          <w:sz w:val="24"/>
          <w:szCs w:val="24"/>
        </w:rPr>
        <w:t>养护检查等级</w:t>
      </w:r>
    </w:p>
    <w:p w14:paraId="3B8BECEB">
      <w:pPr>
        <w:spacing w:before="126" w:line="219" w:lineRule="auto"/>
        <w:ind w:left="496"/>
        <w:rPr>
          <w:rFonts w:ascii="宋体" w:hAnsi="宋体" w:cs="宋体"/>
          <w:sz w:val="24"/>
          <w:szCs w:val="24"/>
        </w:rPr>
      </w:pPr>
      <w:r>
        <w:rPr>
          <w:rFonts w:ascii="宋体" w:hAnsi="宋体" w:cs="宋体"/>
          <w:spacing w:val="-1"/>
          <w:sz w:val="24"/>
          <w:szCs w:val="24"/>
        </w:rPr>
        <w:t>路基、路面、交通工程及沿线设施养护检查等级，按照表</w:t>
      </w:r>
      <w:r>
        <w:rPr>
          <w:rFonts w:ascii="宋体" w:hAnsi="宋体" w:cs="宋体"/>
          <w:spacing w:val="-40"/>
          <w:sz w:val="24"/>
          <w:szCs w:val="24"/>
        </w:rPr>
        <w:t xml:space="preserve"> </w:t>
      </w:r>
      <w:r>
        <w:rPr>
          <w:rFonts w:eastAsia="Times New Roman"/>
          <w:spacing w:val="-1"/>
          <w:sz w:val="24"/>
          <w:szCs w:val="24"/>
        </w:rPr>
        <w:t xml:space="preserve">3-3-1 </w:t>
      </w:r>
      <w:r>
        <w:rPr>
          <w:rFonts w:ascii="宋体" w:hAnsi="宋体" w:cs="宋体"/>
          <w:spacing w:val="-1"/>
          <w:sz w:val="24"/>
          <w:szCs w:val="24"/>
        </w:rPr>
        <w:t>执行。</w:t>
      </w:r>
    </w:p>
    <w:p w14:paraId="35BDF32A">
      <w:pPr>
        <w:spacing w:before="122" w:line="213" w:lineRule="auto"/>
        <w:ind w:left="1409"/>
        <w:rPr>
          <w:rFonts w:ascii="宋体" w:hAnsi="宋体" w:cs="宋体"/>
          <w:sz w:val="24"/>
          <w:szCs w:val="24"/>
        </w:rPr>
      </w:pPr>
      <w:r>
        <w:rPr>
          <w:rFonts w:ascii="宋体" w:hAnsi="宋体" w:cs="宋体"/>
          <w:b/>
          <w:bCs/>
          <w:spacing w:val="-2"/>
          <w:sz w:val="24"/>
          <w:szCs w:val="24"/>
        </w:rPr>
        <w:t>表</w:t>
      </w:r>
      <w:r>
        <w:rPr>
          <w:rFonts w:ascii="宋体" w:hAnsi="宋体" w:cs="宋体"/>
          <w:spacing w:val="-44"/>
          <w:sz w:val="24"/>
          <w:szCs w:val="24"/>
        </w:rPr>
        <w:t xml:space="preserve"> </w:t>
      </w:r>
      <w:r>
        <w:rPr>
          <w:rFonts w:eastAsia="Times New Roman"/>
          <w:b/>
          <w:bCs/>
          <w:spacing w:val="-2"/>
          <w:sz w:val="24"/>
          <w:szCs w:val="24"/>
        </w:rPr>
        <w:t xml:space="preserve">3-3-1    </w:t>
      </w:r>
      <w:r>
        <w:rPr>
          <w:rFonts w:ascii="宋体" w:hAnsi="宋体" w:cs="宋体"/>
          <w:b/>
          <w:bCs/>
          <w:spacing w:val="-2"/>
          <w:sz w:val="24"/>
          <w:szCs w:val="24"/>
        </w:rPr>
        <w:t>路基、路面、交通工程及沿线设施养护检查等级表</w:t>
      </w:r>
    </w:p>
    <w:p w14:paraId="0613B79D">
      <w:pPr>
        <w:tabs>
          <w:tab w:val="left" w:pos="0"/>
        </w:tabs>
        <w:ind w:left="1492" w:firstLine="378"/>
        <w:rPr>
          <w:rFonts w:ascii="黑体" w:hAnsi="黑体" w:eastAsia="黑体" w:cs="黑体"/>
          <w:sz w:val="24"/>
          <w:szCs w:val="24"/>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32"/>
        <w:gridCol w:w="2823"/>
        <w:gridCol w:w="2094"/>
        <w:gridCol w:w="2398"/>
      </w:tblGrid>
      <w:tr w14:paraId="4829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2334" w:type="dxa"/>
          </w:tcPr>
          <w:p w14:paraId="24D5A316">
            <w:pPr>
              <w:pStyle w:val="29"/>
              <w:tabs>
                <w:tab w:val="left" w:pos="0"/>
              </w:tabs>
              <w:ind w:left="535"/>
              <w:rPr>
                <w:snapToGrid w:val="0"/>
                <w:color w:val="000000"/>
                <w:sz w:val="24"/>
                <w:szCs w:val="24"/>
                <w:highlight w:val="none"/>
              </w:rPr>
            </w:pPr>
            <w:r>
              <w:rPr>
                <w:snapToGrid w:val="0"/>
                <w:color w:val="000000"/>
                <w:spacing w:val="-2"/>
                <w:sz w:val="24"/>
                <w:szCs w:val="24"/>
                <w:highlight w:val="none"/>
              </w:rPr>
              <w:t>养护检查等级</w:t>
            </w:r>
          </w:p>
        </w:tc>
        <w:tc>
          <w:tcPr>
            <w:tcW w:w="2825" w:type="dxa"/>
          </w:tcPr>
          <w:p w14:paraId="200AF328">
            <w:pPr>
              <w:pStyle w:val="29"/>
              <w:tabs>
                <w:tab w:val="left" w:pos="0"/>
              </w:tabs>
              <w:ind w:left="1002"/>
              <w:rPr>
                <w:snapToGrid w:val="0"/>
                <w:color w:val="000000"/>
                <w:sz w:val="24"/>
                <w:szCs w:val="24"/>
                <w:highlight w:val="none"/>
              </w:rPr>
            </w:pPr>
            <w:r>
              <w:rPr>
                <w:snapToGrid w:val="0"/>
                <w:color w:val="000000"/>
                <w:spacing w:val="5"/>
                <w:sz w:val="24"/>
                <w:szCs w:val="24"/>
                <w:highlight w:val="none"/>
              </w:rPr>
              <w:t>I级</w:t>
            </w:r>
          </w:p>
        </w:tc>
        <w:tc>
          <w:tcPr>
            <w:tcW w:w="2095" w:type="dxa"/>
          </w:tcPr>
          <w:p w14:paraId="0F6929DE">
            <w:pPr>
              <w:pStyle w:val="29"/>
              <w:tabs>
                <w:tab w:val="left" w:pos="0"/>
              </w:tabs>
              <w:ind w:left="973"/>
              <w:rPr>
                <w:snapToGrid w:val="0"/>
                <w:color w:val="000000"/>
                <w:sz w:val="24"/>
                <w:szCs w:val="24"/>
                <w:highlight w:val="none"/>
              </w:rPr>
            </w:pPr>
            <w:r>
              <w:rPr>
                <w:snapToGrid w:val="0"/>
                <w:color w:val="000000"/>
                <w:spacing w:val="-19"/>
                <w:sz w:val="24"/>
                <w:szCs w:val="24"/>
                <w:highlight w:val="none"/>
              </w:rPr>
              <w:t>Ⅱ</w:t>
            </w:r>
            <w:r>
              <w:rPr>
                <w:snapToGrid w:val="0"/>
                <w:color w:val="000000"/>
                <w:spacing w:val="-31"/>
                <w:sz w:val="24"/>
                <w:szCs w:val="24"/>
                <w:highlight w:val="none"/>
              </w:rPr>
              <w:t xml:space="preserve"> </w:t>
            </w:r>
            <w:r>
              <w:rPr>
                <w:snapToGrid w:val="0"/>
                <w:color w:val="000000"/>
                <w:spacing w:val="-19"/>
                <w:sz w:val="24"/>
                <w:szCs w:val="24"/>
                <w:highlight w:val="none"/>
              </w:rPr>
              <w:t>级</w:t>
            </w:r>
          </w:p>
        </w:tc>
        <w:tc>
          <w:tcPr>
            <w:tcW w:w="2400" w:type="dxa"/>
          </w:tcPr>
          <w:p w14:paraId="4BFDF320">
            <w:pPr>
              <w:pStyle w:val="29"/>
              <w:tabs>
                <w:tab w:val="left" w:pos="0"/>
              </w:tabs>
              <w:ind w:left="966"/>
              <w:rPr>
                <w:snapToGrid w:val="0"/>
                <w:color w:val="000000"/>
                <w:sz w:val="24"/>
                <w:szCs w:val="24"/>
                <w:highlight w:val="none"/>
              </w:rPr>
            </w:pPr>
            <w:r>
              <w:rPr>
                <w:snapToGrid w:val="0"/>
                <w:color w:val="000000"/>
                <w:spacing w:val="-2"/>
                <w:sz w:val="24"/>
                <w:szCs w:val="24"/>
                <w:highlight w:val="none"/>
              </w:rPr>
              <w:t>Ⅲ级</w:t>
            </w:r>
          </w:p>
        </w:tc>
      </w:tr>
      <w:tr w14:paraId="70445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2334" w:type="dxa"/>
          </w:tcPr>
          <w:p w14:paraId="38A694D4">
            <w:pPr>
              <w:pStyle w:val="29"/>
              <w:tabs>
                <w:tab w:val="left" w:pos="0"/>
              </w:tabs>
              <w:ind w:left="535"/>
              <w:rPr>
                <w:snapToGrid w:val="0"/>
                <w:color w:val="000000"/>
                <w:sz w:val="24"/>
                <w:szCs w:val="24"/>
                <w:highlight w:val="none"/>
              </w:rPr>
            </w:pPr>
            <w:r>
              <w:rPr>
                <w:snapToGrid w:val="0"/>
                <w:color w:val="000000"/>
                <w:spacing w:val="1"/>
                <w:sz w:val="24"/>
                <w:szCs w:val="24"/>
                <w:highlight w:val="none"/>
              </w:rPr>
              <w:t>公路技术等级</w:t>
            </w:r>
          </w:p>
        </w:tc>
        <w:tc>
          <w:tcPr>
            <w:tcW w:w="2825" w:type="dxa"/>
          </w:tcPr>
          <w:p w14:paraId="4AD30C3B">
            <w:pPr>
              <w:pStyle w:val="29"/>
              <w:tabs>
                <w:tab w:val="left" w:pos="0"/>
              </w:tabs>
              <w:ind w:left="332"/>
              <w:rPr>
                <w:snapToGrid w:val="0"/>
                <w:color w:val="000000"/>
                <w:sz w:val="24"/>
                <w:szCs w:val="24"/>
                <w:highlight w:val="none"/>
              </w:rPr>
            </w:pPr>
            <w:r>
              <w:rPr>
                <w:snapToGrid w:val="0"/>
                <w:color w:val="000000"/>
                <w:spacing w:val="-2"/>
                <w:sz w:val="24"/>
                <w:szCs w:val="24"/>
                <w:highlight w:val="none"/>
              </w:rPr>
              <w:t>高速公路、一级公路</w:t>
            </w:r>
          </w:p>
        </w:tc>
        <w:tc>
          <w:tcPr>
            <w:tcW w:w="2095" w:type="dxa"/>
          </w:tcPr>
          <w:p w14:paraId="173C4211">
            <w:pPr>
              <w:pStyle w:val="29"/>
              <w:tabs>
                <w:tab w:val="left" w:pos="0"/>
              </w:tabs>
              <w:ind w:left="794"/>
              <w:rPr>
                <w:snapToGrid w:val="0"/>
                <w:color w:val="000000"/>
                <w:sz w:val="24"/>
                <w:szCs w:val="24"/>
                <w:highlight w:val="none"/>
              </w:rPr>
            </w:pPr>
            <w:r>
              <w:rPr>
                <w:snapToGrid w:val="0"/>
                <w:color w:val="000000"/>
                <w:spacing w:val="-2"/>
                <w:sz w:val="24"/>
                <w:szCs w:val="24"/>
                <w:highlight w:val="none"/>
              </w:rPr>
              <w:t>二级公路</w:t>
            </w:r>
          </w:p>
        </w:tc>
        <w:tc>
          <w:tcPr>
            <w:tcW w:w="2400" w:type="dxa"/>
          </w:tcPr>
          <w:p w14:paraId="60A7BC97">
            <w:pPr>
              <w:pStyle w:val="29"/>
              <w:tabs>
                <w:tab w:val="left" w:pos="0"/>
              </w:tabs>
              <w:ind w:left="607"/>
              <w:rPr>
                <w:snapToGrid w:val="0"/>
                <w:color w:val="000000"/>
                <w:sz w:val="24"/>
                <w:szCs w:val="24"/>
                <w:highlight w:val="none"/>
              </w:rPr>
            </w:pPr>
            <w:r>
              <w:rPr>
                <w:snapToGrid w:val="0"/>
                <w:color w:val="000000"/>
                <w:spacing w:val="-1"/>
                <w:sz w:val="24"/>
                <w:szCs w:val="24"/>
                <w:highlight w:val="none"/>
              </w:rPr>
              <w:t>三、四级公路</w:t>
            </w:r>
          </w:p>
        </w:tc>
      </w:tr>
    </w:tbl>
    <w:p w14:paraId="3C6D3403">
      <w:pPr>
        <w:spacing w:before="311" w:line="219" w:lineRule="auto"/>
        <w:ind w:left="494"/>
        <w:rPr>
          <w:rFonts w:ascii="宋体" w:hAnsi="宋体" w:cs="宋体"/>
          <w:sz w:val="24"/>
          <w:szCs w:val="24"/>
          <w:highlight w:val="none"/>
        </w:rPr>
      </w:pPr>
      <w:r>
        <w:rPr>
          <w:rFonts w:ascii="宋体" w:hAnsi="宋体" w:cs="宋体"/>
          <w:spacing w:val="-1"/>
          <w:sz w:val="24"/>
          <w:szCs w:val="24"/>
          <w:highlight w:val="none"/>
        </w:rPr>
        <w:t>桥涵养护检查等级，按照表</w:t>
      </w:r>
      <w:r>
        <w:rPr>
          <w:rFonts w:ascii="宋体" w:hAnsi="宋体" w:cs="宋体"/>
          <w:spacing w:val="-51"/>
          <w:sz w:val="24"/>
          <w:szCs w:val="24"/>
          <w:highlight w:val="none"/>
        </w:rPr>
        <w:t xml:space="preserve"> </w:t>
      </w:r>
      <w:r>
        <w:rPr>
          <w:rFonts w:eastAsia="Times New Roman"/>
          <w:spacing w:val="-1"/>
          <w:sz w:val="24"/>
          <w:szCs w:val="24"/>
          <w:highlight w:val="none"/>
        </w:rPr>
        <w:t xml:space="preserve">3-3-2 </w:t>
      </w:r>
      <w:r>
        <w:rPr>
          <w:rFonts w:ascii="宋体" w:hAnsi="宋体" w:cs="宋体"/>
          <w:spacing w:val="-1"/>
          <w:sz w:val="24"/>
          <w:szCs w:val="24"/>
          <w:highlight w:val="none"/>
        </w:rPr>
        <w:t>执行。</w:t>
      </w:r>
    </w:p>
    <w:p w14:paraId="2B264934">
      <w:pPr>
        <w:spacing w:before="116" w:line="212" w:lineRule="auto"/>
        <w:ind w:left="2977"/>
        <w:rPr>
          <w:rFonts w:ascii="宋体" w:hAnsi="宋体" w:cs="宋体"/>
          <w:sz w:val="24"/>
          <w:szCs w:val="24"/>
          <w:highlight w:val="none"/>
        </w:rPr>
      </w:pPr>
      <w:r>
        <w:rPr>
          <w:rFonts w:ascii="宋体" w:hAnsi="宋体" w:cs="宋体"/>
          <w:b/>
          <w:bCs/>
          <w:spacing w:val="-2"/>
          <w:sz w:val="24"/>
          <w:szCs w:val="24"/>
          <w:highlight w:val="none"/>
        </w:rPr>
        <w:t>表</w:t>
      </w:r>
      <w:r>
        <w:rPr>
          <w:rFonts w:ascii="宋体" w:hAnsi="宋体" w:cs="宋体"/>
          <w:spacing w:val="-49"/>
          <w:sz w:val="24"/>
          <w:szCs w:val="24"/>
          <w:highlight w:val="none"/>
        </w:rPr>
        <w:t xml:space="preserve"> </w:t>
      </w:r>
      <w:r>
        <w:rPr>
          <w:rFonts w:eastAsia="Times New Roman"/>
          <w:b/>
          <w:bCs/>
          <w:spacing w:val="-2"/>
          <w:sz w:val="24"/>
          <w:szCs w:val="24"/>
          <w:highlight w:val="none"/>
        </w:rPr>
        <w:t xml:space="preserve">3-3-2    </w:t>
      </w:r>
      <w:r>
        <w:rPr>
          <w:rFonts w:ascii="宋体" w:hAnsi="宋体" w:cs="宋体"/>
          <w:b/>
          <w:bCs/>
          <w:spacing w:val="-2"/>
          <w:sz w:val="24"/>
          <w:szCs w:val="24"/>
          <w:highlight w:val="none"/>
        </w:rPr>
        <w:t>桥涵养护检查等级表</w:t>
      </w:r>
    </w:p>
    <w:p w14:paraId="25EA1CD7">
      <w:pPr>
        <w:tabs>
          <w:tab w:val="left" w:pos="0"/>
        </w:tabs>
        <w:ind w:left="2872" w:firstLine="418"/>
        <w:rPr>
          <w:rFonts w:ascii="黑体" w:hAnsi="黑体" w:eastAsia="黑体" w:cs="黑体"/>
          <w:sz w:val="24"/>
          <w:szCs w:val="24"/>
          <w:highlight w:val="none"/>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68"/>
        <w:gridCol w:w="2919"/>
        <w:gridCol w:w="3166"/>
        <w:gridCol w:w="1494"/>
      </w:tblGrid>
      <w:tr w14:paraId="5DB6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2070" w:type="dxa"/>
            <w:vAlign w:val="center"/>
          </w:tcPr>
          <w:p w14:paraId="69F9C3A6">
            <w:pPr>
              <w:pStyle w:val="29"/>
              <w:tabs>
                <w:tab w:val="left" w:pos="0"/>
              </w:tabs>
              <w:jc w:val="center"/>
              <w:rPr>
                <w:rFonts w:hint="eastAsia" w:eastAsia="宋体"/>
                <w:b/>
                <w:snapToGrid w:val="0"/>
                <w:color w:val="000000"/>
                <w:sz w:val="24"/>
                <w:szCs w:val="24"/>
                <w:highlight w:val="none"/>
                <w:lang w:eastAsia="zh-CN"/>
              </w:rPr>
            </w:pPr>
            <w:r>
              <w:rPr>
                <w:b/>
                <w:snapToGrid w:val="0"/>
                <w:color w:val="000000"/>
                <w:spacing w:val="-2"/>
                <w:sz w:val="24"/>
                <w:szCs w:val="24"/>
                <w:highlight w:val="none"/>
              </w:rPr>
              <w:t>养护检查</w:t>
            </w:r>
            <w:r>
              <w:rPr>
                <w:rFonts w:hint="eastAsia" w:eastAsia="宋体"/>
                <w:b/>
                <w:snapToGrid w:val="0"/>
                <w:color w:val="000000"/>
                <w:spacing w:val="-2"/>
                <w:sz w:val="24"/>
                <w:szCs w:val="24"/>
                <w:highlight w:val="none"/>
                <w:lang w:val="en-US" w:eastAsia="zh-CN"/>
              </w:rPr>
              <w:t>对象</w:t>
            </w:r>
          </w:p>
        </w:tc>
        <w:tc>
          <w:tcPr>
            <w:tcW w:w="2921" w:type="dxa"/>
            <w:vAlign w:val="center"/>
          </w:tcPr>
          <w:p w14:paraId="4F9C9842">
            <w:pPr>
              <w:pStyle w:val="29"/>
              <w:tabs>
                <w:tab w:val="left" w:pos="0"/>
              </w:tabs>
              <w:jc w:val="center"/>
              <w:rPr>
                <w:b/>
                <w:snapToGrid w:val="0"/>
                <w:color w:val="000000"/>
                <w:sz w:val="24"/>
                <w:szCs w:val="24"/>
                <w:highlight w:val="none"/>
              </w:rPr>
            </w:pPr>
            <w:r>
              <w:rPr>
                <w:b/>
                <w:snapToGrid w:val="0"/>
                <w:color w:val="000000"/>
                <w:spacing w:val="8"/>
                <w:sz w:val="24"/>
                <w:szCs w:val="24"/>
                <w:highlight w:val="none"/>
              </w:rPr>
              <w:t>I级</w:t>
            </w:r>
          </w:p>
        </w:tc>
        <w:tc>
          <w:tcPr>
            <w:tcW w:w="3168" w:type="dxa"/>
            <w:vAlign w:val="center"/>
          </w:tcPr>
          <w:p w14:paraId="2D8A4733">
            <w:pPr>
              <w:pStyle w:val="29"/>
              <w:tabs>
                <w:tab w:val="left" w:pos="0"/>
              </w:tabs>
              <w:jc w:val="center"/>
              <w:rPr>
                <w:b/>
                <w:snapToGrid w:val="0"/>
                <w:color w:val="000000"/>
                <w:sz w:val="24"/>
                <w:szCs w:val="24"/>
                <w:highlight w:val="none"/>
              </w:rPr>
            </w:pPr>
            <w:r>
              <w:rPr>
                <w:b/>
                <w:snapToGrid w:val="0"/>
                <w:color w:val="000000"/>
                <w:spacing w:val="-21"/>
                <w:sz w:val="24"/>
                <w:szCs w:val="24"/>
                <w:highlight w:val="none"/>
              </w:rPr>
              <w:t>Ⅱ级</w:t>
            </w:r>
          </w:p>
        </w:tc>
        <w:tc>
          <w:tcPr>
            <w:tcW w:w="1495" w:type="dxa"/>
            <w:vAlign w:val="center"/>
          </w:tcPr>
          <w:p w14:paraId="095DA3BE">
            <w:pPr>
              <w:pStyle w:val="29"/>
              <w:tabs>
                <w:tab w:val="left" w:pos="0"/>
              </w:tabs>
              <w:jc w:val="center"/>
              <w:rPr>
                <w:b/>
                <w:snapToGrid w:val="0"/>
                <w:color w:val="000000"/>
                <w:sz w:val="24"/>
                <w:szCs w:val="24"/>
                <w:highlight w:val="none"/>
              </w:rPr>
            </w:pPr>
            <w:r>
              <w:rPr>
                <w:b/>
                <w:snapToGrid w:val="0"/>
                <w:color w:val="000000"/>
                <w:spacing w:val="-2"/>
                <w:sz w:val="24"/>
                <w:szCs w:val="24"/>
                <w:highlight w:val="none"/>
              </w:rPr>
              <w:t>Ⅲ级</w:t>
            </w:r>
          </w:p>
        </w:tc>
      </w:tr>
      <w:tr w14:paraId="3DAB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70" w:type="dxa"/>
            <w:vAlign w:val="center"/>
          </w:tcPr>
          <w:p w14:paraId="123E4AE6">
            <w:pPr>
              <w:pStyle w:val="29"/>
              <w:tabs>
                <w:tab w:val="left" w:pos="0"/>
              </w:tabs>
              <w:jc w:val="left"/>
              <w:rPr>
                <w:snapToGrid w:val="0"/>
                <w:color w:val="000000"/>
                <w:sz w:val="24"/>
                <w:szCs w:val="24"/>
                <w:highlight w:val="none"/>
                <w:lang w:eastAsia="zh-CN"/>
              </w:rPr>
            </w:pPr>
            <w:r>
              <w:rPr>
                <w:snapToGrid w:val="0"/>
                <w:color w:val="000000"/>
                <w:spacing w:val="1"/>
                <w:sz w:val="24"/>
                <w:szCs w:val="24"/>
                <w:highlight w:val="none"/>
                <w:lang w:eastAsia="zh-CN"/>
              </w:rPr>
              <w:t>高速公路，</w:t>
            </w:r>
            <w:r>
              <w:rPr>
                <w:snapToGrid w:val="0"/>
                <w:color w:val="000000"/>
                <w:sz w:val="24"/>
                <w:szCs w:val="24"/>
                <w:highlight w:val="none"/>
                <w:lang w:eastAsia="zh-CN"/>
              </w:rPr>
              <w:t xml:space="preserve"> </w:t>
            </w:r>
            <w:r>
              <w:rPr>
                <w:snapToGrid w:val="0"/>
                <w:color w:val="000000"/>
                <w:spacing w:val="-3"/>
                <w:sz w:val="24"/>
                <w:szCs w:val="24"/>
                <w:highlight w:val="none"/>
                <w:lang w:eastAsia="zh-CN"/>
              </w:rPr>
              <w:t>一、二级公路</w:t>
            </w:r>
          </w:p>
        </w:tc>
        <w:tc>
          <w:tcPr>
            <w:tcW w:w="2921" w:type="dxa"/>
            <w:vAlign w:val="center"/>
          </w:tcPr>
          <w:p w14:paraId="55435677">
            <w:pPr>
              <w:pStyle w:val="29"/>
              <w:tabs>
                <w:tab w:val="left" w:pos="0"/>
              </w:tabs>
              <w:jc w:val="center"/>
              <w:rPr>
                <w:snapToGrid w:val="0"/>
                <w:color w:val="000000"/>
                <w:sz w:val="24"/>
                <w:szCs w:val="24"/>
                <w:highlight w:val="none"/>
                <w:lang w:eastAsia="zh-CN"/>
              </w:rPr>
            </w:pPr>
            <w:r>
              <w:rPr>
                <w:snapToGrid w:val="0"/>
                <w:color w:val="000000"/>
                <w:spacing w:val="-1"/>
                <w:sz w:val="24"/>
                <w:szCs w:val="24"/>
                <w:highlight w:val="none"/>
                <w:lang w:eastAsia="zh-CN"/>
              </w:rPr>
              <w:t>Lk&gt;150m的特大桥，</w:t>
            </w:r>
            <w:r>
              <w:rPr>
                <w:snapToGrid w:val="0"/>
                <w:color w:val="000000"/>
                <w:spacing w:val="10"/>
                <w:sz w:val="24"/>
                <w:szCs w:val="24"/>
                <w:highlight w:val="none"/>
                <w:lang w:eastAsia="zh-CN"/>
              </w:rPr>
              <w:t xml:space="preserve"> </w:t>
            </w:r>
            <w:r>
              <w:rPr>
                <w:snapToGrid w:val="0"/>
                <w:color w:val="000000"/>
                <w:spacing w:val="-2"/>
                <w:sz w:val="24"/>
                <w:szCs w:val="24"/>
                <w:highlight w:val="none"/>
                <w:lang w:eastAsia="zh-CN"/>
              </w:rPr>
              <w:t>特殊结构桥梁</w:t>
            </w:r>
          </w:p>
        </w:tc>
        <w:tc>
          <w:tcPr>
            <w:tcW w:w="3168" w:type="dxa"/>
            <w:vAlign w:val="center"/>
          </w:tcPr>
          <w:p w14:paraId="2667CAEF">
            <w:pPr>
              <w:pStyle w:val="29"/>
              <w:tabs>
                <w:tab w:val="left" w:pos="0"/>
              </w:tabs>
              <w:jc w:val="left"/>
              <w:rPr>
                <w:snapToGrid w:val="0"/>
                <w:color w:val="000000"/>
                <w:sz w:val="24"/>
                <w:szCs w:val="24"/>
                <w:highlight w:val="none"/>
                <w:lang w:eastAsia="zh-CN"/>
              </w:rPr>
            </w:pPr>
            <w:r>
              <w:rPr>
                <w:snapToGrid w:val="0"/>
                <w:color w:val="000000"/>
                <w:spacing w:val="-1"/>
                <w:sz w:val="24"/>
                <w:szCs w:val="24"/>
                <w:highlight w:val="none"/>
                <w:lang w:eastAsia="zh-CN"/>
              </w:rPr>
              <w:t>L≤150m的特大桥，</w:t>
            </w:r>
            <w:r>
              <w:rPr>
                <w:snapToGrid w:val="0"/>
                <w:color w:val="000000"/>
                <w:spacing w:val="9"/>
                <w:sz w:val="24"/>
                <w:szCs w:val="24"/>
                <w:highlight w:val="none"/>
                <w:lang w:eastAsia="zh-CN"/>
              </w:rPr>
              <w:t xml:space="preserve"> </w:t>
            </w:r>
            <w:r>
              <w:rPr>
                <w:snapToGrid w:val="0"/>
                <w:color w:val="000000"/>
                <w:spacing w:val="-2"/>
                <w:sz w:val="24"/>
                <w:szCs w:val="24"/>
                <w:highlight w:val="none"/>
                <w:lang w:eastAsia="zh-CN"/>
              </w:rPr>
              <w:t>大桥、中桥、小桥</w:t>
            </w:r>
          </w:p>
        </w:tc>
        <w:tc>
          <w:tcPr>
            <w:tcW w:w="1495" w:type="dxa"/>
            <w:vAlign w:val="center"/>
          </w:tcPr>
          <w:p w14:paraId="53E18759">
            <w:pPr>
              <w:pStyle w:val="29"/>
              <w:tabs>
                <w:tab w:val="left" w:pos="0"/>
              </w:tabs>
              <w:jc w:val="left"/>
              <w:rPr>
                <w:snapToGrid w:val="0"/>
                <w:color w:val="000000"/>
                <w:sz w:val="24"/>
                <w:szCs w:val="24"/>
                <w:highlight w:val="none"/>
              </w:rPr>
            </w:pPr>
            <w:r>
              <w:rPr>
                <w:snapToGrid w:val="0"/>
                <w:color w:val="000000"/>
                <w:spacing w:val="7"/>
                <w:sz w:val="24"/>
                <w:szCs w:val="24"/>
                <w:highlight w:val="none"/>
              </w:rPr>
              <w:t>涵洞</w:t>
            </w:r>
          </w:p>
        </w:tc>
      </w:tr>
      <w:tr w14:paraId="5DC8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070" w:type="dxa"/>
            <w:vAlign w:val="center"/>
          </w:tcPr>
          <w:p w14:paraId="67BBE98F">
            <w:pPr>
              <w:pStyle w:val="29"/>
              <w:tabs>
                <w:tab w:val="left" w:pos="0"/>
              </w:tabs>
              <w:jc w:val="left"/>
              <w:rPr>
                <w:snapToGrid w:val="0"/>
                <w:color w:val="000000"/>
                <w:sz w:val="24"/>
                <w:szCs w:val="24"/>
                <w:highlight w:val="none"/>
              </w:rPr>
            </w:pPr>
            <w:r>
              <w:rPr>
                <w:snapToGrid w:val="0"/>
                <w:color w:val="000000"/>
                <w:spacing w:val="-2"/>
                <w:sz w:val="24"/>
                <w:szCs w:val="24"/>
                <w:highlight w:val="none"/>
              </w:rPr>
              <w:t>三、四级公路</w:t>
            </w:r>
          </w:p>
        </w:tc>
        <w:tc>
          <w:tcPr>
            <w:tcW w:w="2921" w:type="dxa"/>
            <w:vAlign w:val="center"/>
          </w:tcPr>
          <w:p w14:paraId="2D48E635">
            <w:pPr>
              <w:pStyle w:val="29"/>
              <w:tabs>
                <w:tab w:val="left" w:pos="0"/>
              </w:tabs>
              <w:jc w:val="center"/>
              <w:rPr>
                <w:snapToGrid w:val="0"/>
                <w:color w:val="000000"/>
                <w:sz w:val="24"/>
                <w:szCs w:val="24"/>
                <w:highlight w:val="none"/>
                <w:lang w:eastAsia="zh-CN"/>
              </w:rPr>
            </w:pPr>
            <w:r>
              <w:rPr>
                <w:snapToGrid w:val="0"/>
                <w:color w:val="000000"/>
                <w:spacing w:val="-1"/>
                <w:sz w:val="24"/>
                <w:szCs w:val="24"/>
                <w:highlight w:val="none"/>
                <w:lang w:eastAsia="zh-CN"/>
              </w:rPr>
              <w:t>Lk&gt;150m的特大桥，</w:t>
            </w:r>
            <w:r>
              <w:rPr>
                <w:snapToGrid w:val="0"/>
                <w:color w:val="000000"/>
                <w:spacing w:val="10"/>
                <w:sz w:val="24"/>
                <w:szCs w:val="24"/>
                <w:highlight w:val="none"/>
                <w:lang w:eastAsia="zh-CN"/>
              </w:rPr>
              <w:t xml:space="preserve"> </w:t>
            </w:r>
            <w:r>
              <w:rPr>
                <w:snapToGrid w:val="0"/>
                <w:color w:val="000000"/>
                <w:spacing w:val="-2"/>
                <w:sz w:val="24"/>
                <w:szCs w:val="24"/>
                <w:highlight w:val="none"/>
                <w:lang w:eastAsia="zh-CN"/>
              </w:rPr>
              <w:t>特殊结构桥梁</w:t>
            </w:r>
          </w:p>
        </w:tc>
        <w:tc>
          <w:tcPr>
            <w:tcW w:w="3168" w:type="dxa"/>
            <w:vAlign w:val="center"/>
          </w:tcPr>
          <w:p w14:paraId="366D3A9D">
            <w:pPr>
              <w:pStyle w:val="29"/>
              <w:tabs>
                <w:tab w:val="left" w:pos="0"/>
              </w:tabs>
              <w:jc w:val="left"/>
              <w:rPr>
                <w:snapToGrid w:val="0"/>
                <w:color w:val="000000"/>
                <w:sz w:val="24"/>
                <w:szCs w:val="24"/>
                <w:highlight w:val="none"/>
                <w:lang w:eastAsia="zh-CN"/>
              </w:rPr>
            </w:pPr>
            <w:r>
              <w:rPr>
                <w:snapToGrid w:val="0"/>
                <w:color w:val="000000"/>
                <w:spacing w:val="-1"/>
                <w:sz w:val="24"/>
                <w:szCs w:val="24"/>
                <w:highlight w:val="none"/>
                <w:lang w:eastAsia="zh-CN"/>
              </w:rPr>
              <w:t>Lk≤150m的特大桥，大</w:t>
            </w:r>
            <w:r>
              <w:rPr>
                <w:snapToGrid w:val="0"/>
                <w:color w:val="000000"/>
                <w:spacing w:val="6"/>
                <w:sz w:val="24"/>
                <w:szCs w:val="24"/>
                <w:highlight w:val="none"/>
                <w:lang w:eastAsia="zh-CN"/>
              </w:rPr>
              <w:t xml:space="preserve"> </w:t>
            </w:r>
            <w:r>
              <w:rPr>
                <w:snapToGrid w:val="0"/>
                <w:color w:val="000000"/>
                <w:sz w:val="24"/>
                <w:szCs w:val="24"/>
                <w:highlight w:val="none"/>
                <w:lang w:eastAsia="zh-CN"/>
              </w:rPr>
              <w:t>桥</w:t>
            </w:r>
          </w:p>
        </w:tc>
        <w:tc>
          <w:tcPr>
            <w:tcW w:w="1495" w:type="dxa"/>
            <w:vAlign w:val="center"/>
          </w:tcPr>
          <w:p w14:paraId="1EE80054">
            <w:pPr>
              <w:pStyle w:val="29"/>
              <w:tabs>
                <w:tab w:val="left" w:pos="0"/>
              </w:tabs>
              <w:jc w:val="left"/>
              <w:rPr>
                <w:snapToGrid w:val="0"/>
                <w:color w:val="000000"/>
                <w:sz w:val="24"/>
                <w:szCs w:val="24"/>
                <w:highlight w:val="none"/>
              </w:rPr>
            </w:pPr>
            <w:r>
              <w:rPr>
                <w:snapToGrid w:val="0"/>
                <w:color w:val="000000"/>
                <w:spacing w:val="1"/>
                <w:sz w:val="24"/>
                <w:szCs w:val="24"/>
                <w:highlight w:val="none"/>
              </w:rPr>
              <w:t>中桥、小桥、涵洞</w:t>
            </w:r>
          </w:p>
        </w:tc>
      </w:tr>
    </w:tbl>
    <w:p w14:paraId="76519D91">
      <w:pPr>
        <w:tabs>
          <w:tab w:val="left" w:pos="0"/>
        </w:tabs>
        <w:rPr>
          <w:rFonts w:cs="宋体"/>
          <w:sz w:val="24"/>
          <w:szCs w:val="24"/>
          <w:highlight w:val="none"/>
        </w:rPr>
      </w:pPr>
    </w:p>
    <w:p w14:paraId="6EE874C9">
      <w:pPr>
        <w:spacing w:line="360" w:lineRule="auto"/>
        <w:jc w:val="center"/>
        <w:rPr>
          <w:rFonts w:hint="eastAsia" w:ascii="宋体" w:hAnsi="宋体" w:eastAsia="宋体" w:cs="宋体"/>
          <w:sz w:val="21"/>
          <w:szCs w:val="21"/>
        </w:rPr>
      </w:pPr>
      <w:r>
        <w:rPr>
          <w:rFonts w:hint="eastAsia" w:ascii="宋体" w:hAnsi="宋体" w:eastAsia="宋体" w:cs="宋体"/>
          <w:b/>
          <w:bCs/>
          <w:spacing w:val="4"/>
          <w:sz w:val="21"/>
          <w:szCs w:val="21"/>
        </w:rPr>
        <w:t>表4.2.3</w:t>
      </w:r>
      <w:r>
        <w:rPr>
          <w:rFonts w:hint="eastAsia" w:ascii="宋体" w:hAnsi="宋体" w:eastAsia="宋体" w:cs="宋体"/>
          <w:spacing w:val="4"/>
          <w:sz w:val="21"/>
          <w:szCs w:val="21"/>
        </w:rPr>
        <w:t xml:space="preserve"> </w:t>
      </w:r>
      <w:r>
        <w:rPr>
          <w:rFonts w:hint="eastAsia" w:ascii="宋体" w:hAnsi="宋体" w:eastAsia="宋体" w:cs="宋体"/>
          <w:b/>
          <w:bCs/>
          <w:spacing w:val="4"/>
          <w:sz w:val="21"/>
          <w:szCs w:val="21"/>
        </w:rPr>
        <w:t>隧道土建结构养护检查等级划分标准</w:t>
      </w:r>
    </w:p>
    <w:tbl>
      <w:tblPr>
        <w:tblStyle w:val="25"/>
        <w:tblW w:w="7975"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836"/>
        <w:gridCol w:w="2572"/>
        <w:gridCol w:w="1603"/>
        <w:gridCol w:w="964"/>
      </w:tblGrid>
      <w:tr w14:paraId="58C24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trPr>
        <w:tc>
          <w:tcPr>
            <w:tcW w:w="2836" w:type="dxa"/>
            <w:tcBorders>
              <w:top w:val="single" w:color="000000" w:sz="4" w:space="0"/>
              <w:left w:val="single" w:color="000000" w:sz="4" w:space="0"/>
              <w:bottom w:val="single" w:color="000000" w:sz="4" w:space="0"/>
              <w:right w:val="single" w:color="000000" w:sz="4" w:space="0"/>
            </w:tcBorders>
            <w:vAlign w:val="center"/>
          </w:tcPr>
          <w:p w14:paraId="1BA9AF9E">
            <w:pPr>
              <w:pStyle w:val="29"/>
              <w:tabs>
                <w:tab w:val="left" w:pos="0"/>
              </w:tabs>
              <w:snapToGrid w:val="0"/>
              <w:spacing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color w:val="000000"/>
                <w:spacing w:val="2"/>
                <w:sz w:val="21"/>
                <w:szCs w:val="21"/>
              </w:rPr>
              <w:t>养护检查等级</w:t>
            </w:r>
          </w:p>
        </w:tc>
        <w:tc>
          <w:tcPr>
            <w:tcW w:w="2572" w:type="dxa"/>
            <w:tcBorders>
              <w:top w:val="single" w:color="000000" w:sz="4" w:space="0"/>
              <w:left w:val="single" w:color="000000" w:sz="4" w:space="0"/>
              <w:bottom w:val="single" w:color="000000" w:sz="4" w:space="0"/>
              <w:right w:val="single" w:color="000000" w:sz="4" w:space="0"/>
            </w:tcBorders>
            <w:vAlign w:val="center"/>
          </w:tcPr>
          <w:p w14:paraId="0E162CEF">
            <w:pPr>
              <w:pStyle w:val="29"/>
              <w:tabs>
                <w:tab w:val="left" w:pos="0"/>
              </w:tabs>
              <w:snapToGrid w:val="0"/>
              <w:spacing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color w:val="000000"/>
                <w:spacing w:val="5"/>
                <w:sz w:val="21"/>
                <w:szCs w:val="21"/>
              </w:rPr>
              <w:t>I级</w:t>
            </w:r>
          </w:p>
        </w:tc>
        <w:tc>
          <w:tcPr>
            <w:tcW w:w="1603" w:type="dxa"/>
            <w:tcBorders>
              <w:top w:val="single" w:color="000000" w:sz="4" w:space="0"/>
              <w:left w:val="single" w:color="000000" w:sz="4" w:space="0"/>
              <w:bottom w:val="single" w:color="000000" w:sz="4" w:space="0"/>
              <w:right w:val="single" w:color="000000" w:sz="4" w:space="0"/>
            </w:tcBorders>
            <w:vAlign w:val="center"/>
          </w:tcPr>
          <w:p w14:paraId="706FF8D9">
            <w:pPr>
              <w:pStyle w:val="29"/>
              <w:tabs>
                <w:tab w:val="left" w:pos="0"/>
              </w:tabs>
              <w:snapToGrid w:val="0"/>
              <w:spacing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color w:val="000000"/>
                <w:spacing w:val="-19"/>
                <w:sz w:val="21"/>
                <w:szCs w:val="21"/>
              </w:rPr>
              <w:t>Ⅱ级</w:t>
            </w:r>
          </w:p>
        </w:tc>
        <w:tc>
          <w:tcPr>
            <w:tcW w:w="964" w:type="dxa"/>
            <w:tcBorders>
              <w:top w:val="single" w:color="000000" w:sz="4" w:space="0"/>
              <w:left w:val="single" w:color="000000" w:sz="4" w:space="0"/>
              <w:bottom w:val="single" w:color="000000" w:sz="4" w:space="0"/>
              <w:right w:val="single" w:color="000000" w:sz="4" w:space="0"/>
            </w:tcBorders>
            <w:vAlign w:val="center"/>
          </w:tcPr>
          <w:p w14:paraId="149C5BEB">
            <w:pPr>
              <w:pStyle w:val="29"/>
              <w:tabs>
                <w:tab w:val="left" w:pos="0"/>
              </w:tabs>
              <w:snapToGrid w:val="0"/>
              <w:spacing w:line="240" w:lineRule="auto"/>
              <w:ind w:left="0" w:leftChars="0" w:right="0" w:rightChars="0" w:firstLine="0" w:firstLineChars="0"/>
              <w:jc w:val="center"/>
              <w:rPr>
                <w:rFonts w:hint="eastAsia" w:ascii="宋体" w:hAnsi="宋体" w:eastAsia="宋体" w:cs="宋体"/>
                <w:b/>
                <w:color w:val="000000"/>
                <w:sz w:val="21"/>
                <w:szCs w:val="21"/>
              </w:rPr>
            </w:pPr>
            <w:r>
              <w:rPr>
                <w:rFonts w:hint="eastAsia" w:ascii="宋体" w:hAnsi="宋体" w:eastAsia="宋体" w:cs="宋体"/>
                <w:b/>
                <w:color w:val="000000"/>
                <w:spacing w:val="-2"/>
                <w:sz w:val="21"/>
                <w:szCs w:val="21"/>
              </w:rPr>
              <w:t>Ⅲ级</w:t>
            </w:r>
          </w:p>
        </w:tc>
      </w:tr>
      <w:tr w14:paraId="7A725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836" w:type="dxa"/>
            <w:tcBorders>
              <w:top w:val="single" w:color="000000" w:sz="4" w:space="0"/>
              <w:left w:val="single" w:color="000000" w:sz="4" w:space="0"/>
              <w:bottom w:val="single" w:color="000000" w:sz="4" w:space="0"/>
              <w:right w:val="single" w:color="000000" w:sz="4" w:space="0"/>
            </w:tcBorders>
            <w:vAlign w:val="center"/>
          </w:tcPr>
          <w:p w14:paraId="101A4BE4">
            <w:pPr>
              <w:pStyle w:val="29"/>
              <w:tabs>
                <w:tab w:val="left" w:pos="0"/>
              </w:tabs>
              <w:snapToGrid w:val="0"/>
              <w:spacing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color w:val="000000"/>
                <w:spacing w:val="-3"/>
                <w:sz w:val="21"/>
                <w:szCs w:val="21"/>
              </w:rPr>
              <w:t>高速公路、一级公路</w:t>
            </w:r>
          </w:p>
        </w:tc>
        <w:tc>
          <w:tcPr>
            <w:tcW w:w="2572" w:type="dxa"/>
            <w:tcBorders>
              <w:top w:val="single" w:color="000000" w:sz="4" w:space="0"/>
              <w:left w:val="single" w:color="000000" w:sz="4" w:space="0"/>
              <w:bottom w:val="single" w:color="000000" w:sz="4" w:space="0"/>
              <w:right w:val="single" w:color="000000" w:sz="4" w:space="0"/>
            </w:tcBorders>
            <w:vAlign w:val="center"/>
          </w:tcPr>
          <w:p w14:paraId="76E2359F">
            <w:pPr>
              <w:pStyle w:val="29"/>
              <w:tabs>
                <w:tab w:val="left" w:pos="0"/>
              </w:tabs>
              <w:snapToGrid w:val="0"/>
              <w:spacing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color w:val="000000"/>
                <w:spacing w:val="-1"/>
                <w:sz w:val="21"/>
                <w:szCs w:val="21"/>
              </w:rPr>
              <w:t>特长、长、中隧道</w:t>
            </w:r>
          </w:p>
        </w:tc>
        <w:tc>
          <w:tcPr>
            <w:tcW w:w="1603" w:type="dxa"/>
            <w:tcBorders>
              <w:top w:val="single" w:color="000000" w:sz="4" w:space="0"/>
              <w:left w:val="single" w:color="000000" w:sz="4" w:space="0"/>
              <w:bottom w:val="single" w:color="000000" w:sz="4" w:space="0"/>
              <w:right w:val="single" w:color="000000" w:sz="4" w:space="0"/>
            </w:tcBorders>
            <w:vAlign w:val="center"/>
          </w:tcPr>
          <w:p w14:paraId="0FEFF156">
            <w:pPr>
              <w:pStyle w:val="29"/>
              <w:tabs>
                <w:tab w:val="left" w:pos="0"/>
              </w:tabs>
              <w:snapToGrid w:val="0"/>
              <w:spacing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pacing w:val="-3"/>
                <w:sz w:val="21"/>
                <w:szCs w:val="21"/>
              </w:rPr>
              <w:t>短隧道</w:t>
            </w:r>
          </w:p>
        </w:tc>
        <w:tc>
          <w:tcPr>
            <w:tcW w:w="964" w:type="dxa"/>
            <w:tcBorders>
              <w:top w:val="single" w:color="000000" w:sz="4" w:space="0"/>
              <w:left w:val="single" w:color="000000" w:sz="4" w:space="0"/>
              <w:bottom w:val="single" w:color="000000" w:sz="4" w:space="0"/>
              <w:right w:val="single" w:color="000000" w:sz="4" w:space="0"/>
            </w:tcBorders>
            <w:vAlign w:val="center"/>
          </w:tcPr>
          <w:p w14:paraId="4CC8801F">
            <w:pPr>
              <w:pStyle w:val="29"/>
              <w:tabs>
                <w:tab w:val="left" w:pos="0"/>
              </w:tabs>
              <w:snapToGrid w:val="0"/>
              <w:spacing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position w:val="-4"/>
                <w:sz w:val="21"/>
                <w:szCs w:val="21"/>
              </w:rPr>
              <w:t>一</w:t>
            </w:r>
          </w:p>
        </w:tc>
      </w:tr>
      <w:tr w14:paraId="55C68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836" w:type="dxa"/>
            <w:tcBorders>
              <w:top w:val="single" w:color="000000" w:sz="4" w:space="0"/>
              <w:left w:val="single" w:color="000000" w:sz="4" w:space="0"/>
              <w:bottom w:val="single" w:color="000000" w:sz="4" w:space="0"/>
              <w:right w:val="single" w:color="000000" w:sz="4" w:space="0"/>
            </w:tcBorders>
            <w:vAlign w:val="center"/>
          </w:tcPr>
          <w:p w14:paraId="13A9646C">
            <w:pPr>
              <w:pStyle w:val="29"/>
              <w:tabs>
                <w:tab w:val="left" w:pos="0"/>
              </w:tabs>
              <w:snapToGrid w:val="0"/>
              <w:spacing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color w:val="000000"/>
                <w:spacing w:val="-2"/>
                <w:sz w:val="21"/>
                <w:szCs w:val="21"/>
              </w:rPr>
              <w:t>二、三、四级公路</w:t>
            </w:r>
          </w:p>
        </w:tc>
        <w:tc>
          <w:tcPr>
            <w:tcW w:w="2572" w:type="dxa"/>
            <w:tcBorders>
              <w:top w:val="single" w:color="000000" w:sz="4" w:space="0"/>
              <w:left w:val="single" w:color="000000" w:sz="4" w:space="0"/>
              <w:bottom w:val="single" w:color="000000" w:sz="4" w:space="0"/>
              <w:right w:val="single" w:color="000000" w:sz="4" w:space="0"/>
            </w:tcBorders>
            <w:vAlign w:val="center"/>
          </w:tcPr>
          <w:p w14:paraId="5D1CBCF4">
            <w:pPr>
              <w:pStyle w:val="29"/>
              <w:tabs>
                <w:tab w:val="left" w:pos="0"/>
              </w:tabs>
              <w:snapToGrid w:val="0"/>
              <w:spacing w:line="240" w:lineRule="auto"/>
              <w:ind w:left="0" w:leftChars="0" w:right="0" w:rightChars="0" w:firstLine="0" w:firstLineChars="0"/>
              <w:jc w:val="center"/>
              <w:rPr>
                <w:rFonts w:hint="eastAsia" w:ascii="宋体" w:hAnsi="宋体" w:eastAsia="宋体" w:cs="宋体"/>
                <w:color w:val="000000"/>
                <w:sz w:val="21"/>
                <w:szCs w:val="21"/>
              </w:rPr>
            </w:pPr>
            <w:r>
              <w:rPr>
                <w:rFonts w:hint="eastAsia" w:ascii="宋体" w:hAnsi="宋体" w:eastAsia="宋体" w:cs="宋体"/>
                <w:color w:val="000000"/>
                <w:spacing w:val="-2"/>
                <w:sz w:val="21"/>
                <w:szCs w:val="21"/>
              </w:rPr>
              <w:t>特长隧道</w:t>
            </w:r>
          </w:p>
        </w:tc>
        <w:tc>
          <w:tcPr>
            <w:tcW w:w="1603" w:type="dxa"/>
            <w:tcBorders>
              <w:top w:val="single" w:color="000000" w:sz="4" w:space="0"/>
              <w:left w:val="single" w:color="000000" w:sz="4" w:space="0"/>
              <w:bottom w:val="single" w:color="000000" w:sz="4" w:space="0"/>
              <w:right w:val="single" w:color="000000" w:sz="4" w:space="0"/>
            </w:tcBorders>
            <w:vAlign w:val="center"/>
          </w:tcPr>
          <w:p w14:paraId="58598406">
            <w:pPr>
              <w:pStyle w:val="29"/>
              <w:tabs>
                <w:tab w:val="left" w:pos="0"/>
              </w:tabs>
              <w:snapToGrid w:val="0"/>
              <w:spacing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pacing w:val="-2"/>
                <w:sz w:val="21"/>
                <w:szCs w:val="21"/>
              </w:rPr>
              <w:t>长、中隧道</w:t>
            </w:r>
          </w:p>
        </w:tc>
        <w:tc>
          <w:tcPr>
            <w:tcW w:w="964" w:type="dxa"/>
            <w:tcBorders>
              <w:top w:val="single" w:color="000000" w:sz="4" w:space="0"/>
              <w:left w:val="single" w:color="000000" w:sz="4" w:space="0"/>
              <w:bottom w:val="single" w:color="000000" w:sz="4" w:space="0"/>
              <w:right w:val="single" w:color="000000" w:sz="4" w:space="0"/>
            </w:tcBorders>
            <w:vAlign w:val="center"/>
          </w:tcPr>
          <w:p w14:paraId="3C5A83B7">
            <w:pPr>
              <w:pStyle w:val="29"/>
              <w:tabs>
                <w:tab w:val="left" w:pos="0"/>
              </w:tabs>
              <w:snapToGrid w:val="0"/>
              <w:spacing w:line="240" w:lineRule="auto"/>
              <w:ind w:left="0" w:leftChars="0" w:right="0" w:rightChars="0" w:firstLine="0" w:firstLineChars="0"/>
              <w:jc w:val="left"/>
              <w:rPr>
                <w:rFonts w:hint="eastAsia" w:ascii="宋体" w:hAnsi="宋体" w:eastAsia="宋体" w:cs="宋体"/>
                <w:color w:val="000000"/>
                <w:sz w:val="21"/>
                <w:szCs w:val="21"/>
              </w:rPr>
            </w:pPr>
            <w:r>
              <w:rPr>
                <w:rFonts w:hint="eastAsia" w:ascii="宋体" w:hAnsi="宋体" w:eastAsia="宋体" w:cs="宋体"/>
                <w:color w:val="000000"/>
                <w:spacing w:val="-3"/>
                <w:sz w:val="21"/>
                <w:szCs w:val="21"/>
              </w:rPr>
              <w:t>短隧道</w:t>
            </w:r>
          </w:p>
        </w:tc>
      </w:tr>
    </w:tbl>
    <w:p w14:paraId="7F0442CB">
      <w:pPr>
        <w:tabs>
          <w:tab w:val="left" w:pos="0"/>
        </w:tabs>
        <w:rPr>
          <w:rFonts w:ascii="Cambria Math" w:hAnsi="Cambria Math" w:eastAsia="Cambria Math" w:cs="Cambria Math"/>
          <w:b/>
          <w:bCs/>
          <w:spacing w:val="-4"/>
          <w:sz w:val="24"/>
          <w:szCs w:val="24"/>
          <w:highlight w:val="none"/>
        </w:rPr>
      </w:pPr>
    </w:p>
    <w:p w14:paraId="2C79347E">
      <w:pPr>
        <w:tabs>
          <w:tab w:val="left" w:pos="0"/>
        </w:tabs>
        <w:rPr>
          <w:rFonts w:hint="eastAsia" w:ascii="Cambria Math" w:hAnsi="Cambria Math" w:cs="Cambria Math" w:eastAsiaTheme="minorEastAsia"/>
          <w:b/>
          <w:bCs/>
          <w:spacing w:val="-4"/>
          <w:sz w:val="24"/>
          <w:szCs w:val="24"/>
          <w:highlight w:val="none"/>
        </w:rPr>
      </w:pPr>
      <w:r>
        <w:rPr>
          <w:rFonts w:ascii="Cambria Math" w:hAnsi="Cambria Math" w:eastAsia="Cambria Math" w:cs="Cambria Math"/>
          <w:b/>
          <w:bCs/>
          <w:spacing w:val="-4"/>
          <w:sz w:val="24"/>
          <w:szCs w:val="24"/>
          <w:highlight w:val="none"/>
        </w:rPr>
        <w:t>②</w:t>
      </w:r>
      <w:r>
        <w:rPr>
          <w:rFonts w:cs="宋体"/>
          <w:b/>
          <w:sz w:val="24"/>
          <w:szCs w:val="24"/>
          <w:highlight w:val="none"/>
        </w:rPr>
        <w:t>日常巡查</w:t>
      </w:r>
    </w:p>
    <w:p w14:paraId="5DF54B24">
      <w:pPr>
        <w:spacing w:before="116" w:line="219" w:lineRule="auto"/>
        <w:rPr>
          <w:rFonts w:ascii="宋体" w:hAnsi="宋体" w:cs="宋体"/>
          <w:sz w:val="24"/>
          <w:szCs w:val="24"/>
          <w:highlight w:val="none"/>
        </w:rPr>
      </w:pPr>
      <w:r>
        <w:rPr>
          <w:rFonts w:ascii="宋体" w:hAnsi="宋体" w:cs="宋体"/>
          <w:spacing w:val="-4"/>
          <w:sz w:val="24"/>
          <w:szCs w:val="24"/>
          <w:highlight w:val="none"/>
        </w:rPr>
        <w:t>日常巡查频率，按照表</w:t>
      </w:r>
      <w:r>
        <w:rPr>
          <w:rFonts w:ascii="宋体" w:hAnsi="宋体" w:cs="宋体"/>
          <w:spacing w:val="-38"/>
          <w:sz w:val="24"/>
          <w:szCs w:val="24"/>
          <w:highlight w:val="none"/>
        </w:rPr>
        <w:t xml:space="preserve"> </w:t>
      </w:r>
      <w:r>
        <w:rPr>
          <w:rFonts w:eastAsia="Times New Roman"/>
          <w:spacing w:val="-4"/>
          <w:sz w:val="24"/>
          <w:szCs w:val="24"/>
          <w:highlight w:val="none"/>
        </w:rPr>
        <w:t xml:space="preserve">3-3-3 </w:t>
      </w:r>
      <w:r>
        <w:rPr>
          <w:rFonts w:ascii="宋体" w:hAnsi="宋体" w:cs="宋体"/>
          <w:spacing w:val="-4"/>
          <w:sz w:val="24"/>
          <w:szCs w:val="24"/>
          <w:highlight w:val="none"/>
        </w:rPr>
        <w:t>执行。</w:t>
      </w:r>
    </w:p>
    <w:p w14:paraId="05F3916D">
      <w:pPr>
        <w:spacing w:before="115" w:line="212" w:lineRule="auto"/>
        <w:ind w:left="3217"/>
        <w:rPr>
          <w:rFonts w:ascii="宋体" w:hAnsi="宋体" w:cs="宋体"/>
          <w:sz w:val="24"/>
          <w:szCs w:val="24"/>
          <w:highlight w:val="none"/>
        </w:rPr>
      </w:pPr>
      <w:r>
        <w:rPr>
          <w:rFonts w:ascii="宋体" w:hAnsi="宋体" w:cs="宋体"/>
          <w:b/>
          <w:bCs/>
          <w:spacing w:val="-6"/>
          <w:sz w:val="24"/>
          <w:szCs w:val="24"/>
          <w:highlight w:val="none"/>
        </w:rPr>
        <w:t>表</w:t>
      </w:r>
      <w:r>
        <w:rPr>
          <w:rFonts w:ascii="宋体" w:hAnsi="宋体" w:cs="宋体"/>
          <w:spacing w:val="-57"/>
          <w:sz w:val="24"/>
          <w:szCs w:val="24"/>
          <w:highlight w:val="none"/>
        </w:rPr>
        <w:t xml:space="preserve"> </w:t>
      </w:r>
      <w:r>
        <w:rPr>
          <w:rFonts w:eastAsia="Times New Roman"/>
          <w:b/>
          <w:bCs/>
          <w:spacing w:val="-6"/>
          <w:sz w:val="24"/>
          <w:szCs w:val="24"/>
          <w:highlight w:val="none"/>
        </w:rPr>
        <w:t>3-3-3</w:t>
      </w:r>
      <w:r>
        <w:rPr>
          <w:rFonts w:eastAsia="Times New Roman"/>
          <w:b/>
          <w:bCs/>
          <w:spacing w:val="12"/>
          <w:sz w:val="24"/>
          <w:szCs w:val="24"/>
          <w:highlight w:val="none"/>
        </w:rPr>
        <w:t xml:space="preserve">    </w:t>
      </w:r>
      <w:r>
        <w:rPr>
          <w:rFonts w:ascii="宋体" w:hAnsi="宋体" w:cs="宋体"/>
          <w:b/>
          <w:bCs/>
          <w:spacing w:val="-6"/>
          <w:sz w:val="24"/>
          <w:szCs w:val="24"/>
          <w:highlight w:val="none"/>
        </w:rPr>
        <w:t>日常巡查频率表</w:t>
      </w:r>
    </w:p>
    <w:p w14:paraId="4A713EB2">
      <w:pPr>
        <w:tabs>
          <w:tab w:val="left" w:pos="0"/>
        </w:tabs>
        <w:jc w:val="center"/>
        <w:rPr>
          <w:rFonts w:cs="宋体"/>
          <w:sz w:val="24"/>
          <w:szCs w:val="24"/>
          <w:highlight w:val="none"/>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78"/>
        <w:gridCol w:w="2264"/>
        <w:gridCol w:w="2260"/>
        <w:gridCol w:w="2435"/>
      </w:tblGrid>
      <w:tr w14:paraId="6E03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tblHeader/>
          <w:jc w:val="center"/>
        </w:trPr>
        <w:tc>
          <w:tcPr>
            <w:tcW w:w="2078" w:type="dxa"/>
          </w:tcPr>
          <w:p w14:paraId="4F97F8D8">
            <w:pPr>
              <w:pStyle w:val="29"/>
              <w:tabs>
                <w:tab w:val="left" w:pos="0"/>
              </w:tabs>
              <w:ind w:left="0"/>
              <w:rPr>
                <w:rFonts w:hint="eastAsia" w:eastAsia="宋体"/>
                <w:snapToGrid w:val="0"/>
                <w:color w:val="000000"/>
                <w:sz w:val="24"/>
                <w:szCs w:val="24"/>
                <w:highlight w:val="none"/>
                <w:lang w:eastAsia="zh-CN"/>
              </w:rPr>
            </w:pPr>
            <w:r>
              <w:rPr>
                <w:snapToGrid w:val="0"/>
                <w:color w:val="000000"/>
                <w:spacing w:val="-2"/>
                <w:sz w:val="24"/>
                <w:szCs w:val="24"/>
                <w:highlight w:val="none"/>
              </w:rPr>
              <w:t>养护检查</w:t>
            </w:r>
            <w:r>
              <w:rPr>
                <w:rFonts w:hint="eastAsia" w:eastAsia="宋体"/>
                <w:snapToGrid w:val="0"/>
                <w:color w:val="000000"/>
                <w:spacing w:val="-2"/>
                <w:sz w:val="24"/>
                <w:szCs w:val="24"/>
                <w:highlight w:val="none"/>
                <w:lang w:val="en-US" w:eastAsia="zh-CN"/>
              </w:rPr>
              <w:t>对象</w:t>
            </w:r>
          </w:p>
        </w:tc>
        <w:tc>
          <w:tcPr>
            <w:tcW w:w="2264" w:type="dxa"/>
          </w:tcPr>
          <w:p w14:paraId="30C8E75E">
            <w:pPr>
              <w:pStyle w:val="29"/>
              <w:tabs>
                <w:tab w:val="left" w:pos="0"/>
              </w:tabs>
              <w:ind w:left="843"/>
              <w:rPr>
                <w:snapToGrid w:val="0"/>
                <w:color w:val="000000"/>
                <w:sz w:val="24"/>
                <w:szCs w:val="24"/>
                <w:highlight w:val="none"/>
              </w:rPr>
            </w:pPr>
            <w:r>
              <w:rPr>
                <w:snapToGrid w:val="0"/>
                <w:color w:val="000000"/>
                <w:spacing w:val="5"/>
                <w:sz w:val="24"/>
                <w:szCs w:val="24"/>
                <w:highlight w:val="none"/>
              </w:rPr>
              <w:t>I级</w:t>
            </w:r>
          </w:p>
        </w:tc>
        <w:tc>
          <w:tcPr>
            <w:tcW w:w="2260" w:type="dxa"/>
          </w:tcPr>
          <w:p w14:paraId="1566183E">
            <w:pPr>
              <w:pStyle w:val="29"/>
              <w:tabs>
                <w:tab w:val="left" w:pos="0"/>
              </w:tabs>
              <w:ind w:left="716"/>
              <w:rPr>
                <w:snapToGrid w:val="0"/>
                <w:color w:val="000000"/>
                <w:sz w:val="24"/>
                <w:szCs w:val="24"/>
                <w:highlight w:val="none"/>
              </w:rPr>
            </w:pPr>
            <w:r>
              <w:rPr>
                <w:snapToGrid w:val="0"/>
                <w:color w:val="000000"/>
                <w:spacing w:val="-30"/>
                <w:sz w:val="24"/>
                <w:szCs w:val="24"/>
                <w:highlight w:val="none"/>
              </w:rPr>
              <w:t>Ⅱ</w:t>
            </w:r>
            <w:r>
              <w:rPr>
                <w:snapToGrid w:val="0"/>
                <w:color w:val="000000"/>
                <w:spacing w:val="-49"/>
                <w:sz w:val="24"/>
                <w:szCs w:val="24"/>
                <w:highlight w:val="none"/>
              </w:rPr>
              <w:t xml:space="preserve"> </w:t>
            </w:r>
            <w:r>
              <w:rPr>
                <w:snapToGrid w:val="0"/>
                <w:color w:val="000000"/>
                <w:spacing w:val="-30"/>
                <w:sz w:val="24"/>
                <w:szCs w:val="24"/>
                <w:highlight w:val="none"/>
              </w:rPr>
              <w:t>级</w:t>
            </w:r>
          </w:p>
        </w:tc>
        <w:tc>
          <w:tcPr>
            <w:tcW w:w="2435" w:type="dxa"/>
          </w:tcPr>
          <w:p w14:paraId="0802BADB">
            <w:pPr>
              <w:pStyle w:val="29"/>
              <w:tabs>
                <w:tab w:val="left" w:pos="0"/>
              </w:tabs>
              <w:ind w:left="798"/>
              <w:rPr>
                <w:snapToGrid w:val="0"/>
                <w:color w:val="000000"/>
                <w:sz w:val="24"/>
                <w:szCs w:val="24"/>
                <w:highlight w:val="none"/>
              </w:rPr>
            </w:pPr>
            <w:r>
              <w:rPr>
                <w:snapToGrid w:val="0"/>
                <w:color w:val="000000"/>
                <w:spacing w:val="-2"/>
                <w:sz w:val="24"/>
                <w:szCs w:val="24"/>
                <w:highlight w:val="none"/>
              </w:rPr>
              <w:t>Ⅲ级</w:t>
            </w:r>
          </w:p>
        </w:tc>
      </w:tr>
      <w:tr w14:paraId="66F2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tblHeader/>
          <w:jc w:val="center"/>
        </w:trPr>
        <w:tc>
          <w:tcPr>
            <w:tcW w:w="2078" w:type="dxa"/>
          </w:tcPr>
          <w:p w14:paraId="4C69A843">
            <w:pPr>
              <w:pStyle w:val="29"/>
              <w:tabs>
                <w:tab w:val="left" w:pos="0"/>
              </w:tabs>
              <w:ind w:left="482"/>
              <w:rPr>
                <w:snapToGrid w:val="0"/>
                <w:color w:val="000000"/>
                <w:spacing w:val="2"/>
                <w:sz w:val="24"/>
                <w:szCs w:val="24"/>
                <w:highlight w:val="none"/>
              </w:rPr>
            </w:pPr>
            <w:r>
              <w:rPr>
                <w:snapToGrid w:val="0"/>
                <w:color w:val="000000"/>
                <w:spacing w:val="2"/>
                <w:sz w:val="24"/>
                <w:szCs w:val="24"/>
                <w:highlight w:val="none"/>
              </w:rPr>
              <w:t>日</w:t>
            </w:r>
            <w:r>
              <w:rPr>
                <w:rFonts w:hint="eastAsia" w:eastAsia="宋体"/>
                <w:snapToGrid w:val="0"/>
                <w:color w:val="000000"/>
                <w:spacing w:val="2"/>
                <w:sz w:val="24"/>
                <w:szCs w:val="24"/>
                <w:highlight w:val="none"/>
                <w:lang w:val="en-US" w:eastAsia="zh-CN"/>
              </w:rPr>
              <w:t>常</w:t>
            </w:r>
            <w:r>
              <w:rPr>
                <w:snapToGrid w:val="0"/>
                <w:color w:val="000000"/>
                <w:spacing w:val="2"/>
                <w:sz w:val="24"/>
                <w:szCs w:val="24"/>
                <w:highlight w:val="none"/>
              </w:rPr>
              <w:t>巡查</w:t>
            </w:r>
          </w:p>
          <w:p w14:paraId="795B321C">
            <w:pPr>
              <w:pStyle w:val="29"/>
              <w:tabs>
                <w:tab w:val="left" w:pos="0"/>
              </w:tabs>
              <w:ind w:left="482"/>
              <w:rPr>
                <w:rFonts w:hint="eastAsia" w:eastAsia="宋体"/>
                <w:snapToGrid w:val="0"/>
                <w:color w:val="000000"/>
                <w:sz w:val="24"/>
                <w:szCs w:val="24"/>
                <w:highlight w:val="none"/>
                <w:lang w:eastAsia="zh-CN"/>
              </w:rPr>
            </w:pPr>
            <w:r>
              <w:rPr>
                <w:rFonts w:hint="eastAsia" w:eastAsia="宋体"/>
                <w:snapToGrid w:val="0"/>
                <w:color w:val="000000"/>
                <w:spacing w:val="2"/>
                <w:sz w:val="24"/>
                <w:szCs w:val="24"/>
                <w:highlight w:val="none"/>
                <w:lang w:eastAsia="zh-CN"/>
              </w:rPr>
              <w:t>（</w:t>
            </w:r>
            <w:r>
              <w:rPr>
                <w:rFonts w:hint="eastAsia" w:eastAsia="宋体"/>
                <w:snapToGrid w:val="0"/>
                <w:color w:val="000000"/>
                <w:spacing w:val="2"/>
                <w:sz w:val="24"/>
                <w:szCs w:val="24"/>
                <w:highlight w:val="none"/>
                <w:lang w:val="en-US" w:eastAsia="zh-CN"/>
              </w:rPr>
              <w:t>日间</w:t>
            </w:r>
            <w:r>
              <w:rPr>
                <w:rFonts w:hint="eastAsia" w:eastAsia="宋体"/>
                <w:snapToGrid w:val="0"/>
                <w:color w:val="000000"/>
                <w:spacing w:val="2"/>
                <w:sz w:val="24"/>
                <w:szCs w:val="24"/>
                <w:highlight w:val="none"/>
                <w:lang w:eastAsia="zh-CN"/>
              </w:rPr>
              <w:t>）</w:t>
            </w:r>
          </w:p>
        </w:tc>
        <w:tc>
          <w:tcPr>
            <w:tcW w:w="2264" w:type="dxa"/>
          </w:tcPr>
          <w:p w14:paraId="2D79F632">
            <w:pPr>
              <w:pStyle w:val="29"/>
              <w:tabs>
                <w:tab w:val="left" w:pos="0"/>
              </w:tabs>
              <w:ind w:left="704"/>
              <w:rPr>
                <w:snapToGrid w:val="0"/>
                <w:color w:val="000000"/>
                <w:sz w:val="24"/>
                <w:szCs w:val="24"/>
                <w:highlight w:val="none"/>
              </w:rPr>
            </w:pPr>
            <w:r>
              <w:rPr>
                <w:snapToGrid w:val="0"/>
                <w:color w:val="000000"/>
                <w:spacing w:val="8"/>
                <w:sz w:val="24"/>
                <w:szCs w:val="24"/>
                <w:highlight w:val="none"/>
              </w:rPr>
              <w:t>1次/日</w:t>
            </w:r>
          </w:p>
        </w:tc>
        <w:tc>
          <w:tcPr>
            <w:tcW w:w="2260" w:type="dxa"/>
          </w:tcPr>
          <w:p w14:paraId="4E6F203A">
            <w:pPr>
              <w:pStyle w:val="29"/>
              <w:tabs>
                <w:tab w:val="left" w:pos="0"/>
              </w:tabs>
              <w:ind w:left="506"/>
              <w:rPr>
                <w:snapToGrid w:val="0"/>
                <w:color w:val="000000"/>
                <w:sz w:val="24"/>
                <w:szCs w:val="24"/>
                <w:highlight w:val="none"/>
              </w:rPr>
            </w:pPr>
            <w:r>
              <w:rPr>
                <w:snapToGrid w:val="0"/>
                <w:color w:val="000000"/>
                <w:spacing w:val="10"/>
                <w:sz w:val="24"/>
                <w:szCs w:val="24"/>
                <w:highlight w:val="none"/>
              </w:rPr>
              <w:t>1次/3日</w:t>
            </w:r>
          </w:p>
        </w:tc>
        <w:tc>
          <w:tcPr>
            <w:tcW w:w="2435" w:type="dxa"/>
          </w:tcPr>
          <w:p w14:paraId="5D93B3FE">
            <w:pPr>
              <w:pStyle w:val="29"/>
              <w:tabs>
                <w:tab w:val="left" w:pos="0"/>
              </w:tabs>
              <w:ind w:left="707"/>
              <w:rPr>
                <w:snapToGrid w:val="0"/>
                <w:color w:val="000000"/>
                <w:sz w:val="24"/>
                <w:szCs w:val="24"/>
                <w:highlight w:val="none"/>
              </w:rPr>
            </w:pPr>
            <w:r>
              <w:rPr>
                <w:snapToGrid w:val="0"/>
                <w:color w:val="000000"/>
                <w:spacing w:val="5"/>
                <w:sz w:val="24"/>
                <w:szCs w:val="24"/>
                <w:highlight w:val="none"/>
              </w:rPr>
              <w:t>1次/周</w:t>
            </w:r>
          </w:p>
        </w:tc>
      </w:tr>
      <w:tr w14:paraId="480F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tblHeader/>
          <w:jc w:val="center"/>
        </w:trPr>
        <w:tc>
          <w:tcPr>
            <w:tcW w:w="2078" w:type="dxa"/>
          </w:tcPr>
          <w:p w14:paraId="753A9133">
            <w:pPr>
              <w:pStyle w:val="29"/>
              <w:tabs>
                <w:tab w:val="left" w:pos="0"/>
              </w:tabs>
              <w:ind w:left="482"/>
              <w:rPr>
                <w:snapToGrid w:val="0"/>
                <w:color w:val="000000"/>
                <w:spacing w:val="-2"/>
                <w:sz w:val="24"/>
                <w:szCs w:val="24"/>
                <w:highlight w:val="none"/>
              </w:rPr>
            </w:pPr>
            <w:r>
              <w:rPr>
                <w:rFonts w:hint="eastAsia" w:eastAsia="宋体"/>
                <w:snapToGrid w:val="0"/>
                <w:color w:val="000000"/>
                <w:spacing w:val="-2"/>
                <w:sz w:val="24"/>
                <w:szCs w:val="24"/>
                <w:highlight w:val="none"/>
                <w:lang w:val="en-US" w:eastAsia="zh-CN"/>
              </w:rPr>
              <w:t>日常</w:t>
            </w:r>
            <w:r>
              <w:rPr>
                <w:snapToGrid w:val="0"/>
                <w:color w:val="000000"/>
                <w:spacing w:val="-2"/>
                <w:sz w:val="24"/>
                <w:szCs w:val="24"/>
                <w:highlight w:val="none"/>
              </w:rPr>
              <w:t>巡查</w:t>
            </w:r>
          </w:p>
          <w:p w14:paraId="36F487E9">
            <w:pPr>
              <w:pStyle w:val="29"/>
              <w:tabs>
                <w:tab w:val="left" w:pos="0"/>
              </w:tabs>
              <w:ind w:left="482"/>
              <w:rPr>
                <w:rFonts w:hint="eastAsia" w:eastAsia="宋体"/>
                <w:snapToGrid w:val="0"/>
                <w:color w:val="000000"/>
                <w:spacing w:val="-2"/>
                <w:sz w:val="24"/>
                <w:szCs w:val="24"/>
                <w:highlight w:val="none"/>
                <w:lang w:eastAsia="zh-CN"/>
              </w:rPr>
            </w:pPr>
            <w:r>
              <w:rPr>
                <w:rFonts w:hint="eastAsia" w:eastAsia="宋体"/>
                <w:snapToGrid w:val="0"/>
                <w:color w:val="000000"/>
                <w:spacing w:val="-2"/>
                <w:sz w:val="24"/>
                <w:szCs w:val="24"/>
                <w:highlight w:val="none"/>
                <w:lang w:eastAsia="zh-CN"/>
              </w:rPr>
              <w:t>（</w:t>
            </w:r>
            <w:r>
              <w:rPr>
                <w:rFonts w:hint="eastAsia" w:eastAsia="宋体"/>
                <w:snapToGrid w:val="0"/>
                <w:color w:val="000000"/>
                <w:spacing w:val="-2"/>
                <w:sz w:val="24"/>
                <w:szCs w:val="24"/>
                <w:highlight w:val="none"/>
                <w:lang w:val="en-US" w:eastAsia="zh-CN"/>
              </w:rPr>
              <w:t>夜间</w:t>
            </w:r>
            <w:r>
              <w:rPr>
                <w:rFonts w:hint="eastAsia" w:eastAsia="宋体"/>
                <w:snapToGrid w:val="0"/>
                <w:color w:val="000000"/>
                <w:spacing w:val="-2"/>
                <w:sz w:val="24"/>
                <w:szCs w:val="24"/>
                <w:highlight w:val="none"/>
                <w:lang w:eastAsia="zh-CN"/>
              </w:rPr>
              <w:t>）</w:t>
            </w:r>
          </w:p>
        </w:tc>
        <w:tc>
          <w:tcPr>
            <w:tcW w:w="2264" w:type="dxa"/>
          </w:tcPr>
          <w:p w14:paraId="515FA2C1">
            <w:pPr>
              <w:pStyle w:val="29"/>
              <w:tabs>
                <w:tab w:val="left" w:pos="0"/>
              </w:tabs>
              <w:ind w:left="704"/>
              <w:rPr>
                <w:snapToGrid w:val="0"/>
                <w:color w:val="000000"/>
                <w:sz w:val="24"/>
                <w:szCs w:val="24"/>
                <w:highlight w:val="none"/>
              </w:rPr>
            </w:pPr>
            <w:r>
              <w:rPr>
                <w:snapToGrid w:val="0"/>
                <w:color w:val="000000"/>
                <w:spacing w:val="9"/>
                <w:sz w:val="24"/>
                <w:szCs w:val="24"/>
                <w:highlight w:val="none"/>
              </w:rPr>
              <w:t>1次/月</w:t>
            </w:r>
          </w:p>
        </w:tc>
        <w:tc>
          <w:tcPr>
            <w:tcW w:w="2260" w:type="dxa"/>
          </w:tcPr>
          <w:p w14:paraId="2051AC08">
            <w:pPr>
              <w:pStyle w:val="29"/>
              <w:tabs>
                <w:tab w:val="left" w:pos="0"/>
              </w:tabs>
              <w:ind w:left="536"/>
              <w:rPr>
                <w:snapToGrid w:val="0"/>
                <w:color w:val="000000"/>
                <w:sz w:val="24"/>
                <w:szCs w:val="24"/>
                <w:highlight w:val="none"/>
              </w:rPr>
            </w:pPr>
            <w:r>
              <w:rPr>
                <w:snapToGrid w:val="0"/>
                <w:color w:val="000000"/>
                <w:spacing w:val="10"/>
                <w:sz w:val="24"/>
                <w:szCs w:val="24"/>
                <w:highlight w:val="none"/>
              </w:rPr>
              <w:t>1次/2月</w:t>
            </w:r>
          </w:p>
        </w:tc>
        <w:tc>
          <w:tcPr>
            <w:tcW w:w="2435" w:type="dxa"/>
          </w:tcPr>
          <w:p w14:paraId="6B1F5C18">
            <w:pPr>
              <w:pStyle w:val="29"/>
              <w:tabs>
                <w:tab w:val="left" w:pos="0"/>
              </w:tabs>
              <w:ind w:left="667"/>
              <w:rPr>
                <w:snapToGrid w:val="0"/>
                <w:color w:val="000000"/>
                <w:sz w:val="24"/>
                <w:szCs w:val="24"/>
                <w:highlight w:val="none"/>
              </w:rPr>
            </w:pPr>
            <w:r>
              <w:rPr>
                <w:snapToGrid w:val="0"/>
                <w:color w:val="000000"/>
                <w:spacing w:val="7"/>
                <w:sz w:val="24"/>
                <w:szCs w:val="24"/>
                <w:highlight w:val="none"/>
              </w:rPr>
              <w:t>1次/3月</w:t>
            </w:r>
          </w:p>
        </w:tc>
      </w:tr>
    </w:tbl>
    <w:p w14:paraId="111E04B6">
      <w:pPr>
        <w:spacing w:before="124" w:line="308" w:lineRule="auto"/>
        <w:ind w:left="535" w:right="279" w:hanging="40"/>
        <w:rPr>
          <w:rFonts w:ascii="宋体" w:hAnsi="宋体" w:cs="宋体"/>
          <w:sz w:val="24"/>
          <w:szCs w:val="24"/>
          <w:highlight w:val="none"/>
        </w:rPr>
      </w:pPr>
      <w:r>
        <w:rPr>
          <w:rFonts w:ascii="宋体" w:hAnsi="宋体" w:cs="宋体"/>
          <w:spacing w:val="-2"/>
          <w:sz w:val="24"/>
          <w:szCs w:val="24"/>
          <w:highlight w:val="none"/>
        </w:rPr>
        <w:t>若合同期内路面及桥梁、涵洞发生升级或降级，需按照对应级别调整巡查频率。</w:t>
      </w:r>
      <w:r>
        <w:rPr>
          <w:rFonts w:ascii="宋体" w:hAnsi="宋体" w:cs="宋体"/>
          <w:spacing w:val="-3"/>
          <w:sz w:val="24"/>
          <w:szCs w:val="24"/>
          <w:highlight w:val="none"/>
        </w:rPr>
        <w:t>日常巡查包含日间巡查、夜间巡查，包括下列内容：</w:t>
      </w:r>
    </w:p>
    <w:p w14:paraId="1A0057C7">
      <w:pPr>
        <w:pStyle w:val="11"/>
        <w:spacing w:line="240" w:lineRule="auto"/>
        <w:ind w:left="7" w:right="56" w:firstLine="470" w:firstLineChars="200"/>
        <w:rPr>
          <w:rFonts w:hint="default"/>
          <w:sz w:val="24"/>
          <w:szCs w:val="24"/>
          <w:highlight w:val="none"/>
          <w:u w:val="single"/>
          <w:lang w:val="en-US" w:eastAsia="zh-CN"/>
        </w:rPr>
      </w:pPr>
      <w:r>
        <w:rPr>
          <w:rFonts w:ascii="宋体" w:hAnsi="宋体" w:cs="宋体"/>
          <w:b/>
          <w:spacing w:val="-3"/>
          <w:sz w:val="24"/>
          <w:szCs w:val="24"/>
          <w:highlight w:val="none"/>
          <w:lang w:eastAsia="zh-CN"/>
        </w:rPr>
        <w:t>日间巡查要求：</w:t>
      </w:r>
      <w:r>
        <w:rPr>
          <w:spacing w:val="9"/>
          <w:sz w:val="24"/>
          <w:szCs w:val="24"/>
          <w:highlight w:val="none"/>
          <w:u w:val="single"/>
          <w:lang w:eastAsia="zh-CN"/>
        </w:rPr>
        <w:t>路基、路面、桥面系、隧道土建结构及</w:t>
      </w:r>
      <w:r>
        <w:rPr>
          <w:spacing w:val="8"/>
          <w:sz w:val="24"/>
          <w:szCs w:val="24"/>
          <w:highlight w:val="none"/>
          <w:u w:val="single"/>
          <w:lang w:eastAsia="zh-CN"/>
        </w:rPr>
        <w:t>其他工程设施、交通安全设施、机电设施、绿化与环</w:t>
      </w:r>
      <w:r>
        <w:rPr>
          <w:spacing w:val="9"/>
          <w:sz w:val="24"/>
          <w:szCs w:val="24"/>
          <w:highlight w:val="none"/>
          <w:u w:val="single"/>
          <w:lang w:eastAsia="zh-CN"/>
        </w:rPr>
        <w:t>境保护设施等是否完好整洁、使用正常，是否存在影响安全的病害、缺损及路面障碍物等其他异常情况，路侧是否存在遮挡标志和安全视距的植物和设施等。</w:t>
      </w:r>
    </w:p>
    <w:p w14:paraId="08417CB3">
      <w:pPr>
        <w:tabs>
          <w:tab w:val="left" w:pos="0"/>
        </w:tabs>
        <w:ind w:firstLine="468" w:firstLineChars="200"/>
        <w:rPr>
          <w:rFonts w:ascii="宋体" w:hAnsi="宋体" w:cs="宋体"/>
          <w:spacing w:val="-3"/>
          <w:sz w:val="24"/>
          <w:szCs w:val="24"/>
          <w:highlight w:val="none"/>
          <w:u w:val="single"/>
        </w:rPr>
      </w:pPr>
      <w:r>
        <w:rPr>
          <w:rFonts w:ascii="宋体" w:hAnsi="宋体" w:cs="宋体"/>
          <w:b/>
          <w:spacing w:val="-3"/>
          <w:sz w:val="24"/>
          <w:szCs w:val="24"/>
          <w:highlight w:val="none"/>
        </w:rPr>
        <w:t>夜间巡查要求</w:t>
      </w:r>
      <w:r>
        <w:rPr>
          <w:rFonts w:ascii="宋体" w:hAnsi="宋体" w:cs="宋体"/>
          <w:spacing w:val="-3"/>
          <w:sz w:val="24"/>
          <w:szCs w:val="24"/>
          <w:highlight w:val="none"/>
        </w:rPr>
        <w:t>：</w:t>
      </w:r>
      <w:r>
        <w:rPr>
          <w:spacing w:val="7"/>
          <w:sz w:val="24"/>
          <w:szCs w:val="24"/>
          <w:highlight w:val="none"/>
          <w:u w:val="single"/>
        </w:rPr>
        <w:t>标线和轮廓标等的夜间视认性是否满足使用要求，照明设施是否齐全完好、工作</w:t>
      </w:r>
      <w:r>
        <w:rPr>
          <w:spacing w:val="6"/>
          <w:sz w:val="24"/>
          <w:szCs w:val="24"/>
          <w:highlight w:val="none"/>
          <w:u w:val="single"/>
        </w:rPr>
        <w:t>正常，</w:t>
      </w:r>
      <w:r>
        <w:rPr>
          <w:spacing w:val="8"/>
          <w:sz w:val="24"/>
          <w:szCs w:val="24"/>
          <w:highlight w:val="none"/>
          <w:u w:val="single"/>
        </w:rPr>
        <w:t>路面是否存在障碍并及时处置</w:t>
      </w:r>
      <w:r>
        <w:rPr>
          <w:rFonts w:ascii="宋体" w:hAnsi="宋体" w:cs="宋体"/>
          <w:spacing w:val="-3"/>
          <w:sz w:val="24"/>
          <w:szCs w:val="24"/>
          <w:highlight w:val="none"/>
          <w:u w:val="single"/>
        </w:rPr>
        <w:t>。</w:t>
      </w:r>
    </w:p>
    <w:p w14:paraId="3C27F7B8">
      <w:pPr>
        <w:tabs>
          <w:tab w:val="left" w:pos="0"/>
        </w:tabs>
        <w:ind w:firstLine="476" w:firstLineChars="200"/>
        <w:rPr>
          <w:rFonts w:ascii="宋体" w:hAnsi="宋体" w:cs="宋体"/>
          <w:spacing w:val="-1"/>
          <w:sz w:val="24"/>
          <w:szCs w:val="24"/>
          <w:highlight w:val="none"/>
        </w:rPr>
      </w:pPr>
      <w:r>
        <w:rPr>
          <w:rFonts w:ascii="宋体" w:hAnsi="宋体" w:cs="宋体"/>
          <w:b/>
          <w:spacing w:val="-1"/>
          <w:sz w:val="24"/>
          <w:szCs w:val="24"/>
          <w:highlight w:val="none"/>
        </w:rPr>
        <w:t>灾害天气、特殊天气巡查要求：</w:t>
      </w:r>
      <w:r>
        <w:rPr>
          <w:rFonts w:hint="eastAsia" w:ascii="宋体" w:hAnsi="宋体" w:cs="宋体"/>
          <w:b/>
          <w:spacing w:val="-1"/>
          <w:sz w:val="24"/>
          <w:szCs w:val="24"/>
          <w:highlight w:val="none"/>
          <w:u w:val="single"/>
          <w:lang w:val="en-US" w:eastAsia="zh-CN"/>
        </w:rPr>
        <w:t>按照《交通运输部关于进一步做好汛期公路安全风险管控工作的通知》文件的要求，</w:t>
      </w:r>
      <w:r>
        <w:rPr>
          <w:rFonts w:hint="eastAsia" w:ascii="宋体" w:hAnsi="宋体" w:cs="宋体"/>
          <w:spacing w:val="-1"/>
          <w:sz w:val="24"/>
          <w:szCs w:val="24"/>
          <w:highlight w:val="none"/>
          <w:u w:val="single"/>
        </w:rPr>
        <w:t>加大频率巡查，要清除路面障碍，及时组织应急处置</w:t>
      </w:r>
      <w:r>
        <w:rPr>
          <w:rFonts w:ascii="宋体" w:hAnsi="宋体" w:cs="宋体"/>
          <w:spacing w:val="-1"/>
          <w:sz w:val="24"/>
          <w:szCs w:val="24"/>
          <w:highlight w:val="none"/>
          <w:u w:val="single"/>
        </w:rPr>
        <w:t>。</w:t>
      </w:r>
    </w:p>
    <w:p w14:paraId="536CF0C3">
      <w:pPr>
        <w:spacing w:line="219" w:lineRule="auto"/>
        <w:ind w:left="496"/>
        <w:rPr>
          <w:rFonts w:ascii="宋体" w:hAnsi="宋体" w:cs="宋体"/>
          <w:sz w:val="24"/>
          <w:szCs w:val="24"/>
        </w:rPr>
      </w:pPr>
      <w:r>
        <w:rPr>
          <w:rFonts w:ascii="Cambria Math" w:hAnsi="Cambria Math" w:eastAsia="Cambria Math" w:cs="Cambria Math"/>
          <w:b/>
          <w:bCs/>
          <w:spacing w:val="-5"/>
          <w:sz w:val="24"/>
          <w:szCs w:val="24"/>
        </w:rPr>
        <w:t>③</w:t>
      </w:r>
      <w:r>
        <w:rPr>
          <w:rFonts w:ascii="宋体" w:hAnsi="宋体" w:cs="宋体"/>
          <w:b/>
          <w:bCs/>
          <w:spacing w:val="-5"/>
          <w:sz w:val="24"/>
          <w:szCs w:val="24"/>
        </w:rPr>
        <w:t>经常检查</w:t>
      </w:r>
    </w:p>
    <w:p w14:paraId="6BC3FEB5">
      <w:pPr>
        <w:spacing w:before="126" w:line="219" w:lineRule="auto"/>
        <w:ind w:left="496"/>
        <w:rPr>
          <w:rFonts w:ascii="宋体" w:hAnsi="宋体" w:cs="宋体"/>
          <w:sz w:val="24"/>
          <w:szCs w:val="24"/>
        </w:rPr>
      </w:pPr>
      <w:r>
        <w:rPr>
          <w:rFonts w:ascii="宋体" w:hAnsi="宋体" w:cs="宋体"/>
          <w:spacing w:val="-2"/>
          <w:sz w:val="24"/>
          <w:szCs w:val="24"/>
        </w:rPr>
        <w:t>经常检查频率，按照表</w:t>
      </w:r>
      <w:r>
        <w:rPr>
          <w:rFonts w:ascii="宋体" w:hAnsi="宋体" w:cs="宋体"/>
          <w:spacing w:val="-36"/>
          <w:sz w:val="24"/>
          <w:szCs w:val="24"/>
        </w:rPr>
        <w:t xml:space="preserve"> </w:t>
      </w:r>
      <w:r>
        <w:rPr>
          <w:rFonts w:eastAsia="Times New Roman"/>
          <w:spacing w:val="-2"/>
          <w:sz w:val="24"/>
          <w:szCs w:val="24"/>
        </w:rPr>
        <w:t xml:space="preserve">3-3-4 </w:t>
      </w:r>
      <w:r>
        <w:rPr>
          <w:rFonts w:ascii="宋体" w:hAnsi="宋体" w:cs="宋体"/>
          <w:spacing w:val="-2"/>
          <w:sz w:val="24"/>
          <w:szCs w:val="24"/>
        </w:rPr>
        <w:t>执行。</w:t>
      </w:r>
    </w:p>
    <w:p w14:paraId="12783297">
      <w:pPr>
        <w:spacing w:before="116" w:line="212" w:lineRule="auto"/>
        <w:ind w:left="3217"/>
        <w:rPr>
          <w:rFonts w:ascii="宋体" w:hAnsi="宋体" w:cs="宋体"/>
          <w:sz w:val="24"/>
          <w:szCs w:val="24"/>
        </w:rPr>
      </w:pPr>
      <w:r>
        <w:rPr>
          <w:rFonts w:ascii="宋体" w:hAnsi="宋体" w:cs="宋体"/>
          <w:b/>
          <w:bCs/>
          <w:spacing w:val="-2"/>
          <w:sz w:val="24"/>
          <w:szCs w:val="24"/>
        </w:rPr>
        <w:t>表</w:t>
      </w:r>
      <w:r>
        <w:rPr>
          <w:rFonts w:ascii="宋体" w:hAnsi="宋体" w:cs="宋体"/>
          <w:spacing w:val="-50"/>
          <w:sz w:val="24"/>
          <w:szCs w:val="24"/>
        </w:rPr>
        <w:t xml:space="preserve"> </w:t>
      </w:r>
      <w:r>
        <w:rPr>
          <w:rFonts w:eastAsia="Times New Roman"/>
          <w:b/>
          <w:bCs/>
          <w:spacing w:val="-2"/>
          <w:sz w:val="24"/>
          <w:szCs w:val="24"/>
        </w:rPr>
        <w:t xml:space="preserve">3-3-4    </w:t>
      </w:r>
      <w:r>
        <w:rPr>
          <w:rFonts w:ascii="宋体" w:hAnsi="宋体" w:cs="宋体"/>
          <w:b/>
          <w:bCs/>
          <w:spacing w:val="-2"/>
          <w:sz w:val="24"/>
          <w:szCs w:val="24"/>
        </w:rPr>
        <w:t>经常检查频率表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294"/>
        <w:gridCol w:w="2064"/>
        <w:gridCol w:w="2171"/>
        <w:gridCol w:w="2176"/>
      </w:tblGrid>
      <w:tr w14:paraId="0A03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2294" w:type="dxa"/>
          </w:tcPr>
          <w:p w14:paraId="2E0A3198">
            <w:pPr>
              <w:pStyle w:val="29"/>
              <w:tabs>
                <w:tab w:val="left" w:pos="0"/>
              </w:tabs>
              <w:ind w:left="535"/>
              <w:rPr>
                <w:snapToGrid w:val="0"/>
                <w:color w:val="000000"/>
                <w:sz w:val="24"/>
                <w:szCs w:val="24"/>
                <w:highlight w:val="none"/>
              </w:rPr>
            </w:pPr>
            <w:r>
              <w:rPr>
                <w:snapToGrid w:val="0"/>
                <w:color w:val="000000"/>
                <w:spacing w:val="-2"/>
                <w:sz w:val="24"/>
                <w:szCs w:val="24"/>
                <w:highlight w:val="none"/>
              </w:rPr>
              <w:t>养护检查</w:t>
            </w:r>
            <w:r>
              <w:rPr>
                <w:rFonts w:hint="eastAsia" w:eastAsia="宋体"/>
                <w:snapToGrid w:val="0"/>
                <w:color w:val="000000"/>
                <w:spacing w:val="-2"/>
                <w:sz w:val="24"/>
                <w:szCs w:val="24"/>
                <w:highlight w:val="none"/>
                <w:lang w:val="en-US" w:eastAsia="zh-CN"/>
              </w:rPr>
              <w:t>对象</w:t>
            </w:r>
          </w:p>
        </w:tc>
        <w:tc>
          <w:tcPr>
            <w:tcW w:w="2064" w:type="dxa"/>
          </w:tcPr>
          <w:p w14:paraId="5B603083">
            <w:pPr>
              <w:pStyle w:val="29"/>
              <w:tabs>
                <w:tab w:val="left" w:pos="0"/>
              </w:tabs>
              <w:ind w:left="973"/>
              <w:rPr>
                <w:snapToGrid w:val="0"/>
                <w:color w:val="000000"/>
                <w:sz w:val="24"/>
                <w:szCs w:val="24"/>
                <w:highlight w:val="none"/>
              </w:rPr>
            </w:pPr>
            <w:r>
              <w:rPr>
                <w:snapToGrid w:val="0"/>
                <w:color w:val="000000"/>
                <w:spacing w:val="3"/>
                <w:sz w:val="24"/>
                <w:szCs w:val="24"/>
                <w:highlight w:val="none"/>
              </w:rPr>
              <w:t>I级</w:t>
            </w:r>
          </w:p>
        </w:tc>
        <w:tc>
          <w:tcPr>
            <w:tcW w:w="2171" w:type="dxa"/>
          </w:tcPr>
          <w:p w14:paraId="1948573B">
            <w:pPr>
              <w:pStyle w:val="29"/>
              <w:tabs>
                <w:tab w:val="left" w:pos="0"/>
              </w:tabs>
              <w:ind w:left="915"/>
              <w:rPr>
                <w:snapToGrid w:val="0"/>
                <w:color w:val="000000"/>
                <w:sz w:val="24"/>
                <w:szCs w:val="24"/>
                <w:highlight w:val="none"/>
              </w:rPr>
            </w:pPr>
            <w:r>
              <w:rPr>
                <w:snapToGrid w:val="0"/>
                <w:color w:val="000000"/>
                <w:spacing w:val="-21"/>
                <w:sz w:val="24"/>
                <w:szCs w:val="24"/>
                <w:highlight w:val="none"/>
              </w:rPr>
              <w:t>Ⅱ</w:t>
            </w:r>
            <w:r>
              <w:rPr>
                <w:snapToGrid w:val="0"/>
                <w:color w:val="000000"/>
                <w:spacing w:val="-32"/>
                <w:sz w:val="24"/>
                <w:szCs w:val="24"/>
                <w:highlight w:val="none"/>
              </w:rPr>
              <w:t xml:space="preserve"> </w:t>
            </w:r>
            <w:r>
              <w:rPr>
                <w:snapToGrid w:val="0"/>
                <w:color w:val="000000"/>
                <w:spacing w:val="-21"/>
                <w:sz w:val="24"/>
                <w:szCs w:val="24"/>
                <w:highlight w:val="none"/>
              </w:rPr>
              <w:t>级</w:t>
            </w:r>
          </w:p>
        </w:tc>
        <w:tc>
          <w:tcPr>
            <w:tcW w:w="2176" w:type="dxa"/>
          </w:tcPr>
          <w:p w14:paraId="64886390">
            <w:pPr>
              <w:pStyle w:val="29"/>
              <w:tabs>
                <w:tab w:val="left" w:pos="0"/>
              </w:tabs>
              <w:ind w:left="918"/>
              <w:rPr>
                <w:snapToGrid w:val="0"/>
                <w:color w:val="000000"/>
                <w:sz w:val="24"/>
                <w:szCs w:val="24"/>
                <w:highlight w:val="none"/>
              </w:rPr>
            </w:pPr>
            <w:r>
              <w:rPr>
                <w:snapToGrid w:val="0"/>
                <w:color w:val="000000"/>
                <w:spacing w:val="-2"/>
                <w:sz w:val="24"/>
                <w:szCs w:val="24"/>
                <w:highlight w:val="none"/>
              </w:rPr>
              <w:t>Ⅲ级</w:t>
            </w:r>
          </w:p>
        </w:tc>
      </w:tr>
      <w:tr w14:paraId="0918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2294" w:type="dxa"/>
          </w:tcPr>
          <w:p w14:paraId="2C24A6EC">
            <w:pPr>
              <w:pStyle w:val="29"/>
              <w:tabs>
                <w:tab w:val="left" w:pos="0"/>
              </w:tabs>
              <w:ind w:left="725"/>
              <w:rPr>
                <w:snapToGrid w:val="0"/>
                <w:color w:val="000000"/>
                <w:sz w:val="24"/>
                <w:szCs w:val="24"/>
                <w:highlight w:val="none"/>
              </w:rPr>
            </w:pPr>
            <w:r>
              <w:rPr>
                <w:snapToGrid w:val="0"/>
                <w:color w:val="000000"/>
                <w:spacing w:val="-2"/>
                <w:sz w:val="24"/>
                <w:szCs w:val="24"/>
                <w:highlight w:val="none"/>
              </w:rPr>
              <w:t>检查频率</w:t>
            </w:r>
          </w:p>
        </w:tc>
        <w:tc>
          <w:tcPr>
            <w:tcW w:w="2064" w:type="dxa"/>
          </w:tcPr>
          <w:p w14:paraId="5EAE5C80">
            <w:pPr>
              <w:pStyle w:val="29"/>
              <w:tabs>
                <w:tab w:val="left" w:pos="0"/>
              </w:tabs>
              <w:ind w:left="832"/>
              <w:rPr>
                <w:snapToGrid w:val="0"/>
                <w:color w:val="000000"/>
                <w:sz w:val="24"/>
                <w:szCs w:val="24"/>
                <w:highlight w:val="none"/>
              </w:rPr>
            </w:pPr>
            <w:r>
              <w:rPr>
                <w:snapToGrid w:val="0"/>
                <w:color w:val="000000"/>
                <w:spacing w:val="9"/>
                <w:sz w:val="24"/>
                <w:szCs w:val="24"/>
                <w:highlight w:val="none"/>
              </w:rPr>
              <w:t>1次/月</w:t>
            </w:r>
          </w:p>
        </w:tc>
        <w:tc>
          <w:tcPr>
            <w:tcW w:w="2171" w:type="dxa"/>
          </w:tcPr>
          <w:p w14:paraId="27F3C101">
            <w:pPr>
              <w:pStyle w:val="29"/>
              <w:tabs>
                <w:tab w:val="left" w:pos="0"/>
              </w:tabs>
              <w:ind w:left="776"/>
              <w:rPr>
                <w:snapToGrid w:val="0"/>
                <w:color w:val="000000"/>
                <w:sz w:val="24"/>
                <w:szCs w:val="24"/>
                <w:highlight w:val="none"/>
              </w:rPr>
            </w:pPr>
            <w:r>
              <w:rPr>
                <w:snapToGrid w:val="0"/>
                <w:color w:val="000000"/>
                <w:spacing w:val="6"/>
                <w:sz w:val="24"/>
                <w:szCs w:val="24"/>
                <w:highlight w:val="none"/>
              </w:rPr>
              <w:t>1次/2月</w:t>
            </w:r>
          </w:p>
        </w:tc>
        <w:tc>
          <w:tcPr>
            <w:tcW w:w="2176" w:type="dxa"/>
          </w:tcPr>
          <w:p w14:paraId="6994D45A">
            <w:pPr>
              <w:pStyle w:val="29"/>
              <w:tabs>
                <w:tab w:val="left" w:pos="0"/>
              </w:tabs>
              <w:ind w:left="777"/>
              <w:rPr>
                <w:snapToGrid w:val="0"/>
                <w:color w:val="000000"/>
                <w:sz w:val="24"/>
                <w:szCs w:val="24"/>
                <w:highlight w:val="none"/>
              </w:rPr>
            </w:pPr>
            <w:r>
              <w:rPr>
                <w:snapToGrid w:val="0"/>
                <w:color w:val="000000"/>
                <w:spacing w:val="6"/>
                <w:sz w:val="24"/>
                <w:szCs w:val="24"/>
                <w:highlight w:val="none"/>
              </w:rPr>
              <w:t>1次/3月</w:t>
            </w:r>
          </w:p>
        </w:tc>
      </w:tr>
    </w:tbl>
    <w:p w14:paraId="151E5EB3">
      <w:pPr>
        <w:ind w:firstLine="480" w:firstLineChars="200"/>
        <w:rPr>
          <w:rFonts w:ascii="宋体" w:hAnsi="宋体" w:cs="宋体"/>
          <w:spacing w:val="-1"/>
          <w:sz w:val="24"/>
          <w:szCs w:val="24"/>
          <w:highlight w:val="green"/>
          <w:u w:val="single"/>
        </w:rPr>
      </w:pPr>
      <w:r>
        <w:rPr>
          <w:rFonts w:ascii="宋体" w:hAnsi="宋体" w:cs="宋体"/>
          <w:b/>
          <w:sz w:val="24"/>
          <w:szCs w:val="24"/>
          <w:highlight w:val="none"/>
        </w:rPr>
        <w:t>经常检查工作内容及要求</w:t>
      </w:r>
      <w:r>
        <w:rPr>
          <w:rFonts w:ascii="宋体" w:hAnsi="宋体" w:cs="宋体"/>
          <w:sz w:val="24"/>
          <w:szCs w:val="24"/>
          <w:highlight w:val="none"/>
        </w:rPr>
        <w:t>：</w:t>
      </w:r>
      <w:r>
        <w:rPr>
          <w:rFonts w:hint="eastAsia" w:ascii="宋体" w:hAnsi="宋体" w:cs="宋体"/>
          <w:sz w:val="24"/>
          <w:szCs w:val="24"/>
          <w:highlight w:val="none"/>
          <w:u w:val="single"/>
        </w:rPr>
        <w:t>路基、路面、桥涵、隧道、交通工程及沿线设施是否存在病害及隐患，使用功能是否正常，以及既有病害的发展情况等，经常检查应抵近检查</w:t>
      </w:r>
      <w:r>
        <w:rPr>
          <w:rFonts w:ascii="宋体" w:hAnsi="宋体" w:cs="宋体"/>
          <w:spacing w:val="-1"/>
          <w:sz w:val="24"/>
          <w:szCs w:val="24"/>
          <w:highlight w:val="none"/>
          <w:u w:val="single"/>
        </w:rPr>
        <w:t>。</w:t>
      </w:r>
    </w:p>
    <w:p w14:paraId="263CBA28">
      <w:pPr>
        <w:spacing w:before="104" w:line="219" w:lineRule="auto"/>
        <w:ind w:left="496"/>
        <w:rPr>
          <w:rFonts w:ascii="宋体" w:hAnsi="宋体" w:cs="宋体"/>
          <w:b/>
          <w:bCs/>
          <w:spacing w:val="-5"/>
          <w:sz w:val="24"/>
          <w:szCs w:val="24"/>
        </w:rPr>
      </w:pPr>
      <w:r>
        <w:rPr>
          <w:rFonts w:ascii="Cambria Math" w:hAnsi="Cambria Math" w:eastAsia="Cambria Math" w:cs="Cambria Math"/>
          <w:b/>
          <w:bCs/>
          <w:spacing w:val="-5"/>
          <w:sz w:val="24"/>
          <w:szCs w:val="24"/>
        </w:rPr>
        <w:t>④</w:t>
      </w:r>
      <w:r>
        <w:rPr>
          <w:rFonts w:ascii="宋体" w:hAnsi="宋体" w:cs="宋体"/>
          <w:b/>
          <w:bCs/>
          <w:spacing w:val="-5"/>
          <w:sz w:val="24"/>
          <w:szCs w:val="24"/>
        </w:rPr>
        <w:t>定期检查</w:t>
      </w:r>
    </w:p>
    <w:p w14:paraId="798DEDBC">
      <w:pPr>
        <w:spacing w:before="125" w:line="219" w:lineRule="auto"/>
        <w:ind w:left="495"/>
        <w:rPr>
          <w:rFonts w:ascii="宋体" w:hAnsi="宋体" w:cs="宋体"/>
          <w:sz w:val="24"/>
          <w:szCs w:val="24"/>
        </w:rPr>
      </w:pPr>
      <w:r>
        <w:rPr>
          <w:rFonts w:ascii="宋体" w:hAnsi="宋体" w:cs="宋体"/>
          <w:spacing w:val="-1"/>
          <w:sz w:val="24"/>
          <w:szCs w:val="24"/>
        </w:rPr>
        <w:t>养护作业单位每年需开展</w:t>
      </w:r>
      <w:r>
        <w:rPr>
          <w:rFonts w:ascii="宋体" w:hAnsi="宋体" w:cs="宋体"/>
          <w:spacing w:val="-1"/>
          <w:sz w:val="24"/>
          <w:szCs w:val="24"/>
          <w:u w:val="single"/>
        </w:rPr>
        <w:t xml:space="preserve">  </w:t>
      </w:r>
      <w:r>
        <w:rPr>
          <w:rFonts w:hint="eastAsia" w:ascii="宋体" w:hAnsi="宋体" w:cs="宋体"/>
          <w:spacing w:val="-1"/>
          <w:sz w:val="24"/>
          <w:szCs w:val="24"/>
          <w:u w:val="single"/>
        </w:rPr>
        <w:t>1</w:t>
      </w:r>
      <w:r>
        <w:rPr>
          <w:rFonts w:ascii="宋体" w:hAnsi="宋体" w:cs="宋体"/>
          <w:spacing w:val="-1"/>
          <w:sz w:val="24"/>
          <w:szCs w:val="24"/>
          <w:u w:val="single"/>
        </w:rPr>
        <w:t xml:space="preserve">   </w:t>
      </w:r>
      <w:r>
        <w:rPr>
          <w:rFonts w:ascii="宋体" w:hAnsi="宋体" w:cs="宋体"/>
          <w:spacing w:val="-105"/>
          <w:sz w:val="24"/>
          <w:szCs w:val="24"/>
        </w:rPr>
        <w:t xml:space="preserve"> </w:t>
      </w:r>
      <w:r>
        <w:rPr>
          <w:rFonts w:ascii="宋体" w:hAnsi="宋体" w:cs="宋体"/>
          <w:spacing w:val="-1"/>
          <w:sz w:val="24"/>
          <w:szCs w:val="24"/>
        </w:rPr>
        <w:t>次桥梁、涵洞定期检查。</w:t>
      </w:r>
    </w:p>
    <w:p w14:paraId="31422385">
      <w:pPr>
        <w:spacing w:before="116" w:line="219" w:lineRule="auto"/>
        <w:ind w:left="494"/>
        <w:rPr>
          <w:rFonts w:ascii="宋体" w:hAnsi="宋体" w:cs="宋体"/>
          <w:sz w:val="24"/>
          <w:szCs w:val="24"/>
          <w:highlight w:val="none"/>
          <w:u w:val="single"/>
        </w:rPr>
      </w:pPr>
      <w:r>
        <w:rPr>
          <w:rFonts w:ascii="宋体" w:hAnsi="宋体" w:cs="宋体"/>
          <w:sz w:val="24"/>
          <w:szCs w:val="24"/>
        </w:rPr>
        <w:t>桥梁定期检查工作内容及要求</w:t>
      </w:r>
      <w:r>
        <w:rPr>
          <w:rFonts w:hint="eastAsia" w:ascii="宋体" w:hAnsi="宋体" w:cs="宋体"/>
          <w:sz w:val="24"/>
          <w:szCs w:val="24"/>
        </w:rPr>
        <w:t>：</w:t>
      </w:r>
      <w:r>
        <w:rPr>
          <w:rFonts w:hint="eastAsia" w:ascii="宋体" w:hAnsi="宋体" w:cs="宋体"/>
          <w:sz w:val="24"/>
          <w:szCs w:val="24"/>
          <w:highlight w:val="none"/>
          <w:u w:val="single"/>
        </w:rPr>
        <w:t>按现行规范和</w:t>
      </w:r>
      <w:r>
        <w:rPr>
          <w:rFonts w:hint="eastAsia" w:ascii="宋体" w:hAnsi="宋体" w:cs="宋体"/>
          <w:sz w:val="24"/>
          <w:szCs w:val="24"/>
          <w:highlight w:val="none"/>
          <w:u w:val="single"/>
          <w:lang w:val="en-US" w:eastAsia="zh-CN"/>
        </w:rPr>
        <w:t>行业管理</w:t>
      </w:r>
      <w:r>
        <w:rPr>
          <w:rFonts w:hint="eastAsia" w:ascii="宋体" w:hAnsi="宋体" w:cs="宋体"/>
          <w:sz w:val="24"/>
          <w:szCs w:val="24"/>
          <w:highlight w:val="none"/>
          <w:u w:val="single"/>
        </w:rPr>
        <w:t>部门要求进行</w:t>
      </w:r>
      <w:r>
        <w:rPr>
          <w:rFonts w:ascii="宋体" w:hAnsi="宋体" w:cs="宋体"/>
          <w:spacing w:val="-1"/>
          <w:sz w:val="24"/>
          <w:szCs w:val="24"/>
          <w:highlight w:val="none"/>
          <w:u w:val="single"/>
        </w:rPr>
        <w:t>。</w:t>
      </w:r>
    </w:p>
    <w:p w14:paraId="11805C4F">
      <w:pPr>
        <w:ind w:firstLine="480" w:firstLineChars="200"/>
        <w:rPr>
          <w:rFonts w:hint="eastAsia"/>
          <w:snapToGrid w:val="0"/>
          <w:color w:val="000000"/>
          <w:sz w:val="24"/>
          <w:szCs w:val="24"/>
          <w:highlight w:val="none"/>
          <w:u w:val="single"/>
        </w:rPr>
      </w:pPr>
    </w:p>
    <w:p w14:paraId="0C90CFCA">
      <w:pPr>
        <w:spacing w:before="106" w:line="219" w:lineRule="auto"/>
        <w:ind w:left="496"/>
        <w:rPr>
          <w:rFonts w:ascii="宋体" w:hAnsi="宋体" w:cs="宋体"/>
          <w:spacing w:val="-1"/>
          <w:sz w:val="24"/>
          <w:szCs w:val="24"/>
          <w:highlight w:val="none"/>
          <w:u w:val="single"/>
        </w:rPr>
      </w:pPr>
      <w:r>
        <w:rPr>
          <w:rFonts w:ascii="宋体" w:hAnsi="宋体" w:cs="宋体"/>
          <w:sz w:val="24"/>
          <w:szCs w:val="24"/>
          <w:highlight w:val="none"/>
        </w:rPr>
        <w:t>涵洞定期检查工作内容及要求：</w:t>
      </w:r>
      <w:r>
        <w:rPr>
          <w:rFonts w:hint="eastAsia" w:ascii="宋体" w:hAnsi="宋体" w:cs="宋体"/>
          <w:sz w:val="24"/>
          <w:szCs w:val="24"/>
          <w:highlight w:val="none"/>
          <w:u w:val="single"/>
        </w:rPr>
        <w:t>按现行规范和</w:t>
      </w:r>
      <w:r>
        <w:rPr>
          <w:rFonts w:hint="eastAsia" w:ascii="宋体" w:hAnsi="宋体" w:cs="宋体"/>
          <w:sz w:val="24"/>
          <w:szCs w:val="24"/>
          <w:highlight w:val="none"/>
          <w:u w:val="single"/>
          <w:lang w:val="en-US" w:eastAsia="zh-CN"/>
        </w:rPr>
        <w:t>行业管理</w:t>
      </w:r>
      <w:r>
        <w:rPr>
          <w:rFonts w:hint="eastAsia" w:ascii="宋体" w:hAnsi="宋体" w:cs="宋体"/>
          <w:sz w:val="24"/>
          <w:szCs w:val="24"/>
          <w:highlight w:val="none"/>
          <w:u w:val="single"/>
        </w:rPr>
        <w:t>部门要求进行</w:t>
      </w:r>
      <w:r>
        <w:rPr>
          <w:rFonts w:ascii="宋体" w:hAnsi="宋体" w:cs="宋体"/>
          <w:spacing w:val="-1"/>
          <w:sz w:val="24"/>
          <w:szCs w:val="24"/>
          <w:highlight w:val="none"/>
          <w:u w:val="single"/>
        </w:rPr>
        <w:t>。</w:t>
      </w:r>
    </w:p>
    <w:p w14:paraId="5F3C3922">
      <w:pPr>
        <w:spacing w:before="106" w:line="219" w:lineRule="auto"/>
        <w:ind w:left="496"/>
        <w:rPr>
          <w:rFonts w:ascii="宋体" w:hAnsi="宋体" w:cs="宋体"/>
          <w:sz w:val="24"/>
          <w:szCs w:val="24"/>
        </w:rPr>
      </w:pPr>
      <w:r>
        <w:rPr>
          <w:rFonts w:ascii="Cambria Math" w:hAnsi="Cambria Math" w:eastAsia="Cambria Math" w:cs="Cambria Math"/>
          <w:b/>
          <w:bCs/>
          <w:spacing w:val="-5"/>
          <w:sz w:val="24"/>
          <w:szCs w:val="24"/>
        </w:rPr>
        <w:t>⑤</w:t>
      </w:r>
      <w:r>
        <w:rPr>
          <w:rFonts w:ascii="宋体" w:hAnsi="宋体" w:cs="宋体"/>
          <w:b/>
          <w:bCs/>
          <w:spacing w:val="-5"/>
          <w:sz w:val="24"/>
          <w:szCs w:val="24"/>
        </w:rPr>
        <w:t>应急检查</w:t>
      </w:r>
    </w:p>
    <w:p w14:paraId="7341ADC5">
      <w:pPr>
        <w:spacing w:line="219" w:lineRule="auto"/>
        <w:ind w:firstLine="480" w:firstLineChars="200"/>
        <w:rPr>
          <w:rFonts w:ascii="宋体" w:hAnsi="宋体" w:cs="宋体"/>
          <w:sz w:val="24"/>
          <w:szCs w:val="24"/>
          <w:highlight w:val="none"/>
        </w:rPr>
      </w:pPr>
      <w:r>
        <w:rPr>
          <w:rFonts w:ascii="宋体" w:hAnsi="宋体" w:cs="宋体"/>
          <w:sz w:val="24"/>
          <w:szCs w:val="24"/>
        </w:rPr>
        <w:t>应急检查工作内容及要求：</w:t>
      </w:r>
      <w:r>
        <w:rPr>
          <w:rFonts w:hint="eastAsia" w:ascii="宋体" w:hAnsi="宋体" w:cs="宋体"/>
          <w:sz w:val="24"/>
          <w:szCs w:val="24"/>
          <w:highlight w:val="none"/>
          <w:u w:val="single"/>
        </w:rPr>
        <w:t>对公路受损范围、基础设施损毁类型和程度、路段及路网通行条件等进行调查，必要时开展结构物承载能力和抗灾能力等专项检查、地质和水文等勘察</w:t>
      </w:r>
      <w:r>
        <w:rPr>
          <w:rFonts w:ascii="宋体" w:hAnsi="宋体" w:cs="宋体"/>
          <w:sz w:val="24"/>
          <w:szCs w:val="24"/>
          <w:highlight w:val="none"/>
          <w:u w:val="single"/>
        </w:rPr>
        <w:t xml:space="preserve"> </w:t>
      </w:r>
      <w:r>
        <w:rPr>
          <w:rFonts w:hint="eastAsia" w:ascii="宋体" w:hAnsi="宋体" w:cs="宋体"/>
          <w:sz w:val="24"/>
          <w:szCs w:val="24"/>
          <w:highlight w:val="none"/>
          <w:u w:val="single"/>
        </w:rPr>
        <w:t>。应急检查应编制应急检查报告，分析基础设施损坏状况、安全性和使用修复可行性，提出抢通、保通和抢修等应急养护工程技术方案</w:t>
      </w:r>
      <w:r>
        <w:rPr>
          <w:rFonts w:ascii="宋体" w:hAnsi="宋体" w:cs="宋体"/>
          <w:spacing w:val="-1"/>
          <w:sz w:val="24"/>
          <w:szCs w:val="24"/>
          <w:highlight w:val="none"/>
          <w:u w:val="single"/>
        </w:rPr>
        <w:t>。</w:t>
      </w:r>
    </w:p>
    <w:p w14:paraId="6395BBEF">
      <w:pPr>
        <w:spacing w:before="113" w:line="219" w:lineRule="auto"/>
        <w:ind w:left="505"/>
        <w:rPr>
          <w:rFonts w:ascii="宋体" w:hAnsi="宋体" w:cs="宋体"/>
          <w:sz w:val="24"/>
          <w:szCs w:val="24"/>
        </w:rPr>
      </w:pPr>
      <w:r>
        <w:rPr>
          <w:rFonts w:ascii="宋体" w:hAnsi="宋体" w:cs="宋体"/>
          <w:spacing w:val="-6"/>
          <w:sz w:val="24"/>
          <w:szCs w:val="24"/>
        </w:rPr>
        <w:t>（</w:t>
      </w:r>
      <w:r>
        <w:rPr>
          <w:rFonts w:eastAsia="Times New Roman"/>
          <w:spacing w:val="-6"/>
          <w:sz w:val="24"/>
          <w:szCs w:val="24"/>
        </w:rPr>
        <w:t>2</w:t>
      </w:r>
      <w:r>
        <w:rPr>
          <w:rFonts w:ascii="宋体" w:hAnsi="宋体" w:cs="宋体"/>
          <w:spacing w:val="-6"/>
          <w:sz w:val="24"/>
          <w:szCs w:val="24"/>
        </w:rPr>
        <w:t>）</w:t>
      </w:r>
      <w:r>
        <w:rPr>
          <w:rFonts w:ascii="宋体" w:hAnsi="宋体" w:cs="宋体"/>
          <w:spacing w:val="-60"/>
          <w:sz w:val="24"/>
          <w:szCs w:val="24"/>
        </w:rPr>
        <w:t xml:space="preserve"> </w:t>
      </w:r>
      <w:r>
        <w:rPr>
          <w:rFonts w:ascii="宋体" w:hAnsi="宋体" w:cs="宋体"/>
          <w:spacing w:val="-6"/>
          <w:sz w:val="24"/>
          <w:szCs w:val="24"/>
        </w:rPr>
        <w:t>日常保养（可结合项目特点，参考技术规范进行填写。）</w:t>
      </w:r>
    </w:p>
    <w:p w14:paraId="6683E2F9">
      <w:pPr>
        <w:tabs>
          <w:tab w:val="left" w:pos="0"/>
        </w:tabs>
        <w:ind w:firstLine="420"/>
        <w:rPr>
          <w:rFonts w:cs="宋体"/>
          <w:sz w:val="24"/>
          <w:szCs w:val="24"/>
        </w:rPr>
      </w:pPr>
      <w:r>
        <w:rPr>
          <w:rFonts w:ascii="宋体" w:hAnsi="宋体" w:cs="宋体"/>
          <w:spacing w:val="-3"/>
          <w:sz w:val="24"/>
          <w:szCs w:val="24"/>
        </w:rPr>
        <w:t>路基：</w:t>
      </w:r>
      <w:r>
        <w:rPr>
          <w:rFonts w:hint="eastAsia" w:ascii="宋体"/>
          <w:color w:val="auto"/>
          <w:sz w:val="24"/>
          <w:szCs w:val="24"/>
          <w:u w:val="single"/>
          <w:lang w:val="en-US" w:eastAsia="zh-CN"/>
        </w:rPr>
        <w:t>按照</w:t>
      </w:r>
      <w:r>
        <w:rPr>
          <w:rFonts w:hint="eastAsia" w:ascii="宋体"/>
          <w:color w:val="auto"/>
          <w:sz w:val="24"/>
          <w:szCs w:val="24"/>
          <w:u w:val="single"/>
        </w:rPr>
        <w:t>《公路养护技术标准》（JTG 5110－2023）</w:t>
      </w:r>
      <w:r>
        <w:rPr>
          <w:rFonts w:hint="eastAsia" w:ascii="宋体"/>
          <w:color w:val="auto"/>
          <w:sz w:val="24"/>
          <w:szCs w:val="24"/>
          <w:u w:val="single"/>
          <w:lang w:eastAsia="zh-CN"/>
        </w:rPr>
        <w:t>、</w:t>
      </w:r>
      <w:r>
        <w:rPr>
          <w:rFonts w:hint="eastAsia" w:cs="宋体" w:asciiTheme="minorEastAsia" w:hAnsiTheme="minorEastAsia" w:eastAsiaTheme="minorEastAsia"/>
          <w:sz w:val="24"/>
          <w:szCs w:val="24"/>
          <w:u w:val="single"/>
          <w:lang w:eastAsia="zh-CN"/>
        </w:rPr>
        <w:t>《广西壮族自治区桂林公路发展中心公路养护服务工作要求及考核办法》的相关要求</w:t>
      </w:r>
      <w:r>
        <w:rPr>
          <w:rFonts w:hint="eastAsia" w:ascii="宋体"/>
          <w:color w:val="auto"/>
          <w:sz w:val="24"/>
          <w:szCs w:val="24"/>
          <w:u w:val="single"/>
          <w:lang w:eastAsia="zh-CN"/>
        </w:rPr>
        <w:t>。</w:t>
      </w:r>
      <w:r>
        <w:rPr>
          <w:rFonts w:hint="eastAsia" w:ascii="宋体"/>
          <w:color w:val="auto"/>
          <w:sz w:val="24"/>
          <w:szCs w:val="24"/>
          <w:u w:val="single"/>
          <w:lang w:val="en-US" w:eastAsia="zh-CN"/>
        </w:rPr>
        <w:t xml:space="preserve">   </w:t>
      </w:r>
    </w:p>
    <w:p w14:paraId="3B040177">
      <w:pPr>
        <w:tabs>
          <w:tab w:val="left" w:pos="0"/>
        </w:tabs>
        <w:ind w:firstLine="420"/>
        <w:rPr>
          <w:rFonts w:cs="宋体"/>
          <w:sz w:val="24"/>
          <w:szCs w:val="24"/>
        </w:rPr>
      </w:pPr>
      <w:r>
        <w:rPr>
          <w:rFonts w:ascii="宋体" w:hAnsi="宋体" w:cs="宋体"/>
          <w:spacing w:val="-13"/>
          <w:sz w:val="24"/>
          <w:szCs w:val="24"/>
        </w:rPr>
        <w:t>路面：</w:t>
      </w:r>
      <w:r>
        <w:rPr>
          <w:rFonts w:hint="eastAsia" w:ascii="宋体"/>
          <w:color w:val="auto"/>
          <w:sz w:val="24"/>
          <w:szCs w:val="24"/>
          <w:u w:val="single"/>
          <w:lang w:val="en-US" w:eastAsia="zh-CN"/>
        </w:rPr>
        <w:t>按照</w:t>
      </w:r>
      <w:r>
        <w:rPr>
          <w:rFonts w:hint="eastAsia" w:ascii="宋体"/>
          <w:color w:val="auto"/>
          <w:sz w:val="24"/>
          <w:szCs w:val="24"/>
          <w:u w:val="single"/>
        </w:rPr>
        <w:t>《公路养护技术标准》（JTG 5110－2023）</w:t>
      </w:r>
      <w:r>
        <w:rPr>
          <w:rFonts w:hint="eastAsia" w:ascii="宋体"/>
          <w:color w:val="auto"/>
          <w:sz w:val="24"/>
          <w:szCs w:val="24"/>
          <w:u w:val="single"/>
          <w:lang w:eastAsia="zh-CN"/>
        </w:rPr>
        <w:t>、</w:t>
      </w:r>
      <w:r>
        <w:rPr>
          <w:rFonts w:hint="eastAsia" w:cs="宋体" w:asciiTheme="minorEastAsia" w:hAnsiTheme="minorEastAsia" w:eastAsiaTheme="minorEastAsia"/>
          <w:sz w:val="24"/>
          <w:szCs w:val="24"/>
          <w:u w:val="single"/>
          <w:lang w:eastAsia="zh-CN"/>
        </w:rPr>
        <w:t>《广西壮族自治区桂林公路发展中心公路养护服务工作要求及考核办法》的相关要求</w:t>
      </w:r>
      <w:r>
        <w:rPr>
          <w:rFonts w:hint="eastAsia" w:ascii="宋体"/>
          <w:color w:val="auto"/>
          <w:sz w:val="24"/>
          <w:szCs w:val="24"/>
          <w:u w:val="single"/>
          <w:lang w:eastAsia="zh-CN"/>
        </w:rPr>
        <w:t>。</w:t>
      </w:r>
      <w:r>
        <w:rPr>
          <w:rFonts w:hint="eastAsia" w:ascii="宋体"/>
          <w:color w:val="auto"/>
          <w:sz w:val="24"/>
          <w:szCs w:val="24"/>
          <w:u w:val="single"/>
          <w:lang w:val="en-US" w:eastAsia="zh-CN"/>
        </w:rPr>
        <w:t xml:space="preserve">   </w:t>
      </w:r>
    </w:p>
    <w:p w14:paraId="1991FEAE">
      <w:pPr>
        <w:tabs>
          <w:tab w:val="left" w:pos="0"/>
        </w:tabs>
        <w:ind w:firstLine="420"/>
        <w:rPr>
          <w:rFonts w:cs="宋体"/>
          <w:sz w:val="24"/>
          <w:szCs w:val="24"/>
        </w:rPr>
      </w:pPr>
      <w:r>
        <w:rPr>
          <w:rFonts w:ascii="宋体" w:hAnsi="宋体" w:cs="宋体"/>
          <w:sz w:val="24"/>
          <w:szCs w:val="24"/>
        </w:rPr>
        <w:t>桥梁、涵洞：</w:t>
      </w:r>
      <w:r>
        <w:rPr>
          <w:rFonts w:hint="eastAsia" w:ascii="宋体"/>
          <w:color w:val="auto"/>
          <w:sz w:val="24"/>
          <w:szCs w:val="24"/>
          <w:u w:val="single"/>
          <w:lang w:val="en-US" w:eastAsia="zh-CN"/>
        </w:rPr>
        <w:t>按照</w:t>
      </w:r>
      <w:r>
        <w:rPr>
          <w:rFonts w:hint="eastAsia" w:ascii="宋体"/>
          <w:color w:val="auto"/>
          <w:sz w:val="24"/>
          <w:szCs w:val="24"/>
          <w:u w:val="single"/>
        </w:rPr>
        <w:t>《公路养护技术标准》（JTG 5110－2023）</w:t>
      </w:r>
      <w:r>
        <w:rPr>
          <w:rFonts w:hint="eastAsia" w:ascii="宋体"/>
          <w:color w:val="auto"/>
          <w:sz w:val="24"/>
          <w:szCs w:val="24"/>
          <w:u w:val="single"/>
          <w:lang w:eastAsia="zh-CN"/>
        </w:rPr>
        <w:t>、</w:t>
      </w:r>
      <w:r>
        <w:rPr>
          <w:rFonts w:hint="eastAsia" w:cs="宋体" w:asciiTheme="minorEastAsia" w:hAnsiTheme="minorEastAsia" w:eastAsiaTheme="minorEastAsia"/>
          <w:sz w:val="24"/>
          <w:szCs w:val="24"/>
          <w:u w:val="single"/>
          <w:lang w:eastAsia="zh-CN"/>
        </w:rPr>
        <w:t>《广西壮族自治区桂林公路发展中心公路养护服务工作要求及考核办法》的相关要求</w:t>
      </w:r>
      <w:r>
        <w:rPr>
          <w:rFonts w:hint="eastAsia" w:ascii="宋体"/>
          <w:color w:val="auto"/>
          <w:sz w:val="24"/>
          <w:szCs w:val="24"/>
          <w:u w:val="single"/>
          <w:lang w:eastAsia="zh-CN"/>
        </w:rPr>
        <w:t>。</w:t>
      </w:r>
      <w:r>
        <w:rPr>
          <w:rFonts w:hint="eastAsia" w:ascii="宋体"/>
          <w:color w:val="auto"/>
          <w:sz w:val="24"/>
          <w:szCs w:val="24"/>
          <w:u w:val="single"/>
          <w:lang w:val="en-US" w:eastAsia="zh-CN"/>
        </w:rPr>
        <w:t xml:space="preserve">   </w:t>
      </w:r>
    </w:p>
    <w:p w14:paraId="3D980889">
      <w:pPr>
        <w:tabs>
          <w:tab w:val="left" w:pos="0"/>
        </w:tabs>
        <w:ind w:firstLine="420"/>
        <w:rPr>
          <w:rFonts w:cs="宋体"/>
          <w:sz w:val="24"/>
          <w:szCs w:val="24"/>
        </w:rPr>
      </w:pPr>
      <w:r>
        <w:rPr>
          <w:rFonts w:ascii="宋体" w:hAnsi="宋体" w:cs="宋体"/>
          <w:spacing w:val="-13"/>
          <w:sz w:val="24"/>
          <w:szCs w:val="24"/>
        </w:rPr>
        <w:t>隧道</w:t>
      </w:r>
      <w:r>
        <w:rPr>
          <w:rFonts w:hint="eastAsia" w:cs="宋体"/>
          <w:sz w:val="24"/>
          <w:szCs w:val="24"/>
        </w:rPr>
        <w:t>：</w:t>
      </w:r>
      <w:r>
        <w:rPr>
          <w:rFonts w:hint="eastAsia" w:ascii="宋体"/>
          <w:color w:val="auto"/>
          <w:sz w:val="24"/>
          <w:szCs w:val="24"/>
          <w:u w:val="single"/>
          <w:lang w:val="en-US" w:eastAsia="zh-CN"/>
        </w:rPr>
        <w:t>按照</w:t>
      </w:r>
      <w:r>
        <w:rPr>
          <w:rFonts w:hint="eastAsia" w:ascii="宋体"/>
          <w:color w:val="auto"/>
          <w:sz w:val="24"/>
          <w:szCs w:val="24"/>
          <w:u w:val="single"/>
        </w:rPr>
        <w:t>《公路养护技术标准》（JTG 5110－2023）</w:t>
      </w:r>
      <w:r>
        <w:rPr>
          <w:rFonts w:hint="eastAsia" w:ascii="宋体"/>
          <w:color w:val="auto"/>
          <w:sz w:val="24"/>
          <w:szCs w:val="24"/>
          <w:u w:val="single"/>
          <w:lang w:eastAsia="zh-CN"/>
        </w:rPr>
        <w:t>、</w:t>
      </w:r>
      <w:r>
        <w:rPr>
          <w:rFonts w:hint="eastAsia" w:cs="宋体" w:asciiTheme="minorEastAsia" w:hAnsiTheme="minorEastAsia" w:eastAsiaTheme="minorEastAsia"/>
          <w:sz w:val="24"/>
          <w:szCs w:val="24"/>
          <w:u w:val="single"/>
          <w:lang w:eastAsia="zh-CN"/>
        </w:rPr>
        <w:t>《广西壮族自治区桂林公路发展中心公路养护服务工作要求及考核办法》的相关要求</w:t>
      </w:r>
      <w:r>
        <w:rPr>
          <w:rFonts w:hint="eastAsia" w:ascii="宋体"/>
          <w:color w:val="auto"/>
          <w:sz w:val="24"/>
          <w:szCs w:val="24"/>
          <w:u w:val="single"/>
          <w:lang w:eastAsia="zh-CN"/>
        </w:rPr>
        <w:t>。</w:t>
      </w:r>
      <w:r>
        <w:rPr>
          <w:rFonts w:hint="eastAsia" w:ascii="宋体"/>
          <w:color w:val="auto"/>
          <w:sz w:val="24"/>
          <w:szCs w:val="24"/>
          <w:u w:val="single"/>
          <w:lang w:val="en-US" w:eastAsia="zh-CN"/>
        </w:rPr>
        <w:t xml:space="preserve">   </w:t>
      </w:r>
    </w:p>
    <w:p w14:paraId="0410F8F6">
      <w:pPr>
        <w:tabs>
          <w:tab w:val="left" w:pos="0"/>
        </w:tabs>
        <w:ind w:firstLine="468" w:firstLineChars="200"/>
        <w:rPr>
          <w:rFonts w:cs="宋体"/>
          <w:sz w:val="24"/>
          <w:szCs w:val="24"/>
        </w:rPr>
      </w:pPr>
      <w:r>
        <w:rPr>
          <w:rFonts w:ascii="宋体" w:hAnsi="宋体" w:cs="宋体"/>
          <w:spacing w:val="-3"/>
          <w:sz w:val="24"/>
          <w:szCs w:val="24"/>
        </w:rPr>
        <w:t>交通安全设施：</w:t>
      </w:r>
      <w:r>
        <w:rPr>
          <w:rFonts w:hint="eastAsia" w:ascii="宋体"/>
          <w:color w:val="auto"/>
          <w:sz w:val="24"/>
          <w:szCs w:val="24"/>
          <w:u w:val="single"/>
          <w:lang w:val="en-US" w:eastAsia="zh-CN"/>
        </w:rPr>
        <w:t>按照</w:t>
      </w:r>
      <w:r>
        <w:rPr>
          <w:rFonts w:hint="eastAsia" w:ascii="宋体"/>
          <w:color w:val="auto"/>
          <w:sz w:val="24"/>
          <w:szCs w:val="24"/>
          <w:u w:val="single"/>
        </w:rPr>
        <w:t>《公路养护技术标准》（JTG 5110－2023）</w:t>
      </w:r>
      <w:r>
        <w:rPr>
          <w:rFonts w:hint="eastAsia" w:ascii="宋体"/>
          <w:color w:val="auto"/>
          <w:sz w:val="24"/>
          <w:szCs w:val="24"/>
          <w:u w:val="single"/>
          <w:lang w:eastAsia="zh-CN"/>
        </w:rPr>
        <w:t>、</w:t>
      </w:r>
      <w:r>
        <w:rPr>
          <w:rFonts w:hint="eastAsia" w:cs="宋体" w:asciiTheme="minorEastAsia" w:hAnsiTheme="minorEastAsia" w:eastAsiaTheme="minorEastAsia"/>
          <w:sz w:val="24"/>
          <w:szCs w:val="24"/>
          <w:u w:val="single"/>
          <w:lang w:eastAsia="zh-CN"/>
        </w:rPr>
        <w:t>《广西壮族自治区桂林公路发展中心公路养护服务工作要求及考核办法》的相关要求</w:t>
      </w:r>
      <w:r>
        <w:rPr>
          <w:rFonts w:hint="eastAsia" w:ascii="宋体"/>
          <w:color w:val="auto"/>
          <w:sz w:val="24"/>
          <w:szCs w:val="24"/>
          <w:u w:val="single"/>
          <w:lang w:eastAsia="zh-CN"/>
        </w:rPr>
        <w:t>。</w:t>
      </w:r>
      <w:r>
        <w:rPr>
          <w:rFonts w:hint="eastAsia" w:ascii="宋体"/>
          <w:color w:val="auto"/>
          <w:sz w:val="24"/>
          <w:szCs w:val="24"/>
          <w:u w:val="single"/>
          <w:lang w:val="en-US" w:eastAsia="zh-CN"/>
        </w:rPr>
        <w:t xml:space="preserve">   </w:t>
      </w:r>
    </w:p>
    <w:p w14:paraId="76398F80">
      <w:pPr>
        <w:tabs>
          <w:tab w:val="left" w:pos="0"/>
        </w:tabs>
        <w:ind w:firstLine="420"/>
        <w:rPr>
          <w:rFonts w:ascii="宋体" w:hAnsi="宋体" w:cs="宋体"/>
          <w:spacing w:val="-9"/>
          <w:sz w:val="24"/>
          <w:szCs w:val="24"/>
        </w:rPr>
      </w:pPr>
      <w:r>
        <w:rPr>
          <w:rFonts w:ascii="宋体" w:hAnsi="宋体" w:cs="宋体"/>
          <w:spacing w:val="-9"/>
          <w:sz w:val="24"/>
          <w:szCs w:val="24"/>
        </w:rPr>
        <w:t>机电设施：</w:t>
      </w:r>
      <w:r>
        <w:rPr>
          <w:rFonts w:hint="eastAsia" w:ascii="宋体"/>
          <w:color w:val="auto"/>
          <w:sz w:val="24"/>
          <w:szCs w:val="24"/>
          <w:u w:val="single"/>
          <w:lang w:val="en-US" w:eastAsia="zh-CN"/>
        </w:rPr>
        <w:t>按照</w:t>
      </w:r>
      <w:r>
        <w:rPr>
          <w:rFonts w:hint="eastAsia" w:ascii="宋体"/>
          <w:color w:val="auto"/>
          <w:sz w:val="24"/>
          <w:szCs w:val="24"/>
          <w:u w:val="single"/>
        </w:rPr>
        <w:t>《公路养护技术标准》（JTG 5110－2023）</w:t>
      </w:r>
      <w:r>
        <w:rPr>
          <w:rFonts w:hint="eastAsia" w:ascii="宋体"/>
          <w:color w:val="auto"/>
          <w:sz w:val="24"/>
          <w:szCs w:val="24"/>
          <w:u w:val="single"/>
          <w:lang w:eastAsia="zh-CN"/>
        </w:rPr>
        <w:t>、</w:t>
      </w:r>
      <w:r>
        <w:rPr>
          <w:rFonts w:hint="eastAsia" w:cs="宋体" w:asciiTheme="minorEastAsia" w:hAnsiTheme="minorEastAsia" w:eastAsiaTheme="minorEastAsia"/>
          <w:sz w:val="24"/>
          <w:szCs w:val="24"/>
          <w:u w:val="single"/>
          <w:lang w:eastAsia="zh-CN"/>
        </w:rPr>
        <w:t>《广西壮族自治区桂林公路发展中心公路养护服务工作要求及考核办法》的相关要求</w:t>
      </w:r>
      <w:r>
        <w:rPr>
          <w:rFonts w:hint="eastAsia" w:ascii="宋体"/>
          <w:color w:val="auto"/>
          <w:sz w:val="24"/>
          <w:szCs w:val="24"/>
          <w:u w:val="single"/>
          <w:lang w:eastAsia="zh-CN"/>
        </w:rPr>
        <w:t>。</w:t>
      </w:r>
      <w:r>
        <w:rPr>
          <w:rFonts w:hint="eastAsia" w:ascii="宋体"/>
          <w:color w:val="auto"/>
          <w:sz w:val="24"/>
          <w:szCs w:val="24"/>
          <w:u w:val="single"/>
          <w:lang w:val="en-US" w:eastAsia="zh-CN"/>
        </w:rPr>
        <w:t xml:space="preserve">   </w:t>
      </w:r>
    </w:p>
    <w:p w14:paraId="0B357E7E">
      <w:pPr>
        <w:tabs>
          <w:tab w:val="left" w:pos="0"/>
        </w:tabs>
        <w:ind w:firstLine="420"/>
        <w:rPr>
          <w:rFonts w:cs="宋体"/>
          <w:sz w:val="24"/>
          <w:szCs w:val="24"/>
        </w:rPr>
      </w:pPr>
      <w:r>
        <w:rPr>
          <w:rFonts w:ascii="宋体" w:hAnsi="宋体" w:cs="宋体"/>
          <w:spacing w:val="-3"/>
          <w:sz w:val="24"/>
          <w:szCs w:val="24"/>
        </w:rPr>
        <w:t>管理服务设施：</w:t>
      </w:r>
      <w:r>
        <w:rPr>
          <w:rFonts w:hint="eastAsia" w:ascii="宋体"/>
          <w:color w:val="auto"/>
          <w:sz w:val="24"/>
          <w:szCs w:val="24"/>
          <w:u w:val="single"/>
          <w:lang w:val="en-US" w:eastAsia="zh-CN"/>
        </w:rPr>
        <w:t>按照</w:t>
      </w:r>
      <w:r>
        <w:rPr>
          <w:rFonts w:hint="eastAsia" w:ascii="宋体"/>
          <w:color w:val="auto"/>
          <w:sz w:val="24"/>
          <w:szCs w:val="24"/>
          <w:u w:val="single"/>
        </w:rPr>
        <w:t>《公路养护技术标准》（JTG 5110－2023）</w:t>
      </w:r>
      <w:r>
        <w:rPr>
          <w:rFonts w:hint="eastAsia" w:ascii="宋体"/>
          <w:color w:val="auto"/>
          <w:sz w:val="24"/>
          <w:szCs w:val="24"/>
          <w:u w:val="single"/>
          <w:lang w:eastAsia="zh-CN"/>
        </w:rPr>
        <w:t>、</w:t>
      </w:r>
      <w:r>
        <w:rPr>
          <w:rFonts w:hint="eastAsia" w:cs="宋体" w:asciiTheme="minorEastAsia" w:hAnsiTheme="minorEastAsia" w:eastAsiaTheme="minorEastAsia"/>
          <w:sz w:val="24"/>
          <w:szCs w:val="24"/>
          <w:u w:val="single"/>
          <w:lang w:eastAsia="zh-CN"/>
        </w:rPr>
        <w:t>《广西壮族自治区桂林公路发展中心公路养护服务工作要求及考核办法》的相关要求</w:t>
      </w:r>
      <w:r>
        <w:rPr>
          <w:rFonts w:hint="eastAsia" w:ascii="宋体"/>
          <w:color w:val="auto"/>
          <w:sz w:val="24"/>
          <w:szCs w:val="24"/>
          <w:u w:val="single"/>
          <w:lang w:eastAsia="zh-CN"/>
        </w:rPr>
        <w:t>。</w:t>
      </w:r>
      <w:r>
        <w:rPr>
          <w:rFonts w:hint="eastAsia" w:ascii="宋体"/>
          <w:color w:val="auto"/>
          <w:sz w:val="24"/>
          <w:szCs w:val="24"/>
          <w:u w:val="single"/>
          <w:lang w:val="en-US" w:eastAsia="zh-CN"/>
        </w:rPr>
        <w:t xml:space="preserve">   </w:t>
      </w:r>
    </w:p>
    <w:p w14:paraId="4D8F8E04">
      <w:pPr>
        <w:tabs>
          <w:tab w:val="left" w:pos="0"/>
        </w:tabs>
        <w:ind w:firstLine="480" w:firstLineChars="200"/>
        <w:rPr>
          <w:rFonts w:cs="宋体"/>
          <w:sz w:val="24"/>
          <w:szCs w:val="24"/>
        </w:rPr>
      </w:pPr>
    </w:p>
    <w:p w14:paraId="5B75AFAD">
      <w:pPr>
        <w:tabs>
          <w:tab w:val="left" w:pos="0"/>
        </w:tabs>
        <w:ind w:firstLine="420"/>
        <w:rPr>
          <w:rFonts w:cs="宋体"/>
          <w:sz w:val="24"/>
          <w:szCs w:val="24"/>
        </w:rPr>
      </w:pPr>
      <w:r>
        <w:rPr>
          <w:rFonts w:ascii="宋体" w:hAnsi="宋体" w:cs="宋体"/>
          <w:spacing w:val="-5"/>
          <w:sz w:val="24"/>
          <w:szCs w:val="24"/>
        </w:rPr>
        <w:t>绿化与环境保护设施：</w:t>
      </w:r>
      <w:r>
        <w:rPr>
          <w:rFonts w:hint="eastAsia" w:ascii="宋体"/>
          <w:color w:val="auto"/>
          <w:sz w:val="24"/>
          <w:szCs w:val="24"/>
          <w:u w:val="single"/>
          <w:lang w:val="en-US" w:eastAsia="zh-CN"/>
        </w:rPr>
        <w:t>按照</w:t>
      </w:r>
      <w:r>
        <w:rPr>
          <w:rFonts w:hint="eastAsia" w:ascii="宋体"/>
          <w:color w:val="auto"/>
          <w:sz w:val="24"/>
          <w:szCs w:val="24"/>
          <w:u w:val="single"/>
        </w:rPr>
        <w:t>《公路养护技术标准》（JTG 5110－2023）</w:t>
      </w:r>
      <w:r>
        <w:rPr>
          <w:rFonts w:hint="eastAsia" w:ascii="宋体"/>
          <w:color w:val="auto"/>
          <w:sz w:val="24"/>
          <w:szCs w:val="24"/>
          <w:u w:val="single"/>
          <w:lang w:eastAsia="zh-CN"/>
        </w:rPr>
        <w:t>、</w:t>
      </w:r>
      <w:r>
        <w:rPr>
          <w:rFonts w:hint="eastAsia" w:cs="宋体" w:asciiTheme="minorEastAsia" w:hAnsiTheme="minorEastAsia" w:eastAsiaTheme="minorEastAsia"/>
          <w:sz w:val="24"/>
          <w:szCs w:val="24"/>
          <w:u w:val="single"/>
          <w:lang w:eastAsia="zh-CN"/>
        </w:rPr>
        <w:t>《广西壮族自治区桂林公路发展中心公路养护服务工作要求及考核办法》的相关要求</w:t>
      </w:r>
      <w:r>
        <w:rPr>
          <w:rFonts w:hint="eastAsia" w:ascii="宋体"/>
          <w:color w:val="auto"/>
          <w:sz w:val="24"/>
          <w:szCs w:val="24"/>
          <w:u w:val="single"/>
          <w:lang w:eastAsia="zh-CN"/>
        </w:rPr>
        <w:t>。</w:t>
      </w:r>
      <w:r>
        <w:rPr>
          <w:rFonts w:hint="eastAsia" w:ascii="宋体"/>
          <w:color w:val="auto"/>
          <w:sz w:val="24"/>
          <w:szCs w:val="24"/>
          <w:u w:val="single"/>
          <w:lang w:val="en-US" w:eastAsia="zh-CN"/>
        </w:rPr>
        <w:t xml:space="preserve">   </w:t>
      </w:r>
    </w:p>
    <w:p w14:paraId="64B63DE9">
      <w:pPr>
        <w:spacing w:line="219" w:lineRule="auto"/>
        <w:ind w:left="505"/>
        <w:rPr>
          <w:rFonts w:ascii="宋体" w:hAnsi="宋体" w:cs="宋体"/>
          <w:sz w:val="24"/>
          <w:szCs w:val="24"/>
        </w:rPr>
      </w:pPr>
      <w:r>
        <w:rPr>
          <w:rFonts w:ascii="宋体" w:hAnsi="宋体" w:cs="宋体"/>
          <w:spacing w:val="-6"/>
          <w:sz w:val="24"/>
          <w:szCs w:val="24"/>
        </w:rPr>
        <w:t>（</w:t>
      </w:r>
      <w:r>
        <w:rPr>
          <w:rFonts w:eastAsia="Times New Roman"/>
          <w:spacing w:val="-6"/>
          <w:sz w:val="24"/>
          <w:szCs w:val="24"/>
        </w:rPr>
        <w:t>3</w:t>
      </w:r>
      <w:r>
        <w:rPr>
          <w:rFonts w:ascii="宋体" w:hAnsi="宋体" w:cs="宋体"/>
          <w:spacing w:val="-6"/>
          <w:sz w:val="24"/>
          <w:szCs w:val="24"/>
        </w:rPr>
        <w:t>）</w:t>
      </w:r>
      <w:r>
        <w:rPr>
          <w:rFonts w:ascii="宋体" w:hAnsi="宋体" w:cs="宋体"/>
          <w:spacing w:val="-60"/>
          <w:sz w:val="24"/>
          <w:szCs w:val="24"/>
        </w:rPr>
        <w:t xml:space="preserve"> </w:t>
      </w:r>
      <w:r>
        <w:rPr>
          <w:rFonts w:ascii="宋体" w:hAnsi="宋体" w:cs="宋体"/>
          <w:spacing w:val="-6"/>
          <w:sz w:val="24"/>
          <w:szCs w:val="24"/>
        </w:rPr>
        <w:t>日常维修</w:t>
      </w:r>
    </w:p>
    <w:p w14:paraId="13801549">
      <w:pPr>
        <w:spacing w:before="107" w:line="219" w:lineRule="auto"/>
        <w:ind w:left="496"/>
        <w:rPr>
          <w:rFonts w:ascii="宋体" w:hAnsi="宋体" w:cs="宋体"/>
          <w:sz w:val="24"/>
          <w:szCs w:val="24"/>
        </w:rPr>
      </w:pPr>
      <w:r>
        <w:rPr>
          <w:rFonts w:ascii="Cambria Math" w:hAnsi="Cambria Math" w:eastAsia="Cambria Math" w:cs="Cambria Math"/>
          <w:b/>
          <w:bCs/>
          <w:spacing w:val="-4"/>
          <w:sz w:val="24"/>
          <w:szCs w:val="24"/>
        </w:rPr>
        <w:t>①</w:t>
      </w:r>
      <w:r>
        <w:rPr>
          <w:rFonts w:ascii="宋体" w:hAnsi="宋体" w:cs="宋体"/>
          <w:b/>
          <w:bCs/>
          <w:spacing w:val="-4"/>
          <w:sz w:val="24"/>
          <w:szCs w:val="24"/>
        </w:rPr>
        <w:t>日常维修要求</w:t>
      </w:r>
    </w:p>
    <w:p w14:paraId="7F696DAF">
      <w:pPr>
        <w:tabs>
          <w:tab w:val="left" w:pos="0"/>
        </w:tabs>
        <w:ind w:firstLine="420"/>
        <w:rPr>
          <w:rFonts w:hint="eastAsia" w:ascii="宋体" w:hAnsi="宋体" w:cs="宋体"/>
          <w:sz w:val="24"/>
          <w:szCs w:val="24"/>
          <w:u w:val="single"/>
          <w:lang w:val="en-US" w:eastAsia="zh-CN"/>
        </w:rPr>
      </w:pPr>
      <w:r>
        <w:rPr>
          <w:rFonts w:ascii="宋体" w:hAnsi="宋体" w:cs="宋体"/>
          <w:sz w:val="24"/>
          <w:szCs w:val="24"/>
        </w:rPr>
        <w:t>路基维修要求：</w:t>
      </w:r>
      <w:r>
        <w:rPr>
          <w:rFonts w:hint="eastAsia" w:ascii="宋体" w:hAnsi="宋体" w:cs="宋体"/>
          <w:sz w:val="24"/>
          <w:szCs w:val="24"/>
          <w:lang w:val="en-US" w:eastAsia="zh-CN"/>
        </w:rPr>
        <w:t xml:space="preserve"> </w:t>
      </w:r>
      <w:r>
        <w:rPr>
          <w:rFonts w:hint="eastAsia" w:ascii="宋体" w:hAnsi="宋体" w:cs="宋体"/>
          <w:sz w:val="24"/>
          <w:szCs w:val="24"/>
          <w:u w:val="single"/>
          <w:lang w:val="en-US" w:eastAsia="zh-CN"/>
        </w:rPr>
        <w:t xml:space="preserve">   /   </w:t>
      </w:r>
    </w:p>
    <w:p w14:paraId="2C2822D0">
      <w:pPr>
        <w:tabs>
          <w:tab w:val="left" w:pos="0"/>
        </w:tabs>
        <w:ind w:firstLine="420"/>
        <w:rPr>
          <w:rFonts w:ascii="宋体" w:hAnsi="宋体" w:cs="宋体"/>
          <w:sz w:val="24"/>
          <w:szCs w:val="24"/>
        </w:rPr>
      </w:pPr>
      <w:r>
        <w:rPr>
          <w:rFonts w:ascii="宋体" w:hAnsi="宋体" w:cs="宋体"/>
          <w:spacing w:val="-3"/>
          <w:sz w:val="24"/>
          <w:szCs w:val="24"/>
        </w:rPr>
        <w:t>路面维修要求：</w:t>
      </w:r>
      <w:r>
        <w:rPr>
          <w:rFonts w:hint="eastAsia" w:ascii="宋体" w:hAnsi="宋体" w:cs="宋体"/>
          <w:sz w:val="24"/>
          <w:szCs w:val="24"/>
          <w:u w:val="single"/>
          <w:lang w:val="en-US" w:eastAsia="zh-CN"/>
        </w:rPr>
        <w:t xml:space="preserve">   /   </w:t>
      </w:r>
    </w:p>
    <w:p w14:paraId="30182940">
      <w:pPr>
        <w:tabs>
          <w:tab w:val="left" w:pos="0"/>
        </w:tabs>
        <w:ind w:firstLine="420"/>
        <w:rPr>
          <w:rFonts w:ascii="宋体" w:hAnsi="宋体" w:cs="宋体"/>
          <w:sz w:val="24"/>
          <w:szCs w:val="24"/>
        </w:rPr>
      </w:pPr>
      <w:r>
        <w:rPr>
          <w:rFonts w:ascii="宋体" w:hAnsi="宋体" w:cs="宋体"/>
          <w:sz w:val="24"/>
          <w:szCs w:val="24"/>
        </w:rPr>
        <w:t>桥梁、涵洞维修要求：</w:t>
      </w:r>
      <w:r>
        <w:rPr>
          <w:rFonts w:hint="eastAsia" w:ascii="宋体" w:hAnsi="宋体" w:cs="宋体"/>
          <w:sz w:val="24"/>
          <w:szCs w:val="24"/>
          <w:u w:val="single"/>
          <w:lang w:val="en-US" w:eastAsia="zh-CN"/>
        </w:rPr>
        <w:t xml:space="preserve">   /   </w:t>
      </w:r>
    </w:p>
    <w:p w14:paraId="419ABC29">
      <w:pPr>
        <w:tabs>
          <w:tab w:val="left" w:pos="0"/>
        </w:tabs>
        <w:ind w:firstLine="420"/>
        <w:rPr>
          <w:rFonts w:ascii="宋体" w:hAnsi="宋体" w:cs="宋体"/>
          <w:sz w:val="24"/>
          <w:szCs w:val="24"/>
        </w:rPr>
      </w:pPr>
      <w:r>
        <w:rPr>
          <w:rFonts w:ascii="宋体" w:hAnsi="宋体" w:cs="宋体"/>
          <w:spacing w:val="-3"/>
          <w:sz w:val="24"/>
          <w:szCs w:val="24"/>
        </w:rPr>
        <w:t>隧道维修要求：</w:t>
      </w:r>
      <w:r>
        <w:rPr>
          <w:rFonts w:hint="eastAsia" w:ascii="宋体" w:hAnsi="宋体" w:cs="宋体"/>
          <w:sz w:val="24"/>
          <w:szCs w:val="24"/>
          <w:u w:val="single"/>
          <w:lang w:val="en-US" w:eastAsia="zh-CN"/>
        </w:rPr>
        <w:t xml:space="preserve">   /   </w:t>
      </w:r>
    </w:p>
    <w:p w14:paraId="5484BED0">
      <w:pPr>
        <w:tabs>
          <w:tab w:val="left" w:pos="0"/>
        </w:tabs>
        <w:ind w:firstLine="420"/>
        <w:rPr>
          <w:rFonts w:ascii="宋体" w:hAnsi="宋体" w:cs="宋体"/>
          <w:sz w:val="24"/>
          <w:szCs w:val="24"/>
        </w:rPr>
      </w:pPr>
      <w:r>
        <w:rPr>
          <w:rFonts w:ascii="宋体" w:hAnsi="宋体" w:cs="宋体"/>
          <w:spacing w:val="-1"/>
          <w:sz w:val="24"/>
          <w:szCs w:val="24"/>
        </w:rPr>
        <w:t>交通工程及沿线设施维修要求：</w:t>
      </w:r>
      <w:r>
        <w:rPr>
          <w:rFonts w:hint="eastAsia" w:ascii="宋体" w:hAnsi="宋体" w:cs="宋体"/>
          <w:sz w:val="24"/>
          <w:szCs w:val="24"/>
          <w:u w:val="single"/>
          <w:lang w:val="en-US" w:eastAsia="zh-CN"/>
        </w:rPr>
        <w:t xml:space="preserve">   /   </w:t>
      </w:r>
    </w:p>
    <w:p w14:paraId="35548940">
      <w:pPr>
        <w:tabs>
          <w:tab w:val="left" w:pos="0"/>
        </w:tabs>
        <w:ind w:firstLine="420"/>
        <w:rPr>
          <w:rFonts w:ascii="宋体" w:hAnsi="宋体" w:cs="宋体"/>
          <w:sz w:val="24"/>
          <w:szCs w:val="24"/>
        </w:rPr>
      </w:pPr>
      <w:r>
        <w:rPr>
          <w:rFonts w:ascii="宋体" w:hAnsi="宋体" w:cs="宋体"/>
          <w:spacing w:val="-9"/>
          <w:sz w:val="24"/>
          <w:szCs w:val="24"/>
        </w:rPr>
        <w:t>绿化要求：</w:t>
      </w:r>
      <w:r>
        <w:rPr>
          <w:rFonts w:hint="eastAsia" w:ascii="宋体" w:hAnsi="宋体" w:cs="宋体"/>
          <w:sz w:val="24"/>
          <w:szCs w:val="24"/>
          <w:u w:val="single"/>
          <w:lang w:val="en-US" w:eastAsia="zh-CN"/>
        </w:rPr>
        <w:t xml:space="preserve">   /   </w:t>
      </w:r>
    </w:p>
    <w:p w14:paraId="55898A2B">
      <w:pPr>
        <w:spacing w:line="219" w:lineRule="auto"/>
        <w:ind w:left="496"/>
        <w:rPr>
          <w:rFonts w:ascii="宋体" w:hAnsi="宋体" w:cs="宋体"/>
          <w:sz w:val="24"/>
          <w:szCs w:val="24"/>
        </w:rPr>
      </w:pPr>
      <w:r>
        <w:rPr>
          <w:rFonts w:ascii="Cambria Math" w:hAnsi="Cambria Math" w:eastAsia="Cambria Math" w:cs="Cambria Math"/>
          <w:b/>
          <w:bCs/>
          <w:spacing w:val="-5"/>
          <w:sz w:val="24"/>
          <w:szCs w:val="24"/>
        </w:rPr>
        <w:t>②</w:t>
      </w:r>
      <w:r>
        <w:rPr>
          <w:rFonts w:ascii="宋体" w:hAnsi="宋体" w:cs="宋体"/>
          <w:b/>
          <w:bCs/>
          <w:spacing w:val="-5"/>
          <w:sz w:val="24"/>
          <w:szCs w:val="24"/>
        </w:rPr>
        <w:t>工作内容</w:t>
      </w:r>
    </w:p>
    <w:p w14:paraId="2B934A88">
      <w:pPr>
        <w:spacing w:before="126" w:line="219" w:lineRule="auto"/>
        <w:ind w:firstLine="468" w:firstLineChars="200"/>
        <w:rPr>
          <w:rFonts w:ascii="宋体" w:hAnsi="宋体" w:cs="宋体"/>
          <w:sz w:val="24"/>
          <w:szCs w:val="24"/>
        </w:rPr>
      </w:pPr>
      <w:r>
        <w:rPr>
          <w:rFonts w:ascii="宋体" w:hAnsi="宋体" w:cs="宋体"/>
          <w:spacing w:val="-3"/>
          <w:sz w:val="24"/>
          <w:szCs w:val="24"/>
        </w:rPr>
        <w:t>路基：</w:t>
      </w:r>
      <w:r>
        <w:rPr>
          <w:rFonts w:hint="eastAsia" w:ascii="宋体" w:hAnsi="宋体" w:cs="宋体"/>
          <w:sz w:val="24"/>
          <w:szCs w:val="24"/>
          <w:u w:val="single"/>
          <w:lang w:val="en-US" w:eastAsia="zh-CN"/>
        </w:rPr>
        <w:t xml:space="preserve">   /   </w:t>
      </w:r>
    </w:p>
    <w:p w14:paraId="6AE4CA3D">
      <w:pPr>
        <w:tabs>
          <w:tab w:val="left" w:pos="0"/>
        </w:tabs>
        <w:ind w:firstLine="420"/>
        <w:rPr>
          <w:rFonts w:cs="宋体"/>
          <w:sz w:val="24"/>
          <w:szCs w:val="24"/>
        </w:rPr>
      </w:pPr>
      <w:r>
        <w:rPr>
          <w:rFonts w:ascii="宋体" w:hAnsi="宋体" w:cs="宋体"/>
          <w:spacing w:val="-13"/>
          <w:sz w:val="24"/>
          <w:szCs w:val="24"/>
        </w:rPr>
        <w:t>路面：</w:t>
      </w:r>
      <w:r>
        <w:rPr>
          <w:rFonts w:hint="eastAsia" w:ascii="宋体" w:hAnsi="宋体" w:cs="宋体"/>
          <w:sz w:val="24"/>
          <w:szCs w:val="24"/>
          <w:u w:val="single"/>
          <w:lang w:val="en-US" w:eastAsia="zh-CN"/>
        </w:rPr>
        <w:t xml:space="preserve">   /   </w:t>
      </w:r>
    </w:p>
    <w:p w14:paraId="33FB090D">
      <w:pPr>
        <w:tabs>
          <w:tab w:val="left" w:pos="0"/>
        </w:tabs>
        <w:ind w:firstLine="420"/>
        <w:rPr>
          <w:rFonts w:cs="宋体"/>
          <w:sz w:val="24"/>
          <w:szCs w:val="24"/>
        </w:rPr>
      </w:pPr>
      <w:r>
        <w:rPr>
          <w:rFonts w:ascii="宋体" w:hAnsi="宋体" w:cs="宋体"/>
          <w:sz w:val="24"/>
          <w:szCs w:val="24"/>
        </w:rPr>
        <w:t>桥梁、涵洞：</w:t>
      </w:r>
      <w:r>
        <w:rPr>
          <w:rFonts w:hint="eastAsia" w:ascii="宋体" w:hAnsi="宋体" w:cs="宋体"/>
          <w:sz w:val="24"/>
          <w:szCs w:val="24"/>
          <w:u w:val="single"/>
          <w:lang w:val="en-US" w:eastAsia="zh-CN"/>
        </w:rPr>
        <w:t xml:space="preserve">   /   </w:t>
      </w:r>
    </w:p>
    <w:p w14:paraId="49547E05">
      <w:pPr>
        <w:tabs>
          <w:tab w:val="left" w:pos="0"/>
        </w:tabs>
        <w:ind w:firstLine="420"/>
        <w:rPr>
          <w:rFonts w:cs="宋体"/>
          <w:sz w:val="24"/>
          <w:szCs w:val="24"/>
        </w:rPr>
      </w:pPr>
      <w:r>
        <w:rPr>
          <w:rFonts w:ascii="宋体" w:hAnsi="宋体" w:cs="宋体"/>
          <w:spacing w:val="-13"/>
          <w:sz w:val="24"/>
          <w:szCs w:val="24"/>
        </w:rPr>
        <w:t>隧道：</w:t>
      </w:r>
      <w:r>
        <w:rPr>
          <w:rFonts w:hint="eastAsia" w:ascii="宋体" w:hAnsi="宋体" w:cs="宋体"/>
          <w:sz w:val="24"/>
          <w:szCs w:val="24"/>
          <w:u w:val="single"/>
          <w:lang w:val="en-US" w:eastAsia="zh-CN"/>
        </w:rPr>
        <w:t xml:space="preserve">   /   </w:t>
      </w:r>
    </w:p>
    <w:p w14:paraId="56A66E74">
      <w:pPr>
        <w:tabs>
          <w:tab w:val="left" w:pos="0"/>
        </w:tabs>
        <w:ind w:firstLine="420"/>
        <w:rPr>
          <w:rFonts w:cs="宋体"/>
          <w:sz w:val="24"/>
          <w:szCs w:val="24"/>
        </w:rPr>
      </w:pPr>
      <w:r>
        <w:rPr>
          <w:rFonts w:ascii="宋体" w:hAnsi="宋体" w:cs="宋体"/>
          <w:spacing w:val="-3"/>
          <w:sz w:val="24"/>
          <w:szCs w:val="24"/>
        </w:rPr>
        <w:t>交通安全设施：</w:t>
      </w:r>
      <w:r>
        <w:rPr>
          <w:rFonts w:hint="eastAsia" w:ascii="宋体" w:hAnsi="宋体" w:cs="宋体"/>
          <w:sz w:val="24"/>
          <w:szCs w:val="24"/>
          <w:u w:val="single"/>
          <w:lang w:val="en-US" w:eastAsia="zh-CN"/>
        </w:rPr>
        <w:t xml:space="preserve">   /   </w:t>
      </w:r>
    </w:p>
    <w:p w14:paraId="4A86B6D9">
      <w:pPr>
        <w:spacing w:line="219" w:lineRule="auto"/>
        <w:ind w:left="499"/>
        <w:rPr>
          <w:rFonts w:ascii="宋体" w:hAnsi="宋体" w:cs="宋体"/>
          <w:sz w:val="24"/>
          <w:szCs w:val="24"/>
        </w:rPr>
      </w:pPr>
      <w:r>
        <w:rPr>
          <w:rFonts w:ascii="宋体" w:hAnsi="宋体" w:cs="宋体"/>
          <w:spacing w:val="-3"/>
          <w:sz w:val="24"/>
          <w:szCs w:val="24"/>
        </w:rPr>
        <w:t>管理服务设施：</w:t>
      </w:r>
      <w:r>
        <w:rPr>
          <w:rFonts w:hint="eastAsia" w:ascii="宋体" w:hAnsi="宋体" w:cs="宋体"/>
          <w:sz w:val="24"/>
          <w:szCs w:val="24"/>
          <w:u w:val="single"/>
          <w:lang w:val="en-US" w:eastAsia="zh-CN"/>
        </w:rPr>
        <w:t xml:space="preserve">   /   </w:t>
      </w:r>
    </w:p>
    <w:p w14:paraId="05EB45C7">
      <w:pPr>
        <w:spacing w:before="78" w:line="219" w:lineRule="auto"/>
        <w:ind w:left="476"/>
        <w:rPr>
          <w:rFonts w:ascii="宋体" w:hAnsi="宋体" w:cs="宋体"/>
          <w:sz w:val="24"/>
          <w:szCs w:val="24"/>
        </w:rPr>
      </w:pPr>
      <w:r>
        <w:rPr>
          <w:rFonts w:ascii="宋体" w:hAnsi="宋体" w:cs="宋体"/>
          <w:spacing w:val="-3"/>
          <w:sz w:val="24"/>
          <w:szCs w:val="24"/>
        </w:rPr>
        <w:t>机电设施：</w:t>
      </w:r>
      <w:r>
        <w:rPr>
          <w:rFonts w:hint="eastAsia" w:ascii="宋体" w:hAnsi="宋体" w:cs="宋体"/>
          <w:sz w:val="24"/>
          <w:szCs w:val="24"/>
          <w:u w:val="single"/>
          <w:lang w:val="en-US" w:eastAsia="zh-CN"/>
        </w:rPr>
        <w:t xml:space="preserve">   /   </w:t>
      </w:r>
    </w:p>
    <w:p w14:paraId="711C11E7">
      <w:pPr>
        <w:tabs>
          <w:tab w:val="left" w:pos="0"/>
        </w:tabs>
        <w:ind w:firstLine="420"/>
        <w:rPr>
          <w:rFonts w:ascii="宋体" w:hAnsi="宋体" w:cs="宋体"/>
          <w:spacing w:val="-3"/>
          <w:sz w:val="24"/>
          <w:szCs w:val="24"/>
        </w:rPr>
      </w:pPr>
      <w:r>
        <w:rPr>
          <w:rFonts w:ascii="宋体" w:hAnsi="宋体" w:cs="宋体"/>
          <w:spacing w:val="-3"/>
          <w:sz w:val="24"/>
          <w:szCs w:val="24"/>
        </w:rPr>
        <w:t>绿化：</w:t>
      </w:r>
      <w:r>
        <w:rPr>
          <w:rFonts w:hint="eastAsia" w:ascii="宋体" w:hAnsi="宋体" w:cs="宋体"/>
          <w:sz w:val="24"/>
          <w:szCs w:val="24"/>
          <w:u w:val="single"/>
          <w:lang w:val="en-US" w:eastAsia="zh-CN"/>
        </w:rPr>
        <w:t xml:space="preserve">   /   </w:t>
      </w:r>
    </w:p>
    <w:p w14:paraId="1E78CA2C">
      <w:pPr>
        <w:spacing w:before="112" w:line="221" w:lineRule="auto"/>
        <w:ind w:left="488"/>
        <w:rPr>
          <w:rFonts w:ascii="宋体" w:hAnsi="宋体" w:cs="宋体"/>
          <w:sz w:val="24"/>
          <w:szCs w:val="24"/>
        </w:rPr>
      </w:pPr>
      <w:r>
        <w:rPr>
          <w:rFonts w:ascii="宋体" w:hAnsi="宋体" w:cs="宋体"/>
          <w:spacing w:val="-3"/>
          <w:sz w:val="24"/>
          <w:szCs w:val="24"/>
        </w:rPr>
        <w:t>（</w:t>
      </w:r>
      <w:r>
        <w:rPr>
          <w:rFonts w:eastAsia="Times New Roman"/>
          <w:spacing w:val="-3"/>
          <w:sz w:val="24"/>
          <w:szCs w:val="24"/>
        </w:rPr>
        <w:t>4</w:t>
      </w:r>
      <w:r>
        <w:rPr>
          <w:rFonts w:ascii="宋体" w:hAnsi="宋体" w:cs="宋体"/>
          <w:spacing w:val="-3"/>
          <w:sz w:val="24"/>
          <w:szCs w:val="24"/>
        </w:rPr>
        <w:t>）应急处置</w:t>
      </w:r>
      <w:r>
        <w:rPr>
          <w:rFonts w:hint="eastAsia" w:ascii="宋体" w:hAnsi="宋体" w:cs="宋体"/>
          <w:spacing w:val="-3"/>
          <w:sz w:val="24"/>
          <w:szCs w:val="24"/>
          <w:lang w:eastAsia="zh-CN"/>
        </w:rPr>
        <w:t>：</w:t>
      </w:r>
    </w:p>
    <w:p w14:paraId="3204BD9A">
      <w:pPr>
        <w:tabs>
          <w:tab w:val="left" w:pos="0"/>
        </w:tabs>
        <w:ind w:firstLine="420"/>
        <w:rPr>
          <w:rFonts w:ascii="宋体" w:hAnsi="宋体" w:cs="宋体"/>
          <w:sz w:val="24"/>
          <w:szCs w:val="24"/>
        </w:rPr>
      </w:pPr>
      <w:r>
        <w:rPr>
          <w:rFonts w:ascii="宋体" w:hAnsi="宋体" w:cs="宋体"/>
          <w:sz w:val="24"/>
          <w:szCs w:val="24"/>
        </w:rPr>
        <w:t>工作内容</w:t>
      </w:r>
      <w:r>
        <w:rPr>
          <w:rFonts w:hint="eastAsia" w:ascii="宋体" w:hAnsi="宋体" w:cs="宋体"/>
          <w:sz w:val="24"/>
          <w:szCs w:val="24"/>
          <w:lang w:val="en-US" w:eastAsia="zh-CN"/>
        </w:rPr>
        <w:t>及要求</w:t>
      </w:r>
      <w:r>
        <w:rPr>
          <w:rFonts w:ascii="宋体" w:hAnsi="宋体" w:cs="宋体"/>
          <w:sz w:val="24"/>
          <w:szCs w:val="24"/>
        </w:rPr>
        <w:t>：</w:t>
      </w:r>
      <w:r>
        <w:rPr>
          <w:rFonts w:hint="eastAsia" w:ascii="宋体" w:hAnsi="宋体" w:cs="宋体"/>
          <w:sz w:val="24"/>
          <w:szCs w:val="24"/>
          <w:u w:val="single"/>
        </w:rPr>
        <w:t>包含（但不限于）：</w:t>
      </w:r>
      <w:r>
        <w:rPr>
          <w:rFonts w:hint="eastAsia"/>
          <w:color w:val="auto"/>
          <w:sz w:val="24"/>
          <w:szCs w:val="24"/>
          <w:highlight w:val="none"/>
          <w:u w:val="single"/>
        </w:rPr>
        <w:t>清理塌方（单处＜5m³）、清理落石（单处＜0.5m³）、清理倒伏路树及危树（地径＜10cm）、防汛排水、清理路面洒落物、交通事故清障、路基路面塌陷临时处置、涉路管线倒伏隐患清理、路侧护栏损坏临时防护、桥梁涵洞隧道垮塌临时处置，以及所有公路突发事件或灾害事件的现场警示、管控、维护、值守等</w:t>
      </w:r>
      <w:r>
        <w:rPr>
          <w:rFonts w:hint="eastAsia" w:ascii="宋体" w:hAnsi="宋体" w:cs="宋体"/>
          <w:sz w:val="24"/>
          <w:szCs w:val="24"/>
          <w:u w:val="single"/>
          <w:lang w:eastAsia="zh-CN"/>
        </w:rPr>
        <w:t>。</w:t>
      </w:r>
      <w:r>
        <w:rPr>
          <w:rFonts w:hint="eastAsia" w:ascii="宋体" w:hAnsi="宋体" w:cs="宋体"/>
          <w:sz w:val="24"/>
          <w:szCs w:val="24"/>
          <w:u w:val="single"/>
        </w:rPr>
        <w:t>具有应急机构、应急预案、应急物资和设备、应急队伍，对巡查发现的应急事项或对发包人发出的应急通知应在30分钟内完成响应，一般1小时内要到达现场处置和管控，最迟不超过2小时，规范的进行区域管控和设置应急安全作业区，在保障自身安全的前提下，常规险情要在24小时内完成处置，艰险情况要配合好发包人和当地政府开展抢险救灾工作。</w:t>
      </w:r>
    </w:p>
    <w:p w14:paraId="5CCB8587">
      <w:pPr>
        <w:tabs>
          <w:tab w:val="left" w:pos="0"/>
        </w:tabs>
        <w:ind w:firstLine="420"/>
        <w:rPr>
          <w:rFonts w:hint="eastAsia" w:cs="宋体"/>
          <w:bCs/>
          <w:sz w:val="24"/>
          <w:szCs w:val="24"/>
          <w:lang w:eastAsia="zh-CN"/>
        </w:rPr>
      </w:pPr>
      <w:r>
        <w:rPr>
          <w:rFonts w:hint="eastAsia" w:cs="宋体"/>
          <w:bCs/>
          <w:sz w:val="24"/>
          <w:szCs w:val="24"/>
        </w:rPr>
        <w:t>（5）冬季除冰雪</w:t>
      </w:r>
    </w:p>
    <w:p w14:paraId="2F95CA84">
      <w:pPr>
        <w:tabs>
          <w:tab w:val="left" w:pos="0"/>
        </w:tabs>
        <w:ind w:firstLine="420"/>
        <w:rPr>
          <w:rFonts w:hint="eastAsia" w:cs="宋体"/>
          <w:bCs/>
          <w:sz w:val="24"/>
          <w:szCs w:val="24"/>
        </w:rPr>
      </w:pPr>
      <w:r>
        <w:rPr>
          <w:rFonts w:hint="eastAsia" w:cs="宋体"/>
          <w:bCs/>
          <w:sz w:val="24"/>
          <w:szCs w:val="24"/>
        </w:rPr>
        <w:t>冬季除冰雪主要内容包含：</w:t>
      </w:r>
      <w:r>
        <w:rPr>
          <w:rFonts w:hint="eastAsia" w:cs="宋体"/>
          <w:bCs/>
          <w:sz w:val="24"/>
          <w:szCs w:val="24"/>
          <w:lang w:val="en-US" w:eastAsia="zh-CN"/>
        </w:rPr>
        <w:t>撒布融雪剂、破冰融冰等费用按合同工程量清单子目计量支付，</w:t>
      </w:r>
      <w:r>
        <w:rPr>
          <w:rFonts w:hint="eastAsia" w:cs="宋体"/>
          <w:bCs/>
          <w:sz w:val="24"/>
          <w:szCs w:val="24"/>
        </w:rPr>
        <w:t>以清单</w:t>
      </w:r>
      <w:r>
        <w:rPr>
          <w:rFonts w:hint="eastAsia" w:cs="宋体"/>
          <w:bCs/>
          <w:sz w:val="24"/>
          <w:szCs w:val="24"/>
          <w:lang w:val="en-US" w:eastAsia="zh-CN"/>
        </w:rPr>
        <w:t>模式</w:t>
      </w:r>
      <w:r>
        <w:rPr>
          <w:rFonts w:hint="eastAsia" w:cs="宋体"/>
          <w:bCs/>
          <w:sz w:val="24"/>
          <w:szCs w:val="24"/>
        </w:rPr>
        <w:t>管理</w:t>
      </w:r>
      <w:r>
        <w:rPr>
          <w:rFonts w:hint="eastAsia" w:cs="宋体"/>
          <w:bCs/>
          <w:sz w:val="24"/>
          <w:szCs w:val="24"/>
          <w:lang w:eastAsia="zh-CN"/>
        </w:rPr>
        <w:t>。</w:t>
      </w:r>
      <w:r>
        <w:rPr>
          <w:rFonts w:hint="eastAsia" w:ascii="宋体" w:hAnsi="宋体" w:eastAsia="宋体" w:cs="宋体"/>
          <w:spacing w:val="-3"/>
          <w:sz w:val="24"/>
          <w:szCs w:val="24"/>
          <w:lang w:val="en-US" w:eastAsia="zh-CN"/>
        </w:rPr>
        <w:t>除冰雪前后以及作业期间的通行引导</w:t>
      </w:r>
      <w:r>
        <w:rPr>
          <w:rFonts w:hint="eastAsia" w:cs="宋体"/>
          <w:bCs/>
          <w:sz w:val="24"/>
          <w:szCs w:val="24"/>
          <w:lang w:val="en-US" w:eastAsia="zh-CN"/>
        </w:rPr>
        <w:t>、现场警示、管控维护、现场值守等相关费用包含在绩效清单报价中，</w:t>
      </w:r>
      <w:r>
        <w:rPr>
          <w:rFonts w:hint="eastAsia" w:cs="宋体"/>
          <w:bCs/>
          <w:sz w:val="24"/>
          <w:szCs w:val="24"/>
        </w:rPr>
        <w:t>按绩效考核</w:t>
      </w:r>
      <w:r>
        <w:rPr>
          <w:rFonts w:hint="eastAsia" w:cs="宋体"/>
          <w:bCs/>
          <w:sz w:val="24"/>
          <w:szCs w:val="24"/>
          <w:lang w:val="en-US" w:eastAsia="zh-CN"/>
        </w:rPr>
        <w:t>模式</w:t>
      </w:r>
      <w:r>
        <w:rPr>
          <w:rFonts w:hint="eastAsia" w:cs="宋体"/>
          <w:bCs/>
          <w:sz w:val="24"/>
          <w:szCs w:val="24"/>
        </w:rPr>
        <w:t>管理</w:t>
      </w:r>
      <w:r>
        <w:rPr>
          <w:rFonts w:hint="eastAsia" w:cs="宋体"/>
          <w:bCs/>
          <w:sz w:val="24"/>
          <w:szCs w:val="24"/>
          <w:lang w:eastAsia="zh-CN"/>
        </w:rPr>
        <w:t>。</w:t>
      </w:r>
    </w:p>
    <w:p w14:paraId="5CB24FB6">
      <w:pPr>
        <w:tabs>
          <w:tab w:val="left" w:pos="0"/>
        </w:tabs>
        <w:ind w:firstLine="420"/>
        <w:rPr>
          <w:rFonts w:hint="eastAsia" w:cs="宋体"/>
          <w:bCs/>
          <w:sz w:val="24"/>
          <w:szCs w:val="24"/>
        </w:rPr>
      </w:pPr>
      <w:r>
        <w:rPr>
          <w:rFonts w:hint="eastAsia" w:cs="宋体"/>
          <w:bCs/>
          <w:sz w:val="24"/>
          <w:szCs w:val="24"/>
        </w:rPr>
        <w:t>（6）数据管理</w:t>
      </w:r>
    </w:p>
    <w:p w14:paraId="53884AAC">
      <w:pPr>
        <w:tabs>
          <w:tab w:val="left" w:pos="0"/>
        </w:tabs>
        <w:ind w:firstLine="420"/>
        <w:rPr>
          <w:rFonts w:hint="eastAsia" w:cs="宋体"/>
          <w:bCs/>
          <w:sz w:val="24"/>
          <w:szCs w:val="24"/>
        </w:rPr>
      </w:pPr>
      <w:r>
        <w:rPr>
          <w:rFonts w:hint="eastAsia" w:cs="宋体"/>
          <w:bCs/>
          <w:sz w:val="24"/>
          <w:szCs w:val="24"/>
        </w:rPr>
        <w:t>工作内容及要求：日常保养计划、日常巡查及经常检查和处置等记录、日常保养作业记录、保养作业安全管理资料等收集齐全有序归档并每月提交发包人。</w:t>
      </w:r>
    </w:p>
    <w:p w14:paraId="2BA79FEF">
      <w:pPr>
        <w:tabs>
          <w:tab w:val="left" w:pos="0"/>
        </w:tabs>
        <w:ind w:firstLine="420"/>
        <w:rPr>
          <w:rFonts w:hint="eastAsia" w:cs="宋体"/>
          <w:bCs/>
          <w:sz w:val="24"/>
          <w:szCs w:val="24"/>
        </w:rPr>
      </w:pPr>
      <w:r>
        <w:rPr>
          <w:rFonts w:hint="eastAsia" w:cs="宋体"/>
          <w:bCs/>
          <w:sz w:val="24"/>
          <w:szCs w:val="24"/>
        </w:rPr>
        <w:t>（7）安全生产</w:t>
      </w:r>
    </w:p>
    <w:p w14:paraId="4AC73261">
      <w:pPr>
        <w:tabs>
          <w:tab w:val="left" w:pos="0"/>
        </w:tabs>
        <w:ind w:firstLine="420"/>
        <w:rPr>
          <w:rFonts w:ascii="宋体" w:hAnsi="宋体" w:cs="宋体"/>
          <w:spacing w:val="-1"/>
          <w:sz w:val="24"/>
          <w:szCs w:val="24"/>
          <w:u w:val="single"/>
        </w:rPr>
      </w:pPr>
      <w:r>
        <w:rPr>
          <w:rFonts w:ascii="宋体" w:hAnsi="宋体" w:cs="宋体"/>
          <w:sz w:val="24"/>
          <w:szCs w:val="24"/>
        </w:rPr>
        <w:t>安全生产要求具体为：</w:t>
      </w:r>
      <w:r>
        <w:rPr>
          <w:rFonts w:hint="eastAsia" w:ascii="宋体" w:hAnsi="宋体" w:cs="宋体"/>
          <w:sz w:val="24"/>
          <w:szCs w:val="24"/>
          <w:u w:val="single"/>
        </w:rPr>
        <w:t>合同期内无安全责任事故</w:t>
      </w:r>
      <w:r>
        <w:rPr>
          <w:rFonts w:ascii="宋体" w:hAnsi="宋体" w:cs="宋体"/>
          <w:spacing w:val="-1"/>
          <w:sz w:val="24"/>
          <w:szCs w:val="24"/>
          <w:u w:val="single"/>
        </w:rPr>
        <w:t>。</w:t>
      </w:r>
    </w:p>
    <w:p w14:paraId="2F24B257">
      <w:pPr>
        <w:tabs>
          <w:tab w:val="left" w:pos="0"/>
        </w:tabs>
        <w:ind w:firstLine="420"/>
        <w:rPr>
          <w:rFonts w:cs="宋体"/>
          <w:sz w:val="24"/>
          <w:szCs w:val="24"/>
        </w:rPr>
      </w:pPr>
      <w:r>
        <w:rPr>
          <w:rFonts w:hint="eastAsia" w:ascii="宋体" w:hAnsi="宋体" w:cs="宋体"/>
          <w:spacing w:val="-1"/>
          <w:sz w:val="24"/>
          <w:szCs w:val="24"/>
        </w:rPr>
        <w:t>①</w:t>
      </w:r>
      <w:r>
        <w:rPr>
          <w:rFonts w:hint="eastAsia" w:cs="宋体"/>
          <w:sz w:val="24"/>
          <w:szCs w:val="24"/>
        </w:rPr>
        <w:t>承包人要成立以项目经理为负责人的安全管理组织机构，设置专职安全员，并报备发包人。</w:t>
      </w:r>
    </w:p>
    <w:p w14:paraId="241AEDCA">
      <w:pPr>
        <w:tabs>
          <w:tab w:val="left" w:pos="0"/>
        </w:tabs>
        <w:ind w:firstLine="420"/>
        <w:rPr>
          <w:rFonts w:cs="宋体"/>
          <w:sz w:val="24"/>
          <w:szCs w:val="24"/>
        </w:rPr>
      </w:pPr>
      <w:r>
        <w:rPr>
          <w:rFonts w:hint="eastAsia" w:ascii="宋体" w:hAnsi="宋体" w:cs="宋体"/>
          <w:sz w:val="24"/>
          <w:szCs w:val="24"/>
        </w:rPr>
        <w:t>②</w:t>
      </w:r>
      <w:r>
        <w:rPr>
          <w:rFonts w:hint="eastAsia" w:cs="宋体"/>
          <w:sz w:val="24"/>
          <w:szCs w:val="24"/>
        </w:rPr>
        <w:t>承包人应组织对养护作业人员开展岗前安全教育培训，涵盖安全法规、操作规程等内容。</w:t>
      </w:r>
    </w:p>
    <w:p w14:paraId="6C7C36C1">
      <w:pPr>
        <w:tabs>
          <w:tab w:val="left" w:pos="0"/>
        </w:tabs>
        <w:ind w:firstLine="420"/>
        <w:rPr>
          <w:rFonts w:cs="宋体"/>
          <w:sz w:val="24"/>
          <w:szCs w:val="24"/>
        </w:rPr>
      </w:pPr>
      <w:r>
        <w:rPr>
          <w:rFonts w:hint="eastAsia" w:ascii="宋体" w:hAnsi="宋体" w:cs="宋体"/>
          <w:bCs/>
          <w:sz w:val="24"/>
          <w:szCs w:val="24"/>
        </w:rPr>
        <w:t>③</w:t>
      </w:r>
      <w:r>
        <w:rPr>
          <w:rFonts w:hint="eastAsia" w:cs="宋体"/>
          <w:bCs/>
          <w:sz w:val="24"/>
          <w:szCs w:val="24"/>
        </w:rPr>
        <w:t>发包人的管理人员有权对承包人养护作业进行安全检查、指导、监管，提出整改要求及违规处罚，承包人对发包人提出的安全检查意见及时整改闭环管理。</w:t>
      </w:r>
    </w:p>
    <w:p w14:paraId="1AC8D41C">
      <w:pPr>
        <w:tabs>
          <w:tab w:val="left" w:pos="0"/>
        </w:tabs>
        <w:ind w:firstLine="420"/>
        <w:rPr>
          <w:rFonts w:cs="宋体"/>
          <w:sz w:val="24"/>
          <w:szCs w:val="24"/>
        </w:rPr>
      </w:pPr>
      <w:r>
        <w:rPr>
          <w:rFonts w:hint="eastAsia" w:ascii="宋体" w:hAnsi="宋体" w:cs="宋体"/>
          <w:sz w:val="24"/>
          <w:szCs w:val="24"/>
        </w:rPr>
        <w:t>④</w:t>
      </w:r>
      <w:r>
        <w:rPr>
          <w:rFonts w:hint="eastAsia" w:cs="宋体"/>
          <w:sz w:val="24"/>
          <w:szCs w:val="24"/>
        </w:rPr>
        <w:t>承包人要加强本项目从业的养护作业人员的安全意识教育，尤其要加强“班前 5 分钟安全再学习再教育”制度的执行，要按照国家的法律、法规要求及时缴纳用工人员的相关社会保险等，承包人对服务从业人员提供安全劳动保障并对其安全作业负责。</w:t>
      </w:r>
    </w:p>
    <w:p w14:paraId="6D1FD462">
      <w:pPr>
        <w:tabs>
          <w:tab w:val="left" w:pos="0"/>
        </w:tabs>
        <w:ind w:firstLine="420"/>
        <w:rPr>
          <w:rFonts w:cs="宋体"/>
          <w:b/>
          <w:bCs/>
          <w:sz w:val="24"/>
          <w:szCs w:val="24"/>
        </w:rPr>
      </w:pPr>
      <w:r>
        <w:rPr>
          <w:rFonts w:hint="eastAsia" w:ascii="宋体" w:hAnsi="宋体" w:cs="宋体"/>
          <w:bCs/>
          <w:sz w:val="24"/>
          <w:szCs w:val="24"/>
        </w:rPr>
        <w:t>⑤</w:t>
      </w:r>
      <w:r>
        <w:rPr>
          <w:rFonts w:hint="eastAsia" w:cs="宋体"/>
          <w:sz w:val="24"/>
          <w:szCs w:val="24"/>
        </w:rPr>
        <w:t>承包人须严格执行公路养护作业安全规程，设置专职安全员，规范设置养护安全作业区，养护作业全过程防护措施要满足安全作业规范要求，自行配备安全作业区的物品，</w:t>
      </w:r>
      <w:r>
        <w:rPr>
          <w:rFonts w:hint="eastAsia" w:cs="宋体"/>
          <w:bCs/>
          <w:sz w:val="24"/>
          <w:szCs w:val="24"/>
        </w:rPr>
        <w:t>严禁违章作业。</w:t>
      </w:r>
      <w:r>
        <w:rPr>
          <w:rFonts w:hint="eastAsia" w:cs="宋体"/>
          <w:sz w:val="24"/>
          <w:szCs w:val="24"/>
        </w:rPr>
        <w:t>对养护作业现场安全负责。</w:t>
      </w:r>
    </w:p>
    <w:p w14:paraId="1227901C">
      <w:pPr>
        <w:spacing w:before="116" w:line="219" w:lineRule="auto"/>
        <w:ind w:left="481"/>
        <w:rPr>
          <w:rFonts w:ascii="宋体" w:hAnsi="宋体" w:cs="宋体"/>
          <w:sz w:val="24"/>
          <w:szCs w:val="24"/>
        </w:rPr>
      </w:pPr>
      <w:r>
        <w:rPr>
          <w:rFonts w:hint="eastAsia" w:ascii="宋体" w:hAnsi="宋体" w:cs="宋体"/>
          <w:bCs/>
          <w:sz w:val="24"/>
          <w:szCs w:val="24"/>
        </w:rPr>
        <w:t>⑥</w:t>
      </w:r>
      <w:r>
        <w:rPr>
          <w:rFonts w:hint="eastAsia" w:cs="宋体"/>
          <w:sz w:val="24"/>
          <w:szCs w:val="24"/>
        </w:rPr>
        <w:t>未开展班前安全教育、从业人员未规范安全着装、从业人员违章操作、公路养护作业现场未规范设置养护安全作业区等原因发生安全责任事故由承包人承担责任及负责赔偿损失。</w:t>
      </w:r>
    </w:p>
    <w:p w14:paraId="6A5430BE">
      <w:pPr>
        <w:spacing w:before="116" w:line="219" w:lineRule="auto"/>
        <w:ind w:left="473"/>
        <w:outlineLvl w:val="3"/>
        <w:rPr>
          <w:rFonts w:ascii="宋体" w:hAnsi="宋体" w:cs="宋体"/>
          <w:sz w:val="24"/>
          <w:szCs w:val="24"/>
        </w:rPr>
      </w:pPr>
      <w:r>
        <w:rPr>
          <w:rFonts w:eastAsia="Times New Roman"/>
          <w:b/>
          <w:bCs/>
          <w:spacing w:val="-2"/>
          <w:sz w:val="24"/>
          <w:szCs w:val="24"/>
        </w:rPr>
        <w:t xml:space="preserve">2.3  </w:t>
      </w:r>
      <w:r>
        <w:rPr>
          <w:rFonts w:ascii="宋体" w:hAnsi="宋体" w:cs="宋体"/>
          <w:b/>
          <w:bCs/>
          <w:spacing w:val="-2"/>
          <w:sz w:val="24"/>
          <w:szCs w:val="24"/>
        </w:rPr>
        <w:t>发包人指定实施的养护工程内容及要求</w:t>
      </w:r>
    </w:p>
    <w:p w14:paraId="34ADF718">
      <w:pPr>
        <w:spacing w:before="124" w:line="308" w:lineRule="auto"/>
        <w:ind w:firstLine="488"/>
        <w:rPr>
          <w:rFonts w:ascii="宋体" w:hAnsi="宋体" w:cs="宋体"/>
          <w:sz w:val="24"/>
          <w:szCs w:val="24"/>
        </w:rPr>
      </w:pPr>
      <w:r>
        <w:rPr>
          <w:rFonts w:ascii="宋体" w:hAnsi="宋体" w:cs="宋体"/>
          <w:spacing w:val="4"/>
          <w:sz w:val="24"/>
          <w:szCs w:val="24"/>
        </w:rPr>
        <w:t>（</w:t>
      </w:r>
      <w:r>
        <w:rPr>
          <w:rFonts w:eastAsia="Times New Roman"/>
          <w:spacing w:val="4"/>
          <w:sz w:val="24"/>
          <w:szCs w:val="24"/>
        </w:rPr>
        <w:t>1</w:t>
      </w:r>
      <w:r>
        <w:rPr>
          <w:rFonts w:ascii="宋体" w:hAnsi="宋体" w:cs="宋体"/>
          <w:spacing w:val="4"/>
          <w:sz w:val="24"/>
          <w:szCs w:val="24"/>
        </w:rPr>
        <w:t>）承包人应严格按照合同约定的工作内容、时间、进度、质量完成发</w:t>
      </w:r>
      <w:r>
        <w:rPr>
          <w:rFonts w:ascii="宋体" w:hAnsi="宋体" w:cs="宋体"/>
          <w:spacing w:val="3"/>
          <w:sz w:val="24"/>
          <w:szCs w:val="24"/>
        </w:rPr>
        <w:t>包人</w:t>
      </w:r>
      <w:r>
        <w:rPr>
          <w:rFonts w:ascii="宋体" w:hAnsi="宋体" w:cs="宋体"/>
          <w:spacing w:val="-1"/>
          <w:sz w:val="24"/>
          <w:szCs w:val="24"/>
        </w:rPr>
        <w:t>指定实施的养护工程，其工作汇总表详见表</w:t>
      </w:r>
      <w:r>
        <w:rPr>
          <w:rFonts w:ascii="宋体" w:hAnsi="宋体" w:cs="宋体"/>
          <w:spacing w:val="-50"/>
          <w:sz w:val="24"/>
          <w:szCs w:val="24"/>
        </w:rPr>
        <w:t xml:space="preserve"> </w:t>
      </w:r>
      <w:r>
        <w:rPr>
          <w:rFonts w:eastAsia="Times New Roman"/>
          <w:spacing w:val="-1"/>
          <w:sz w:val="24"/>
          <w:szCs w:val="24"/>
        </w:rPr>
        <w:t>3-3-5</w:t>
      </w:r>
      <w:r>
        <w:rPr>
          <w:rFonts w:ascii="宋体" w:hAnsi="宋体" w:cs="宋体"/>
          <w:spacing w:val="-1"/>
          <w:sz w:val="24"/>
          <w:szCs w:val="24"/>
        </w:rPr>
        <w:t>。</w:t>
      </w:r>
    </w:p>
    <w:p w14:paraId="14704576">
      <w:pPr>
        <w:spacing w:line="211" w:lineRule="auto"/>
        <w:ind w:left="1995"/>
        <w:rPr>
          <w:rFonts w:ascii="宋体" w:hAnsi="宋体" w:cs="宋体"/>
          <w:sz w:val="24"/>
          <w:szCs w:val="24"/>
        </w:rPr>
      </w:pPr>
      <w:r>
        <w:rPr>
          <w:rFonts w:ascii="宋体" w:hAnsi="宋体" w:cs="宋体"/>
          <w:b/>
          <w:bCs/>
          <w:spacing w:val="-2"/>
          <w:sz w:val="24"/>
          <w:szCs w:val="24"/>
        </w:rPr>
        <w:t>表</w:t>
      </w:r>
      <w:r>
        <w:rPr>
          <w:rFonts w:ascii="宋体" w:hAnsi="宋体" w:cs="宋体"/>
          <w:spacing w:val="-46"/>
          <w:sz w:val="24"/>
          <w:szCs w:val="24"/>
        </w:rPr>
        <w:t xml:space="preserve"> </w:t>
      </w:r>
      <w:r>
        <w:rPr>
          <w:rFonts w:eastAsia="Times New Roman"/>
          <w:b/>
          <w:bCs/>
          <w:spacing w:val="-2"/>
          <w:sz w:val="24"/>
          <w:szCs w:val="24"/>
        </w:rPr>
        <w:t xml:space="preserve">3-3-5    </w:t>
      </w:r>
      <w:r>
        <w:rPr>
          <w:rFonts w:ascii="宋体" w:hAnsi="宋体" w:cs="宋体"/>
          <w:b/>
          <w:bCs/>
          <w:spacing w:val="-2"/>
          <w:sz w:val="24"/>
          <w:szCs w:val="24"/>
        </w:rPr>
        <w:t>发包人指定实施的养护工程工作汇总表</w:t>
      </w:r>
    </w:p>
    <w:tbl>
      <w:tblPr>
        <w:tblStyle w:val="30"/>
        <w:tblW w:w="8190" w:type="dxa"/>
        <w:tblInd w:w="2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3"/>
        <w:gridCol w:w="1168"/>
        <w:gridCol w:w="1168"/>
        <w:gridCol w:w="1168"/>
        <w:gridCol w:w="1168"/>
        <w:gridCol w:w="1169"/>
        <w:gridCol w:w="1176"/>
      </w:tblGrid>
      <w:tr w14:paraId="6815F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173" w:type="dxa"/>
          </w:tcPr>
          <w:p w14:paraId="616D5292">
            <w:pPr>
              <w:spacing w:before="42" w:line="223" w:lineRule="auto"/>
              <w:ind w:left="473" w:right="104" w:hanging="359"/>
              <w:rPr>
                <w:rFonts w:ascii="宋体" w:hAnsi="宋体" w:eastAsia="宋体" w:cs="宋体"/>
                <w:sz w:val="24"/>
                <w:szCs w:val="24"/>
                <w:lang w:eastAsia="en-US"/>
              </w:rPr>
            </w:pPr>
            <w:r>
              <w:rPr>
                <w:rFonts w:ascii="宋体" w:hAnsi="宋体" w:eastAsia="宋体" w:cs="宋体"/>
                <w:spacing w:val="-3"/>
                <w:sz w:val="24"/>
                <w:szCs w:val="24"/>
                <w:lang w:eastAsia="en-US"/>
              </w:rPr>
              <w:t>养护工程</w:t>
            </w:r>
            <w:r>
              <w:rPr>
                <w:rFonts w:ascii="宋体" w:hAnsi="宋体" w:eastAsia="宋体" w:cs="宋体"/>
                <w:sz w:val="24"/>
                <w:szCs w:val="24"/>
                <w:lang w:eastAsia="en-US"/>
              </w:rPr>
              <w:t>包</w:t>
            </w:r>
          </w:p>
        </w:tc>
        <w:tc>
          <w:tcPr>
            <w:tcW w:w="1168" w:type="dxa"/>
          </w:tcPr>
          <w:p w14:paraId="1E4004A3">
            <w:pPr>
              <w:spacing w:before="195" w:line="219" w:lineRule="auto"/>
              <w:ind w:left="107"/>
              <w:rPr>
                <w:rFonts w:ascii="宋体" w:hAnsi="宋体" w:eastAsia="宋体" w:cs="宋体"/>
                <w:sz w:val="24"/>
                <w:szCs w:val="24"/>
                <w:lang w:eastAsia="en-US"/>
              </w:rPr>
            </w:pPr>
            <w:r>
              <w:rPr>
                <w:rFonts w:ascii="宋体" w:hAnsi="宋体" w:eastAsia="宋体" w:cs="宋体"/>
                <w:spacing w:val="-3"/>
                <w:sz w:val="24"/>
                <w:szCs w:val="24"/>
                <w:lang w:eastAsia="en-US"/>
              </w:rPr>
              <w:t>道路编号</w:t>
            </w:r>
          </w:p>
        </w:tc>
        <w:tc>
          <w:tcPr>
            <w:tcW w:w="1168" w:type="dxa"/>
          </w:tcPr>
          <w:p w14:paraId="461B1F22">
            <w:pPr>
              <w:spacing w:before="195" w:line="219" w:lineRule="auto"/>
              <w:ind w:left="110"/>
              <w:rPr>
                <w:rFonts w:ascii="宋体" w:hAnsi="宋体" w:eastAsia="宋体" w:cs="宋体"/>
                <w:sz w:val="24"/>
                <w:szCs w:val="24"/>
                <w:lang w:eastAsia="en-US"/>
              </w:rPr>
            </w:pPr>
            <w:r>
              <w:rPr>
                <w:rFonts w:ascii="宋体" w:hAnsi="宋体" w:eastAsia="宋体" w:cs="宋体"/>
                <w:spacing w:val="-3"/>
                <w:sz w:val="24"/>
                <w:szCs w:val="24"/>
                <w:lang w:eastAsia="en-US"/>
              </w:rPr>
              <w:t>起点桩号</w:t>
            </w:r>
          </w:p>
        </w:tc>
        <w:tc>
          <w:tcPr>
            <w:tcW w:w="1168" w:type="dxa"/>
          </w:tcPr>
          <w:p w14:paraId="7D6C8609">
            <w:pPr>
              <w:spacing w:before="195" w:line="219" w:lineRule="auto"/>
              <w:ind w:left="114"/>
              <w:rPr>
                <w:rFonts w:ascii="宋体" w:hAnsi="宋体" w:eastAsia="宋体" w:cs="宋体"/>
                <w:sz w:val="24"/>
                <w:szCs w:val="24"/>
                <w:lang w:eastAsia="en-US"/>
              </w:rPr>
            </w:pPr>
            <w:r>
              <w:rPr>
                <w:rFonts w:ascii="宋体" w:hAnsi="宋体" w:eastAsia="宋体" w:cs="宋体"/>
                <w:spacing w:val="-4"/>
                <w:sz w:val="24"/>
                <w:szCs w:val="24"/>
                <w:lang w:eastAsia="en-US"/>
              </w:rPr>
              <w:t>终点桩号</w:t>
            </w:r>
          </w:p>
        </w:tc>
        <w:tc>
          <w:tcPr>
            <w:tcW w:w="1168" w:type="dxa"/>
          </w:tcPr>
          <w:p w14:paraId="214E8728">
            <w:pPr>
              <w:spacing w:before="42" w:line="223" w:lineRule="auto"/>
              <w:ind w:left="151" w:right="268" w:firstLine="200"/>
              <w:rPr>
                <w:rFonts w:ascii="宋体" w:hAnsi="宋体" w:eastAsia="宋体" w:cs="宋体"/>
                <w:sz w:val="24"/>
                <w:szCs w:val="24"/>
                <w:lang w:eastAsia="en-US"/>
              </w:rPr>
            </w:pPr>
            <w:r>
              <w:rPr>
                <w:rFonts w:ascii="宋体" w:hAnsi="宋体" w:eastAsia="宋体" w:cs="宋体"/>
                <w:spacing w:val="-6"/>
                <w:sz w:val="24"/>
                <w:szCs w:val="24"/>
                <w:lang w:eastAsia="en-US"/>
              </w:rPr>
              <w:t>长度</w:t>
            </w:r>
            <w:r>
              <w:rPr>
                <w:rFonts w:ascii="宋体" w:hAnsi="宋体" w:eastAsia="宋体" w:cs="宋体"/>
                <w:spacing w:val="-11"/>
                <w:sz w:val="24"/>
                <w:szCs w:val="24"/>
                <w:lang w:eastAsia="en-US"/>
              </w:rPr>
              <w:t>（</w:t>
            </w:r>
            <w:r>
              <w:rPr>
                <w:rFonts w:ascii="Times New Roman" w:hAnsi="Times New Roman" w:eastAsia="Times New Roman"/>
                <w:spacing w:val="-11"/>
                <w:sz w:val="24"/>
                <w:szCs w:val="24"/>
                <w:lang w:eastAsia="en-US"/>
              </w:rPr>
              <w:t>km</w:t>
            </w:r>
            <w:r>
              <w:rPr>
                <w:rFonts w:ascii="宋体" w:hAnsi="宋体" w:eastAsia="宋体" w:cs="宋体"/>
                <w:spacing w:val="-11"/>
                <w:sz w:val="24"/>
                <w:szCs w:val="24"/>
                <w:lang w:eastAsia="en-US"/>
              </w:rPr>
              <w:t>）</w:t>
            </w:r>
          </w:p>
        </w:tc>
        <w:tc>
          <w:tcPr>
            <w:tcW w:w="1169" w:type="dxa"/>
          </w:tcPr>
          <w:p w14:paraId="19FA2DC0">
            <w:pPr>
              <w:spacing w:before="42" w:line="223" w:lineRule="auto"/>
              <w:ind w:left="352" w:right="101" w:hanging="238"/>
              <w:rPr>
                <w:rFonts w:ascii="宋体" w:hAnsi="宋体" w:eastAsia="宋体" w:cs="宋体"/>
                <w:sz w:val="24"/>
                <w:szCs w:val="24"/>
                <w:lang w:eastAsia="en-US"/>
              </w:rPr>
            </w:pPr>
            <w:r>
              <w:rPr>
                <w:rFonts w:ascii="宋体" w:hAnsi="宋体" w:eastAsia="宋体" w:cs="宋体"/>
                <w:spacing w:val="-3"/>
                <w:sz w:val="24"/>
                <w:szCs w:val="24"/>
                <w:lang w:eastAsia="en-US"/>
              </w:rPr>
              <w:t>路面处置</w:t>
            </w:r>
            <w:r>
              <w:rPr>
                <w:rFonts w:ascii="宋体" w:hAnsi="宋体" w:eastAsia="宋体" w:cs="宋体"/>
                <w:spacing w:val="-5"/>
                <w:sz w:val="24"/>
                <w:szCs w:val="24"/>
                <w:lang w:eastAsia="en-US"/>
              </w:rPr>
              <w:t>措施</w:t>
            </w:r>
          </w:p>
        </w:tc>
        <w:tc>
          <w:tcPr>
            <w:tcW w:w="1176" w:type="dxa"/>
          </w:tcPr>
          <w:p w14:paraId="5AD62CE0">
            <w:pPr>
              <w:spacing w:before="42" w:line="223" w:lineRule="auto"/>
              <w:ind w:left="365" w:right="106" w:hanging="248"/>
              <w:rPr>
                <w:rFonts w:ascii="宋体" w:hAnsi="宋体" w:eastAsia="宋体" w:cs="宋体"/>
                <w:sz w:val="24"/>
                <w:szCs w:val="24"/>
                <w:lang w:eastAsia="en-US"/>
              </w:rPr>
            </w:pPr>
            <w:r>
              <w:rPr>
                <w:rFonts w:ascii="宋体" w:hAnsi="宋体" w:eastAsia="宋体" w:cs="宋体"/>
                <w:spacing w:val="-4"/>
                <w:sz w:val="24"/>
                <w:szCs w:val="24"/>
                <w:lang w:eastAsia="en-US"/>
              </w:rPr>
              <w:t>工程竣工</w:t>
            </w:r>
            <w:r>
              <w:rPr>
                <w:rFonts w:ascii="宋体" w:hAnsi="宋体" w:eastAsia="宋体" w:cs="宋体"/>
                <w:spacing w:val="-11"/>
                <w:sz w:val="24"/>
                <w:szCs w:val="24"/>
                <w:lang w:eastAsia="en-US"/>
              </w:rPr>
              <w:t>时间</w:t>
            </w:r>
          </w:p>
        </w:tc>
      </w:tr>
      <w:tr w14:paraId="625C0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173" w:type="dxa"/>
          </w:tcPr>
          <w:p w14:paraId="166C75D9">
            <w:pPr>
              <w:spacing w:before="58" w:line="188" w:lineRule="auto"/>
              <w:ind w:left="551"/>
              <w:rPr>
                <w:rFonts w:ascii="Times New Roman" w:hAnsi="Times New Roman" w:eastAsia="Times New Roman"/>
                <w:sz w:val="24"/>
                <w:szCs w:val="24"/>
                <w:lang w:eastAsia="en-US"/>
              </w:rPr>
            </w:pPr>
            <w:r>
              <w:rPr>
                <w:rFonts w:ascii="Times New Roman" w:hAnsi="Times New Roman" w:eastAsia="Times New Roman"/>
                <w:sz w:val="24"/>
                <w:szCs w:val="24"/>
                <w:lang w:eastAsia="en-US"/>
              </w:rPr>
              <w:t>1</w:t>
            </w:r>
          </w:p>
        </w:tc>
        <w:tc>
          <w:tcPr>
            <w:tcW w:w="1168" w:type="dxa"/>
          </w:tcPr>
          <w:p w14:paraId="40EC6C1C">
            <w:pPr>
              <w:pStyle w:val="29"/>
              <w:tabs>
                <w:tab w:val="left" w:pos="0"/>
              </w:tabs>
              <w:rPr>
                <w:sz w:val="24"/>
                <w:szCs w:val="24"/>
              </w:rPr>
            </w:pPr>
          </w:p>
        </w:tc>
        <w:tc>
          <w:tcPr>
            <w:tcW w:w="1168" w:type="dxa"/>
          </w:tcPr>
          <w:p w14:paraId="5557C612">
            <w:pPr>
              <w:pStyle w:val="29"/>
              <w:tabs>
                <w:tab w:val="left" w:pos="0"/>
              </w:tabs>
              <w:rPr>
                <w:sz w:val="24"/>
                <w:szCs w:val="24"/>
              </w:rPr>
            </w:pPr>
          </w:p>
        </w:tc>
        <w:tc>
          <w:tcPr>
            <w:tcW w:w="1168" w:type="dxa"/>
          </w:tcPr>
          <w:p w14:paraId="484597D2">
            <w:pPr>
              <w:pStyle w:val="29"/>
              <w:tabs>
                <w:tab w:val="left" w:pos="0"/>
              </w:tabs>
              <w:rPr>
                <w:sz w:val="24"/>
                <w:szCs w:val="24"/>
              </w:rPr>
            </w:pPr>
          </w:p>
        </w:tc>
        <w:tc>
          <w:tcPr>
            <w:tcW w:w="1168" w:type="dxa"/>
          </w:tcPr>
          <w:p w14:paraId="14A4A56C">
            <w:pPr>
              <w:pStyle w:val="29"/>
              <w:tabs>
                <w:tab w:val="left" w:pos="0"/>
              </w:tabs>
              <w:rPr>
                <w:sz w:val="24"/>
                <w:szCs w:val="24"/>
              </w:rPr>
            </w:pPr>
          </w:p>
        </w:tc>
        <w:tc>
          <w:tcPr>
            <w:tcW w:w="1169" w:type="dxa"/>
          </w:tcPr>
          <w:p w14:paraId="03225638">
            <w:pPr>
              <w:pStyle w:val="29"/>
              <w:tabs>
                <w:tab w:val="left" w:pos="0"/>
              </w:tabs>
              <w:rPr>
                <w:sz w:val="24"/>
                <w:szCs w:val="24"/>
              </w:rPr>
            </w:pPr>
          </w:p>
        </w:tc>
        <w:tc>
          <w:tcPr>
            <w:tcW w:w="1176" w:type="dxa"/>
          </w:tcPr>
          <w:p w14:paraId="77646C85">
            <w:pPr>
              <w:pStyle w:val="29"/>
              <w:tabs>
                <w:tab w:val="left" w:pos="0"/>
              </w:tabs>
              <w:rPr>
                <w:sz w:val="24"/>
                <w:szCs w:val="24"/>
              </w:rPr>
            </w:pPr>
          </w:p>
        </w:tc>
      </w:tr>
      <w:tr w14:paraId="3D0C5B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173" w:type="dxa"/>
          </w:tcPr>
          <w:p w14:paraId="2A4C43EB">
            <w:pPr>
              <w:spacing w:before="60" w:line="188" w:lineRule="auto"/>
              <w:ind w:left="528"/>
              <w:rPr>
                <w:rFonts w:ascii="Times New Roman" w:hAnsi="Times New Roman" w:eastAsia="Times New Roman"/>
                <w:sz w:val="24"/>
                <w:szCs w:val="24"/>
                <w:lang w:eastAsia="en-US"/>
              </w:rPr>
            </w:pPr>
            <w:r>
              <w:rPr>
                <w:rFonts w:ascii="Times New Roman" w:hAnsi="Times New Roman" w:eastAsia="Times New Roman"/>
                <w:sz w:val="24"/>
                <w:szCs w:val="24"/>
                <w:lang w:eastAsia="en-US"/>
              </w:rPr>
              <w:t>2</w:t>
            </w:r>
          </w:p>
        </w:tc>
        <w:tc>
          <w:tcPr>
            <w:tcW w:w="1168" w:type="dxa"/>
          </w:tcPr>
          <w:p w14:paraId="06BFE035">
            <w:pPr>
              <w:pStyle w:val="29"/>
              <w:tabs>
                <w:tab w:val="left" w:pos="0"/>
              </w:tabs>
              <w:rPr>
                <w:sz w:val="24"/>
                <w:szCs w:val="24"/>
              </w:rPr>
            </w:pPr>
          </w:p>
        </w:tc>
        <w:tc>
          <w:tcPr>
            <w:tcW w:w="1168" w:type="dxa"/>
          </w:tcPr>
          <w:p w14:paraId="36258557">
            <w:pPr>
              <w:pStyle w:val="29"/>
              <w:tabs>
                <w:tab w:val="left" w:pos="0"/>
              </w:tabs>
              <w:rPr>
                <w:sz w:val="24"/>
                <w:szCs w:val="24"/>
              </w:rPr>
            </w:pPr>
          </w:p>
        </w:tc>
        <w:tc>
          <w:tcPr>
            <w:tcW w:w="1168" w:type="dxa"/>
          </w:tcPr>
          <w:p w14:paraId="773E0554">
            <w:pPr>
              <w:pStyle w:val="29"/>
              <w:tabs>
                <w:tab w:val="left" w:pos="0"/>
              </w:tabs>
              <w:rPr>
                <w:sz w:val="24"/>
                <w:szCs w:val="24"/>
              </w:rPr>
            </w:pPr>
          </w:p>
        </w:tc>
        <w:tc>
          <w:tcPr>
            <w:tcW w:w="1168" w:type="dxa"/>
          </w:tcPr>
          <w:p w14:paraId="66E9A646">
            <w:pPr>
              <w:pStyle w:val="29"/>
              <w:tabs>
                <w:tab w:val="left" w:pos="0"/>
              </w:tabs>
              <w:rPr>
                <w:sz w:val="24"/>
                <w:szCs w:val="24"/>
              </w:rPr>
            </w:pPr>
          </w:p>
        </w:tc>
        <w:tc>
          <w:tcPr>
            <w:tcW w:w="1169" w:type="dxa"/>
          </w:tcPr>
          <w:p w14:paraId="51731501">
            <w:pPr>
              <w:pStyle w:val="29"/>
              <w:tabs>
                <w:tab w:val="left" w:pos="0"/>
              </w:tabs>
              <w:rPr>
                <w:sz w:val="24"/>
                <w:szCs w:val="24"/>
              </w:rPr>
            </w:pPr>
          </w:p>
        </w:tc>
        <w:tc>
          <w:tcPr>
            <w:tcW w:w="1176" w:type="dxa"/>
          </w:tcPr>
          <w:p w14:paraId="38476B64">
            <w:pPr>
              <w:pStyle w:val="29"/>
              <w:tabs>
                <w:tab w:val="left" w:pos="0"/>
              </w:tabs>
              <w:rPr>
                <w:sz w:val="24"/>
                <w:szCs w:val="24"/>
              </w:rPr>
            </w:pPr>
          </w:p>
        </w:tc>
      </w:tr>
      <w:tr w14:paraId="271E35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173" w:type="dxa"/>
          </w:tcPr>
          <w:p w14:paraId="705E234D">
            <w:pPr>
              <w:spacing w:before="61" w:line="188" w:lineRule="auto"/>
              <w:ind w:left="533"/>
              <w:rPr>
                <w:rFonts w:ascii="Times New Roman" w:hAnsi="Times New Roman" w:eastAsia="Times New Roman"/>
                <w:sz w:val="24"/>
                <w:szCs w:val="24"/>
                <w:lang w:eastAsia="en-US"/>
              </w:rPr>
            </w:pPr>
            <w:r>
              <w:rPr>
                <w:rFonts w:ascii="Times New Roman" w:hAnsi="Times New Roman" w:eastAsia="Times New Roman"/>
                <w:sz w:val="24"/>
                <w:szCs w:val="24"/>
                <w:lang w:eastAsia="en-US"/>
              </w:rPr>
              <w:t>3</w:t>
            </w:r>
          </w:p>
        </w:tc>
        <w:tc>
          <w:tcPr>
            <w:tcW w:w="1168" w:type="dxa"/>
          </w:tcPr>
          <w:p w14:paraId="455802CB">
            <w:pPr>
              <w:pStyle w:val="29"/>
              <w:tabs>
                <w:tab w:val="left" w:pos="0"/>
              </w:tabs>
              <w:rPr>
                <w:sz w:val="24"/>
                <w:szCs w:val="24"/>
              </w:rPr>
            </w:pPr>
          </w:p>
        </w:tc>
        <w:tc>
          <w:tcPr>
            <w:tcW w:w="1168" w:type="dxa"/>
          </w:tcPr>
          <w:p w14:paraId="78FF5403">
            <w:pPr>
              <w:pStyle w:val="29"/>
              <w:tabs>
                <w:tab w:val="left" w:pos="0"/>
              </w:tabs>
              <w:rPr>
                <w:sz w:val="24"/>
                <w:szCs w:val="24"/>
              </w:rPr>
            </w:pPr>
          </w:p>
        </w:tc>
        <w:tc>
          <w:tcPr>
            <w:tcW w:w="1168" w:type="dxa"/>
          </w:tcPr>
          <w:p w14:paraId="3A8DDCB8">
            <w:pPr>
              <w:pStyle w:val="29"/>
              <w:tabs>
                <w:tab w:val="left" w:pos="0"/>
              </w:tabs>
              <w:rPr>
                <w:sz w:val="24"/>
                <w:szCs w:val="24"/>
              </w:rPr>
            </w:pPr>
          </w:p>
        </w:tc>
        <w:tc>
          <w:tcPr>
            <w:tcW w:w="1168" w:type="dxa"/>
          </w:tcPr>
          <w:p w14:paraId="2F97F0E1">
            <w:pPr>
              <w:pStyle w:val="29"/>
              <w:tabs>
                <w:tab w:val="left" w:pos="0"/>
              </w:tabs>
              <w:rPr>
                <w:sz w:val="24"/>
                <w:szCs w:val="24"/>
              </w:rPr>
            </w:pPr>
          </w:p>
        </w:tc>
        <w:tc>
          <w:tcPr>
            <w:tcW w:w="1169" w:type="dxa"/>
          </w:tcPr>
          <w:p w14:paraId="13760D69">
            <w:pPr>
              <w:pStyle w:val="29"/>
              <w:tabs>
                <w:tab w:val="left" w:pos="0"/>
              </w:tabs>
              <w:rPr>
                <w:sz w:val="24"/>
                <w:szCs w:val="24"/>
              </w:rPr>
            </w:pPr>
          </w:p>
        </w:tc>
        <w:tc>
          <w:tcPr>
            <w:tcW w:w="1176" w:type="dxa"/>
          </w:tcPr>
          <w:p w14:paraId="3D1009B7">
            <w:pPr>
              <w:pStyle w:val="29"/>
              <w:tabs>
                <w:tab w:val="left" w:pos="0"/>
              </w:tabs>
              <w:rPr>
                <w:sz w:val="24"/>
                <w:szCs w:val="24"/>
              </w:rPr>
            </w:pPr>
          </w:p>
        </w:tc>
      </w:tr>
      <w:tr w14:paraId="7AD22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173" w:type="dxa"/>
          </w:tcPr>
          <w:p w14:paraId="46C1758F">
            <w:pPr>
              <w:spacing w:before="63" w:line="188" w:lineRule="auto"/>
              <w:ind w:left="527"/>
              <w:rPr>
                <w:rFonts w:ascii="Times New Roman" w:hAnsi="Times New Roman" w:eastAsia="Times New Roman"/>
                <w:sz w:val="24"/>
                <w:szCs w:val="24"/>
                <w:lang w:eastAsia="en-US"/>
              </w:rPr>
            </w:pPr>
            <w:r>
              <w:rPr>
                <w:rFonts w:ascii="Times New Roman" w:hAnsi="Times New Roman" w:eastAsia="Times New Roman"/>
                <w:sz w:val="24"/>
                <w:szCs w:val="24"/>
                <w:lang w:eastAsia="en-US"/>
              </w:rPr>
              <w:t>4</w:t>
            </w:r>
          </w:p>
        </w:tc>
        <w:tc>
          <w:tcPr>
            <w:tcW w:w="1168" w:type="dxa"/>
          </w:tcPr>
          <w:p w14:paraId="37E5FF20">
            <w:pPr>
              <w:pStyle w:val="29"/>
              <w:tabs>
                <w:tab w:val="left" w:pos="0"/>
              </w:tabs>
              <w:rPr>
                <w:sz w:val="24"/>
                <w:szCs w:val="24"/>
              </w:rPr>
            </w:pPr>
          </w:p>
        </w:tc>
        <w:tc>
          <w:tcPr>
            <w:tcW w:w="1168" w:type="dxa"/>
          </w:tcPr>
          <w:p w14:paraId="7B2C4682">
            <w:pPr>
              <w:pStyle w:val="29"/>
              <w:tabs>
                <w:tab w:val="left" w:pos="0"/>
              </w:tabs>
              <w:rPr>
                <w:sz w:val="24"/>
                <w:szCs w:val="24"/>
              </w:rPr>
            </w:pPr>
          </w:p>
        </w:tc>
        <w:tc>
          <w:tcPr>
            <w:tcW w:w="1168" w:type="dxa"/>
          </w:tcPr>
          <w:p w14:paraId="037B3C4F">
            <w:pPr>
              <w:pStyle w:val="29"/>
              <w:tabs>
                <w:tab w:val="left" w:pos="0"/>
              </w:tabs>
              <w:rPr>
                <w:sz w:val="24"/>
                <w:szCs w:val="24"/>
              </w:rPr>
            </w:pPr>
          </w:p>
        </w:tc>
        <w:tc>
          <w:tcPr>
            <w:tcW w:w="1168" w:type="dxa"/>
          </w:tcPr>
          <w:p w14:paraId="75F74640">
            <w:pPr>
              <w:pStyle w:val="29"/>
              <w:tabs>
                <w:tab w:val="left" w:pos="0"/>
              </w:tabs>
              <w:rPr>
                <w:sz w:val="24"/>
                <w:szCs w:val="24"/>
              </w:rPr>
            </w:pPr>
          </w:p>
        </w:tc>
        <w:tc>
          <w:tcPr>
            <w:tcW w:w="1169" w:type="dxa"/>
          </w:tcPr>
          <w:p w14:paraId="696DBC29">
            <w:pPr>
              <w:pStyle w:val="29"/>
              <w:tabs>
                <w:tab w:val="left" w:pos="0"/>
              </w:tabs>
              <w:rPr>
                <w:sz w:val="24"/>
                <w:szCs w:val="24"/>
              </w:rPr>
            </w:pPr>
          </w:p>
        </w:tc>
        <w:tc>
          <w:tcPr>
            <w:tcW w:w="1176" w:type="dxa"/>
          </w:tcPr>
          <w:p w14:paraId="10534B1F">
            <w:pPr>
              <w:pStyle w:val="29"/>
              <w:tabs>
                <w:tab w:val="left" w:pos="0"/>
              </w:tabs>
              <w:rPr>
                <w:sz w:val="24"/>
                <w:szCs w:val="24"/>
              </w:rPr>
            </w:pPr>
          </w:p>
        </w:tc>
      </w:tr>
      <w:tr w14:paraId="48940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73" w:type="dxa"/>
          </w:tcPr>
          <w:p w14:paraId="54677C13">
            <w:pPr>
              <w:spacing w:before="67" w:line="185" w:lineRule="auto"/>
              <w:ind w:left="535"/>
              <w:rPr>
                <w:rFonts w:ascii="Times New Roman" w:hAnsi="Times New Roman" w:eastAsia="Times New Roman"/>
                <w:sz w:val="24"/>
                <w:szCs w:val="24"/>
                <w:lang w:eastAsia="en-US"/>
              </w:rPr>
            </w:pPr>
            <w:r>
              <w:rPr>
                <w:rFonts w:ascii="Times New Roman" w:hAnsi="Times New Roman" w:eastAsia="Times New Roman"/>
                <w:sz w:val="24"/>
                <w:szCs w:val="24"/>
                <w:lang w:eastAsia="en-US"/>
              </w:rPr>
              <w:t>5</w:t>
            </w:r>
          </w:p>
        </w:tc>
        <w:tc>
          <w:tcPr>
            <w:tcW w:w="1168" w:type="dxa"/>
          </w:tcPr>
          <w:p w14:paraId="284DF03A">
            <w:pPr>
              <w:pStyle w:val="29"/>
              <w:tabs>
                <w:tab w:val="left" w:pos="0"/>
              </w:tabs>
              <w:rPr>
                <w:sz w:val="24"/>
                <w:szCs w:val="24"/>
              </w:rPr>
            </w:pPr>
          </w:p>
        </w:tc>
        <w:tc>
          <w:tcPr>
            <w:tcW w:w="1168" w:type="dxa"/>
          </w:tcPr>
          <w:p w14:paraId="30413CB7">
            <w:pPr>
              <w:pStyle w:val="29"/>
              <w:tabs>
                <w:tab w:val="left" w:pos="0"/>
              </w:tabs>
              <w:rPr>
                <w:sz w:val="24"/>
                <w:szCs w:val="24"/>
              </w:rPr>
            </w:pPr>
          </w:p>
        </w:tc>
        <w:tc>
          <w:tcPr>
            <w:tcW w:w="1168" w:type="dxa"/>
          </w:tcPr>
          <w:p w14:paraId="36236C6E">
            <w:pPr>
              <w:pStyle w:val="29"/>
              <w:tabs>
                <w:tab w:val="left" w:pos="0"/>
              </w:tabs>
              <w:rPr>
                <w:sz w:val="24"/>
                <w:szCs w:val="24"/>
              </w:rPr>
            </w:pPr>
          </w:p>
        </w:tc>
        <w:tc>
          <w:tcPr>
            <w:tcW w:w="1168" w:type="dxa"/>
          </w:tcPr>
          <w:p w14:paraId="5625C36F">
            <w:pPr>
              <w:pStyle w:val="29"/>
              <w:tabs>
                <w:tab w:val="left" w:pos="0"/>
              </w:tabs>
              <w:rPr>
                <w:sz w:val="24"/>
                <w:szCs w:val="24"/>
              </w:rPr>
            </w:pPr>
          </w:p>
        </w:tc>
        <w:tc>
          <w:tcPr>
            <w:tcW w:w="1169" w:type="dxa"/>
          </w:tcPr>
          <w:p w14:paraId="6B9B97EF">
            <w:pPr>
              <w:pStyle w:val="29"/>
              <w:tabs>
                <w:tab w:val="left" w:pos="0"/>
              </w:tabs>
              <w:rPr>
                <w:sz w:val="24"/>
                <w:szCs w:val="24"/>
              </w:rPr>
            </w:pPr>
          </w:p>
        </w:tc>
        <w:tc>
          <w:tcPr>
            <w:tcW w:w="1176" w:type="dxa"/>
          </w:tcPr>
          <w:p w14:paraId="7F17D221">
            <w:pPr>
              <w:pStyle w:val="29"/>
              <w:tabs>
                <w:tab w:val="left" w:pos="0"/>
              </w:tabs>
              <w:rPr>
                <w:sz w:val="24"/>
                <w:szCs w:val="24"/>
              </w:rPr>
            </w:pPr>
          </w:p>
        </w:tc>
      </w:tr>
    </w:tbl>
    <w:p w14:paraId="1652038E">
      <w:pPr>
        <w:spacing w:before="127" w:line="219" w:lineRule="auto"/>
        <w:ind w:left="488"/>
        <w:rPr>
          <w:rFonts w:ascii="宋体" w:hAnsi="宋体" w:cs="宋体"/>
          <w:sz w:val="24"/>
          <w:szCs w:val="24"/>
        </w:rPr>
      </w:pPr>
      <w:r>
        <w:rPr>
          <w:rFonts w:ascii="宋体" w:hAnsi="宋体" w:cs="宋体"/>
          <w:spacing w:val="-2"/>
          <w:sz w:val="24"/>
          <w:szCs w:val="24"/>
        </w:rPr>
        <w:t>（</w:t>
      </w:r>
      <w:r>
        <w:rPr>
          <w:rFonts w:eastAsia="Times New Roman"/>
          <w:spacing w:val="-2"/>
          <w:sz w:val="24"/>
          <w:szCs w:val="24"/>
        </w:rPr>
        <w:t>2</w:t>
      </w:r>
      <w:r>
        <w:rPr>
          <w:rFonts w:ascii="宋体" w:hAnsi="宋体" w:cs="宋体"/>
          <w:spacing w:val="-2"/>
          <w:sz w:val="24"/>
          <w:szCs w:val="24"/>
        </w:rPr>
        <w:t>）主要工作内容及要求</w:t>
      </w:r>
    </w:p>
    <w:p w14:paraId="1A3AAD1D">
      <w:pPr>
        <w:spacing w:before="104" w:line="219" w:lineRule="auto"/>
        <w:ind w:left="479"/>
        <w:rPr>
          <w:rFonts w:ascii="宋体" w:hAnsi="宋体" w:cs="宋体"/>
          <w:sz w:val="24"/>
          <w:szCs w:val="24"/>
        </w:rPr>
      </w:pPr>
      <w:r>
        <w:rPr>
          <w:rFonts w:ascii="宋体" w:hAnsi="宋体" w:cs="宋体"/>
          <w:spacing w:val="-3"/>
          <w:sz w:val="24"/>
          <w:szCs w:val="24"/>
        </w:rPr>
        <w:t>路基：</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128D3C8C">
      <w:pPr>
        <w:spacing w:before="117" w:line="307" w:lineRule="auto"/>
        <w:ind w:left="477" w:right="1155" w:firstLine="1"/>
        <w:rPr>
          <w:rFonts w:ascii="宋体" w:hAnsi="宋体" w:cs="宋体"/>
          <w:spacing w:val="-3"/>
          <w:sz w:val="24"/>
          <w:szCs w:val="24"/>
        </w:rPr>
      </w:pPr>
      <w:r>
        <w:rPr>
          <w:rFonts w:ascii="宋体" w:hAnsi="宋体" w:cs="宋体"/>
          <w:spacing w:val="-11"/>
          <w:sz w:val="24"/>
          <w:szCs w:val="24"/>
        </w:rPr>
        <w:t>路面：</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3B0B8915">
      <w:pPr>
        <w:spacing w:before="117" w:line="307" w:lineRule="auto"/>
        <w:ind w:left="477" w:right="1155" w:firstLine="1"/>
        <w:rPr>
          <w:rFonts w:ascii="宋体" w:hAnsi="宋体" w:cs="宋体"/>
          <w:spacing w:val="-1"/>
          <w:sz w:val="24"/>
          <w:szCs w:val="24"/>
        </w:rPr>
      </w:pPr>
      <w:r>
        <w:rPr>
          <w:rFonts w:ascii="宋体" w:hAnsi="宋体" w:cs="宋体"/>
          <w:sz w:val="24"/>
          <w:szCs w:val="24"/>
        </w:rPr>
        <w:t>桥梁、涵洞：</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0EEF09F9">
      <w:pPr>
        <w:spacing w:before="117" w:line="307" w:lineRule="auto"/>
        <w:ind w:left="477" w:right="1155" w:firstLine="1"/>
        <w:rPr>
          <w:rFonts w:ascii="宋体" w:hAnsi="宋体" w:cs="宋体"/>
          <w:spacing w:val="-13"/>
          <w:sz w:val="24"/>
          <w:szCs w:val="24"/>
        </w:rPr>
      </w:pPr>
      <w:r>
        <w:rPr>
          <w:rFonts w:ascii="宋体" w:hAnsi="宋体" w:cs="宋体"/>
          <w:spacing w:val="-13"/>
          <w:sz w:val="24"/>
          <w:szCs w:val="24"/>
        </w:rPr>
        <w:t>隧道：</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15815A66">
      <w:pPr>
        <w:spacing w:before="117" w:line="307" w:lineRule="auto"/>
        <w:ind w:left="477" w:right="1155" w:firstLine="1"/>
        <w:rPr>
          <w:rFonts w:ascii="宋体" w:hAnsi="宋体" w:cs="宋体"/>
          <w:sz w:val="24"/>
          <w:szCs w:val="24"/>
        </w:rPr>
      </w:pPr>
      <w:r>
        <w:rPr>
          <w:rFonts w:ascii="宋体" w:hAnsi="宋体" w:cs="宋体"/>
          <w:spacing w:val="-3"/>
          <w:sz w:val="24"/>
          <w:szCs w:val="24"/>
        </w:rPr>
        <w:t>交通安全设施：</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4267DA24">
      <w:pPr>
        <w:spacing w:before="3" w:line="307" w:lineRule="auto"/>
        <w:ind w:left="476" w:right="1155" w:firstLine="6"/>
        <w:rPr>
          <w:rFonts w:ascii="宋体" w:hAnsi="宋体" w:cs="宋体"/>
          <w:spacing w:val="-4"/>
          <w:sz w:val="24"/>
          <w:szCs w:val="24"/>
        </w:rPr>
      </w:pPr>
      <w:r>
        <w:rPr>
          <w:rFonts w:ascii="宋体" w:hAnsi="宋体" w:cs="宋体"/>
          <w:spacing w:val="-3"/>
          <w:sz w:val="24"/>
          <w:szCs w:val="24"/>
        </w:rPr>
        <w:t>管理服务设施：</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6942A166">
      <w:pPr>
        <w:spacing w:before="3" w:line="307" w:lineRule="auto"/>
        <w:ind w:left="476" w:right="1155" w:firstLine="6"/>
        <w:rPr>
          <w:rFonts w:ascii="宋体" w:hAnsi="宋体" w:cs="宋体"/>
          <w:spacing w:val="-3"/>
          <w:sz w:val="24"/>
          <w:szCs w:val="24"/>
        </w:rPr>
      </w:pPr>
      <w:r>
        <w:rPr>
          <w:rFonts w:ascii="宋体" w:hAnsi="宋体" w:cs="宋体"/>
          <w:spacing w:val="-9"/>
          <w:sz w:val="24"/>
          <w:szCs w:val="24"/>
        </w:rPr>
        <w:t>机电设施：</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4D4DD5C5">
      <w:pPr>
        <w:spacing w:before="3" w:line="307" w:lineRule="auto"/>
        <w:ind w:left="476" w:right="1155" w:firstLine="6"/>
        <w:rPr>
          <w:rFonts w:ascii="宋体" w:hAnsi="宋体" w:cs="宋体"/>
          <w:sz w:val="24"/>
          <w:szCs w:val="24"/>
        </w:rPr>
      </w:pPr>
      <w:r>
        <w:rPr>
          <w:rFonts w:ascii="宋体" w:hAnsi="宋体" w:cs="宋体"/>
          <w:spacing w:val="-13"/>
          <w:sz w:val="24"/>
          <w:szCs w:val="24"/>
        </w:rPr>
        <w:t>绿化：</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1E216482">
      <w:pPr>
        <w:spacing w:line="220" w:lineRule="auto"/>
        <w:ind w:left="478"/>
        <w:rPr>
          <w:rFonts w:ascii="宋体" w:hAnsi="宋体" w:cs="宋体"/>
          <w:sz w:val="24"/>
          <w:szCs w:val="24"/>
        </w:rPr>
      </w:pPr>
      <w:r>
        <w:rPr>
          <w:rFonts w:ascii="宋体" w:hAnsi="宋体" w:cs="宋体"/>
          <w:spacing w:val="-3"/>
          <w:sz w:val="24"/>
          <w:szCs w:val="24"/>
        </w:rPr>
        <w:t>其他：</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2CBD4509">
      <w:pPr>
        <w:spacing w:before="125" w:line="220" w:lineRule="auto"/>
        <w:ind w:left="488"/>
        <w:rPr>
          <w:rFonts w:ascii="宋体" w:hAnsi="宋体" w:cs="宋体"/>
          <w:sz w:val="24"/>
          <w:szCs w:val="24"/>
        </w:rPr>
      </w:pPr>
      <w:r>
        <w:rPr>
          <w:rFonts w:ascii="宋体" w:hAnsi="宋体" w:cs="宋体"/>
          <w:sz w:val="24"/>
          <w:szCs w:val="24"/>
        </w:rPr>
        <w:t>（</w:t>
      </w:r>
      <w:r>
        <w:rPr>
          <w:rFonts w:eastAsia="Times New Roman"/>
          <w:sz w:val="24"/>
          <w:szCs w:val="24"/>
        </w:rPr>
        <w:t>3</w:t>
      </w:r>
      <w:r>
        <w:rPr>
          <w:rFonts w:ascii="宋体" w:hAnsi="宋体" w:cs="宋体"/>
          <w:sz w:val="24"/>
          <w:szCs w:val="24"/>
        </w:rPr>
        <w:t>）进度要求：</w:t>
      </w:r>
      <w:r>
        <w:rPr>
          <w:rFonts w:hint="eastAsia" w:ascii="宋体" w:hAnsi="宋体" w:cs="宋体"/>
          <w:spacing w:val="-3"/>
          <w:sz w:val="24"/>
          <w:szCs w:val="24"/>
          <w:u w:val="single"/>
          <w:lang w:val="en-US" w:eastAsia="zh-CN"/>
        </w:rPr>
        <w:t xml:space="preserve">  /   </w:t>
      </w:r>
      <w:r>
        <w:rPr>
          <w:rFonts w:ascii="宋体" w:hAnsi="宋体" w:cs="宋体"/>
          <w:spacing w:val="-1"/>
          <w:sz w:val="24"/>
          <w:szCs w:val="24"/>
        </w:rPr>
        <w:t>。</w:t>
      </w:r>
    </w:p>
    <w:p w14:paraId="7CA00987">
      <w:pPr>
        <w:spacing w:before="115" w:line="217" w:lineRule="auto"/>
        <w:ind w:left="476"/>
        <w:rPr>
          <w:rFonts w:ascii="宋体" w:hAnsi="宋体" w:cs="宋体"/>
          <w:sz w:val="24"/>
          <w:szCs w:val="24"/>
        </w:rPr>
      </w:pPr>
      <w:r>
        <w:rPr>
          <w:rFonts w:ascii="宋体" w:hAnsi="宋体" w:cs="宋体"/>
          <w:spacing w:val="-1"/>
          <w:sz w:val="24"/>
          <w:szCs w:val="24"/>
        </w:rPr>
        <w:t>① 总体进度要求：</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4AC9FAD0">
      <w:pPr>
        <w:spacing w:before="118" w:line="217" w:lineRule="auto"/>
        <w:ind w:left="475"/>
        <w:rPr>
          <w:rFonts w:ascii="宋体" w:hAnsi="宋体" w:cs="宋体"/>
          <w:sz w:val="24"/>
          <w:szCs w:val="24"/>
        </w:rPr>
      </w:pPr>
      <w:r>
        <w:rPr>
          <w:rFonts w:ascii="宋体" w:hAnsi="宋体" w:cs="宋体"/>
          <w:sz w:val="24"/>
          <w:szCs w:val="24"/>
        </w:rPr>
        <w:t xml:space="preserve">② </w:t>
      </w:r>
      <w:r>
        <w:rPr>
          <w:rFonts w:ascii="宋体" w:hAnsi="宋体" w:cs="宋体"/>
          <w:sz w:val="24"/>
          <w:szCs w:val="24"/>
          <w:u w:val="single"/>
        </w:rPr>
        <w:t xml:space="preserve">      </w:t>
      </w:r>
      <w:r>
        <w:rPr>
          <w:rFonts w:hint="eastAsia" w:ascii="宋体" w:hAnsi="宋体" w:cs="宋体"/>
          <w:sz w:val="24"/>
          <w:szCs w:val="24"/>
          <w:u w:val="single"/>
        </w:rPr>
        <w:t>/</w:t>
      </w:r>
      <w:r>
        <w:rPr>
          <w:rFonts w:ascii="宋体" w:hAnsi="宋体" w:cs="宋体"/>
          <w:sz w:val="24"/>
          <w:szCs w:val="24"/>
          <w:u w:val="single"/>
        </w:rPr>
        <w:t xml:space="preserve">       </w:t>
      </w:r>
      <w:r>
        <w:rPr>
          <w:rFonts w:ascii="宋体" w:hAnsi="宋体" w:cs="宋体"/>
          <w:spacing w:val="-108"/>
          <w:sz w:val="24"/>
          <w:szCs w:val="24"/>
        </w:rPr>
        <w:t xml:space="preserve"> </w:t>
      </w:r>
      <w:r>
        <w:rPr>
          <w:rFonts w:ascii="宋体" w:hAnsi="宋体" w:cs="宋体"/>
          <w:sz w:val="24"/>
          <w:szCs w:val="24"/>
        </w:rPr>
        <w:t>分（子）项工程进度</w:t>
      </w:r>
      <w:r>
        <w:rPr>
          <w:rFonts w:ascii="宋体" w:hAnsi="宋体" w:cs="宋体"/>
          <w:spacing w:val="-1"/>
          <w:sz w:val="24"/>
          <w:szCs w:val="24"/>
        </w:rPr>
        <w:t>要求：</w:t>
      </w:r>
      <w:r>
        <w:rPr>
          <w:rFonts w:ascii="宋体" w:hAnsi="宋体" w:cs="宋体"/>
          <w:spacing w:val="-1"/>
          <w:sz w:val="24"/>
          <w:szCs w:val="24"/>
          <w:u w:val="single"/>
        </w:rPr>
        <w:t xml:space="preserve">          </w:t>
      </w:r>
      <w:r>
        <w:rPr>
          <w:rFonts w:hint="eastAsia" w:ascii="宋体" w:hAnsi="宋体" w:cs="宋体"/>
          <w:spacing w:val="-1"/>
          <w:sz w:val="24"/>
          <w:szCs w:val="24"/>
          <w:u w:val="single"/>
        </w:rPr>
        <w:t>/</w:t>
      </w:r>
      <w:r>
        <w:rPr>
          <w:rFonts w:ascii="宋体" w:hAnsi="宋体" w:cs="宋体"/>
          <w:spacing w:val="-1"/>
          <w:sz w:val="24"/>
          <w:szCs w:val="24"/>
          <w:u w:val="single"/>
        </w:rPr>
        <w:t xml:space="preserve">       </w:t>
      </w:r>
      <w:r>
        <w:rPr>
          <w:rFonts w:ascii="宋体" w:hAnsi="宋体" w:cs="宋体"/>
          <w:spacing w:val="-1"/>
          <w:sz w:val="24"/>
          <w:szCs w:val="24"/>
        </w:rPr>
        <w:t>。</w:t>
      </w:r>
    </w:p>
    <w:p w14:paraId="69A0172A">
      <w:pPr>
        <w:spacing w:before="116" w:line="220" w:lineRule="auto"/>
        <w:ind w:left="488"/>
        <w:rPr>
          <w:rFonts w:ascii="宋体" w:hAnsi="宋体" w:cs="宋体"/>
          <w:spacing w:val="-3"/>
          <w:sz w:val="24"/>
          <w:szCs w:val="24"/>
        </w:rPr>
      </w:pPr>
      <w:r>
        <w:rPr>
          <w:rFonts w:ascii="宋体" w:hAnsi="宋体" w:cs="宋体"/>
          <w:spacing w:val="-3"/>
          <w:sz w:val="24"/>
          <w:szCs w:val="24"/>
        </w:rPr>
        <w:t>（</w:t>
      </w:r>
      <w:r>
        <w:rPr>
          <w:rFonts w:eastAsia="Times New Roman"/>
          <w:spacing w:val="-3"/>
          <w:sz w:val="24"/>
          <w:szCs w:val="24"/>
        </w:rPr>
        <w:t>4</w:t>
      </w:r>
      <w:r>
        <w:rPr>
          <w:rFonts w:ascii="宋体" w:hAnsi="宋体" w:cs="宋体"/>
          <w:spacing w:val="-3"/>
          <w:sz w:val="24"/>
          <w:szCs w:val="24"/>
        </w:rPr>
        <w:t>）质量要求</w:t>
      </w:r>
      <w:r>
        <w:rPr>
          <w:rFonts w:hint="eastAsia" w:ascii="宋体" w:hAnsi="宋体" w:cs="宋体"/>
          <w:spacing w:val="-3"/>
          <w:sz w:val="24"/>
          <w:szCs w:val="24"/>
        </w:rPr>
        <w:t>：</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12128A0D">
      <w:pPr>
        <w:spacing w:before="78" w:line="217" w:lineRule="auto"/>
        <w:ind w:left="479"/>
        <w:rPr>
          <w:rFonts w:ascii="宋体" w:hAnsi="宋体" w:cs="宋体"/>
          <w:sz w:val="24"/>
          <w:szCs w:val="24"/>
        </w:rPr>
      </w:pPr>
      <w:r>
        <w:rPr>
          <w:rFonts w:ascii="宋体" w:hAnsi="宋体" w:cs="宋体"/>
          <w:spacing w:val="-1"/>
          <w:sz w:val="24"/>
          <w:szCs w:val="24"/>
        </w:rPr>
        <w:t>① 总体质量要求：</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714C9549">
      <w:pPr>
        <w:spacing w:before="118" w:line="217" w:lineRule="auto"/>
        <w:ind w:left="478"/>
        <w:rPr>
          <w:rFonts w:ascii="宋体" w:hAnsi="宋体" w:cs="宋体"/>
          <w:sz w:val="24"/>
          <w:szCs w:val="24"/>
        </w:rPr>
      </w:pPr>
      <w:r>
        <w:rPr>
          <w:rFonts w:ascii="宋体" w:hAnsi="宋体" w:cs="宋体"/>
          <w:sz w:val="24"/>
          <w:szCs w:val="24"/>
        </w:rPr>
        <w:t xml:space="preserve">② </w:t>
      </w:r>
      <w:r>
        <w:rPr>
          <w:rFonts w:hint="eastAsia" w:ascii="宋体" w:hAnsi="宋体" w:cs="宋体"/>
          <w:sz w:val="24"/>
          <w:szCs w:val="24"/>
        </w:rPr>
        <w:t>全部</w:t>
      </w:r>
      <w:r>
        <w:rPr>
          <w:rFonts w:ascii="宋体" w:hAnsi="宋体" w:cs="宋体"/>
          <w:spacing w:val="-108"/>
          <w:sz w:val="24"/>
          <w:szCs w:val="24"/>
        </w:rPr>
        <w:t xml:space="preserve"> </w:t>
      </w:r>
      <w:r>
        <w:rPr>
          <w:rFonts w:ascii="宋体" w:hAnsi="宋体" w:cs="宋体"/>
          <w:sz w:val="24"/>
          <w:szCs w:val="24"/>
        </w:rPr>
        <w:t>分（子）项工程质量要</w:t>
      </w:r>
      <w:r>
        <w:rPr>
          <w:rFonts w:ascii="宋体" w:hAnsi="宋体" w:cs="宋体"/>
          <w:spacing w:val="-1"/>
          <w:sz w:val="24"/>
          <w:szCs w:val="24"/>
        </w:rPr>
        <w:t>求：</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77EBE60F">
      <w:pPr>
        <w:spacing w:before="106" w:line="219" w:lineRule="auto"/>
        <w:ind w:left="491"/>
        <w:rPr>
          <w:rFonts w:ascii="宋体" w:hAnsi="宋体" w:cs="宋体"/>
          <w:sz w:val="24"/>
          <w:szCs w:val="24"/>
        </w:rPr>
      </w:pPr>
      <w:r>
        <w:rPr>
          <w:rFonts w:ascii="宋体" w:hAnsi="宋体" w:cs="宋体"/>
          <w:spacing w:val="-3"/>
          <w:sz w:val="24"/>
          <w:szCs w:val="24"/>
        </w:rPr>
        <w:t>（</w:t>
      </w:r>
      <w:r>
        <w:rPr>
          <w:rFonts w:eastAsia="Times New Roman"/>
          <w:spacing w:val="-3"/>
          <w:sz w:val="24"/>
          <w:szCs w:val="24"/>
        </w:rPr>
        <w:t>5</w:t>
      </w:r>
      <w:r>
        <w:rPr>
          <w:rFonts w:ascii="宋体" w:hAnsi="宋体" w:cs="宋体"/>
          <w:spacing w:val="-3"/>
          <w:sz w:val="24"/>
          <w:szCs w:val="24"/>
        </w:rPr>
        <w:t>）安全生产要求</w:t>
      </w:r>
    </w:p>
    <w:p w14:paraId="7E76576B">
      <w:pPr>
        <w:spacing w:before="115" w:line="221" w:lineRule="auto"/>
        <w:ind w:left="484"/>
        <w:rPr>
          <w:rFonts w:ascii="宋体" w:hAnsi="宋体" w:cs="宋体"/>
          <w:sz w:val="24"/>
          <w:szCs w:val="24"/>
        </w:rPr>
      </w:pPr>
      <w:r>
        <w:rPr>
          <w:rFonts w:ascii="宋体" w:hAnsi="宋体" w:cs="宋体"/>
          <w:spacing w:val="-3"/>
          <w:sz w:val="24"/>
          <w:szCs w:val="24"/>
        </w:rPr>
        <w:t>具体为：</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3C849B56">
      <w:pPr>
        <w:spacing w:before="123" w:line="220" w:lineRule="auto"/>
        <w:ind w:left="491"/>
        <w:rPr>
          <w:rFonts w:ascii="宋体" w:hAnsi="宋体" w:cs="宋体"/>
          <w:sz w:val="24"/>
          <w:szCs w:val="24"/>
        </w:rPr>
      </w:pPr>
      <w:r>
        <w:rPr>
          <w:rFonts w:ascii="宋体" w:hAnsi="宋体" w:cs="宋体"/>
          <w:spacing w:val="-3"/>
          <w:sz w:val="24"/>
          <w:szCs w:val="24"/>
        </w:rPr>
        <w:t>（</w:t>
      </w:r>
      <w:r>
        <w:rPr>
          <w:rFonts w:eastAsia="Times New Roman"/>
          <w:spacing w:val="-3"/>
          <w:sz w:val="24"/>
          <w:szCs w:val="24"/>
        </w:rPr>
        <w:t>6</w:t>
      </w:r>
      <w:r>
        <w:rPr>
          <w:rFonts w:ascii="宋体" w:hAnsi="宋体" w:cs="宋体"/>
          <w:spacing w:val="-3"/>
          <w:sz w:val="24"/>
          <w:szCs w:val="24"/>
        </w:rPr>
        <w:t>）其他要求</w:t>
      </w:r>
    </w:p>
    <w:p w14:paraId="5C8B9DDB">
      <w:pPr>
        <w:spacing w:before="112" w:line="221" w:lineRule="auto"/>
        <w:ind w:left="484"/>
        <w:rPr>
          <w:rFonts w:ascii="宋体" w:hAnsi="宋体" w:cs="宋体"/>
          <w:sz w:val="24"/>
          <w:szCs w:val="24"/>
        </w:rPr>
      </w:pPr>
      <w:r>
        <w:rPr>
          <w:rFonts w:ascii="宋体" w:hAnsi="宋体" w:cs="宋体"/>
          <w:spacing w:val="-3"/>
          <w:sz w:val="24"/>
          <w:szCs w:val="24"/>
        </w:rPr>
        <w:t>具体为：</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p>
    <w:p w14:paraId="6DFE3D37">
      <w:pPr>
        <w:spacing w:before="105" w:line="219" w:lineRule="auto"/>
        <w:ind w:left="476"/>
        <w:outlineLvl w:val="3"/>
        <w:rPr>
          <w:rFonts w:ascii="宋体" w:hAnsi="宋体" w:cs="宋体"/>
          <w:sz w:val="24"/>
          <w:szCs w:val="24"/>
        </w:rPr>
      </w:pPr>
      <w:r>
        <w:rPr>
          <w:rFonts w:ascii="宋体" w:hAnsi="宋体" w:cs="宋体"/>
          <w:sz w:val="24"/>
          <w:szCs w:val="24"/>
        </w:rPr>
        <w:t xml:space="preserve"> </w:t>
      </w:r>
      <w:r>
        <w:rPr>
          <w:rFonts w:eastAsia="Times New Roman"/>
          <w:b/>
          <w:bCs/>
          <w:spacing w:val="-2"/>
          <w:sz w:val="24"/>
          <w:szCs w:val="24"/>
        </w:rPr>
        <w:t xml:space="preserve">2.4  </w:t>
      </w:r>
      <w:r>
        <w:rPr>
          <w:rFonts w:ascii="宋体" w:hAnsi="宋体" w:cs="宋体"/>
          <w:b/>
          <w:bCs/>
          <w:spacing w:val="-2"/>
          <w:sz w:val="24"/>
          <w:szCs w:val="24"/>
        </w:rPr>
        <w:t>承包人自主实施的养护工程要求</w:t>
      </w:r>
    </w:p>
    <w:p w14:paraId="46F60CE7">
      <w:pPr>
        <w:spacing w:before="115" w:line="263" w:lineRule="auto"/>
        <w:ind w:firstLine="491"/>
        <w:rPr>
          <w:rFonts w:ascii="宋体" w:hAnsi="宋体" w:cs="宋体"/>
          <w:sz w:val="24"/>
          <w:szCs w:val="24"/>
        </w:rPr>
      </w:pPr>
      <w:r>
        <w:rPr>
          <w:rFonts w:ascii="宋体" w:hAnsi="宋体" w:cs="宋体"/>
          <w:spacing w:val="-4"/>
          <w:sz w:val="24"/>
          <w:szCs w:val="24"/>
        </w:rPr>
        <w:t>（</w:t>
      </w:r>
      <w:r>
        <w:rPr>
          <w:rFonts w:eastAsia="Times New Roman"/>
          <w:spacing w:val="-4"/>
          <w:sz w:val="24"/>
          <w:szCs w:val="24"/>
        </w:rPr>
        <w:t>1</w:t>
      </w:r>
      <w:r>
        <w:rPr>
          <w:rFonts w:ascii="宋体" w:hAnsi="宋体" w:cs="宋体"/>
          <w:spacing w:val="-4"/>
          <w:sz w:val="24"/>
          <w:szCs w:val="24"/>
        </w:rPr>
        <w:t>）工作程序要求：</w:t>
      </w:r>
      <w:r>
        <w:rPr>
          <w:rFonts w:hint="eastAsia" w:ascii="宋体" w:hAnsi="宋体" w:cs="宋体"/>
          <w:spacing w:val="-3"/>
          <w:sz w:val="24"/>
          <w:szCs w:val="24"/>
          <w:u w:val="single"/>
          <w:lang w:val="en-US" w:eastAsia="zh-CN"/>
        </w:rPr>
        <w:t xml:space="preserve">  /   </w:t>
      </w:r>
      <w:r>
        <w:rPr>
          <w:rFonts w:ascii="宋体" w:hAnsi="宋体" w:cs="宋体"/>
          <w:spacing w:val="-3"/>
          <w:sz w:val="24"/>
          <w:szCs w:val="24"/>
        </w:rPr>
        <w:t>。</w:t>
      </w:r>
      <w:r>
        <w:rPr>
          <w:rFonts w:ascii="宋体" w:hAnsi="宋体" w:cs="宋体"/>
          <w:spacing w:val="-5"/>
          <w:sz w:val="24"/>
          <w:szCs w:val="24"/>
        </w:rPr>
        <w:t>（包括设</w:t>
      </w:r>
      <w:r>
        <w:rPr>
          <w:rFonts w:ascii="宋体" w:hAnsi="宋体" w:cs="宋体"/>
          <w:spacing w:val="-1"/>
          <w:sz w:val="24"/>
          <w:szCs w:val="24"/>
        </w:rPr>
        <w:t>计、施工、验收等各阶段具体工作流程要求）</w:t>
      </w:r>
    </w:p>
    <w:p w14:paraId="187932D9">
      <w:pPr>
        <w:spacing w:before="125" w:line="220" w:lineRule="auto"/>
        <w:ind w:left="491"/>
        <w:rPr>
          <w:rFonts w:ascii="宋体" w:hAnsi="宋体" w:cs="宋体"/>
          <w:sz w:val="24"/>
          <w:szCs w:val="24"/>
        </w:rPr>
      </w:pPr>
      <w:r>
        <w:rPr>
          <w:rFonts w:ascii="宋体" w:hAnsi="宋体" w:cs="宋体"/>
          <w:spacing w:val="-3"/>
          <w:sz w:val="24"/>
          <w:szCs w:val="24"/>
        </w:rPr>
        <w:t>（</w:t>
      </w:r>
      <w:r>
        <w:rPr>
          <w:rFonts w:eastAsia="Times New Roman"/>
          <w:spacing w:val="-3"/>
          <w:sz w:val="24"/>
          <w:szCs w:val="24"/>
        </w:rPr>
        <w:t>2</w:t>
      </w:r>
      <w:r>
        <w:rPr>
          <w:rFonts w:ascii="宋体" w:hAnsi="宋体" w:cs="宋体"/>
          <w:spacing w:val="-3"/>
          <w:sz w:val="24"/>
          <w:szCs w:val="24"/>
        </w:rPr>
        <w:t>）进度要求</w:t>
      </w:r>
    </w:p>
    <w:p w14:paraId="12144185">
      <w:pPr>
        <w:spacing w:before="115" w:line="217" w:lineRule="auto"/>
        <w:ind w:left="479"/>
        <w:rPr>
          <w:rFonts w:ascii="宋体" w:hAnsi="宋体" w:cs="宋体"/>
          <w:sz w:val="24"/>
          <w:szCs w:val="24"/>
        </w:rPr>
      </w:pPr>
      <w:r>
        <w:rPr>
          <w:rFonts w:ascii="宋体" w:hAnsi="宋体" w:cs="宋体"/>
          <w:spacing w:val="-1"/>
          <w:sz w:val="24"/>
          <w:szCs w:val="24"/>
        </w:rPr>
        <w:t>① 总体进度要求：</w:t>
      </w:r>
      <w:r>
        <w:rPr>
          <w:rFonts w:ascii="宋体" w:hAnsi="宋体" w:cs="宋体"/>
          <w:sz w:val="24"/>
          <w:szCs w:val="24"/>
          <w:u w:val="single"/>
        </w:rPr>
        <w:t xml:space="preserve">                  </w:t>
      </w:r>
      <w:r>
        <w:rPr>
          <w:rFonts w:hint="eastAsia" w:ascii="宋体" w:hAnsi="宋体" w:cs="宋体"/>
          <w:sz w:val="24"/>
          <w:szCs w:val="24"/>
          <w:u w:val="single"/>
        </w:rPr>
        <w:t>/</w:t>
      </w:r>
      <w:r>
        <w:rPr>
          <w:rFonts w:ascii="宋体" w:hAnsi="宋体" w:cs="宋体"/>
          <w:sz w:val="24"/>
          <w:szCs w:val="24"/>
          <w:u w:val="single"/>
        </w:rPr>
        <w:t xml:space="preserve">                       </w:t>
      </w:r>
      <w:r>
        <w:rPr>
          <w:rFonts w:ascii="宋体" w:hAnsi="宋体" w:cs="宋体"/>
          <w:spacing w:val="-1"/>
          <w:sz w:val="24"/>
          <w:szCs w:val="24"/>
        </w:rPr>
        <w:t>。</w:t>
      </w:r>
    </w:p>
    <w:p w14:paraId="194B9A68">
      <w:pPr>
        <w:spacing w:before="117" w:line="217" w:lineRule="auto"/>
        <w:ind w:left="478"/>
        <w:rPr>
          <w:rFonts w:ascii="宋体" w:hAnsi="宋体" w:cs="宋体"/>
          <w:sz w:val="24"/>
          <w:szCs w:val="24"/>
        </w:rPr>
      </w:pPr>
      <w:r>
        <w:rPr>
          <w:rFonts w:ascii="宋体" w:hAnsi="宋体" w:cs="宋体"/>
          <w:sz w:val="24"/>
          <w:szCs w:val="24"/>
        </w:rPr>
        <w:t xml:space="preserve">② </w:t>
      </w:r>
      <w:r>
        <w:rPr>
          <w:rFonts w:ascii="宋体" w:hAnsi="宋体" w:cs="宋体"/>
          <w:sz w:val="24"/>
          <w:szCs w:val="24"/>
          <w:u w:val="single"/>
        </w:rPr>
        <w:t xml:space="preserve">       </w:t>
      </w:r>
      <w:r>
        <w:rPr>
          <w:rFonts w:hint="eastAsia" w:ascii="宋体" w:hAnsi="宋体" w:cs="宋体"/>
          <w:sz w:val="24"/>
          <w:szCs w:val="24"/>
          <w:u w:val="single"/>
        </w:rPr>
        <w:t>/</w:t>
      </w:r>
      <w:r>
        <w:rPr>
          <w:rFonts w:ascii="宋体" w:hAnsi="宋体" w:cs="宋体"/>
          <w:sz w:val="24"/>
          <w:szCs w:val="24"/>
          <w:u w:val="single"/>
        </w:rPr>
        <w:t xml:space="preserve">      </w:t>
      </w:r>
      <w:r>
        <w:rPr>
          <w:rFonts w:ascii="宋体" w:hAnsi="宋体" w:cs="宋体"/>
          <w:spacing w:val="-108"/>
          <w:sz w:val="24"/>
          <w:szCs w:val="24"/>
        </w:rPr>
        <w:t xml:space="preserve"> </w:t>
      </w:r>
      <w:r>
        <w:rPr>
          <w:rFonts w:ascii="宋体" w:hAnsi="宋体" w:cs="宋体"/>
          <w:sz w:val="24"/>
          <w:szCs w:val="24"/>
        </w:rPr>
        <w:t>分（子）项工程进度要</w:t>
      </w:r>
      <w:r>
        <w:rPr>
          <w:rFonts w:ascii="宋体" w:hAnsi="宋体" w:cs="宋体"/>
          <w:spacing w:val="-1"/>
          <w:sz w:val="24"/>
          <w:szCs w:val="24"/>
        </w:rPr>
        <w:t>求：</w:t>
      </w:r>
      <w:r>
        <w:rPr>
          <w:rFonts w:ascii="宋体" w:hAnsi="宋体" w:cs="宋体"/>
          <w:spacing w:val="-1"/>
          <w:sz w:val="24"/>
          <w:szCs w:val="24"/>
          <w:u w:val="single"/>
        </w:rPr>
        <w:t xml:space="preserve">       </w:t>
      </w:r>
      <w:r>
        <w:rPr>
          <w:rFonts w:hint="eastAsia" w:ascii="宋体" w:hAnsi="宋体" w:cs="宋体"/>
          <w:spacing w:val="-1"/>
          <w:sz w:val="24"/>
          <w:szCs w:val="24"/>
          <w:u w:val="single"/>
        </w:rPr>
        <w:t>/</w:t>
      </w:r>
      <w:r>
        <w:rPr>
          <w:rFonts w:ascii="宋体" w:hAnsi="宋体" w:cs="宋体"/>
          <w:spacing w:val="-1"/>
          <w:sz w:val="24"/>
          <w:szCs w:val="24"/>
          <w:u w:val="single"/>
        </w:rPr>
        <w:t xml:space="preserve">           </w:t>
      </w:r>
      <w:r>
        <w:rPr>
          <w:rFonts w:ascii="宋体" w:hAnsi="宋体" w:cs="宋体"/>
          <w:spacing w:val="-1"/>
          <w:sz w:val="24"/>
          <w:szCs w:val="24"/>
        </w:rPr>
        <w:t>。</w:t>
      </w:r>
    </w:p>
    <w:p w14:paraId="4C62DF47">
      <w:pPr>
        <w:spacing w:before="118" w:line="220" w:lineRule="auto"/>
        <w:ind w:left="491"/>
        <w:rPr>
          <w:rFonts w:ascii="宋体" w:hAnsi="宋体" w:cs="宋体"/>
          <w:sz w:val="24"/>
          <w:szCs w:val="24"/>
        </w:rPr>
      </w:pPr>
      <w:r>
        <w:rPr>
          <w:rFonts w:ascii="宋体" w:hAnsi="宋体" w:cs="宋体"/>
          <w:spacing w:val="-3"/>
          <w:sz w:val="24"/>
          <w:szCs w:val="24"/>
        </w:rPr>
        <w:t>（</w:t>
      </w:r>
      <w:r>
        <w:rPr>
          <w:rFonts w:eastAsia="Times New Roman"/>
          <w:spacing w:val="-3"/>
          <w:sz w:val="24"/>
          <w:szCs w:val="24"/>
        </w:rPr>
        <w:t>3</w:t>
      </w:r>
      <w:r>
        <w:rPr>
          <w:rFonts w:ascii="宋体" w:hAnsi="宋体" w:cs="宋体"/>
          <w:spacing w:val="-3"/>
          <w:sz w:val="24"/>
          <w:szCs w:val="24"/>
        </w:rPr>
        <w:t>）质量要求</w:t>
      </w:r>
    </w:p>
    <w:p w14:paraId="197754F6">
      <w:pPr>
        <w:spacing w:before="115" w:line="217" w:lineRule="auto"/>
        <w:ind w:left="479"/>
        <w:rPr>
          <w:rFonts w:ascii="宋体" w:hAnsi="宋体" w:cs="宋体"/>
          <w:sz w:val="24"/>
          <w:szCs w:val="24"/>
        </w:rPr>
      </w:pPr>
      <w:r>
        <w:rPr>
          <w:rFonts w:ascii="宋体" w:hAnsi="宋体" w:cs="宋体"/>
          <w:spacing w:val="-1"/>
          <w:sz w:val="24"/>
          <w:szCs w:val="24"/>
        </w:rPr>
        <w:t>① 总体质量要求：</w:t>
      </w:r>
      <w:r>
        <w:rPr>
          <w:rFonts w:ascii="宋体" w:hAnsi="宋体" w:cs="宋体"/>
          <w:sz w:val="24"/>
          <w:szCs w:val="24"/>
          <w:u w:val="single"/>
        </w:rPr>
        <w:t xml:space="preserve">               </w:t>
      </w:r>
      <w:r>
        <w:rPr>
          <w:rFonts w:hint="eastAsia" w:ascii="宋体" w:hAnsi="宋体" w:cs="宋体"/>
          <w:sz w:val="24"/>
          <w:szCs w:val="24"/>
          <w:u w:val="single"/>
        </w:rPr>
        <w:t>/</w:t>
      </w:r>
      <w:r>
        <w:rPr>
          <w:rFonts w:ascii="宋体" w:hAnsi="宋体" w:cs="宋体"/>
          <w:sz w:val="24"/>
          <w:szCs w:val="24"/>
          <w:u w:val="single"/>
        </w:rPr>
        <w:t xml:space="preserve">                          </w:t>
      </w:r>
      <w:r>
        <w:rPr>
          <w:rFonts w:ascii="宋体" w:hAnsi="宋体" w:cs="宋体"/>
          <w:spacing w:val="-1"/>
          <w:sz w:val="24"/>
          <w:szCs w:val="24"/>
        </w:rPr>
        <w:t>。</w:t>
      </w:r>
    </w:p>
    <w:p w14:paraId="58E9F8DC">
      <w:pPr>
        <w:spacing w:before="117" w:line="217" w:lineRule="auto"/>
        <w:ind w:left="478"/>
        <w:rPr>
          <w:rFonts w:ascii="宋体" w:hAnsi="宋体" w:cs="宋体"/>
          <w:sz w:val="24"/>
          <w:szCs w:val="24"/>
        </w:rPr>
      </w:pPr>
      <w:r>
        <w:rPr>
          <w:rFonts w:ascii="宋体" w:hAnsi="宋体" w:cs="宋体"/>
          <w:sz w:val="24"/>
          <w:szCs w:val="24"/>
        </w:rPr>
        <w:t xml:space="preserve">② </w:t>
      </w:r>
      <w:r>
        <w:rPr>
          <w:rFonts w:ascii="宋体" w:hAnsi="宋体" w:cs="宋体"/>
          <w:sz w:val="24"/>
          <w:szCs w:val="24"/>
          <w:u w:val="single"/>
        </w:rPr>
        <w:t xml:space="preserve">           </w:t>
      </w:r>
      <w:r>
        <w:rPr>
          <w:rFonts w:hint="eastAsia" w:ascii="宋体" w:hAnsi="宋体" w:cs="宋体"/>
          <w:sz w:val="24"/>
          <w:szCs w:val="24"/>
          <w:u w:val="single"/>
        </w:rPr>
        <w:t>/</w:t>
      </w:r>
      <w:r>
        <w:rPr>
          <w:rFonts w:ascii="宋体" w:hAnsi="宋体" w:cs="宋体"/>
          <w:sz w:val="24"/>
          <w:szCs w:val="24"/>
          <w:u w:val="single"/>
        </w:rPr>
        <w:t xml:space="preserve">  </w:t>
      </w:r>
      <w:r>
        <w:rPr>
          <w:rFonts w:ascii="宋体" w:hAnsi="宋体" w:cs="宋体"/>
          <w:spacing w:val="-108"/>
          <w:sz w:val="24"/>
          <w:szCs w:val="24"/>
        </w:rPr>
        <w:t xml:space="preserve"> </w:t>
      </w:r>
      <w:r>
        <w:rPr>
          <w:rFonts w:ascii="宋体" w:hAnsi="宋体" w:cs="宋体"/>
          <w:sz w:val="24"/>
          <w:szCs w:val="24"/>
        </w:rPr>
        <w:t>分（子）项工程质量要</w:t>
      </w:r>
      <w:r>
        <w:rPr>
          <w:rFonts w:ascii="宋体" w:hAnsi="宋体" w:cs="宋体"/>
          <w:spacing w:val="-1"/>
          <w:sz w:val="24"/>
          <w:szCs w:val="24"/>
        </w:rPr>
        <w:t>求：</w:t>
      </w:r>
      <w:r>
        <w:rPr>
          <w:rFonts w:ascii="宋体" w:hAnsi="宋体" w:cs="宋体"/>
          <w:spacing w:val="-1"/>
          <w:sz w:val="24"/>
          <w:szCs w:val="24"/>
          <w:u w:val="single"/>
        </w:rPr>
        <w:t xml:space="preserve">     </w:t>
      </w:r>
      <w:r>
        <w:rPr>
          <w:rFonts w:hint="eastAsia" w:ascii="宋体" w:hAnsi="宋体" w:cs="宋体"/>
          <w:spacing w:val="-1"/>
          <w:sz w:val="24"/>
          <w:szCs w:val="24"/>
          <w:u w:val="single"/>
        </w:rPr>
        <w:t>/</w:t>
      </w:r>
      <w:r>
        <w:rPr>
          <w:rFonts w:ascii="宋体" w:hAnsi="宋体" w:cs="宋体"/>
          <w:spacing w:val="-1"/>
          <w:sz w:val="24"/>
          <w:szCs w:val="24"/>
          <w:u w:val="single"/>
        </w:rPr>
        <w:t xml:space="preserve">            </w:t>
      </w:r>
      <w:r>
        <w:rPr>
          <w:rFonts w:ascii="宋体" w:hAnsi="宋体" w:cs="宋体"/>
          <w:spacing w:val="-1"/>
          <w:sz w:val="24"/>
          <w:szCs w:val="24"/>
        </w:rPr>
        <w:t>。</w:t>
      </w:r>
    </w:p>
    <w:p w14:paraId="0A60ACD0">
      <w:pPr>
        <w:spacing w:before="109" w:line="219" w:lineRule="auto"/>
        <w:ind w:left="491"/>
        <w:rPr>
          <w:rFonts w:ascii="宋体" w:hAnsi="宋体" w:cs="宋体"/>
          <w:sz w:val="24"/>
          <w:szCs w:val="24"/>
        </w:rPr>
      </w:pPr>
      <w:r>
        <w:rPr>
          <w:rFonts w:ascii="宋体" w:hAnsi="宋体" w:cs="宋体"/>
          <w:spacing w:val="-3"/>
          <w:sz w:val="24"/>
          <w:szCs w:val="24"/>
        </w:rPr>
        <w:t>（</w:t>
      </w:r>
      <w:r>
        <w:rPr>
          <w:rFonts w:eastAsia="Times New Roman"/>
          <w:spacing w:val="-3"/>
          <w:sz w:val="24"/>
          <w:szCs w:val="24"/>
        </w:rPr>
        <w:t>4</w:t>
      </w:r>
      <w:r>
        <w:rPr>
          <w:rFonts w:ascii="宋体" w:hAnsi="宋体" w:cs="宋体"/>
          <w:spacing w:val="-3"/>
          <w:sz w:val="24"/>
          <w:szCs w:val="24"/>
        </w:rPr>
        <w:t>）安全生产要求</w:t>
      </w:r>
    </w:p>
    <w:p w14:paraId="64E0A0FC">
      <w:pPr>
        <w:spacing w:before="115" w:line="221" w:lineRule="auto"/>
        <w:ind w:left="484"/>
        <w:rPr>
          <w:rFonts w:ascii="宋体" w:hAnsi="宋体" w:cs="宋体"/>
          <w:sz w:val="24"/>
          <w:szCs w:val="24"/>
        </w:rPr>
      </w:pPr>
      <w:r>
        <w:rPr>
          <w:rFonts w:ascii="宋体" w:hAnsi="宋体" w:cs="宋体"/>
          <w:spacing w:val="-3"/>
          <w:sz w:val="24"/>
          <w:szCs w:val="24"/>
        </w:rPr>
        <w:t>具体为：</w:t>
      </w:r>
      <w:r>
        <w:rPr>
          <w:rFonts w:ascii="宋体" w:hAnsi="宋体" w:cs="宋体"/>
          <w:sz w:val="24"/>
          <w:szCs w:val="24"/>
          <w:u w:val="single"/>
        </w:rPr>
        <w:t xml:space="preserve">                             </w:t>
      </w:r>
      <w:r>
        <w:rPr>
          <w:rFonts w:hint="eastAsia" w:ascii="宋体" w:hAnsi="宋体" w:cs="宋体"/>
          <w:sz w:val="24"/>
          <w:szCs w:val="24"/>
          <w:u w:val="single"/>
        </w:rPr>
        <w:t>/</w:t>
      </w:r>
      <w:r>
        <w:rPr>
          <w:rFonts w:ascii="宋体" w:hAnsi="宋体" w:cs="宋体"/>
          <w:sz w:val="24"/>
          <w:szCs w:val="24"/>
          <w:u w:val="single"/>
        </w:rPr>
        <w:t xml:space="preserve">                     </w:t>
      </w:r>
      <w:r>
        <w:rPr>
          <w:rFonts w:ascii="宋体" w:hAnsi="宋体" w:cs="宋体"/>
          <w:spacing w:val="-3"/>
          <w:sz w:val="24"/>
          <w:szCs w:val="24"/>
        </w:rPr>
        <w:t>。</w:t>
      </w:r>
    </w:p>
    <w:p w14:paraId="30F6C8E2">
      <w:pPr>
        <w:spacing w:before="121" w:line="220" w:lineRule="auto"/>
        <w:ind w:left="491"/>
        <w:rPr>
          <w:rFonts w:ascii="宋体" w:hAnsi="宋体" w:cs="宋体"/>
          <w:sz w:val="24"/>
          <w:szCs w:val="24"/>
        </w:rPr>
      </w:pPr>
      <w:r>
        <w:rPr>
          <w:rFonts w:ascii="宋体" w:hAnsi="宋体" w:cs="宋体"/>
          <w:spacing w:val="-3"/>
          <w:sz w:val="24"/>
          <w:szCs w:val="24"/>
        </w:rPr>
        <w:t>（</w:t>
      </w:r>
      <w:r>
        <w:rPr>
          <w:rFonts w:eastAsia="Times New Roman"/>
          <w:spacing w:val="-3"/>
          <w:sz w:val="24"/>
          <w:szCs w:val="24"/>
        </w:rPr>
        <w:t>5</w:t>
      </w:r>
      <w:r>
        <w:rPr>
          <w:rFonts w:ascii="宋体" w:hAnsi="宋体" w:cs="宋体"/>
          <w:spacing w:val="-3"/>
          <w:sz w:val="24"/>
          <w:szCs w:val="24"/>
        </w:rPr>
        <w:t>）其他要求</w:t>
      </w:r>
    </w:p>
    <w:p w14:paraId="26973197">
      <w:pPr>
        <w:spacing w:before="115" w:line="221" w:lineRule="auto"/>
        <w:ind w:left="484"/>
        <w:rPr>
          <w:rFonts w:ascii="宋体" w:hAnsi="宋体" w:cs="宋体"/>
          <w:sz w:val="24"/>
          <w:szCs w:val="24"/>
        </w:rPr>
      </w:pPr>
      <w:r>
        <w:rPr>
          <w:rFonts w:ascii="宋体" w:hAnsi="宋体" w:cs="宋体"/>
          <w:spacing w:val="-3"/>
          <w:sz w:val="24"/>
          <w:szCs w:val="24"/>
        </w:rPr>
        <w:t>具体为：</w:t>
      </w:r>
      <w:r>
        <w:rPr>
          <w:rFonts w:ascii="宋体" w:hAnsi="宋体" w:cs="宋体"/>
          <w:sz w:val="24"/>
          <w:szCs w:val="24"/>
          <w:u w:val="single"/>
        </w:rPr>
        <w:t xml:space="preserve">                        </w:t>
      </w:r>
      <w:r>
        <w:rPr>
          <w:rFonts w:hint="eastAsia" w:ascii="宋体" w:hAnsi="宋体" w:cs="宋体"/>
          <w:sz w:val="24"/>
          <w:szCs w:val="24"/>
          <w:u w:val="single"/>
        </w:rPr>
        <w:t>/</w:t>
      </w:r>
      <w:r>
        <w:rPr>
          <w:rFonts w:ascii="宋体" w:hAnsi="宋体" w:cs="宋体"/>
          <w:sz w:val="24"/>
          <w:szCs w:val="24"/>
          <w:u w:val="single"/>
        </w:rPr>
        <w:t xml:space="preserve">                          </w:t>
      </w:r>
      <w:r>
        <w:rPr>
          <w:rFonts w:ascii="宋体" w:hAnsi="宋体" w:cs="宋体"/>
          <w:spacing w:val="-3"/>
          <w:sz w:val="24"/>
          <w:szCs w:val="24"/>
        </w:rPr>
        <w:t>。</w:t>
      </w:r>
    </w:p>
    <w:p w14:paraId="73419A0A">
      <w:pPr>
        <w:spacing w:before="104" w:line="219" w:lineRule="auto"/>
        <w:ind w:left="476"/>
        <w:outlineLvl w:val="3"/>
        <w:rPr>
          <w:rFonts w:ascii="宋体" w:hAnsi="宋体" w:cs="宋体"/>
          <w:sz w:val="24"/>
          <w:szCs w:val="24"/>
        </w:rPr>
      </w:pPr>
      <w:r>
        <w:rPr>
          <w:rFonts w:eastAsia="Times New Roman"/>
          <w:b/>
          <w:bCs/>
          <w:spacing w:val="-2"/>
          <w:sz w:val="24"/>
          <w:szCs w:val="24"/>
        </w:rPr>
        <w:t xml:space="preserve">2.5  </w:t>
      </w:r>
      <w:r>
        <w:rPr>
          <w:rFonts w:ascii="宋体" w:hAnsi="宋体" w:cs="宋体"/>
          <w:b/>
          <w:bCs/>
          <w:spacing w:val="-2"/>
          <w:sz w:val="24"/>
          <w:szCs w:val="24"/>
        </w:rPr>
        <w:t>应急和不可预见的专项养护工程（工作）内容及要求</w:t>
      </w:r>
    </w:p>
    <w:p w14:paraId="784DD416">
      <w:pPr>
        <w:keepNext w:val="0"/>
        <w:keepLines w:val="0"/>
        <w:pageBreakBefore w:val="0"/>
        <w:kinsoku/>
        <w:wordWrap/>
        <w:overflowPunct/>
        <w:topLinePunct w:val="0"/>
        <w:autoSpaceDE/>
        <w:autoSpaceDN/>
        <w:bidi w:val="0"/>
        <w:adjustRightInd/>
        <w:snapToGrid/>
        <w:spacing w:before="114" w:line="360" w:lineRule="auto"/>
        <w:ind w:left="0" w:right="166" w:firstLine="478"/>
        <w:textAlignment w:val="auto"/>
        <w:rPr>
          <w:rFonts w:hint="eastAsia"/>
          <w:color w:val="auto"/>
          <w:sz w:val="24"/>
          <w:szCs w:val="24"/>
          <w:highlight w:val="none"/>
        </w:rPr>
      </w:pPr>
      <w:r>
        <w:rPr>
          <w:rFonts w:ascii="宋体" w:hAnsi="宋体" w:cs="宋体"/>
          <w:spacing w:val="-1"/>
          <w:sz w:val="24"/>
          <w:szCs w:val="24"/>
        </w:rPr>
        <w:t>（</w:t>
      </w:r>
      <w:r>
        <w:rPr>
          <w:rFonts w:eastAsia="Times New Roman"/>
          <w:spacing w:val="-1"/>
          <w:sz w:val="24"/>
          <w:szCs w:val="24"/>
        </w:rPr>
        <w:t>1</w:t>
      </w:r>
      <w:r>
        <w:rPr>
          <w:rFonts w:ascii="宋体" w:hAnsi="宋体" w:cs="宋体"/>
          <w:spacing w:val="-1"/>
          <w:sz w:val="24"/>
          <w:szCs w:val="24"/>
        </w:rPr>
        <w:t>）</w:t>
      </w:r>
      <w:r>
        <w:rPr>
          <w:rFonts w:eastAsia="Times New Roman"/>
          <w:color w:val="auto"/>
          <w:spacing w:val="4"/>
          <w:sz w:val="24"/>
          <w:szCs w:val="24"/>
          <w:highlight w:val="none"/>
        </w:rPr>
        <w:t xml:space="preserve">I </w:t>
      </w:r>
      <w:r>
        <w:rPr>
          <w:rFonts w:ascii="宋体" w:hAnsi="宋体" w:cs="宋体"/>
          <w:color w:val="auto"/>
          <w:spacing w:val="4"/>
          <w:sz w:val="24"/>
          <w:szCs w:val="24"/>
          <w:highlight w:val="none"/>
        </w:rPr>
        <w:t>类：公路突发损毁的抢通、保通、临时抢修</w:t>
      </w:r>
      <w:r>
        <w:rPr>
          <w:rFonts w:ascii="宋体" w:hAnsi="宋体" w:cs="宋体"/>
          <w:color w:val="auto"/>
          <w:spacing w:val="3"/>
          <w:sz w:val="24"/>
          <w:szCs w:val="24"/>
          <w:highlight w:val="none"/>
        </w:rPr>
        <w:t>及应急保障</w:t>
      </w:r>
      <w:r>
        <w:rPr>
          <w:rFonts w:ascii="宋体" w:hAnsi="宋体" w:cs="宋体"/>
          <w:color w:val="auto"/>
          <w:spacing w:val="4"/>
          <w:sz w:val="24"/>
          <w:szCs w:val="24"/>
          <w:highlight w:val="none"/>
        </w:rPr>
        <w:t>，具体内容为</w:t>
      </w:r>
      <w:r>
        <w:rPr>
          <w:rFonts w:ascii="宋体" w:hAnsi="宋体" w:cs="宋体"/>
          <w:color w:val="auto"/>
          <w:spacing w:val="-27"/>
          <w:sz w:val="24"/>
          <w:szCs w:val="24"/>
          <w:highlight w:val="none"/>
        </w:rPr>
        <w:t>：</w:t>
      </w:r>
      <w:r>
        <w:rPr>
          <w:rFonts w:hint="eastAsia"/>
          <w:color w:val="auto"/>
          <w:sz w:val="24"/>
          <w:szCs w:val="24"/>
          <w:highlight w:val="none"/>
        </w:rPr>
        <w:t>清理塌方（单处＜5m³）、清理落石（单处＜0.5m³）、清理倒伏路树及危树（地径＜10cm）、防汛排水、清理路面洒落物、交通事故清障、路基路面塌陷临时处置、涉路管线倒伏隐患清理、路侧护栏损坏临时防护、桥梁涵洞隧道垮塌临时处置，以及所有公路突发事件或灾害事件的现场警示、管控、维护、值守等，相关费用包含在绩效清单报价中，按绩效考核模式管理。</w:t>
      </w:r>
    </w:p>
    <w:p w14:paraId="1BFC2F50">
      <w:pPr>
        <w:spacing w:before="114" w:line="308" w:lineRule="auto"/>
        <w:ind w:firstLine="483"/>
        <w:rPr>
          <w:rFonts w:hint="eastAsia" w:ascii="宋体" w:hAnsi="宋体" w:cs="宋体"/>
          <w:color w:val="auto"/>
          <w:sz w:val="24"/>
          <w:szCs w:val="24"/>
          <w:highlight w:val="none"/>
          <w:u w:val="single"/>
        </w:rPr>
      </w:pPr>
      <w:r>
        <w:rPr>
          <w:rFonts w:ascii="宋体" w:hAnsi="宋体" w:cs="宋体"/>
          <w:color w:val="auto"/>
          <w:spacing w:val="4"/>
          <w:sz w:val="24"/>
          <w:highlight w:val="none"/>
        </w:rPr>
        <w:t>处置要求为</w:t>
      </w:r>
      <w:r>
        <w:rPr>
          <w:rFonts w:ascii="宋体" w:hAnsi="宋体" w:cs="宋体"/>
          <w:color w:val="auto"/>
          <w:spacing w:val="-12"/>
          <w:sz w:val="24"/>
          <w:highlight w:val="none"/>
        </w:rPr>
        <w:t>：</w:t>
      </w:r>
      <w:r>
        <w:rPr>
          <w:rFonts w:hint="eastAsia" w:ascii="宋体" w:hAnsi="宋体" w:cs="宋体"/>
          <w:color w:val="auto"/>
          <w:sz w:val="24"/>
          <w:szCs w:val="24"/>
          <w:highlight w:val="none"/>
          <w:u w:val="single"/>
        </w:rPr>
        <w:t>具有应急机构、应急预案、应急物资和设备、应急队伍，对巡查发现的应急事项或对发包人发出的应急通知应在30分钟内完成响应，一般1小时内要到达现场处置和管控，最迟不超过2小时，常规险情要在24小时内完成处置，艰险情况要配合好发包人和当地政府开展抢险救灾工作</w:t>
      </w:r>
    </w:p>
    <w:p w14:paraId="17A4C0EB">
      <w:pPr>
        <w:keepNext w:val="0"/>
        <w:keepLines w:val="0"/>
        <w:pageBreakBefore w:val="0"/>
        <w:widowControl/>
        <w:kinsoku/>
        <w:wordWrap/>
        <w:overflowPunct/>
        <w:topLinePunct w:val="0"/>
        <w:autoSpaceDE/>
        <w:autoSpaceDN/>
        <w:bidi w:val="0"/>
        <w:adjustRightInd/>
        <w:snapToGrid/>
        <w:spacing w:before="0" w:line="360" w:lineRule="auto"/>
        <w:ind w:right="0" w:firstLine="420"/>
        <w:textAlignment w:val="auto"/>
        <w:rPr>
          <w:rFonts w:hint="eastAsia" w:ascii="宋体" w:hAnsi="宋体" w:cs="宋体"/>
          <w:color w:val="auto"/>
          <w:sz w:val="24"/>
          <w:szCs w:val="24"/>
          <w:highlight w:val="none"/>
          <w:u w:val="single"/>
        </w:rPr>
      </w:pPr>
      <w:r>
        <w:rPr>
          <w:rFonts w:eastAsia="Times New Roman"/>
          <w:color w:val="auto"/>
          <w:spacing w:val="3"/>
          <w:sz w:val="24"/>
          <w:szCs w:val="24"/>
          <w:highlight w:val="none"/>
        </w:rPr>
        <w:t>Ⅱ</w:t>
      </w:r>
      <w:r>
        <w:rPr>
          <w:rFonts w:ascii="宋体" w:hAnsi="宋体" w:cs="宋体"/>
          <w:color w:val="auto"/>
          <w:spacing w:val="3"/>
          <w:sz w:val="24"/>
          <w:szCs w:val="24"/>
          <w:highlight w:val="none"/>
        </w:rPr>
        <w:t>类：因严重自然灾害、重特大交通事故以及其他突发事件造成的严重的公路</w:t>
      </w:r>
      <w:r>
        <w:rPr>
          <w:rFonts w:ascii="宋体" w:hAnsi="宋体" w:cs="宋体"/>
          <w:color w:val="auto"/>
          <w:spacing w:val="1"/>
          <w:sz w:val="24"/>
          <w:szCs w:val="24"/>
          <w:highlight w:val="none"/>
        </w:rPr>
        <w:t>设施损毁</w:t>
      </w:r>
      <w:r>
        <w:rPr>
          <w:rFonts w:ascii="宋体" w:hAnsi="宋体" w:cs="宋体"/>
          <w:color w:val="auto"/>
          <w:spacing w:val="-25"/>
          <w:sz w:val="24"/>
          <w:szCs w:val="24"/>
          <w:highlight w:val="none"/>
        </w:rPr>
        <w:t>，</w:t>
      </w:r>
      <w:r>
        <w:rPr>
          <w:rFonts w:ascii="宋体" w:hAnsi="宋体" w:cs="宋体"/>
          <w:color w:val="auto"/>
          <w:spacing w:val="-4"/>
          <w:sz w:val="24"/>
          <w:szCs w:val="24"/>
          <w:highlight w:val="none"/>
        </w:rPr>
        <w:t>具体内容为</w:t>
      </w:r>
      <w:r>
        <w:rPr>
          <w:rFonts w:ascii="宋体" w:hAnsi="宋体" w:cs="宋体"/>
          <w:color w:val="auto"/>
          <w:spacing w:val="-25"/>
          <w:sz w:val="24"/>
          <w:szCs w:val="24"/>
          <w:highlight w:val="none"/>
        </w:rPr>
        <w:t>：</w:t>
      </w:r>
      <w:r>
        <w:rPr>
          <w:rFonts w:hint="eastAsia" w:ascii="宋体" w:hAnsi="宋体" w:cs="宋体"/>
          <w:color w:val="auto"/>
          <w:sz w:val="24"/>
          <w:szCs w:val="24"/>
          <w:highlight w:val="none"/>
          <w:u w:val="single"/>
        </w:rPr>
        <w:t>所有公路突发事件或灾害事件的现场警示、管控、维护、值守等，相关费用包含在绩效清单报价中，按绩效考核模式管理。</w:t>
      </w:r>
    </w:p>
    <w:p w14:paraId="624874C0">
      <w:pPr>
        <w:spacing w:before="114" w:line="308" w:lineRule="auto"/>
        <w:ind w:firstLine="483"/>
        <w:rPr>
          <w:rFonts w:hint="eastAsia" w:ascii="宋体" w:hAnsi="宋体" w:cs="宋体"/>
          <w:color w:val="auto"/>
          <w:sz w:val="24"/>
          <w:szCs w:val="24"/>
          <w:highlight w:val="none"/>
          <w:u w:val="single"/>
        </w:rPr>
      </w:pPr>
      <w:r>
        <w:rPr>
          <w:rFonts w:ascii="宋体" w:hAnsi="宋体" w:cs="宋体"/>
          <w:color w:val="auto"/>
          <w:spacing w:val="4"/>
          <w:sz w:val="24"/>
          <w:highlight w:val="none"/>
        </w:rPr>
        <w:t>处置要求为</w:t>
      </w:r>
      <w:r>
        <w:rPr>
          <w:rFonts w:ascii="宋体" w:hAnsi="宋体" w:cs="宋体"/>
          <w:color w:val="auto"/>
          <w:spacing w:val="-12"/>
          <w:sz w:val="24"/>
          <w:highlight w:val="none"/>
        </w:rPr>
        <w:t>：</w:t>
      </w:r>
      <w:r>
        <w:rPr>
          <w:rFonts w:hint="eastAsia" w:ascii="宋体" w:hAnsi="宋体" w:cs="宋体"/>
          <w:color w:val="auto"/>
          <w:sz w:val="24"/>
          <w:szCs w:val="24"/>
          <w:highlight w:val="none"/>
          <w:u w:val="single"/>
        </w:rPr>
        <w:t>一般1小时内要到达现场处置和管控，最迟不超过2小时，常规险情要在24小时内完成处置，艰险情况要配合好发包人和当地政府开展抢险救灾工作</w:t>
      </w:r>
    </w:p>
    <w:p w14:paraId="18DB6844">
      <w:pPr>
        <w:keepNext w:val="0"/>
        <w:keepLines w:val="0"/>
        <w:pageBreakBefore w:val="0"/>
        <w:kinsoku/>
        <w:wordWrap/>
        <w:overflowPunct/>
        <w:topLinePunct w:val="0"/>
        <w:autoSpaceDE/>
        <w:autoSpaceDN/>
        <w:bidi w:val="0"/>
        <w:adjustRightInd/>
        <w:snapToGrid/>
        <w:spacing w:before="114" w:line="360" w:lineRule="auto"/>
        <w:ind w:right="166" w:firstLine="478"/>
        <w:textAlignment w:val="auto"/>
        <w:rPr>
          <w:rFonts w:hint="eastAsia"/>
          <w:color w:val="auto"/>
          <w:sz w:val="24"/>
          <w:szCs w:val="24"/>
          <w:highlight w:val="none"/>
          <w:lang w:eastAsia="zh-CN"/>
        </w:rPr>
      </w:pPr>
      <w:r>
        <w:rPr>
          <w:rFonts w:eastAsia="Times New Roman"/>
          <w:color w:val="auto"/>
          <w:spacing w:val="1"/>
          <w:sz w:val="24"/>
          <w:szCs w:val="24"/>
          <w:highlight w:val="none"/>
        </w:rPr>
        <w:t>Ⅲ</w:t>
      </w:r>
      <w:r>
        <w:rPr>
          <w:rFonts w:ascii="宋体" w:hAnsi="宋体" w:cs="宋体"/>
          <w:color w:val="auto"/>
          <w:spacing w:val="1"/>
          <w:sz w:val="24"/>
          <w:szCs w:val="24"/>
          <w:highlight w:val="none"/>
        </w:rPr>
        <w:t>类：突发的经判定可能危及道路通行安全的重大安全隐患的处治（筹集专项</w:t>
      </w:r>
      <w:r>
        <w:rPr>
          <w:rFonts w:ascii="宋体" w:hAnsi="宋体" w:cs="宋体"/>
          <w:color w:val="auto"/>
          <w:spacing w:val="10"/>
          <w:sz w:val="24"/>
          <w:szCs w:val="24"/>
          <w:highlight w:val="none"/>
        </w:rPr>
        <w:t>资金另行</w:t>
      </w:r>
      <w:r>
        <w:rPr>
          <w:rFonts w:hint="eastAsia" w:ascii="宋体" w:hAnsi="宋体" w:cs="宋体"/>
          <w:color w:val="auto"/>
          <w:spacing w:val="10"/>
          <w:sz w:val="24"/>
          <w:szCs w:val="24"/>
          <w:highlight w:val="none"/>
          <w:lang w:val="en-US" w:eastAsia="zh-CN"/>
        </w:rPr>
        <w:t>采购</w:t>
      </w:r>
      <w:r>
        <w:rPr>
          <w:rFonts w:ascii="宋体" w:hAnsi="宋体" w:cs="宋体"/>
          <w:color w:val="auto"/>
          <w:spacing w:val="10"/>
          <w:sz w:val="24"/>
          <w:szCs w:val="24"/>
          <w:highlight w:val="none"/>
        </w:rPr>
        <w:t>，包含建安费与设计费等，不在合同总价资金范围内</w:t>
      </w:r>
      <w:r>
        <w:rPr>
          <w:rFonts w:ascii="宋体" w:hAnsi="宋体" w:cs="宋体"/>
          <w:color w:val="auto"/>
          <w:spacing w:val="-34"/>
          <w:sz w:val="24"/>
          <w:szCs w:val="24"/>
          <w:highlight w:val="none"/>
        </w:rPr>
        <w:t>），</w:t>
      </w:r>
      <w:r>
        <w:rPr>
          <w:rFonts w:ascii="宋体" w:hAnsi="宋体" w:cs="宋体"/>
          <w:color w:val="auto"/>
          <w:spacing w:val="10"/>
          <w:sz w:val="24"/>
          <w:szCs w:val="24"/>
          <w:highlight w:val="none"/>
        </w:rPr>
        <w:t>具体内容</w:t>
      </w:r>
      <w:r>
        <w:rPr>
          <w:rFonts w:ascii="宋体" w:hAnsi="宋体" w:cs="宋体"/>
          <w:color w:val="auto"/>
          <w:spacing w:val="-5"/>
          <w:sz w:val="24"/>
          <w:szCs w:val="24"/>
          <w:highlight w:val="none"/>
        </w:rPr>
        <w:t>为：</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所有公路突发事件或灾害事件的现场警示、管控、维护、值守等，相关费用包含在绩效清单报价中，按绩效考核模式管理</w:t>
      </w:r>
      <w:r>
        <w:rPr>
          <w:rFonts w:ascii="宋体" w:hAnsi="宋体" w:cs="宋体"/>
          <w:color w:val="auto"/>
          <w:sz w:val="24"/>
          <w:szCs w:val="24"/>
          <w:highlight w:val="none"/>
          <w:u w:val="single"/>
        </w:rPr>
        <w:t xml:space="preserve"> </w:t>
      </w:r>
      <w:r>
        <w:rPr>
          <w:rFonts w:hint="eastAsia"/>
          <w:color w:val="auto"/>
          <w:sz w:val="24"/>
          <w:szCs w:val="24"/>
          <w:highlight w:val="none"/>
        </w:rPr>
        <w:t>等</w:t>
      </w:r>
      <w:r>
        <w:rPr>
          <w:rFonts w:hint="eastAsia"/>
          <w:color w:val="auto"/>
          <w:sz w:val="24"/>
          <w:szCs w:val="24"/>
          <w:highlight w:val="none"/>
          <w:lang w:eastAsia="zh-CN"/>
        </w:rPr>
        <w:t>。</w:t>
      </w:r>
    </w:p>
    <w:p w14:paraId="02FDBAA7">
      <w:pPr>
        <w:spacing w:before="114" w:line="219" w:lineRule="auto"/>
        <w:ind w:firstLine="496" w:firstLineChars="200"/>
        <w:rPr>
          <w:rFonts w:hint="eastAsia" w:ascii="宋体" w:hAnsi="宋体" w:cs="宋体"/>
          <w:sz w:val="24"/>
          <w:szCs w:val="24"/>
          <w:u w:val="single"/>
        </w:rPr>
      </w:pPr>
      <w:r>
        <w:rPr>
          <w:rFonts w:ascii="宋体" w:hAnsi="宋体" w:cs="宋体"/>
          <w:color w:val="auto"/>
          <w:spacing w:val="4"/>
          <w:sz w:val="24"/>
          <w:highlight w:val="none"/>
        </w:rPr>
        <w:t>处置要求为</w:t>
      </w:r>
      <w:r>
        <w:rPr>
          <w:rFonts w:ascii="宋体" w:hAnsi="宋体" w:cs="宋体"/>
          <w:color w:val="auto"/>
          <w:spacing w:val="-12"/>
          <w:sz w:val="24"/>
          <w:highlight w:val="none"/>
        </w:rPr>
        <w:t>：</w:t>
      </w:r>
      <w:r>
        <w:rPr>
          <w:rFonts w:hint="eastAsia" w:ascii="宋体" w:hAnsi="宋体" w:cs="宋体"/>
          <w:sz w:val="24"/>
          <w:szCs w:val="24"/>
          <w:u w:val="single"/>
        </w:rPr>
        <w:t>一般1小时内要到达现场处置和管控，最迟不超过2小时，常规险情要在24小时内完成处置，艰险情况要配合好发包人和当地政府开展抢险救灾工作</w:t>
      </w:r>
    </w:p>
    <w:p w14:paraId="64AA5EC3">
      <w:pPr>
        <w:spacing w:before="114" w:line="219" w:lineRule="auto"/>
        <w:ind w:firstLine="480" w:firstLineChars="200"/>
        <w:rPr>
          <w:rFonts w:ascii="宋体" w:hAnsi="宋体" w:cs="宋体"/>
          <w:sz w:val="24"/>
          <w:szCs w:val="24"/>
          <w:highlight w:val="lightGray"/>
        </w:rPr>
      </w:pPr>
    </w:p>
    <w:p w14:paraId="00C91A42">
      <w:pPr>
        <w:spacing w:line="219" w:lineRule="auto"/>
        <w:ind w:left="476"/>
        <w:outlineLvl w:val="3"/>
        <w:rPr>
          <w:rFonts w:ascii="宋体" w:hAnsi="宋体" w:cs="宋体"/>
          <w:sz w:val="24"/>
          <w:szCs w:val="24"/>
        </w:rPr>
      </w:pPr>
      <w:r>
        <w:rPr>
          <w:rFonts w:eastAsia="Times New Roman"/>
          <w:b/>
          <w:bCs/>
          <w:spacing w:val="-5"/>
          <w:sz w:val="24"/>
          <w:szCs w:val="24"/>
        </w:rPr>
        <w:t>2.6</w:t>
      </w:r>
      <w:r>
        <w:rPr>
          <w:rFonts w:eastAsia="Times New Roman"/>
          <w:b/>
          <w:bCs/>
          <w:spacing w:val="19"/>
          <w:sz w:val="24"/>
          <w:szCs w:val="24"/>
        </w:rPr>
        <w:t xml:space="preserve">  </w:t>
      </w:r>
      <w:r>
        <w:rPr>
          <w:rFonts w:ascii="宋体" w:hAnsi="宋体" w:cs="宋体"/>
          <w:b/>
          <w:bCs/>
          <w:spacing w:val="-5"/>
          <w:sz w:val="24"/>
          <w:szCs w:val="24"/>
        </w:rPr>
        <w:t>内业规范化管理要求</w:t>
      </w:r>
    </w:p>
    <w:p w14:paraId="30BE7EAF">
      <w:pPr>
        <w:spacing w:before="125" w:line="219" w:lineRule="auto"/>
        <w:ind w:left="491"/>
        <w:rPr>
          <w:rFonts w:ascii="宋体" w:hAnsi="宋体" w:cs="宋体"/>
          <w:sz w:val="24"/>
          <w:szCs w:val="24"/>
        </w:rPr>
      </w:pPr>
      <w:r>
        <w:rPr>
          <w:rFonts w:ascii="宋体" w:hAnsi="宋体" w:cs="宋体"/>
          <w:spacing w:val="-2"/>
          <w:sz w:val="24"/>
          <w:szCs w:val="24"/>
        </w:rPr>
        <w:t>（</w:t>
      </w:r>
      <w:r>
        <w:rPr>
          <w:rFonts w:eastAsia="Times New Roman"/>
          <w:spacing w:val="-2"/>
          <w:sz w:val="24"/>
          <w:szCs w:val="24"/>
        </w:rPr>
        <w:t>1</w:t>
      </w:r>
      <w:r>
        <w:rPr>
          <w:rFonts w:ascii="宋体" w:hAnsi="宋体" w:cs="宋体"/>
          <w:spacing w:val="-2"/>
          <w:sz w:val="24"/>
          <w:szCs w:val="24"/>
        </w:rPr>
        <w:t>）数据和资料报送要求</w:t>
      </w:r>
    </w:p>
    <w:p w14:paraId="0C6CCEE4">
      <w:pPr>
        <w:spacing w:before="105" w:line="221" w:lineRule="auto"/>
        <w:ind w:firstLine="468" w:firstLineChars="200"/>
        <w:jc w:val="left"/>
        <w:rPr>
          <w:rFonts w:ascii="宋体" w:hAnsi="宋体" w:cs="宋体"/>
          <w:sz w:val="24"/>
          <w:szCs w:val="24"/>
          <w:u w:val="single"/>
        </w:rPr>
      </w:pPr>
      <w:r>
        <w:rPr>
          <w:rFonts w:ascii="宋体" w:hAnsi="宋体" w:cs="宋体"/>
          <w:spacing w:val="-3"/>
          <w:sz w:val="24"/>
          <w:szCs w:val="24"/>
        </w:rPr>
        <w:t>具体为：</w:t>
      </w:r>
      <w:r>
        <w:rPr>
          <w:rFonts w:hint="eastAsia" w:ascii="宋体" w:hAnsi="宋体" w:cs="宋体"/>
          <w:sz w:val="24"/>
          <w:szCs w:val="24"/>
          <w:u w:val="single"/>
        </w:rPr>
        <w:t>包含日常养护、公路巡查巡检、应急处置及安全管理的相关资料每月提交</w:t>
      </w:r>
      <w:r>
        <w:rPr>
          <w:rFonts w:hint="eastAsia" w:ascii="宋体" w:hAnsi="宋体" w:cs="宋体"/>
          <w:spacing w:val="-3"/>
          <w:sz w:val="24"/>
          <w:szCs w:val="24"/>
          <w:u w:val="single"/>
        </w:rPr>
        <w:t>。</w:t>
      </w:r>
    </w:p>
    <w:p w14:paraId="655FAA48">
      <w:pPr>
        <w:spacing w:before="121" w:line="219" w:lineRule="auto"/>
        <w:ind w:left="491"/>
        <w:rPr>
          <w:rFonts w:ascii="宋体" w:hAnsi="宋体" w:cs="宋体"/>
          <w:sz w:val="24"/>
          <w:szCs w:val="24"/>
        </w:rPr>
      </w:pPr>
      <w:r>
        <w:rPr>
          <w:rFonts w:ascii="宋体" w:hAnsi="宋体" w:cs="宋体"/>
          <w:spacing w:val="-2"/>
          <w:sz w:val="24"/>
          <w:szCs w:val="24"/>
        </w:rPr>
        <w:t>（</w:t>
      </w:r>
      <w:r>
        <w:rPr>
          <w:rFonts w:eastAsia="Times New Roman"/>
          <w:spacing w:val="-2"/>
          <w:sz w:val="24"/>
          <w:szCs w:val="24"/>
        </w:rPr>
        <w:t>2</w:t>
      </w:r>
      <w:r>
        <w:rPr>
          <w:rFonts w:ascii="宋体" w:hAnsi="宋体" w:cs="宋体"/>
          <w:spacing w:val="-2"/>
          <w:sz w:val="24"/>
          <w:szCs w:val="24"/>
        </w:rPr>
        <w:t>）数据和资料整理及归档要求</w:t>
      </w:r>
    </w:p>
    <w:p w14:paraId="0CC93F09">
      <w:pPr>
        <w:spacing w:before="106" w:line="221" w:lineRule="auto"/>
        <w:ind w:left="484"/>
        <w:jc w:val="left"/>
        <w:rPr>
          <w:rFonts w:ascii="宋体" w:hAnsi="宋体" w:cs="宋体"/>
          <w:sz w:val="24"/>
          <w:szCs w:val="24"/>
          <w:u w:val="single"/>
        </w:rPr>
      </w:pPr>
      <w:r>
        <w:rPr>
          <w:rFonts w:ascii="宋体" w:hAnsi="宋体" w:cs="宋体"/>
          <w:spacing w:val="-3"/>
          <w:sz w:val="24"/>
          <w:szCs w:val="24"/>
        </w:rPr>
        <w:t>具体为：</w:t>
      </w:r>
      <w:r>
        <w:rPr>
          <w:rFonts w:hint="eastAsia" w:ascii="宋体" w:hAnsi="宋体" w:cs="宋体"/>
          <w:sz w:val="24"/>
          <w:szCs w:val="24"/>
          <w:u w:val="single"/>
        </w:rPr>
        <w:t>分类分册装订，包含电子</w:t>
      </w:r>
      <w:r>
        <w:rPr>
          <w:rFonts w:ascii="宋体" w:hAnsi="宋体" w:cs="宋体"/>
          <w:sz w:val="24"/>
          <w:szCs w:val="24"/>
          <w:u w:val="single"/>
        </w:rPr>
        <w:t xml:space="preserve"> </w:t>
      </w:r>
      <w:r>
        <w:rPr>
          <w:rFonts w:hint="eastAsia" w:ascii="宋体" w:hAnsi="宋体" w:cs="宋体"/>
          <w:sz w:val="24"/>
          <w:szCs w:val="24"/>
          <w:u w:val="single"/>
        </w:rPr>
        <w:t>资料、影像资料</w:t>
      </w:r>
    </w:p>
    <w:p w14:paraId="08AD3152">
      <w:pPr>
        <w:spacing w:before="124" w:line="219" w:lineRule="auto"/>
        <w:ind w:left="491"/>
        <w:rPr>
          <w:rFonts w:ascii="宋体" w:hAnsi="宋体" w:cs="宋体"/>
          <w:sz w:val="24"/>
          <w:szCs w:val="24"/>
        </w:rPr>
      </w:pPr>
      <w:r>
        <w:rPr>
          <w:rFonts w:ascii="宋体" w:hAnsi="宋体" w:cs="宋体"/>
          <w:spacing w:val="-2"/>
          <w:sz w:val="24"/>
          <w:szCs w:val="24"/>
        </w:rPr>
        <w:t>（</w:t>
      </w:r>
      <w:r>
        <w:rPr>
          <w:rFonts w:eastAsia="Times New Roman"/>
          <w:spacing w:val="-2"/>
          <w:sz w:val="24"/>
          <w:szCs w:val="24"/>
        </w:rPr>
        <w:t>3</w:t>
      </w:r>
      <w:r>
        <w:rPr>
          <w:rFonts w:ascii="宋体" w:hAnsi="宋体" w:cs="宋体"/>
          <w:spacing w:val="-2"/>
          <w:sz w:val="24"/>
          <w:szCs w:val="24"/>
        </w:rPr>
        <w:t>）养护管理信息化要求</w:t>
      </w:r>
    </w:p>
    <w:p w14:paraId="213FE69E">
      <w:pPr>
        <w:spacing w:before="103" w:line="221" w:lineRule="auto"/>
        <w:ind w:left="484"/>
        <w:rPr>
          <w:rFonts w:hint="eastAsia" w:ascii="宋体" w:hAnsi="宋体" w:eastAsia="宋体" w:cs="宋体"/>
          <w:sz w:val="24"/>
          <w:szCs w:val="24"/>
          <w:lang w:eastAsia="zh-CN"/>
        </w:rPr>
      </w:pPr>
      <w:r>
        <w:rPr>
          <w:rFonts w:ascii="宋体" w:hAnsi="宋体" w:cs="宋体"/>
          <w:spacing w:val="-3"/>
          <w:sz w:val="24"/>
          <w:szCs w:val="24"/>
        </w:rPr>
        <w:t>具</w:t>
      </w:r>
      <w:r>
        <w:rPr>
          <w:rFonts w:ascii="宋体" w:hAnsi="宋体" w:cs="宋体"/>
          <w:spacing w:val="-3"/>
          <w:sz w:val="24"/>
          <w:szCs w:val="24"/>
          <w:highlight w:val="none"/>
        </w:rPr>
        <w:t>体为：</w:t>
      </w:r>
      <w:r>
        <w:rPr>
          <w:rFonts w:hint="eastAsia" w:ascii="宋体" w:hAnsi="宋体" w:cs="宋体"/>
          <w:sz w:val="24"/>
          <w:szCs w:val="24"/>
          <w:highlight w:val="none"/>
          <w:u w:val="single"/>
        </w:rPr>
        <w:t>根据工作需要具体安排</w:t>
      </w:r>
      <w:r>
        <w:rPr>
          <w:rFonts w:hint="eastAsia" w:ascii="宋体" w:hAnsi="宋体" w:cs="宋体"/>
          <w:sz w:val="24"/>
          <w:szCs w:val="24"/>
          <w:highlight w:val="none"/>
          <w:u w:val="single"/>
          <w:lang w:eastAsia="zh-CN"/>
        </w:rPr>
        <w:t>。</w:t>
      </w:r>
    </w:p>
    <w:p w14:paraId="04BA4476">
      <w:pPr>
        <w:spacing w:before="123" w:line="220" w:lineRule="auto"/>
        <w:ind w:left="491"/>
        <w:rPr>
          <w:rFonts w:ascii="宋体" w:hAnsi="宋体" w:cs="宋体"/>
          <w:sz w:val="24"/>
          <w:szCs w:val="24"/>
        </w:rPr>
      </w:pPr>
      <w:r>
        <w:rPr>
          <w:rFonts w:ascii="宋体" w:hAnsi="宋体" w:cs="宋体"/>
          <w:spacing w:val="-3"/>
          <w:sz w:val="24"/>
          <w:szCs w:val="24"/>
        </w:rPr>
        <w:t>（</w:t>
      </w:r>
      <w:r>
        <w:rPr>
          <w:rFonts w:eastAsia="Times New Roman"/>
          <w:spacing w:val="-3"/>
          <w:sz w:val="24"/>
          <w:szCs w:val="24"/>
        </w:rPr>
        <w:t>4</w:t>
      </w:r>
      <w:r>
        <w:rPr>
          <w:rFonts w:ascii="宋体" w:hAnsi="宋体" w:cs="宋体"/>
          <w:spacing w:val="-3"/>
          <w:sz w:val="24"/>
          <w:szCs w:val="24"/>
        </w:rPr>
        <w:t>）其他要求</w:t>
      </w:r>
    </w:p>
    <w:p w14:paraId="12F62F01">
      <w:pPr>
        <w:spacing w:before="105" w:line="221" w:lineRule="auto"/>
        <w:ind w:left="484"/>
        <w:rPr>
          <w:rFonts w:ascii="宋体" w:hAnsi="宋体" w:cs="宋体"/>
          <w:sz w:val="24"/>
          <w:szCs w:val="24"/>
        </w:rPr>
      </w:pPr>
      <w:r>
        <w:rPr>
          <w:rFonts w:ascii="宋体" w:hAnsi="宋体" w:cs="宋体"/>
          <w:spacing w:val="-3"/>
          <w:sz w:val="24"/>
          <w:szCs w:val="24"/>
        </w:rPr>
        <w:t>具体为：</w:t>
      </w:r>
      <w:r>
        <w:rPr>
          <w:rFonts w:ascii="宋体" w:hAnsi="宋体" w:cs="宋体"/>
          <w:sz w:val="24"/>
          <w:szCs w:val="24"/>
          <w:u w:val="single"/>
        </w:rPr>
        <w:t xml:space="preserve">        </w:t>
      </w:r>
      <w:r>
        <w:rPr>
          <w:rFonts w:hint="eastAsia" w:ascii="宋体" w:hAnsi="宋体" w:cs="宋体"/>
          <w:sz w:val="24"/>
          <w:szCs w:val="24"/>
          <w:u w:val="single"/>
        </w:rPr>
        <w:t>/</w:t>
      </w:r>
      <w:r>
        <w:rPr>
          <w:rFonts w:ascii="宋体" w:hAnsi="宋体" w:cs="宋体"/>
          <w:sz w:val="24"/>
          <w:szCs w:val="24"/>
          <w:u w:val="single"/>
        </w:rPr>
        <w:t xml:space="preserve">           </w:t>
      </w:r>
      <w:r>
        <w:rPr>
          <w:rFonts w:ascii="宋体" w:hAnsi="宋体" w:cs="宋体"/>
          <w:spacing w:val="-3"/>
          <w:sz w:val="24"/>
          <w:szCs w:val="24"/>
        </w:rPr>
        <w:t>。</w:t>
      </w:r>
    </w:p>
    <w:p w14:paraId="0B19FEDF">
      <w:pPr>
        <w:spacing w:line="219" w:lineRule="auto"/>
        <w:ind w:left="476"/>
        <w:outlineLvl w:val="9"/>
        <w:rPr>
          <w:rFonts w:eastAsiaTheme="minorEastAsia"/>
          <w:b/>
          <w:bCs/>
          <w:spacing w:val="-5"/>
          <w:sz w:val="24"/>
          <w:szCs w:val="24"/>
        </w:rPr>
      </w:pPr>
    </w:p>
    <w:p w14:paraId="6B7106D1">
      <w:pPr>
        <w:spacing w:before="112" w:line="219" w:lineRule="auto"/>
        <w:ind w:left="476"/>
        <w:outlineLvl w:val="3"/>
        <w:rPr>
          <w:rFonts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2.7  </w:t>
      </w:r>
      <w:r>
        <w:rPr>
          <w:rFonts w:ascii="宋体" w:hAnsi="宋体" w:eastAsia="宋体" w:cs="宋体"/>
          <w:b/>
          <w:bCs/>
          <w:spacing w:val="-2"/>
          <w:sz w:val="24"/>
          <w:szCs w:val="24"/>
          <w:lang w:eastAsia="zh-CN"/>
        </w:rPr>
        <w:t>公路设施技术状况要求</w:t>
      </w:r>
    </w:p>
    <w:p w14:paraId="6E4C8ADC">
      <w:pPr>
        <w:spacing w:before="126" w:line="307" w:lineRule="auto"/>
        <w:ind w:firstLine="506"/>
        <w:rPr>
          <w:rFonts w:ascii="宋体" w:hAnsi="宋体" w:eastAsia="宋体" w:cs="宋体"/>
          <w:sz w:val="24"/>
          <w:szCs w:val="24"/>
          <w:lang w:eastAsia="zh-CN"/>
        </w:rPr>
      </w:pPr>
      <w:r>
        <w:rPr>
          <w:rFonts w:ascii="宋体" w:hAnsi="宋体" w:eastAsia="宋体" w:cs="宋体"/>
          <w:sz w:val="24"/>
          <w:szCs w:val="24"/>
          <w:lang w:eastAsia="zh-CN"/>
        </w:rPr>
        <w:t>以下内容包括不限于技术指标及数值要求、技术状态定量定性要求、完好</w:t>
      </w:r>
      <w:r>
        <w:rPr>
          <w:rFonts w:ascii="宋体" w:hAnsi="宋体" w:eastAsia="宋体" w:cs="宋体"/>
          <w:spacing w:val="-1"/>
          <w:sz w:val="24"/>
          <w:szCs w:val="24"/>
          <w:lang w:eastAsia="zh-CN"/>
        </w:rPr>
        <w:t>程度</w:t>
      </w:r>
      <w:r>
        <w:rPr>
          <w:rFonts w:ascii="宋体" w:hAnsi="宋体" w:eastAsia="宋体" w:cs="宋体"/>
          <w:spacing w:val="-2"/>
          <w:sz w:val="24"/>
          <w:szCs w:val="24"/>
          <w:lang w:eastAsia="zh-CN"/>
        </w:rPr>
        <w:t>情况描述等。</w:t>
      </w:r>
    </w:p>
    <w:p w14:paraId="5CAB654B">
      <w:pPr>
        <w:spacing w:before="2" w:line="263" w:lineRule="auto"/>
        <w:ind w:left="1" w:right="2" w:firstLine="489"/>
        <w:rPr>
          <w:rFonts w:ascii="宋体" w:hAnsi="宋体" w:eastAsia="宋体" w:cs="宋体"/>
          <w:sz w:val="24"/>
          <w:szCs w:val="24"/>
          <w:lang w:eastAsia="zh-CN"/>
        </w:rPr>
      </w:pPr>
      <w:r>
        <w:rPr>
          <w:rFonts w:ascii="宋体" w:hAnsi="宋体" w:eastAsia="宋体" w:cs="宋体"/>
          <w:spacing w:val="4"/>
          <w:sz w:val="24"/>
          <w:szCs w:val="24"/>
          <w:lang w:eastAsia="zh-CN"/>
        </w:rPr>
        <w:t>（</w:t>
      </w:r>
      <w:r>
        <w:rPr>
          <w:rFonts w:ascii="Times New Roman" w:hAnsi="Times New Roman" w:eastAsia="Times New Roman" w:cs="Times New Roman"/>
          <w:spacing w:val="4"/>
          <w:sz w:val="24"/>
          <w:szCs w:val="24"/>
          <w:lang w:eastAsia="zh-CN"/>
        </w:rPr>
        <w:t>1</w:t>
      </w:r>
      <w:r>
        <w:rPr>
          <w:rFonts w:ascii="宋体" w:hAnsi="宋体" w:eastAsia="宋体" w:cs="宋体"/>
          <w:spacing w:val="4"/>
          <w:sz w:val="24"/>
          <w:szCs w:val="24"/>
          <w:lang w:eastAsia="zh-CN"/>
        </w:rPr>
        <w:t>）路基技术状况</w:t>
      </w:r>
      <w:r>
        <w:rPr>
          <w:rFonts w:ascii="宋体" w:hAnsi="宋体" w:eastAsia="宋体" w:cs="宋体"/>
          <w:spacing w:val="-55"/>
          <w:sz w:val="24"/>
          <w:szCs w:val="24"/>
          <w:lang w:eastAsia="zh-CN"/>
        </w:rPr>
        <w:t>：</w:t>
      </w:r>
      <w:r>
        <w:rPr>
          <w:rFonts w:ascii="宋体" w:hAnsi="宋体" w:eastAsia="宋体" w:cs="宋体"/>
          <w:spacing w:val="4"/>
          <w:sz w:val="24"/>
          <w:szCs w:val="24"/>
          <w:u w:val="single"/>
          <w:lang w:eastAsia="zh-CN"/>
        </w:rPr>
        <w:t xml:space="preserve"> </w:t>
      </w:r>
      <w:r>
        <w:rPr>
          <w:rFonts w:hint="eastAsia" w:ascii="宋体" w:hAnsi="宋体" w:cs="宋体"/>
          <w:spacing w:val="4"/>
          <w:sz w:val="24"/>
          <w:szCs w:val="24"/>
          <w:u w:val="single"/>
          <w:lang w:val="en-US" w:eastAsia="zh-CN"/>
        </w:rPr>
        <w:t>完成</w:t>
      </w:r>
      <w:r>
        <w:rPr>
          <w:rFonts w:hint="eastAsia" w:ascii="宋体" w:hAnsi="宋体" w:cs="宋体"/>
          <w:spacing w:val="-1"/>
          <w:sz w:val="24"/>
          <w:szCs w:val="24"/>
          <w:u w:val="single"/>
          <w:lang w:val="en-US" w:eastAsia="zh-CN"/>
        </w:rPr>
        <w:t>广西壮族自治区桂林公路发展中心下达的年度指标任务</w:t>
      </w:r>
      <w:r>
        <w:rPr>
          <w:rFonts w:ascii="宋体" w:hAnsi="宋体" w:eastAsia="宋体" w:cs="宋体"/>
          <w:spacing w:val="-88"/>
          <w:sz w:val="24"/>
          <w:szCs w:val="24"/>
          <w:lang w:eastAsia="zh-CN"/>
        </w:rPr>
        <w:t xml:space="preserve"> </w:t>
      </w:r>
      <w:r>
        <w:rPr>
          <w:rFonts w:ascii="宋体" w:hAnsi="宋体" w:eastAsia="宋体" w:cs="宋体"/>
          <w:spacing w:val="-55"/>
          <w:sz w:val="24"/>
          <w:szCs w:val="24"/>
          <w:lang w:eastAsia="zh-CN"/>
        </w:rPr>
        <w:t>；（</w:t>
      </w:r>
      <w:r>
        <w:rPr>
          <w:rFonts w:ascii="宋体" w:hAnsi="宋体" w:eastAsia="宋体" w:cs="宋体"/>
          <w:spacing w:val="4"/>
          <w:sz w:val="24"/>
          <w:szCs w:val="24"/>
          <w:lang w:eastAsia="zh-CN"/>
        </w:rPr>
        <w:t>包括但不限于相关各项技术指标及数值要</w:t>
      </w:r>
      <w:r>
        <w:rPr>
          <w:rFonts w:ascii="宋体" w:hAnsi="宋体" w:eastAsia="宋体" w:cs="宋体"/>
          <w:spacing w:val="-1"/>
          <w:sz w:val="24"/>
          <w:szCs w:val="24"/>
          <w:lang w:eastAsia="zh-CN"/>
        </w:rPr>
        <w:t>求、技术状态定量定性要求、完好程度情况描述等）</w:t>
      </w:r>
    </w:p>
    <w:p w14:paraId="038700EA">
      <w:pPr>
        <w:spacing w:before="116" w:line="263" w:lineRule="auto"/>
        <w:ind w:right="39" w:firstLine="490"/>
        <w:rPr>
          <w:rFonts w:ascii="宋体" w:hAnsi="宋体" w:eastAsia="宋体" w:cs="宋体"/>
          <w:sz w:val="24"/>
          <w:szCs w:val="24"/>
          <w:lang w:eastAsia="zh-CN"/>
        </w:rPr>
      </w:pPr>
      <w:r>
        <w:rPr>
          <w:rFonts w:ascii="宋体" w:hAnsi="宋体" w:eastAsia="宋体" w:cs="宋体"/>
          <w:sz w:val="24"/>
          <w:szCs w:val="24"/>
          <w:lang w:eastAsia="zh-CN"/>
        </w:rPr>
        <w:t>（</w:t>
      </w:r>
      <w:r>
        <w:rPr>
          <w:rFonts w:ascii="Times New Roman" w:hAnsi="Times New Roman" w:eastAsia="Times New Roman" w:cs="Times New Roman"/>
          <w:sz w:val="24"/>
          <w:szCs w:val="24"/>
          <w:lang w:eastAsia="zh-CN"/>
        </w:rPr>
        <w:t>2</w:t>
      </w:r>
      <w:r>
        <w:rPr>
          <w:rFonts w:ascii="宋体" w:hAnsi="宋体" w:eastAsia="宋体" w:cs="宋体"/>
          <w:sz w:val="24"/>
          <w:szCs w:val="24"/>
          <w:lang w:eastAsia="zh-CN"/>
        </w:rPr>
        <w:t>）路面技术状况</w:t>
      </w:r>
      <w:r>
        <w:rPr>
          <w:rFonts w:ascii="宋体" w:hAnsi="宋体" w:eastAsia="宋体" w:cs="宋体"/>
          <w:spacing w:val="-60"/>
          <w:sz w:val="24"/>
          <w:szCs w:val="24"/>
          <w:lang w:eastAsia="zh-CN"/>
        </w:rPr>
        <w:t>：</w:t>
      </w:r>
      <w:r>
        <w:rPr>
          <w:rFonts w:ascii="宋体" w:hAnsi="宋体" w:eastAsia="宋体" w:cs="宋体"/>
          <w:spacing w:val="1"/>
          <w:sz w:val="24"/>
          <w:szCs w:val="24"/>
          <w:u w:val="single"/>
          <w:lang w:eastAsia="zh-CN"/>
        </w:rPr>
        <w:t xml:space="preserve">   </w:t>
      </w:r>
      <w:r>
        <w:rPr>
          <w:rFonts w:hint="eastAsia" w:ascii="宋体" w:hAnsi="宋体" w:cs="宋体"/>
          <w:spacing w:val="4"/>
          <w:sz w:val="24"/>
          <w:szCs w:val="24"/>
          <w:u w:val="single"/>
          <w:lang w:val="en-US" w:eastAsia="zh-CN"/>
        </w:rPr>
        <w:t>完成</w:t>
      </w:r>
      <w:r>
        <w:rPr>
          <w:rFonts w:hint="eastAsia" w:ascii="宋体" w:hAnsi="宋体" w:cs="宋体"/>
          <w:spacing w:val="-1"/>
          <w:sz w:val="24"/>
          <w:szCs w:val="24"/>
          <w:u w:val="single"/>
          <w:lang w:val="en-US" w:eastAsia="zh-CN"/>
        </w:rPr>
        <w:t>广西壮族自治区桂林公路发展中心下达的年度指标任务</w:t>
      </w:r>
      <w:r>
        <w:rPr>
          <w:rFonts w:ascii="宋体" w:hAnsi="宋体" w:eastAsia="宋体" w:cs="宋体"/>
          <w:spacing w:val="-88"/>
          <w:sz w:val="24"/>
          <w:szCs w:val="24"/>
          <w:lang w:eastAsia="zh-CN"/>
        </w:rPr>
        <w:t xml:space="preserve"> </w:t>
      </w:r>
      <w:r>
        <w:rPr>
          <w:rFonts w:ascii="宋体" w:hAnsi="宋体" w:eastAsia="宋体" w:cs="宋体"/>
          <w:spacing w:val="1"/>
          <w:sz w:val="24"/>
          <w:szCs w:val="24"/>
          <w:u w:val="single"/>
          <w:lang w:eastAsia="zh-CN"/>
        </w:rPr>
        <w:t xml:space="preserve"> </w:t>
      </w:r>
      <w:r>
        <w:rPr>
          <w:rFonts w:ascii="宋体" w:hAnsi="宋体" w:cs="宋体"/>
          <w:sz w:val="24"/>
          <w:szCs w:val="24"/>
          <w:u w:val="single"/>
        </w:rPr>
        <w:t xml:space="preserve"> </w:t>
      </w:r>
      <w:r>
        <w:rPr>
          <w:rFonts w:ascii="宋体" w:hAnsi="宋体" w:eastAsia="宋体" w:cs="宋体"/>
          <w:spacing w:val="1"/>
          <w:sz w:val="24"/>
          <w:szCs w:val="24"/>
          <w:u w:val="single"/>
          <w:lang w:eastAsia="zh-CN"/>
        </w:rPr>
        <w:t xml:space="preserve">  </w:t>
      </w:r>
      <w:r>
        <w:rPr>
          <w:rFonts w:ascii="宋体" w:hAnsi="宋体" w:eastAsia="宋体" w:cs="宋体"/>
          <w:spacing w:val="-89"/>
          <w:sz w:val="24"/>
          <w:szCs w:val="24"/>
          <w:lang w:eastAsia="zh-CN"/>
        </w:rPr>
        <w:t xml:space="preserve"> </w:t>
      </w:r>
      <w:r>
        <w:rPr>
          <w:rFonts w:ascii="宋体" w:hAnsi="宋体" w:eastAsia="宋体" w:cs="宋体"/>
          <w:spacing w:val="-60"/>
          <w:sz w:val="24"/>
          <w:szCs w:val="24"/>
          <w:lang w:eastAsia="zh-CN"/>
        </w:rPr>
        <w:t>；（</w:t>
      </w:r>
      <w:r>
        <w:rPr>
          <w:rFonts w:ascii="宋体" w:hAnsi="宋体" w:eastAsia="宋体" w:cs="宋体"/>
          <w:sz w:val="24"/>
          <w:szCs w:val="24"/>
          <w:lang w:eastAsia="zh-CN"/>
        </w:rPr>
        <w:t>包括但不限于相关各项技术指标及数值</w:t>
      </w:r>
      <w:r>
        <w:rPr>
          <w:rFonts w:ascii="宋体" w:hAnsi="宋体" w:eastAsia="宋体" w:cs="宋体"/>
          <w:spacing w:val="-1"/>
          <w:sz w:val="24"/>
          <w:szCs w:val="24"/>
          <w:lang w:eastAsia="zh-CN"/>
        </w:rPr>
        <w:t>要求、技术状态定量定性要求、完好程度情况描述等）</w:t>
      </w:r>
    </w:p>
    <w:p w14:paraId="10E85EA7">
      <w:pPr>
        <w:spacing w:before="115" w:line="264" w:lineRule="auto"/>
        <w:ind w:right="2" w:firstLine="490"/>
        <w:rPr>
          <w:rFonts w:ascii="宋体" w:hAnsi="宋体" w:eastAsia="宋体" w:cs="宋体"/>
          <w:sz w:val="24"/>
          <w:szCs w:val="24"/>
          <w:lang w:eastAsia="zh-CN"/>
        </w:rPr>
      </w:pPr>
      <w:r>
        <w:rPr>
          <w:rFonts w:ascii="宋体" w:hAnsi="宋体" w:eastAsia="宋体" w:cs="宋体"/>
          <w:spacing w:val="1"/>
          <w:sz w:val="24"/>
          <w:szCs w:val="24"/>
          <w:lang w:eastAsia="zh-CN"/>
        </w:rPr>
        <w:t>（</w:t>
      </w:r>
      <w:r>
        <w:rPr>
          <w:rFonts w:ascii="Times New Roman" w:hAnsi="Times New Roman" w:eastAsia="Times New Roman" w:cs="Times New Roman"/>
          <w:spacing w:val="1"/>
          <w:sz w:val="24"/>
          <w:szCs w:val="24"/>
          <w:lang w:eastAsia="zh-CN"/>
        </w:rPr>
        <w:t>3</w:t>
      </w:r>
      <w:r>
        <w:rPr>
          <w:rFonts w:ascii="宋体" w:hAnsi="宋体" w:eastAsia="宋体" w:cs="宋体"/>
          <w:spacing w:val="1"/>
          <w:sz w:val="24"/>
          <w:szCs w:val="24"/>
          <w:lang w:eastAsia="zh-CN"/>
        </w:rPr>
        <w:t>）桥梁、涵洞技术状况</w:t>
      </w:r>
      <w:r>
        <w:rPr>
          <w:rFonts w:ascii="宋体" w:hAnsi="宋体" w:eastAsia="宋体" w:cs="宋体"/>
          <w:spacing w:val="-58"/>
          <w:sz w:val="24"/>
          <w:szCs w:val="24"/>
          <w:lang w:eastAsia="zh-CN"/>
        </w:rPr>
        <w:t>：</w:t>
      </w:r>
      <w:r>
        <w:rPr>
          <w:rFonts w:ascii="宋体" w:hAnsi="宋体" w:eastAsia="宋体" w:cs="宋体"/>
          <w:sz w:val="24"/>
          <w:szCs w:val="24"/>
          <w:u w:val="single"/>
          <w:lang w:eastAsia="zh-CN"/>
        </w:rPr>
        <w:t xml:space="preserve">  </w:t>
      </w:r>
      <w:r>
        <w:rPr>
          <w:rFonts w:ascii="宋体" w:hAnsi="宋体" w:cs="宋体"/>
          <w:sz w:val="24"/>
          <w:szCs w:val="24"/>
          <w:u w:val="single"/>
        </w:rPr>
        <w:t xml:space="preserve"> </w:t>
      </w:r>
      <w:r>
        <w:rPr>
          <w:rFonts w:hint="eastAsia" w:ascii="宋体" w:hAnsi="宋体" w:cs="宋体"/>
          <w:spacing w:val="4"/>
          <w:sz w:val="24"/>
          <w:szCs w:val="24"/>
          <w:u w:val="single"/>
          <w:lang w:val="en-US" w:eastAsia="zh-CN"/>
        </w:rPr>
        <w:t>完成</w:t>
      </w:r>
      <w:r>
        <w:rPr>
          <w:rFonts w:hint="eastAsia" w:ascii="宋体" w:hAnsi="宋体" w:cs="宋体"/>
          <w:spacing w:val="-1"/>
          <w:sz w:val="24"/>
          <w:szCs w:val="24"/>
          <w:u w:val="single"/>
          <w:lang w:val="en-US" w:eastAsia="zh-CN"/>
        </w:rPr>
        <w:t>广西壮族自治区桂林公路发展中心下达的年度指标任务</w:t>
      </w:r>
      <w:r>
        <w:rPr>
          <w:rFonts w:ascii="宋体" w:hAnsi="宋体" w:eastAsia="宋体" w:cs="宋体"/>
          <w:spacing w:val="-88"/>
          <w:sz w:val="24"/>
          <w:szCs w:val="24"/>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84"/>
          <w:sz w:val="24"/>
          <w:szCs w:val="24"/>
          <w:lang w:eastAsia="zh-CN"/>
        </w:rPr>
        <w:t xml:space="preserve"> </w:t>
      </w:r>
      <w:r>
        <w:rPr>
          <w:rFonts w:ascii="宋体" w:hAnsi="宋体" w:eastAsia="宋体" w:cs="宋体"/>
          <w:spacing w:val="-58"/>
          <w:sz w:val="24"/>
          <w:szCs w:val="24"/>
          <w:lang w:eastAsia="zh-CN"/>
        </w:rPr>
        <w:t>；（</w:t>
      </w:r>
      <w:r>
        <w:rPr>
          <w:rFonts w:ascii="宋体" w:hAnsi="宋体" w:eastAsia="宋体" w:cs="宋体"/>
          <w:spacing w:val="1"/>
          <w:sz w:val="24"/>
          <w:szCs w:val="24"/>
          <w:lang w:eastAsia="zh-CN"/>
        </w:rPr>
        <w:t>包括但不限于相关各项技术指标及数值</w:t>
      </w:r>
      <w:r>
        <w:rPr>
          <w:rFonts w:ascii="宋体" w:hAnsi="宋体" w:eastAsia="宋体" w:cs="宋体"/>
          <w:spacing w:val="-1"/>
          <w:sz w:val="24"/>
          <w:szCs w:val="24"/>
          <w:lang w:eastAsia="zh-CN"/>
        </w:rPr>
        <w:t>要求、技术状态定量定性要求、完好程度情况描述等）</w:t>
      </w:r>
    </w:p>
    <w:p w14:paraId="06174D3A">
      <w:pPr>
        <w:spacing w:before="113" w:line="264" w:lineRule="auto"/>
        <w:ind w:right="39" w:firstLine="490"/>
        <w:rPr>
          <w:rFonts w:ascii="宋体" w:hAnsi="宋体" w:eastAsia="宋体" w:cs="宋体"/>
          <w:sz w:val="24"/>
          <w:szCs w:val="24"/>
          <w:lang w:eastAsia="zh-CN"/>
        </w:rPr>
      </w:pPr>
      <w:r>
        <w:rPr>
          <w:rFonts w:ascii="宋体" w:hAnsi="宋体" w:eastAsia="宋体" w:cs="宋体"/>
          <w:sz w:val="24"/>
          <w:szCs w:val="24"/>
          <w:lang w:eastAsia="zh-CN"/>
        </w:rPr>
        <w:t>（</w:t>
      </w:r>
      <w:r>
        <w:rPr>
          <w:rFonts w:ascii="Times New Roman" w:hAnsi="Times New Roman" w:eastAsia="Times New Roman" w:cs="Times New Roman"/>
          <w:sz w:val="24"/>
          <w:szCs w:val="24"/>
          <w:lang w:eastAsia="zh-CN"/>
        </w:rPr>
        <w:t>4</w:t>
      </w:r>
      <w:r>
        <w:rPr>
          <w:rFonts w:ascii="宋体" w:hAnsi="宋体" w:eastAsia="宋体" w:cs="宋体"/>
          <w:sz w:val="24"/>
          <w:szCs w:val="24"/>
          <w:lang w:eastAsia="zh-CN"/>
        </w:rPr>
        <w:t>）隧道技术状况</w:t>
      </w:r>
      <w:r>
        <w:rPr>
          <w:rFonts w:ascii="宋体" w:hAnsi="宋体" w:eastAsia="宋体" w:cs="宋体"/>
          <w:spacing w:val="-60"/>
          <w:sz w:val="24"/>
          <w:szCs w:val="24"/>
          <w:lang w:eastAsia="zh-CN"/>
        </w:rPr>
        <w:t>：</w:t>
      </w:r>
      <w:r>
        <w:rPr>
          <w:rFonts w:ascii="宋体" w:hAnsi="宋体" w:eastAsia="宋体" w:cs="宋体"/>
          <w:spacing w:val="1"/>
          <w:sz w:val="24"/>
          <w:szCs w:val="24"/>
          <w:u w:val="single"/>
          <w:lang w:eastAsia="zh-CN"/>
        </w:rPr>
        <w:t xml:space="preserve">   </w:t>
      </w:r>
      <w:r>
        <w:rPr>
          <w:rFonts w:hint="eastAsia" w:ascii="宋体" w:hAnsi="宋体" w:cs="宋体"/>
          <w:spacing w:val="4"/>
          <w:sz w:val="24"/>
          <w:szCs w:val="24"/>
          <w:u w:val="single"/>
          <w:lang w:val="en-US" w:eastAsia="zh-CN"/>
        </w:rPr>
        <w:t>完成</w:t>
      </w:r>
      <w:r>
        <w:rPr>
          <w:rFonts w:hint="eastAsia" w:ascii="宋体" w:hAnsi="宋体" w:cs="宋体"/>
          <w:spacing w:val="-1"/>
          <w:sz w:val="24"/>
          <w:szCs w:val="24"/>
          <w:u w:val="single"/>
          <w:lang w:val="en-US" w:eastAsia="zh-CN"/>
        </w:rPr>
        <w:t>广西壮族自治区桂林公路发展中心下达的年度指标任务</w:t>
      </w:r>
      <w:r>
        <w:rPr>
          <w:rFonts w:ascii="宋体" w:hAnsi="宋体" w:eastAsia="宋体" w:cs="宋体"/>
          <w:spacing w:val="-88"/>
          <w:sz w:val="24"/>
          <w:szCs w:val="24"/>
          <w:lang w:eastAsia="zh-CN"/>
        </w:rPr>
        <w:t xml:space="preserve"> </w:t>
      </w:r>
      <w:r>
        <w:rPr>
          <w:rFonts w:ascii="宋体" w:hAnsi="宋体" w:cs="宋体"/>
          <w:sz w:val="24"/>
          <w:szCs w:val="24"/>
          <w:u w:val="single"/>
        </w:rPr>
        <w:t xml:space="preserve"> </w:t>
      </w:r>
      <w:r>
        <w:rPr>
          <w:rFonts w:ascii="宋体" w:hAnsi="宋体" w:eastAsia="宋体" w:cs="宋体"/>
          <w:spacing w:val="1"/>
          <w:sz w:val="24"/>
          <w:szCs w:val="24"/>
          <w:u w:val="single"/>
          <w:lang w:eastAsia="zh-CN"/>
        </w:rPr>
        <w:t xml:space="preserve">   </w:t>
      </w:r>
      <w:r>
        <w:rPr>
          <w:rFonts w:ascii="宋体" w:hAnsi="宋体" w:eastAsia="宋体" w:cs="宋体"/>
          <w:spacing w:val="-89"/>
          <w:sz w:val="24"/>
          <w:szCs w:val="24"/>
          <w:lang w:eastAsia="zh-CN"/>
        </w:rPr>
        <w:t xml:space="preserve"> </w:t>
      </w:r>
      <w:r>
        <w:rPr>
          <w:rFonts w:ascii="宋体" w:hAnsi="宋体" w:eastAsia="宋体" w:cs="宋体"/>
          <w:spacing w:val="-60"/>
          <w:sz w:val="24"/>
          <w:szCs w:val="24"/>
          <w:lang w:eastAsia="zh-CN"/>
        </w:rPr>
        <w:t>；（</w:t>
      </w:r>
      <w:r>
        <w:rPr>
          <w:rFonts w:ascii="宋体" w:hAnsi="宋体" w:eastAsia="宋体" w:cs="宋体"/>
          <w:sz w:val="24"/>
          <w:szCs w:val="24"/>
          <w:lang w:eastAsia="zh-CN"/>
        </w:rPr>
        <w:t>包括但不限于相关各项技术指标及数值</w:t>
      </w:r>
      <w:r>
        <w:rPr>
          <w:rFonts w:ascii="宋体" w:hAnsi="宋体" w:eastAsia="宋体" w:cs="宋体"/>
          <w:spacing w:val="-1"/>
          <w:sz w:val="24"/>
          <w:szCs w:val="24"/>
          <w:lang w:eastAsia="zh-CN"/>
        </w:rPr>
        <w:t>要求、技术状态定量定性要求、完好程度情况描述等）</w:t>
      </w:r>
    </w:p>
    <w:p w14:paraId="4086D6A5">
      <w:pPr>
        <w:spacing w:before="115" w:line="263" w:lineRule="auto"/>
        <w:ind w:left="1" w:firstLine="489"/>
        <w:rPr>
          <w:rFonts w:ascii="宋体" w:hAnsi="宋体" w:eastAsia="宋体" w:cs="宋体"/>
          <w:sz w:val="24"/>
          <w:szCs w:val="24"/>
          <w:lang w:eastAsia="zh-CN"/>
        </w:rPr>
      </w:pPr>
      <w:r>
        <w:rPr>
          <w:rFonts w:ascii="宋体" w:hAnsi="宋体" w:eastAsia="宋体" w:cs="宋体"/>
          <w:spacing w:val="1"/>
          <w:sz w:val="24"/>
          <w:szCs w:val="24"/>
          <w:lang w:eastAsia="zh-CN"/>
        </w:rPr>
        <w:t>（</w:t>
      </w:r>
      <w:r>
        <w:rPr>
          <w:rFonts w:ascii="Times New Roman" w:hAnsi="Times New Roman" w:eastAsia="Times New Roman" w:cs="Times New Roman"/>
          <w:spacing w:val="1"/>
          <w:sz w:val="24"/>
          <w:szCs w:val="24"/>
          <w:lang w:eastAsia="zh-CN"/>
        </w:rPr>
        <w:t>5</w:t>
      </w:r>
      <w:r>
        <w:rPr>
          <w:rFonts w:ascii="宋体" w:hAnsi="宋体" w:eastAsia="宋体" w:cs="宋体"/>
          <w:spacing w:val="1"/>
          <w:sz w:val="24"/>
          <w:szCs w:val="24"/>
          <w:lang w:eastAsia="zh-CN"/>
        </w:rPr>
        <w:t>）沿线设施技术状况</w:t>
      </w:r>
      <w:r>
        <w:rPr>
          <w:rFonts w:ascii="宋体" w:hAnsi="宋体" w:eastAsia="宋体" w:cs="宋体"/>
          <w:spacing w:val="-57"/>
          <w:sz w:val="24"/>
          <w:szCs w:val="24"/>
          <w:lang w:eastAsia="zh-CN"/>
        </w:rPr>
        <w:t>：</w:t>
      </w:r>
      <w:r>
        <w:rPr>
          <w:rFonts w:ascii="宋体" w:hAnsi="宋体" w:eastAsia="宋体" w:cs="宋体"/>
          <w:sz w:val="24"/>
          <w:szCs w:val="24"/>
          <w:u w:val="single"/>
          <w:lang w:eastAsia="zh-CN"/>
        </w:rPr>
        <w:t xml:space="preserve">   </w:t>
      </w:r>
      <w:r>
        <w:rPr>
          <w:rFonts w:hint="eastAsia" w:ascii="宋体" w:hAnsi="宋体" w:cs="宋体"/>
          <w:spacing w:val="4"/>
          <w:sz w:val="24"/>
          <w:szCs w:val="24"/>
          <w:u w:val="single"/>
          <w:lang w:val="en-US" w:eastAsia="zh-CN"/>
        </w:rPr>
        <w:t>完成</w:t>
      </w:r>
      <w:r>
        <w:rPr>
          <w:rFonts w:hint="eastAsia" w:ascii="宋体" w:hAnsi="宋体" w:cs="宋体"/>
          <w:spacing w:val="-1"/>
          <w:sz w:val="24"/>
          <w:szCs w:val="24"/>
          <w:u w:val="single"/>
          <w:lang w:val="en-US" w:eastAsia="zh-CN"/>
        </w:rPr>
        <w:t>广西壮族自治区桂林公路发展中心下达的年度指标任务</w:t>
      </w:r>
      <w:r>
        <w:rPr>
          <w:rFonts w:ascii="宋体" w:hAnsi="宋体" w:eastAsia="宋体" w:cs="宋体"/>
          <w:spacing w:val="-88"/>
          <w:sz w:val="24"/>
          <w:szCs w:val="24"/>
          <w:lang w:eastAsia="zh-CN"/>
        </w:rPr>
        <w:t xml:space="preserve"> </w:t>
      </w:r>
      <w:r>
        <w:rPr>
          <w:rFonts w:ascii="宋体" w:hAnsi="宋体" w:cs="宋体"/>
          <w:sz w:val="24"/>
          <w:szCs w:val="24"/>
          <w:u w:val="single"/>
        </w:rPr>
        <w:t xml:space="preserve"> </w:t>
      </w:r>
      <w:r>
        <w:rPr>
          <w:rFonts w:ascii="宋体" w:hAnsi="宋体" w:eastAsia="宋体" w:cs="宋体"/>
          <w:sz w:val="24"/>
          <w:szCs w:val="24"/>
          <w:u w:val="single"/>
          <w:lang w:eastAsia="zh-CN"/>
        </w:rPr>
        <w:t xml:space="preserve">  </w:t>
      </w:r>
      <w:r>
        <w:rPr>
          <w:rFonts w:ascii="宋体" w:hAnsi="宋体" w:eastAsia="宋体" w:cs="宋体"/>
          <w:spacing w:val="-84"/>
          <w:sz w:val="24"/>
          <w:szCs w:val="24"/>
          <w:lang w:eastAsia="zh-CN"/>
        </w:rPr>
        <w:t xml:space="preserve"> </w:t>
      </w:r>
      <w:r>
        <w:rPr>
          <w:rFonts w:ascii="宋体" w:hAnsi="宋体" w:eastAsia="宋体" w:cs="宋体"/>
          <w:spacing w:val="-57"/>
          <w:sz w:val="24"/>
          <w:szCs w:val="24"/>
          <w:lang w:eastAsia="zh-CN"/>
        </w:rPr>
        <w:t>；（</w:t>
      </w:r>
      <w:r>
        <w:rPr>
          <w:rFonts w:ascii="宋体" w:hAnsi="宋体" w:eastAsia="宋体" w:cs="宋体"/>
          <w:spacing w:val="1"/>
          <w:sz w:val="24"/>
          <w:szCs w:val="24"/>
          <w:lang w:eastAsia="zh-CN"/>
        </w:rPr>
        <w:t>包括但不限于相关各项技术指标及数值要</w:t>
      </w:r>
      <w:r>
        <w:rPr>
          <w:rFonts w:ascii="宋体" w:hAnsi="宋体" w:eastAsia="宋体" w:cs="宋体"/>
          <w:spacing w:val="-1"/>
          <w:sz w:val="24"/>
          <w:szCs w:val="24"/>
          <w:lang w:eastAsia="zh-CN"/>
        </w:rPr>
        <w:t>求、技术状态要求、完好程度情况描述等）</w:t>
      </w:r>
    </w:p>
    <w:p w14:paraId="01B4A466">
      <w:pPr>
        <w:spacing w:before="115" w:line="264" w:lineRule="auto"/>
        <w:ind w:left="1" w:firstLine="489"/>
        <w:rPr>
          <w:rFonts w:ascii="宋体" w:hAnsi="宋体" w:eastAsia="宋体" w:cs="宋体"/>
          <w:sz w:val="24"/>
          <w:szCs w:val="24"/>
          <w:lang w:eastAsia="zh-CN"/>
        </w:rPr>
      </w:pPr>
      <w:r>
        <w:rPr>
          <w:rFonts w:ascii="宋体" w:hAnsi="宋体" w:eastAsia="宋体" w:cs="宋体"/>
          <w:spacing w:val="1"/>
          <w:sz w:val="24"/>
          <w:szCs w:val="24"/>
          <w:lang w:eastAsia="zh-CN"/>
        </w:rPr>
        <w:t>（</w:t>
      </w:r>
      <w:r>
        <w:rPr>
          <w:rFonts w:ascii="Times New Roman" w:hAnsi="Times New Roman" w:eastAsia="Times New Roman" w:cs="Times New Roman"/>
          <w:spacing w:val="1"/>
          <w:sz w:val="24"/>
          <w:szCs w:val="24"/>
          <w:lang w:eastAsia="zh-CN"/>
        </w:rPr>
        <w:t>6</w:t>
      </w:r>
      <w:r>
        <w:rPr>
          <w:rFonts w:ascii="宋体" w:hAnsi="宋体" w:eastAsia="宋体" w:cs="宋体"/>
          <w:spacing w:val="1"/>
          <w:sz w:val="24"/>
          <w:szCs w:val="24"/>
          <w:lang w:eastAsia="zh-CN"/>
        </w:rPr>
        <w:t>）管理服务设施状况</w:t>
      </w:r>
      <w:r>
        <w:rPr>
          <w:rFonts w:ascii="宋体" w:hAnsi="宋体" w:eastAsia="宋体" w:cs="宋体"/>
          <w:spacing w:val="-57"/>
          <w:sz w:val="24"/>
          <w:szCs w:val="24"/>
          <w:lang w:eastAsia="zh-CN"/>
        </w:rPr>
        <w:t>：</w:t>
      </w:r>
      <w:r>
        <w:rPr>
          <w:rFonts w:ascii="宋体" w:hAnsi="宋体" w:eastAsia="宋体" w:cs="宋体"/>
          <w:sz w:val="24"/>
          <w:szCs w:val="24"/>
          <w:u w:val="single"/>
          <w:lang w:eastAsia="zh-CN"/>
        </w:rPr>
        <w:t xml:space="preserve">   </w:t>
      </w:r>
      <w:r>
        <w:rPr>
          <w:rFonts w:hint="eastAsia" w:ascii="宋体" w:hAnsi="宋体" w:cs="宋体"/>
          <w:spacing w:val="4"/>
          <w:sz w:val="24"/>
          <w:szCs w:val="24"/>
          <w:u w:val="single"/>
          <w:lang w:val="en-US" w:eastAsia="zh-CN"/>
        </w:rPr>
        <w:t>完成</w:t>
      </w:r>
      <w:r>
        <w:rPr>
          <w:rFonts w:hint="eastAsia" w:ascii="宋体" w:hAnsi="宋体" w:cs="宋体"/>
          <w:spacing w:val="-1"/>
          <w:sz w:val="24"/>
          <w:szCs w:val="24"/>
          <w:u w:val="single"/>
          <w:lang w:val="en-US" w:eastAsia="zh-CN"/>
        </w:rPr>
        <w:t>广西壮族自治区桂林公路发展中心下达的年度指标任务</w:t>
      </w:r>
      <w:r>
        <w:rPr>
          <w:rFonts w:ascii="宋体" w:hAnsi="宋体" w:eastAsia="宋体" w:cs="宋体"/>
          <w:spacing w:val="-88"/>
          <w:sz w:val="24"/>
          <w:szCs w:val="24"/>
          <w:lang w:eastAsia="zh-CN"/>
        </w:rPr>
        <w:t xml:space="preserve"> </w:t>
      </w:r>
      <w:r>
        <w:rPr>
          <w:rFonts w:ascii="宋体" w:hAnsi="宋体" w:cs="宋体"/>
          <w:sz w:val="24"/>
          <w:szCs w:val="24"/>
          <w:u w:val="single"/>
        </w:rPr>
        <w:t xml:space="preserve"> </w:t>
      </w:r>
      <w:r>
        <w:rPr>
          <w:rFonts w:ascii="宋体" w:hAnsi="宋体" w:eastAsia="宋体" w:cs="宋体"/>
          <w:sz w:val="24"/>
          <w:szCs w:val="24"/>
          <w:u w:val="single"/>
          <w:lang w:eastAsia="zh-CN"/>
        </w:rPr>
        <w:t xml:space="preserve">   </w:t>
      </w:r>
      <w:r>
        <w:rPr>
          <w:rFonts w:ascii="宋体" w:hAnsi="宋体" w:eastAsia="宋体" w:cs="宋体"/>
          <w:spacing w:val="-84"/>
          <w:sz w:val="24"/>
          <w:szCs w:val="24"/>
          <w:lang w:eastAsia="zh-CN"/>
        </w:rPr>
        <w:t xml:space="preserve"> </w:t>
      </w:r>
      <w:r>
        <w:rPr>
          <w:rFonts w:ascii="宋体" w:hAnsi="宋体" w:eastAsia="宋体" w:cs="宋体"/>
          <w:spacing w:val="-57"/>
          <w:sz w:val="24"/>
          <w:szCs w:val="24"/>
          <w:lang w:eastAsia="zh-CN"/>
        </w:rPr>
        <w:t>；（</w:t>
      </w:r>
      <w:r>
        <w:rPr>
          <w:rFonts w:ascii="宋体" w:hAnsi="宋体" w:eastAsia="宋体" w:cs="宋体"/>
          <w:spacing w:val="1"/>
          <w:sz w:val="24"/>
          <w:szCs w:val="24"/>
          <w:lang w:eastAsia="zh-CN"/>
        </w:rPr>
        <w:t>包括但不限于相关各项技术指标及数值要</w:t>
      </w:r>
      <w:r>
        <w:rPr>
          <w:rFonts w:ascii="宋体" w:hAnsi="宋体" w:eastAsia="宋体" w:cs="宋体"/>
          <w:spacing w:val="-1"/>
          <w:sz w:val="24"/>
          <w:szCs w:val="24"/>
          <w:lang w:eastAsia="zh-CN"/>
        </w:rPr>
        <w:t>求、技术状态定量定性要求、完好程度情况描述等）</w:t>
      </w:r>
    </w:p>
    <w:p w14:paraId="10AA51DF">
      <w:pPr>
        <w:spacing w:before="113" w:line="264" w:lineRule="auto"/>
        <w:ind w:right="39" w:firstLine="490"/>
        <w:rPr>
          <w:rFonts w:ascii="宋体" w:hAnsi="宋体" w:cs="宋体"/>
          <w:sz w:val="24"/>
          <w:szCs w:val="24"/>
        </w:rPr>
      </w:pPr>
      <w:r>
        <w:rPr>
          <w:rFonts w:ascii="宋体" w:hAnsi="宋体" w:eastAsia="宋体" w:cs="宋体"/>
          <w:spacing w:val="-5"/>
          <w:sz w:val="24"/>
          <w:szCs w:val="24"/>
          <w:lang w:eastAsia="zh-CN"/>
        </w:rPr>
        <w:t>（</w:t>
      </w:r>
      <w:r>
        <w:rPr>
          <w:rFonts w:ascii="Times New Roman" w:hAnsi="Times New Roman" w:eastAsia="Times New Roman" w:cs="Times New Roman"/>
          <w:spacing w:val="-5"/>
          <w:sz w:val="24"/>
          <w:szCs w:val="24"/>
          <w:lang w:eastAsia="zh-CN"/>
        </w:rPr>
        <w:t>7</w:t>
      </w:r>
      <w:r>
        <w:rPr>
          <w:rFonts w:ascii="宋体" w:hAnsi="宋体" w:eastAsia="宋体" w:cs="宋体"/>
          <w:spacing w:val="-5"/>
          <w:sz w:val="24"/>
          <w:szCs w:val="24"/>
          <w:lang w:eastAsia="zh-CN"/>
        </w:rPr>
        <w:t>）其他设施状况：</w:t>
      </w:r>
      <w:r>
        <w:rPr>
          <w:rFonts w:ascii="宋体" w:hAnsi="宋体" w:eastAsia="宋体" w:cs="宋体"/>
          <w:spacing w:val="-5"/>
          <w:sz w:val="24"/>
          <w:szCs w:val="24"/>
          <w:u w:val="single"/>
          <w:lang w:eastAsia="zh-CN"/>
        </w:rPr>
        <w:t xml:space="preserve">   </w:t>
      </w:r>
      <w:r>
        <w:rPr>
          <w:rFonts w:hint="eastAsia" w:ascii="宋体" w:hAnsi="宋体" w:cs="宋体"/>
          <w:spacing w:val="4"/>
          <w:sz w:val="24"/>
          <w:szCs w:val="24"/>
          <w:u w:val="single"/>
          <w:lang w:val="en-US" w:eastAsia="zh-CN"/>
        </w:rPr>
        <w:t>完成</w:t>
      </w:r>
      <w:r>
        <w:rPr>
          <w:rFonts w:hint="eastAsia" w:ascii="宋体" w:hAnsi="宋体" w:cs="宋体"/>
          <w:spacing w:val="-1"/>
          <w:sz w:val="24"/>
          <w:szCs w:val="24"/>
          <w:u w:val="single"/>
          <w:lang w:val="en-US" w:eastAsia="zh-CN"/>
        </w:rPr>
        <w:t>广西壮族自治区桂林公路发展中心下达的年度指标任务</w:t>
      </w:r>
      <w:r>
        <w:rPr>
          <w:rFonts w:ascii="宋体" w:hAnsi="宋体" w:eastAsia="宋体" w:cs="宋体"/>
          <w:spacing w:val="-88"/>
          <w:sz w:val="24"/>
          <w:szCs w:val="24"/>
          <w:lang w:eastAsia="zh-CN"/>
        </w:rPr>
        <w:t xml:space="preserve"> </w:t>
      </w:r>
      <w:r>
        <w:rPr>
          <w:rFonts w:ascii="宋体" w:hAnsi="宋体" w:cs="宋体"/>
          <w:sz w:val="24"/>
          <w:szCs w:val="24"/>
          <w:u w:val="single"/>
        </w:rPr>
        <w:t xml:space="preserve"> </w:t>
      </w:r>
      <w:r>
        <w:rPr>
          <w:rFonts w:ascii="宋体" w:hAnsi="宋体" w:eastAsia="宋体" w:cs="宋体"/>
          <w:spacing w:val="-5"/>
          <w:sz w:val="24"/>
          <w:szCs w:val="24"/>
          <w:u w:val="single"/>
          <w:lang w:eastAsia="zh-CN"/>
        </w:rPr>
        <w:t xml:space="preserve">  </w:t>
      </w:r>
      <w:r>
        <w:rPr>
          <w:rFonts w:ascii="宋体" w:hAnsi="宋体" w:eastAsia="宋体" w:cs="宋体"/>
          <w:spacing w:val="-76"/>
          <w:sz w:val="24"/>
          <w:szCs w:val="24"/>
          <w:lang w:eastAsia="zh-CN"/>
        </w:rPr>
        <w:t xml:space="preserve"> </w:t>
      </w:r>
      <w:r>
        <w:rPr>
          <w:rFonts w:ascii="宋体" w:hAnsi="宋体" w:eastAsia="宋体" w:cs="宋体"/>
          <w:spacing w:val="-5"/>
          <w:sz w:val="24"/>
          <w:szCs w:val="24"/>
          <w:lang w:eastAsia="zh-CN"/>
        </w:rPr>
        <w:t>。（包括但不限于相关各项技术指标及数值要求、</w:t>
      </w:r>
      <w:r>
        <w:rPr>
          <w:rFonts w:ascii="宋体" w:hAnsi="宋体" w:eastAsia="宋体" w:cs="宋体"/>
          <w:spacing w:val="-1"/>
          <w:sz w:val="24"/>
          <w:szCs w:val="24"/>
          <w:lang w:eastAsia="zh-CN"/>
        </w:rPr>
        <w:t>技术状态定量定性要求、完好程度情况描述等）</w:t>
      </w:r>
    </w:p>
    <w:p w14:paraId="5C70A0F6">
      <w:pPr>
        <w:spacing w:before="107" w:line="219" w:lineRule="auto"/>
        <w:ind w:left="476"/>
        <w:outlineLvl w:val="3"/>
        <w:rPr>
          <w:rFonts w:ascii="宋体" w:hAnsi="宋体" w:cs="宋体"/>
          <w:sz w:val="24"/>
          <w:szCs w:val="24"/>
        </w:rPr>
      </w:pPr>
      <w:r>
        <w:rPr>
          <w:rFonts w:eastAsia="Times New Roman"/>
          <w:b/>
          <w:bCs/>
          <w:spacing w:val="-2"/>
          <w:sz w:val="24"/>
          <w:szCs w:val="24"/>
        </w:rPr>
        <w:t xml:space="preserve">2.8  </w:t>
      </w:r>
      <w:r>
        <w:rPr>
          <w:rFonts w:ascii="宋体" w:hAnsi="宋体" w:cs="宋体"/>
          <w:b/>
          <w:bCs/>
          <w:spacing w:val="-2"/>
          <w:sz w:val="24"/>
          <w:szCs w:val="24"/>
        </w:rPr>
        <w:t>公众满意度要求</w:t>
      </w:r>
    </w:p>
    <w:p w14:paraId="6B8B2B12">
      <w:pPr>
        <w:spacing w:before="123" w:line="305" w:lineRule="auto"/>
        <w:ind w:firstLine="484"/>
        <w:rPr>
          <w:rFonts w:ascii="宋体" w:hAnsi="宋体" w:cs="宋体"/>
          <w:spacing w:val="-1"/>
          <w:sz w:val="24"/>
          <w:szCs w:val="24"/>
        </w:rPr>
      </w:pPr>
      <w:r>
        <w:rPr>
          <w:rFonts w:ascii="宋体" w:hAnsi="宋体" w:cs="宋体"/>
          <w:spacing w:val="-4"/>
          <w:sz w:val="24"/>
          <w:szCs w:val="24"/>
        </w:rPr>
        <w:t>具体为：</w:t>
      </w:r>
      <w:r>
        <w:rPr>
          <w:rFonts w:ascii="宋体" w:hAnsi="宋体" w:cs="宋体"/>
          <w:spacing w:val="-4"/>
          <w:sz w:val="24"/>
          <w:szCs w:val="24"/>
          <w:u w:val="single"/>
        </w:rPr>
        <w:t>沿线居民群众、公交班线司乘人员、货</w:t>
      </w:r>
      <w:r>
        <w:rPr>
          <w:rFonts w:ascii="宋体" w:hAnsi="宋体" w:cs="宋体"/>
          <w:spacing w:val="-1"/>
          <w:sz w:val="24"/>
          <w:szCs w:val="24"/>
          <w:u w:val="single"/>
        </w:rPr>
        <w:t>物运输企业司乘人员、</w:t>
      </w:r>
      <w:r>
        <w:rPr>
          <w:rFonts w:ascii="宋体" w:hAnsi="宋体" w:cs="宋体"/>
          <w:spacing w:val="-59"/>
          <w:sz w:val="24"/>
          <w:szCs w:val="24"/>
          <w:u w:val="single"/>
        </w:rPr>
        <w:t xml:space="preserve"> </w:t>
      </w:r>
      <w:r>
        <w:rPr>
          <w:rFonts w:ascii="宋体" w:hAnsi="宋体" w:cs="宋体"/>
          <w:spacing w:val="-1"/>
          <w:sz w:val="24"/>
          <w:szCs w:val="24"/>
          <w:u w:val="single"/>
        </w:rPr>
        <w:t>自驾游玩出行人员、商务出行司乘人员、周边典型企业满意度调查</w:t>
      </w:r>
      <w:r>
        <w:rPr>
          <w:rFonts w:hint="eastAsia" w:ascii="宋体" w:hAnsi="宋体" w:cs="宋体"/>
          <w:spacing w:val="-1"/>
          <w:sz w:val="24"/>
          <w:szCs w:val="24"/>
          <w:u w:val="single"/>
          <w:lang w:val="en-US" w:eastAsia="zh-CN"/>
        </w:rPr>
        <w:t>95%以上</w:t>
      </w:r>
      <w:r>
        <w:rPr>
          <w:rFonts w:ascii="宋体" w:hAnsi="宋体" w:eastAsia="宋体" w:cs="宋体"/>
          <w:spacing w:val="-4"/>
          <w:sz w:val="24"/>
          <w:szCs w:val="24"/>
          <w:lang w:eastAsia="zh-CN"/>
        </w:rPr>
        <w:t>（可对沿线居民群众、公交班线司乘人员、货</w:t>
      </w:r>
      <w:r>
        <w:rPr>
          <w:rFonts w:ascii="宋体" w:hAnsi="宋体" w:eastAsia="宋体" w:cs="宋体"/>
          <w:spacing w:val="-1"/>
          <w:sz w:val="24"/>
          <w:szCs w:val="24"/>
          <w:lang w:eastAsia="zh-CN"/>
        </w:rPr>
        <w:t>物运输企业司乘人员、</w:t>
      </w:r>
      <w:r>
        <w:rPr>
          <w:rFonts w:ascii="宋体" w:hAnsi="宋体" w:eastAsia="宋体" w:cs="宋体"/>
          <w:spacing w:val="-59"/>
          <w:sz w:val="24"/>
          <w:szCs w:val="24"/>
          <w:lang w:eastAsia="zh-CN"/>
        </w:rPr>
        <w:t xml:space="preserve"> </w:t>
      </w:r>
      <w:r>
        <w:rPr>
          <w:rFonts w:ascii="宋体" w:hAnsi="宋体" w:eastAsia="宋体" w:cs="宋体"/>
          <w:spacing w:val="-1"/>
          <w:sz w:val="24"/>
          <w:szCs w:val="24"/>
          <w:lang w:eastAsia="zh-CN"/>
        </w:rPr>
        <w:t>自驾游玩出行人员、商务出行司乘人员、周边典型企业等开展对承包人提供的养护服务满意度调查等情况提出相关要求）</w:t>
      </w:r>
    </w:p>
    <w:p w14:paraId="0B252698">
      <w:pPr>
        <w:spacing w:before="1" w:line="220" w:lineRule="auto"/>
        <w:ind w:left="476"/>
        <w:outlineLvl w:val="3"/>
        <w:rPr>
          <w:rFonts w:ascii="宋体" w:hAnsi="宋体" w:cs="宋体"/>
          <w:sz w:val="24"/>
          <w:szCs w:val="24"/>
        </w:rPr>
      </w:pPr>
      <w:r>
        <w:rPr>
          <w:rFonts w:eastAsia="Times New Roman"/>
          <w:b/>
          <w:bCs/>
          <w:spacing w:val="-2"/>
          <w:sz w:val="24"/>
          <w:szCs w:val="24"/>
        </w:rPr>
        <w:t xml:space="preserve">2.9  </w:t>
      </w:r>
      <w:r>
        <w:rPr>
          <w:rFonts w:ascii="宋体" w:hAnsi="宋体" w:cs="宋体"/>
          <w:b/>
          <w:bCs/>
          <w:spacing w:val="-2"/>
          <w:sz w:val="24"/>
          <w:szCs w:val="24"/>
        </w:rPr>
        <w:t>其他要求</w:t>
      </w:r>
    </w:p>
    <w:p w14:paraId="0AAE8E73">
      <w:pPr>
        <w:pStyle w:val="11"/>
        <w:spacing w:line="245" w:lineRule="auto"/>
        <w:rPr>
          <w:sz w:val="24"/>
          <w:szCs w:val="24"/>
          <w:lang w:eastAsia="zh-CN"/>
        </w:rPr>
      </w:pPr>
      <w:r>
        <w:rPr>
          <w:rFonts w:ascii="宋体" w:hAnsi="宋体" w:cs="宋体"/>
          <w:spacing w:val="-1"/>
          <w:sz w:val="24"/>
          <w:szCs w:val="24"/>
          <w:lang w:eastAsia="zh-CN"/>
        </w:rPr>
        <w:t>具体工作内容为：</w:t>
      </w:r>
      <w:r>
        <w:rPr>
          <w:rFonts w:ascii="宋体" w:hAnsi="宋体" w:cs="宋体"/>
          <w:spacing w:val="-1"/>
          <w:sz w:val="24"/>
          <w:szCs w:val="24"/>
          <w:u w:val="single"/>
          <w:lang w:eastAsia="zh-CN"/>
        </w:rPr>
        <w:t xml:space="preserve">       </w:t>
      </w:r>
      <w:r>
        <w:rPr>
          <w:rFonts w:hint="eastAsia" w:ascii="宋体" w:hAnsi="宋体" w:cs="宋体"/>
          <w:spacing w:val="-1"/>
          <w:sz w:val="24"/>
          <w:szCs w:val="24"/>
          <w:u w:val="single"/>
          <w:lang w:eastAsia="zh-CN"/>
        </w:rPr>
        <w:t>/</w:t>
      </w:r>
      <w:r>
        <w:rPr>
          <w:rFonts w:ascii="宋体" w:hAnsi="宋体" w:cs="宋体"/>
          <w:spacing w:val="-1"/>
          <w:sz w:val="24"/>
          <w:szCs w:val="24"/>
          <w:u w:val="single"/>
          <w:lang w:eastAsia="zh-CN"/>
        </w:rPr>
        <w:t xml:space="preserve">           </w:t>
      </w:r>
    </w:p>
    <w:p w14:paraId="0636A32F">
      <w:pPr>
        <w:pStyle w:val="11"/>
        <w:spacing w:line="245" w:lineRule="auto"/>
        <w:rPr>
          <w:sz w:val="24"/>
          <w:szCs w:val="24"/>
          <w:lang w:eastAsia="zh-CN"/>
        </w:rPr>
      </w:pPr>
      <w:r>
        <w:rPr>
          <w:rFonts w:ascii="宋体" w:hAnsi="宋体" w:cs="宋体"/>
          <w:spacing w:val="-1"/>
          <w:sz w:val="24"/>
          <w:szCs w:val="24"/>
          <w:lang w:eastAsia="zh-CN"/>
        </w:rPr>
        <w:t>具体要求为：</w:t>
      </w:r>
      <w:r>
        <w:rPr>
          <w:rFonts w:hint="eastAsia" w:ascii="宋体" w:hAnsi="宋体" w:cs="宋体"/>
          <w:spacing w:val="-1"/>
          <w:sz w:val="24"/>
          <w:szCs w:val="24"/>
          <w:u w:val="single"/>
          <w:lang w:eastAsia="zh-CN"/>
        </w:rPr>
        <w:t xml:space="preserve">    /    </w:t>
      </w:r>
      <w:r>
        <w:rPr>
          <w:rFonts w:ascii="宋体" w:hAnsi="宋体" w:cs="宋体"/>
          <w:spacing w:val="-1"/>
          <w:sz w:val="24"/>
          <w:szCs w:val="24"/>
          <w:lang w:eastAsia="zh-CN"/>
        </w:rPr>
        <w:t>。</w:t>
      </w:r>
    </w:p>
    <w:p w14:paraId="5EDAE81F">
      <w:pPr>
        <w:spacing w:before="145" w:line="219" w:lineRule="auto"/>
        <w:ind w:left="474"/>
        <w:outlineLvl w:val="2"/>
        <w:rPr>
          <w:rFonts w:ascii="宋体" w:hAnsi="宋体" w:eastAsia="宋体" w:cs="宋体"/>
          <w:sz w:val="24"/>
          <w:szCs w:val="24"/>
          <w:lang w:eastAsia="zh-CN"/>
        </w:rPr>
      </w:pPr>
      <w:bookmarkStart w:id="246" w:name="bookmark188"/>
      <w:bookmarkEnd w:id="246"/>
      <w:bookmarkStart w:id="247" w:name="bookmark187"/>
      <w:bookmarkEnd w:id="247"/>
      <w:bookmarkStart w:id="248" w:name="_Toc32183"/>
      <w:bookmarkStart w:id="249" w:name="_Toc19916"/>
      <w:bookmarkStart w:id="250" w:name="_Toc29352"/>
      <w:r>
        <w:rPr>
          <w:rFonts w:ascii="Times New Roman" w:hAnsi="Times New Roman" w:eastAsia="Times New Roman" w:cs="Times New Roman"/>
          <w:b/>
          <w:bCs/>
          <w:spacing w:val="-2"/>
          <w:sz w:val="24"/>
          <w:szCs w:val="24"/>
          <w:lang w:eastAsia="zh-CN"/>
        </w:rPr>
        <w:t>3</w:t>
      </w:r>
      <w:r>
        <w:rPr>
          <w:rFonts w:ascii="宋体" w:hAnsi="宋体" w:eastAsia="宋体" w:cs="宋体"/>
          <w:b/>
          <w:bCs/>
          <w:spacing w:val="-2"/>
          <w:sz w:val="24"/>
          <w:szCs w:val="24"/>
          <w:lang w:eastAsia="zh-CN"/>
        </w:rPr>
        <w:t>.</w:t>
      </w:r>
      <w:r>
        <w:rPr>
          <w:rFonts w:ascii="宋体" w:hAnsi="宋体" w:eastAsia="宋体" w:cs="宋体"/>
          <w:spacing w:val="-2"/>
          <w:sz w:val="24"/>
          <w:szCs w:val="24"/>
          <w:lang w:eastAsia="zh-CN"/>
        </w:rPr>
        <w:t xml:space="preserve"> </w:t>
      </w:r>
      <w:r>
        <w:rPr>
          <w:rFonts w:ascii="宋体" w:hAnsi="宋体" w:eastAsia="宋体" w:cs="宋体"/>
          <w:b/>
          <w:bCs/>
          <w:spacing w:val="-2"/>
          <w:sz w:val="24"/>
          <w:szCs w:val="24"/>
          <w:lang w:eastAsia="zh-CN"/>
        </w:rPr>
        <w:t>养护绩效考核</w:t>
      </w:r>
      <w:bookmarkEnd w:id="248"/>
      <w:bookmarkEnd w:id="249"/>
      <w:bookmarkEnd w:id="250"/>
    </w:p>
    <w:p w14:paraId="58798716">
      <w:pPr>
        <w:spacing w:before="260" w:line="219" w:lineRule="auto"/>
        <w:ind w:left="474"/>
        <w:outlineLvl w:val="3"/>
        <w:rPr>
          <w:rFonts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3.1  </w:t>
      </w:r>
      <w:r>
        <w:rPr>
          <w:rFonts w:ascii="宋体" w:hAnsi="宋体" w:eastAsia="宋体" w:cs="宋体"/>
          <w:b/>
          <w:bCs/>
          <w:spacing w:val="-2"/>
          <w:sz w:val="24"/>
          <w:szCs w:val="24"/>
          <w:lang w:eastAsia="zh-CN"/>
        </w:rPr>
        <w:t>养护绩效考核要求约定</w:t>
      </w:r>
    </w:p>
    <w:p w14:paraId="2750525A">
      <w:pPr>
        <w:spacing w:before="112" w:line="308" w:lineRule="auto"/>
        <w:ind w:firstLine="480"/>
        <w:jc w:val="both"/>
        <w:rPr>
          <w:rFonts w:ascii="宋体" w:hAnsi="宋体" w:eastAsia="宋体" w:cs="宋体"/>
          <w:sz w:val="24"/>
          <w:szCs w:val="24"/>
          <w:lang w:eastAsia="zh-CN"/>
        </w:rPr>
      </w:pPr>
      <w:r>
        <w:rPr>
          <w:rFonts w:ascii="宋体" w:hAnsi="宋体" w:eastAsia="宋体" w:cs="宋体"/>
          <w:spacing w:val="-2"/>
          <w:sz w:val="24"/>
          <w:szCs w:val="24"/>
          <w:lang w:eastAsia="zh-CN"/>
        </w:rPr>
        <w:t>养护绩效考核需结合项目特点，根据第三章第</w:t>
      </w:r>
      <w:r>
        <w:rPr>
          <w:rFonts w:ascii="宋体" w:hAnsi="宋体" w:eastAsia="宋体" w:cs="宋体"/>
          <w:spacing w:val="-50"/>
          <w:sz w:val="24"/>
          <w:szCs w:val="24"/>
          <w:lang w:eastAsia="zh-CN"/>
        </w:rPr>
        <w:t xml:space="preserve"> </w:t>
      </w:r>
      <w:r>
        <w:rPr>
          <w:rFonts w:ascii="Times New Roman" w:hAnsi="Times New Roman" w:eastAsia="Times New Roman" w:cs="Times New Roman"/>
          <w:spacing w:val="-2"/>
          <w:sz w:val="24"/>
          <w:szCs w:val="24"/>
          <w:lang w:eastAsia="zh-CN"/>
        </w:rPr>
        <w:t xml:space="preserve">3.2 </w:t>
      </w:r>
      <w:r>
        <w:rPr>
          <w:rFonts w:ascii="宋体" w:hAnsi="宋体" w:eastAsia="宋体" w:cs="宋体"/>
          <w:spacing w:val="-2"/>
          <w:sz w:val="24"/>
          <w:szCs w:val="24"/>
          <w:lang w:eastAsia="zh-CN"/>
        </w:rPr>
        <w:t>款的具体要求开</w:t>
      </w:r>
      <w:r>
        <w:rPr>
          <w:rFonts w:ascii="宋体" w:hAnsi="宋体" w:eastAsia="宋体" w:cs="宋体"/>
          <w:spacing w:val="-3"/>
          <w:sz w:val="24"/>
          <w:szCs w:val="24"/>
          <w:lang w:eastAsia="zh-CN"/>
        </w:rPr>
        <w:t>展考核工作，</w:t>
      </w:r>
      <w:r>
        <w:rPr>
          <w:rFonts w:ascii="宋体" w:hAnsi="宋体" w:eastAsia="宋体" w:cs="宋体"/>
          <w:spacing w:val="2"/>
          <w:sz w:val="24"/>
          <w:szCs w:val="24"/>
          <w:lang w:eastAsia="zh-CN"/>
        </w:rPr>
        <w:t>可以单项考核</w:t>
      </w:r>
      <w:r>
        <w:rPr>
          <w:rFonts w:ascii="宋体" w:hAnsi="宋体" w:eastAsia="宋体" w:cs="宋体"/>
          <w:spacing w:val="-47"/>
          <w:sz w:val="24"/>
          <w:szCs w:val="24"/>
          <w:lang w:eastAsia="zh-CN"/>
        </w:rPr>
        <w:t xml:space="preserve"> </w:t>
      </w:r>
      <w:r>
        <w:rPr>
          <w:rFonts w:ascii="Times New Roman" w:hAnsi="Times New Roman" w:eastAsia="Times New Roman" w:cs="Times New Roman"/>
          <w:spacing w:val="2"/>
          <w:sz w:val="24"/>
          <w:szCs w:val="24"/>
          <w:lang w:eastAsia="zh-CN"/>
        </w:rPr>
        <w:t>3.2</w:t>
      </w:r>
      <w:r>
        <w:rPr>
          <w:rFonts w:ascii="宋体" w:hAnsi="宋体" w:eastAsia="宋体" w:cs="宋体"/>
          <w:spacing w:val="2"/>
          <w:sz w:val="24"/>
          <w:szCs w:val="24"/>
          <w:lang w:eastAsia="zh-CN"/>
        </w:rPr>
        <w:t>（</w:t>
      </w:r>
      <w:r>
        <w:rPr>
          <w:rFonts w:ascii="Times New Roman" w:hAnsi="Times New Roman" w:eastAsia="Times New Roman" w:cs="Times New Roman"/>
          <w:spacing w:val="2"/>
          <w:sz w:val="24"/>
          <w:szCs w:val="24"/>
          <w:lang w:eastAsia="zh-CN"/>
        </w:rPr>
        <w:t>1</w:t>
      </w:r>
      <w:r>
        <w:rPr>
          <w:rFonts w:ascii="宋体" w:hAnsi="宋体" w:eastAsia="宋体" w:cs="宋体"/>
          <w:spacing w:val="-2"/>
          <w:sz w:val="24"/>
          <w:szCs w:val="24"/>
          <w:lang w:eastAsia="zh-CN"/>
        </w:rPr>
        <w:t>）～</w:t>
      </w:r>
      <w:r>
        <w:rPr>
          <w:rFonts w:ascii="Times New Roman" w:hAnsi="Times New Roman" w:eastAsia="Times New Roman" w:cs="Times New Roman"/>
          <w:spacing w:val="2"/>
          <w:sz w:val="24"/>
          <w:szCs w:val="24"/>
          <w:lang w:eastAsia="zh-CN"/>
        </w:rPr>
        <w:t>3.2</w:t>
      </w:r>
      <w:r>
        <w:rPr>
          <w:rFonts w:ascii="宋体" w:hAnsi="宋体" w:eastAsia="宋体" w:cs="宋体"/>
          <w:spacing w:val="2"/>
          <w:sz w:val="24"/>
          <w:szCs w:val="24"/>
          <w:lang w:eastAsia="zh-CN"/>
        </w:rPr>
        <w:t>（</w:t>
      </w:r>
      <w:r>
        <w:rPr>
          <w:rFonts w:ascii="Times New Roman" w:hAnsi="Times New Roman" w:eastAsia="Times New Roman" w:cs="Times New Roman"/>
          <w:spacing w:val="2"/>
          <w:sz w:val="24"/>
          <w:szCs w:val="24"/>
          <w:lang w:eastAsia="zh-CN"/>
        </w:rPr>
        <w:t>9</w:t>
      </w:r>
      <w:r>
        <w:rPr>
          <w:rFonts w:ascii="宋体" w:hAnsi="宋体" w:eastAsia="宋体" w:cs="宋体"/>
          <w:spacing w:val="2"/>
          <w:sz w:val="24"/>
          <w:szCs w:val="24"/>
          <w:lang w:eastAsia="zh-CN"/>
        </w:rPr>
        <w:t>）的任何一项内容，也可以根据合同各项内容组合</w:t>
      </w:r>
      <w:r>
        <w:rPr>
          <w:rFonts w:ascii="宋体" w:hAnsi="宋体" w:eastAsia="宋体" w:cs="宋体"/>
          <w:spacing w:val="-4"/>
          <w:sz w:val="24"/>
          <w:szCs w:val="24"/>
          <w:lang w:eastAsia="zh-CN"/>
        </w:rPr>
        <w:t>考核。</w:t>
      </w:r>
    </w:p>
    <w:p w14:paraId="40C2545C">
      <w:pPr>
        <w:spacing w:line="219" w:lineRule="auto"/>
        <w:ind w:left="474"/>
        <w:outlineLvl w:val="3"/>
        <w:rPr>
          <w:rFonts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3.2  </w:t>
      </w:r>
      <w:r>
        <w:rPr>
          <w:rFonts w:ascii="宋体" w:hAnsi="宋体" w:eastAsia="宋体" w:cs="宋体"/>
          <w:b/>
          <w:bCs/>
          <w:spacing w:val="-2"/>
          <w:sz w:val="24"/>
          <w:szCs w:val="24"/>
          <w:lang w:eastAsia="zh-CN"/>
        </w:rPr>
        <w:t>养护绩效考核的主要内容</w:t>
      </w:r>
    </w:p>
    <w:p w14:paraId="21D3C155">
      <w:pPr>
        <w:spacing w:before="116" w:line="219" w:lineRule="auto"/>
        <w:ind w:left="480"/>
        <w:rPr>
          <w:rFonts w:ascii="宋体" w:hAnsi="宋体" w:eastAsia="宋体" w:cs="宋体"/>
          <w:sz w:val="24"/>
          <w:szCs w:val="24"/>
          <w:lang w:eastAsia="zh-CN"/>
        </w:rPr>
      </w:pPr>
      <w:r>
        <w:rPr>
          <w:rFonts w:ascii="宋体" w:hAnsi="宋体" w:eastAsia="宋体" w:cs="宋体"/>
          <w:spacing w:val="-1"/>
          <w:sz w:val="24"/>
          <w:szCs w:val="24"/>
          <w:lang w:eastAsia="zh-CN"/>
        </w:rPr>
        <w:t>养护绩效考核主要包括以下内容：</w:t>
      </w:r>
    </w:p>
    <w:p w14:paraId="584F75D6">
      <w:pPr>
        <w:spacing w:before="116" w:line="219" w:lineRule="auto"/>
        <w:ind w:left="491"/>
        <w:rPr>
          <w:rFonts w:ascii="宋体" w:hAnsi="宋体" w:eastAsia="宋体" w:cs="宋体"/>
          <w:sz w:val="24"/>
          <w:szCs w:val="24"/>
          <w:lang w:eastAsia="zh-CN"/>
        </w:rPr>
      </w:pPr>
      <w:r>
        <w:rPr>
          <w:rFonts w:ascii="宋体" w:hAnsi="宋体" w:eastAsia="宋体" w:cs="宋体"/>
          <w:spacing w:val="-1"/>
          <w:sz w:val="24"/>
          <w:szCs w:val="24"/>
          <w:lang w:eastAsia="zh-CN"/>
        </w:rPr>
        <w:t>（</w:t>
      </w:r>
      <w:r>
        <w:rPr>
          <w:rFonts w:ascii="Times New Roman" w:hAnsi="Times New Roman" w:eastAsia="Times New Roman" w:cs="Times New Roman"/>
          <w:spacing w:val="-1"/>
          <w:sz w:val="24"/>
          <w:szCs w:val="24"/>
          <w:lang w:eastAsia="zh-CN"/>
        </w:rPr>
        <w:t>1</w:t>
      </w:r>
      <w:r>
        <w:rPr>
          <w:rFonts w:ascii="宋体" w:hAnsi="宋体" w:eastAsia="宋体" w:cs="宋体"/>
          <w:spacing w:val="-1"/>
          <w:sz w:val="24"/>
          <w:szCs w:val="24"/>
          <w:lang w:eastAsia="zh-CN"/>
        </w:rPr>
        <w:t>）人员及养护设备配置、到位情况、运行情况等；</w:t>
      </w:r>
    </w:p>
    <w:p w14:paraId="4349A457">
      <w:pPr>
        <w:spacing w:before="113" w:line="219" w:lineRule="auto"/>
        <w:ind w:right="1"/>
        <w:jc w:val="center"/>
        <w:rPr>
          <w:rFonts w:ascii="宋体" w:hAnsi="宋体" w:eastAsia="宋体" w:cs="宋体"/>
          <w:sz w:val="24"/>
          <w:szCs w:val="24"/>
          <w:lang w:eastAsia="zh-CN"/>
        </w:rPr>
      </w:pPr>
      <w:r>
        <w:rPr>
          <w:rFonts w:ascii="宋体" w:hAnsi="宋体" w:eastAsia="宋体" w:cs="宋体"/>
          <w:spacing w:val="-5"/>
          <w:sz w:val="24"/>
          <w:szCs w:val="24"/>
          <w:lang w:eastAsia="zh-CN"/>
        </w:rPr>
        <w:t>（</w:t>
      </w:r>
      <w:r>
        <w:rPr>
          <w:rFonts w:ascii="Times New Roman" w:hAnsi="Times New Roman" w:eastAsia="Times New Roman" w:cs="Times New Roman"/>
          <w:spacing w:val="-5"/>
          <w:sz w:val="24"/>
          <w:szCs w:val="24"/>
          <w:lang w:eastAsia="zh-CN"/>
        </w:rPr>
        <w:t>2</w:t>
      </w:r>
      <w:r>
        <w:rPr>
          <w:rFonts w:ascii="宋体" w:hAnsi="宋体" w:eastAsia="宋体" w:cs="宋体"/>
          <w:spacing w:val="-5"/>
          <w:sz w:val="24"/>
          <w:szCs w:val="24"/>
          <w:lang w:eastAsia="zh-CN"/>
        </w:rPr>
        <w:t>）</w:t>
      </w:r>
      <w:r>
        <w:rPr>
          <w:rFonts w:ascii="宋体" w:hAnsi="宋体" w:eastAsia="宋体" w:cs="宋体"/>
          <w:spacing w:val="-69"/>
          <w:sz w:val="24"/>
          <w:szCs w:val="24"/>
          <w:lang w:eastAsia="zh-CN"/>
        </w:rPr>
        <w:t xml:space="preserve"> </w:t>
      </w:r>
      <w:r>
        <w:rPr>
          <w:rFonts w:ascii="宋体" w:hAnsi="宋体" w:eastAsia="宋体" w:cs="宋体"/>
          <w:spacing w:val="-5"/>
          <w:sz w:val="24"/>
          <w:szCs w:val="24"/>
          <w:lang w:eastAsia="zh-CN"/>
        </w:rPr>
        <w:t>日常养护的路况检查、</w:t>
      </w:r>
      <w:r>
        <w:rPr>
          <w:rFonts w:ascii="宋体" w:hAnsi="宋体" w:eastAsia="宋体" w:cs="宋体"/>
          <w:spacing w:val="-69"/>
          <w:sz w:val="24"/>
          <w:szCs w:val="24"/>
          <w:lang w:eastAsia="zh-CN"/>
        </w:rPr>
        <w:t xml:space="preserve"> </w:t>
      </w:r>
      <w:r>
        <w:rPr>
          <w:rFonts w:ascii="宋体" w:hAnsi="宋体" w:eastAsia="宋体" w:cs="宋体"/>
          <w:spacing w:val="-5"/>
          <w:sz w:val="24"/>
          <w:szCs w:val="24"/>
          <w:lang w:eastAsia="zh-CN"/>
        </w:rPr>
        <w:t>日常保养、</w:t>
      </w:r>
      <w:r>
        <w:rPr>
          <w:rFonts w:ascii="宋体" w:hAnsi="宋体" w:eastAsia="宋体" w:cs="宋体"/>
          <w:spacing w:val="-69"/>
          <w:sz w:val="24"/>
          <w:szCs w:val="24"/>
          <w:lang w:eastAsia="zh-CN"/>
        </w:rPr>
        <w:t xml:space="preserve"> </w:t>
      </w:r>
      <w:r>
        <w:rPr>
          <w:rFonts w:ascii="宋体" w:hAnsi="宋体" w:eastAsia="宋体" w:cs="宋体"/>
          <w:spacing w:val="-5"/>
          <w:sz w:val="24"/>
          <w:szCs w:val="24"/>
          <w:lang w:eastAsia="zh-CN"/>
        </w:rPr>
        <w:t>日常维修、应急处置、冬季除冰雪等；</w:t>
      </w:r>
    </w:p>
    <w:p w14:paraId="30EFBCEC">
      <w:pPr>
        <w:spacing w:before="126" w:line="219" w:lineRule="auto"/>
        <w:ind w:left="491"/>
        <w:rPr>
          <w:rFonts w:ascii="宋体" w:hAnsi="宋体" w:eastAsia="宋体" w:cs="宋体"/>
          <w:sz w:val="24"/>
          <w:szCs w:val="24"/>
          <w:lang w:eastAsia="zh-CN"/>
        </w:rPr>
      </w:pPr>
      <w:r>
        <w:rPr>
          <w:rFonts w:ascii="宋体" w:hAnsi="宋体" w:eastAsia="宋体" w:cs="宋体"/>
          <w:spacing w:val="-1"/>
          <w:sz w:val="24"/>
          <w:szCs w:val="24"/>
          <w:lang w:eastAsia="zh-CN"/>
        </w:rPr>
        <w:t>（</w:t>
      </w:r>
      <w:r>
        <w:rPr>
          <w:rFonts w:ascii="Times New Roman" w:hAnsi="Times New Roman" w:eastAsia="Times New Roman" w:cs="Times New Roman"/>
          <w:spacing w:val="-1"/>
          <w:sz w:val="24"/>
          <w:szCs w:val="24"/>
          <w:lang w:eastAsia="zh-CN"/>
        </w:rPr>
        <w:t>3</w:t>
      </w:r>
      <w:r>
        <w:rPr>
          <w:rFonts w:ascii="宋体" w:hAnsi="宋体" w:eastAsia="宋体" w:cs="宋体"/>
          <w:spacing w:val="-1"/>
          <w:sz w:val="24"/>
          <w:szCs w:val="24"/>
          <w:lang w:eastAsia="zh-CN"/>
        </w:rPr>
        <w:t>）发包人指定实施的养护工程质量、实施进度等；</w:t>
      </w:r>
    </w:p>
    <w:p w14:paraId="1E1EFFCC">
      <w:pPr>
        <w:spacing w:before="116" w:line="219" w:lineRule="auto"/>
        <w:ind w:left="491"/>
        <w:rPr>
          <w:rFonts w:ascii="宋体" w:hAnsi="宋体" w:eastAsia="宋体" w:cs="宋体"/>
          <w:sz w:val="24"/>
          <w:szCs w:val="24"/>
          <w:lang w:eastAsia="zh-CN"/>
        </w:rPr>
      </w:pPr>
      <w:r>
        <w:rPr>
          <w:rFonts w:ascii="宋体" w:hAnsi="宋体" w:eastAsia="宋体" w:cs="宋体"/>
          <w:spacing w:val="-1"/>
          <w:sz w:val="24"/>
          <w:szCs w:val="24"/>
          <w:lang w:eastAsia="zh-CN"/>
        </w:rPr>
        <w:t>（</w:t>
      </w:r>
      <w:r>
        <w:rPr>
          <w:rFonts w:ascii="Times New Roman" w:hAnsi="Times New Roman" w:eastAsia="Times New Roman" w:cs="Times New Roman"/>
          <w:spacing w:val="-1"/>
          <w:sz w:val="24"/>
          <w:szCs w:val="24"/>
          <w:lang w:eastAsia="zh-CN"/>
        </w:rPr>
        <w:t>4</w:t>
      </w:r>
      <w:r>
        <w:rPr>
          <w:rFonts w:ascii="宋体" w:hAnsi="宋体" w:eastAsia="宋体" w:cs="宋体"/>
          <w:spacing w:val="-1"/>
          <w:sz w:val="24"/>
          <w:szCs w:val="24"/>
          <w:lang w:eastAsia="zh-CN"/>
        </w:rPr>
        <w:t>）承包人自主实施的养护工程决策合理性、工程质量、实施进度等；</w:t>
      </w:r>
    </w:p>
    <w:p w14:paraId="19FA148E">
      <w:pPr>
        <w:spacing w:before="116" w:line="219" w:lineRule="auto"/>
        <w:ind w:left="491"/>
        <w:rPr>
          <w:rFonts w:ascii="宋体" w:hAnsi="宋体" w:eastAsia="宋体" w:cs="宋体"/>
          <w:sz w:val="24"/>
          <w:szCs w:val="24"/>
          <w:lang w:eastAsia="zh-CN"/>
        </w:rPr>
      </w:pPr>
      <w:r>
        <w:rPr>
          <w:rFonts w:ascii="宋体" w:hAnsi="宋体" w:eastAsia="宋体" w:cs="宋体"/>
          <w:spacing w:val="-1"/>
          <w:sz w:val="24"/>
          <w:szCs w:val="24"/>
          <w:lang w:eastAsia="zh-CN"/>
        </w:rPr>
        <w:t>（</w:t>
      </w:r>
      <w:r>
        <w:rPr>
          <w:rFonts w:ascii="Times New Roman" w:hAnsi="Times New Roman" w:eastAsia="Times New Roman" w:cs="Times New Roman"/>
          <w:spacing w:val="-1"/>
          <w:sz w:val="24"/>
          <w:szCs w:val="24"/>
          <w:lang w:eastAsia="zh-CN"/>
        </w:rPr>
        <w:t>5</w:t>
      </w:r>
      <w:r>
        <w:rPr>
          <w:rFonts w:ascii="宋体" w:hAnsi="宋体" w:eastAsia="宋体" w:cs="宋体"/>
          <w:spacing w:val="-1"/>
          <w:sz w:val="24"/>
          <w:szCs w:val="24"/>
          <w:lang w:eastAsia="zh-CN"/>
        </w:rPr>
        <w:t>）应急和不可预见的专项养护工程（工作）实施的及时性、质量等；</w:t>
      </w:r>
    </w:p>
    <w:p w14:paraId="0E51940B">
      <w:pPr>
        <w:spacing w:before="114" w:line="219" w:lineRule="auto"/>
        <w:ind w:left="491"/>
        <w:rPr>
          <w:rFonts w:ascii="宋体" w:hAnsi="宋体" w:eastAsia="宋体" w:cs="宋体"/>
          <w:sz w:val="24"/>
          <w:szCs w:val="24"/>
          <w:lang w:eastAsia="zh-CN"/>
        </w:rPr>
      </w:pPr>
      <w:r>
        <w:rPr>
          <w:rFonts w:ascii="宋体" w:hAnsi="宋体" w:eastAsia="宋体" w:cs="宋体"/>
          <w:spacing w:val="-1"/>
          <w:sz w:val="24"/>
          <w:szCs w:val="24"/>
          <w:lang w:eastAsia="zh-CN"/>
        </w:rPr>
        <w:t>（</w:t>
      </w:r>
      <w:r>
        <w:rPr>
          <w:rFonts w:ascii="Times New Roman" w:hAnsi="Times New Roman" w:eastAsia="Times New Roman" w:cs="Times New Roman"/>
          <w:spacing w:val="-1"/>
          <w:sz w:val="24"/>
          <w:szCs w:val="24"/>
          <w:lang w:eastAsia="zh-CN"/>
        </w:rPr>
        <w:t>6</w:t>
      </w:r>
      <w:r>
        <w:rPr>
          <w:rFonts w:ascii="宋体" w:hAnsi="宋体" w:eastAsia="宋体" w:cs="宋体"/>
          <w:spacing w:val="-1"/>
          <w:sz w:val="24"/>
          <w:szCs w:val="24"/>
          <w:lang w:eastAsia="zh-CN"/>
        </w:rPr>
        <w:t>）内业管理的规范化、资料档案的整理情况、信息报送、场站建设等；</w:t>
      </w:r>
    </w:p>
    <w:p w14:paraId="2A927DED">
      <w:pPr>
        <w:spacing w:before="116" w:line="219" w:lineRule="auto"/>
        <w:ind w:left="491"/>
        <w:rPr>
          <w:rFonts w:ascii="宋体" w:hAnsi="宋体" w:eastAsia="宋体" w:cs="宋体"/>
          <w:sz w:val="24"/>
          <w:szCs w:val="24"/>
          <w:lang w:eastAsia="zh-CN"/>
        </w:rPr>
      </w:pPr>
      <w:r>
        <w:rPr>
          <w:rFonts w:ascii="宋体" w:hAnsi="宋体" w:eastAsia="宋体" w:cs="宋体"/>
          <w:spacing w:val="-1"/>
          <w:sz w:val="24"/>
          <w:szCs w:val="24"/>
          <w:lang w:eastAsia="zh-CN"/>
        </w:rPr>
        <w:t>（</w:t>
      </w:r>
      <w:r>
        <w:rPr>
          <w:rFonts w:ascii="Times New Roman" w:hAnsi="Times New Roman" w:eastAsia="Times New Roman" w:cs="Times New Roman"/>
          <w:spacing w:val="-1"/>
          <w:sz w:val="24"/>
          <w:szCs w:val="24"/>
          <w:lang w:eastAsia="zh-CN"/>
        </w:rPr>
        <w:t>7</w:t>
      </w:r>
      <w:r>
        <w:rPr>
          <w:rFonts w:ascii="宋体" w:hAnsi="宋体" w:eastAsia="宋体" w:cs="宋体"/>
          <w:spacing w:val="-1"/>
          <w:sz w:val="24"/>
          <w:szCs w:val="24"/>
          <w:lang w:eastAsia="zh-CN"/>
        </w:rPr>
        <w:t>）公路设施技术状况、完好性、运行情况等；</w:t>
      </w:r>
    </w:p>
    <w:p w14:paraId="437BC564">
      <w:pPr>
        <w:spacing w:before="115" w:line="218" w:lineRule="auto"/>
        <w:ind w:left="491"/>
        <w:rPr>
          <w:rFonts w:ascii="宋体" w:hAnsi="宋体" w:eastAsia="宋体" w:cs="宋体"/>
          <w:sz w:val="24"/>
          <w:szCs w:val="24"/>
          <w:lang w:eastAsia="zh-CN"/>
        </w:rPr>
      </w:pPr>
      <w:r>
        <w:rPr>
          <w:rFonts w:ascii="宋体" w:hAnsi="宋体" w:eastAsia="宋体" w:cs="宋体"/>
          <w:spacing w:val="-1"/>
          <w:sz w:val="24"/>
          <w:szCs w:val="24"/>
          <w:lang w:eastAsia="zh-CN"/>
        </w:rPr>
        <w:t>（</w:t>
      </w:r>
      <w:r>
        <w:rPr>
          <w:rFonts w:ascii="Times New Roman" w:hAnsi="Times New Roman" w:eastAsia="Times New Roman" w:cs="Times New Roman"/>
          <w:spacing w:val="-1"/>
          <w:sz w:val="24"/>
          <w:szCs w:val="24"/>
          <w:lang w:eastAsia="zh-CN"/>
        </w:rPr>
        <w:t>8</w:t>
      </w:r>
      <w:r>
        <w:rPr>
          <w:rFonts w:ascii="宋体" w:hAnsi="宋体" w:eastAsia="宋体" w:cs="宋体"/>
          <w:spacing w:val="-1"/>
          <w:sz w:val="24"/>
          <w:szCs w:val="24"/>
          <w:lang w:eastAsia="zh-CN"/>
        </w:rPr>
        <w:t>）公众对承包人提供的养护服务水平评价等；</w:t>
      </w:r>
    </w:p>
    <w:p w14:paraId="35EC6EEA">
      <w:pPr>
        <w:spacing w:before="116" w:line="219" w:lineRule="auto"/>
        <w:ind w:left="491"/>
        <w:rPr>
          <w:rFonts w:ascii="宋体" w:hAnsi="宋体" w:eastAsia="宋体" w:cs="宋体"/>
          <w:sz w:val="24"/>
          <w:szCs w:val="24"/>
          <w:lang w:eastAsia="zh-CN"/>
        </w:rPr>
      </w:pPr>
      <w:r>
        <w:rPr>
          <w:rFonts w:ascii="宋体" w:hAnsi="宋体" w:eastAsia="宋体" w:cs="宋体"/>
          <w:spacing w:val="-2"/>
          <w:sz w:val="24"/>
          <w:szCs w:val="24"/>
          <w:lang w:eastAsia="zh-CN"/>
        </w:rPr>
        <w:t>（</w:t>
      </w:r>
      <w:r>
        <w:rPr>
          <w:rFonts w:ascii="Times New Roman" w:hAnsi="Times New Roman" w:eastAsia="Times New Roman" w:cs="Times New Roman"/>
          <w:spacing w:val="-2"/>
          <w:sz w:val="24"/>
          <w:szCs w:val="24"/>
          <w:lang w:eastAsia="zh-CN"/>
        </w:rPr>
        <w:t>9</w:t>
      </w:r>
      <w:r>
        <w:rPr>
          <w:rFonts w:ascii="宋体" w:hAnsi="宋体" w:eastAsia="宋体" w:cs="宋体"/>
          <w:spacing w:val="-2"/>
          <w:sz w:val="24"/>
          <w:szCs w:val="24"/>
          <w:lang w:eastAsia="zh-CN"/>
        </w:rPr>
        <w:t>）其他发包人要求的相关需考核的内容。</w:t>
      </w:r>
    </w:p>
    <w:p w14:paraId="4D868048">
      <w:pPr>
        <w:spacing w:before="106" w:line="219" w:lineRule="auto"/>
        <w:ind w:left="474"/>
        <w:outlineLvl w:val="3"/>
        <w:rPr>
          <w:rFonts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3.3  </w:t>
      </w:r>
      <w:r>
        <w:rPr>
          <w:rFonts w:ascii="宋体" w:hAnsi="宋体" w:eastAsia="宋体" w:cs="宋体"/>
          <w:b/>
          <w:bCs/>
          <w:spacing w:val="-2"/>
          <w:sz w:val="24"/>
          <w:szCs w:val="24"/>
          <w:lang w:eastAsia="zh-CN"/>
        </w:rPr>
        <w:t>养护绩效考核的组织实施</w:t>
      </w:r>
    </w:p>
    <w:p w14:paraId="47F0E2FB">
      <w:pPr>
        <w:spacing w:before="114" w:line="308" w:lineRule="auto"/>
        <w:ind w:left="12" w:right="85" w:firstLine="468"/>
        <w:rPr>
          <w:rFonts w:ascii="宋体" w:hAnsi="宋体" w:eastAsia="宋体" w:cs="宋体"/>
          <w:sz w:val="24"/>
          <w:szCs w:val="24"/>
          <w:lang w:eastAsia="zh-CN"/>
        </w:rPr>
      </w:pPr>
      <w:r>
        <w:rPr>
          <w:rFonts w:ascii="宋体" w:hAnsi="宋体" w:eastAsia="宋体" w:cs="宋体"/>
          <w:spacing w:val="1"/>
          <w:sz w:val="24"/>
          <w:szCs w:val="24"/>
          <w:lang w:eastAsia="zh-CN"/>
        </w:rPr>
        <w:t>养护绩效考核应根据绩效考核的主要内容，结合不同的</w:t>
      </w:r>
      <w:r>
        <w:rPr>
          <w:rFonts w:ascii="宋体" w:hAnsi="宋体" w:eastAsia="宋体" w:cs="宋体"/>
          <w:sz w:val="24"/>
          <w:szCs w:val="24"/>
          <w:lang w:eastAsia="zh-CN"/>
        </w:rPr>
        <w:t>考核主体、频率、侧重</w:t>
      </w:r>
      <w:r>
        <w:rPr>
          <w:rFonts w:ascii="宋体" w:hAnsi="宋体" w:eastAsia="宋体" w:cs="宋体"/>
          <w:spacing w:val="-2"/>
          <w:sz w:val="24"/>
          <w:szCs w:val="24"/>
          <w:lang w:eastAsia="zh-CN"/>
        </w:rPr>
        <w:t>点进行多层次、多维度的综合考核评价。</w:t>
      </w:r>
    </w:p>
    <w:p w14:paraId="6E2CE17A">
      <w:pPr>
        <w:spacing w:before="1" w:line="219" w:lineRule="auto"/>
        <w:ind w:left="474"/>
        <w:outlineLvl w:val="3"/>
        <w:rPr>
          <w:rFonts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3.4  </w:t>
      </w:r>
      <w:r>
        <w:rPr>
          <w:rFonts w:ascii="宋体" w:hAnsi="宋体" w:eastAsia="宋体" w:cs="宋体"/>
          <w:b/>
          <w:bCs/>
          <w:spacing w:val="-2"/>
          <w:sz w:val="24"/>
          <w:szCs w:val="24"/>
          <w:lang w:eastAsia="zh-CN"/>
        </w:rPr>
        <w:t>养护绩效考核的方法</w:t>
      </w:r>
    </w:p>
    <w:p w14:paraId="1E8B9A33">
      <w:pPr>
        <w:spacing w:before="78" w:line="219" w:lineRule="auto"/>
        <w:ind w:left="413"/>
        <w:outlineLvl w:val="2"/>
        <w:rPr>
          <w:rFonts w:hint="eastAsia" w:ascii="宋体" w:hAnsi="宋体" w:cs="宋体"/>
          <w:spacing w:val="-1"/>
          <w:sz w:val="24"/>
          <w:szCs w:val="24"/>
          <w:lang w:eastAsia="zh-CN"/>
        </w:rPr>
      </w:pPr>
      <w:bookmarkStart w:id="251" w:name="_Toc65"/>
      <w:bookmarkStart w:id="252" w:name="_Toc2276"/>
      <w:bookmarkStart w:id="253" w:name="_Toc28942"/>
      <w:r>
        <w:rPr>
          <w:rFonts w:ascii="宋体" w:hAnsi="宋体" w:eastAsia="宋体" w:cs="宋体"/>
          <w:spacing w:val="-1"/>
          <w:sz w:val="24"/>
          <w:szCs w:val="24"/>
          <w:lang w:eastAsia="zh-CN"/>
        </w:rPr>
        <w:t>养护绩效考核</w:t>
      </w:r>
      <w:r>
        <w:rPr>
          <w:rFonts w:hint="eastAsia" w:ascii="宋体" w:hAnsi="宋体" w:eastAsia="宋体" w:cs="宋体"/>
          <w:spacing w:val="-1"/>
          <w:sz w:val="24"/>
          <w:szCs w:val="24"/>
          <w:lang w:eastAsia="zh-CN"/>
        </w:rPr>
        <w:t>按《</w:t>
      </w:r>
      <w:r>
        <w:rPr>
          <w:rFonts w:hint="eastAsia" w:ascii="宋体" w:hAnsi="宋体" w:eastAsia="宋体" w:cs="宋体"/>
          <w:spacing w:val="-1"/>
          <w:sz w:val="24"/>
          <w:szCs w:val="24"/>
          <w:lang w:val="en-US" w:eastAsia="zh-CN"/>
        </w:rPr>
        <w:t>广西壮族自治区桂林公路发展中心公路养护服务工作标准及考核办法</w:t>
      </w:r>
      <w:r>
        <w:rPr>
          <w:rFonts w:hint="eastAsia" w:ascii="宋体" w:hAnsi="宋体" w:eastAsia="宋体" w:cs="宋体"/>
          <w:spacing w:val="-1"/>
          <w:sz w:val="24"/>
          <w:szCs w:val="24"/>
          <w:lang w:eastAsia="zh-CN"/>
        </w:rPr>
        <w:t>》</w:t>
      </w:r>
      <w:r>
        <w:rPr>
          <w:rFonts w:hint="eastAsia" w:ascii="宋体" w:hAnsi="宋体" w:cs="宋体"/>
          <w:spacing w:val="-1"/>
          <w:sz w:val="24"/>
          <w:szCs w:val="24"/>
          <w:lang w:val="en-US" w:eastAsia="zh-CN"/>
        </w:rPr>
        <w:t>执行</w:t>
      </w:r>
      <w:r>
        <w:rPr>
          <w:rFonts w:hint="eastAsia" w:ascii="宋体" w:hAnsi="宋体" w:cs="宋体"/>
          <w:spacing w:val="-1"/>
          <w:sz w:val="24"/>
          <w:szCs w:val="24"/>
          <w:lang w:eastAsia="zh-CN"/>
        </w:rPr>
        <w:t>。</w:t>
      </w:r>
      <w:bookmarkEnd w:id="251"/>
      <w:bookmarkEnd w:id="252"/>
      <w:bookmarkEnd w:id="253"/>
    </w:p>
    <w:p w14:paraId="129EE278">
      <w:pPr>
        <w:spacing w:before="78" w:line="219" w:lineRule="auto"/>
        <w:ind w:left="413"/>
        <w:outlineLvl w:val="2"/>
        <w:rPr>
          <w:rFonts w:ascii="宋体" w:hAnsi="宋体" w:eastAsia="宋体" w:cs="宋体"/>
          <w:sz w:val="24"/>
          <w:szCs w:val="24"/>
          <w:lang w:eastAsia="zh-CN"/>
        </w:rPr>
      </w:pPr>
      <w:bookmarkStart w:id="254" w:name="_Toc10164"/>
      <w:bookmarkStart w:id="255" w:name="_Toc24918"/>
      <w:bookmarkStart w:id="256" w:name="_Toc6358"/>
      <w:r>
        <w:rPr>
          <w:rFonts w:ascii="Times New Roman" w:hAnsi="Times New Roman" w:eastAsia="Times New Roman" w:cs="Times New Roman"/>
          <w:b/>
          <w:bCs/>
          <w:spacing w:val="-2"/>
          <w:sz w:val="24"/>
          <w:szCs w:val="24"/>
          <w:lang w:eastAsia="zh-CN"/>
        </w:rPr>
        <w:t xml:space="preserve">3.5  </w:t>
      </w:r>
      <w:r>
        <w:rPr>
          <w:rFonts w:ascii="宋体" w:hAnsi="宋体" w:eastAsia="宋体" w:cs="宋体"/>
          <w:b/>
          <w:bCs/>
          <w:spacing w:val="-2"/>
          <w:sz w:val="24"/>
          <w:szCs w:val="24"/>
          <w:lang w:eastAsia="zh-CN"/>
        </w:rPr>
        <w:t>养护绩效考核示例</w:t>
      </w:r>
      <w:bookmarkEnd w:id="254"/>
      <w:bookmarkEnd w:id="255"/>
      <w:bookmarkEnd w:id="256"/>
    </w:p>
    <w:p w14:paraId="562CF239">
      <w:pPr>
        <w:spacing w:before="116" w:line="219" w:lineRule="auto"/>
        <w:ind w:left="481"/>
        <w:rPr>
          <w:rFonts w:ascii="宋体" w:hAnsi="宋体" w:eastAsia="宋体" w:cs="宋体"/>
          <w:sz w:val="24"/>
          <w:szCs w:val="24"/>
          <w:lang w:eastAsia="zh-CN"/>
        </w:rPr>
      </w:pPr>
      <w:r>
        <w:rPr>
          <w:rFonts w:ascii="宋体" w:hAnsi="宋体" w:eastAsia="宋体" w:cs="宋体"/>
          <w:sz w:val="24"/>
          <w:szCs w:val="24"/>
          <w:lang w:eastAsia="zh-CN"/>
        </w:rPr>
        <w:t>养护绩效考核办法由发包人根据项目特点自</w:t>
      </w:r>
      <w:r>
        <w:rPr>
          <w:rFonts w:ascii="宋体" w:hAnsi="宋体" w:eastAsia="宋体" w:cs="宋体"/>
          <w:spacing w:val="-1"/>
          <w:sz w:val="24"/>
          <w:szCs w:val="24"/>
          <w:lang w:eastAsia="zh-CN"/>
        </w:rPr>
        <w:t>行编制</w:t>
      </w:r>
      <w:r>
        <w:rPr>
          <w:rFonts w:hint="eastAsia" w:ascii="宋体" w:hAnsi="宋体" w:eastAsia="宋体" w:cs="宋体"/>
          <w:spacing w:val="-1"/>
          <w:sz w:val="24"/>
          <w:szCs w:val="24"/>
          <w:lang w:eastAsia="zh-CN"/>
        </w:rPr>
        <w:t>。</w:t>
      </w:r>
    </w:p>
    <w:p w14:paraId="05282518">
      <w:pPr>
        <w:spacing w:before="81" w:line="219" w:lineRule="auto"/>
        <w:ind w:left="477"/>
        <w:outlineLvl w:val="2"/>
        <w:rPr>
          <w:rFonts w:ascii="宋体" w:hAnsi="宋体" w:eastAsia="宋体" w:cs="宋体"/>
          <w:sz w:val="24"/>
          <w:szCs w:val="24"/>
          <w:lang w:eastAsia="zh-CN"/>
        </w:rPr>
      </w:pPr>
      <w:bookmarkStart w:id="257" w:name="_Toc16104"/>
      <w:bookmarkStart w:id="258" w:name="_Toc6146"/>
      <w:bookmarkStart w:id="259" w:name="_Toc14639"/>
      <w:r>
        <w:rPr>
          <w:rFonts w:ascii="Times New Roman" w:hAnsi="Times New Roman" w:eastAsia="Times New Roman" w:cs="Times New Roman"/>
          <w:b/>
          <w:bCs/>
          <w:spacing w:val="-2"/>
          <w:sz w:val="24"/>
          <w:szCs w:val="24"/>
          <w:lang w:eastAsia="zh-CN"/>
        </w:rPr>
        <w:t>4</w:t>
      </w:r>
      <w:r>
        <w:rPr>
          <w:rFonts w:ascii="宋体" w:hAnsi="宋体" w:eastAsia="宋体" w:cs="宋体"/>
          <w:b/>
          <w:bCs/>
          <w:spacing w:val="-2"/>
          <w:sz w:val="24"/>
          <w:szCs w:val="24"/>
          <w:lang w:eastAsia="zh-CN"/>
        </w:rPr>
        <w:t>.</w:t>
      </w:r>
      <w:r>
        <w:rPr>
          <w:rFonts w:ascii="宋体" w:hAnsi="宋体" w:eastAsia="宋体" w:cs="宋体"/>
          <w:spacing w:val="-2"/>
          <w:sz w:val="24"/>
          <w:szCs w:val="24"/>
          <w:lang w:eastAsia="zh-CN"/>
        </w:rPr>
        <w:t xml:space="preserve"> </w:t>
      </w:r>
      <w:r>
        <w:rPr>
          <w:rFonts w:ascii="宋体" w:hAnsi="宋体" w:eastAsia="宋体" w:cs="宋体"/>
          <w:b/>
          <w:bCs/>
          <w:spacing w:val="-2"/>
          <w:sz w:val="24"/>
          <w:szCs w:val="24"/>
          <w:lang w:eastAsia="zh-CN"/>
        </w:rPr>
        <w:t>养护绩效支付方法</w:t>
      </w:r>
      <w:bookmarkEnd w:id="257"/>
      <w:bookmarkEnd w:id="258"/>
      <w:bookmarkEnd w:id="259"/>
    </w:p>
    <w:p w14:paraId="72776928">
      <w:pPr>
        <w:spacing w:before="260" w:line="219" w:lineRule="auto"/>
        <w:ind w:left="477"/>
        <w:outlineLvl w:val="3"/>
        <w:rPr>
          <w:rFonts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4.1</w:t>
      </w:r>
      <w:r>
        <w:rPr>
          <w:rFonts w:ascii="Times New Roman" w:hAnsi="Times New Roman" w:eastAsia="Times New Roman" w:cs="Times New Roman"/>
          <w:b/>
          <w:bCs/>
          <w:spacing w:val="27"/>
          <w:w w:val="101"/>
          <w:sz w:val="24"/>
          <w:szCs w:val="24"/>
          <w:lang w:eastAsia="zh-CN"/>
        </w:rPr>
        <w:t xml:space="preserve">  </w:t>
      </w:r>
      <w:r>
        <w:rPr>
          <w:rFonts w:ascii="宋体" w:hAnsi="宋体" w:eastAsia="宋体" w:cs="宋体"/>
          <w:b/>
          <w:bCs/>
          <w:spacing w:val="-4"/>
          <w:sz w:val="24"/>
          <w:szCs w:val="24"/>
          <w:lang w:eastAsia="zh-CN"/>
        </w:rPr>
        <w:t>日常养护和承包人自主实施的养护工程支付方法</w:t>
      </w:r>
    </w:p>
    <w:p w14:paraId="29EA297E">
      <w:pPr>
        <w:spacing w:before="116" w:line="307" w:lineRule="auto"/>
        <w:ind w:left="486" w:right="320" w:firstLine="5"/>
        <w:rPr>
          <w:rFonts w:ascii="宋体" w:hAnsi="宋体" w:eastAsia="宋体" w:cs="宋体"/>
          <w:sz w:val="24"/>
          <w:szCs w:val="24"/>
          <w:lang w:eastAsia="zh-CN"/>
        </w:rPr>
      </w:pPr>
      <w:r>
        <w:rPr>
          <w:rFonts w:ascii="宋体" w:hAnsi="宋体" w:eastAsia="宋体" w:cs="宋体"/>
          <w:spacing w:val="-1"/>
          <w:sz w:val="24"/>
          <w:szCs w:val="24"/>
          <w:lang w:eastAsia="zh-CN"/>
        </w:rPr>
        <w:t>（</w:t>
      </w:r>
      <w:r>
        <w:rPr>
          <w:rFonts w:ascii="Times New Roman" w:hAnsi="Times New Roman" w:eastAsia="Times New Roman" w:cs="Times New Roman"/>
          <w:spacing w:val="-1"/>
          <w:sz w:val="24"/>
          <w:szCs w:val="24"/>
          <w:lang w:eastAsia="zh-CN"/>
        </w:rPr>
        <w:t>1</w:t>
      </w:r>
      <w:r>
        <w:rPr>
          <w:rFonts w:ascii="宋体" w:hAnsi="宋体" w:eastAsia="宋体" w:cs="宋体"/>
          <w:spacing w:val="-1"/>
          <w:sz w:val="24"/>
          <w:szCs w:val="24"/>
          <w:lang w:eastAsia="zh-CN"/>
        </w:rPr>
        <w:t>）确定约定的付款周期内日常养护和承包人自主实施的养护工程支付限额约定的付款周期为：</w:t>
      </w:r>
      <w:r>
        <w:rPr>
          <w:rFonts w:ascii="宋体" w:hAnsi="宋体" w:eastAsia="宋体" w:cs="宋体"/>
          <w:spacing w:val="-1"/>
          <w:sz w:val="24"/>
          <w:szCs w:val="24"/>
          <w:u w:val="single"/>
          <w:lang w:eastAsia="zh-CN"/>
        </w:rPr>
        <w:t xml:space="preserve">      </w:t>
      </w:r>
      <w:r>
        <w:rPr>
          <w:rFonts w:hint="eastAsia" w:ascii="宋体" w:hAnsi="宋体" w:cs="宋体"/>
          <w:spacing w:val="-1"/>
          <w:sz w:val="24"/>
          <w:szCs w:val="24"/>
          <w:u w:val="single"/>
          <w:lang w:val="en-US" w:eastAsia="zh-CN"/>
        </w:rPr>
        <w:t>月度</w:t>
      </w:r>
      <w:r>
        <w:rPr>
          <w:rFonts w:ascii="宋体" w:hAnsi="宋体" w:eastAsia="宋体" w:cs="宋体"/>
          <w:spacing w:val="-1"/>
          <w:sz w:val="24"/>
          <w:szCs w:val="24"/>
          <w:u w:val="single"/>
          <w:lang w:eastAsia="zh-CN"/>
        </w:rPr>
        <w:t xml:space="preserve">         </w:t>
      </w:r>
      <w:r>
        <w:rPr>
          <w:rFonts w:ascii="宋体" w:hAnsi="宋体" w:eastAsia="宋体" w:cs="宋体"/>
          <w:spacing w:val="-1"/>
          <w:sz w:val="24"/>
          <w:szCs w:val="24"/>
          <w:lang w:eastAsia="zh-CN"/>
        </w:rPr>
        <w:t>。</w:t>
      </w:r>
    </w:p>
    <w:p w14:paraId="45E95000">
      <w:pPr>
        <w:spacing w:before="1" w:line="218" w:lineRule="auto"/>
        <w:ind w:left="481"/>
        <w:rPr>
          <w:rFonts w:ascii="宋体" w:hAnsi="宋体" w:eastAsia="宋体" w:cs="宋体"/>
          <w:sz w:val="24"/>
          <w:szCs w:val="24"/>
          <w:lang w:eastAsia="zh-CN"/>
        </w:rPr>
      </w:pPr>
      <w:r>
        <w:rPr>
          <w:rFonts w:ascii="宋体" w:hAnsi="宋体" w:eastAsia="宋体" w:cs="宋体"/>
          <w:spacing w:val="-1"/>
          <w:sz w:val="24"/>
          <w:szCs w:val="24"/>
          <w:lang w:eastAsia="zh-CN"/>
        </w:rPr>
        <w:t>本周期日常养护和承包人自主实施的养护工程付款限额的确定方法：</w:t>
      </w:r>
    </w:p>
    <w:p w14:paraId="3A815958">
      <w:pPr>
        <w:spacing w:before="74" w:line="309" w:lineRule="auto"/>
        <w:ind w:right="167" w:firstLine="480"/>
        <w:rPr>
          <w:rFonts w:ascii="宋体" w:hAnsi="宋体" w:eastAsia="宋体" w:cs="宋体"/>
          <w:sz w:val="24"/>
          <w:szCs w:val="24"/>
          <w:lang w:eastAsia="zh-CN"/>
        </w:rPr>
      </w:pPr>
      <w:r>
        <w:rPr>
          <w:rFonts w:ascii="宋体" w:hAnsi="宋体" w:eastAsia="宋体" w:cs="宋体"/>
          <w:spacing w:val="3"/>
          <w:sz w:val="24"/>
          <w:szCs w:val="24"/>
          <w:lang w:eastAsia="zh-CN"/>
        </w:rPr>
        <w:t>每</w:t>
      </w:r>
      <w:r>
        <w:rPr>
          <w:rFonts w:ascii="宋体" w:hAnsi="宋体" w:eastAsia="宋体" w:cs="宋体"/>
          <w:spacing w:val="-107"/>
          <w:sz w:val="24"/>
          <w:szCs w:val="24"/>
          <w:lang w:eastAsia="zh-CN"/>
        </w:rPr>
        <w:t xml:space="preserve"> </w:t>
      </w:r>
      <w:r>
        <w:rPr>
          <w:rFonts w:ascii="宋体" w:hAnsi="宋体" w:eastAsia="宋体" w:cs="宋体"/>
          <w:spacing w:val="3"/>
          <w:sz w:val="24"/>
          <w:szCs w:val="24"/>
          <w:u w:val="single"/>
          <w:lang w:eastAsia="zh-CN"/>
        </w:rPr>
        <w:t xml:space="preserve">     </w:t>
      </w:r>
      <w:r>
        <w:rPr>
          <w:rFonts w:hint="eastAsia" w:ascii="宋体" w:hAnsi="宋体" w:cs="宋体"/>
          <w:spacing w:val="3"/>
          <w:sz w:val="24"/>
          <w:szCs w:val="24"/>
          <w:u w:val="single"/>
          <w:lang w:val="en-US" w:eastAsia="zh-CN"/>
        </w:rPr>
        <w:t>月</w:t>
      </w:r>
      <w:r>
        <w:rPr>
          <w:rFonts w:ascii="宋体" w:hAnsi="宋体" w:eastAsia="宋体" w:cs="宋体"/>
          <w:spacing w:val="3"/>
          <w:sz w:val="24"/>
          <w:szCs w:val="24"/>
          <w:u w:val="single"/>
          <w:lang w:eastAsia="zh-CN"/>
        </w:rPr>
        <w:t xml:space="preserve">   </w:t>
      </w:r>
      <w:r>
        <w:rPr>
          <w:rFonts w:ascii="宋体" w:hAnsi="宋体" w:eastAsia="宋体" w:cs="宋体"/>
          <w:spacing w:val="3"/>
          <w:sz w:val="24"/>
          <w:szCs w:val="24"/>
          <w:lang w:eastAsia="zh-CN"/>
        </w:rPr>
        <w:t>（例如：月度、季度等）付款限额</w:t>
      </w:r>
      <w:r>
        <w:rPr>
          <w:rFonts w:ascii="Times New Roman" w:hAnsi="Times New Roman" w:eastAsia="Times New Roman" w:cs="Times New Roman"/>
          <w:spacing w:val="3"/>
          <w:sz w:val="24"/>
          <w:szCs w:val="24"/>
          <w:lang w:eastAsia="zh-CN"/>
        </w:rPr>
        <w:t>=</w:t>
      </w:r>
      <w:r>
        <w:rPr>
          <w:rFonts w:ascii="宋体" w:hAnsi="宋体" w:eastAsia="宋体" w:cs="宋体"/>
          <w:spacing w:val="3"/>
          <w:sz w:val="24"/>
          <w:szCs w:val="24"/>
          <w:lang w:eastAsia="zh-CN"/>
        </w:rPr>
        <w:t>年度日常养护和承包人自主实</w:t>
      </w:r>
      <w:r>
        <w:rPr>
          <w:rFonts w:ascii="宋体" w:hAnsi="宋体" w:eastAsia="宋体" w:cs="宋体"/>
          <w:spacing w:val="-1"/>
          <w:sz w:val="24"/>
          <w:szCs w:val="24"/>
          <w:lang w:eastAsia="zh-CN"/>
        </w:rPr>
        <w:t>施的养护工程费用</w:t>
      </w:r>
      <w:r>
        <w:rPr>
          <w:rFonts w:ascii="Times New Roman" w:hAnsi="Times New Roman" w:eastAsia="Times New Roman" w:cs="Times New Roman"/>
          <w:spacing w:val="-1"/>
          <w:sz w:val="24"/>
          <w:szCs w:val="24"/>
          <w:lang w:eastAsia="zh-CN"/>
        </w:rPr>
        <w:t>÷</w:t>
      </w:r>
      <w:r>
        <w:rPr>
          <w:rFonts w:ascii="Times New Roman" w:hAnsi="Times New Roman" w:eastAsia="Times New Roman" w:cs="Times New Roman"/>
          <w:spacing w:val="-32"/>
          <w:sz w:val="24"/>
          <w:szCs w:val="24"/>
          <w:lang w:eastAsia="zh-CN"/>
        </w:rPr>
        <w:t xml:space="preserve"> </w:t>
      </w:r>
      <w:r>
        <w:rPr>
          <w:rFonts w:ascii="Times New Roman" w:hAnsi="Times New Roman" w:eastAsia="Times New Roman" w:cs="Times New Roman"/>
          <w:spacing w:val="-1"/>
          <w:sz w:val="24"/>
          <w:szCs w:val="24"/>
          <w:lang w:eastAsia="zh-CN"/>
        </w:rPr>
        <w:t xml:space="preserve">12 </w:t>
      </w:r>
      <w:r>
        <w:rPr>
          <w:rFonts w:ascii="宋体" w:hAnsi="宋体" w:eastAsia="宋体" w:cs="宋体"/>
          <w:spacing w:val="-1"/>
          <w:sz w:val="24"/>
          <w:szCs w:val="24"/>
          <w:lang w:eastAsia="zh-CN"/>
        </w:rPr>
        <w:t>个月</w:t>
      </w:r>
      <w:r>
        <w:rPr>
          <w:rFonts w:ascii="Times New Roman" w:hAnsi="Times New Roman" w:eastAsia="Times New Roman" w:cs="Times New Roman"/>
          <w:spacing w:val="-1"/>
          <w:sz w:val="24"/>
          <w:szCs w:val="24"/>
          <w:lang w:eastAsia="zh-CN"/>
        </w:rPr>
        <w:t>×</w:t>
      </w:r>
      <w:r>
        <w:rPr>
          <w:rFonts w:ascii="Times New Roman" w:hAnsi="Times New Roman" w:eastAsia="Times New Roman" w:cs="Times New Roman"/>
          <w:spacing w:val="-1"/>
          <w:sz w:val="24"/>
          <w:szCs w:val="24"/>
          <w:u w:val="single"/>
          <w:lang w:eastAsia="zh-CN"/>
        </w:rPr>
        <w:t xml:space="preserve">    </w:t>
      </w:r>
      <w:r>
        <w:rPr>
          <w:rFonts w:ascii="Times New Roman" w:hAnsi="Times New Roman" w:eastAsia="Times New Roman" w:cs="Times New Roman"/>
          <w:spacing w:val="-2"/>
          <w:sz w:val="24"/>
          <w:szCs w:val="24"/>
          <w:u w:val="single"/>
          <w:lang w:eastAsia="zh-CN"/>
        </w:rPr>
        <w:t xml:space="preserve"> </w:t>
      </w:r>
      <w:r>
        <w:rPr>
          <w:rFonts w:hint="eastAsia" w:eastAsia="Times New Roman" w:cs="Times New Roman"/>
          <w:spacing w:val="-2"/>
          <w:sz w:val="24"/>
          <w:szCs w:val="24"/>
          <w:u w:val="single"/>
          <w:lang w:val="en-US" w:eastAsia="zh-CN"/>
        </w:rPr>
        <w:t>1</w:t>
      </w:r>
      <w:r>
        <w:rPr>
          <w:rFonts w:ascii="Times New Roman" w:hAnsi="Times New Roman" w:eastAsia="Times New Roman" w:cs="Times New Roman"/>
          <w:spacing w:val="-2"/>
          <w:sz w:val="24"/>
          <w:szCs w:val="24"/>
          <w:u w:val="single"/>
          <w:lang w:eastAsia="zh-CN"/>
        </w:rPr>
        <w:t xml:space="preserve">     </w:t>
      </w:r>
      <w:r>
        <w:rPr>
          <w:rFonts w:ascii="Times New Roman" w:hAnsi="Times New Roman" w:eastAsia="Times New Roman" w:cs="Times New Roman"/>
          <w:spacing w:val="-2"/>
          <w:sz w:val="24"/>
          <w:szCs w:val="24"/>
          <w:lang w:eastAsia="zh-CN"/>
        </w:rPr>
        <w:t xml:space="preserve">  </w:t>
      </w:r>
      <w:r>
        <w:rPr>
          <w:rFonts w:ascii="宋体" w:hAnsi="宋体" w:eastAsia="宋体" w:cs="宋体"/>
          <w:spacing w:val="-2"/>
          <w:sz w:val="24"/>
          <w:szCs w:val="24"/>
          <w:lang w:eastAsia="zh-CN"/>
        </w:rPr>
        <w:t>个月</w:t>
      </w:r>
    </w:p>
    <w:p w14:paraId="4B463099">
      <w:pPr>
        <w:spacing w:before="38" w:line="308" w:lineRule="auto"/>
        <w:ind w:left="2" w:firstLine="489"/>
        <w:jc w:val="both"/>
        <w:rPr>
          <w:rFonts w:ascii="宋体" w:hAnsi="宋体" w:eastAsia="宋体" w:cs="宋体"/>
          <w:sz w:val="24"/>
          <w:szCs w:val="24"/>
          <w:highlight w:val="none"/>
          <w:lang w:eastAsia="zh-CN"/>
        </w:rPr>
      </w:pPr>
      <w:r>
        <w:rPr>
          <w:rFonts w:ascii="宋体" w:hAnsi="宋体" w:eastAsia="宋体" w:cs="宋体"/>
          <w:spacing w:val="4"/>
          <w:sz w:val="24"/>
          <w:szCs w:val="24"/>
          <w:highlight w:val="none"/>
          <w:lang w:eastAsia="zh-CN"/>
        </w:rPr>
        <w:t>（</w:t>
      </w:r>
      <w:r>
        <w:rPr>
          <w:rFonts w:ascii="Times New Roman" w:hAnsi="Times New Roman" w:eastAsia="Times New Roman" w:cs="Times New Roman"/>
          <w:spacing w:val="4"/>
          <w:sz w:val="24"/>
          <w:szCs w:val="24"/>
          <w:highlight w:val="none"/>
          <w:lang w:eastAsia="zh-CN"/>
        </w:rPr>
        <w:t>2</w:t>
      </w:r>
      <w:r>
        <w:rPr>
          <w:rFonts w:ascii="宋体" w:hAnsi="宋体" w:eastAsia="宋体" w:cs="宋体"/>
          <w:spacing w:val="4"/>
          <w:sz w:val="24"/>
          <w:szCs w:val="24"/>
          <w:highlight w:val="none"/>
          <w:lang w:eastAsia="zh-CN"/>
        </w:rPr>
        <w:t>）根据绩效服务水平得分计算实际支付金额：</w:t>
      </w:r>
      <w:r>
        <w:rPr>
          <w:rFonts w:hint="eastAsia" w:ascii="宋体" w:hAnsi="宋体" w:eastAsia="宋体" w:cs="宋体"/>
          <w:spacing w:val="4"/>
          <w:sz w:val="24"/>
          <w:szCs w:val="24"/>
          <w:highlight w:val="none"/>
          <w:u w:val="none"/>
          <w:lang w:val="en-US" w:eastAsia="zh-CN"/>
        </w:rPr>
        <w:t>按</w:t>
      </w:r>
      <w:r>
        <w:rPr>
          <w:rFonts w:hint="eastAsia" w:ascii="宋体" w:hAnsi="宋体" w:eastAsia="宋体" w:cs="宋体"/>
          <w:spacing w:val="4"/>
          <w:sz w:val="24"/>
          <w:szCs w:val="24"/>
          <w:highlight w:val="none"/>
          <w:u w:val="none"/>
          <w:lang w:eastAsia="zh-CN"/>
        </w:rPr>
        <w:t>绩效考核得分</w:t>
      </w:r>
      <w:r>
        <w:rPr>
          <w:rFonts w:hint="eastAsia" w:ascii="宋体" w:hAnsi="宋体" w:eastAsia="宋体" w:cs="宋体"/>
          <w:spacing w:val="4"/>
          <w:sz w:val="24"/>
          <w:szCs w:val="24"/>
          <w:highlight w:val="none"/>
          <w:u w:val="none"/>
          <w:lang w:val="en-US" w:eastAsia="zh-CN"/>
        </w:rPr>
        <w:t>分档：</w:t>
      </w:r>
      <w:r>
        <w:rPr>
          <w:rFonts w:hint="eastAsia" w:cs="宋体"/>
          <w:sz w:val="24"/>
          <w:szCs w:val="24"/>
          <w:highlight w:val="none"/>
        </w:rPr>
        <w:t xml:space="preserve">A档 </w:t>
      </w:r>
      <w:r>
        <w:rPr>
          <w:rFonts w:hint="eastAsia" w:eastAsia="宋体" w:cs="宋体"/>
          <w:sz w:val="24"/>
          <w:szCs w:val="24"/>
          <w:highlight w:val="none"/>
          <w:lang w:val="en-US" w:eastAsia="zh-CN"/>
        </w:rPr>
        <w:t>90</w:t>
      </w:r>
      <w:r>
        <w:rPr>
          <w:rFonts w:hint="eastAsia" w:cs="宋体"/>
          <w:sz w:val="24"/>
          <w:szCs w:val="24"/>
          <w:highlight w:val="none"/>
        </w:rPr>
        <w:t>-</w:t>
      </w:r>
      <w:r>
        <w:rPr>
          <w:rFonts w:hint="eastAsia" w:eastAsia="宋体" w:cs="宋体"/>
          <w:sz w:val="24"/>
          <w:szCs w:val="24"/>
          <w:highlight w:val="none"/>
          <w:lang w:val="en-US" w:eastAsia="zh-CN"/>
        </w:rPr>
        <w:t>100</w:t>
      </w:r>
      <w:r>
        <w:rPr>
          <w:rFonts w:hint="eastAsia" w:cs="宋体"/>
          <w:sz w:val="24"/>
          <w:szCs w:val="24"/>
          <w:highlight w:val="none"/>
        </w:rPr>
        <w:t xml:space="preserve"> 分、B档 </w:t>
      </w:r>
      <w:r>
        <w:rPr>
          <w:rFonts w:hint="eastAsia" w:eastAsia="宋体" w:cs="宋体"/>
          <w:sz w:val="24"/>
          <w:szCs w:val="24"/>
          <w:highlight w:val="none"/>
          <w:lang w:val="en-US" w:eastAsia="zh-CN"/>
        </w:rPr>
        <w:t>80</w:t>
      </w:r>
      <w:r>
        <w:rPr>
          <w:rFonts w:hint="eastAsia" w:cs="宋体"/>
          <w:sz w:val="24"/>
          <w:szCs w:val="24"/>
          <w:highlight w:val="none"/>
        </w:rPr>
        <w:t>-</w:t>
      </w:r>
      <w:r>
        <w:rPr>
          <w:rFonts w:hint="eastAsia" w:eastAsia="宋体" w:cs="宋体"/>
          <w:sz w:val="24"/>
          <w:szCs w:val="24"/>
          <w:highlight w:val="none"/>
          <w:lang w:val="en-US" w:eastAsia="zh-CN"/>
        </w:rPr>
        <w:t>89</w:t>
      </w:r>
      <w:r>
        <w:rPr>
          <w:rFonts w:hint="eastAsia" w:cs="宋体"/>
          <w:sz w:val="24"/>
          <w:szCs w:val="24"/>
          <w:highlight w:val="none"/>
        </w:rPr>
        <w:t xml:space="preserve">分、C档 </w:t>
      </w:r>
      <w:r>
        <w:rPr>
          <w:rFonts w:hint="eastAsia" w:eastAsia="宋体" w:cs="宋体"/>
          <w:sz w:val="24"/>
          <w:szCs w:val="24"/>
          <w:highlight w:val="none"/>
          <w:lang w:val="en-US" w:eastAsia="zh-CN"/>
        </w:rPr>
        <w:t>70</w:t>
      </w:r>
      <w:r>
        <w:rPr>
          <w:rFonts w:hint="eastAsia" w:cs="宋体"/>
          <w:sz w:val="24"/>
          <w:szCs w:val="24"/>
          <w:highlight w:val="none"/>
        </w:rPr>
        <w:t>-</w:t>
      </w:r>
      <w:r>
        <w:rPr>
          <w:rFonts w:hint="eastAsia" w:eastAsia="宋体" w:cs="宋体"/>
          <w:sz w:val="24"/>
          <w:szCs w:val="24"/>
          <w:highlight w:val="none"/>
          <w:lang w:val="en-US" w:eastAsia="zh-CN"/>
        </w:rPr>
        <w:t>79</w:t>
      </w:r>
      <w:r>
        <w:rPr>
          <w:rFonts w:hint="eastAsia" w:cs="宋体"/>
          <w:sz w:val="24"/>
          <w:szCs w:val="24"/>
          <w:highlight w:val="none"/>
        </w:rPr>
        <w:t xml:space="preserve"> 分、D档低于</w:t>
      </w:r>
      <w:r>
        <w:rPr>
          <w:rFonts w:hint="eastAsia" w:eastAsia="宋体" w:cs="宋体"/>
          <w:sz w:val="24"/>
          <w:szCs w:val="24"/>
          <w:highlight w:val="none"/>
          <w:lang w:val="en-US" w:eastAsia="zh-CN"/>
        </w:rPr>
        <w:t>7</w:t>
      </w:r>
      <w:r>
        <w:rPr>
          <w:rFonts w:hint="eastAsia" w:cs="宋体"/>
          <w:sz w:val="24"/>
          <w:szCs w:val="24"/>
          <w:highlight w:val="none"/>
        </w:rPr>
        <w:t>0分。各档次支付比例：A档支付</w:t>
      </w:r>
      <w:r>
        <w:rPr>
          <w:rFonts w:hint="eastAsia" w:eastAsia="宋体" w:cs="宋体"/>
          <w:sz w:val="24"/>
          <w:szCs w:val="24"/>
          <w:highlight w:val="none"/>
          <w:lang w:val="en-US" w:eastAsia="zh-CN"/>
        </w:rPr>
        <w:t>100</w:t>
      </w:r>
      <w:r>
        <w:rPr>
          <w:rFonts w:hint="eastAsia" w:cs="宋体"/>
          <w:sz w:val="24"/>
          <w:szCs w:val="24"/>
          <w:highlight w:val="none"/>
        </w:rPr>
        <w:t>%费用，B档支付</w:t>
      </w:r>
      <w:r>
        <w:rPr>
          <w:rFonts w:hint="eastAsia" w:eastAsia="宋体" w:cs="宋体"/>
          <w:sz w:val="24"/>
          <w:szCs w:val="24"/>
          <w:highlight w:val="none"/>
          <w:lang w:val="en-US" w:eastAsia="zh-CN"/>
        </w:rPr>
        <w:t>90</w:t>
      </w:r>
      <w:r>
        <w:rPr>
          <w:rFonts w:hint="eastAsia" w:cs="宋体"/>
          <w:sz w:val="24"/>
          <w:szCs w:val="24"/>
          <w:highlight w:val="none"/>
        </w:rPr>
        <w:t>%费用，C档支付</w:t>
      </w:r>
      <w:r>
        <w:rPr>
          <w:rFonts w:hint="eastAsia" w:eastAsia="宋体" w:cs="宋体"/>
          <w:sz w:val="24"/>
          <w:szCs w:val="24"/>
          <w:highlight w:val="none"/>
          <w:lang w:val="en-US" w:eastAsia="zh-CN"/>
        </w:rPr>
        <w:t>80</w:t>
      </w:r>
      <w:r>
        <w:rPr>
          <w:rFonts w:hint="eastAsia" w:cs="宋体"/>
          <w:sz w:val="24"/>
          <w:szCs w:val="24"/>
          <w:highlight w:val="none"/>
        </w:rPr>
        <w:t>%费用，D档暂停支付并要求承包人整改，整改合格后按 70% 支付。日常保养视得分档次比例进行结算支付，A档以下剩余费用由</w:t>
      </w:r>
      <w:r>
        <w:rPr>
          <w:rFonts w:hint="eastAsia" w:eastAsia="宋体" w:cs="宋体"/>
          <w:sz w:val="24"/>
          <w:szCs w:val="24"/>
          <w:highlight w:val="none"/>
          <w:lang w:val="en-US" w:eastAsia="zh-CN"/>
        </w:rPr>
        <w:t>发包</w:t>
      </w:r>
      <w:r>
        <w:rPr>
          <w:rFonts w:hint="eastAsia" w:cs="宋体"/>
          <w:sz w:val="24"/>
          <w:szCs w:val="24"/>
          <w:highlight w:val="none"/>
        </w:rPr>
        <w:t>人统筹使用于增加日常维修</w:t>
      </w:r>
      <w:r>
        <w:rPr>
          <w:rFonts w:hint="eastAsia" w:eastAsia="宋体" w:cs="宋体"/>
          <w:sz w:val="24"/>
          <w:szCs w:val="24"/>
          <w:highlight w:val="none"/>
          <w:lang w:val="en-US" w:eastAsia="zh-CN"/>
        </w:rPr>
        <w:t>或</w:t>
      </w:r>
      <w:r>
        <w:rPr>
          <w:rFonts w:hint="eastAsia" w:cs="宋体"/>
          <w:sz w:val="24"/>
          <w:szCs w:val="24"/>
          <w:highlight w:val="none"/>
          <w:lang w:val="en-US" w:eastAsia="zh-CN"/>
        </w:rPr>
        <w:t>养护智能化</w:t>
      </w:r>
      <w:r>
        <w:rPr>
          <w:rFonts w:hint="eastAsia" w:cs="宋体"/>
          <w:sz w:val="24"/>
          <w:szCs w:val="24"/>
          <w:highlight w:val="none"/>
        </w:rPr>
        <w:t>工作</w:t>
      </w:r>
      <w:r>
        <w:rPr>
          <w:rFonts w:hint="eastAsia" w:eastAsia="宋体" w:cs="宋体"/>
          <w:sz w:val="24"/>
          <w:szCs w:val="24"/>
          <w:highlight w:val="none"/>
          <w:lang w:eastAsia="zh-CN"/>
        </w:rPr>
        <w:t>，</w:t>
      </w:r>
      <w:r>
        <w:rPr>
          <w:rFonts w:hint="eastAsia" w:eastAsia="宋体" w:cs="宋体"/>
          <w:sz w:val="24"/>
          <w:szCs w:val="24"/>
          <w:highlight w:val="none"/>
          <w:lang w:val="en-US" w:eastAsia="zh-CN"/>
        </w:rPr>
        <w:t>发包人对该项费用安排的工作可以指定第三方实施</w:t>
      </w:r>
      <w:r>
        <w:rPr>
          <w:rFonts w:hint="eastAsia" w:cs="宋体"/>
          <w:sz w:val="24"/>
          <w:szCs w:val="24"/>
          <w:highlight w:val="none"/>
        </w:rPr>
        <w:t>。</w:t>
      </w:r>
    </w:p>
    <w:p w14:paraId="61BF1D98">
      <w:pPr>
        <w:spacing w:before="1" w:line="219" w:lineRule="auto"/>
        <w:ind w:left="477"/>
        <w:outlineLvl w:val="4"/>
        <w:rPr>
          <w:rFonts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4.2  </w:t>
      </w:r>
      <w:r>
        <w:rPr>
          <w:rFonts w:ascii="宋体" w:hAnsi="宋体" w:eastAsia="宋体" w:cs="宋体"/>
          <w:b/>
          <w:bCs/>
          <w:spacing w:val="-2"/>
          <w:sz w:val="24"/>
          <w:szCs w:val="24"/>
          <w:lang w:eastAsia="zh-CN"/>
        </w:rPr>
        <w:t>发包人指定实施的养护工程支付方法</w:t>
      </w:r>
    </w:p>
    <w:p w14:paraId="7F49BCA0">
      <w:pPr>
        <w:spacing w:before="114" w:line="308" w:lineRule="auto"/>
        <w:ind w:left="1" w:right="164" w:firstLine="482"/>
        <w:rPr>
          <w:rFonts w:ascii="宋体" w:hAnsi="宋体" w:eastAsia="宋体" w:cs="宋体"/>
          <w:sz w:val="24"/>
          <w:szCs w:val="24"/>
          <w:lang w:eastAsia="zh-CN"/>
        </w:rPr>
      </w:pPr>
      <w:r>
        <w:rPr>
          <w:rFonts w:ascii="宋体" w:hAnsi="宋体" w:eastAsia="宋体" w:cs="宋体"/>
          <w:spacing w:val="1"/>
          <w:sz w:val="24"/>
          <w:szCs w:val="24"/>
          <w:lang w:eastAsia="zh-CN"/>
        </w:rPr>
        <w:t>发包人指定实施的养护工程的支付规则，可根据</w:t>
      </w:r>
      <w:r>
        <w:rPr>
          <w:rFonts w:ascii="宋体" w:hAnsi="宋体" w:eastAsia="宋体" w:cs="宋体"/>
          <w:sz w:val="24"/>
          <w:szCs w:val="24"/>
          <w:lang w:eastAsia="zh-CN"/>
        </w:rPr>
        <w:t>项目实际情况选择以下三种方</w:t>
      </w:r>
      <w:r>
        <w:rPr>
          <w:rFonts w:ascii="宋体" w:hAnsi="宋体" w:eastAsia="宋体" w:cs="宋体"/>
          <w:spacing w:val="-1"/>
          <w:sz w:val="24"/>
          <w:szCs w:val="24"/>
          <w:lang w:eastAsia="zh-CN"/>
        </w:rPr>
        <w:t>法之一，或者两种方法组合使用。</w:t>
      </w:r>
    </w:p>
    <w:p w14:paraId="0D4900FB">
      <w:pPr>
        <w:spacing w:line="219" w:lineRule="auto"/>
        <w:ind w:left="492"/>
        <w:rPr>
          <w:rFonts w:ascii="宋体" w:hAnsi="宋体" w:eastAsia="宋体" w:cs="宋体"/>
          <w:sz w:val="24"/>
          <w:szCs w:val="24"/>
          <w:lang w:eastAsia="zh-CN"/>
        </w:rPr>
      </w:pPr>
      <w:r>
        <w:rPr>
          <w:rFonts w:ascii="宋体" w:hAnsi="宋体" w:eastAsia="宋体" w:cs="宋体"/>
          <w:spacing w:val="-1"/>
          <w:sz w:val="24"/>
          <w:szCs w:val="24"/>
          <w:lang w:eastAsia="zh-CN"/>
        </w:rPr>
        <w:t>（</w:t>
      </w:r>
      <w:r>
        <w:rPr>
          <w:rFonts w:ascii="Times New Roman" w:hAnsi="Times New Roman" w:eastAsia="Times New Roman" w:cs="Times New Roman"/>
          <w:spacing w:val="-1"/>
          <w:sz w:val="24"/>
          <w:szCs w:val="24"/>
          <w:lang w:eastAsia="zh-CN"/>
        </w:rPr>
        <w:t>1</w:t>
      </w:r>
      <w:r>
        <w:rPr>
          <w:rFonts w:ascii="宋体" w:hAnsi="宋体" w:eastAsia="宋体" w:cs="宋体"/>
          <w:spacing w:val="-1"/>
          <w:sz w:val="24"/>
          <w:szCs w:val="24"/>
          <w:lang w:eastAsia="zh-CN"/>
        </w:rPr>
        <w:t>）结合工程实施进度、质量等，参照第二篇的要求进行计量支付。</w:t>
      </w:r>
    </w:p>
    <w:p w14:paraId="150CF3A7">
      <w:pPr>
        <w:spacing w:before="113" w:line="219" w:lineRule="auto"/>
        <w:ind w:left="492"/>
        <w:rPr>
          <w:rFonts w:ascii="宋体" w:hAnsi="宋体" w:eastAsia="宋体" w:cs="宋体"/>
          <w:sz w:val="24"/>
          <w:szCs w:val="24"/>
          <w:lang w:eastAsia="zh-CN"/>
        </w:rPr>
      </w:pPr>
      <w:r>
        <w:rPr>
          <w:rFonts w:ascii="宋体" w:hAnsi="宋体" w:eastAsia="宋体" w:cs="宋体"/>
          <w:spacing w:val="-1"/>
          <w:sz w:val="24"/>
          <w:szCs w:val="24"/>
          <w:lang w:eastAsia="zh-CN"/>
        </w:rPr>
        <w:t>（</w:t>
      </w:r>
      <w:r>
        <w:rPr>
          <w:rFonts w:ascii="Times New Roman" w:hAnsi="Times New Roman" w:eastAsia="Times New Roman" w:cs="Times New Roman"/>
          <w:spacing w:val="-1"/>
          <w:sz w:val="24"/>
          <w:szCs w:val="24"/>
          <w:lang w:eastAsia="zh-CN"/>
        </w:rPr>
        <w:t>2</w:t>
      </w:r>
      <w:r>
        <w:rPr>
          <w:rFonts w:ascii="宋体" w:hAnsi="宋体" w:eastAsia="宋体" w:cs="宋体"/>
          <w:spacing w:val="-1"/>
          <w:sz w:val="24"/>
          <w:szCs w:val="24"/>
          <w:lang w:eastAsia="zh-CN"/>
        </w:rPr>
        <w:t>）结合第三篇第三章第</w:t>
      </w:r>
      <w:r>
        <w:rPr>
          <w:rFonts w:ascii="宋体" w:hAnsi="宋体" w:eastAsia="宋体" w:cs="宋体"/>
          <w:spacing w:val="-56"/>
          <w:sz w:val="24"/>
          <w:szCs w:val="24"/>
          <w:lang w:eastAsia="zh-CN"/>
        </w:rPr>
        <w:t xml:space="preserve"> </w:t>
      </w:r>
      <w:r>
        <w:rPr>
          <w:rFonts w:ascii="Times New Roman" w:hAnsi="Times New Roman" w:eastAsia="Times New Roman" w:cs="Times New Roman"/>
          <w:spacing w:val="-1"/>
          <w:sz w:val="24"/>
          <w:szCs w:val="24"/>
          <w:lang w:eastAsia="zh-CN"/>
        </w:rPr>
        <w:t xml:space="preserve">4.1 </w:t>
      </w:r>
      <w:r>
        <w:rPr>
          <w:rFonts w:ascii="宋体" w:hAnsi="宋体" w:eastAsia="宋体" w:cs="宋体"/>
          <w:spacing w:val="-1"/>
          <w:sz w:val="24"/>
          <w:szCs w:val="24"/>
          <w:lang w:eastAsia="zh-CN"/>
        </w:rPr>
        <w:t>进行分期</w:t>
      </w:r>
      <w:r>
        <w:rPr>
          <w:rFonts w:ascii="宋体" w:hAnsi="宋体" w:eastAsia="宋体" w:cs="宋体"/>
          <w:spacing w:val="-2"/>
          <w:sz w:val="24"/>
          <w:szCs w:val="24"/>
          <w:lang w:eastAsia="zh-CN"/>
        </w:rPr>
        <w:t>支付。</w:t>
      </w:r>
    </w:p>
    <w:p w14:paraId="7FADA8BE">
      <w:pPr>
        <w:pStyle w:val="11"/>
        <w:spacing w:line="245" w:lineRule="auto"/>
        <w:ind w:firstLine="540" w:firstLineChars="200"/>
        <w:rPr>
          <w:rFonts w:ascii="宋体" w:hAnsi="宋体" w:eastAsia="宋体" w:cs="宋体"/>
          <w:sz w:val="24"/>
          <w:szCs w:val="24"/>
          <w:lang w:eastAsia="zh-CN"/>
        </w:rPr>
      </w:pPr>
      <w:r>
        <w:rPr>
          <w:rFonts w:ascii="宋体" w:hAnsi="宋体" w:eastAsia="宋体" w:cs="宋体"/>
          <w:spacing w:val="15"/>
          <w:sz w:val="24"/>
          <w:szCs w:val="24"/>
          <w:lang w:eastAsia="zh-CN"/>
        </w:rPr>
        <w:t>（</w:t>
      </w:r>
      <w:r>
        <w:rPr>
          <w:rFonts w:ascii="Times New Roman" w:hAnsi="Times New Roman" w:eastAsia="Times New Roman" w:cs="Times New Roman"/>
          <w:spacing w:val="15"/>
          <w:sz w:val="24"/>
          <w:szCs w:val="24"/>
          <w:lang w:eastAsia="zh-CN"/>
        </w:rPr>
        <w:t>3</w:t>
      </w:r>
      <w:r>
        <w:rPr>
          <w:rFonts w:ascii="宋体" w:hAnsi="宋体" w:eastAsia="宋体" w:cs="宋体"/>
          <w:spacing w:val="15"/>
          <w:sz w:val="24"/>
          <w:szCs w:val="24"/>
          <w:lang w:eastAsia="zh-CN"/>
        </w:rPr>
        <w:t>）</w:t>
      </w:r>
      <w:r>
        <w:rPr>
          <w:rFonts w:ascii="宋体" w:hAnsi="宋体" w:eastAsia="宋体" w:cs="宋体"/>
          <w:spacing w:val="-59"/>
          <w:sz w:val="24"/>
          <w:szCs w:val="24"/>
          <w:lang w:eastAsia="zh-CN"/>
        </w:rPr>
        <w:t xml:space="preserve"> </w:t>
      </w:r>
      <w:r>
        <w:rPr>
          <w:rFonts w:ascii="宋体" w:hAnsi="宋体" w:eastAsia="宋体" w:cs="宋体"/>
          <w:spacing w:val="15"/>
          <w:sz w:val="24"/>
          <w:szCs w:val="24"/>
          <w:lang w:eastAsia="zh-CN"/>
        </w:rPr>
        <w:t>若指定实施的养护工程费用占合同总价（不含暂列金额）</w:t>
      </w:r>
      <w:r>
        <w:rPr>
          <w:rFonts w:ascii="宋体" w:hAnsi="宋体" w:eastAsia="宋体" w:cs="宋体"/>
          <w:spacing w:val="-50"/>
          <w:sz w:val="24"/>
          <w:szCs w:val="24"/>
          <w:lang w:eastAsia="zh-CN"/>
        </w:rPr>
        <w:t xml:space="preserve"> </w:t>
      </w:r>
      <w:r>
        <w:rPr>
          <w:rFonts w:ascii="宋体" w:hAnsi="宋体" w:eastAsia="宋体" w:cs="宋体"/>
          <w:spacing w:val="15"/>
          <w:sz w:val="24"/>
          <w:szCs w:val="24"/>
          <w:lang w:eastAsia="zh-CN"/>
        </w:rPr>
        <w:t>的比例低</w:t>
      </w:r>
      <w:r>
        <w:rPr>
          <w:rFonts w:ascii="宋体" w:hAnsi="宋体" w:eastAsia="宋体" w:cs="宋体"/>
          <w:sz w:val="24"/>
          <w:szCs w:val="24"/>
          <w:lang w:eastAsia="zh-CN"/>
        </w:rPr>
        <w:t>于</w:t>
      </w:r>
      <w:r>
        <w:rPr>
          <w:rFonts w:ascii="宋体" w:hAnsi="宋体" w:eastAsia="宋体" w:cs="宋体"/>
          <w:spacing w:val="-108"/>
          <w:sz w:val="24"/>
          <w:szCs w:val="24"/>
          <w:lang w:eastAsia="zh-CN"/>
        </w:rPr>
        <w:t xml:space="preserve"> </w:t>
      </w:r>
      <w:r>
        <w:rPr>
          <w:rFonts w:ascii="宋体" w:hAnsi="宋体" w:eastAsia="宋体" w:cs="宋体"/>
          <w:spacing w:val="1"/>
          <w:sz w:val="24"/>
          <w:szCs w:val="24"/>
          <w:u w:val="single"/>
          <w:lang w:eastAsia="zh-CN"/>
        </w:rPr>
        <w:t xml:space="preserve">   </w:t>
      </w:r>
      <w:r>
        <w:rPr>
          <w:rFonts w:hint="eastAsia" w:ascii="宋体" w:hAnsi="宋体" w:cs="宋体"/>
          <w:spacing w:val="1"/>
          <w:sz w:val="24"/>
          <w:szCs w:val="24"/>
          <w:u w:val="single"/>
          <w:lang w:val="en-US" w:eastAsia="zh-CN"/>
        </w:rPr>
        <w:t>/</w:t>
      </w:r>
      <w:r>
        <w:rPr>
          <w:rFonts w:ascii="宋体" w:hAnsi="宋体" w:eastAsia="宋体" w:cs="宋体"/>
          <w:spacing w:val="1"/>
          <w:sz w:val="24"/>
          <w:szCs w:val="24"/>
          <w:u w:val="single"/>
          <w:lang w:eastAsia="zh-CN"/>
        </w:rPr>
        <w:t xml:space="preserve"> </w:t>
      </w:r>
      <w:r>
        <w:rPr>
          <w:rFonts w:ascii="宋体" w:hAnsi="宋体" w:eastAsia="宋体" w:cs="宋体"/>
          <w:spacing w:val="-108"/>
          <w:sz w:val="24"/>
          <w:szCs w:val="24"/>
          <w:lang w:eastAsia="zh-CN"/>
        </w:rPr>
        <w:t xml:space="preserve"> </w:t>
      </w:r>
      <w:r>
        <w:rPr>
          <w:rFonts w:ascii="Times New Roman" w:hAnsi="Times New Roman" w:eastAsia="Times New Roman" w:cs="Times New Roman"/>
          <w:sz w:val="24"/>
          <w:szCs w:val="24"/>
          <w:lang w:eastAsia="zh-CN"/>
        </w:rPr>
        <w:t>%</w:t>
      </w:r>
      <w:r>
        <w:rPr>
          <w:rFonts w:ascii="Times New Roman" w:hAnsi="Times New Roman" w:eastAsia="Times New Roman" w:cs="Times New Roman"/>
          <w:spacing w:val="-29"/>
          <w:sz w:val="24"/>
          <w:szCs w:val="24"/>
          <w:lang w:eastAsia="zh-CN"/>
        </w:rPr>
        <w:t xml:space="preserve"> </w:t>
      </w:r>
      <w:r>
        <w:rPr>
          <w:rFonts w:ascii="宋体" w:hAnsi="宋体" w:eastAsia="宋体" w:cs="宋体"/>
          <w:sz w:val="24"/>
          <w:szCs w:val="24"/>
          <w:lang w:eastAsia="zh-CN"/>
        </w:rPr>
        <w:t>，结合工程实施进度、质量等，按照工程量计量支付。若指定实施的养护工程费用占合同总价（不含暂列金额）的比例高于</w:t>
      </w:r>
      <w:r>
        <w:rPr>
          <w:rFonts w:ascii="宋体" w:hAnsi="宋体" w:eastAsia="宋体" w:cs="宋体"/>
          <w:spacing w:val="-109"/>
          <w:sz w:val="24"/>
          <w:szCs w:val="24"/>
          <w:lang w:eastAsia="zh-CN"/>
        </w:rPr>
        <w:t xml:space="preserve"> </w:t>
      </w:r>
      <w:r>
        <w:rPr>
          <w:rFonts w:ascii="宋体" w:hAnsi="宋体" w:eastAsia="宋体" w:cs="宋体"/>
          <w:spacing w:val="2"/>
          <w:sz w:val="24"/>
          <w:szCs w:val="24"/>
          <w:u w:val="single"/>
          <w:lang w:eastAsia="zh-CN"/>
        </w:rPr>
        <w:t xml:space="preserve">  </w:t>
      </w:r>
      <w:r>
        <w:rPr>
          <w:rFonts w:hint="eastAsia" w:ascii="宋体" w:hAnsi="宋体" w:cs="宋体"/>
          <w:spacing w:val="2"/>
          <w:sz w:val="24"/>
          <w:szCs w:val="24"/>
          <w:u w:val="single"/>
          <w:lang w:val="en-US" w:eastAsia="zh-CN"/>
        </w:rPr>
        <w:t>/</w:t>
      </w:r>
      <w:r>
        <w:rPr>
          <w:rFonts w:ascii="宋体" w:hAnsi="宋体" w:eastAsia="宋体" w:cs="宋体"/>
          <w:spacing w:val="2"/>
          <w:sz w:val="24"/>
          <w:szCs w:val="24"/>
          <w:u w:val="single"/>
          <w:lang w:eastAsia="zh-CN"/>
        </w:rPr>
        <w:t xml:space="preserve">  </w:t>
      </w:r>
      <w:r>
        <w:rPr>
          <w:rFonts w:ascii="宋体" w:hAnsi="宋体" w:eastAsia="宋体" w:cs="宋体"/>
          <w:spacing w:val="-110"/>
          <w:sz w:val="24"/>
          <w:szCs w:val="24"/>
          <w:lang w:eastAsia="zh-CN"/>
        </w:rPr>
        <w:t xml:space="preserve"> </w:t>
      </w:r>
      <w:r>
        <w:rPr>
          <w:rFonts w:ascii="Times New Roman" w:hAnsi="Times New Roman" w:eastAsia="Times New Roman" w:cs="Times New Roman"/>
          <w:sz w:val="24"/>
          <w:szCs w:val="24"/>
          <w:lang w:eastAsia="zh-CN"/>
        </w:rPr>
        <w:t>%</w:t>
      </w:r>
      <w:r>
        <w:rPr>
          <w:rFonts w:ascii="Times New Roman" w:hAnsi="Times New Roman" w:eastAsia="Times New Roman" w:cs="Times New Roman"/>
          <w:spacing w:val="-29"/>
          <w:sz w:val="24"/>
          <w:szCs w:val="24"/>
          <w:lang w:eastAsia="zh-CN"/>
        </w:rPr>
        <w:t xml:space="preserve"> </w:t>
      </w:r>
      <w:r>
        <w:rPr>
          <w:rFonts w:ascii="宋体" w:hAnsi="宋体" w:eastAsia="宋体" w:cs="宋体"/>
          <w:sz w:val="24"/>
          <w:szCs w:val="24"/>
          <w:lang w:eastAsia="zh-CN"/>
        </w:rPr>
        <w:t>，发包人应将超出部分的</w:t>
      </w:r>
      <w:r>
        <w:rPr>
          <w:rFonts w:ascii="宋体" w:hAnsi="宋体" w:eastAsia="宋体" w:cs="宋体"/>
          <w:spacing w:val="2"/>
          <w:sz w:val="24"/>
          <w:szCs w:val="24"/>
          <w:lang w:eastAsia="zh-CN"/>
        </w:rPr>
        <w:t>费用按照第三篇第三章第</w:t>
      </w:r>
      <w:r>
        <w:rPr>
          <w:rFonts w:ascii="宋体" w:hAnsi="宋体" w:eastAsia="宋体" w:cs="宋体"/>
          <w:spacing w:val="-50"/>
          <w:sz w:val="24"/>
          <w:szCs w:val="24"/>
          <w:lang w:eastAsia="zh-CN"/>
        </w:rPr>
        <w:t xml:space="preserve"> </w:t>
      </w:r>
      <w:r>
        <w:rPr>
          <w:rFonts w:ascii="Times New Roman" w:hAnsi="Times New Roman" w:eastAsia="Times New Roman" w:cs="Times New Roman"/>
          <w:spacing w:val="2"/>
          <w:sz w:val="24"/>
          <w:szCs w:val="24"/>
          <w:lang w:eastAsia="zh-CN"/>
        </w:rPr>
        <w:t xml:space="preserve">4.1 </w:t>
      </w:r>
      <w:r>
        <w:rPr>
          <w:rFonts w:ascii="宋体" w:hAnsi="宋体" w:eastAsia="宋体" w:cs="宋体"/>
          <w:spacing w:val="2"/>
          <w:sz w:val="24"/>
          <w:szCs w:val="24"/>
          <w:lang w:eastAsia="zh-CN"/>
        </w:rPr>
        <w:t>款平均摊销到后续各年度中分期支付，后续年度年均</w:t>
      </w:r>
      <w:r>
        <w:rPr>
          <w:rFonts w:ascii="宋体" w:hAnsi="宋体" w:eastAsia="宋体" w:cs="宋体"/>
          <w:sz w:val="24"/>
          <w:szCs w:val="24"/>
          <w:lang w:eastAsia="zh-CN"/>
        </w:rPr>
        <w:t>摊销金额为</w:t>
      </w:r>
      <w:r>
        <w:rPr>
          <w:rFonts w:ascii="宋体" w:hAnsi="宋体" w:eastAsia="宋体" w:cs="宋体"/>
          <w:spacing w:val="-8"/>
          <w:sz w:val="24"/>
          <w:szCs w:val="24"/>
          <w:lang w:eastAsia="zh-CN"/>
        </w:rPr>
        <w:t>：</w:t>
      </w:r>
      <w:r>
        <w:rPr>
          <w:rFonts w:ascii="宋体" w:hAnsi="宋体" w:eastAsia="宋体" w:cs="宋体"/>
          <w:sz w:val="24"/>
          <w:szCs w:val="24"/>
          <w:u w:val="single"/>
          <w:lang w:eastAsia="zh-CN"/>
        </w:rPr>
        <w:t xml:space="preserve">        </w:t>
      </w:r>
      <w:r>
        <w:rPr>
          <w:rFonts w:hint="eastAsia" w:ascii="宋体" w:hAnsi="宋体" w:cs="宋体"/>
          <w:sz w:val="24"/>
          <w:szCs w:val="24"/>
          <w:u w:val="single"/>
          <w:lang w:val="en-US" w:eastAsia="zh-CN"/>
        </w:rPr>
        <w:t>/</w:t>
      </w:r>
      <w:r>
        <w:rPr>
          <w:rFonts w:ascii="宋体" w:hAnsi="宋体" w:eastAsia="宋体" w:cs="宋体"/>
          <w:sz w:val="24"/>
          <w:szCs w:val="24"/>
          <w:u w:val="single"/>
          <w:lang w:eastAsia="zh-CN"/>
        </w:rPr>
        <w:t xml:space="preserve">      </w:t>
      </w:r>
      <w:r>
        <w:rPr>
          <w:rFonts w:ascii="宋体" w:hAnsi="宋体" w:eastAsia="宋体" w:cs="宋体"/>
          <w:spacing w:val="-76"/>
          <w:sz w:val="24"/>
          <w:szCs w:val="24"/>
          <w:lang w:eastAsia="zh-CN"/>
        </w:rPr>
        <w:t xml:space="preserve"> </w:t>
      </w:r>
      <w:r>
        <w:rPr>
          <w:rFonts w:ascii="宋体" w:hAnsi="宋体" w:eastAsia="宋体" w:cs="宋体"/>
          <w:spacing w:val="-8"/>
          <w:sz w:val="24"/>
          <w:szCs w:val="24"/>
          <w:lang w:eastAsia="zh-CN"/>
        </w:rPr>
        <w:t>；</w:t>
      </w:r>
      <w:r>
        <w:rPr>
          <w:rFonts w:ascii="宋体" w:hAnsi="宋体" w:eastAsia="宋体" w:cs="宋体"/>
          <w:sz w:val="24"/>
          <w:szCs w:val="24"/>
          <w:lang w:eastAsia="zh-CN"/>
        </w:rPr>
        <w:t>未超出部分的费用，结合工程实施进度、质量</w:t>
      </w:r>
      <w:r>
        <w:rPr>
          <w:rFonts w:ascii="宋体" w:hAnsi="宋体" w:eastAsia="宋体" w:cs="宋体"/>
          <w:spacing w:val="-1"/>
          <w:sz w:val="24"/>
          <w:szCs w:val="24"/>
          <w:lang w:eastAsia="zh-CN"/>
        </w:rPr>
        <w:t>等，按照工程量计量支付。</w:t>
      </w:r>
      <w:r>
        <w:rPr>
          <w:rFonts w:ascii="宋体" w:hAnsi="宋体" w:eastAsia="宋体" w:cs="宋体"/>
          <w:spacing w:val="-3"/>
          <w:sz w:val="24"/>
          <w:szCs w:val="24"/>
          <w:lang w:eastAsia="zh-CN"/>
        </w:rPr>
        <w:t>具体支付方法为：</w:t>
      </w:r>
      <w:r>
        <w:rPr>
          <w:rFonts w:ascii="宋体" w:hAnsi="宋体" w:eastAsia="宋体" w:cs="宋体"/>
          <w:spacing w:val="-3"/>
          <w:sz w:val="24"/>
          <w:szCs w:val="24"/>
          <w:u w:val="single"/>
          <w:lang w:eastAsia="zh-CN"/>
        </w:rPr>
        <w:t xml:space="preserve">   </w:t>
      </w:r>
      <w:r>
        <w:rPr>
          <w:rFonts w:hint="eastAsia" w:ascii="宋体" w:hAnsi="宋体" w:cs="宋体"/>
          <w:spacing w:val="-3"/>
          <w:sz w:val="24"/>
          <w:szCs w:val="24"/>
          <w:u w:val="single"/>
          <w:lang w:val="en-US" w:eastAsia="zh-CN"/>
        </w:rPr>
        <w:t>/</w:t>
      </w:r>
      <w:r>
        <w:rPr>
          <w:rFonts w:ascii="宋体" w:hAnsi="宋体" w:eastAsia="宋体" w:cs="宋体"/>
          <w:spacing w:val="-3"/>
          <w:sz w:val="24"/>
          <w:szCs w:val="24"/>
          <w:u w:val="single"/>
          <w:lang w:eastAsia="zh-CN"/>
        </w:rPr>
        <w:t xml:space="preserve">  </w:t>
      </w:r>
      <w:r>
        <w:rPr>
          <w:rFonts w:hint="eastAsia" w:cs="宋体"/>
          <w:spacing w:val="-3"/>
          <w:sz w:val="24"/>
          <w:szCs w:val="24"/>
          <w:u w:val="none"/>
          <w:lang w:eastAsia="zh-CN"/>
        </w:rPr>
        <w:t>。</w:t>
      </w:r>
      <w:r>
        <w:rPr>
          <w:rFonts w:ascii="宋体" w:hAnsi="宋体" w:eastAsia="宋体" w:cs="宋体"/>
          <w:spacing w:val="-3"/>
          <w:sz w:val="24"/>
          <w:szCs w:val="24"/>
          <w:u w:val="single"/>
          <w:lang w:eastAsia="zh-CN"/>
        </w:rPr>
        <w:t xml:space="preserve">                           </w:t>
      </w:r>
    </w:p>
    <w:p w14:paraId="20C9A017">
      <w:pPr>
        <w:rPr>
          <w:rFonts w:hint="eastAsia" w:ascii="宋体" w:hAnsi="宋体" w:cs="宋体"/>
          <w:spacing w:val="-1"/>
          <w:sz w:val="24"/>
          <w:szCs w:val="24"/>
          <w:lang w:eastAsia="zh-CN"/>
        </w:rPr>
      </w:pPr>
    </w:p>
    <w:p w14:paraId="2C364C17">
      <w:pPr>
        <w:rPr>
          <w:rFonts w:hint="eastAsia" w:ascii="宋体" w:hAnsi="宋体" w:cs="宋体"/>
          <w:spacing w:val="-1"/>
          <w:sz w:val="24"/>
          <w:szCs w:val="24"/>
          <w:lang w:eastAsia="zh-CN"/>
        </w:rPr>
      </w:pPr>
    </w:p>
    <w:p w14:paraId="51DB6979">
      <w:pPr>
        <w:rPr>
          <w:rFonts w:hint="eastAsia" w:ascii="宋体" w:hAnsi="宋体" w:cs="宋体"/>
          <w:spacing w:val="-1"/>
          <w:sz w:val="24"/>
          <w:szCs w:val="24"/>
          <w:lang w:eastAsia="zh-CN"/>
        </w:rPr>
      </w:pPr>
    </w:p>
    <w:p w14:paraId="2CE1F3B8">
      <w:pPr>
        <w:rPr>
          <w:rFonts w:hint="eastAsia" w:ascii="宋体" w:hAnsi="宋体" w:cs="宋体"/>
          <w:spacing w:val="-1"/>
          <w:sz w:val="24"/>
          <w:szCs w:val="24"/>
          <w:lang w:eastAsia="zh-CN"/>
        </w:rPr>
      </w:pPr>
    </w:p>
    <w:p w14:paraId="7BDA73F3">
      <w:pPr>
        <w:rPr>
          <w:rFonts w:hint="eastAsia" w:ascii="宋体" w:hAnsi="宋体" w:cs="宋体"/>
          <w:spacing w:val="-1"/>
          <w:sz w:val="24"/>
          <w:szCs w:val="24"/>
          <w:lang w:eastAsia="zh-CN"/>
        </w:rPr>
      </w:pPr>
    </w:p>
    <w:p w14:paraId="62C8E823">
      <w:pPr>
        <w:rPr>
          <w:rFonts w:hint="eastAsia" w:ascii="宋体" w:hAnsi="宋体" w:cs="宋体"/>
          <w:spacing w:val="-1"/>
          <w:sz w:val="24"/>
          <w:szCs w:val="24"/>
          <w:lang w:eastAsia="zh-CN"/>
        </w:rPr>
      </w:pPr>
    </w:p>
    <w:p w14:paraId="5F22B0DF">
      <w:pPr>
        <w:numPr>
          <w:ilvl w:val="0"/>
          <w:numId w:val="13"/>
        </w:numPr>
        <w:jc w:val="center"/>
        <w:outlineLvl w:val="1"/>
        <w:rPr>
          <w:rFonts w:hint="eastAsia" w:ascii="宋体" w:hAnsi="宋体" w:cs="宋体"/>
          <w:spacing w:val="-1"/>
          <w:sz w:val="44"/>
          <w:szCs w:val="44"/>
          <w:lang w:val="en-US" w:eastAsia="zh-CN"/>
        </w:rPr>
      </w:pPr>
      <w:r>
        <w:rPr>
          <w:rFonts w:hint="eastAsia" w:ascii="宋体" w:hAnsi="宋体" w:cs="宋体"/>
          <w:spacing w:val="-1"/>
          <w:sz w:val="44"/>
          <w:szCs w:val="44"/>
          <w:lang w:val="en-US" w:eastAsia="zh-CN"/>
        </w:rPr>
        <w:t xml:space="preserve"> </w:t>
      </w:r>
      <w:bookmarkStart w:id="260" w:name="_Toc17326"/>
      <w:r>
        <w:rPr>
          <w:rFonts w:hint="eastAsia" w:ascii="宋体" w:hAnsi="宋体" w:cs="宋体"/>
          <w:spacing w:val="-1"/>
          <w:sz w:val="44"/>
          <w:szCs w:val="44"/>
          <w:lang w:val="en-US" w:eastAsia="zh-CN"/>
        </w:rPr>
        <w:t>技术规范</w:t>
      </w:r>
      <w:bookmarkEnd w:id="260"/>
    </w:p>
    <w:p w14:paraId="46879017">
      <w:pPr>
        <w:numPr>
          <w:ilvl w:val="0"/>
          <w:numId w:val="0"/>
        </w:numPr>
        <w:jc w:val="both"/>
        <w:rPr>
          <w:rFonts w:hint="default" w:ascii="宋体" w:hAnsi="宋体" w:cs="宋体"/>
          <w:spacing w:val="-1"/>
          <w:sz w:val="44"/>
          <w:szCs w:val="44"/>
          <w:lang w:val="en-US" w:eastAsia="zh-CN"/>
        </w:rPr>
      </w:pPr>
    </w:p>
    <w:p w14:paraId="39151DC1">
      <w:pPr>
        <w:pStyle w:val="4"/>
        <w:wordWrap/>
        <w:spacing w:before="60" w:after="60"/>
        <w:jc w:val="center"/>
        <w:outlineLvl w:val="9"/>
        <w:rPr>
          <w:rFonts w:hint="eastAsia" w:ascii="宋体" w:hAnsi="宋体" w:eastAsia="宋体" w:cs="宋体"/>
          <w:color w:val="auto"/>
          <w:highlight w:val="none"/>
        </w:rPr>
      </w:pPr>
    </w:p>
    <w:p w14:paraId="22FCB612">
      <w:pPr>
        <w:tabs>
          <w:tab w:val="left" w:pos="0"/>
        </w:tabs>
        <w:spacing w:line="560" w:lineRule="exact"/>
        <w:ind w:firstLine="880"/>
        <w:rPr>
          <w:kern w:val="44"/>
          <w:sz w:val="44"/>
          <w:szCs w:val="44"/>
          <w:highlight w:val="magenta"/>
        </w:rPr>
      </w:pPr>
      <w:r>
        <w:rPr>
          <w:rFonts w:hint="eastAsia" w:ascii="宋体" w:hAnsi="宋体" w:eastAsia="宋体" w:cs="宋体"/>
          <w:color w:val="auto"/>
          <w:sz w:val="24"/>
          <w:szCs w:val="28"/>
          <w:highlight w:val="none"/>
        </w:rPr>
        <w:t>本项目“</w:t>
      </w:r>
      <w:r>
        <w:rPr>
          <w:rFonts w:hint="eastAsia" w:ascii="宋体" w:hAnsi="宋体" w:eastAsia="宋体" w:cs="宋体"/>
          <w:color w:val="auto"/>
          <w:sz w:val="24"/>
          <w:szCs w:val="28"/>
          <w:highlight w:val="none"/>
          <w:lang w:val="en-US" w:eastAsia="zh-CN"/>
        </w:rPr>
        <w:t>技术规范</w:t>
      </w:r>
      <w:r>
        <w:rPr>
          <w:rFonts w:hint="eastAsia" w:ascii="宋体" w:hAnsi="宋体" w:eastAsia="宋体" w:cs="宋体"/>
          <w:color w:val="auto"/>
          <w:sz w:val="24"/>
          <w:szCs w:val="28"/>
          <w:highlight w:val="none"/>
        </w:rPr>
        <w:t>”采用《交通运输部办公厅关于印发《公路养护项目合同范本》的通知》（交办公路函〔2025〕1819号）中</w:t>
      </w:r>
      <w:r>
        <w:rPr>
          <w:rFonts w:hint="eastAsia" w:ascii="宋体" w:hAnsi="宋体" w:eastAsia="宋体" w:cs="宋体"/>
          <w:color w:val="auto"/>
          <w:sz w:val="24"/>
          <w:szCs w:val="28"/>
          <w:highlight w:val="none"/>
          <w:lang w:val="en-US" w:eastAsia="zh-CN"/>
        </w:rPr>
        <w:t>技术规范</w:t>
      </w:r>
      <w:r>
        <w:rPr>
          <w:rFonts w:hint="eastAsia" w:ascii="宋体" w:hAnsi="宋体" w:eastAsia="宋体" w:cs="宋体"/>
          <w:color w:val="auto"/>
          <w:sz w:val="24"/>
          <w:szCs w:val="28"/>
          <w:highlight w:val="none"/>
        </w:rPr>
        <w:t>，除专用合同条款另有约定外，均按《公路养护项目合同范本》中所列内容执行并作为本项目合同组成部分。</w:t>
      </w:r>
    </w:p>
    <w:p w14:paraId="0464D361">
      <w:pPr>
        <w:tabs>
          <w:tab w:val="left" w:pos="0"/>
        </w:tabs>
        <w:spacing w:line="560" w:lineRule="exact"/>
        <w:ind w:firstLine="880"/>
        <w:rPr>
          <w:kern w:val="44"/>
          <w:sz w:val="44"/>
          <w:szCs w:val="44"/>
        </w:rPr>
      </w:pPr>
    </w:p>
    <w:p w14:paraId="2CF7F7C4">
      <w:pPr>
        <w:numPr>
          <w:ilvl w:val="0"/>
          <w:numId w:val="0"/>
        </w:numPr>
        <w:jc w:val="both"/>
        <w:rPr>
          <w:rFonts w:hint="default" w:ascii="宋体" w:hAnsi="宋体" w:cs="宋体"/>
          <w:spacing w:val="-1"/>
          <w:sz w:val="44"/>
          <w:szCs w:val="44"/>
          <w:lang w:val="en-US" w:eastAsia="zh-CN"/>
        </w:rPr>
      </w:pPr>
    </w:p>
    <w:p w14:paraId="4A446188">
      <w:r>
        <w:br w:type="page"/>
      </w:r>
    </w:p>
    <w:p w14:paraId="4599E1A3"/>
    <w:p w14:paraId="00A10698">
      <w:pPr>
        <w:pStyle w:val="2"/>
        <w:bidi w:val="0"/>
      </w:pPr>
      <w:bookmarkStart w:id="261" w:name="_Toc3406"/>
      <w:r>
        <w:t>第</w:t>
      </w:r>
      <w:r>
        <w:rPr>
          <w:rFonts w:hint="eastAsia"/>
          <w:lang w:val="en-US" w:eastAsia="zh-CN"/>
        </w:rPr>
        <w:t>六</w:t>
      </w:r>
      <w:r>
        <w:t>章  投标文件格式</w:t>
      </w:r>
      <w:bookmarkEnd w:id="261"/>
    </w:p>
    <w:p w14:paraId="1DB7BDB1">
      <w:pPr>
        <w:pStyle w:val="2"/>
        <w:bidi w:val="0"/>
        <w:outlineLvl w:val="9"/>
      </w:pPr>
    </w:p>
    <w:p w14:paraId="0C32F7EA">
      <w:pPr>
        <w:outlineLvl w:val="1"/>
        <w:rPr>
          <w:rFonts w:ascii="宋体" w:hAnsi="宋体" w:cs="宋体"/>
          <w:b/>
          <w:sz w:val="28"/>
          <w:szCs w:val="28"/>
        </w:rPr>
      </w:pPr>
      <w:bookmarkStart w:id="262" w:name="_Toc19686836"/>
      <w:bookmarkStart w:id="263" w:name="_Toc29336"/>
      <w:bookmarkStart w:id="264" w:name="_Toc17220"/>
      <w:r>
        <w:rPr>
          <w:rFonts w:hint="eastAsia" w:ascii="宋体" w:hAnsi="宋体" w:cs="宋体"/>
          <w:b/>
          <w:sz w:val="28"/>
          <w:szCs w:val="28"/>
        </w:rPr>
        <w:t>一、报价文件格式</w:t>
      </w:r>
      <w:bookmarkEnd w:id="262"/>
      <w:bookmarkEnd w:id="263"/>
      <w:bookmarkEnd w:id="264"/>
    </w:p>
    <w:p w14:paraId="73CDF305">
      <w:pPr>
        <w:snapToGrid w:val="0"/>
        <w:spacing w:beforeLines="50" w:after="50" w:line="360" w:lineRule="auto"/>
        <w:ind w:left="142"/>
        <w:jc w:val="left"/>
        <w:rPr>
          <w:rFonts w:ascii="宋体" w:hAnsi="宋体" w:cs="宋体"/>
          <w:sz w:val="24"/>
          <w:szCs w:val="20"/>
        </w:rPr>
      </w:pPr>
      <w:r>
        <w:rPr>
          <w:rFonts w:hint="eastAsia" w:ascii="宋体" w:hAnsi="宋体" w:cs="宋体"/>
          <w:b/>
          <w:sz w:val="24"/>
        </w:rPr>
        <w:t xml:space="preserve">1. 报价文件封面格式： </w:t>
      </w:r>
    </w:p>
    <w:p w14:paraId="3BBC0183">
      <w:pPr>
        <w:snapToGrid w:val="0"/>
        <w:spacing w:beforeLines="50" w:after="50" w:line="400" w:lineRule="exact"/>
        <w:rPr>
          <w:rFonts w:ascii="宋体" w:hAnsi="宋体" w:cs="宋体"/>
          <w:bCs/>
          <w:sz w:val="32"/>
          <w:szCs w:val="20"/>
        </w:rPr>
      </w:pPr>
      <w:r>
        <w:rPr>
          <w:rFonts w:hint="eastAsia" w:ascii="宋体" w:hAnsi="宋体" w:cs="宋体"/>
          <w:sz w:val="24"/>
        </w:rPr>
        <w:t xml:space="preserve">                                                   </w:t>
      </w:r>
    </w:p>
    <w:p w14:paraId="6D9352DC">
      <w:pPr>
        <w:snapToGrid w:val="0"/>
        <w:spacing w:beforeLines="50" w:after="50" w:line="400" w:lineRule="exact"/>
        <w:jc w:val="center"/>
        <w:rPr>
          <w:rFonts w:ascii="宋体" w:hAnsi="宋体" w:cs="宋体"/>
          <w:bCs/>
          <w:sz w:val="24"/>
          <w:szCs w:val="20"/>
        </w:rPr>
      </w:pPr>
    </w:p>
    <w:p w14:paraId="62F99BFF">
      <w:pPr>
        <w:snapToGrid w:val="0"/>
        <w:spacing w:beforeLines="50" w:after="50"/>
        <w:jc w:val="center"/>
        <w:outlineLvl w:val="2"/>
        <w:rPr>
          <w:rFonts w:ascii="宋体" w:hAnsi="宋体" w:cs="宋体"/>
          <w:sz w:val="84"/>
          <w:szCs w:val="84"/>
        </w:rPr>
      </w:pPr>
      <w:bookmarkStart w:id="265" w:name="_Toc32309"/>
      <w:bookmarkStart w:id="266" w:name="_Toc15950"/>
      <w:r>
        <w:rPr>
          <w:rFonts w:hint="eastAsia" w:ascii="宋体" w:hAnsi="宋体" w:cs="宋体"/>
          <w:sz w:val="84"/>
          <w:szCs w:val="84"/>
        </w:rPr>
        <w:t>投  标  文  件</w:t>
      </w:r>
      <w:bookmarkEnd w:id="265"/>
      <w:bookmarkEnd w:id="266"/>
    </w:p>
    <w:p w14:paraId="7BB7CD75">
      <w:pPr>
        <w:snapToGrid w:val="0"/>
        <w:spacing w:beforeLines="50" w:after="50" w:line="400" w:lineRule="exact"/>
        <w:jc w:val="center"/>
        <w:rPr>
          <w:rFonts w:ascii="宋体" w:hAnsi="宋体" w:cs="宋体"/>
          <w:bCs/>
          <w:sz w:val="32"/>
          <w:szCs w:val="32"/>
        </w:rPr>
      </w:pPr>
    </w:p>
    <w:p w14:paraId="3D7BD9C8">
      <w:pPr>
        <w:snapToGrid w:val="0"/>
        <w:spacing w:beforeLines="50" w:after="50" w:line="400" w:lineRule="exact"/>
        <w:jc w:val="center"/>
        <w:outlineLvl w:val="2"/>
        <w:rPr>
          <w:rFonts w:ascii="宋体" w:hAnsi="宋体" w:cs="宋体"/>
          <w:sz w:val="32"/>
          <w:szCs w:val="32"/>
        </w:rPr>
      </w:pPr>
      <w:bookmarkStart w:id="267" w:name="_Toc13852"/>
      <w:bookmarkStart w:id="268" w:name="_Toc7430"/>
      <w:r>
        <w:rPr>
          <w:rFonts w:hint="eastAsia" w:ascii="宋体" w:hAnsi="宋体" w:cs="宋体"/>
          <w:sz w:val="32"/>
          <w:szCs w:val="32"/>
        </w:rPr>
        <w:t>报  价  文  件</w:t>
      </w:r>
      <w:bookmarkEnd w:id="267"/>
      <w:bookmarkEnd w:id="268"/>
    </w:p>
    <w:p w14:paraId="228E3DEA">
      <w:pPr>
        <w:snapToGrid w:val="0"/>
        <w:spacing w:beforeLines="50" w:after="50" w:line="400" w:lineRule="exact"/>
        <w:rPr>
          <w:rFonts w:ascii="宋体" w:hAnsi="宋体" w:cs="宋体"/>
          <w:bCs/>
          <w:sz w:val="24"/>
          <w:szCs w:val="20"/>
        </w:rPr>
      </w:pPr>
    </w:p>
    <w:p w14:paraId="1D060245">
      <w:pPr>
        <w:snapToGrid w:val="0"/>
        <w:spacing w:beforeLines="50" w:after="50" w:line="400" w:lineRule="exact"/>
        <w:rPr>
          <w:rFonts w:ascii="宋体" w:hAnsi="宋体" w:cs="宋体"/>
          <w:bCs/>
          <w:sz w:val="24"/>
          <w:szCs w:val="20"/>
        </w:rPr>
      </w:pPr>
    </w:p>
    <w:p w14:paraId="05E4F8DA">
      <w:pPr>
        <w:snapToGrid w:val="0"/>
        <w:spacing w:beforeLines="50" w:after="50" w:line="400" w:lineRule="exact"/>
        <w:ind w:firstLine="360" w:firstLineChars="150"/>
        <w:rPr>
          <w:rFonts w:ascii="宋体" w:hAnsi="宋体" w:cs="宋体"/>
          <w:bCs/>
          <w:sz w:val="24"/>
        </w:rPr>
      </w:pPr>
      <w:r>
        <w:rPr>
          <w:rFonts w:hint="eastAsia" w:ascii="宋体" w:hAnsi="宋体" w:cs="宋体"/>
          <w:bCs/>
          <w:sz w:val="24"/>
        </w:rPr>
        <w:t xml:space="preserve">项目名称： </w:t>
      </w:r>
    </w:p>
    <w:p w14:paraId="34B46AB1">
      <w:pPr>
        <w:snapToGrid w:val="0"/>
        <w:spacing w:beforeLines="50" w:after="50" w:line="400" w:lineRule="exact"/>
        <w:ind w:firstLine="360" w:firstLineChars="150"/>
        <w:rPr>
          <w:rFonts w:ascii="宋体" w:hAnsi="宋体" w:cs="宋体"/>
          <w:bCs/>
          <w:sz w:val="24"/>
        </w:rPr>
      </w:pPr>
    </w:p>
    <w:p w14:paraId="52180164">
      <w:pPr>
        <w:snapToGrid w:val="0"/>
        <w:spacing w:beforeLines="50" w:after="50" w:line="400" w:lineRule="exact"/>
        <w:ind w:firstLine="360" w:firstLineChars="150"/>
        <w:rPr>
          <w:rFonts w:ascii="宋体" w:hAnsi="宋体" w:cs="宋体"/>
          <w:bCs/>
          <w:sz w:val="24"/>
        </w:rPr>
      </w:pPr>
      <w:r>
        <w:rPr>
          <w:rFonts w:hint="eastAsia" w:ascii="宋体" w:hAnsi="宋体" w:cs="宋体"/>
          <w:bCs/>
          <w:sz w:val="24"/>
        </w:rPr>
        <w:t xml:space="preserve">项目编号： </w:t>
      </w:r>
    </w:p>
    <w:p w14:paraId="2A03C9AC">
      <w:pPr>
        <w:snapToGrid w:val="0"/>
        <w:spacing w:beforeLines="50" w:after="50" w:line="400" w:lineRule="exact"/>
        <w:ind w:firstLine="360" w:firstLineChars="150"/>
        <w:rPr>
          <w:rFonts w:ascii="宋体" w:hAnsi="宋体" w:cs="宋体"/>
          <w:bCs/>
          <w:sz w:val="24"/>
        </w:rPr>
      </w:pPr>
    </w:p>
    <w:p w14:paraId="6E6645B4">
      <w:pPr>
        <w:snapToGrid w:val="0"/>
        <w:spacing w:beforeLines="50" w:after="50" w:line="400" w:lineRule="exact"/>
        <w:ind w:firstLine="360" w:firstLineChars="150"/>
        <w:rPr>
          <w:rFonts w:ascii="宋体" w:hAnsi="宋体" w:cs="宋体"/>
          <w:bCs/>
          <w:sz w:val="24"/>
        </w:rPr>
      </w:pPr>
      <w:r>
        <w:rPr>
          <w:rFonts w:hint="eastAsia" w:ascii="宋体" w:hAnsi="宋体" w:cs="宋体"/>
          <w:bCs/>
          <w:sz w:val="24"/>
        </w:rPr>
        <w:t>投标人名称：</w:t>
      </w:r>
    </w:p>
    <w:p w14:paraId="0154C0FF">
      <w:pPr>
        <w:snapToGrid w:val="0"/>
        <w:spacing w:beforeLines="50" w:after="50" w:line="400" w:lineRule="exact"/>
        <w:ind w:firstLine="360" w:firstLineChars="150"/>
        <w:rPr>
          <w:rFonts w:ascii="宋体" w:hAnsi="宋体" w:cs="宋体"/>
          <w:bCs/>
          <w:sz w:val="24"/>
        </w:rPr>
      </w:pPr>
    </w:p>
    <w:p w14:paraId="7582C792">
      <w:pPr>
        <w:snapToGrid w:val="0"/>
        <w:spacing w:beforeLines="50" w:after="50" w:line="400" w:lineRule="exact"/>
        <w:ind w:firstLine="360" w:firstLineChars="150"/>
        <w:rPr>
          <w:rFonts w:ascii="宋体" w:hAnsi="宋体" w:cs="宋体"/>
          <w:bCs/>
          <w:sz w:val="24"/>
        </w:rPr>
      </w:pPr>
      <w:r>
        <w:rPr>
          <w:rFonts w:hint="eastAsia" w:ascii="宋体" w:hAnsi="宋体" w:cs="宋体"/>
          <w:bCs/>
          <w:sz w:val="24"/>
        </w:rPr>
        <w:t>投标人地址：</w:t>
      </w:r>
    </w:p>
    <w:p w14:paraId="2131A3EE">
      <w:pPr>
        <w:pStyle w:val="7"/>
        <w:snapToGrid w:val="0"/>
        <w:spacing w:before="50" w:after="50" w:line="400" w:lineRule="exact"/>
        <w:ind w:firstLine="960" w:firstLineChars="400"/>
        <w:rPr>
          <w:rFonts w:ascii="宋体" w:hAnsi="宋体" w:cs="宋体"/>
          <w:bCs/>
          <w:sz w:val="24"/>
          <w:szCs w:val="24"/>
        </w:rPr>
      </w:pPr>
    </w:p>
    <w:p w14:paraId="6C071415">
      <w:pPr>
        <w:snapToGrid w:val="0"/>
        <w:spacing w:beforeLines="50" w:after="50" w:line="400" w:lineRule="exact"/>
        <w:rPr>
          <w:rFonts w:ascii="宋体" w:hAnsi="宋体" w:cs="宋体"/>
          <w:sz w:val="30"/>
          <w:szCs w:val="20"/>
        </w:rPr>
      </w:pPr>
      <w:r>
        <w:rPr>
          <w:rFonts w:hint="eastAsia" w:ascii="宋体" w:hAnsi="宋体" w:cs="宋体"/>
          <w:sz w:val="24"/>
        </w:rPr>
        <w:t xml:space="preserve">                                   年  月  日</w:t>
      </w:r>
    </w:p>
    <w:p w14:paraId="5116D855">
      <w:pPr>
        <w:spacing w:before="120" w:after="50" w:line="360" w:lineRule="auto"/>
        <w:ind w:firstLine="360"/>
        <w:jc w:val="center"/>
        <w:rPr>
          <w:rFonts w:ascii="宋体" w:hAnsi="宋体" w:cs="宋体"/>
          <w:sz w:val="24"/>
          <w:szCs w:val="20"/>
        </w:rPr>
      </w:pPr>
      <w:r>
        <w:rPr>
          <w:rFonts w:hint="eastAsia" w:ascii="宋体" w:hAnsi="宋体" w:cs="宋体"/>
          <w:u w:val="single"/>
        </w:rPr>
        <w:br w:type="page"/>
      </w:r>
      <w:r>
        <w:rPr>
          <w:rFonts w:hint="eastAsia" w:ascii="宋体" w:hAnsi="宋体" w:cs="宋体"/>
          <w:b/>
          <w:bCs/>
          <w:sz w:val="24"/>
        </w:rPr>
        <w:t>报价文件目录</w:t>
      </w:r>
    </w:p>
    <w:p w14:paraId="63A7A803">
      <w:pPr>
        <w:keepNext w:val="0"/>
        <w:keepLines w:val="0"/>
        <w:pageBreakBefore w:val="0"/>
        <w:widowControl w:val="0"/>
        <w:tabs>
          <w:tab w:val="left" w:pos="459"/>
        </w:tabs>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highlight w:val="none"/>
        </w:rPr>
      </w:pPr>
      <w:r>
        <w:rPr>
          <w:rFonts w:hint="eastAsia" w:ascii="宋体" w:hAnsi="宋体" w:cs="宋体"/>
          <w:sz w:val="24"/>
          <w:szCs w:val="24"/>
        </w:rPr>
        <w:t>1、投标函（格式后附）；</w:t>
      </w:r>
      <w:r>
        <w:rPr>
          <w:rFonts w:hint="eastAsia" w:ascii="宋体" w:hAnsi="宋体" w:cs="宋体"/>
          <w:b/>
          <w:sz w:val="24"/>
          <w:szCs w:val="24"/>
        </w:rPr>
        <w:t>（必须</w:t>
      </w:r>
      <w:r>
        <w:rPr>
          <w:rFonts w:hint="eastAsia" w:ascii="宋体" w:hAnsi="宋体" w:cs="宋体"/>
          <w:b/>
          <w:sz w:val="24"/>
          <w:szCs w:val="24"/>
          <w:highlight w:val="none"/>
        </w:rPr>
        <w:t>提供，否则按无效投标处理）</w:t>
      </w:r>
    </w:p>
    <w:p w14:paraId="7E4E2258">
      <w:pPr>
        <w:keepNext w:val="0"/>
        <w:keepLines w:val="0"/>
        <w:pageBreakBefore w:val="0"/>
        <w:widowControl w:val="0"/>
        <w:tabs>
          <w:tab w:val="left" w:pos="459"/>
        </w:tabs>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highlight w:val="none"/>
        </w:rPr>
        <w:t>2、开标一览表及已标价的养护服务绩效清单和工程量</w:t>
      </w:r>
      <w:r>
        <w:rPr>
          <w:rFonts w:hint="eastAsia" w:ascii="宋体" w:hAnsi="宋体" w:cs="宋体"/>
          <w:sz w:val="24"/>
          <w:szCs w:val="24"/>
        </w:rPr>
        <w:t>清单（格式后附）；（</w:t>
      </w:r>
      <w:r>
        <w:rPr>
          <w:rFonts w:hint="eastAsia" w:ascii="宋体" w:hAnsi="宋体" w:cs="宋体"/>
          <w:b/>
          <w:sz w:val="24"/>
          <w:szCs w:val="24"/>
        </w:rPr>
        <w:t>必须提供，否则按无效投标处理</w:t>
      </w:r>
      <w:r>
        <w:rPr>
          <w:rFonts w:hint="eastAsia" w:ascii="宋体" w:hAnsi="宋体" w:cs="宋体"/>
          <w:sz w:val="24"/>
          <w:szCs w:val="24"/>
        </w:rPr>
        <w:t>）</w:t>
      </w:r>
    </w:p>
    <w:p w14:paraId="7D912B3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rPr>
      </w:pPr>
      <w:r>
        <w:rPr>
          <w:rFonts w:hint="eastAsia" w:ascii="宋体" w:hAnsi="宋体" w:cs="宋体"/>
          <w:sz w:val="24"/>
          <w:szCs w:val="24"/>
        </w:rPr>
        <w:t>3、投标人针对报价需要说明的其他文件和说明（格式自拟）。</w:t>
      </w:r>
    </w:p>
    <w:p w14:paraId="5BEA7972">
      <w:pPr>
        <w:spacing w:line="360" w:lineRule="auto"/>
        <w:jc w:val="both"/>
        <w:rPr>
          <w:rFonts w:hint="eastAsia" w:ascii="宋体" w:hAnsi="宋体" w:cs="宋体"/>
          <w:b/>
          <w:bCs/>
          <w:spacing w:val="-4"/>
          <w:sz w:val="24"/>
          <w:lang w:val="en-US" w:eastAsia="zh-CN"/>
        </w:rPr>
      </w:pPr>
      <w:r>
        <w:rPr>
          <w:rFonts w:hint="eastAsia" w:ascii="宋体" w:hAnsi="宋体" w:cs="宋体"/>
          <w:b/>
          <w:bCs/>
          <w:sz w:val="24"/>
          <w:szCs w:val="24"/>
        </w:rPr>
        <w:t>注：投标函、开标一览表必须由法定代表人或者委托代理人在规定签章处逐一签字并加盖投标人公章，否则按无效投标</w:t>
      </w:r>
      <w:r>
        <w:rPr>
          <w:rFonts w:hint="eastAsia" w:ascii="宋体" w:hAnsi="宋体" w:cs="宋体"/>
          <w:b/>
          <w:sz w:val="24"/>
          <w:szCs w:val="24"/>
        </w:rPr>
        <w:t>处理</w:t>
      </w:r>
      <w:r>
        <w:rPr>
          <w:rFonts w:hint="eastAsia" w:ascii="宋体" w:hAnsi="宋体" w:cs="宋体"/>
          <w:b/>
          <w:bCs/>
          <w:sz w:val="24"/>
          <w:szCs w:val="24"/>
        </w:rPr>
        <w:t>。</w:t>
      </w:r>
    </w:p>
    <w:p w14:paraId="3EE16B81">
      <w:pPr>
        <w:spacing w:before="120" w:after="50"/>
        <w:ind w:firstLine="351"/>
        <w:rPr>
          <w:rFonts w:ascii="宋体" w:hAnsi="宋体" w:cs="宋体"/>
          <w:b/>
          <w:sz w:val="24"/>
        </w:rPr>
      </w:pPr>
    </w:p>
    <w:p w14:paraId="6F25A1A2">
      <w:pPr>
        <w:spacing w:before="120" w:after="50"/>
        <w:ind w:firstLine="360"/>
        <w:rPr>
          <w:rFonts w:ascii="宋体" w:hAnsi="宋体" w:cs="宋体"/>
          <w:b/>
          <w:sz w:val="24"/>
        </w:rPr>
      </w:pPr>
    </w:p>
    <w:p w14:paraId="33315502">
      <w:pPr>
        <w:spacing w:before="120" w:after="50"/>
        <w:ind w:firstLine="360"/>
        <w:rPr>
          <w:rFonts w:ascii="宋体" w:hAnsi="宋体" w:cs="宋体"/>
          <w:b/>
          <w:sz w:val="24"/>
        </w:rPr>
      </w:pPr>
    </w:p>
    <w:p w14:paraId="58A58D2F">
      <w:pPr>
        <w:spacing w:before="120" w:after="50"/>
        <w:ind w:left="142" w:firstLine="360"/>
        <w:jc w:val="left"/>
        <w:rPr>
          <w:rFonts w:ascii="宋体" w:hAnsi="宋体" w:cs="宋体"/>
          <w:b/>
          <w:sz w:val="24"/>
        </w:rPr>
      </w:pPr>
      <w:r>
        <w:rPr>
          <w:rFonts w:hint="eastAsia" w:ascii="宋体" w:hAnsi="宋体" w:cs="宋体"/>
          <w:b/>
          <w:sz w:val="24"/>
        </w:rPr>
        <w:br w:type="page"/>
      </w:r>
      <w:r>
        <w:rPr>
          <w:rFonts w:hint="eastAsia" w:ascii="宋体" w:hAnsi="宋体" w:cs="宋体"/>
          <w:b/>
          <w:sz w:val="24"/>
        </w:rPr>
        <w:t>1.投标函格式：</w:t>
      </w:r>
    </w:p>
    <w:p w14:paraId="0C85CF08">
      <w:pPr>
        <w:spacing w:before="120" w:after="50" w:line="320" w:lineRule="exact"/>
        <w:ind w:firstLine="480"/>
        <w:jc w:val="center"/>
        <w:outlineLvl w:val="1"/>
        <w:rPr>
          <w:rFonts w:ascii="宋体" w:hAnsi="宋体" w:cs="宋体"/>
          <w:b/>
          <w:sz w:val="32"/>
          <w:szCs w:val="32"/>
        </w:rPr>
      </w:pPr>
      <w:bookmarkStart w:id="269" w:name="_Toc22244"/>
      <w:bookmarkStart w:id="270" w:name="_Toc5344"/>
      <w:bookmarkStart w:id="271" w:name="_Toc9625"/>
      <w:r>
        <w:rPr>
          <w:rFonts w:hint="eastAsia" w:ascii="宋体" w:hAnsi="宋体" w:cs="宋体"/>
          <w:b/>
          <w:sz w:val="32"/>
          <w:szCs w:val="32"/>
        </w:rPr>
        <w:t>投标函</w:t>
      </w:r>
      <w:bookmarkEnd w:id="269"/>
      <w:bookmarkEnd w:id="270"/>
      <w:bookmarkEnd w:id="271"/>
    </w:p>
    <w:p w14:paraId="7C5FC8C9">
      <w:pPr>
        <w:spacing w:before="120" w:after="50" w:line="320" w:lineRule="exact"/>
        <w:ind w:firstLine="360"/>
        <w:jc w:val="center"/>
        <w:rPr>
          <w:rFonts w:ascii="宋体" w:hAnsi="宋体" w:cs="宋体"/>
          <w:b/>
          <w:sz w:val="24"/>
          <w:szCs w:val="20"/>
        </w:rPr>
      </w:pPr>
    </w:p>
    <w:p w14:paraId="49EC40F3">
      <w:pPr>
        <w:spacing w:line="360" w:lineRule="auto"/>
        <w:ind w:firstLine="452"/>
        <w:rPr>
          <w:rFonts w:ascii="宋体" w:hAnsi="宋体" w:cs="宋体"/>
          <w:szCs w:val="21"/>
        </w:rPr>
      </w:pPr>
      <w:r>
        <w:rPr>
          <w:rFonts w:hint="eastAsia" w:ascii="宋体" w:hAnsi="宋体" w:cs="宋体"/>
          <w:szCs w:val="21"/>
        </w:rPr>
        <w:t>致：</w:t>
      </w:r>
      <w:r>
        <w:rPr>
          <w:rFonts w:hint="eastAsia" w:ascii="宋体" w:hAnsi="宋体" w:cs="宋体"/>
          <w:szCs w:val="21"/>
          <w:u w:val="single"/>
        </w:rPr>
        <w:t>采购人名称</w:t>
      </w:r>
      <w:r>
        <w:rPr>
          <w:rFonts w:hint="eastAsia" w:ascii="宋体" w:hAnsi="宋体" w:cs="宋体"/>
          <w:szCs w:val="21"/>
        </w:rPr>
        <w:t>：</w:t>
      </w:r>
    </w:p>
    <w:p w14:paraId="0EBC6F4E">
      <w:pPr>
        <w:spacing w:line="360" w:lineRule="auto"/>
        <w:ind w:firstLine="452"/>
        <w:rPr>
          <w:rFonts w:ascii="宋体" w:hAnsi="宋体" w:cs="宋体"/>
          <w:szCs w:val="21"/>
        </w:rPr>
      </w:pPr>
      <w:r>
        <w:rPr>
          <w:rFonts w:hint="eastAsia" w:ascii="宋体" w:hAnsi="宋体" w:cs="宋体"/>
          <w:szCs w:val="21"/>
        </w:rPr>
        <w:t>根据贵方</w:t>
      </w:r>
      <w:r>
        <w:rPr>
          <w:rFonts w:hint="eastAsia" w:ascii="宋体" w:hAnsi="宋体" w:cs="宋体"/>
          <w:szCs w:val="21"/>
          <w:u w:val="single"/>
        </w:rPr>
        <w:t>项目名称（项目编号：            ）</w:t>
      </w:r>
      <w:r>
        <w:rPr>
          <w:rFonts w:hint="eastAsia" w:ascii="宋体" w:hAnsi="宋体" w:cs="宋体"/>
          <w:szCs w:val="21"/>
        </w:rPr>
        <w:t>的招标公告，签字代表______（姓名）经正式授权并代表投标人（投标人名称）提交投标文件。</w:t>
      </w:r>
    </w:p>
    <w:p w14:paraId="25609A23">
      <w:pPr>
        <w:spacing w:line="360" w:lineRule="auto"/>
        <w:ind w:firstLine="420" w:firstLineChars="200"/>
        <w:rPr>
          <w:rFonts w:ascii="宋体" w:hAnsi="宋体" w:cs="宋体"/>
          <w:szCs w:val="21"/>
        </w:rPr>
      </w:pPr>
      <w:r>
        <w:rPr>
          <w:rFonts w:hint="eastAsia" w:ascii="宋体" w:hAnsi="宋体" w:cs="宋体"/>
          <w:szCs w:val="21"/>
        </w:rPr>
        <w:t>据此函，我方宣布同意如下：</w:t>
      </w:r>
    </w:p>
    <w:p w14:paraId="5BE1120A">
      <w:pPr>
        <w:spacing w:line="360" w:lineRule="auto"/>
        <w:ind w:firstLine="420" w:firstLineChars="200"/>
        <w:rPr>
          <w:rFonts w:ascii="宋体" w:hAnsi="宋体" w:cs="宋体"/>
          <w:szCs w:val="21"/>
        </w:rPr>
      </w:pPr>
      <w:r>
        <w:rPr>
          <w:rFonts w:hint="eastAsia" w:ascii="宋体" w:hAnsi="宋体" w:cs="宋体"/>
          <w:szCs w:val="21"/>
        </w:rPr>
        <w:t>1.我方已详细审查全部“招标文件”，包括修改文件（如有的话）以及全部参考资料和有关附件，已经了解我方对于招标文件、采购过程、采购结果有依法进行询问、质疑、投诉的权利及相关渠道和要求。</w:t>
      </w:r>
    </w:p>
    <w:p w14:paraId="16F34618">
      <w:pPr>
        <w:spacing w:line="360" w:lineRule="auto"/>
        <w:ind w:firstLine="420" w:firstLineChars="200"/>
        <w:rPr>
          <w:rFonts w:ascii="宋体" w:hAnsi="宋体" w:cs="宋体"/>
          <w:szCs w:val="21"/>
        </w:rPr>
      </w:pPr>
      <w:r>
        <w:rPr>
          <w:rFonts w:hint="eastAsia" w:ascii="宋体" w:hAnsi="宋体" w:cs="宋体"/>
          <w:szCs w:val="21"/>
        </w:rPr>
        <w:t>2.我方在投标之前已经完全理解并接受招标文件的各项规定和要求，对招标文件的合理性、合法性不再有异议。</w:t>
      </w:r>
    </w:p>
    <w:p w14:paraId="0F125683">
      <w:pPr>
        <w:spacing w:line="360" w:lineRule="auto"/>
        <w:ind w:firstLine="420" w:firstLineChars="200"/>
        <w:rPr>
          <w:rFonts w:ascii="宋体" w:hAnsi="宋体" w:cs="宋体"/>
          <w:szCs w:val="21"/>
        </w:rPr>
      </w:pPr>
      <w:r>
        <w:rPr>
          <w:rFonts w:hint="eastAsia" w:ascii="宋体" w:hAnsi="宋体" w:cs="宋体"/>
          <w:szCs w:val="21"/>
        </w:rPr>
        <w:t>3.本投标有效期自投标截止之日起90日。</w:t>
      </w:r>
    </w:p>
    <w:p w14:paraId="4ACC6F32">
      <w:pPr>
        <w:spacing w:line="360" w:lineRule="auto"/>
        <w:ind w:firstLine="420" w:firstLineChars="200"/>
        <w:rPr>
          <w:rFonts w:ascii="宋体" w:hAnsi="宋体" w:cs="宋体"/>
          <w:szCs w:val="21"/>
        </w:rPr>
      </w:pPr>
      <w:r>
        <w:rPr>
          <w:rFonts w:hint="eastAsia" w:ascii="宋体" w:hAnsi="宋体" w:cs="宋体"/>
          <w:szCs w:val="21"/>
        </w:rPr>
        <w:t>4.如中标，本投标文件至本项目合同履行完毕止均保持有效，我方将按“招标文件”及政府采购法律、法规的规定履行合同责任和义务。</w:t>
      </w:r>
    </w:p>
    <w:p w14:paraId="28E1EA6E">
      <w:pPr>
        <w:spacing w:line="360" w:lineRule="auto"/>
        <w:ind w:firstLine="420" w:firstLineChars="200"/>
        <w:rPr>
          <w:rFonts w:ascii="宋体" w:hAnsi="宋体" w:cs="宋体"/>
          <w:szCs w:val="21"/>
        </w:rPr>
      </w:pPr>
      <w:r>
        <w:rPr>
          <w:rFonts w:hint="eastAsia" w:ascii="宋体" w:hAnsi="宋体" w:cs="宋体"/>
          <w:szCs w:val="21"/>
        </w:rPr>
        <w:t>5.我方同意按照贵方要求提供与投标有关的一切数据或者资料。</w:t>
      </w:r>
    </w:p>
    <w:p w14:paraId="5C9CCF8F">
      <w:pPr>
        <w:spacing w:line="360" w:lineRule="auto"/>
        <w:ind w:firstLine="420" w:firstLineChars="200"/>
        <w:rPr>
          <w:rFonts w:ascii="宋体" w:hAnsi="宋体" w:cs="宋体"/>
          <w:szCs w:val="21"/>
        </w:rPr>
      </w:pPr>
      <w:r>
        <w:rPr>
          <w:rFonts w:hint="eastAsia" w:ascii="宋体" w:hAnsi="宋体" w:cs="宋体"/>
          <w:szCs w:val="21"/>
        </w:rPr>
        <w:t>6.我方向贵方提交的所有投标文件、资料都是准确的和真实的。</w:t>
      </w:r>
    </w:p>
    <w:p w14:paraId="4FF227E1">
      <w:pPr>
        <w:spacing w:line="360" w:lineRule="auto"/>
        <w:ind w:firstLine="420" w:firstLineChars="200"/>
        <w:rPr>
          <w:rFonts w:ascii="宋体" w:hAnsi="宋体" w:cs="宋体"/>
          <w:szCs w:val="21"/>
        </w:rPr>
      </w:pPr>
      <w:r>
        <w:rPr>
          <w:rFonts w:hint="eastAsia" w:ascii="宋体" w:hAnsi="宋体" w:cs="宋体"/>
          <w:szCs w:val="21"/>
        </w:rPr>
        <w:t>7.以上事项如有虚假或者隐瞒，我方愿意承担一切后果，并不再寻求任何旨在减轻或者免除法律责任的辩解。</w:t>
      </w:r>
    </w:p>
    <w:p w14:paraId="53BC88AE">
      <w:pPr>
        <w:spacing w:line="360" w:lineRule="auto"/>
        <w:ind w:firstLine="420" w:firstLineChars="200"/>
        <w:rPr>
          <w:rFonts w:ascii="宋体" w:hAnsi="宋体" w:cs="宋体"/>
          <w:szCs w:val="21"/>
        </w:rPr>
      </w:pPr>
      <w:r>
        <w:rPr>
          <w:rFonts w:hint="eastAsia" w:ascii="宋体" w:hAnsi="宋体" w:cs="宋体"/>
          <w:szCs w:val="21"/>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1965A791">
      <w:pPr>
        <w:spacing w:line="360" w:lineRule="auto"/>
        <w:ind w:firstLine="420" w:firstLineChars="200"/>
        <w:rPr>
          <w:rFonts w:ascii="宋体" w:hAnsi="宋体" w:cs="宋体"/>
          <w:szCs w:val="21"/>
        </w:rPr>
      </w:pPr>
      <w:r>
        <w:rPr>
          <w:rFonts w:hint="eastAsia" w:ascii="宋体" w:hAnsi="宋体" w:cs="宋体"/>
          <w:szCs w:val="21"/>
        </w:rPr>
        <w:t>□我方本次投标文件内容中未涉及商业秘密；</w:t>
      </w:r>
    </w:p>
    <w:p w14:paraId="324285F3">
      <w:pPr>
        <w:spacing w:line="440" w:lineRule="exact"/>
        <w:ind w:firstLine="420" w:firstLineChars="200"/>
        <w:contextualSpacing/>
        <w:rPr>
          <w:rFonts w:ascii="宋体" w:hAnsi="宋体" w:cs="宋体"/>
          <w:szCs w:val="21"/>
        </w:rPr>
      </w:pPr>
      <w:r>
        <w:rPr>
          <w:rFonts w:hint="eastAsia" w:ascii="宋体" w:hAnsi="宋体" w:cs="宋体"/>
          <w:szCs w:val="21"/>
        </w:rPr>
        <w:t>□我方本次投标文件涉及商业秘密的内容有</w:t>
      </w:r>
      <w:r>
        <w:rPr>
          <w:rFonts w:hint="eastAsia" w:ascii="宋体" w:hAnsi="宋体" w:cs="宋体"/>
          <w:kern w:val="0"/>
          <w:szCs w:val="21"/>
        </w:rPr>
        <w:t>：</w:t>
      </w:r>
      <w:r>
        <w:rPr>
          <w:rFonts w:hint="eastAsia" w:ascii="宋体" w:hAnsi="宋体" w:cs="宋体"/>
          <w:kern w:val="0"/>
          <w:szCs w:val="21"/>
          <w:u w:val="single"/>
        </w:rPr>
        <w:t xml:space="preserve">                         </w:t>
      </w:r>
      <w:r>
        <w:rPr>
          <w:rFonts w:hint="eastAsia" w:ascii="宋体" w:hAnsi="宋体" w:cs="宋体"/>
          <w:kern w:val="0"/>
          <w:szCs w:val="21"/>
        </w:rPr>
        <w:t>；</w:t>
      </w:r>
    </w:p>
    <w:p w14:paraId="54E49259">
      <w:pPr>
        <w:spacing w:line="440" w:lineRule="exact"/>
        <w:ind w:firstLine="420" w:firstLineChars="200"/>
        <w:contextualSpacing/>
        <w:rPr>
          <w:rFonts w:ascii="宋体" w:hAnsi="宋体" w:cs="宋体"/>
          <w:szCs w:val="21"/>
        </w:rPr>
      </w:pPr>
      <w:r>
        <w:rPr>
          <w:rFonts w:hint="eastAsia" w:ascii="宋体" w:hAnsi="宋体" w:cs="宋体"/>
          <w:szCs w:val="21"/>
        </w:rPr>
        <w:t>9.与本投标有关的一切正式往来信函请寄：</w:t>
      </w:r>
    </w:p>
    <w:p w14:paraId="603AACEB">
      <w:pPr>
        <w:spacing w:line="440" w:lineRule="exact"/>
        <w:ind w:firstLine="420" w:firstLineChars="200"/>
        <w:contextualSpacing/>
        <w:rPr>
          <w:rFonts w:ascii="宋体" w:hAnsi="宋体" w:cs="宋体"/>
          <w:szCs w:val="21"/>
          <w:u w:val="single"/>
        </w:rPr>
      </w:pPr>
      <w:r>
        <w:rPr>
          <w:rFonts w:hint="eastAsia" w:ascii="宋体" w:hAnsi="宋体" w:cs="宋体"/>
          <w:szCs w:val="21"/>
        </w:rPr>
        <w:t>地址：</w:t>
      </w:r>
      <w:r>
        <w:rPr>
          <w:rFonts w:hint="eastAsia" w:ascii="宋体" w:hAnsi="宋体" w:cs="宋体"/>
          <w:szCs w:val="21"/>
          <w:u w:val="single"/>
        </w:rPr>
        <w:t xml:space="preserve">          </w:t>
      </w:r>
      <w:r>
        <w:rPr>
          <w:rFonts w:hint="eastAsia" w:ascii="宋体" w:hAnsi="宋体" w:cs="宋体"/>
          <w:szCs w:val="21"/>
        </w:rPr>
        <w:t>邮编：</w:t>
      </w:r>
      <w:r>
        <w:rPr>
          <w:rFonts w:hint="eastAsia" w:ascii="宋体" w:hAnsi="宋体" w:cs="宋体"/>
          <w:szCs w:val="21"/>
          <w:u w:val="single"/>
        </w:rPr>
        <w:t xml:space="preserve">            </w:t>
      </w:r>
    </w:p>
    <w:p w14:paraId="67ACE0BB">
      <w:pPr>
        <w:spacing w:line="440" w:lineRule="exact"/>
        <w:ind w:firstLine="420" w:firstLineChars="200"/>
        <w:contextualSpacing/>
        <w:rPr>
          <w:rFonts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r>
        <w:rPr>
          <w:rFonts w:hint="eastAsia" w:ascii="宋体" w:hAnsi="宋体" w:cs="宋体"/>
          <w:szCs w:val="21"/>
        </w:rPr>
        <w:t>传真：</w:t>
      </w:r>
      <w:r>
        <w:rPr>
          <w:rFonts w:hint="eastAsia" w:ascii="宋体" w:hAnsi="宋体" w:cs="宋体"/>
          <w:szCs w:val="21"/>
          <w:u w:val="single"/>
        </w:rPr>
        <w:t xml:space="preserve">          </w:t>
      </w:r>
    </w:p>
    <w:p w14:paraId="4D2B9B53">
      <w:pPr>
        <w:spacing w:line="440" w:lineRule="exact"/>
        <w:ind w:firstLine="420" w:firstLineChars="200"/>
        <w:contextualSpacing/>
        <w:rPr>
          <w:rFonts w:hint="eastAsia" w:ascii="宋体" w:hAnsi="宋体" w:cs="宋体"/>
          <w:szCs w:val="21"/>
          <w:u w:val="single"/>
        </w:rPr>
      </w:pPr>
      <w:r>
        <w:rPr>
          <w:rFonts w:hint="eastAsia" w:ascii="宋体" w:hAnsi="宋体" w:cs="宋体"/>
          <w:szCs w:val="21"/>
        </w:rPr>
        <w:t>投标人名称:</w:t>
      </w:r>
      <w:r>
        <w:rPr>
          <w:rFonts w:hint="eastAsia" w:ascii="宋体" w:hAnsi="宋体" w:cs="宋体"/>
          <w:szCs w:val="21"/>
          <w:u w:val="single"/>
        </w:rPr>
        <w:t xml:space="preserve">                </w:t>
      </w:r>
    </w:p>
    <w:p w14:paraId="4B945E88">
      <w:pPr>
        <w:spacing w:line="440" w:lineRule="exact"/>
        <w:ind w:firstLine="420" w:firstLineChars="200"/>
        <w:contextualSpacing/>
        <w:rPr>
          <w:rFonts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 xml:space="preserve">   银行账号：</w:t>
      </w:r>
      <w:r>
        <w:rPr>
          <w:rFonts w:hint="eastAsia" w:ascii="宋体" w:hAnsi="宋体" w:cs="宋体"/>
          <w:szCs w:val="21"/>
          <w:u w:val="single"/>
        </w:rPr>
        <w:t xml:space="preserve">                    </w:t>
      </w:r>
    </w:p>
    <w:p w14:paraId="1EEA9B70">
      <w:pPr>
        <w:spacing w:line="360" w:lineRule="auto"/>
        <w:ind w:firstLine="420" w:firstLineChars="200"/>
        <w:rPr>
          <w:rFonts w:hint="eastAsia" w:ascii="宋体" w:hAnsi="宋体" w:cs="宋体"/>
          <w:szCs w:val="21"/>
        </w:rPr>
      </w:pPr>
    </w:p>
    <w:p w14:paraId="3B30023D">
      <w:pPr>
        <w:wordWrap w:val="0"/>
        <w:spacing w:before="120" w:line="360" w:lineRule="auto"/>
        <w:ind w:right="480" w:firstLine="3570" w:firstLineChars="1700"/>
        <w:rPr>
          <w:rFonts w:ascii="宋体" w:hAnsi="宋体" w:cs="宋体"/>
          <w:szCs w:val="21"/>
        </w:rPr>
      </w:pPr>
      <w:r>
        <w:rPr>
          <w:rFonts w:hint="eastAsia" w:ascii="宋体" w:hAnsi="宋体" w:cs="宋体"/>
          <w:szCs w:val="21"/>
        </w:rPr>
        <w:t>投标人[公章(CA签章)、自然人除外]：</w:t>
      </w:r>
    </w:p>
    <w:p w14:paraId="74A77B76">
      <w:pPr>
        <w:wordWrap w:val="0"/>
        <w:spacing w:before="120" w:line="360" w:lineRule="auto"/>
        <w:ind w:right="480" w:firstLine="452"/>
        <w:jc w:val="right"/>
        <w:rPr>
          <w:rFonts w:ascii="宋体" w:hAnsi="宋体" w:cs="宋体"/>
          <w:szCs w:val="21"/>
        </w:rPr>
      </w:pPr>
      <w:r>
        <w:rPr>
          <w:rFonts w:hint="eastAsia" w:ascii="宋体" w:hAnsi="宋体" w:cs="宋体"/>
          <w:szCs w:val="21"/>
        </w:rPr>
        <w:t xml:space="preserve">法定代表人（负责人）或授权代理人签字（或个人CA签章）： </w:t>
      </w:r>
    </w:p>
    <w:p w14:paraId="41C0AD89">
      <w:pPr>
        <w:pStyle w:val="15"/>
        <w:spacing w:before="295" w:after="295" w:line="360" w:lineRule="auto"/>
        <w:ind w:firstLine="316"/>
        <w:jc w:val="center"/>
        <w:rPr>
          <w:rFonts w:hAnsi="宋体" w:cs="宋体"/>
          <w:sz w:val="21"/>
          <w:lang w:eastAsia="zh-CN"/>
        </w:rPr>
      </w:pPr>
      <w:r>
        <w:rPr>
          <w:rFonts w:hint="eastAsia" w:hAnsi="宋体" w:cs="宋体"/>
          <w:sz w:val="21"/>
          <w:lang w:eastAsia="zh-CN"/>
        </w:rPr>
        <w:t>年月日</w:t>
      </w:r>
    </w:p>
    <w:p w14:paraId="24C169F2">
      <w:pPr>
        <w:spacing w:before="120" w:after="50"/>
        <w:ind w:firstLine="452"/>
        <w:jc w:val="left"/>
        <w:rPr>
          <w:rFonts w:ascii="宋体" w:hAnsi="宋体" w:cs="宋体"/>
          <w:b/>
          <w:sz w:val="24"/>
          <w:szCs w:val="20"/>
        </w:rPr>
      </w:pPr>
      <w:r>
        <w:rPr>
          <w:rFonts w:hint="eastAsia" w:ascii="宋体" w:hAnsi="宋体" w:cs="宋体"/>
          <w:u w:val="single"/>
        </w:rPr>
        <w:br w:type="page"/>
      </w:r>
      <w:r>
        <w:rPr>
          <w:rFonts w:hint="eastAsia" w:ascii="宋体" w:hAnsi="宋体" w:cs="宋体"/>
          <w:b/>
          <w:sz w:val="24"/>
        </w:rPr>
        <w:t>2.开标一览表及已标价的养护服务绩效清单和工程量清单</w:t>
      </w:r>
    </w:p>
    <w:p w14:paraId="444DF876">
      <w:pPr>
        <w:spacing w:before="50" w:after="50"/>
        <w:ind w:firstLine="450"/>
        <w:jc w:val="center"/>
        <w:rPr>
          <w:rFonts w:hint="eastAsia" w:ascii="宋体" w:hAnsi="宋体" w:cs="宋体"/>
          <w:b/>
          <w:sz w:val="30"/>
        </w:rPr>
      </w:pPr>
    </w:p>
    <w:p w14:paraId="51EBE6C3">
      <w:pPr>
        <w:spacing w:before="50" w:after="50"/>
        <w:ind w:firstLine="450"/>
        <w:jc w:val="center"/>
        <w:rPr>
          <w:rFonts w:ascii="宋体" w:hAnsi="宋体" w:cs="宋体"/>
          <w:b/>
          <w:sz w:val="30"/>
        </w:rPr>
      </w:pPr>
      <w:r>
        <w:rPr>
          <w:rFonts w:hint="eastAsia" w:ascii="宋体" w:hAnsi="宋体" w:cs="宋体"/>
          <w:b/>
          <w:sz w:val="30"/>
          <w:lang w:val="en-US" w:eastAsia="zh-CN"/>
        </w:rPr>
        <w:t>2.1</w:t>
      </w:r>
      <w:r>
        <w:rPr>
          <w:rFonts w:hint="eastAsia" w:ascii="宋体" w:hAnsi="宋体" w:cs="宋体"/>
          <w:b/>
          <w:sz w:val="30"/>
        </w:rPr>
        <w:t>开标一览表</w:t>
      </w:r>
    </w:p>
    <w:p w14:paraId="4BC65A3A">
      <w:pPr>
        <w:spacing w:before="50" w:after="50"/>
        <w:ind w:firstLine="450"/>
        <w:jc w:val="center"/>
        <w:rPr>
          <w:rFonts w:ascii="宋体" w:hAnsi="宋体" w:cs="宋体"/>
          <w:b/>
          <w:sz w:val="30"/>
          <w:szCs w:val="20"/>
        </w:rPr>
      </w:pPr>
    </w:p>
    <w:p w14:paraId="682609C3">
      <w:pPr>
        <w:spacing w:before="50" w:after="50" w:line="360" w:lineRule="auto"/>
        <w:ind w:firstLine="452"/>
        <w:rPr>
          <w:rFonts w:ascii="宋体" w:hAnsi="宋体" w:cs="宋体"/>
          <w:szCs w:val="21"/>
        </w:rPr>
      </w:pPr>
      <w:r>
        <w:rPr>
          <w:rFonts w:hint="eastAsia" w:ascii="宋体" w:hAnsi="宋体" w:cs="宋体"/>
          <w:szCs w:val="21"/>
        </w:rPr>
        <w:t xml:space="preserve">项目名称：__________  项目编号：__________ </w:t>
      </w:r>
    </w:p>
    <w:p w14:paraId="2F41FC2C">
      <w:pPr>
        <w:spacing w:before="50" w:after="50" w:line="360" w:lineRule="auto"/>
        <w:ind w:firstLine="452"/>
        <w:rPr>
          <w:rFonts w:ascii="宋体" w:hAnsi="宋体" w:cs="仿宋_GB2312"/>
          <w:sz w:val="24"/>
        </w:rPr>
      </w:pPr>
      <w:r>
        <w:rPr>
          <w:rFonts w:hint="eastAsia" w:ascii="宋体" w:hAnsi="宋体" w:cs="宋体"/>
          <w:szCs w:val="21"/>
        </w:rPr>
        <w:t>投标人名称：__________ 单位：__________</w:t>
      </w:r>
      <w:r>
        <w:rPr>
          <w:rFonts w:hint="eastAsia" w:ascii="宋体" w:hAnsi="宋体" w:eastAsia="宋体" w:cs="宋体"/>
          <w:szCs w:val="21"/>
          <w:lang w:val="en-US" w:eastAsia="zh-CN"/>
        </w:rPr>
        <w:t xml:space="preserve"> </w:t>
      </w:r>
      <w:r>
        <w:rPr>
          <w:rFonts w:hint="eastAsia" w:ascii="宋体" w:hAnsi="宋体" w:cs="宋体"/>
          <w:szCs w:val="21"/>
        </w:rPr>
        <w:t>元</w:t>
      </w:r>
    </w:p>
    <w:tbl>
      <w:tblPr>
        <w:tblStyle w:val="25"/>
        <w:tblW w:w="10588" w:type="dxa"/>
        <w:tblInd w:w="-387"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1753"/>
        <w:gridCol w:w="434"/>
        <w:gridCol w:w="406"/>
        <w:gridCol w:w="1643"/>
        <w:gridCol w:w="905"/>
        <w:gridCol w:w="4902"/>
      </w:tblGrid>
      <w:tr w14:paraId="3F56396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1006" w:hRule="atLeast"/>
        </w:trPr>
        <w:tc>
          <w:tcPr>
            <w:tcW w:w="545" w:type="dxa"/>
            <w:tcBorders>
              <w:top w:val="single" w:color="000000" w:sz="4" w:space="0"/>
              <w:left w:val="single" w:color="000000" w:sz="4" w:space="0"/>
              <w:bottom w:val="single" w:color="000000" w:sz="4" w:space="0"/>
              <w:right w:val="single" w:color="000000" w:sz="4" w:space="0"/>
            </w:tcBorders>
            <w:noWrap/>
            <w:vAlign w:val="center"/>
          </w:tcPr>
          <w:p w14:paraId="3781E7F9">
            <w:pPr>
              <w:spacing w:before="50" w:after="50" w:line="360" w:lineRule="auto"/>
              <w:rPr>
                <w:rFonts w:ascii="宋体" w:hAnsi="宋体" w:cs="宋体"/>
                <w:b/>
                <w:sz w:val="24"/>
              </w:rPr>
            </w:pPr>
            <w:r>
              <w:rPr>
                <w:rFonts w:hint="eastAsia" w:ascii="宋体" w:hAnsi="宋体" w:cs="宋体"/>
                <w:b/>
                <w:sz w:val="24"/>
              </w:rPr>
              <w:t>序号</w:t>
            </w:r>
          </w:p>
        </w:tc>
        <w:tc>
          <w:tcPr>
            <w:tcW w:w="1753" w:type="dxa"/>
            <w:tcBorders>
              <w:top w:val="single" w:color="000000" w:sz="4" w:space="0"/>
              <w:left w:val="single" w:color="000000" w:sz="4" w:space="0"/>
              <w:bottom w:val="single" w:color="000000" w:sz="4" w:space="0"/>
              <w:right w:val="single" w:color="000000" w:sz="4" w:space="0"/>
            </w:tcBorders>
            <w:noWrap/>
            <w:vAlign w:val="center"/>
          </w:tcPr>
          <w:p w14:paraId="2F23BEFF">
            <w:pPr>
              <w:spacing w:before="50" w:after="50" w:line="360" w:lineRule="auto"/>
              <w:rPr>
                <w:rFonts w:ascii="宋体" w:hAnsi="宋体" w:cs="宋体"/>
                <w:b/>
                <w:sz w:val="24"/>
              </w:rPr>
            </w:pPr>
            <w:r>
              <w:rPr>
                <w:rFonts w:hint="eastAsia" w:ascii="宋体" w:hAnsi="宋体" w:cs="宋体"/>
                <w:b/>
                <w:bCs/>
                <w:szCs w:val="21"/>
              </w:rPr>
              <w:t>标的的名称</w:t>
            </w:r>
          </w:p>
        </w:tc>
        <w:tc>
          <w:tcPr>
            <w:tcW w:w="434" w:type="dxa"/>
            <w:tcBorders>
              <w:top w:val="single" w:color="000000" w:sz="4" w:space="0"/>
              <w:left w:val="single" w:color="000000" w:sz="4" w:space="0"/>
              <w:bottom w:val="single" w:color="000000" w:sz="4" w:space="0"/>
              <w:right w:val="single" w:color="000000" w:sz="4" w:space="0"/>
            </w:tcBorders>
            <w:noWrap/>
            <w:vAlign w:val="center"/>
          </w:tcPr>
          <w:p w14:paraId="52104390">
            <w:pPr>
              <w:spacing w:before="50" w:after="50" w:line="360" w:lineRule="auto"/>
              <w:rPr>
                <w:rFonts w:ascii="宋体" w:hAnsi="宋体" w:cs="宋体"/>
                <w:b/>
                <w:sz w:val="24"/>
              </w:rPr>
            </w:pPr>
            <w:r>
              <w:rPr>
                <w:rFonts w:hint="eastAsia" w:ascii="宋体" w:hAnsi="宋体" w:cs="宋体"/>
                <w:b/>
                <w:sz w:val="24"/>
              </w:rPr>
              <w:t>数量</w:t>
            </w:r>
          </w:p>
        </w:tc>
        <w:tc>
          <w:tcPr>
            <w:tcW w:w="406" w:type="dxa"/>
            <w:tcBorders>
              <w:top w:val="single" w:color="000000" w:sz="4" w:space="0"/>
              <w:left w:val="single" w:color="000000" w:sz="4" w:space="0"/>
              <w:bottom w:val="single" w:color="000000" w:sz="4" w:space="0"/>
              <w:right w:val="single" w:color="000000" w:sz="4" w:space="0"/>
            </w:tcBorders>
            <w:noWrap/>
            <w:vAlign w:val="center"/>
          </w:tcPr>
          <w:p w14:paraId="674C4790">
            <w:pPr>
              <w:spacing w:before="50" w:after="50" w:line="360" w:lineRule="auto"/>
              <w:rPr>
                <w:rFonts w:ascii="宋体" w:hAnsi="宋体" w:cs="宋体"/>
                <w:b/>
                <w:sz w:val="24"/>
              </w:rPr>
            </w:pPr>
            <w:r>
              <w:rPr>
                <w:rFonts w:hint="eastAsia" w:ascii="宋体" w:hAnsi="宋体" w:cs="宋体"/>
                <w:b/>
                <w:sz w:val="24"/>
              </w:rPr>
              <w:t>单位</w:t>
            </w:r>
          </w:p>
        </w:tc>
        <w:tc>
          <w:tcPr>
            <w:tcW w:w="1643" w:type="dxa"/>
            <w:tcBorders>
              <w:top w:val="single" w:color="000000" w:sz="4" w:space="0"/>
              <w:left w:val="single" w:color="000000" w:sz="4" w:space="0"/>
              <w:bottom w:val="single" w:color="000000" w:sz="4" w:space="0"/>
              <w:right w:val="single" w:color="000000" w:sz="4" w:space="0"/>
            </w:tcBorders>
            <w:noWrap/>
            <w:vAlign w:val="center"/>
          </w:tcPr>
          <w:p w14:paraId="2713573D">
            <w:pPr>
              <w:spacing w:before="50" w:after="50" w:line="360" w:lineRule="auto"/>
              <w:rPr>
                <w:rFonts w:ascii="宋体" w:hAnsi="宋体" w:cs="宋体"/>
                <w:b/>
                <w:sz w:val="24"/>
              </w:rPr>
            </w:pPr>
            <w:r>
              <w:rPr>
                <w:rFonts w:hint="eastAsia" w:ascii="宋体" w:hAnsi="宋体" w:cs="宋体"/>
                <w:b/>
                <w:sz w:val="24"/>
              </w:rPr>
              <w:t>我单位承诺：</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21F7C355">
            <w:pPr>
              <w:spacing w:before="50" w:after="50" w:line="360" w:lineRule="auto"/>
              <w:rPr>
                <w:rFonts w:ascii="宋体" w:hAnsi="宋体" w:cs="宋体"/>
                <w:b/>
                <w:sz w:val="24"/>
              </w:rPr>
            </w:pPr>
            <w:r>
              <w:rPr>
                <w:rFonts w:ascii="宋体" w:hAnsi="宋体" w:cs="宋体"/>
                <w:b/>
                <w:sz w:val="24"/>
              </w:rPr>
              <w:t>合同履行期限</w:t>
            </w:r>
            <w:r>
              <w:rPr>
                <w:rFonts w:hint="eastAsia" w:ascii="宋体" w:hAnsi="宋体" w:cs="宋体"/>
                <w:b/>
                <w:sz w:val="24"/>
              </w:rPr>
              <w:t>（年）</w:t>
            </w:r>
          </w:p>
        </w:tc>
        <w:tc>
          <w:tcPr>
            <w:tcW w:w="4902" w:type="dxa"/>
            <w:tcBorders>
              <w:top w:val="single" w:color="000000" w:sz="4" w:space="0"/>
              <w:left w:val="single" w:color="000000" w:sz="4" w:space="0"/>
              <w:bottom w:val="single" w:color="000000" w:sz="4" w:space="0"/>
              <w:right w:val="single" w:color="000000" w:sz="4" w:space="0"/>
            </w:tcBorders>
            <w:noWrap/>
            <w:vAlign w:val="center"/>
          </w:tcPr>
          <w:p w14:paraId="60CC9520">
            <w:pPr>
              <w:spacing w:before="50" w:after="50" w:line="360" w:lineRule="auto"/>
              <w:ind w:firstLine="360"/>
              <w:rPr>
                <w:rFonts w:ascii="宋体" w:hAnsi="宋体" w:cs="宋体"/>
                <w:b/>
                <w:sz w:val="24"/>
              </w:rPr>
            </w:pPr>
          </w:p>
          <w:p w14:paraId="3E5A1AC8">
            <w:pPr>
              <w:spacing w:before="50" w:after="50" w:line="360" w:lineRule="auto"/>
              <w:ind w:firstLine="360"/>
              <w:rPr>
                <w:rFonts w:ascii="宋体" w:hAnsi="宋体" w:cs="宋体"/>
                <w:b/>
                <w:sz w:val="24"/>
              </w:rPr>
            </w:pPr>
            <w:r>
              <w:rPr>
                <w:rFonts w:hint="eastAsia" w:ascii="宋体" w:hAnsi="宋体" w:cs="宋体"/>
                <w:b/>
                <w:sz w:val="24"/>
              </w:rPr>
              <w:t>投标报价</w:t>
            </w:r>
          </w:p>
          <w:p w14:paraId="151059BC">
            <w:pPr>
              <w:spacing w:before="50" w:after="50" w:line="360" w:lineRule="auto"/>
              <w:ind w:firstLine="360"/>
              <w:rPr>
                <w:rFonts w:ascii="宋体" w:hAnsi="宋体" w:cs="宋体"/>
                <w:b/>
                <w:sz w:val="24"/>
              </w:rPr>
            </w:pPr>
            <w:r>
              <w:rPr>
                <w:rFonts w:hint="eastAsia" w:ascii="宋体" w:hAnsi="宋体" w:cs="宋体"/>
                <w:b/>
                <w:sz w:val="24"/>
              </w:rPr>
              <w:t>（元）</w:t>
            </w:r>
          </w:p>
          <w:p w14:paraId="23BE1F3E">
            <w:pPr>
              <w:spacing w:before="50" w:after="50" w:line="360" w:lineRule="auto"/>
              <w:ind w:firstLine="360"/>
              <w:rPr>
                <w:rFonts w:ascii="宋体" w:hAnsi="宋体" w:cs="宋体"/>
                <w:b/>
                <w:sz w:val="24"/>
              </w:rPr>
            </w:pPr>
          </w:p>
        </w:tc>
      </w:tr>
      <w:tr w14:paraId="13C0D34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1916" w:hRule="atLeast"/>
        </w:trPr>
        <w:tc>
          <w:tcPr>
            <w:tcW w:w="545" w:type="dxa"/>
            <w:tcBorders>
              <w:top w:val="single" w:color="000000" w:sz="4" w:space="0"/>
              <w:left w:val="single" w:color="000000" w:sz="4" w:space="0"/>
              <w:bottom w:val="single" w:color="000000" w:sz="4" w:space="0"/>
              <w:right w:val="single" w:color="000000" w:sz="4" w:space="0"/>
            </w:tcBorders>
            <w:noWrap/>
            <w:vAlign w:val="center"/>
          </w:tcPr>
          <w:p w14:paraId="662B4AF8">
            <w:pPr>
              <w:spacing w:before="50" w:after="50" w:line="360" w:lineRule="auto"/>
              <w:rPr>
                <w:rFonts w:ascii="宋体" w:hAnsi="宋体" w:cs="宋体"/>
                <w:b/>
                <w:szCs w:val="21"/>
                <w:highlight w:val="none"/>
              </w:rPr>
            </w:pPr>
            <w:r>
              <w:rPr>
                <w:rFonts w:hint="eastAsia" w:ascii="宋体" w:hAnsi="宋体" w:cs="宋体"/>
                <w:b/>
                <w:szCs w:val="21"/>
                <w:highlight w:val="none"/>
              </w:rPr>
              <w:t>1</w:t>
            </w:r>
          </w:p>
        </w:tc>
        <w:tc>
          <w:tcPr>
            <w:tcW w:w="1753" w:type="dxa"/>
            <w:tcBorders>
              <w:top w:val="single" w:color="000000" w:sz="4" w:space="0"/>
              <w:left w:val="single" w:color="000000" w:sz="4" w:space="0"/>
              <w:bottom w:val="single" w:color="000000" w:sz="4" w:space="0"/>
              <w:right w:val="single" w:color="000000" w:sz="4" w:space="0"/>
            </w:tcBorders>
            <w:noWrap/>
            <w:vAlign w:val="center"/>
          </w:tcPr>
          <w:p w14:paraId="588DF4F9">
            <w:pPr>
              <w:pStyle w:val="15"/>
              <w:spacing w:before="50" w:after="120"/>
              <w:rPr>
                <w:rFonts w:hAnsi="宋体" w:cs="宋体"/>
                <w:b/>
                <w:bCs/>
                <w:kern w:val="2"/>
                <w:sz w:val="21"/>
                <w:highlight w:val="none"/>
                <w:lang w:eastAsia="zh-CN"/>
              </w:rPr>
            </w:pPr>
            <w:r>
              <w:rPr>
                <w:rFonts w:hint="eastAsia" w:ascii="宋体" w:hAnsi="宋体" w:cs="宋体"/>
                <w:sz w:val="21"/>
                <w:highlight w:val="none"/>
                <w:lang w:val="en-US" w:eastAsia="zh-CN"/>
              </w:rPr>
              <w:t>广西壮族自治区桂林公路发展中心南片区2026年—2029年普通国省干线公路养护服务项目A段（恭城公路养护中心）</w:t>
            </w:r>
          </w:p>
        </w:tc>
        <w:tc>
          <w:tcPr>
            <w:tcW w:w="434" w:type="dxa"/>
            <w:tcBorders>
              <w:top w:val="single" w:color="000000" w:sz="4" w:space="0"/>
              <w:left w:val="single" w:color="000000" w:sz="4" w:space="0"/>
              <w:bottom w:val="single" w:color="000000" w:sz="4" w:space="0"/>
              <w:right w:val="single" w:color="000000" w:sz="4" w:space="0"/>
            </w:tcBorders>
            <w:noWrap/>
            <w:vAlign w:val="center"/>
          </w:tcPr>
          <w:p w14:paraId="5A268A72">
            <w:pPr>
              <w:tabs>
                <w:tab w:val="left" w:pos="180"/>
                <w:tab w:val="left" w:pos="1620"/>
              </w:tabs>
              <w:rPr>
                <w:rFonts w:ascii="宋体" w:hAnsi="宋体" w:cs="宋体"/>
                <w:b/>
                <w:bCs/>
                <w:szCs w:val="21"/>
                <w:highlight w:val="none"/>
              </w:rPr>
            </w:pPr>
            <w:r>
              <w:rPr>
                <w:rFonts w:hint="eastAsia" w:ascii="宋体" w:hAnsi="宋体" w:cs="宋体"/>
                <w:b/>
                <w:bCs/>
                <w:szCs w:val="21"/>
                <w:highlight w:val="none"/>
              </w:rPr>
              <w:t>1</w:t>
            </w:r>
          </w:p>
        </w:tc>
        <w:tc>
          <w:tcPr>
            <w:tcW w:w="406" w:type="dxa"/>
            <w:tcBorders>
              <w:top w:val="single" w:color="000000" w:sz="4" w:space="0"/>
              <w:left w:val="single" w:color="000000" w:sz="4" w:space="0"/>
              <w:bottom w:val="single" w:color="000000" w:sz="4" w:space="0"/>
              <w:right w:val="single" w:color="000000" w:sz="4" w:space="0"/>
            </w:tcBorders>
            <w:noWrap/>
            <w:vAlign w:val="center"/>
          </w:tcPr>
          <w:p w14:paraId="23F1013E">
            <w:pPr>
              <w:tabs>
                <w:tab w:val="left" w:pos="180"/>
                <w:tab w:val="left" w:pos="1620"/>
              </w:tabs>
              <w:rPr>
                <w:rFonts w:ascii="宋体" w:hAnsi="宋体" w:cs="宋体"/>
                <w:b/>
                <w:bCs/>
                <w:szCs w:val="21"/>
                <w:highlight w:val="none"/>
              </w:rPr>
            </w:pPr>
            <w:r>
              <w:rPr>
                <w:rFonts w:hint="eastAsia" w:ascii="宋体" w:hAnsi="宋体" w:cs="宋体"/>
                <w:b/>
                <w:bCs/>
                <w:szCs w:val="21"/>
                <w:highlight w:val="none"/>
              </w:rPr>
              <w:t>项</w:t>
            </w:r>
          </w:p>
        </w:tc>
        <w:tc>
          <w:tcPr>
            <w:tcW w:w="1643" w:type="dxa"/>
            <w:tcBorders>
              <w:top w:val="single" w:color="000000" w:sz="4" w:space="0"/>
              <w:left w:val="single" w:color="000000" w:sz="4" w:space="0"/>
              <w:bottom w:val="single" w:color="000000" w:sz="4" w:space="0"/>
              <w:right w:val="single" w:color="000000" w:sz="4" w:space="0"/>
            </w:tcBorders>
            <w:noWrap/>
            <w:vAlign w:val="center"/>
          </w:tcPr>
          <w:p w14:paraId="31DDF183">
            <w:pPr>
              <w:spacing w:before="50" w:after="50"/>
              <w:rPr>
                <w:rFonts w:ascii="宋体" w:hAnsi="宋体" w:cs="宋体"/>
                <w:szCs w:val="21"/>
                <w:highlight w:val="none"/>
              </w:rPr>
            </w:pPr>
            <w:r>
              <w:rPr>
                <w:rFonts w:hint="eastAsia" w:ascii="宋体" w:hAnsi="宋体" w:cs="宋体"/>
                <w:szCs w:val="21"/>
                <w:highlight w:val="none"/>
              </w:rPr>
              <w:t>按照《采购文件》第二章</w:t>
            </w:r>
            <w:r>
              <w:rPr>
                <w:rFonts w:hAnsi="宋体" w:cs="宋体"/>
                <w:szCs w:val="21"/>
                <w:highlight w:val="none"/>
              </w:rPr>
              <w:t>“</w:t>
            </w:r>
            <w:r>
              <w:rPr>
                <w:rFonts w:hint="eastAsia" w:ascii="宋体" w:hAnsi="宋体" w:cs="宋体"/>
                <w:szCs w:val="21"/>
                <w:highlight w:val="none"/>
              </w:rPr>
              <w:t>采购需求</w:t>
            </w:r>
            <w:r>
              <w:rPr>
                <w:rFonts w:hAnsi="宋体" w:cs="宋体"/>
                <w:szCs w:val="21"/>
                <w:highlight w:val="none"/>
              </w:rPr>
              <w:t>”</w:t>
            </w:r>
            <w:r>
              <w:rPr>
                <w:rFonts w:ascii="宋体" w:hAnsi="宋体" w:cs="宋体"/>
                <w:szCs w:val="21"/>
                <w:highlight w:val="none"/>
              </w:rPr>
              <w:t>及《合同》等相关要求</w:t>
            </w:r>
            <w:r>
              <w:rPr>
                <w:rFonts w:hint="eastAsia" w:ascii="宋体" w:hAnsi="宋体" w:cs="宋体"/>
                <w:szCs w:val="21"/>
                <w:highlight w:val="none"/>
              </w:rPr>
              <w:t>完成本项目的服务工作</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4AD59553">
            <w:pPr>
              <w:spacing w:before="50" w:after="50" w:line="360" w:lineRule="auto"/>
              <w:ind w:firstLine="361"/>
              <w:jc w:val="center"/>
              <w:rPr>
                <w:rFonts w:ascii="宋体" w:hAnsi="宋体" w:cs="宋体"/>
                <w:sz w:val="24"/>
                <w:highlight w:val="none"/>
              </w:rPr>
            </w:pPr>
            <w:r>
              <w:rPr>
                <w:rFonts w:hint="eastAsia" w:ascii="宋体" w:hAnsi="宋体" w:cs="宋体"/>
                <w:sz w:val="24"/>
                <w:highlight w:val="none"/>
              </w:rPr>
              <w:t>3</w:t>
            </w:r>
          </w:p>
        </w:tc>
        <w:tc>
          <w:tcPr>
            <w:tcW w:w="4902" w:type="dxa"/>
            <w:tcBorders>
              <w:top w:val="single" w:color="000000" w:sz="4" w:space="0"/>
              <w:left w:val="single" w:color="000000" w:sz="4" w:space="0"/>
              <w:bottom w:val="single" w:color="000000" w:sz="4" w:space="0"/>
              <w:right w:val="single" w:color="000000" w:sz="4" w:space="0"/>
            </w:tcBorders>
            <w:noWrap/>
            <w:vAlign w:val="center"/>
          </w:tcPr>
          <w:p w14:paraId="5C925B07">
            <w:pPr>
              <w:numPr>
                <w:ilvl w:val="0"/>
                <w:numId w:val="14"/>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2026年5月-12月投标报价：大写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6AFF2E52">
            <w:pPr>
              <w:numPr>
                <w:ilvl w:val="0"/>
                <w:numId w:val="14"/>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2027年投标报价：大写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3B6D592F">
            <w:pPr>
              <w:numPr>
                <w:ilvl w:val="0"/>
                <w:numId w:val="14"/>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2028年投标报价：大写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110B253F">
            <w:pPr>
              <w:numPr>
                <w:ilvl w:val="0"/>
                <w:numId w:val="14"/>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2029年1月-4月 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50F37908">
            <w:pPr>
              <w:spacing w:before="50" w:after="50" w:line="360" w:lineRule="auto"/>
              <w:ind w:left="1050" w:hanging="1050" w:hangingChars="500"/>
              <w:rPr>
                <w:rFonts w:ascii="宋体" w:hAnsi="宋体" w:cs="宋体"/>
                <w:kern w:val="0"/>
                <w:szCs w:val="21"/>
                <w:highlight w:val="none"/>
              </w:rPr>
            </w:pPr>
            <w:r>
              <w:rPr>
                <w:rFonts w:hint="eastAsia" w:ascii="宋体" w:hAnsi="宋体" w:cs="宋体"/>
                <w:kern w:val="0"/>
                <w:szCs w:val="21"/>
                <w:highlight w:val="none"/>
              </w:rPr>
              <w:t>3年度投标报价（①+②+③+</w:t>
            </w:r>
            <w:r>
              <w:rPr>
                <w:rFonts w:hint="eastAsia" w:cs="宋体"/>
                <w:szCs w:val="21"/>
                <w:highlight w:val="none"/>
              </w:rPr>
              <w:t>④</w:t>
            </w:r>
            <w:r>
              <w:rPr>
                <w:rFonts w:hint="eastAsia" w:ascii="宋体" w:hAnsi="宋体" w:cs="宋体"/>
                <w:kern w:val="0"/>
                <w:szCs w:val="21"/>
                <w:highlight w:val="none"/>
              </w:rPr>
              <w:t>）</w:t>
            </w:r>
          </w:p>
          <w:p w14:paraId="16C950E0">
            <w:pPr>
              <w:spacing w:before="50" w:after="50" w:line="360" w:lineRule="auto"/>
              <w:ind w:left="1050" w:hanging="1050" w:hangingChars="500"/>
              <w:rPr>
                <w:rFonts w:hint="eastAsia" w:ascii="宋体" w:hAnsi="宋体" w:eastAsia="宋体" w:cs="宋体"/>
                <w:kern w:val="0"/>
                <w:szCs w:val="21"/>
                <w:highlight w:val="none"/>
                <w:lang w:eastAsia="zh-CN"/>
              </w:rPr>
            </w:pPr>
            <w:r>
              <w:rPr>
                <w:rFonts w:hint="eastAsia" w:ascii="宋体" w:hAnsi="宋体" w:cs="宋体"/>
                <w:kern w:val="0"/>
                <w:szCs w:val="21"/>
                <w:highlight w:val="none"/>
              </w:rPr>
              <w:t xml:space="preserve">大写 </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包含绩效清单和工程量清单</w:t>
            </w:r>
            <w:r>
              <w:rPr>
                <w:rFonts w:hint="eastAsia" w:ascii="宋体" w:hAnsi="宋体" w:eastAsia="宋体" w:cs="宋体"/>
                <w:kern w:val="0"/>
                <w:szCs w:val="21"/>
                <w:highlight w:val="none"/>
                <w:lang w:eastAsia="zh-CN"/>
              </w:rPr>
              <w:t>）</w:t>
            </w:r>
          </w:p>
        </w:tc>
      </w:tr>
      <w:tr w14:paraId="2BA9178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1916" w:hRule="atLeast"/>
        </w:trPr>
        <w:tc>
          <w:tcPr>
            <w:tcW w:w="545" w:type="dxa"/>
            <w:tcBorders>
              <w:top w:val="single" w:color="000000" w:sz="4" w:space="0"/>
              <w:left w:val="single" w:color="000000" w:sz="4" w:space="0"/>
              <w:bottom w:val="single" w:color="000000" w:sz="4" w:space="0"/>
              <w:right w:val="single" w:color="000000" w:sz="4" w:space="0"/>
            </w:tcBorders>
            <w:noWrap/>
            <w:vAlign w:val="center"/>
          </w:tcPr>
          <w:p w14:paraId="436D5A0A">
            <w:pPr>
              <w:spacing w:before="50" w:after="50" w:line="360" w:lineRule="auto"/>
              <w:rPr>
                <w:rFonts w:ascii="宋体" w:hAnsi="宋体" w:cs="宋体"/>
                <w:b/>
                <w:szCs w:val="21"/>
                <w:highlight w:val="none"/>
              </w:rPr>
            </w:pPr>
            <w:r>
              <w:rPr>
                <w:rFonts w:hint="eastAsia" w:ascii="宋体" w:hAnsi="宋体" w:cs="宋体"/>
                <w:b/>
                <w:szCs w:val="21"/>
                <w:highlight w:val="none"/>
              </w:rPr>
              <w:t>2</w:t>
            </w:r>
          </w:p>
        </w:tc>
        <w:tc>
          <w:tcPr>
            <w:tcW w:w="1753" w:type="dxa"/>
            <w:tcBorders>
              <w:top w:val="single" w:color="000000" w:sz="4" w:space="0"/>
              <w:left w:val="single" w:color="000000" w:sz="4" w:space="0"/>
              <w:bottom w:val="single" w:color="000000" w:sz="4" w:space="0"/>
              <w:right w:val="single" w:color="000000" w:sz="4" w:space="0"/>
            </w:tcBorders>
            <w:noWrap/>
            <w:vAlign w:val="center"/>
          </w:tcPr>
          <w:p w14:paraId="056EB03D">
            <w:pPr>
              <w:pStyle w:val="15"/>
              <w:spacing w:before="50" w:after="120"/>
              <w:rPr>
                <w:rFonts w:hAnsi="宋体" w:cs="宋体"/>
                <w:b/>
                <w:bCs/>
                <w:kern w:val="2"/>
                <w:sz w:val="21"/>
                <w:highlight w:val="none"/>
                <w:lang w:eastAsia="zh-CN"/>
              </w:rPr>
            </w:pPr>
            <w:r>
              <w:rPr>
                <w:rFonts w:hint="eastAsia" w:hAnsi="宋体" w:cs="宋体"/>
                <w:b w:val="0"/>
                <w:bCs w:val="0"/>
                <w:kern w:val="2"/>
                <w:sz w:val="21"/>
                <w:highlight w:val="none"/>
                <w:lang w:eastAsia="zh-CN"/>
              </w:rPr>
              <w:t>广西壮族自治区桂林公路发展中心南片区2026年—2029年普通国省干线公路养护服务项目B段（平乐公路养护中心）</w:t>
            </w:r>
          </w:p>
        </w:tc>
        <w:tc>
          <w:tcPr>
            <w:tcW w:w="434" w:type="dxa"/>
            <w:tcBorders>
              <w:top w:val="single" w:color="000000" w:sz="4" w:space="0"/>
              <w:left w:val="single" w:color="000000" w:sz="4" w:space="0"/>
              <w:bottom w:val="single" w:color="000000" w:sz="4" w:space="0"/>
              <w:right w:val="single" w:color="000000" w:sz="4" w:space="0"/>
            </w:tcBorders>
            <w:noWrap/>
            <w:vAlign w:val="center"/>
          </w:tcPr>
          <w:p w14:paraId="099D0AF8">
            <w:pPr>
              <w:tabs>
                <w:tab w:val="left" w:pos="180"/>
                <w:tab w:val="left" w:pos="1620"/>
              </w:tabs>
              <w:rPr>
                <w:rFonts w:ascii="宋体" w:hAnsi="宋体" w:cs="宋体"/>
                <w:b/>
                <w:bCs/>
                <w:szCs w:val="21"/>
                <w:highlight w:val="none"/>
              </w:rPr>
            </w:pPr>
            <w:r>
              <w:rPr>
                <w:rFonts w:hint="eastAsia" w:ascii="宋体" w:hAnsi="宋体" w:cs="宋体"/>
                <w:b/>
                <w:bCs/>
                <w:szCs w:val="21"/>
                <w:highlight w:val="none"/>
              </w:rPr>
              <w:t>1</w:t>
            </w:r>
          </w:p>
        </w:tc>
        <w:tc>
          <w:tcPr>
            <w:tcW w:w="406" w:type="dxa"/>
            <w:tcBorders>
              <w:top w:val="single" w:color="000000" w:sz="4" w:space="0"/>
              <w:left w:val="single" w:color="000000" w:sz="4" w:space="0"/>
              <w:bottom w:val="single" w:color="000000" w:sz="4" w:space="0"/>
              <w:right w:val="single" w:color="000000" w:sz="4" w:space="0"/>
            </w:tcBorders>
            <w:noWrap/>
            <w:vAlign w:val="center"/>
          </w:tcPr>
          <w:p w14:paraId="709DC1AA">
            <w:pPr>
              <w:tabs>
                <w:tab w:val="left" w:pos="180"/>
                <w:tab w:val="left" w:pos="1620"/>
              </w:tabs>
              <w:rPr>
                <w:rFonts w:ascii="宋体" w:hAnsi="宋体" w:cs="宋体"/>
                <w:b/>
                <w:bCs/>
                <w:szCs w:val="21"/>
                <w:highlight w:val="none"/>
              </w:rPr>
            </w:pPr>
            <w:r>
              <w:rPr>
                <w:rFonts w:hint="eastAsia" w:ascii="宋体" w:hAnsi="宋体" w:cs="宋体"/>
                <w:b/>
                <w:bCs/>
                <w:szCs w:val="21"/>
                <w:highlight w:val="none"/>
              </w:rPr>
              <w:t>项</w:t>
            </w:r>
          </w:p>
        </w:tc>
        <w:tc>
          <w:tcPr>
            <w:tcW w:w="1643" w:type="dxa"/>
            <w:tcBorders>
              <w:top w:val="single" w:color="000000" w:sz="4" w:space="0"/>
              <w:left w:val="single" w:color="000000" w:sz="4" w:space="0"/>
              <w:bottom w:val="single" w:color="000000" w:sz="4" w:space="0"/>
              <w:right w:val="single" w:color="000000" w:sz="4" w:space="0"/>
            </w:tcBorders>
            <w:noWrap/>
            <w:vAlign w:val="center"/>
          </w:tcPr>
          <w:p w14:paraId="3240F1ED">
            <w:pPr>
              <w:spacing w:before="50" w:after="50"/>
              <w:rPr>
                <w:rFonts w:ascii="宋体" w:hAnsi="宋体" w:cs="宋体"/>
                <w:szCs w:val="21"/>
                <w:highlight w:val="none"/>
              </w:rPr>
            </w:pPr>
            <w:r>
              <w:rPr>
                <w:rFonts w:hint="eastAsia" w:ascii="宋体" w:hAnsi="宋体" w:cs="宋体"/>
                <w:szCs w:val="21"/>
                <w:highlight w:val="none"/>
              </w:rPr>
              <w:t>按照《采购文件》第二章</w:t>
            </w:r>
            <w:r>
              <w:rPr>
                <w:rFonts w:hAnsi="宋体" w:cs="宋体"/>
                <w:szCs w:val="21"/>
                <w:highlight w:val="none"/>
              </w:rPr>
              <w:t>“</w:t>
            </w:r>
            <w:r>
              <w:rPr>
                <w:rFonts w:hint="eastAsia" w:ascii="宋体" w:hAnsi="宋体" w:cs="宋体"/>
                <w:szCs w:val="21"/>
                <w:highlight w:val="none"/>
              </w:rPr>
              <w:t>采购需求</w:t>
            </w:r>
            <w:r>
              <w:rPr>
                <w:rFonts w:hAnsi="宋体" w:cs="宋体"/>
                <w:szCs w:val="21"/>
                <w:highlight w:val="none"/>
              </w:rPr>
              <w:t>”</w:t>
            </w:r>
            <w:r>
              <w:rPr>
                <w:rFonts w:ascii="宋体" w:hAnsi="宋体" w:cs="宋体"/>
                <w:szCs w:val="21"/>
                <w:highlight w:val="none"/>
              </w:rPr>
              <w:t>及《合同》等相关要求</w:t>
            </w:r>
            <w:r>
              <w:rPr>
                <w:rFonts w:hint="eastAsia" w:ascii="宋体" w:hAnsi="宋体" w:cs="宋体"/>
                <w:szCs w:val="21"/>
                <w:highlight w:val="none"/>
              </w:rPr>
              <w:t>完成本项目的服务工作</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1C9B5582">
            <w:pPr>
              <w:spacing w:before="50" w:after="50" w:line="360" w:lineRule="auto"/>
              <w:ind w:firstLine="361"/>
              <w:jc w:val="center"/>
              <w:rPr>
                <w:rFonts w:ascii="宋体" w:hAnsi="宋体" w:cs="宋体"/>
                <w:sz w:val="24"/>
                <w:highlight w:val="none"/>
              </w:rPr>
            </w:pPr>
            <w:r>
              <w:rPr>
                <w:rFonts w:hint="eastAsia" w:ascii="宋体" w:hAnsi="宋体" w:cs="宋体"/>
                <w:sz w:val="24"/>
                <w:highlight w:val="none"/>
              </w:rPr>
              <w:t>3</w:t>
            </w:r>
          </w:p>
        </w:tc>
        <w:tc>
          <w:tcPr>
            <w:tcW w:w="4902" w:type="dxa"/>
            <w:tcBorders>
              <w:top w:val="single" w:color="000000" w:sz="4" w:space="0"/>
              <w:left w:val="single" w:color="000000" w:sz="4" w:space="0"/>
              <w:bottom w:val="single" w:color="000000" w:sz="4" w:space="0"/>
              <w:right w:val="single" w:color="000000" w:sz="4" w:space="0"/>
            </w:tcBorders>
            <w:noWrap/>
            <w:vAlign w:val="center"/>
          </w:tcPr>
          <w:p w14:paraId="40EF59C7">
            <w:pPr>
              <w:numPr>
                <w:ilvl w:val="0"/>
                <w:numId w:val="15"/>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2026年5月-12月投标报价：大写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2D36FAA5">
            <w:pPr>
              <w:numPr>
                <w:ilvl w:val="0"/>
                <w:numId w:val="15"/>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2027年投标报价：大写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4D899023">
            <w:pPr>
              <w:numPr>
                <w:ilvl w:val="0"/>
                <w:numId w:val="15"/>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2028年投标报价：大写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02F7813B">
            <w:pPr>
              <w:numPr>
                <w:ilvl w:val="0"/>
                <w:numId w:val="15"/>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2029年1月-4月 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05D7FB4D">
            <w:pPr>
              <w:spacing w:before="50" w:after="50" w:line="360" w:lineRule="auto"/>
              <w:ind w:left="1050" w:hanging="1050" w:hangingChars="500"/>
              <w:rPr>
                <w:rFonts w:ascii="宋体" w:hAnsi="宋体" w:cs="宋体"/>
                <w:kern w:val="0"/>
                <w:szCs w:val="21"/>
                <w:highlight w:val="none"/>
              </w:rPr>
            </w:pPr>
            <w:r>
              <w:rPr>
                <w:rFonts w:hint="eastAsia" w:ascii="宋体" w:hAnsi="宋体" w:cs="宋体"/>
                <w:kern w:val="0"/>
                <w:szCs w:val="21"/>
                <w:highlight w:val="none"/>
              </w:rPr>
              <w:t>3年度投标报价（①+②+③+</w:t>
            </w:r>
            <w:r>
              <w:rPr>
                <w:rFonts w:hint="eastAsia" w:cs="宋体"/>
                <w:szCs w:val="21"/>
                <w:highlight w:val="none"/>
              </w:rPr>
              <w:t>④</w:t>
            </w:r>
            <w:r>
              <w:rPr>
                <w:rFonts w:hint="eastAsia" w:ascii="宋体" w:hAnsi="宋体" w:cs="宋体"/>
                <w:kern w:val="0"/>
                <w:szCs w:val="21"/>
                <w:highlight w:val="none"/>
              </w:rPr>
              <w:t>）</w:t>
            </w:r>
          </w:p>
          <w:p w14:paraId="20E4FEDD">
            <w:pPr>
              <w:spacing w:before="50" w:after="50" w:line="360" w:lineRule="auto"/>
              <w:ind w:left="1050" w:hanging="1050" w:hangingChars="500"/>
              <w:rPr>
                <w:rFonts w:ascii="宋体" w:hAnsi="宋体" w:cs="宋体"/>
                <w:kern w:val="0"/>
                <w:szCs w:val="21"/>
                <w:highlight w:val="none"/>
              </w:rPr>
            </w:pPr>
            <w:r>
              <w:rPr>
                <w:rFonts w:hint="eastAsia" w:ascii="宋体" w:hAnsi="宋体" w:cs="宋体"/>
                <w:kern w:val="0"/>
                <w:szCs w:val="21"/>
                <w:highlight w:val="none"/>
              </w:rPr>
              <w:t xml:space="preserve">大写 </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包含绩效清单和工程量清单</w:t>
            </w:r>
            <w:r>
              <w:rPr>
                <w:rFonts w:hint="eastAsia" w:ascii="宋体" w:hAnsi="宋体" w:eastAsia="宋体" w:cs="宋体"/>
                <w:kern w:val="0"/>
                <w:szCs w:val="21"/>
                <w:highlight w:val="none"/>
                <w:lang w:eastAsia="zh-CN"/>
              </w:rPr>
              <w:t>）</w:t>
            </w:r>
          </w:p>
        </w:tc>
      </w:tr>
      <w:tr w14:paraId="35DEEBA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1916" w:hRule="atLeast"/>
        </w:trPr>
        <w:tc>
          <w:tcPr>
            <w:tcW w:w="545" w:type="dxa"/>
            <w:tcBorders>
              <w:top w:val="single" w:color="000000" w:sz="4" w:space="0"/>
              <w:left w:val="single" w:color="000000" w:sz="4" w:space="0"/>
              <w:bottom w:val="single" w:color="000000" w:sz="4" w:space="0"/>
              <w:right w:val="single" w:color="000000" w:sz="4" w:space="0"/>
            </w:tcBorders>
            <w:noWrap/>
            <w:vAlign w:val="center"/>
          </w:tcPr>
          <w:p w14:paraId="0AB33118">
            <w:pPr>
              <w:spacing w:before="50" w:after="50" w:line="360" w:lineRule="auto"/>
              <w:rPr>
                <w:rFonts w:ascii="宋体" w:hAnsi="宋体" w:cs="宋体"/>
                <w:b/>
                <w:szCs w:val="21"/>
                <w:highlight w:val="none"/>
              </w:rPr>
            </w:pPr>
            <w:r>
              <w:rPr>
                <w:rFonts w:hint="eastAsia" w:ascii="宋体" w:hAnsi="宋体" w:cs="宋体"/>
                <w:b/>
                <w:szCs w:val="21"/>
                <w:highlight w:val="none"/>
              </w:rPr>
              <w:t>3</w:t>
            </w:r>
          </w:p>
        </w:tc>
        <w:tc>
          <w:tcPr>
            <w:tcW w:w="1753" w:type="dxa"/>
            <w:tcBorders>
              <w:top w:val="single" w:color="000000" w:sz="4" w:space="0"/>
              <w:left w:val="single" w:color="000000" w:sz="4" w:space="0"/>
              <w:bottom w:val="single" w:color="000000" w:sz="4" w:space="0"/>
              <w:right w:val="single" w:color="000000" w:sz="4" w:space="0"/>
            </w:tcBorders>
            <w:noWrap/>
            <w:vAlign w:val="center"/>
          </w:tcPr>
          <w:p w14:paraId="6B2DE938">
            <w:pPr>
              <w:pStyle w:val="15"/>
              <w:spacing w:before="50" w:after="120"/>
              <w:rPr>
                <w:rFonts w:hint="eastAsia" w:ascii="宋体" w:hAnsi="宋体" w:cs="宋体"/>
                <w:b w:val="0"/>
                <w:bCs w:val="0"/>
                <w:kern w:val="2"/>
                <w:sz w:val="21"/>
                <w:highlight w:val="none"/>
                <w:lang w:eastAsia="zh-CN"/>
              </w:rPr>
            </w:pPr>
            <w:r>
              <w:rPr>
                <w:rFonts w:hint="eastAsia" w:ascii="宋体" w:hAnsi="宋体" w:cs="宋体"/>
                <w:b w:val="0"/>
                <w:bCs w:val="0"/>
                <w:kern w:val="2"/>
                <w:sz w:val="21"/>
                <w:highlight w:val="none"/>
                <w:lang w:eastAsia="zh-CN"/>
              </w:rPr>
              <w:t>广西壮族自治区桂林公路发展中心南片区2026年—2029年普通国省干线公路养护服务项目C段（阳朔公路养护中心）</w:t>
            </w:r>
          </w:p>
        </w:tc>
        <w:tc>
          <w:tcPr>
            <w:tcW w:w="434" w:type="dxa"/>
            <w:tcBorders>
              <w:top w:val="single" w:color="000000" w:sz="4" w:space="0"/>
              <w:left w:val="single" w:color="000000" w:sz="4" w:space="0"/>
              <w:bottom w:val="single" w:color="000000" w:sz="4" w:space="0"/>
              <w:right w:val="single" w:color="000000" w:sz="4" w:space="0"/>
            </w:tcBorders>
            <w:noWrap/>
            <w:vAlign w:val="center"/>
          </w:tcPr>
          <w:p w14:paraId="221A950B">
            <w:pPr>
              <w:tabs>
                <w:tab w:val="left" w:pos="180"/>
                <w:tab w:val="left" w:pos="1620"/>
              </w:tabs>
              <w:rPr>
                <w:rFonts w:ascii="宋体" w:hAnsi="宋体" w:cs="宋体"/>
                <w:b/>
                <w:bCs/>
                <w:szCs w:val="21"/>
                <w:highlight w:val="none"/>
              </w:rPr>
            </w:pPr>
            <w:r>
              <w:rPr>
                <w:rFonts w:hint="eastAsia" w:ascii="宋体" w:hAnsi="宋体" w:cs="宋体"/>
                <w:b/>
                <w:bCs/>
                <w:szCs w:val="21"/>
                <w:highlight w:val="none"/>
              </w:rPr>
              <w:t>1</w:t>
            </w:r>
          </w:p>
        </w:tc>
        <w:tc>
          <w:tcPr>
            <w:tcW w:w="406" w:type="dxa"/>
            <w:tcBorders>
              <w:top w:val="single" w:color="000000" w:sz="4" w:space="0"/>
              <w:left w:val="single" w:color="000000" w:sz="4" w:space="0"/>
              <w:bottom w:val="single" w:color="000000" w:sz="4" w:space="0"/>
              <w:right w:val="single" w:color="000000" w:sz="4" w:space="0"/>
            </w:tcBorders>
            <w:noWrap/>
            <w:vAlign w:val="center"/>
          </w:tcPr>
          <w:p w14:paraId="5842C877">
            <w:pPr>
              <w:tabs>
                <w:tab w:val="left" w:pos="180"/>
                <w:tab w:val="left" w:pos="1620"/>
              </w:tabs>
              <w:rPr>
                <w:rFonts w:ascii="宋体" w:hAnsi="宋体" w:cs="宋体"/>
                <w:b/>
                <w:bCs/>
                <w:szCs w:val="21"/>
                <w:highlight w:val="none"/>
              </w:rPr>
            </w:pPr>
            <w:r>
              <w:rPr>
                <w:rFonts w:hint="eastAsia" w:ascii="宋体" w:hAnsi="宋体" w:cs="宋体"/>
                <w:b/>
                <w:bCs/>
                <w:szCs w:val="21"/>
                <w:highlight w:val="none"/>
              </w:rPr>
              <w:t>项</w:t>
            </w:r>
          </w:p>
        </w:tc>
        <w:tc>
          <w:tcPr>
            <w:tcW w:w="1643" w:type="dxa"/>
            <w:tcBorders>
              <w:top w:val="single" w:color="000000" w:sz="4" w:space="0"/>
              <w:left w:val="single" w:color="000000" w:sz="4" w:space="0"/>
              <w:bottom w:val="single" w:color="000000" w:sz="4" w:space="0"/>
              <w:right w:val="single" w:color="000000" w:sz="4" w:space="0"/>
            </w:tcBorders>
            <w:noWrap/>
            <w:vAlign w:val="center"/>
          </w:tcPr>
          <w:p w14:paraId="241ACA62">
            <w:pPr>
              <w:spacing w:before="50" w:after="50"/>
              <w:rPr>
                <w:rFonts w:ascii="宋体" w:hAnsi="宋体" w:cs="宋体"/>
                <w:szCs w:val="21"/>
                <w:highlight w:val="none"/>
              </w:rPr>
            </w:pPr>
            <w:r>
              <w:rPr>
                <w:rFonts w:hint="eastAsia" w:ascii="宋体" w:hAnsi="宋体" w:cs="宋体"/>
                <w:szCs w:val="21"/>
                <w:highlight w:val="none"/>
              </w:rPr>
              <w:t>按照《采购文件》第二章</w:t>
            </w:r>
            <w:r>
              <w:rPr>
                <w:rFonts w:hAnsi="宋体" w:cs="宋体"/>
                <w:szCs w:val="21"/>
                <w:highlight w:val="none"/>
              </w:rPr>
              <w:t>“</w:t>
            </w:r>
            <w:r>
              <w:rPr>
                <w:rFonts w:hint="eastAsia" w:ascii="宋体" w:hAnsi="宋体" w:cs="宋体"/>
                <w:szCs w:val="21"/>
                <w:highlight w:val="none"/>
              </w:rPr>
              <w:t>采购需求</w:t>
            </w:r>
            <w:r>
              <w:rPr>
                <w:rFonts w:hAnsi="宋体" w:cs="宋体"/>
                <w:szCs w:val="21"/>
                <w:highlight w:val="none"/>
              </w:rPr>
              <w:t>”</w:t>
            </w:r>
            <w:r>
              <w:rPr>
                <w:rFonts w:ascii="宋体" w:hAnsi="宋体" w:cs="宋体"/>
                <w:szCs w:val="21"/>
                <w:highlight w:val="none"/>
              </w:rPr>
              <w:t>及《合同》等相关要求</w:t>
            </w:r>
            <w:r>
              <w:rPr>
                <w:rFonts w:hint="eastAsia" w:ascii="宋体" w:hAnsi="宋体" w:cs="宋体"/>
                <w:szCs w:val="21"/>
                <w:highlight w:val="none"/>
              </w:rPr>
              <w:t>完成本项目的服务工作</w:t>
            </w:r>
          </w:p>
        </w:tc>
        <w:tc>
          <w:tcPr>
            <w:tcW w:w="905" w:type="dxa"/>
            <w:tcBorders>
              <w:top w:val="single" w:color="000000" w:sz="4" w:space="0"/>
              <w:left w:val="single" w:color="000000" w:sz="4" w:space="0"/>
              <w:bottom w:val="single" w:color="000000" w:sz="4" w:space="0"/>
              <w:right w:val="single" w:color="000000" w:sz="4" w:space="0"/>
            </w:tcBorders>
            <w:noWrap/>
            <w:vAlign w:val="center"/>
          </w:tcPr>
          <w:p w14:paraId="70BB0103">
            <w:pPr>
              <w:spacing w:before="50" w:after="50" w:line="360" w:lineRule="auto"/>
              <w:ind w:firstLine="361"/>
              <w:jc w:val="center"/>
              <w:rPr>
                <w:rFonts w:ascii="宋体" w:hAnsi="宋体" w:cs="宋体"/>
                <w:sz w:val="24"/>
                <w:highlight w:val="none"/>
              </w:rPr>
            </w:pPr>
            <w:r>
              <w:rPr>
                <w:rFonts w:hint="eastAsia" w:ascii="宋体" w:hAnsi="宋体" w:cs="宋体"/>
                <w:sz w:val="24"/>
                <w:highlight w:val="none"/>
              </w:rPr>
              <w:t>3</w:t>
            </w:r>
          </w:p>
        </w:tc>
        <w:tc>
          <w:tcPr>
            <w:tcW w:w="4902" w:type="dxa"/>
            <w:tcBorders>
              <w:top w:val="single" w:color="000000" w:sz="4" w:space="0"/>
              <w:left w:val="single" w:color="000000" w:sz="4" w:space="0"/>
              <w:bottom w:val="single" w:color="000000" w:sz="4" w:space="0"/>
              <w:right w:val="single" w:color="000000" w:sz="4" w:space="0"/>
            </w:tcBorders>
            <w:noWrap/>
            <w:vAlign w:val="center"/>
          </w:tcPr>
          <w:p w14:paraId="50E11C23">
            <w:pPr>
              <w:numPr>
                <w:ilvl w:val="0"/>
                <w:numId w:val="16"/>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2026年5月-12月投标报价：大写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47ED109B">
            <w:pPr>
              <w:numPr>
                <w:ilvl w:val="0"/>
                <w:numId w:val="16"/>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2027年投标报价：大写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22379234">
            <w:pPr>
              <w:numPr>
                <w:ilvl w:val="0"/>
                <w:numId w:val="16"/>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2028年投标报价：大写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479B0787">
            <w:pPr>
              <w:numPr>
                <w:ilvl w:val="0"/>
                <w:numId w:val="16"/>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2029年1月-4月 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27A04953">
            <w:pPr>
              <w:spacing w:before="50" w:after="50" w:line="360" w:lineRule="auto"/>
              <w:ind w:left="1050" w:hanging="1050" w:hangingChars="500"/>
              <w:rPr>
                <w:rFonts w:ascii="宋体" w:hAnsi="宋体" w:cs="宋体"/>
                <w:kern w:val="0"/>
                <w:szCs w:val="21"/>
                <w:highlight w:val="none"/>
              </w:rPr>
            </w:pPr>
            <w:r>
              <w:rPr>
                <w:rFonts w:hint="eastAsia" w:ascii="宋体" w:hAnsi="宋体" w:cs="宋体"/>
                <w:kern w:val="0"/>
                <w:szCs w:val="21"/>
                <w:highlight w:val="none"/>
              </w:rPr>
              <w:t>3年度投标报价（①+②+③+</w:t>
            </w:r>
            <w:r>
              <w:rPr>
                <w:rFonts w:hint="eastAsia" w:cs="宋体"/>
                <w:szCs w:val="21"/>
                <w:highlight w:val="none"/>
              </w:rPr>
              <w:t>④</w:t>
            </w:r>
            <w:r>
              <w:rPr>
                <w:rFonts w:hint="eastAsia" w:ascii="宋体" w:hAnsi="宋体" w:cs="宋体"/>
                <w:kern w:val="0"/>
                <w:szCs w:val="21"/>
                <w:highlight w:val="none"/>
              </w:rPr>
              <w:t>）</w:t>
            </w:r>
          </w:p>
          <w:p w14:paraId="287A5B1F">
            <w:pPr>
              <w:spacing w:before="50" w:after="50" w:line="360" w:lineRule="auto"/>
              <w:ind w:left="1050" w:hanging="1050" w:hangingChars="500"/>
              <w:rPr>
                <w:rFonts w:ascii="宋体" w:hAnsi="宋体" w:cs="宋体"/>
                <w:kern w:val="0"/>
                <w:szCs w:val="21"/>
                <w:highlight w:val="none"/>
              </w:rPr>
            </w:pPr>
            <w:r>
              <w:rPr>
                <w:rFonts w:hint="eastAsia" w:ascii="宋体" w:hAnsi="宋体" w:cs="宋体"/>
                <w:kern w:val="0"/>
                <w:szCs w:val="21"/>
                <w:highlight w:val="none"/>
              </w:rPr>
              <w:t xml:space="preserve">大写 </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包含绩效清单和工程量清单</w:t>
            </w:r>
            <w:r>
              <w:rPr>
                <w:rFonts w:hint="eastAsia" w:ascii="宋体" w:hAnsi="宋体" w:eastAsia="宋体" w:cs="宋体"/>
                <w:kern w:val="0"/>
                <w:szCs w:val="21"/>
                <w:highlight w:val="none"/>
                <w:lang w:eastAsia="zh-CN"/>
              </w:rPr>
              <w:t>）</w:t>
            </w:r>
          </w:p>
        </w:tc>
      </w:tr>
      <w:tr w14:paraId="4855EF7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1916" w:hRule="atLeast"/>
        </w:trPr>
        <w:tc>
          <w:tcPr>
            <w:tcW w:w="545" w:type="dxa"/>
            <w:tcBorders>
              <w:top w:val="single" w:color="000000" w:sz="4" w:space="0"/>
              <w:left w:val="single" w:color="000000" w:sz="4" w:space="0"/>
              <w:bottom w:val="single" w:color="000000" w:sz="4" w:space="0"/>
              <w:right w:val="single" w:color="000000" w:sz="4" w:space="0"/>
            </w:tcBorders>
            <w:noWrap/>
            <w:vAlign w:val="center"/>
          </w:tcPr>
          <w:p w14:paraId="100236A2">
            <w:pPr>
              <w:spacing w:before="50" w:after="50" w:line="360" w:lineRule="auto"/>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4</w:t>
            </w:r>
          </w:p>
        </w:tc>
        <w:tc>
          <w:tcPr>
            <w:tcW w:w="1753" w:type="dxa"/>
            <w:tcBorders>
              <w:top w:val="single" w:color="000000" w:sz="4" w:space="0"/>
              <w:left w:val="single" w:color="000000" w:sz="4" w:space="0"/>
              <w:bottom w:val="single" w:color="000000" w:sz="4" w:space="0"/>
              <w:right w:val="single" w:color="000000" w:sz="4" w:space="0"/>
            </w:tcBorders>
            <w:noWrap/>
            <w:vAlign w:val="center"/>
          </w:tcPr>
          <w:p w14:paraId="0AE3F282">
            <w:pPr>
              <w:pStyle w:val="15"/>
              <w:spacing w:before="50" w:after="120"/>
              <w:rPr>
                <w:rFonts w:hint="default" w:ascii="宋体" w:hAnsi="宋体" w:cs="宋体"/>
                <w:b w:val="0"/>
                <w:bCs w:val="0"/>
                <w:kern w:val="2"/>
                <w:sz w:val="21"/>
                <w:highlight w:val="none"/>
                <w:lang w:val="en-US" w:eastAsia="zh-CN"/>
              </w:rPr>
            </w:pPr>
            <w:r>
              <w:rPr>
                <w:rFonts w:hint="eastAsia" w:ascii="宋体" w:hAnsi="宋体" w:cs="宋体"/>
                <w:b w:val="0"/>
                <w:bCs w:val="0"/>
                <w:kern w:val="2"/>
                <w:sz w:val="21"/>
                <w:highlight w:val="none"/>
                <w:lang w:eastAsia="zh-CN"/>
              </w:rPr>
              <w:t>广西壮族自治区桂林公路发展中心南片区2026年—2029年普通国省干线公路养护服务项目</w:t>
            </w:r>
            <w:r>
              <w:rPr>
                <w:rFonts w:hint="eastAsia" w:ascii="宋体" w:hAnsi="宋体" w:cs="宋体"/>
                <w:b w:val="0"/>
                <w:bCs w:val="0"/>
                <w:kern w:val="2"/>
                <w:sz w:val="21"/>
                <w:highlight w:val="none"/>
                <w:lang w:val="en-US" w:eastAsia="zh-CN"/>
              </w:rPr>
              <w:t>D</w:t>
            </w:r>
            <w:r>
              <w:rPr>
                <w:rFonts w:hint="eastAsia" w:ascii="宋体" w:hAnsi="宋体" w:cs="宋体"/>
                <w:b w:val="0"/>
                <w:bCs w:val="0"/>
                <w:kern w:val="2"/>
                <w:sz w:val="21"/>
                <w:highlight w:val="none"/>
                <w:lang w:eastAsia="zh-CN"/>
              </w:rPr>
              <w:t>段（灌阳公路养护中心）</w:t>
            </w:r>
          </w:p>
        </w:tc>
        <w:tc>
          <w:tcPr>
            <w:tcW w:w="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DFDE3">
            <w:pPr>
              <w:tabs>
                <w:tab w:val="left" w:pos="180"/>
                <w:tab w:val="left" w:pos="1620"/>
              </w:tabs>
              <w:rPr>
                <w:rFonts w:hint="eastAsia" w:ascii="宋体" w:hAnsi="宋体" w:eastAsia="Arial" w:cs="宋体"/>
                <w:b/>
                <w:bCs/>
                <w:snapToGrid w:val="0"/>
                <w:color w:val="000000"/>
                <w:kern w:val="0"/>
                <w:sz w:val="21"/>
                <w:szCs w:val="21"/>
                <w:highlight w:val="none"/>
                <w:lang w:val="en-US" w:eastAsia="en-US" w:bidi="ar-SA"/>
              </w:rPr>
            </w:pPr>
            <w:r>
              <w:rPr>
                <w:rFonts w:hint="eastAsia" w:ascii="宋体" w:hAnsi="宋体" w:cs="宋体"/>
                <w:b/>
                <w:bCs/>
                <w:szCs w:val="21"/>
                <w:highlight w:val="none"/>
              </w:rPr>
              <w:t>1</w:t>
            </w:r>
          </w:p>
        </w:tc>
        <w:tc>
          <w:tcPr>
            <w:tcW w:w="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540FB">
            <w:pPr>
              <w:tabs>
                <w:tab w:val="left" w:pos="180"/>
                <w:tab w:val="left" w:pos="1620"/>
              </w:tabs>
              <w:rPr>
                <w:rFonts w:hint="eastAsia" w:ascii="宋体" w:hAnsi="宋体" w:eastAsia="Arial" w:cs="宋体"/>
                <w:b/>
                <w:bCs/>
                <w:snapToGrid w:val="0"/>
                <w:color w:val="000000"/>
                <w:kern w:val="0"/>
                <w:sz w:val="21"/>
                <w:szCs w:val="21"/>
                <w:highlight w:val="none"/>
                <w:lang w:val="en-US" w:eastAsia="en-US" w:bidi="ar-SA"/>
              </w:rPr>
            </w:pPr>
            <w:r>
              <w:rPr>
                <w:rFonts w:hint="eastAsia" w:ascii="宋体" w:hAnsi="宋体" w:cs="宋体"/>
                <w:b/>
                <w:bCs/>
                <w:szCs w:val="21"/>
                <w:highlight w:val="none"/>
              </w:rPr>
              <w:t>项</w:t>
            </w:r>
          </w:p>
        </w:tc>
        <w:tc>
          <w:tcPr>
            <w:tcW w:w="1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ED75B">
            <w:pPr>
              <w:spacing w:before="50" w:after="50"/>
              <w:rPr>
                <w:rFonts w:hint="eastAsia" w:ascii="宋体" w:hAnsi="宋体" w:eastAsia="Arial" w:cs="宋体"/>
                <w:snapToGrid w:val="0"/>
                <w:color w:val="000000"/>
                <w:kern w:val="0"/>
                <w:sz w:val="21"/>
                <w:szCs w:val="21"/>
                <w:highlight w:val="none"/>
                <w:lang w:val="en-US" w:eastAsia="en-US" w:bidi="ar-SA"/>
              </w:rPr>
            </w:pPr>
            <w:r>
              <w:rPr>
                <w:rFonts w:hint="eastAsia" w:ascii="宋体" w:hAnsi="宋体" w:cs="宋体"/>
                <w:szCs w:val="21"/>
                <w:highlight w:val="none"/>
              </w:rPr>
              <w:t>按照《采购文件》第二章</w:t>
            </w:r>
            <w:r>
              <w:rPr>
                <w:rFonts w:hAnsi="宋体" w:cs="宋体"/>
                <w:szCs w:val="21"/>
                <w:highlight w:val="none"/>
              </w:rPr>
              <w:t>“</w:t>
            </w:r>
            <w:r>
              <w:rPr>
                <w:rFonts w:hint="eastAsia" w:ascii="宋体" w:hAnsi="宋体" w:cs="宋体"/>
                <w:szCs w:val="21"/>
                <w:highlight w:val="none"/>
              </w:rPr>
              <w:t>采购需求</w:t>
            </w:r>
            <w:r>
              <w:rPr>
                <w:rFonts w:hAnsi="宋体" w:cs="宋体"/>
                <w:szCs w:val="21"/>
                <w:highlight w:val="none"/>
              </w:rPr>
              <w:t>”</w:t>
            </w:r>
            <w:r>
              <w:rPr>
                <w:rFonts w:ascii="宋体" w:hAnsi="宋体" w:cs="宋体"/>
                <w:szCs w:val="21"/>
                <w:highlight w:val="none"/>
              </w:rPr>
              <w:t>及《合同》等相关要求</w:t>
            </w:r>
            <w:r>
              <w:rPr>
                <w:rFonts w:hint="eastAsia" w:ascii="宋体" w:hAnsi="宋体" w:cs="宋体"/>
                <w:szCs w:val="21"/>
                <w:highlight w:val="none"/>
              </w:rPr>
              <w:t>完成本项目的服务工作</w:t>
            </w: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8979">
            <w:pPr>
              <w:spacing w:before="50" w:after="50" w:line="360" w:lineRule="auto"/>
              <w:ind w:firstLine="361" w:firstLineChars="0"/>
              <w:jc w:val="center"/>
              <w:rPr>
                <w:rFonts w:hint="eastAsia" w:ascii="宋体" w:hAnsi="宋体" w:eastAsia="Arial" w:cs="宋体"/>
                <w:snapToGrid w:val="0"/>
                <w:color w:val="000000"/>
                <w:kern w:val="0"/>
                <w:sz w:val="24"/>
                <w:szCs w:val="21"/>
                <w:highlight w:val="none"/>
                <w:lang w:val="en-US" w:eastAsia="en-US" w:bidi="ar-SA"/>
              </w:rPr>
            </w:pPr>
            <w:r>
              <w:rPr>
                <w:rFonts w:hint="eastAsia" w:ascii="宋体" w:hAnsi="宋体" w:cs="宋体"/>
                <w:sz w:val="24"/>
                <w:highlight w:val="none"/>
              </w:rPr>
              <w:t>3</w:t>
            </w:r>
          </w:p>
        </w:tc>
        <w:tc>
          <w:tcPr>
            <w:tcW w:w="4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AAF9">
            <w:pPr>
              <w:numPr>
                <w:ilvl w:val="0"/>
                <w:numId w:val="17"/>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2026年5月-12月投标报价：大写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1AC5586A">
            <w:pPr>
              <w:numPr>
                <w:ilvl w:val="0"/>
                <w:numId w:val="17"/>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2027年投标报价：大写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20388FAA">
            <w:pPr>
              <w:numPr>
                <w:ilvl w:val="0"/>
                <w:numId w:val="17"/>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2028年投标报价：大写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370E91C6">
            <w:pPr>
              <w:numPr>
                <w:ilvl w:val="0"/>
                <w:numId w:val="17"/>
              </w:numPr>
              <w:spacing w:before="50" w:after="50" w:line="360" w:lineRule="auto"/>
              <w:rPr>
                <w:rFonts w:ascii="宋体" w:hAnsi="宋体" w:cs="宋体"/>
                <w:kern w:val="0"/>
                <w:szCs w:val="21"/>
                <w:highlight w:val="none"/>
              </w:rPr>
            </w:pPr>
            <w:r>
              <w:rPr>
                <w:rFonts w:hint="eastAsia" w:ascii="宋体" w:hAnsi="宋体" w:cs="宋体"/>
                <w:kern w:val="0"/>
                <w:szCs w:val="21"/>
                <w:highlight w:val="none"/>
              </w:rPr>
              <w:t>2029年1月-4月 投标报价：大写</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p>
          <w:p w14:paraId="17181F3E">
            <w:pPr>
              <w:spacing w:before="50" w:after="50" w:line="360" w:lineRule="auto"/>
              <w:ind w:left="1050" w:hanging="1050" w:hangingChars="500"/>
              <w:rPr>
                <w:rFonts w:ascii="宋体" w:hAnsi="宋体" w:cs="宋体"/>
                <w:kern w:val="0"/>
                <w:szCs w:val="21"/>
                <w:highlight w:val="none"/>
              </w:rPr>
            </w:pPr>
            <w:r>
              <w:rPr>
                <w:rFonts w:hint="eastAsia" w:ascii="宋体" w:hAnsi="宋体" w:cs="宋体"/>
                <w:kern w:val="0"/>
                <w:szCs w:val="21"/>
                <w:highlight w:val="none"/>
              </w:rPr>
              <w:t>3年度投标报价（①+②+③+</w:t>
            </w:r>
            <w:r>
              <w:rPr>
                <w:rFonts w:hint="eastAsia" w:cs="宋体"/>
                <w:szCs w:val="21"/>
                <w:highlight w:val="none"/>
              </w:rPr>
              <w:t>④</w:t>
            </w:r>
            <w:r>
              <w:rPr>
                <w:rFonts w:hint="eastAsia" w:ascii="宋体" w:hAnsi="宋体" w:cs="宋体"/>
                <w:kern w:val="0"/>
                <w:szCs w:val="21"/>
                <w:highlight w:val="none"/>
              </w:rPr>
              <w:t>）</w:t>
            </w:r>
          </w:p>
          <w:p w14:paraId="61F362B6">
            <w:pPr>
              <w:spacing w:before="50" w:after="50" w:line="360" w:lineRule="auto"/>
              <w:ind w:left="1050" w:leftChars="0" w:hanging="1050" w:hangingChars="500"/>
              <w:rPr>
                <w:rFonts w:hint="eastAsia" w:ascii="宋体" w:hAnsi="宋体" w:eastAsia="Arial" w:cs="宋体"/>
                <w:snapToGrid w:val="0"/>
                <w:color w:val="000000"/>
                <w:kern w:val="0"/>
                <w:sz w:val="21"/>
                <w:szCs w:val="21"/>
                <w:highlight w:val="none"/>
                <w:lang w:val="en-US" w:eastAsia="en-US" w:bidi="ar-SA"/>
              </w:rPr>
            </w:pPr>
            <w:r>
              <w:rPr>
                <w:rFonts w:hint="eastAsia" w:ascii="宋体" w:hAnsi="宋体" w:cs="宋体"/>
                <w:kern w:val="0"/>
                <w:szCs w:val="21"/>
                <w:highlight w:val="none"/>
              </w:rPr>
              <w:t xml:space="preserve">大写 </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包含绩效清单和工程量清单</w:t>
            </w:r>
            <w:r>
              <w:rPr>
                <w:rFonts w:hint="eastAsia" w:ascii="宋体" w:hAnsi="宋体" w:eastAsia="宋体" w:cs="宋体"/>
                <w:kern w:val="0"/>
                <w:szCs w:val="21"/>
                <w:highlight w:val="none"/>
                <w:lang w:eastAsia="zh-CN"/>
              </w:rPr>
              <w:t>）</w:t>
            </w:r>
          </w:p>
        </w:tc>
      </w:tr>
      <w:tr w14:paraId="07F8C80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1916" w:hRule="atLeast"/>
        </w:trPr>
        <w:tc>
          <w:tcPr>
            <w:tcW w:w="5686" w:type="dxa"/>
            <w:gridSpan w:val="6"/>
            <w:tcBorders>
              <w:top w:val="single" w:color="000000" w:sz="4" w:space="0"/>
              <w:left w:val="single" w:color="000000" w:sz="4" w:space="0"/>
              <w:bottom w:val="single" w:color="000000" w:sz="4" w:space="0"/>
              <w:right w:val="single" w:color="000000" w:sz="4" w:space="0"/>
            </w:tcBorders>
            <w:noWrap/>
            <w:vAlign w:val="center"/>
          </w:tcPr>
          <w:p w14:paraId="1168C1E3">
            <w:pPr>
              <w:spacing w:before="50" w:after="50" w:line="360" w:lineRule="auto"/>
              <w:ind w:firstLine="361"/>
              <w:jc w:val="center"/>
              <w:rPr>
                <w:rFonts w:hint="default" w:ascii="宋体" w:hAnsi="宋体" w:eastAsia="宋体" w:cs="宋体"/>
                <w:sz w:val="24"/>
                <w:highlight w:val="none"/>
                <w:lang w:val="en-US" w:eastAsia="zh-CN"/>
              </w:rPr>
            </w:pPr>
            <w:r>
              <w:rPr>
                <w:rFonts w:hint="default" w:ascii="宋体" w:hAnsi="宋体" w:eastAsia="宋体" w:cs="宋体"/>
                <w:szCs w:val="21"/>
                <w:highlight w:val="none"/>
                <w:lang w:val="en-US" w:eastAsia="zh-CN"/>
              </w:rPr>
              <w:t>广西壮族自治区桂林公路发展中心南片区2026年—2029年普通国省干线公路养护服务项目</w:t>
            </w:r>
          </w:p>
        </w:tc>
        <w:tc>
          <w:tcPr>
            <w:tcW w:w="4902" w:type="dxa"/>
            <w:tcBorders>
              <w:top w:val="single" w:color="000000" w:sz="4" w:space="0"/>
              <w:left w:val="single" w:color="000000" w:sz="4" w:space="0"/>
              <w:bottom w:val="single" w:color="000000" w:sz="4" w:space="0"/>
              <w:right w:val="single" w:color="000000" w:sz="4" w:space="0"/>
            </w:tcBorders>
            <w:noWrap/>
            <w:vAlign w:val="center"/>
          </w:tcPr>
          <w:p w14:paraId="04796623">
            <w:pPr>
              <w:spacing w:before="50" w:after="50" w:line="360" w:lineRule="auto"/>
              <w:jc w:val="left"/>
              <w:rPr>
                <w:rFonts w:ascii="宋体" w:hAnsi="宋体" w:cs="宋体"/>
                <w:kern w:val="0"/>
                <w:szCs w:val="21"/>
                <w:highlight w:val="none"/>
              </w:rPr>
            </w:pPr>
            <w:r>
              <w:rPr>
                <w:rFonts w:hint="eastAsia" w:ascii="宋体" w:hAnsi="宋体" w:cs="宋体"/>
                <w:kern w:val="0"/>
                <w:szCs w:val="21"/>
                <w:highlight w:val="none"/>
              </w:rPr>
              <w:t>项目总报价：A段+B段+C段</w:t>
            </w:r>
            <w:r>
              <w:rPr>
                <w:rFonts w:hint="eastAsia" w:ascii="宋体" w:hAnsi="宋体" w:eastAsia="宋体" w:cs="宋体"/>
                <w:kern w:val="0"/>
                <w:szCs w:val="21"/>
                <w:highlight w:val="none"/>
                <w:lang w:val="en-US" w:eastAsia="zh-CN"/>
              </w:rPr>
              <w:t>+D段</w:t>
            </w:r>
            <w:r>
              <w:rPr>
                <w:rFonts w:hint="eastAsia" w:ascii="宋体" w:hAnsi="宋体" w:cs="宋体"/>
                <w:kern w:val="0"/>
                <w:szCs w:val="21"/>
                <w:highlight w:val="none"/>
              </w:rPr>
              <w:t xml:space="preserve">3年报价合计大写 </w:t>
            </w:r>
            <w:r>
              <w:rPr>
                <w:rFonts w:hint="eastAsia" w:ascii="宋体" w:hAnsi="宋体" w:cs="宋体"/>
                <w:kern w:val="0"/>
                <w:szCs w:val="21"/>
                <w:highlight w:val="none"/>
                <w:u w:val="single"/>
              </w:rPr>
              <w:t xml:space="preserve">             （￥       </w:t>
            </w:r>
            <w:r>
              <w:rPr>
                <w:rFonts w:hint="eastAsia" w:ascii="宋体" w:hAnsi="宋体" w:cs="宋体"/>
                <w:kern w:val="0"/>
                <w:szCs w:val="21"/>
                <w:highlight w:val="none"/>
              </w:rPr>
              <w:t>）</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lang w:val="en-US" w:eastAsia="zh-CN"/>
              </w:rPr>
              <w:t>包含绩效清单和工程量清单</w:t>
            </w:r>
            <w:r>
              <w:rPr>
                <w:rFonts w:hint="eastAsia" w:ascii="宋体" w:hAnsi="宋体" w:eastAsia="宋体" w:cs="宋体"/>
                <w:kern w:val="0"/>
                <w:szCs w:val="21"/>
                <w:highlight w:val="none"/>
                <w:lang w:eastAsia="zh-CN"/>
              </w:rPr>
              <w:t>）</w:t>
            </w:r>
          </w:p>
        </w:tc>
      </w:tr>
    </w:tbl>
    <w:p w14:paraId="4A40BDCF">
      <w:pPr>
        <w:tabs>
          <w:tab w:val="left" w:pos="1305"/>
        </w:tabs>
        <w:spacing w:line="360" w:lineRule="auto"/>
        <w:ind w:firstLine="420" w:firstLineChars="200"/>
        <w:rPr>
          <w:rFonts w:ascii="宋体" w:hAnsi="宋体" w:cs="宋体"/>
          <w:bCs/>
          <w:szCs w:val="21"/>
        </w:rPr>
      </w:pPr>
      <w:r>
        <w:rPr>
          <w:rFonts w:hint="eastAsia" w:ascii="宋体" w:hAnsi="宋体" w:cs="宋体"/>
          <w:bCs/>
          <w:szCs w:val="21"/>
          <w:highlight w:val="none"/>
        </w:rPr>
        <w:t>注</w:t>
      </w:r>
      <w:r>
        <w:rPr>
          <w:rFonts w:hint="eastAsia" w:ascii="宋体" w:hAnsi="宋体" w:cs="宋体"/>
          <w:b/>
          <w:bCs/>
          <w:szCs w:val="21"/>
          <w:highlight w:val="none"/>
        </w:rPr>
        <w:t>：</w:t>
      </w:r>
      <w:r>
        <w:rPr>
          <w:rFonts w:hint="eastAsia" w:ascii="宋体" w:hAnsi="宋体" w:cs="宋体"/>
          <w:bCs/>
          <w:szCs w:val="21"/>
          <w:highlight w:val="none"/>
        </w:rPr>
        <w:t>1.各投标人</w:t>
      </w:r>
      <w:r>
        <w:rPr>
          <w:rFonts w:hint="eastAsia" w:ascii="宋体" w:hAnsi="宋体" w:cs="宋体"/>
          <w:szCs w:val="21"/>
          <w:highlight w:val="none"/>
        </w:rPr>
        <w:t>必须就“采购需求”中所投分标的所有内容作完整唯一报价，否则，其投</w:t>
      </w:r>
      <w:r>
        <w:rPr>
          <w:rFonts w:hint="eastAsia" w:ascii="宋体" w:hAnsi="宋体" w:cs="宋体"/>
          <w:szCs w:val="21"/>
        </w:rPr>
        <w:t>标将被拒绝。投标文件只允许有一个报价。</w:t>
      </w:r>
    </w:p>
    <w:p w14:paraId="59F767D8">
      <w:pPr>
        <w:spacing w:line="360" w:lineRule="auto"/>
        <w:ind w:firstLine="420" w:firstLineChars="200"/>
        <w:rPr>
          <w:rFonts w:ascii="宋体" w:hAnsi="宋体" w:cs="宋体"/>
          <w:b/>
          <w:bCs/>
          <w:sz w:val="32"/>
          <w:szCs w:val="32"/>
        </w:rPr>
      </w:pPr>
      <w:r>
        <w:rPr>
          <w:rFonts w:hint="eastAsia" w:ascii="宋体" w:hAnsi="宋体" w:cs="宋体"/>
          <w:szCs w:val="21"/>
        </w:rPr>
        <w:t>2.开标一览表</w:t>
      </w:r>
      <w:r>
        <w:rPr>
          <w:rFonts w:hint="eastAsia" w:ascii="宋体" w:hAnsi="宋体" w:cs="宋体"/>
        </w:rPr>
        <w:t>须由法定代表人负责人、自然人或相应的委托代理人签字或个人CA签章（属自然人的应在签名处加盖食指指印或个人CA签章）并加盖投标人CA签章（自然人除外）。</w:t>
      </w:r>
      <w:r>
        <w:rPr>
          <w:rFonts w:hint="eastAsia" w:ascii="宋体" w:hAnsi="宋体" w:cs="宋体"/>
          <w:b/>
        </w:rPr>
        <w:t>当本表由多页构成时，需逐页加盖投标人公章（属自然人的须逐页签字或个人CA签章）</w:t>
      </w:r>
    </w:p>
    <w:p w14:paraId="77CFF357">
      <w:pPr>
        <w:wordWrap w:val="0"/>
        <w:spacing w:before="120" w:line="360" w:lineRule="auto"/>
        <w:ind w:right="480" w:firstLine="3570" w:firstLineChars="1700"/>
        <w:rPr>
          <w:rFonts w:ascii="宋体" w:hAnsi="宋体" w:cs="宋体"/>
          <w:szCs w:val="21"/>
        </w:rPr>
      </w:pPr>
      <w:r>
        <w:rPr>
          <w:rFonts w:hint="eastAsia" w:ascii="宋体" w:hAnsi="宋体" w:cs="宋体"/>
          <w:szCs w:val="21"/>
        </w:rPr>
        <w:t>投标人[公章(CA签章)、自然人除外]：</w:t>
      </w:r>
    </w:p>
    <w:p w14:paraId="7DDC988F">
      <w:pPr>
        <w:wordWrap w:val="0"/>
        <w:spacing w:before="120" w:line="360" w:lineRule="auto"/>
        <w:ind w:right="480" w:firstLine="452"/>
        <w:jc w:val="right"/>
        <w:rPr>
          <w:rFonts w:ascii="宋体" w:hAnsi="宋体" w:cs="宋体"/>
          <w:szCs w:val="21"/>
        </w:rPr>
      </w:pPr>
      <w:r>
        <w:rPr>
          <w:rFonts w:hint="eastAsia" w:ascii="宋体" w:hAnsi="宋体" w:cs="宋体"/>
          <w:szCs w:val="21"/>
        </w:rPr>
        <w:t xml:space="preserve">法定代表人（负责人）或授权代理人签字（或个人CA签章）： </w:t>
      </w:r>
    </w:p>
    <w:p w14:paraId="7B35A20B">
      <w:pPr>
        <w:spacing w:line="440" w:lineRule="exact"/>
        <w:ind w:firstLine="3570" w:firstLineChars="1700"/>
        <w:contextualSpacing/>
        <w:jc w:val="right"/>
        <w:rPr>
          <w:rFonts w:ascii="仿宋_GB2312" w:hAnsi="仿宋_GB2312" w:eastAsia="仿宋_GB2312" w:cs="仿宋_GB2312"/>
          <w:b/>
          <w:szCs w:val="21"/>
        </w:rPr>
      </w:pPr>
      <w:r>
        <w:rPr>
          <w:rFonts w:hint="eastAsia" w:ascii="宋体" w:hAnsi="宋体" w:cs="仿宋_GB2312"/>
          <w:szCs w:val="21"/>
        </w:rPr>
        <w:t>日期：   年   月   日</w:t>
      </w:r>
    </w:p>
    <w:p w14:paraId="3051FFA8">
      <w:pPr>
        <w:ind w:firstLine="452"/>
      </w:pPr>
    </w:p>
    <w:p w14:paraId="7C92BE65">
      <w:pPr>
        <w:numPr>
          <w:ilvl w:val="0"/>
          <w:numId w:val="0"/>
        </w:numPr>
        <w:jc w:val="left"/>
        <w:rPr>
          <w:rFonts w:ascii="宋体" w:hAnsi="宋体" w:cs="宋体"/>
          <w:b/>
          <w:sz w:val="24"/>
        </w:rPr>
      </w:pPr>
      <w:r>
        <w:rPr>
          <w:rFonts w:hint="eastAsia" w:ascii="宋体" w:hAnsi="宋体" w:cs="宋体"/>
          <w:b/>
          <w:sz w:val="24"/>
        </w:rPr>
        <w:br w:type="page"/>
      </w:r>
    </w:p>
    <w:p w14:paraId="491677B7">
      <w:pPr>
        <w:numPr>
          <w:ilvl w:val="0"/>
          <w:numId w:val="0"/>
        </w:numPr>
        <w:spacing w:before="120" w:after="50"/>
        <w:jc w:val="left"/>
        <w:rPr>
          <w:rFonts w:ascii="宋体" w:hAnsi="宋体" w:cs="宋体"/>
          <w:b/>
          <w:sz w:val="24"/>
        </w:rPr>
      </w:pPr>
      <w:r>
        <w:rPr>
          <w:rFonts w:hint="eastAsia" w:ascii="宋体" w:hAnsi="宋体" w:cs="宋体"/>
          <w:b/>
          <w:sz w:val="24"/>
          <w:lang w:val="en-US" w:eastAsia="zh-CN"/>
        </w:rPr>
        <w:t>2.2</w:t>
      </w:r>
      <w:r>
        <w:rPr>
          <w:rFonts w:hint="eastAsia" w:ascii="宋体" w:hAnsi="宋体" w:cs="宋体"/>
          <w:b/>
          <w:sz w:val="24"/>
        </w:rPr>
        <w:t>已标价工程量清单</w:t>
      </w:r>
    </w:p>
    <w:p w14:paraId="5C0AEA00">
      <w:pPr>
        <w:widowControl/>
        <w:jc w:val="left"/>
        <w:rPr>
          <w:highlight w:val="none"/>
        </w:rPr>
      </w:pPr>
      <w:r>
        <w:rPr>
          <w:rFonts w:hint="eastAsia" w:ascii="宋体" w:hAnsi="宋体" w:cs="宋体"/>
          <w:b/>
          <w:bCs/>
          <w:kern w:val="0"/>
          <w:sz w:val="24"/>
        </w:rPr>
        <w:t>根据</w:t>
      </w:r>
      <w:r>
        <w:rPr>
          <w:rFonts w:hint="eastAsia" w:ascii="宋体" w:hAnsi="宋体" w:cs="宋体"/>
          <w:b/>
          <w:bCs/>
          <w:kern w:val="0"/>
          <w:sz w:val="24"/>
          <w:highlight w:val="none"/>
        </w:rPr>
        <w:t>提供的</w:t>
      </w:r>
      <w:r>
        <w:rPr>
          <w:rFonts w:hint="eastAsia" w:ascii="宋体" w:hAnsi="宋体" w:cs="宋体"/>
          <w:b/>
          <w:bCs/>
          <w:kern w:val="0"/>
          <w:sz w:val="24"/>
          <w:szCs w:val="24"/>
          <w:highlight w:val="none"/>
        </w:rPr>
        <w:t>养护服务绩效清单和</w:t>
      </w:r>
      <w:r>
        <w:rPr>
          <w:rFonts w:hint="eastAsia" w:ascii="宋体" w:hAnsi="宋体" w:cs="宋体"/>
          <w:b/>
          <w:bCs/>
          <w:kern w:val="0"/>
          <w:sz w:val="24"/>
          <w:highlight w:val="none"/>
        </w:rPr>
        <w:t>工程量清单（政府采购服务类报价清单）进行报价</w:t>
      </w:r>
    </w:p>
    <w:p w14:paraId="1D62AE44">
      <w:pPr>
        <w:widowControl/>
        <w:jc w:val="left"/>
        <w:rPr>
          <w:rFonts w:ascii="宋体" w:hAnsi="宋体" w:cs="宋体"/>
          <w:b/>
          <w:bCs/>
          <w:kern w:val="0"/>
          <w:sz w:val="24"/>
          <w:highlight w:val="none"/>
        </w:rPr>
      </w:pPr>
    </w:p>
    <w:p w14:paraId="7E795523">
      <w:pPr>
        <w:widowControl/>
        <w:jc w:val="left"/>
      </w:pPr>
      <w:r>
        <w:rPr>
          <w:rFonts w:hint="eastAsia" w:ascii="宋体" w:hAnsi="宋体" w:cs="宋体"/>
          <w:b/>
          <w:bCs/>
          <w:kern w:val="0"/>
          <w:sz w:val="24"/>
        </w:rPr>
        <w:t>备注：工程量清单报价表由多页构成，需逐页加盖供应商</w:t>
      </w:r>
      <w:r>
        <w:rPr>
          <w:b/>
          <w:bCs/>
          <w:kern w:val="0"/>
          <w:sz w:val="24"/>
        </w:rPr>
        <w:t>CA</w:t>
      </w:r>
      <w:r>
        <w:rPr>
          <w:rFonts w:hint="eastAsia" w:ascii="宋体" w:hAnsi="宋体" w:cs="宋体"/>
          <w:b/>
          <w:bCs/>
          <w:kern w:val="0"/>
          <w:sz w:val="24"/>
        </w:rPr>
        <w:t>章（</w:t>
      </w:r>
      <w:r>
        <w:rPr>
          <w:b/>
          <w:bCs/>
          <w:kern w:val="0"/>
          <w:sz w:val="24"/>
        </w:rPr>
        <w:t>CA</w:t>
      </w:r>
      <w:r>
        <w:rPr>
          <w:rFonts w:hint="eastAsia" w:ascii="宋体" w:hAnsi="宋体" w:cs="宋体"/>
          <w:b/>
          <w:bCs/>
          <w:kern w:val="0"/>
          <w:sz w:val="24"/>
        </w:rPr>
        <w:t xml:space="preserve">签章）（或个人 </w:t>
      </w:r>
      <w:r>
        <w:rPr>
          <w:b/>
          <w:bCs/>
          <w:kern w:val="0"/>
          <w:sz w:val="24"/>
        </w:rPr>
        <w:t xml:space="preserve">CA </w:t>
      </w:r>
      <w:r>
        <w:rPr>
          <w:rFonts w:hint="eastAsia" w:ascii="宋体" w:hAnsi="宋体" w:cs="宋体"/>
          <w:b/>
          <w:bCs/>
          <w:kern w:val="0"/>
          <w:sz w:val="24"/>
        </w:rPr>
        <w:t>签章）。</w:t>
      </w:r>
    </w:p>
    <w:p w14:paraId="6F03286A">
      <w:pPr>
        <w:numPr>
          <w:ilvl w:val="0"/>
          <w:numId w:val="0"/>
        </w:numPr>
        <w:spacing w:before="120" w:after="50"/>
        <w:jc w:val="left"/>
        <w:rPr>
          <w:rFonts w:ascii="宋体" w:hAnsi="宋体" w:cs="宋体"/>
          <w:b/>
          <w:sz w:val="24"/>
        </w:rPr>
      </w:pPr>
    </w:p>
    <w:p w14:paraId="1E769E44">
      <w:pPr>
        <w:numPr>
          <w:ilvl w:val="0"/>
          <w:numId w:val="0"/>
        </w:numPr>
        <w:spacing w:before="120" w:after="50"/>
        <w:jc w:val="left"/>
        <w:rPr>
          <w:rFonts w:hint="default" w:ascii="宋体" w:hAnsi="宋体" w:cs="宋体"/>
          <w:b/>
          <w:bCs w:val="0"/>
          <w:sz w:val="24"/>
          <w:lang w:val="en-US"/>
        </w:rPr>
      </w:pPr>
    </w:p>
    <w:p w14:paraId="1DC0B000">
      <w:pPr>
        <w:numPr>
          <w:ilvl w:val="0"/>
          <w:numId w:val="0"/>
        </w:numPr>
        <w:spacing w:before="120" w:after="50"/>
        <w:jc w:val="left"/>
        <w:rPr>
          <w:rFonts w:hint="default" w:ascii="宋体" w:hAnsi="宋体" w:cs="宋体"/>
          <w:b/>
          <w:bCs w:val="0"/>
          <w:sz w:val="24"/>
          <w:lang w:val="en-US"/>
        </w:rPr>
      </w:pPr>
    </w:p>
    <w:p w14:paraId="194D0FDE">
      <w:pPr>
        <w:numPr>
          <w:ilvl w:val="0"/>
          <w:numId w:val="0"/>
        </w:numPr>
        <w:spacing w:before="120" w:after="50"/>
        <w:jc w:val="left"/>
        <w:rPr>
          <w:rFonts w:hint="default" w:ascii="宋体" w:hAnsi="宋体" w:cs="宋体"/>
          <w:b/>
          <w:bCs w:val="0"/>
          <w:sz w:val="24"/>
          <w:lang w:val="en-US"/>
        </w:rPr>
      </w:pPr>
    </w:p>
    <w:p w14:paraId="31966A1C">
      <w:pPr>
        <w:numPr>
          <w:ilvl w:val="0"/>
          <w:numId w:val="0"/>
        </w:numPr>
        <w:spacing w:before="120" w:after="50"/>
        <w:jc w:val="left"/>
        <w:rPr>
          <w:rFonts w:hint="default" w:ascii="宋体" w:hAnsi="宋体" w:cs="宋体"/>
          <w:b/>
          <w:bCs w:val="0"/>
          <w:sz w:val="24"/>
          <w:lang w:val="en-US"/>
        </w:rPr>
      </w:pPr>
    </w:p>
    <w:p w14:paraId="2CD13BE6">
      <w:pPr>
        <w:numPr>
          <w:ilvl w:val="0"/>
          <w:numId w:val="0"/>
        </w:numPr>
        <w:spacing w:before="120" w:after="50"/>
        <w:jc w:val="left"/>
        <w:rPr>
          <w:rFonts w:hint="default" w:ascii="宋体" w:hAnsi="宋体" w:cs="宋体"/>
          <w:b/>
          <w:bCs w:val="0"/>
          <w:sz w:val="24"/>
          <w:lang w:val="en-US"/>
        </w:rPr>
      </w:pPr>
    </w:p>
    <w:p w14:paraId="66D3AF7E">
      <w:pPr>
        <w:numPr>
          <w:ilvl w:val="0"/>
          <w:numId w:val="0"/>
        </w:numPr>
        <w:spacing w:before="120" w:after="50"/>
        <w:jc w:val="left"/>
        <w:rPr>
          <w:rFonts w:hint="default" w:ascii="宋体" w:hAnsi="宋体" w:cs="宋体"/>
          <w:b/>
          <w:bCs w:val="0"/>
          <w:sz w:val="24"/>
          <w:lang w:val="en-US"/>
        </w:rPr>
      </w:pPr>
    </w:p>
    <w:p w14:paraId="51A6C57D">
      <w:pPr>
        <w:numPr>
          <w:ilvl w:val="0"/>
          <w:numId w:val="0"/>
        </w:numPr>
        <w:spacing w:before="120" w:after="50"/>
        <w:jc w:val="left"/>
        <w:rPr>
          <w:rFonts w:hint="default" w:ascii="宋体" w:hAnsi="宋体" w:cs="宋体"/>
          <w:b/>
          <w:bCs w:val="0"/>
          <w:sz w:val="24"/>
          <w:lang w:val="en-US"/>
        </w:rPr>
      </w:pPr>
    </w:p>
    <w:p w14:paraId="3EA863C7">
      <w:pPr>
        <w:numPr>
          <w:ilvl w:val="0"/>
          <w:numId w:val="0"/>
        </w:numPr>
        <w:spacing w:before="120" w:after="50"/>
        <w:jc w:val="left"/>
        <w:rPr>
          <w:rFonts w:hint="eastAsia" w:ascii="宋体" w:hAnsi="宋体" w:cs="宋体"/>
          <w:b/>
          <w:sz w:val="24"/>
        </w:rPr>
      </w:pPr>
    </w:p>
    <w:p w14:paraId="4B115FBD">
      <w:pPr>
        <w:numPr>
          <w:ilvl w:val="0"/>
          <w:numId w:val="0"/>
        </w:numPr>
        <w:spacing w:before="120" w:after="50"/>
        <w:jc w:val="left"/>
        <w:rPr>
          <w:rFonts w:ascii="宋体" w:hAnsi="宋体" w:cs="宋体"/>
          <w:b/>
          <w:sz w:val="24"/>
        </w:rPr>
      </w:pPr>
      <w:r>
        <w:rPr>
          <w:rFonts w:hint="eastAsia" w:ascii="宋体" w:hAnsi="宋体" w:cs="宋体"/>
          <w:b/>
          <w:sz w:val="24"/>
          <w:lang w:val="en-US" w:eastAsia="zh-CN"/>
        </w:rPr>
        <w:t>3.</w:t>
      </w:r>
      <w:r>
        <w:rPr>
          <w:rFonts w:hint="eastAsia" w:ascii="宋体" w:hAnsi="宋体" w:cs="宋体"/>
          <w:b/>
          <w:sz w:val="24"/>
        </w:rPr>
        <w:t>投标人针对报价需要说明的其他文件和说明（格式自拟）。</w:t>
      </w:r>
    </w:p>
    <w:p w14:paraId="6583BB4B">
      <w:pPr>
        <w:rPr>
          <w:rFonts w:ascii="宋体" w:hAnsi="宋体" w:cs="宋体"/>
          <w:sz w:val="28"/>
          <w:szCs w:val="28"/>
        </w:rPr>
      </w:pPr>
    </w:p>
    <w:p w14:paraId="63B7B6F3">
      <w:pPr>
        <w:outlineLvl w:val="1"/>
        <w:rPr>
          <w:rFonts w:ascii="宋体" w:hAnsi="宋体" w:cs="宋体"/>
          <w:b/>
          <w:sz w:val="28"/>
          <w:szCs w:val="28"/>
        </w:rPr>
      </w:pPr>
      <w:r>
        <w:rPr>
          <w:rFonts w:hint="eastAsia" w:ascii="宋体" w:hAnsi="宋体" w:cs="宋体"/>
          <w:sz w:val="24"/>
        </w:rPr>
        <w:br w:type="page"/>
      </w:r>
      <w:bookmarkStart w:id="272" w:name="_Toc25654"/>
      <w:bookmarkStart w:id="273" w:name="_Toc19686837"/>
      <w:bookmarkStart w:id="274" w:name="_Toc25402"/>
      <w:r>
        <w:rPr>
          <w:rFonts w:hint="eastAsia" w:ascii="宋体" w:hAnsi="宋体" w:cs="宋体"/>
          <w:b/>
          <w:sz w:val="28"/>
          <w:szCs w:val="28"/>
        </w:rPr>
        <w:t>二、资格证明文件格式</w:t>
      </w:r>
      <w:bookmarkEnd w:id="272"/>
      <w:bookmarkEnd w:id="273"/>
      <w:bookmarkEnd w:id="274"/>
    </w:p>
    <w:p w14:paraId="4BBC400A">
      <w:pPr>
        <w:numPr>
          <w:ilvl w:val="2"/>
          <w:numId w:val="0"/>
        </w:numPr>
        <w:snapToGrid w:val="0"/>
        <w:spacing w:beforeLines="50" w:after="50" w:line="360" w:lineRule="auto"/>
        <w:jc w:val="left"/>
        <w:rPr>
          <w:rFonts w:ascii="宋体" w:hAnsi="宋体" w:cs="宋体"/>
          <w:b/>
          <w:sz w:val="24"/>
        </w:rPr>
      </w:pPr>
      <w:r>
        <w:rPr>
          <w:rFonts w:hint="eastAsia" w:ascii="宋体" w:hAnsi="宋体" w:cs="宋体"/>
          <w:b/>
          <w:sz w:val="24"/>
        </w:rPr>
        <w:t xml:space="preserve">1.资格证明文件封面格式： </w:t>
      </w:r>
    </w:p>
    <w:p w14:paraId="1F9F6A9E">
      <w:pPr>
        <w:snapToGrid w:val="0"/>
        <w:spacing w:beforeLines="50" w:after="50"/>
        <w:rPr>
          <w:rFonts w:ascii="宋体" w:hAnsi="宋体" w:cs="宋体"/>
          <w:bCs/>
          <w:sz w:val="32"/>
          <w:szCs w:val="20"/>
        </w:rPr>
      </w:pPr>
      <w:r>
        <w:rPr>
          <w:rFonts w:hint="eastAsia" w:ascii="宋体" w:hAnsi="宋体" w:cs="宋体"/>
          <w:sz w:val="24"/>
        </w:rPr>
        <w:t xml:space="preserve">                                                   </w:t>
      </w:r>
    </w:p>
    <w:p w14:paraId="1C4E6FE8">
      <w:pPr>
        <w:snapToGrid w:val="0"/>
        <w:spacing w:beforeLines="50" w:after="50"/>
        <w:rPr>
          <w:rFonts w:ascii="宋体" w:hAnsi="宋体" w:cs="宋体"/>
          <w:sz w:val="24"/>
          <w:szCs w:val="20"/>
        </w:rPr>
      </w:pPr>
    </w:p>
    <w:p w14:paraId="4363B702">
      <w:pPr>
        <w:snapToGrid w:val="0"/>
        <w:spacing w:beforeLines="50" w:after="50"/>
        <w:rPr>
          <w:rFonts w:ascii="宋体" w:hAnsi="宋体" w:cs="宋体"/>
          <w:sz w:val="24"/>
          <w:szCs w:val="20"/>
        </w:rPr>
      </w:pPr>
    </w:p>
    <w:p w14:paraId="2485EAF1">
      <w:pPr>
        <w:snapToGrid w:val="0"/>
        <w:spacing w:beforeLines="50" w:after="50"/>
        <w:jc w:val="center"/>
        <w:rPr>
          <w:rFonts w:ascii="宋体" w:hAnsi="宋体" w:cs="宋体"/>
          <w:sz w:val="84"/>
          <w:szCs w:val="84"/>
        </w:rPr>
      </w:pPr>
      <w:r>
        <w:rPr>
          <w:rFonts w:hint="eastAsia" w:ascii="宋体" w:hAnsi="宋体" w:cs="宋体"/>
          <w:sz w:val="84"/>
          <w:szCs w:val="84"/>
        </w:rPr>
        <w:t>投  标  文  件</w:t>
      </w:r>
    </w:p>
    <w:p w14:paraId="359AF344">
      <w:pPr>
        <w:snapToGrid w:val="0"/>
        <w:spacing w:beforeLines="50" w:after="50"/>
        <w:rPr>
          <w:rFonts w:ascii="宋体" w:hAnsi="宋体" w:cs="宋体"/>
          <w:sz w:val="24"/>
          <w:szCs w:val="20"/>
        </w:rPr>
      </w:pPr>
    </w:p>
    <w:p w14:paraId="525A1F4F">
      <w:pPr>
        <w:snapToGrid w:val="0"/>
        <w:spacing w:beforeLines="50" w:after="50"/>
        <w:rPr>
          <w:rFonts w:ascii="宋体" w:hAnsi="宋体" w:cs="宋体"/>
          <w:sz w:val="24"/>
          <w:szCs w:val="20"/>
        </w:rPr>
      </w:pPr>
    </w:p>
    <w:p w14:paraId="61B49B70">
      <w:pPr>
        <w:snapToGrid w:val="0"/>
        <w:spacing w:beforeLines="50" w:after="50"/>
        <w:jc w:val="center"/>
        <w:outlineLvl w:val="1"/>
        <w:rPr>
          <w:rFonts w:ascii="宋体" w:hAnsi="宋体" w:cs="宋体"/>
          <w:b/>
          <w:sz w:val="24"/>
          <w:szCs w:val="20"/>
        </w:rPr>
      </w:pPr>
      <w:bookmarkStart w:id="275" w:name="_Toc30548"/>
      <w:bookmarkStart w:id="276" w:name="_Toc22671"/>
      <w:bookmarkStart w:id="277" w:name="_Toc16550"/>
      <w:r>
        <w:rPr>
          <w:rFonts w:hint="eastAsia" w:ascii="宋体" w:hAnsi="宋体" w:cs="宋体"/>
          <w:b/>
          <w:sz w:val="32"/>
          <w:szCs w:val="32"/>
        </w:rPr>
        <w:t>资 格 证 明 文 件</w:t>
      </w:r>
      <w:bookmarkEnd w:id="275"/>
      <w:bookmarkEnd w:id="276"/>
      <w:bookmarkEnd w:id="277"/>
    </w:p>
    <w:p w14:paraId="6D6AF07A">
      <w:pPr>
        <w:snapToGrid w:val="0"/>
        <w:spacing w:beforeLines="50" w:after="50"/>
        <w:rPr>
          <w:rFonts w:ascii="宋体" w:hAnsi="宋体" w:cs="宋体"/>
          <w:bCs/>
          <w:sz w:val="24"/>
          <w:szCs w:val="20"/>
        </w:rPr>
      </w:pPr>
    </w:p>
    <w:p w14:paraId="15C99F71">
      <w:pPr>
        <w:snapToGrid w:val="0"/>
        <w:spacing w:beforeLines="50" w:after="50"/>
        <w:rPr>
          <w:rFonts w:ascii="宋体" w:hAnsi="宋体" w:cs="宋体"/>
          <w:bCs/>
          <w:sz w:val="24"/>
          <w:szCs w:val="20"/>
        </w:rPr>
      </w:pPr>
    </w:p>
    <w:p w14:paraId="292171C5">
      <w:pPr>
        <w:snapToGrid w:val="0"/>
        <w:spacing w:beforeLines="50" w:after="50"/>
        <w:rPr>
          <w:rFonts w:ascii="宋体" w:hAnsi="宋体" w:cs="宋体"/>
          <w:bCs/>
          <w:sz w:val="24"/>
          <w:szCs w:val="20"/>
        </w:rPr>
      </w:pPr>
    </w:p>
    <w:p w14:paraId="565EC8A1">
      <w:pPr>
        <w:snapToGrid w:val="0"/>
        <w:spacing w:beforeLines="50" w:after="50"/>
        <w:rPr>
          <w:rFonts w:ascii="宋体" w:hAnsi="宋体" w:cs="宋体"/>
          <w:bCs/>
          <w:sz w:val="24"/>
          <w:szCs w:val="20"/>
        </w:rPr>
      </w:pPr>
    </w:p>
    <w:p w14:paraId="26665094">
      <w:pPr>
        <w:snapToGrid w:val="0"/>
        <w:spacing w:beforeLines="50" w:after="50"/>
        <w:rPr>
          <w:rFonts w:ascii="宋体" w:hAnsi="宋体" w:cs="宋体"/>
          <w:bCs/>
          <w:sz w:val="24"/>
          <w:szCs w:val="20"/>
        </w:rPr>
      </w:pPr>
    </w:p>
    <w:p w14:paraId="0AC98CE7">
      <w:pPr>
        <w:snapToGrid w:val="0"/>
        <w:spacing w:beforeLines="50" w:after="50"/>
        <w:ind w:firstLine="540" w:firstLineChars="225"/>
        <w:rPr>
          <w:rFonts w:ascii="宋体" w:hAnsi="宋体" w:cs="宋体"/>
          <w:bCs/>
          <w:sz w:val="24"/>
        </w:rPr>
      </w:pPr>
      <w:r>
        <w:rPr>
          <w:rFonts w:hint="eastAsia" w:ascii="宋体" w:hAnsi="宋体" w:cs="宋体"/>
          <w:bCs/>
          <w:sz w:val="24"/>
        </w:rPr>
        <w:t>项目名称：</w:t>
      </w:r>
    </w:p>
    <w:p w14:paraId="529D7FF1">
      <w:pPr>
        <w:snapToGrid w:val="0"/>
        <w:spacing w:beforeLines="50" w:after="50"/>
        <w:ind w:firstLine="540" w:firstLineChars="225"/>
        <w:rPr>
          <w:rFonts w:ascii="宋体" w:hAnsi="宋体" w:cs="宋体"/>
          <w:bCs/>
          <w:sz w:val="24"/>
          <w:szCs w:val="20"/>
        </w:rPr>
      </w:pPr>
    </w:p>
    <w:p w14:paraId="754E6B38">
      <w:pPr>
        <w:snapToGrid w:val="0"/>
        <w:spacing w:beforeLines="50" w:after="50"/>
        <w:ind w:firstLine="540" w:firstLineChars="225"/>
        <w:rPr>
          <w:rFonts w:ascii="宋体" w:hAnsi="宋体" w:cs="宋体"/>
          <w:bCs/>
          <w:sz w:val="24"/>
        </w:rPr>
      </w:pPr>
      <w:r>
        <w:rPr>
          <w:rFonts w:hint="eastAsia" w:ascii="宋体" w:hAnsi="宋体" w:cs="宋体"/>
          <w:bCs/>
          <w:sz w:val="24"/>
        </w:rPr>
        <w:t>项目编号：</w:t>
      </w:r>
    </w:p>
    <w:p w14:paraId="6C5A301F">
      <w:pPr>
        <w:snapToGrid w:val="0"/>
        <w:spacing w:beforeLines="50" w:after="50"/>
        <w:ind w:firstLine="540" w:firstLineChars="225"/>
        <w:rPr>
          <w:rFonts w:ascii="宋体" w:hAnsi="宋体" w:cs="宋体"/>
          <w:bCs/>
          <w:sz w:val="24"/>
          <w:szCs w:val="20"/>
        </w:rPr>
      </w:pPr>
      <w:r>
        <w:rPr>
          <w:rFonts w:hint="eastAsia" w:ascii="宋体" w:hAnsi="宋体" w:cs="宋体"/>
          <w:bCs/>
          <w:sz w:val="24"/>
        </w:rPr>
        <w:t xml:space="preserve"> </w:t>
      </w:r>
    </w:p>
    <w:p w14:paraId="3B7FAA5F">
      <w:pPr>
        <w:pStyle w:val="7"/>
        <w:snapToGrid w:val="0"/>
        <w:spacing w:before="50" w:after="50"/>
        <w:ind w:firstLine="540" w:firstLineChars="225"/>
        <w:rPr>
          <w:rFonts w:ascii="宋体" w:hAnsi="宋体" w:cs="宋体"/>
          <w:bCs/>
          <w:sz w:val="24"/>
          <w:szCs w:val="24"/>
        </w:rPr>
      </w:pPr>
      <w:r>
        <w:rPr>
          <w:rFonts w:hint="eastAsia" w:ascii="宋体" w:hAnsi="宋体" w:cs="宋体"/>
          <w:bCs/>
          <w:sz w:val="24"/>
          <w:szCs w:val="24"/>
        </w:rPr>
        <w:t>投标人名称：</w:t>
      </w:r>
    </w:p>
    <w:p w14:paraId="0CE75F78">
      <w:pPr>
        <w:pStyle w:val="7"/>
        <w:snapToGrid w:val="0"/>
        <w:spacing w:before="50" w:after="50"/>
        <w:ind w:firstLine="540" w:firstLineChars="225"/>
        <w:rPr>
          <w:rFonts w:ascii="宋体" w:hAnsi="宋体" w:cs="宋体"/>
          <w:bCs/>
          <w:sz w:val="24"/>
          <w:szCs w:val="24"/>
        </w:rPr>
      </w:pPr>
    </w:p>
    <w:p w14:paraId="05D0F4B0">
      <w:pPr>
        <w:pStyle w:val="7"/>
        <w:snapToGrid w:val="0"/>
        <w:spacing w:before="50" w:after="50"/>
        <w:ind w:firstLine="960" w:firstLineChars="400"/>
        <w:rPr>
          <w:rFonts w:ascii="宋体" w:hAnsi="宋体" w:cs="宋体"/>
          <w:bCs/>
          <w:sz w:val="24"/>
          <w:szCs w:val="24"/>
        </w:rPr>
      </w:pPr>
    </w:p>
    <w:p w14:paraId="1A543237">
      <w:pPr>
        <w:snapToGrid w:val="0"/>
        <w:spacing w:beforeLines="50" w:after="50"/>
        <w:ind w:firstLine="645"/>
        <w:jc w:val="center"/>
        <w:rPr>
          <w:rFonts w:ascii="宋体" w:hAnsi="宋体" w:cs="宋体"/>
          <w:sz w:val="24"/>
        </w:rPr>
      </w:pPr>
      <w:r>
        <w:rPr>
          <w:rFonts w:hint="eastAsia" w:ascii="宋体" w:hAnsi="宋体" w:cs="宋体"/>
          <w:sz w:val="24"/>
        </w:rPr>
        <w:t xml:space="preserve">年 </w:t>
      </w:r>
      <w:r>
        <w:rPr>
          <w:rFonts w:hint="eastAsia" w:ascii="宋体" w:hAnsi="宋体" w:eastAsia="宋体" w:cs="宋体"/>
          <w:sz w:val="24"/>
          <w:lang w:val="en-US" w:eastAsia="zh-CN"/>
        </w:rPr>
        <w:t xml:space="preserve"> </w:t>
      </w:r>
      <w:r>
        <w:rPr>
          <w:rFonts w:hint="eastAsia" w:ascii="宋体" w:hAnsi="宋体" w:cs="宋体"/>
          <w:sz w:val="24"/>
        </w:rPr>
        <w:t xml:space="preserve"> 月</w:t>
      </w:r>
      <w:r>
        <w:rPr>
          <w:rFonts w:hint="eastAsia" w:ascii="宋体" w:hAnsi="宋体" w:eastAsia="宋体" w:cs="宋体"/>
          <w:sz w:val="24"/>
          <w:lang w:val="en-US" w:eastAsia="zh-CN"/>
        </w:rPr>
        <w:t xml:space="preserve"> </w:t>
      </w:r>
      <w:r>
        <w:rPr>
          <w:rFonts w:hint="eastAsia" w:ascii="宋体" w:hAnsi="宋体" w:cs="宋体"/>
          <w:sz w:val="24"/>
        </w:rPr>
        <w:t xml:space="preserve">  日</w:t>
      </w:r>
    </w:p>
    <w:p w14:paraId="62F0E1B6">
      <w:pPr>
        <w:snapToGrid w:val="0"/>
        <w:spacing w:beforeLines="50" w:after="50"/>
        <w:rPr>
          <w:rFonts w:ascii="宋体" w:hAnsi="宋体" w:cs="宋体"/>
          <w:sz w:val="24"/>
          <w:szCs w:val="20"/>
        </w:rPr>
      </w:pPr>
      <w:r>
        <w:rPr>
          <w:rFonts w:hint="eastAsia" w:ascii="宋体" w:hAnsi="宋体" w:cs="宋体"/>
          <w:sz w:val="24"/>
          <w:szCs w:val="20"/>
        </w:rPr>
        <w:t xml:space="preserve"> </w:t>
      </w:r>
    </w:p>
    <w:p w14:paraId="3F271331">
      <w:pPr>
        <w:spacing w:before="120" w:after="50"/>
        <w:ind w:firstLine="361"/>
        <w:rPr>
          <w:rFonts w:ascii="宋体" w:hAnsi="宋体" w:cs="宋体"/>
          <w:sz w:val="24"/>
          <w:szCs w:val="20"/>
        </w:rPr>
      </w:pPr>
    </w:p>
    <w:p w14:paraId="131D4537">
      <w:pPr>
        <w:spacing w:before="120" w:after="50" w:line="360" w:lineRule="auto"/>
        <w:ind w:firstLine="360"/>
        <w:jc w:val="center"/>
        <w:rPr>
          <w:rFonts w:ascii="宋体" w:hAnsi="宋体" w:cs="宋体"/>
          <w:sz w:val="24"/>
          <w:szCs w:val="20"/>
        </w:rPr>
      </w:pPr>
      <w:r>
        <w:rPr>
          <w:rFonts w:hint="eastAsia" w:ascii="宋体" w:hAnsi="宋体" w:cs="宋体"/>
          <w:b/>
          <w:bCs/>
          <w:sz w:val="24"/>
        </w:rPr>
        <w:br w:type="page"/>
      </w:r>
      <w:r>
        <w:rPr>
          <w:rFonts w:hint="eastAsia" w:ascii="宋体" w:hAnsi="宋体" w:cs="宋体"/>
          <w:b/>
          <w:bCs/>
          <w:sz w:val="24"/>
        </w:rPr>
        <w:t>资格证明文件目录</w:t>
      </w:r>
    </w:p>
    <w:p w14:paraId="15AAC6E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sz w:val="24"/>
          <w:szCs w:val="24"/>
        </w:rPr>
      </w:pPr>
      <w:r>
        <w:rPr>
          <w:rFonts w:hint="eastAsia" w:ascii="宋体" w:hAnsi="宋体" w:cs="宋体"/>
          <w:sz w:val="24"/>
          <w:szCs w:val="24"/>
        </w:rPr>
        <w:t>1、投标人为法人或者其他组织的，提供营业执照等证明文件（如营业执照或者事业单位法人证书或者</w:t>
      </w:r>
      <w:r>
        <w:rPr>
          <w:rStyle w:val="36"/>
          <w:sz w:val="24"/>
          <w:szCs w:val="24"/>
        </w:rPr>
        <w:t>执业许可证</w:t>
      </w:r>
      <w:r>
        <w:rPr>
          <w:rFonts w:hint="eastAsia" w:ascii="宋体" w:hAnsi="宋体" w:cs="宋体"/>
          <w:sz w:val="24"/>
          <w:szCs w:val="24"/>
        </w:rPr>
        <w:t>等），投标人为自然人的，提供身份证；（</w:t>
      </w:r>
      <w:r>
        <w:rPr>
          <w:rFonts w:hint="eastAsia" w:ascii="宋体" w:hAnsi="宋体" w:cs="宋体"/>
          <w:b/>
          <w:sz w:val="24"/>
          <w:szCs w:val="24"/>
        </w:rPr>
        <w:t>必须提供，否则作无效投标处理</w:t>
      </w:r>
      <w:r>
        <w:rPr>
          <w:rFonts w:hint="eastAsia" w:ascii="宋体" w:hAnsi="宋体" w:cs="宋体"/>
          <w:sz w:val="24"/>
          <w:szCs w:val="24"/>
        </w:rPr>
        <w:t>）</w:t>
      </w:r>
    </w:p>
    <w:p w14:paraId="70E22FF9">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b/>
          <w:bCs/>
          <w:sz w:val="24"/>
          <w:szCs w:val="24"/>
        </w:rPr>
      </w:pPr>
      <w:r>
        <w:rPr>
          <w:rFonts w:hint="eastAsia" w:ascii="宋体" w:hAnsi="宋体" w:cs="宋体"/>
          <w:sz w:val="24"/>
          <w:szCs w:val="24"/>
        </w:rPr>
        <w:t>2、投标人具有有效的资质证书等证明文件；</w:t>
      </w:r>
      <w:r>
        <w:rPr>
          <w:rFonts w:hint="eastAsia" w:ascii="宋体" w:hAnsi="宋体" w:cs="宋体"/>
          <w:b/>
          <w:bCs/>
          <w:sz w:val="24"/>
          <w:szCs w:val="24"/>
        </w:rPr>
        <w:t>（必须提供，否则投标文件按无效响应处理）</w:t>
      </w:r>
    </w:p>
    <w:p w14:paraId="7847DE7C">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b/>
          <w:bCs/>
          <w:sz w:val="24"/>
          <w:szCs w:val="24"/>
        </w:rPr>
      </w:pPr>
      <w:r>
        <w:rPr>
          <w:rFonts w:hint="eastAsia" w:ascii="宋体" w:hAnsi="宋体" w:cs="宋体"/>
          <w:b/>
          <w:bCs/>
          <w:sz w:val="24"/>
          <w:szCs w:val="24"/>
        </w:rPr>
        <w:t>3</w:t>
      </w:r>
      <w:r>
        <w:rPr>
          <w:rFonts w:hint="eastAsia" w:ascii="宋体" w:hAnsi="宋体" w:cs="宋体"/>
          <w:sz w:val="24"/>
          <w:szCs w:val="24"/>
        </w:rPr>
        <w:t>、</w:t>
      </w:r>
      <w:r>
        <w:rPr>
          <w:rFonts w:hint="eastAsia" w:ascii="宋体" w:hAnsi="宋体" w:cs="宋体"/>
          <w:b w:val="0"/>
          <w:bCs w:val="0"/>
          <w:sz w:val="24"/>
          <w:szCs w:val="24"/>
        </w:rPr>
        <w:t>拟派项目负责人具有有效的</w:t>
      </w:r>
      <w:r>
        <w:rPr>
          <w:rFonts w:hint="eastAsia" w:ascii="宋体" w:hAnsi="宋体" w:eastAsia="宋体" w:cs="宋体"/>
          <w:b w:val="0"/>
          <w:bCs w:val="0"/>
          <w:sz w:val="24"/>
          <w:szCs w:val="24"/>
          <w:lang w:eastAsia="zh-CN"/>
        </w:rPr>
        <w:t>公路工程专业二级注册建造师</w:t>
      </w:r>
      <w:r>
        <w:rPr>
          <w:rFonts w:hint="eastAsia" w:ascii="宋体" w:hAnsi="宋体" w:cs="宋体"/>
          <w:b w:val="0"/>
          <w:bCs w:val="0"/>
          <w:sz w:val="24"/>
          <w:szCs w:val="24"/>
        </w:rPr>
        <w:t>执业资格</w:t>
      </w:r>
      <w:r>
        <w:rPr>
          <w:rFonts w:hint="eastAsia" w:ascii="宋体" w:hAnsi="宋体" w:eastAsia="宋体" w:cs="宋体"/>
          <w:b w:val="0"/>
          <w:bCs w:val="0"/>
          <w:sz w:val="24"/>
          <w:szCs w:val="24"/>
          <w:lang w:val="en-US" w:eastAsia="zh-CN"/>
        </w:rPr>
        <w:t>和</w:t>
      </w:r>
      <w:r>
        <w:rPr>
          <w:rFonts w:hint="eastAsia" w:ascii="宋体" w:hAnsi="宋体" w:cs="宋体"/>
          <w:b w:val="0"/>
          <w:bCs w:val="0"/>
          <w:sz w:val="24"/>
          <w:szCs w:val="24"/>
        </w:rPr>
        <w:t>路桥类中级职称（或以上）及具备有效的安全生产考核合格证(B类)等相关证书材料</w:t>
      </w:r>
      <w:r>
        <w:rPr>
          <w:rFonts w:hint="eastAsia" w:ascii="宋体" w:hAnsi="宋体" w:cs="宋体"/>
          <w:b/>
          <w:bCs/>
          <w:sz w:val="24"/>
          <w:szCs w:val="24"/>
        </w:rPr>
        <w:t>（必须提供，否则响应文件按无效响应处理）</w:t>
      </w:r>
    </w:p>
    <w:p w14:paraId="27582C5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sz w:val="24"/>
          <w:szCs w:val="24"/>
        </w:rPr>
      </w:pPr>
      <w:r>
        <w:rPr>
          <w:rFonts w:hint="eastAsia" w:ascii="宋体" w:hAnsi="宋体" w:eastAsia="宋体" w:cs="宋体"/>
          <w:sz w:val="24"/>
          <w:szCs w:val="24"/>
          <w:lang w:val="en-US" w:eastAsia="zh-CN"/>
        </w:rPr>
        <w:t>4</w:t>
      </w:r>
      <w:r>
        <w:rPr>
          <w:rFonts w:hint="eastAsia" w:ascii="宋体" w:hAnsi="宋体" w:cs="宋体"/>
          <w:sz w:val="24"/>
          <w:szCs w:val="24"/>
        </w:rPr>
        <w:t>、投标人依法缴纳税收的相关材料（投标截止之日前半年内</w:t>
      </w:r>
      <w:r>
        <w:rPr>
          <w:rFonts w:hint="eastAsia" w:ascii="宋体" w:hAnsi="宋体" w:eastAsia="宋体" w:cs="宋体"/>
          <w:sz w:val="24"/>
          <w:szCs w:val="24"/>
          <w:lang w:val="en-US" w:eastAsia="zh-CN"/>
        </w:rPr>
        <w:t>任意</w:t>
      </w:r>
      <w:r>
        <w:rPr>
          <w:rFonts w:hint="eastAsia" w:ascii="宋体" w:hAnsi="宋体" w:cs="宋体"/>
          <w:szCs w:val="21"/>
          <w:lang w:eastAsia="zh-CN"/>
        </w:rPr>
        <w:t>一个月</w:t>
      </w:r>
      <w:r>
        <w:rPr>
          <w:rFonts w:hint="eastAsia" w:ascii="宋体" w:hAnsi="宋体" w:cs="宋体"/>
          <w:sz w:val="24"/>
          <w:szCs w:val="24"/>
        </w:rPr>
        <w:t>的依法缴纳税收的凭据复印件；依法免税的供应商，必须提供相应文件证明其依法免税。从成立之日起到投标文件提交截止时间止不足要求月数的，只需提供从成立之日起的依法缴纳税收相应证明文件）；</w:t>
      </w:r>
      <w:r>
        <w:rPr>
          <w:rFonts w:hint="eastAsia" w:ascii="宋体" w:hAnsi="宋体" w:cs="宋体"/>
          <w:b/>
          <w:sz w:val="24"/>
          <w:szCs w:val="24"/>
        </w:rPr>
        <w:t>（必须提供，否则按无效投标处理）</w:t>
      </w:r>
    </w:p>
    <w:p w14:paraId="2A65CC99">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lang w:eastAsia="zh-CN"/>
        </w:rPr>
      </w:pPr>
      <w:r>
        <w:rPr>
          <w:rFonts w:hint="eastAsia" w:ascii="宋体" w:hAnsi="宋体" w:eastAsia="宋体" w:cs="宋体"/>
          <w:sz w:val="24"/>
          <w:szCs w:val="24"/>
          <w:lang w:val="en-US" w:eastAsia="zh-CN"/>
        </w:rPr>
        <w:t>5</w:t>
      </w:r>
      <w:r>
        <w:rPr>
          <w:rFonts w:hint="eastAsia" w:ascii="宋体" w:hAnsi="宋体" w:cs="宋体"/>
          <w:sz w:val="24"/>
          <w:szCs w:val="24"/>
        </w:rPr>
        <w:t>、</w:t>
      </w:r>
      <w:r>
        <w:rPr>
          <w:rFonts w:hint="eastAsia" w:ascii="宋体" w:hAnsi="宋体" w:cs="宋体"/>
          <w:sz w:val="24"/>
          <w:szCs w:val="24"/>
          <w:lang w:eastAsia="zh-CN"/>
        </w:rPr>
        <w:t>投标人依法缴纳社会保障资金的相关材料[</w:t>
      </w:r>
      <w:r>
        <w:rPr>
          <w:rFonts w:hint="eastAsia"/>
          <w:sz w:val="24"/>
          <w:szCs w:val="24"/>
          <w:lang w:eastAsia="zh-CN"/>
        </w:rPr>
        <w:t>投标截止前半年内任意</w:t>
      </w:r>
      <w:r>
        <w:rPr>
          <w:rFonts w:hint="eastAsia" w:ascii="宋体" w:hAnsi="宋体" w:cs="宋体"/>
          <w:sz w:val="24"/>
          <w:szCs w:val="24"/>
          <w:lang w:eastAsia="zh-CN"/>
        </w:rPr>
        <w:t>一个月的依法缴纳社会保障资金的缴费凭证（完税证明或专用收据或者社会保险缴纳清单等相关证明材料）；</w:t>
      </w:r>
      <w:r>
        <w:rPr>
          <w:rFonts w:hint="eastAsia" w:ascii="宋体" w:hAnsi="宋体"/>
          <w:sz w:val="24"/>
          <w:szCs w:val="24"/>
          <w:lang w:eastAsia="zh-CN"/>
        </w:rPr>
        <w:t>依法不需要缴纳社会保障资金的投标人，必须提供相应文件证明不需要缴纳社会保障资金；</w:t>
      </w:r>
      <w:r>
        <w:rPr>
          <w:rFonts w:hint="eastAsia" w:ascii="宋体" w:hAnsi="宋体" w:cs="宋体"/>
          <w:sz w:val="24"/>
          <w:szCs w:val="24"/>
          <w:lang w:eastAsia="zh-CN"/>
        </w:rPr>
        <w:t>或提供依法缴纳社会保障资金的承诺函（格式自拟]；（</w:t>
      </w:r>
      <w:r>
        <w:rPr>
          <w:rFonts w:hint="eastAsia" w:ascii="宋体" w:hAnsi="宋体" w:cs="宋体"/>
          <w:b/>
          <w:sz w:val="24"/>
          <w:szCs w:val="24"/>
          <w:lang w:eastAsia="zh-CN"/>
        </w:rPr>
        <w:t>必须提供，否则投标文件按无效响应处理</w:t>
      </w:r>
      <w:r>
        <w:rPr>
          <w:rFonts w:hint="eastAsia" w:ascii="宋体" w:hAnsi="宋体" w:cs="宋体"/>
          <w:sz w:val="24"/>
          <w:szCs w:val="24"/>
          <w:lang w:eastAsia="zh-CN"/>
        </w:rPr>
        <w:t>）</w:t>
      </w:r>
    </w:p>
    <w:p w14:paraId="115C6B9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sz w:val="24"/>
          <w:szCs w:val="24"/>
        </w:rPr>
      </w:pPr>
      <w:r>
        <w:rPr>
          <w:rFonts w:hint="eastAsia" w:ascii="宋体" w:hAnsi="宋体" w:eastAsia="宋体" w:cs="宋体"/>
          <w:sz w:val="24"/>
          <w:szCs w:val="24"/>
          <w:lang w:val="en-US" w:eastAsia="zh-CN"/>
        </w:rPr>
        <w:t>6</w:t>
      </w:r>
      <w:r>
        <w:rPr>
          <w:rFonts w:hint="eastAsia" w:ascii="宋体" w:hAnsi="宋体" w:cs="宋体"/>
          <w:sz w:val="24"/>
          <w:szCs w:val="24"/>
        </w:rPr>
        <w:t>、</w:t>
      </w:r>
      <w:r>
        <w:rPr>
          <w:rFonts w:hint="eastAsia" w:ascii="宋体" w:hAnsi="宋体" w:eastAsia="宋体" w:cs="宋体"/>
          <w:sz w:val="24"/>
          <w:szCs w:val="24"/>
          <w:lang w:val="en-US" w:eastAsia="zh-CN"/>
        </w:rPr>
        <w:t>2022、2023、2024年度经会计师事务所或审计机构审计的财务报告和财务会计报表，包括财务审计报告和资产负债表、现金流量表、利润表以及财务情况说明书（报表附注）等，否则所提交的财务会计报表不予认可（对于从取得营业执照时间起到投标截止时间为止不足要求年数的企业，只需提交企业取得营业执照年份至所要求最近年份经审计的财务会计报表，若是投标当年成立的企业，其财务会计报表不要求经审计）。</w:t>
      </w:r>
      <w:r>
        <w:rPr>
          <w:rFonts w:ascii="宋体" w:hAnsi="宋体" w:cs="宋体"/>
          <w:b/>
          <w:bCs/>
          <w:sz w:val="24"/>
          <w:szCs w:val="24"/>
          <w:lang w:eastAsia="zh-CN"/>
        </w:rPr>
        <w:t>（必须提供，否则</w:t>
      </w:r>
      <w:r>
        <w:rPr>
          <w:rFonts w:hint="eastAsia" w:ascii="宋体" w:hAnsi="宋体" w:cs="宋体"/>
          <w:b/>
          <w:bCs/>
          <w:sz w:val="24"/>
          <w:szCs w:val="24"/>
          <w:lang w:eastAsia="zh-CN"/>
        </w:rPr>
        <w:t>投标文件</w:t>
      </w:r>
      <w:r>
        <w:rPr>
          <w:rFonts w:ascii="宋体" w:hAnsi="宋体" w:cs="宋体"/>
          <w:b/>
          <w:bCs/>
          <w:sz w:val="24"/>
          <w:szCs w:val="24"/>
          <w:lang w:eastAsia="zh-CN"/>
        </w:rPr>
        <w:t>按无效响应处理）</w:t>
      </w:r>
    </w:p>
    <w:p w14:paraId="562B016F">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sz w:val="24"/>
          <w:szCs w:val="24"/>
        </w:rPr>
      </w:pPr>
      <w:r>
        <w:rPr>
          <w:rFonts w:hint="eastAsia" w:ascii="宋体" w:hAnsi="宋体" w:eastAsia="宋体" w:cs="宋体"/>
          <w:sz w:val="24"/>
          <w:szCs w:val="24"/>
          <w:lang w:val="en-US" w:eastAsia="zh-CN"/>
        </w:rPr>
        <w:t>7</w:t>
      </w:r>
      <w:r>
        <w:rPr>
          <w:rFonts w:hint="eastAsia" w:ascii="宋体" w:hAnsi="宋体" w:cs="宋体"/>
          <w:sz w:val="24"/>
          <w:szCs w:val="24"/>
        </w:rPr>
        <w:t>、投标人直接控股、管理关系信息表（格式后附）；</w:t>
      </w:r>
      <w:r>
        <w:rPr>
          <w:rFonts w:hint="eastAsia" w:ascii="宋体" w:hAnsi="宋体" w:cs="宋体"/>
          <w:b/>
          <w:sz w:val="24"/>
          <w:szCs w:val="24"/>
        </w:rPr>
        <w:t>（必须提供，否则按无效投标处理）</w:t>
      </w:r>
    </w:p>
    <w:p w14:paraId="169D42BF">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eastAsia="宋体" w:cs="宋体"/>
          <w:sz w:val="24"/>
          <w:szCs w:val="24"/>
          <w:lang w:val="en-US" w:eastAsia="zh-CN"/>
        </w:rPr>
        <w:t>8</w:t>
      </w:r>
      <w:r>
        <w:rPr>
          <w:rFonts w:hint="eastAsia" w:ascii="宋体" w:hAnsi="宋体" w:cs="宋体"/>
          <w:sz w:val="24"/>
          <w:szCs w:val="24"/>
        </w:rPr>
        <w:t>、投标声明（格式后附）；</w:t>
      </w:r>
      <w:r>
        <w:rPr>
          <w:rFonts w:hint="eastAsia" w:ascii="宋体" w:hAnsi="宋体" w:cs="宋体"/>
          <w:b/>
          <w:bCs/>
          <w:sz w:val="24"/>
          <w:szCs w:val="24"/>
        </w:rPr>
        <w:t>（必须提供，否则按无效投标处理）</w:t>
      </w:r>
    </w:p>
    <w:p w14:paraId="2B12F7C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rPr>
      </w:pPr>
      <w:r>
        <w:rPr>
          <w:rFonts w:hint="eastAsia" w:ascii="宋体" w:hAnsi="宋体" w:cs="宋体"/>
          <w:sz w:val="24"/>
          <w:szCs w:val="24"/>
        </w:rPr>
        <w:t>9、中小企业声明函（格式后附，监狱企业或残疾人福利性单位视同中小企业）；</w:t>
      </w:r>
      <w:r>
        <w:rPr>
          <w:rFonts w:hint="eastAsia" w:ascii="宋体" w:hAnsi="宋体" w:cs="宋体"/>
          <w:b/>
          <w:sz w:val="24"/>
          <w:szCs w:val="24"/>
        </w:rPr>
        <w:t>（如有请提供）</w:t>
      </w:r>
    </w:p>
    <w:p w14:paraId="7339BA52">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bCs/>
          <w:sz w:val="24"/>
          <w:szCs w:val="24"/>
        </w:rPr>
      </w:pPr>
      <w:r>
        <w:rPr>
          <w:rFonts w:hint="eastAsia" w:ascii="宋体" w:hAnsi="宋体" w:eastAsia="宋体" w:cs="宋体"/>
          <w:sz w:val="24"/>
          <w:szCs w:val="24"/>
          <w:lang w:val="en-US" w:eastAsia="zh-CN"/>
        </w:rPr>
        <w:t>10</w:t>
      </w:r>
      <w:r>
        <w:rPr>
          <w:rFonts w:hint="eastAsia" w:ascii="宋体" w:hAnsi="宋体" w:cs="宋体"/>
          <w:sz w:val="24"/>
          <w:szCs w:val="24"/>
        </w:rPr>
        <w:t>、投标人根据招标公告对应的特定资格要求设置投标人提供的资格证明材料；</w:t>
      </w:r>
      <w:r>
        <w:rPr>
          <w:rFonts w:hint="eastAsia" w:ascii="宋体" w:hAnsi="宋体" w:cs="宋体"/>
          <w:b/>
          <w:bCs/>
          <w:sz w:val="24"/>
          <w:szCs w:val="24"/>
        </w:rPr>
        <w:t>（</w:t>
      </w:r>
      <w:r>
        <w:rPr>
          <w:rFonts w:hint="eastAsia" w:ascii="宋体" w:hAnsi="宋体" w:cs="宋体"/>
          <w:b/>
          <w:sz w:val="24"/>
          <w:szCs w:val="24"/>
        </w:rPr>
        <w:t>如有请提供</w:t>
      </w:r>
      <w:r>
        <w:rPr>
          <w:rFonts w:hint="eastAsia" w:ascii="宋体" w:hAnsi="宋体" w:cs="宋体"/>
          <w:b/>
          <w:bCs/>
          <w:sz w:val="24"/>
          <w:szCs w:val="24"/>
        </w:rPr>
        <w:t>）</w:t>
      </w:r>
    </w:p>
    <w:p w14:paraId="3A6215D2">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rPr>
      </w:pPr>
      <w:r>
        <w:rPr>
          <w:rFonts w:hint="eastAsia" w:ascii="宋体" w:hAnsi="宋体" w:eastAsia="宋体" w:cs="宋体"/>
          <w:sz w:val="24"/>
          <w:szCs w:val="24"/>
          <w:lang w:val="en-US" w:eastAsia="zh-CN"/>
        </w:rPr>
        <w:t>11</w:t>
      </w:r>
      <w:r>
        <w:rPr>
          <w:rFonts w:hint="eastAsia" w:ascii="宋体" w:hAnsi="宋体" w:cs="宋体"/>
          <w:sz w:val="24"/>
          <w:szCs w:val="24"/>
        </w:rPr>
        <w:t>、除招标文件规定必须提供以外，投标人认为需要提供的其他证明材料。</w:t>
      </w:r>
    </w:p>
    <w:p w14:paraId="719CF890">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rPr>
      </w:pPr>
      <w:r>
        <w:rPr>
          <w:rFonts w:hint="eastAsia" w:ascii="宋体" w:hAnsi="宋体" w:cs="宋体"/>
          <w:sz w:val="24"/>
          <w:szCs w:val="24"/>
        </w:rPr>
        <w:t>12、拟派项目经理无在岗项目承诺书或随时撤离承诺书</w:t>
      </w:r>
      <w:r>
        <w:rPr>
          <w:rFonts w:hint="eastAsia" w:ascii="宋体" w:hAnsi="宋体" w:cs="宋体"/>
          <w:b/>
          <w:bCs/>
          <w:sz w:val="24"/>
          <w:szCs w:val="24"/>
        </w:rPr>
        <w:t>(</w:t>
      </w:r>
      <w:r>
        <w:rPr>
          <w:rFonts w:hint="eastAsia" w:ascii="宋体" w:hAnsi="宋体" w:eastAsia="宋体" w:cs="宋体"/>
          <w:b/>
          <w:bCs/>
          <w:sz w:val="24"/>
          <w:szCs w:val="24"/>
          <w:lang w:eastAsia="zh-CN"/>
        </w:rPr>
        <w:t>必须提供</w:t>
      </w:r>
      <w:r>
        <w:rPr>
          <w:rFonts w:hint="eastAsia" w:ascii="宋体" w:hAnsi="宋体" w:cs="宋体"/>
          <w:b/>
          <w:bCs/>
          <w:sz w:val="24"/>
          <w:szCs w:val="24"/>
        </w:rPr>
        <w:t>)</w:t>
      </w:r>
      <w:r>
        <w:rPr>
          <w:rFonts w:hint="eastAsia" w:ascii="宋体" w:hAnsi="宋体" w:cs="宋体"/>
          <w:sz w:val="24"/>
          <w:szCs w:val="24"/>
        </w:rPr>
        <w:t>(格式自拟)</w:t>
      </w:r>
    </w:p>
    <w:p w14:paraId="5BA3159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w:t>
      </w:r>
      <w:r>
        <w:rPr>
          <w:rFonts w:hint="eastAsia" w:ascii="宋体" w:hAnsi="宋体" w:cs="宋体"/>
          <w:b w:val="0"/>
          <w:bCs w:val="0"/>
          <w:sz w:val="24"/>
          <w:szCs w:val="24"/>
        </w:rPr>
        <w:t>其它承诺书(</w:t>
      </w:r>
      <w:r>
        <w:rPr>
          <w:rFonts w:hint="eastAsia" w:ascii="宋体" w:hAnsi="宋体" w:eastAsia="宋体" w:cs="宋体"/>
          <w:b w:val="0"/>
          <w:bCs w:val="0"/>
          <w:sz w:val="24"/>
          <w:szCs w:val="24"/>
          <w:lang w:val="en-US" w:eastAsia="zh-CN"/>
        </w:rPr>
        <w:t>如有请</w:t>
      </w:r>
      <w:r>
        <w:rPr>
          <w:rFonts w:hint="eastAsia" w:ascii="宋体" w:hAnsi="宋体" w:eastAsia="宋体" w:cs="宋体"/>
          <w:b w:val="0"/>
          <w:bCs w:val="0"/>
          <w:sz w:val="24"/>
          <w:szCs w:val="24"/>
          <w:lang w:eastAsia="zh-CN"/>
        </w:rPr>
        <w:t>提供</w:t>
      </w:r>
      <w:r>
        <w:rPr>
          <w:rFonts w:hint="eastAsia" w:ascii="宋体" w:hAnsi="宋体" w:cs="宋体"/>
          <w:b w:val="0"/>
          <w:bCs w:val="0"/>
          <w:sz w:val="24"/>
          <w:szCs w:val="24"/>
        </w:rPr>
        <w:t>)(格式自拟)</w:t>
      </w:r>
    </w:p>
    <w:p w14:paraId="62F127C0">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bCs/>
          <w:sz w:val="24"/>
          <w:szCs w:val="24"/>
        </w:rPr>
      </w:pPr>
      <w:r>
        <w:rPr>
          <w:rFonts w:hint="eastAsia" w:ascii="宋体" w:hAnsi="宋体" w:cs="宋体"/>
          <w:b/>
          <w:bCs/>
          <w:sz w:val="24"/>
          <w:szCs w:val="24"/>
        </w:rPr>
        <w:t>注：</w:t>
      </w:r>
    </w:p>
    <w:p w14:paraId="4A893C0E">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sz w:val="24"/>
          <w:szCs w:val="24"/>
        </w:rPr>
      </w:pPr>
      <w:r>
        <w:rPr>
          <w:rFonts w:hint="eastAsia" w:ascii="宋体" w:hAnsi="宋体" w:cs="宋体"/>
          <w:b/>
          <w:bCs/>
          <w:sz w:val="24"/>
          <w:szCs w:val="24"/>
        </w:rPr>
        <w:t>1、以上标明“必须提供”的材料属于复印件的，必须加盖投标人公章，否则按无效投标</w:t>
      </w:r>
      <w:r>
        <w:rPr>
          <w:rFonts w:hint="eastAsia" w:ascii="宋体" w:hAnsi="宋体" w:cs="宋体"/>
          <w:b/>
          <w:sz w:val="24"/>
          <w:szCs w:val="24"/>
        </w:rPr>
        <w:t>处理。</w:t>
      </w:r>
    </w:p>
    <w:p w14:paraId="43472F2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bCs/>
          <w:sz w:val="24"/>
          <w:szCs w:val="24"/>
        </w:rPr>
      </w:pPr>
      <w:r>
        <w:rPr>
          <w:rFonts w:hint="eastAsia" w:ascii="宋体" w:hAnsi="宋体" w:cs="宋体"/>
          <w:b/>
          <w:sz w:val="24"/>
          <w:szCs w:val="24"/>
        </w:rPr>
        <w:t>2、</w:t>
      </w:r>
      <w:r>
        <w:rPr>
          <w:rFonts w:hint="eastAsia" w:ascii="宋体" w:hAnsi="宋体" w:cs="宋体"/>
          <w:b/>
          <w:bCs/>
          <w:sz w:val="24"/>
          <w:szCs w:val="24"/>
        </w:rPr>
        <w:t>投标声明必须由法定代表人在规定签章处签章并加盖投标人公章，否则按无效投标处理。</w:t>
      </w:r>
    </w:p>
    <w:p w14:paraId="41F484DE">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bCs/>
          <w:sz w:val="24"/>
          <w:szCs w:val="24"/>
        </w:rPr>
      </w:pPr>
      <w:r>
        <w:rPr>
          <w:rFonts w:hint="eastAsia" w:ascii="宋体" w:hAnsi="宋体" w:cs="宋体"/>
          <w:b/>
          <w:bCs/>
          <w:sz w:val="24"/>
          <w:szCs w:val="24"/>
        </w:rPr>
        <w:t>3、投标人直接控股、管理关系信息表必须由法定代表人或者委托代理人在规定签章处签字并加盖投标人公章，否则按无效投标</w:t>
      </w:r>
      <w:r>
        <w:rPr>
          <w:rFonts w:hint="eastAsia" w:ascii="宋体" w:hAnsi="宋体" w:cs="宋体"/>
          <w:b/>
          <w:sz w:val="24"/>
          <w:szCs w:val="24"/>
        </w:rPr>
        <w:t>处理</w:t>
      </w:r>
      <w:r>
        <w:rPr>
          <w:rFonts w:hint="eastAsia" w:ascii="宋体" w:hAnsi="宋体" w:cs="宋体"/>
          <w:b/>
          <w:bCs/>
          <w:sz w:val="24"/>
          <w:szCs w:val="24"/>
        </w:rPr>
        <w:t>。</w:t>
      </w:r>
    </w:p>
    <w:p w14:paraId="21A2DD44">
      <w:pPr>
        <w:spacing w:line="360" w:lineRule="auto"/>
        <w:jc w:val="both"/>
        <w:rPr>
          <w:rFonts w:hint="eastAsia" w:ascii="宋体" w:hAnsi="宋体" w:cs="宋体"/>
          <w:szCs w:val="21"/>
        </w:rPr>
      </w:pPr>
    </w:p>
    <w:p w14:paraId="43061967">
      <w:pPr>
        <w:spacing w:line="360" w:lineRule="auto"/>
        <w:jc w:val="both"/>
        <w:rPr>
          <w:rFonts w:hint="eastAsia" w:ascii="宋体" w:hAnsi="宋体" w:cs="宋体"/>
          <w:szCs w:val="21"/>
        </w:rPr>
      </w:pPr>
    </w:p>
    <w:p w14:paraId="6651E8E0">
      <w:pPr>
        <w:spacing w:line="360" w:lineRule="auto"/>
        <w:jc w:val="both"/>
        <w:rPr>
          <w:rFonts w:hint="eastAsia" w:ascii="宋体" w:hAnsi="宋体" w:cs="宋体"/>
          <w:szCs w:val="21"/>
        </w:rPr>
      </w:pPr>
    </w:p>
    <w:p w14:paraId="0375DEE1">
      <w:pPr>
        <w:spacing w:line="360" w:lineRule="auto"/>
        <w:jc w:val="both"/>
        <w:rPr>
          <w:rFonts w:hint="eastAsia" w:ascii="宋体" w:hAnsi="宋体" w:cs="宋体"/>
          <w:sz w:val="24"/>
          <w:szCs w:val="24"/>
        </w:rPr>
      </w:pPr>
    </w:p>
    <w:p w14:paraId="022CC9BA">
      <w:pPr>
        <w:spacing w:line="360" w:lineRule="auto"/>
        <w:jc w:val="both"/>
        <w:rPr>
          <w:rFonts w:hint="eastAsia" w:ascii="宋体" w:hAnsi="宋体" w:cs="宋体"/>
          <w:sz w:val="24"/>
          <w:szCs w:val="24"/>
        </w:rPr>
      </w:pPr>
    </w:p>
    <w:p w14:paraId="26EC6305">
      <w:pPr>
        <w:spacing w:line="360" w:lineRule="auto"/>
        <w:jc w:val="both"/>
        <w:rPr>
          <w:rFonts w:hint="eastAsia" w:ascii="宋体" w:hAnsi="宋体" w:cs="宋体"/>
          <w:sz w:val="24"/>
          <w:szCs w:val="24"/>
        </w:rPr>
      </w:pPr>
    </w:p>
    <w:p w14:paraId="6A6FA75A">
      <w:pPr>
        <w:spacing w:line="360" w:lineRule="auto"/>
        <w:jc w:val="both"/>
        <w:rPr>
          <w:rFonts w:hint="eastAsia" w:ascii="宋体" w:hAnsi="宋体" w:cs="宋体"/>
          <w:sz w:val="24"/>
          <w:szCs w:val="24"/>
        </w:rPr>
      </w:pPr>
    </w:p>
    <w:p w14:paraId="629EBEEB">
      <w:pPr>
        <w:spacing w:line="360" w:lineRule="auto"/>
        <w:jc w:val="both"/>
        <w:rPr>
          <w:rFonts w:hint="eastAsia" w:ascii="宋体" w:hAnsi="宋体" w:cs="宋体"/>
          <w:sz w:val="24"/>
          <w:szCs w:val="24"/>
        </w:rPr>
      </w:pPr>
    </w:p>
    <w:p w14:paraId="7BEB4BE2">
      <w:pPr>
        <w:spacing w:line="360" w:lineRule="auto"/>
        <w:jc w:val="both"/>
        <w:rPr>
          <w:rFonts w:hint="eastAsia" w:ascii="宋体" w:hAnsi="宋体" w:cs="宋体"/>
          <w:sz w:val="24"/>
          <w:szCs w:val="24"/>
        </w:rPr>
      </w:pPr>
    </w:p>
    <w:p w14:paraId="0A933FE9">
      <w:pPr>
        <w:spacing w:line="360" w:lineRule="auto"/>
        <w:jc w:val="both"/>
        <w:rPr>
          <w:rFonts w:hint="eastAsia" w:ascii="宋体" w:hAnsi="宋体" w:cs="宋体"/>
          <w:sz w:val="24"/>
          <w:szCs w:val="24"/>
        </w:rPr>
      </w:pPr>
    </w:p>
    <w:p w14:paraId="578C6CBF">
      <w:pPr>
        <w:spacing w:line="360" w:lineRule="auto"/>
        <w:jc w:val="both"/>
        <w:rPr>
          <w:rFonts w:hint="eastAsia" w:ascii="宋体" w:hAnsi="宋体" w:cs="宋体"/>
          <w:sz w:val="24"/>
          <w:szCs w:val="24"/>
        </w:rPr>
      </w:pPr>
    </w:p>
    <w:p w14:paraId="36B839B8">
      <w:pPr>
        <w:spacing w:line="360" w:lineRule="auto"/>
        <w:jc w:val="both"/>
        <w:rPr>
          <w:rFonts w:hint="eastAsia" w:ascii="宋体" w:hAnsi="宋体" w:cs="宋体"/>
          <w:sz w:val="24"/>
          <w:szCs w:val="24"/>
        </w:rPr>
      </w:pPr>
    </w:p>
    <w:p w14:paraId="6A3CF254">
      <w:pPr>
        <w:spacing w:line="360" w:lineRule="auto"/>
        <w:jc w:val="both"/>
        <w:rPr>
          <w:rFonts w:hint="eastAsia" w:ascii="宋体" w:hAnsi="宋体" w:cs="宋体"/>
          <w:sz w:val="24"/>
          <w:szCs w:val="24"/>
        </w:rPr>
      </w:pPr>
    </w:p>
    <w:p w14:paraId="6B1CD3BB">
      <w:pPr>
        <w:spacing w:line="360" w:lineRule="auto"/>
        <w:jc w:val="both"/>
        <w:rPr>
          <w:rFonts w:hint="eastAsia" w:ascii="宋体" w:hAnsi="宋体" w:cs="宋体"/>
          <w:sz w:val="24"/>
          <w:szCs w:val="24"/>
        </w:rPr>
      </w:pPr>
    </w:p>
    <w:p w14:paraId="4FE21C8A">
      <w:pPr>
        <w:spacing w:line="360" w:lineRule="auto"/>
        <w:jc w:val="both"/>
        <w:rPr>
          <w:rFonts w:hint="eastAsia" w:ascii="宋体" w:hAnsi="宋体" w:cs="宋体"/>
          <w:sz w:val="24"/>
          <w:szCs w:val="24"/>
        </w:rPr>
      </w:pPr>
    </w:p>
    <w:p w14:paraId="75AE8452">
      <w:pPr>
        <w:spacing w:line="360" w:lineRule="auto"/>
        <w:jc w:val="both"/>
        <w:rPr>
          <w:rFonts w:hint="eastAsia" w:ascii="宋体" w:hAnsi="宋体" w:cs="宋体"/>
          <w:sz w:val="24"/>
          <w:szCs w:val="24"/>
        </w:rPr>
      </w:pPr>
    </w:p>
    <w:p w14:paraId="311AE5D6">
      <w:pPr>
        <w:spacing w:line="360" w:lineRule="auto"/>
        <w:jc w:val="both"/>
        <w:rPr>
          <w:rFonts w:hint="eastAsia" w:ascii="宋体" w:hAnsi="宋体" w:cs="宋体"/>
          <w:sz w:val="24"/>
          <w:szCs w:val="24"/>
        </w:rPr>
      </w:pPr>
    </w:p>
    <w:p w14:paraId="3A113833">
      <w:pPr>
        <w:spacing w:line="360" w:lineRule="auto"/>
        <w:jc w:val="both"/>
        <w:rPr>
          <w:rFonts w:hint="eastAsia" w:ascii="宋体" w:hAnsi="宋体" w:cs="宋体"/>
          <w:sz w:val="24"/>
          <w:szCs w:val="24"/>
        </w:rPr>
      </w:pPr>
    </w:p>
    <w:p w14:paraId="3D42F8B0">
      <w:pPr>
        <w:spacing w:line="360" w:lineRule="auto"/>
        <w:jc w:val="both"/>
        <w:rPr>
          <w:rFonts w:hint="eastAsia" w:ascii="宋体" w:hAnsi="宋体" w:cs="宋体"/>
          <w:sz w:val="24"/>
          <w:szCs w:val="24"/>
        </w:rPr>
      </w:pPr>
    </w:p>
    <w:p w14:paraId="7BF72BAB">
      <w:pPr>
        <w:spacing w:line="360" w:lineRule="auto"/>
        <w:jc w:val="both"/>
        <w:rPr>
          <w:rFonts w:hint="eastAsia" w:ascii="宋体" w:hAnsi="宋体" w:cs="宋体"/>
          <w:sz w:val="24"/>
          <w:szCs w:val="24"/>
        </w:rPr>
      </w:pPr>
    </w:p>
    <w:p w14:paraId="301B02F5">
      <w:pPr>
        <w:spacing w:line="360" w:lineRule="auto"/>
        <w:jc w:val="both"/>
        <w:rPr>
          <w:rFonts w:hint="eastAsia" w:ascii="宋体" w:hAnsi="宋体" w:cs="宋体"/>
          <w:sz w:val="24"/>
          <w:szCs w:val="24"/>
        </w:rPr>
      </w:pPr>
    </w:p>
    <w:p w14:paraId="3A83D926">
      <w:pPr>
        <w:spacing w:line="360" w:lineRule="auto"/>
        <w:jc w:val="both"/>
        <w:rPr>
          <w:rFonts w:hint="eastAsia" w:ascii="宋体" w:hAnsi="宋体" w:cs="宋体"/>
          <w:sz w:val="24"/>
          <w:szCs w:val="24"/>
        </w:rPr>
      </w:pPr>
    </w:p>
    <w:p w14:paraId="2BB7637B">
      <w:pPr>
        <w:spacing w:line="360" w:lineRule="auto"/>
        <w:jc w:val="both"/>
        <w:rPr>
          <w:rFonts w:hint="eastAsia" w:ascii="宋体" w:hAnsi="宋体" w:cs="宋体"/>
          <w:sz w:val="24"/>
          <w:szCs w:val="24"/>
        </w:rPr>
      </w:pPr>
    </w:p>
    <w:p w14:paraId="0F02412C">
      <w:pPr>
        <w:spacing w:line="360" w:lineRule="auto"/>
        <w:jc w:val="both"/>
        <w:rPr>
          <w:rFonts w:hint="eastAsia" w:ascii="宋体" w:hAnsi="宋体" w:cs="宋体"/>
          <w:sz w:val="24"/>
          <w:szCs w:val="24"/>
        </w:rPr>
      </w:pPr>
    </w:p>
    <w:p w14:paraId="7F471C61">
      <w:pPr>
        <w:spacing w:line="360" w:lineRule="auto"/>
        <w:jc w:val="both"/>
        <w:rPr>
          <w:rFonts w:ascii="宋体" w:hAnsi="宋体" w:cs="宋体"/>
          <w:sz w:val="24"/>
          <w:szCs w:val="24"/>
        </w:rPr>
      </w:pPr>
      <w:r>
        <w:rPr>
          <w:rFonts w:hint="eastAsia" w:ascii="宋体" w:hAnsi="宋体" w:cs="宋体"/>
          <w:b/>
          <w:bCs/>
          <w:sz w:val="24"/>
          <w:szCs w:val="24"/>
        </w:rPr>
        <w:t>1</w:t>
      </w:r>
      <w:r>
        <w:rPr>
          <w:rFonts w:hint="eastAsia" w:ascii="宋体" w:hAnsi="宋体" w:cs="宋体"/>
          <w:sz w:val="24"/>
          <w:szCs w:val="24"/>
        </w:rPr>
        <w:t>.投标人为法人或者其他组织的，提供营业执照等证明文件（如营业执照或者事业单位法人证书或者</w:t>
      </w:r>
      <w:r>
        <w:rPr>
          <w:rStyle w:val="36"/>
          <w:sz w:val="24"/>
          <w:szCs w:val="24"/>
        </w:rPr>
        <w:t>执业许可证</w:t>
      </w:r>
      <w:r>
        <w:rPr>
          <w:rFonts w:hint="eastAsia" w:ascii="宋体" w:hAnsi="宋体" w:cs="宋体"/>
          <w:sz w:val="24"/>
          <w:szCs w:val="24"/>
        </w:rPr>
        <w:t>等），投标人为自然人的，提供身份证；（</w:t>
      </w:r>
      <w:r>
        <w:rPr>
          <w:rFonts w:hint="eastAsia" w:ascii="宋体" w:hAnsi="宋体" w:cs="宋体"/>
          <w:b/>
          <w:sz w:val="24"/>
          <w:szCs w:val="24"/>
        </w:rPr>
        <w:t>必须提供，否则作无效投标处理</w:t>
      </w:r>
      <w:r>
        <w:rPr>
          <w:rFonts w:hint="eastAsia" w:ascii="宋体" w:hAnsi="宋体" w:cs="宋体"/>
          <w:sz w:val="24"/>
          <w:szCs w:val="24"/>
        </w:rPr>
        <w:t>）</w:t>
      </w:r>
    </w:p>
    <w:p w14:paraId="427188E4">
      <w:pPr>
        <w:pStyle w:val="9"/>
        <w:spacing w:line="360" w:lineRule="auto"/>
        <w:ind w:firstLine="480" w:firstLineChars="200"/>
        <w:rPr>
          <w:rFonts w:ascii="宋体" w:hAnsi="宋体" w:cs="宋体"/>
          <w:sz w:val="24"/>
          <w:szCs w:val="24"/>
          <w:lang w:eastAsia="zh-CN"/>
        </w:rPr>
      </w:pPr>
    </w:p>
    <w:p w14:paraId="2D97A27F">
      <w:pPr>
        <w:pStyle w:val="9"/>
        <w:spacing w:line="360" w:lineRule="auto"/>
        <w:rPr>
          <w:sz w:val="24"/>
          <w:szCs w:val="24"/>
          <w:lang w:eastAsia="zh-CN"/>
        </w:rPr>
      </w:pPr>
      <w:r>
        <w:rPr>
          <w:rFonts w:hint="eastAsia" w:ascii="宋体" w:hAnsi="宋体" w:cs="宋体"/>
          <w:b/>
          <w:bCs/>
          <w:sz w:val="24"/>
          <w:szCs w:val="24"/>
          <w:lang w:eastAsia="zh-CN"/>
        </w:rPr>
        <w:t>2</w:t>
      </w:r>
      <w:r>
        <w:rPr>
          <w:rFonts w:hint="eastAsia" w:ascii="宋体" w:hAnsi="宋体" w:cs="宋体"/>
          <w:sz w:val="24"/>
          <w:szCs w:val="24"/>
          <w:lang w:eastAsia="zh-CN"/>
        </w:rPr>
        <w:t>.投标人具有有效的资质证书等证明文件；（</w:t>
      </w:r>
      <w:r>
        <w:rPr>
          <w:rFonts w:hint="eastAsia" w:ascii="宋体" w:hAnsi="宋体" w:cs="宋体"/>
          <w:b/>
          <w:sz w:val="24"/>
          <w:szCs w:val="24"/>
          <w:lang w:eastAsia="zh-CN"/>
        </w:rPr>
        <w:t>必须提供，否则投标文件按无效响应处理</w:t>
      </w:r>
      <w:r>
        <w:rPr>
          <w:rFonts w:hint="eastAsia" w:ascii="宋体" w:hAnsi="宋体" w:cs="宋体"/>
          <w:sz w:val="24"/>
          <w:szCs w:val="24"/>
          <w:lang w:eastAsia="zh-CN"/>
        </w:rPr>
        <w:t>）</w:t>
      </w:r>
    </w:p>
    <w:p w14:paraId="773A9598">
      <w:pPr>
        <w:spacing w:line="360" w:lineRule="auto"/>
        <w:ind w:firstLine="480" w:firstLineChars="200"/>
        <w:rPr>
          <w:rFonts w:ascii="宋体" w:hAnsi="宋体" w:cs="宋体"/>
          <w:sz w:val="24"/>
          <w:szCs w:val="24"/>
        </w:rPr>
      </w:pPr>
    </w:p>
    <w:p w14:paraId="79B0123C">
      <w:pPr>
        <w:spacing w:line="360" w:lineRule="auto"/>
        <w:rPr>
          <w:rFonts w:ascii="宋体" w:hAnsi="宋体" w:cs="宋体"/>
          <w:sz w:val="24"/>
          <w:szCs w:val="24"/>
        </w:rPr>
      </w:pPr>
      <w:r>
        <w:rPr>
          <w:rFonts w:hint="eastAsia" w:ascii="宋体" w:hAnsi="宋体" w:cs="宋体"/>
          <w:b/>
          <w:bCs/>
          <w:sz w:val="24"/>
          <w:szCs w:val="24"/>
        </w:rPr>
        <w:t>3</w:t>
      </w:r>
      <w:r>
        <w:rPr>
          <w:rFonts w:hint="eastAsia" w:ascii="宋体" w:hAnsi="宋体" w:cs="宋体"/>
          <w:sz w:val="24"/>
          <w:szCs w:val="24"/>
        </w:rPr>
        <w:t>.拟派项目负责人具有有效的</w:t>
      </w:r>
      <w:r>
        <w:rPr>
          <w:rFonts w:hint="eastAsia" w:eastAsia="宋体"/>
          <w:sz w:val="24"/>
          <w:szCs w:val="24"/>
          <w:lang w:eastAsia="zh-CN"/>
        </w:rPr>
        <w:t>公路工程专业二级注册建造师</w:t>
      </w:r>
      <w:r>
        <w:rPr>
          <w:rFonts w:hint="eastAsia"/>
          <w:sz w:val="24"/>
          <w:szCs w:val="24"/>
        </w:rPr>
        <w:t>执业资格</w:t>
      </w:r>
      <w:r>
        <w:rPr>
          <w:rFonts w:hint="eastAsia"/>
          <w:sz w:val="24"/>
          <w:szCs w:val="24"/>
          <w:lang w:val="en-US" w:eastAsia="zh-CN"/>
        </w:rPr>
        <w:t>和</w:t>
      </w:r>
      <w:r>
        <w:rPr>
          <w:rFonts w:hint="eastAsia"/>
          <w:sz w:val="24"/>
          <w:szCs w:val="24"/>
        </w:rPr>
        <w:t>路桥类中级职称（或以上）及具备有效的安全生产考核合格证(B类)</w:t>
      </w:r>
      <w:r>
        <w:rPr>
          <w:rFonts w:hint="eastAsia" w:ascii="宋体" w:hAnsi="宋体" w:cs="宋体"/>
          <w:sz w:val="24"/>
          <w:szCs w:val="24"/>
        </w:rPr>
        <w:t>等相关证书材料（</w:t>
      </w:r>
      <w:r>
        <w:rPr>
          <w:rFonts w:hint="eastAsia" w:ascii="宋体" w:hAnsi="宋体" w:cs="宋体"/>
          <w:b/>
          <w:sz w:val="24"/>
          <w:szCs w:val="24"/>
        </w:rPr>
        <w:t>必须提供，否则响应文件按无效响应处理</w:t>
      </w:r>
      <w:r>
        <w:rPr>
          <w:rFonts w:hint="eastAsia" w:ascii="宋体" w:hAnsi="宋体" w:cs="宋体"/>
          <w:sz w:val="24"/>
          <w:szCs w:val="24"/>
        </w:rPr>
        <w:t>）</w:t>
      </w:r>
    </w:p>
    <w:p w14:paraId="65B2B7F2">
      <w:pPr>
        <w:pStyle w:val="9"/>
        <w:spacing w:line="360" w:lineRule="auto"/>
        <w:ind w:firstLine="480" w:firstLineChars="200"/>
        <w:rPr>
          <w:rFonts w:ascii="宋体" w:hAnsi="宋体" w:cs="宋体"/>
          <w:sz w:val="24"/>
          <w:szCs w:val="24"/>
          <w:lang w:eastAsia="zh-CN"/>
        </w:rPr>
      </w:pPr>
    </w:p>
    <w:p w14:paraId="70AAA917">
      <w:pPr>
        <w:pStyle w:val="9"/>
        <w:spacing w:line="360" w:lineRule="auto"/>
        <w:rPr>
          <w:rFonts w:ascii="宋体" w:hAnsi="宋体" w:cs="宋体"/>
          <w:sz w:val="24"/>
          <w:szCs w:val="24"/>
          <w:lang w:eastAsia="zh-CN"/>
        </w:rPr>
      </w:pPr>
      <w:r>
        <w:rPr>
          <w:rFonts w:hint="eastAsia" w:ascii="宋体" w:hAnsi="宋体" w:cs="宋体"/>
          <w:b/>
          <w:bCs/>
          <w:sz w:val="24"/>
          <w:szCs w:val="24"/>
          <w:lang w:eastAsia="zh-CN"/>
        </w:rPr>
        <w:t>4</w:t>
      </w:r>
      <w:r>
        <w:rPr>
          <w:rFonts w:hint="eastAsia" w:ascii="宋体" w:hAnsi="宋体" w:cs="宋体"/>
          <w:sz w:val="24"/>
          <w:szCs w:val="24"/>
          <w:lang w:eastAsia="zh-CN"/>
        </w:rPr>
        <w:t>.投标人依法缴纳税收的相关材料（投标截止之日前半年内</w:t>
      </w:r>
      <w:r>
        <w:rPr>
          <w:rFonts w:hint="eastAsia" w:ascii="宋体" w:hAnsi="宋体" w:cs="宋体"/>
          <w:sz w:val="24"/>
          <w:szCs w:val="24"/>
          <w:lang w:val="en-US" w:eastAsia="zh-CN"/>
        </w:rPr>
        <w:t>任意</w:t>
      </w:r>
      <w:r>
        <w:rPr>
          <w:rFonts w:hint="eastAsia" w:ascii="宋体" w:hAnsi="宋体" w:cs="宋体"/>
          <w:sz w:val="24"/>
          <w:szCs w:val="24"/>
          <w:lang w:eastAsia="zh-CN"/>
        </w:rPr>
        <w:t>一个月的依法缴纳税收的凭据复印件；依法免税的供应商，必须提供相应文件证明其依法免税。从成立之日起到投标文件提交截止时间止不足要求月数的，只需提供从成立之日起的依法缴纳税收相应证明文件）；</w:t>
      </w:r>
      <w:r>
        <w:rPr>
          <w:rFonts w:hint="eastAsia" w:ascii="宋体" w:hAnsi="宋体" w:cs="宋体"/>
          <w:b/>
          <w:bCs/>
          <w:sz w:val="24"/>
          <w:szCs w:val="24"/>
          <w:lang w:eastAsia="zh-CN"/>
        </w:rPr>
        <w:t>（必须提供，否则按无效投标处理）</w:t>
      </w:r>
    </w:p>
    <w:p w14:paraId="663FEC2A">
      <w:pPr>
        <w:pStyle w:val="9"/>
        <w:spacing w:line="360" w:lineRule="auto"/>
        <w:ind w:firstLine="480" w:firstLineChars="200"/>
        <w:rPr>
          <w:rFonts w:ascii="宋体" w:hAnsi="宋体" w:cs="宋体"/>
          <w:sz w:val="24"/>
          <w:szCs w:val="24"/>
          <w:lang w:eastAsia="zh-CN"/>
        </w:rPr>
      </w:pPr>
    </w:p>
    <w:p w14:paraId="68014F56">
      <w:pPr>
        <w:pStyle w:val="9"/>
        <w:spacing w:line="360" w:lineRule="auto"/>
        <w:rPr>
          <w:rFonts w:ascii="宋体" w:hAnsi="宋体" w:cs="宋体"/>
          <w:sz w:val="24"/>
          <w:szCs w:val="24"/>
          <w:lang w:eastAsia="zh-CN"/>
        </w:rPr>
      </w:pPr>
      <w:r>
        <w:rPr>
          <w:rFonts w:hint="eastAsia" w:ascii="宋体" w:hAnsi="宋体" w:cs="宋体"/>
          <w:b/>
          <w:bCs/>
          <w:sz w:val="24"/>
          <w:szCs w:val="24"/>
          <w:lang w:eastAsia="zh-CN"/>
        </w:rPr>
        <w:t>5</w:t>
      </w:r>
      <w:r>
        <w:rPr>
          <w:rFonts w:hint="eastAsia" w:ascii="宋体" w:hAnsi="宋体" w:cs="宋体"/>
          <w:sz w:val="24"/>
          <w:szCs w:val="24"/>
          <w:lang w:eastAsia="zh-CN"/>
        </w:rPr>
        <w:t>.投标人依法缴纳社会保障资金的相关材料[</w:t>
      </w:r>
      <w:r>
        <w:rPr>
          <w:rFonts w:hint="eastAsia"/>
          <w:sz w:val="24"/>
          <w:szCs w:val="24"/>
          <w:lang w:eastAsia="zh-CN"/>
        </w:rPr>
        <w:t>投标截止前半年内任意</w:t>
      </w:r>
      <w:r>
        <w:rPr>
          <w:rFonts w:hint="eastAsia" w:ascii="宋体" w:hAnsi="宋体" w:cs="宋体"/>
          <w:sz w:val="24"/>
          <w:szCs w:val="24"/>
          <w:lang w:eastAsia="zh-CN"/>
        </w:rPr>
        <w:t>一个月的依法缴纳社会保障资金的缴费凭证（完税证明或专用收据或者社会保险缴纳清单等相关证明材料）；</w:t>
      </w:r>
      <w:r>
        <w:rPr>
          <w:rFonts w:hint="eastAsia" w:ascii="宋体" w:hAnsi="宋体"/>
          <w:sz w:val="24"/>
          <w:szCs w:val="24"/>
          <w:lang w:eastAsia="zh-CN"/>
        </w:rPr>
        <w:t>依法不需要缴纳社会保障资金的投标人，必须提供相应文件证明不需要缴纳社会保障资金；</w:t>
      </w:r>
      <w:r>
        <w:rPr>
          <w:rFonts w:hint="eastAsia" w:ascii="宋体" w:hAnsi="宋体" w:cs="宋体"/>
          <w:sz w:val="24"/>
          <w:szCs w:val="24"/>
          <w:lang w:eastAsia="zh-CN"/>
        </w:rPr>
        <w:t>或提供依法缴纳社会保障资金的承诺函（格式自拟]；（</w:t>
      </w:r>
      <w:r>
        <w:rPr>
          <w:rFonts w:hint="eastAsia" w:ascii="宋体" w:hAnsi="宋体" w:cs="宋体"/>
          <w:b/>
          <w:sz w:val="24"/>
          <w:szCs w:val="24"/>
          <w:lang w:eastAsia="zh-CN"/>
        </w:rPr>
        <w:t>必须提供，否则投标文件按无效响应处理</w:t>
      </w:r>
      <w:r>
        <w:rPr>
          <w:rFonts w:hint="eastAsia" w:ascii="宋体" w:hAnsi="宋体" w:cs="宋体"/>
          <w:sz w:val="24"/>
          <w:szCs w:val="24"/>
          <w:lang w:eastAsia="zh-CN"/>
        </w:rPr>
        <w:t>）</w:t>
      </w:r>
    </w:p>
    <w:p w14:paraId="18CD7FC1">
      <w:pPr>
        <w:pStyle w:val="9"/>
        <w:spacing w:line="360" w:lineRule="auto"/>
        <w:ind w:firstLine="480" w:firstLineChars="200"/>
        <w:rPr>
          <w:rFonts w:ascii="宋体" w:hAnsi="宋体" w:cs="宋体"/>
          <w:sz w:val="24"/>
          <w:szCs w:val="24"/>
          <w:lang w:eastAsia="zh-CN"/>
        </w:rPr>
      </w:pPr>
    </w:p>
    <w:p w14:paraId="4BB4393D">
      <w:pPr>
        <w:pStyle w:val="9"/>
        <w:spacing w:line="360" w:lineRule="auto"/>
        <w:rPr>
          <w:rFonts w:ascii="宋体" w:hAnsi="宋体" w:cs="宋体"/>
          <w:b/>
          <w:bCs/>
          <w:sz w:val="24"/>
          <w:szCs w:val="24"/>
          <w:lang w:eastAsia="zh-CN"/>
        </w:rPr>
      </w:pPr>
      <w:r>
        <w:rPr>
          <w:rFonts w:hint="eastAsia" w:ascii="宋体" w:hAnsi="宋体" w:cs="宋体"/>
          <w:b/>
          <w:bCs/>
          <w:sz w:val="24"/>
          <w:szCs w:val="24"/>
          <w:lang w:eastAsia="zh-CN"/>
        </w:rPr>
        <w:t>6</w:t>
      </w:r>
      <w:r>
        <w:rPr>
          <w:rFonts w:hint="eastAsia" w:ascii="宋体" w:hAnsi="宋体" w:cs="宋体"/>
          <w:sz w:val="24"/>
          <w:szCs w:val="24"/>
          <w:lang w:eastAsia="zh-CN"/>
        </w:rPr>
        <w:t>.2022、2023、2024年度经会计师事务所或审计机构审计的财务报告和财务会计报表，包括财务审计报告和资产负债表、现金流量表、利润表以及财务情况说明书（报表附注）等，否则所提交的财务会计报表不予认可（对于从取得营业执照时间起到投标截止时间为止不足要求年数的企业，只需提交企业取得营业执照年份至所要求最近年份经审计的财务会计报表，若是投标当年成立的企业，其财务会计报表不要求经审计）。</w:t>
      </w:r>
      <w:r>
        <w:rPr>
          <w:rFonts w:ascii="宋体" w:hAnsi="宋体" w:cs="宋体"/>
          <w:b/>
          <w:bCs/>
          <w:sz w:val="24"/>
          <w:szCs w:val="24"/>
          <w:lang w:eastAsia="zh-CN"/>
        </w:rPr>
        <w:t>（必须提供，否则</w:t>
      </w:r>
      <w:r>
        <w:rPr>
          <w:rFonts w:hint="eastAsia" w:ascii="宋体" w:hAnsi="宋体" w:cs="宋体"/>
          <w:b/>
          <w:bCs/>
          <w:sz w:val="24"/>
          <w:szCs w:val="24"/>
          <w:lang w:eastAsia="zh-CN"/>
        </w:rPr>
        <w:t>投标文件</w:t>
      </w:r>
      <w:r>
        <w:rPr>
          <w:rFonts w:ascii="宋体" w:hAnsi="宋体" w:cs="宋体"/>
          <w:b/>
          <w:bCs/>
          <w:sz w:val="24"/>
          <w:szCs w:val="24"/>
          <w:lang w:eastAsia="zh-CN"/>
        </w:rPr>
        <w:t>按无效响应处理）</w:t>
      </w:r>
    </w:p>
    <w:p w14:paraId="387AAF8E">
      <w:pPr>
        <w:ind w:firstLine="452"/>
        <w:rPr>
          <w:rFonts w:ascii="宋体" w:hAnsi="宋体" w:cs="宋体"/>
          <w:sz w:val="24"/>
          <w:szCs w:val="24"/>
        </w:rPr>
      </w:pPr>
      <w:r>
        <w:rPr>
          <w:rFonts w:hint="eastAsia" w:ascii="宋体" w:hAnsi="宋体" w:cs="宋体"/>
          <w:sz w:val="24"/>
          <w:szCs w:val="24"/>
        </w:rPr>
        <w:br w:type="page"/>
      </w:r>
    </w:p>
    <w:p w14:paraId="25409794">
      <w:pPr>
        <w:pStyle w:val="9"/>
        <w:spacing w:line="360" w:lineRule="auto"/>
        <w:rPr>
          <w:rFonts w:ascii="宋体" w:hAnsi="宋体" w:cs="宋体"/>
          <w:sz w:val="24"/>
          <w:szCs w:val="24"/>
          <w:lang w:eastAsia="zh-CN"/>
        </w:rPr>
      </w:pPr>
      <w:r>
        <w:rPr>
          <w:rFonts w:hint="eastAsia" w:ascii="宋体" w:hAnsi="宋体" w:cs="宋体"/>
          <w:b/>
          <w:bCs/>
          <w:sz w:val="24"/>
          <w:szCs w:val="24"/>
          <w:lang w:eastAsia="zh-CN"/>
        </w:rPr>
        <w:t>7</w:t>
      </w:r>
      <w:r>
        <w:rPr>
          <w:rFonts w:hint="eastAsia" w:ascii="宋体" w:hAnsi="宋体" w:cs="宋体"/>
          <w:sz w:val="24"/>
          <w:szCs w:val="24"/>
          <w:lang w:eastAsia="zh-CN"/>
        </w:rPr>
        <w:t>.投标人直接控股、管理关系信息表（格式后附）；（</w:t>
      </w:r>
      <w:r>
        <w:rPr>
          <w:rFonts w:hint="eastAsia" w:ascii="宋体" w:hAnsi="宋体" w:cs="宋体"/>
          <w:b/>
          <w:sz w:val="24"/>
          <w:szCs w:val="24"/>
          <w:lang w:eastAsia="zh-CN"/>
        </w:rPr>
        <w:t>必须提供，否则投标文件按无效响应处理</w:t>
      </w:r>
      <w:r>
        <w:rPr>
          <w:rFonts w:hint="eastAsia" w:ascii="宋体" w:hAnsi="宋体" w:cs="宋体"/>
          <w:sz w:val="24"/>
          <w:szCs w:val="24"/>
          <w:lang w:eastAsia="zh-CN"/>
        </w:rPr>
        <w:t>）</w:t>
      </w:r>
    </w:p>
    <w:p w14:paraId="0033190E">
      <w:pPr>
        <w:spacing w:before="120" w:after="50"/>
        <w:ind w:firstLine="420"/>
        <w:jc w:val="center"/>
        <w:outlineLvl w:val="1"/>
        <w:rPr>
          <w:rFonts w:ascii="宋体" w:hAnsi="宋体" w:cs="宋体"/>
          <w:b/>
          <w:sz w:val="24"/>
        </w:rPr>
      </w:pPr>
      <w:bookmarkStart w:id="278" w:name="_Toc30118"/>
      <w:bookmarkStart w:id="279" w:name="_Toc20457"/>
      <w:bookmarkStart w:id="280" w:name="_Toc28478"/>
      <w:r>
        <w:rPr>
          <w:rFonts w:hint="eastAsia" w:ascii="宋体" w:hAnsi="宋体" w:cs="宋体"/>
          <w:b/>
          <w:sz w:val="28"/>
          <w:szCs w:val="28"/>
        </w:rPr>
        <w:t>投标人直接控股、管理关系信息表</w:t>
      </w:r>
      <w:bookmarkEnd w:id="278"/>
      <w:bookmarkEnd w:id="279"/>
      <w:bookmarkEnd w:id="280"/>
    </w:p>
    <w:p w14:paraId="3783EB1F">
      <w:pPr>
        <w:spacing w:before="50" w:after="120"/>
        <w:ind w:firstLine="420"/>
        <w:jc w:val="center"/>
        <w:rPr>
          <w:rFonts w:ascii="宋体" w:hAnsi="宋体" w:cs="宋体"/>
          <w:b/>
          <w:sz w:val="28"/>
          <w:szCs w:val="28"/>
        </w:rPr>
      </w:pPr>
    </w:p>
    <w:p w14:paraId="4D93FBDD">
      <w:pPr>
        <w:spacing w:before="50" w:after="120" w:line="360" w:lineRule="auto"/>
        <w:ind w:firstLine="360"/>
        <w:jc w:val="center"/>
        <w:outlineLvl w:val="2"/>
        <w:rPr>
          <w:rFonts w:ascii="宋体" w:hAnsi="宋体" w:cs="宋体"/>
          <w:b/>
          <w:sz w:val="24"/>
        </w:rPr>
      </w:pPr>
      <w:bookmarkStart w:id="281" w:name="_Toc20026"/>
      <w:bookmarkStart w:id="282" w:name="_Toc15056"/>
      <w:r>
        <w:rPr>
          <w:rFonts w:hint="eastAsia" w:ascii="宋体" w:hAnsi="宋体" w:cs="宋体"/>
          <w:b/>
          <w:sz w:val="24"/>
        </w:rPr>
        <w:t>投标人直接控股股东信息表</w:t>
      </w:r>
      <w:bookmarkEnd w:id="281"/>
      <w:bookmarkEnd w:id="282"/>
    </w:p>
    <w:tbl>
      <w:tblPr>
        <w:tblStyle w:val="25"/>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448AC9D0">
        <w:tblPrEx>
          <w:shd w:val="clear" w:color="auto" w:fill="FBFBFB"/>
          <w:tblCellMar>
            <w:top w:w="0" w:type="dxa"/>
            <w:left w:w="0" w:type="dxa"/>
            <w:bottom w:w="0" w:type="dxa"/>
            <w:right w:w="0" w:type="dxa"/>
          </w:tblCellMar>
        </w:tblPrEx>
        <w:trPr>
          <w:tblHeader/>
        </w:trPr>
        <w:tc>
          <w:tcPr>
            <w:tcW w:w="828" w:type="dxa"/>
            <w:tcBorders>
              <w:top w:val="single" w:color="000000" w:sz="4" w:space="0"/>
              <w:left w:val="single" w:color="000000" w:sz="4" w:space="0"/>
              <w:bottom w:val="single" w:color="000000" w:sz="4" w:space="0"/>
              <w:right w:val="single" w:color="000000" w:sz="4" w:space="0"/>
            </w:tcBorders>
            <w:shd w:val="clear" w:color="auto" w:fill="EAE3D8"/>
            <w:noWrap w:val="0"/>
            <w:tcMar>
              <w:top w:w="120" w:type="dxa"/>
              <w:left w:w="120" w:type="dxa"/>
              <w:bottom w:w="120" w:type="dxa"/>
              <w:right w:w="120" w:type="dxa"/>
            </w:tcMar>
            <w:vAlign w:val="center"/>
          </w:tcPr>
          <w:p w14:paraId="2432141E">
            <w:pPr>
              <w:spacing w:line="360" w:lineRule="auto"/>
              <w:jc w:val="center"/>
              <w:rPr>
                <w:rFonts w:ascii="宋体" w:hAnsi="宋体" w:cs="宋体"/>
                <w:b/>
                <w:bCs/>
                <w:kern w:val="0"/>
                <w:szCs w:val="21"/>
              </w:rPr>
            </w:pPr>
            <w:r>
              <w:rPr>
                <w:rFonts w:hint="eastAsia" w:ascii="宋体" w:hAnsi="宋体" w:cs="宋体"/>
                <w:b/>
                <w:bCs/>
                <w:kern w:val="0"/>
                <w:szCs w:val="21"/>
              </w:rPr>
              <w:t>序号</w:t>
            </w:r>
          </w:p>
        </w:tc>
        <w:tc>
          <w:tcPr>
            <w:tcW w:w="2269" w:type="dxa"/>
            <w:tcBorders>
              <w:top w:val="single" w:color="000000" w:sz="4" w:space="0"/>
              <w:left w:val="single" w:color="000000" w:sz="4" w:space="0"/>
              <w:bottom w:val="single" w:color="000000" w:sz="4" w:space="0"/>
              <w:right w:val="single" w:color="000000" w:sz="4" w:space="0"/>
            </w:tcBorders>
            <w:shd w:val="clear" w:color="auto" w:fill="EAE3D8"/>
            <w:noWrap w:val="0"/>
            <w:tcMar>
              <w:top w:w="120" w:type="dxa"/>
              <w:left w:w="120" w:type="dxa"/>
              <w:bottom w:w="120" w:type="dxa"/>
              <w:right w:w="120" w:type="dxa"/>
            </w:tcMar>
            <w:vAlign w:val="center"/>
          </w:tcPr>
          <w:p w14:paraId="5F330C45">
            <w:pPr>
              <w:spacing w:line="360" w:lineRule="auto"/>
              <w:jc w:val="center"/>
              <w:rPr>
                <w:rFonts w:ascii="宋体" w:hAnsi="宋体" w:cs="宋体"/>
                <w:b/>
                <w:bCs/>
                <w:kern w:val="0"/>
                <w:szCs w:val="21"/>
              </w:rPr>
            </w:pPr>
            <w:r>
              <w:rPr>
                <w:rFonts w:hint="eastAsia" w:ascii="宋体" w:hAnsi="宋体" w:cs="宋体"/>
                <w:b/>
                <w:bCs/>
                <w:kern w:val="0"/>
                <w:szCs w:val="21"/>
              </w:rPr>
              <w:t>直接控股股东名称</w:t>
            </w:r>
          </w:p>
        </w:tc>
        <w:tc>
          <w:tcPr>
            <w:tcW w:w="1239" w:type="dxa"/>
            <w:tcBorders>
              <w:top w:val="single" w:color="000000" w:sz="4" w:space="0"/>
              <w:left w:val="single" w:color="000000" w:sz="4" w:space="0"/>
              <w:bottom w:val="single" w:color="000000" w:sz="4" w:space="0"/>
              <w:right w:val="single" w:color="000000" w:sz="4" w:space="0"/>
            </w:tcBorders>
            <w:shd w:val="clear" w:color="auto" w:fill="EAE3D8"/>
            <w:noWrap w:val="0"/>
            <w:tcMar>
              <w:top w:w="120" w:type="dxa"/>
              <w:left w:w="120" w:type="dxa"/>
              <w:bottom w:w="120" w:type="dxa"/>
              <w:right w:w="120" w:type="dxa"/>
            </w:tcMar>
            <w:vAlign w:val="center"/>
          </w:tcPr>
          <w:p w14:paraId="14ADED22">
            <w:pPr>
              <w:spacing w:line="360" w:lineRule="auto"/>
              <w:jc w:val="center"/>
              <w:rPr>
                <w:rFonts w:ascii="宋体" w:hAnsi="宋体" w:cs="宋体"/>
                <w:b/>
                <w:bCs/>
                <w:kern w:val="0"/>
                <w:szCs w:val="21"/>
              </w:rPr>
            </w:pPr>
            <w:r>
              <w:rPr>
                <w:rFonts w:hint="eastAsia" w:ascii="宋体" w:hAnsi="宋体" w:cs="宋体"/>
                <w:b/>
                <w:bCs/>
                <w:kern w:val="0"/>
                <w:szCs w:val="21"/>
              </w:rPr>
              <w:t>出资比例</w:t>
            </w:r>
          </w:p>
        </w:tc>
        <w:tc>
          <w:tcPr>
            <w:tcW w:w="3722" w:type="dxa"/>
            <w:tcBorders>
              <w:top w:val="single" w:color="000000" w:sz="4" w:space="0"/>
              <w:left w:val="single" w:color="000000" w:sz="4" w:space="0"/>
              <w:bottom w:val="single" w:color="000000" w:sz="4" w:space="0"/>
              <w:right w:val="single" w:color="000000" w:sz="4" w:space="0"/>
            </w:tcBorders>
            <w:shd w:val="clear" w:color="auto" w:fill="EAE3D8"/>
            <w:noWrap w:val="0"/>
            <w:tcMar>
              <w:top w:w="120" w:type="dxa"/>
              <w:left w:w="120" w:type="dxa"/>
              <w:bottom w:w="120" w:type="dxa"/>
              <w:right w:w="120" w:type="dxa"/>
            </w:tcMar>
            <w:vAlign w:val="center"/>
          </w:tcPr>
          <w:p w14:paraId="42FD7D52">
            <w:pPr>
              <w:spacing w:line="360" w:lineRule="auto"/>
              <w:jc w:val="center"/>
              <w:rPr>
                <w:rFonts w:ascii="宋体" w:hAnsi="宋体" w:cs="宋体"/>
                <w:b/>
                <w:bCs/>
                <w:kern w:val="0"/>
                <w:szCs w:val="21"/>
              </w:rPr>
            </w:pPr>
            <w:r>
              <w:rPr>
                <w:rFonts w:hint="eastAsia" w:ascii="宋体" w:hAnsi="宋体" w:cs="宋体"/>
                <w:b/>
                <w:bCs/>
                <w:kern w:val="0"/>
                <w:szCs w:val="21"/>
              </w:rPr>
              <w:t>身份证号码或者统一社会信用代码</w:t>
            </w:r>
          </w:p>
        </w:tc>
        <w:tc>
          <w:tcPr>
            <w:tcW w:w="1418" w:type="dxa"/>
            <w:tcBorders>
              <w:top w:val="single" w:color="000000" w:sz="4" w:space="0"/>
              <w:left w:val="single" w:color="000000" w:sz="4" w:space="0"/>
              <w:bottom w:val="single" w:color="000000" w:sz="4" w:space="0"/>
              <w:right w:val="single" w:color="000000" w:sz="4" w:space="0"/>
            </w:tcBorders>
            <w:shd w:val="clear" w:color="auto" w:fill="EAE3D8"/>
            <w:noWrap w:val="0"/>
            <w:tcMar>
              <w:top w:w="120" w:type="dxa"/>
              <w:left w:w="120" w:type="dxa"/>
              <w:bottom w:w="120" w:type="dxa"/>
              <w:right w:w="120" w:type="dxa"/>
            </w:tcMar>
            <w:vAlign w:val="center"/>
          </w:tcPr>
          <w:p w14:paraId="4F78DBD7">
            <w:pPr>
              <w:spacing w:line="360" w:lineRule="auto"/>
              <w:jc w:val="center"/>
              <w:rPr>
                <w:rFonts w:ascii="宋体" w:hAnsi="宋体" w:cs="宋体"/>
                <w:b/>
                <w:bCs/>
                <w:kern w:val="0"/>
                <w:szCs w:val="21"/>
              </w:rPr>
            </w:pPr>
            <w:r>
              <w:rPr>
                <w:rFonts w:hint="eastAsia" w:ascii="宋体" w:hAnsi="宋体" w:cs="宋体"/>
                <w:b/>
                <w:bCs/>
                <w:kern w:val="0"/>
                <w:szCs w:val="21"/>
              </w:rPr>
              <w:t>备注</w:t>
            </w:r>
          </w:p>
        </w:tc>
      </w:tr>
      <w:tr w14:paraId="62C3CCD8">
        <w:tblPrEx>
          <w:tblCellMar>
            <w:top w:w="0" w:type="dxa"/>
            <w:left w:w="0" w:type="dxa"/>
            <w:bottom w:w="0" w:type="dxa"/>
            <w:right w:w="0" w:type="dxa"/>
          </w:tblCellMar>
        </w:tblPrEx>
        <w:tc>
          <w:tcPr>
            <w:tcW w:w="828"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1101C9A1">
            <w:pPr>
              <w:spacing w:line="360" w:lineRule="auto"/>
              <w:ind w:firstLine="452"/>
              <w:jc w:val="center"/>
              <w:rPr>
                <w:rFonts w:ascii="宋体" w:hAnsi="宋体" w:cs="宋体"/>
                <w:kern w:val="0"/>
                <w:szCs w:val="21"/>
              </w:rPr>
            </w:pPr>
            <w:r>
              <w:rPr>
                <w:rFonts w:hint="eastAsia" w:ascii="宋体" w:hAnsi="宋体" w:cs="宋体"/>
                <w:kern w:val="0"/>
                <w:szCs w:val="21"/>
              </w:rPr>
              <w:t>1</w:t>
            </w:r>
          </w:p>
        </w:tc>
        <w:tc>
          <w:tcPr>
            <w:tcW w:w="2269"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399FDD3C">
            <w:pPr>
              <w:spacing w:line="360" w:lineRule="auto"/>
              <w:ind w:firstLine="452"/>
              <w:jc w:val="center"/>
              <w:rPr>
                <w:rFonts w:ascii="宋体" w:hAnsi="宋体" w:cs="宋体"/>
                <w:kern w:val="0"/>
                <w:szCs w:val="21"/>
              </w:rPr>
            </w:pPr>
          </w:p>
        </w:tc>
        <w:tc>
          <w:tcPr>
            <w:tcW w:w="1239"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45523FDB">
            <w:pPr>
              <w:spacing w:line="360" w:lineRule="auto"/>
              <w:ind w:firstLine="452"/>
              <w:jc w:val="center"/>
              <w:rPr>
                <w:rFonts w:ascii="宋体" w:hAnsi="宋体" w:cs="宋体"/>
                <w:kern w:val="0"/>
                <w:szCs w:val="21"/>
              </w:rPr>
            </w:pPr>
          </w:p>
        </w:tc>
        <w:tc>
          <w:tcPr>
            <w:tcW w:w="3722"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2B6C1E82">
            <w:pPr>
              <w:spacing w:line="360" w:lineRule="auto"/>
              <w:ind w:firstLine="452"/>
              <w:jc w:val="center"/>
              <w:rPr>
                <w:rFonts w:ascii="宋体" w:hAnsi="宋体" w:cs="宋体"/>
                <w:kern w:val="0"/>
                <w:szCs w:val="21"/>
              </w:rPr>
            </w:pPr>
          </w:p>
        </w:tc>
        <w:tc>
          <w:tcPr>
            <w:tcW w:w="1418"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2112CAFC">
            <w:pPr>
              <w:spacing w:line="360" w:lineRule="auto"/>
              <w:ind w:firstLine="452"/>
              <w:jc w:val="center"/>
              <w:rPr>
                <w:rFonts w:ascii="宋体" w:hAnsi="宋体" w:cs="宋体"/>
                <w:kern w:val="0"/>
                <w:szCs w:val="21"/>
              </w:rPr>
            </w:pPr>
          </w:p>
        </w:tc>
      </w:tr>
      <w:tr w14:paraId="2FBDFA1A">
        <w:tblPrEx>
          <w:tblCellMar>
            <w:top w:w="0" w:type="dxa"/>
            <w:left w:w="0" w:type="dxa"/>
            <w:bottom w:w="0" w:type="dxa"/>
            <w:right w:w="0" w:type="dxa"/>
          </w:tblCellMar>
        </w:tblPrEx>
        <w:tc>
          <w:tcPr>
            <w:tcW w:w="828"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0858F8B2">
            <w:pPr>
              <w:spacing w:line="360" w:lineRule="auto"/>
              <w:ind w:firstLine="452"/>
              <w:jc w:val="center"/>
              <w:rPr>
                <w:rFonts w:ascii="宋体" w:hAnsi="宋体" w:cs="宋体"/>
                <w:kern w:val="0"/>
                <w:szCs w:val="21"/>
              </w:rPr>
            </w:pPr>
            <w:r>
              <w:rPr>
                <w:rFonts w:hint="eastAsia" w:ascii="宋体" w:hAnsi="宋体" w:cs="宋体"/>
                <w:kern w:val="0"/>
                <w:szCs w:val="21"/>
              </w:rPr>
              <w:t>2</w:t>
            </w:r>
          </w:p>
        </w:tc>
        <w:tc>
          <w:tcPr>
            <w:tcW w:w="2269"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11FD0DF7">
            <w:pPr>
              <w:spacing w:line="360" w:lineRule="auto"/>
              <w:ind w:firstLine="452"/>
              <w:jc w:val="center"/>
              <w:rPr>
                <w:rFonts w:ascii="宋体" w:hAnsi="宋体" w:cs="宋体"/>
                <w:kern w:val="0"/>
                <w:szCs w:val="21"/>
              </w:rPr>
            </w:pPr>
          </w:p>
        </w:tc>
        <w:tc>
          <w:tcPr>
            <w:tcW w:w="1239"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75CF5435">
            <w:pPr>
              <w:spacing w:line="360" w:lineRule="auto"/>
              <w:ind w:firstLine="452"/>
              <w:jc w:val="center"/>
              <w:rPr>
                <w:rFonts w:ascii="宋体" w:hAnsi="宋体" w:cs="宋体"/>
                <w:kern w:val="0"/>
                <w:szCs w:val="21"/>
              </w:rPr>
            </w:pPr>
          </w:p>
        </w:tc>
        <w:tc>
          <w:tcPr>
            <w:tcW w:w="3722"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46BC823C">
            <w:pPr>
              <w:spacing w:line="360" w:lineRule="auto"/>
              <w:ind w:firstLine="452"/>
              <w:jc w:val="center"/>
              <w:rPr>
                <w:rFonts w:ascii="宋体" w:hAnsi="宋体" w:cs="宋体"/>
                <w:kern w:val="0"/>
                <w:szCs w:val="21"/>
              </w:rPr>
            </w:pPr>
          </w:p>
        </w:tc>
        <w:tc>
          <w:tcPr>
            <w:tcW w:w="1418"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60AA2739">
            <w:pPr>
              <w:spacing w:line="360" w:lineRule="auto"/>
              <w:ind w:firstLine="452"/>
              <w:jc w:val="center"/>
              <w:rPr>
                <w:rFonts w:ascii="宋体" w:hAnsi="宋体" w:cs="宋体"/>
                <w:kern w:val="0"/>
                <w:szCs w:val="21"/>
              </w:rPr>
            </w:pPr>
          </w:p>
        </w:tc>
      </w:tr>
      <w:tr w14:paraId="7EA89ED6">
        <w:tblPrEx>
          <w:tblCellMar>
            <w:top w:w="0" w:type="dxa"/>
            <w:left w:w="0" w:type="dxa"/>
            <w:bottom w:w="0" w:type="dxa"/>
            <w:right w:w="0" w:type="dxa"/>
          </w:tblCellMar>
        </w:tblPrEx>
        <w:tc>
          <w:tcPr>
            <w:tcW w:w="828"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09FF29D1">
            <w:pPr>
              <w:spacing w:line="360" w:lineRule="auto"/>
              <w:ind w:firstLine="452"/>
              <w:jc w:val="center"/>
              <w:rPr>
                <w:rFonts w:ascii="宋体" w:hAnsi="宋体" w:cs="宋体"/>
                <w:kern w:val="0"/>
                <w:szCs w:val="21"/>
              </w:rPr>
            </w:pPr>
            <w:r>
              <w:rPr>
                <w:rFonts w:hint="eastAsia" w:ascii="宋体" w:hAnsi="宋体" w:cs="宋体"/>
                <w:kern w:val="0"/>
                <w:szCs w:val="21"/>
              </w:rPr>
              <w:t>3</w:t>
            </w:r>
          </w:p>
        </w:tc>
        <w:tc>
          <w:tcPr>
            <w:tcW w:w="2269"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68112B54">
            <w:pPr>
              <w:spacing w:line="360" w:lineRule="auto"/>
              <w:ind w:firstLine="452"/>
              <w:jc w:val="center"/>
              <w:rPr>
                <w:rFonts w:ascii="宋体" w:hAnsi="宋体" w:cs="宋体"/>
                <w:kern w:val="0"/>
                <w:szCs w:val="21"/>
              </w:rPr>
            </w:pPr>
          </w:p>
        </w:tc>
        <w:tc>
          <w:tcPr>
            <w:tcW w:w="1239"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3FA12D73">
            <w:pPr>
              <w:spacing w:line="360" w:lineRule="auto"/>
              <w:ind w:firstLine="452"/>
              <w:jc w:val="center"/>
              <w:rPr>
                <w:rFonts w:ascii="宋体" w:hAnsi="宋体" w:cs="宋体"/>
                <w:kern w:val="0"/>
                <w:szCs w:val="21"/>
              </w:rPr>
            </w:pPr>
          </w:p>
        </w:tc>
        <w:tc>
          <w:tcPr>
            <w:tcW w:w="3722"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2543CDA9">
            <w:pPr>
              <w:spacing w:line="360" w:lineRule="auto"/>
              <w:ind w:firstLine="452"/>
              <w:jc w:val="center"/>
              <w:rPr>
                <w:rFonts w:ascii="宋体" w:hAnsi="宋体" w:cs="宋体"/>
                <w:kern w:val="0"/>
                <w:szCs w:val="21"/>
              </w:rPr>
            </w:pPr>
          </w:p>
        </w:tc>
        <w:tc>
          <w:tcPr>
            <w:tcW w:w="1418"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06FA605F">
            <w:pPr>
              <w:spacing w:line="360" w:lineRule="auto"/>
              <w:ind w:firstLine="452"/>
              <w:jc w:val="center"/>
              <w:rPr>
                <w:rFonts w:ascii="宋体" w:hAnsi="宋体" w:cs="宋体"/>
                <w:kern w:val="0"/>
                <w:szCs w:val="21"/>
              </w:rPr>
            </w:pPr>
          </w:p>
        </w:tc>
      </w:tr>
      <w:tr w14:paraId="2648077E">
        <w:tblPrEx>
          <w:tblCellMar>
            <w:top w:w="0" w:type="dxa"/>
            <w:left w:w="0" w:type="dxa"/>
            <w:bottom w:w="0" w:type="dxa"/>
            <w:right w:w="0" w:type="dxa"/>
          </w:tblCellMar>
        </w:tblPrEx>
        <w:tc>
          <w:tcPr>
            <w:tcW w:w="828"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6DF3CED5">
            <w:pPr>
              <w:spacing w:line="360" w:lineRule="auto"/>
              <w:ind w:firstLine="452"/>
              <w:jc w:val="center"/>
              <w:rPr>
                <w:rFonts w:ascii="宋体" w:hAnsi="宋体" w:cs="宋体"/>
                <w:kern w:val="0"/>
                <w:szCs w:val="21"/>
              </w:rPr>
            </w:pPr>
            <w:r>
              <w:rPr>
                <w:rFonts w:hint="eastAsia" w:ascii="宋体" w:hAnsi="宋体" w:cs="宋体"/>
                <w:kern w:val="0"/>
                <w:szCs w:val="21"/>
              </w:rPr>
              <w:t>……</w:t>
            </w:r>
          </w:p>
        </w:tc>
        <w:tc>
          <w:tcPr>
            <w:tcW w:w="2269"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13607737">
            <w:pPr>
              <w:spacing w:line="360" w:lineRule="auto"/>
              <w:ind w:firstLine="452"/>
              <w:jc w:val="center"/>
              <w:rPr>
                <w:rFonts w:ascii="宋体" w:hAnsi="宋体" w:cs="宋体"/>
                <w:kern w:val="0"/>
                <w:szCs w:val="21"/>
              </w:rPr>
            </w:pPr>
          </w:p>
        </w:tc>
        <w:tc>
          <w:tcPr>
            <w:tcW w:w="1239"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43B6F57C">
            <w:pPr>
              <w:spacing w:line="360" w:lineRule="auto"/>
              <w:ind w:firstLine="452"/>
              <w:jc w:val="center"/>
              <w:rPr>
                <w:rFonts w:ascii="宋体" w:hAnsi="宋体" w:cs="宋体"/>
                <w:kern w:val="0"/>
                <w:szCs w:val="21"/>
              </w:rPr>
            </w:pPr>
          </w:p>
        </w:tc>
        <w:tc>
          <w:tcPr>
            <w:tcW w:w="3722"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6C907803">
            <w:pPr>
              <w:spacing w:line="360" w:lineRule="auto"/>
              <w:ind w:firstLine="452"/>
              <w:jc w:val="center"/>
              <w:rPr>
                <w:rFonts w:ascii="宋体" w:hAnsi="宋体" w:cs="宋体"/>
                <w:kern w:val="0"/>
                <w:szCs w:val="21"/>
              </w:rPr>
            </w:pPr>
          </w:p>
        </w:tc>
        <w:tc>
          <w:tcPr>
            <w:tcW w:w="1418"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3EDDB07D">
            <w:pPr>
              <w:spacing w:line="360" w:lineRule="auto"/>
              <w:ind w:firstLine="452"/>
              <w:jc w:val="center"/>
              <w:rPr>
                <w:rFonts w:ascii="宋体" w:hAnsi="宋体" w:cs="宋体"/>
                <w:kern w:val="0"/>
                <w:szCs w:val="21"/>
              </w:rPr>
            </w:pPr>
          </w:p>
        </w:tc>
      </w:tr>
    </w:tbl>
    <w:p w14:paraId="136C61F0">
      <w:pPr>
        <w:spacing w:line="360" w:lineRule="auto"/>
        <w:ind w:firstLine="452"/>
        <w:jc w:val="left"/>
        <w:rPr>
          <w:rFonts w:ascii="宋体" w:hAnsi="宋体" w:cs="宋体"/>
          <w:szCs w:val="21"/>
        </w:rPr>
      </w:pPr>
      <w:r>
        <w:rPr>
          <w:rFonts w:hint="eastAsia" w:ascii="宋体" w:hAnsi="宋体" w:cs="宋体"/>
          <w:szCs w:val="21"/>
        </w:rPr>
        <w:t>注：</w:t>
      </w:r>
    </w:p>
    <w:p w14:paraId="35E792D3">
      <w:pPr>
        <w:spacing w:line="360" w:lineRule="auto"/>
        <w:ind w:firstLine="452"/>
        <w:jc w:val="left"/>
        <w:rPr>
          <w:rFonts w:ascii="宋体" w:hAnsi="宋体" w:cs="宋体"/>
          <w:szCs w:val="21"/>
        </w:rPr>
      </w:pPr>
      <w:r>
        <w:rPr>
          <w:rFonts w:hint="eastAsia" w:ascii="宋体" w:hAnsi="宋体" w:cs="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5D6FD84">
      <w:pPr>
        <w:spacing w:line="360" w:lineRule="auto"/>
        <w:ind w:firstLine="452"/>
        <w:jc w:val="left"/>
        <w:rPr>
          <w:rFonts w:ascii="宋体" w:hAnsi="宋体" w:cs="宋体"/>
          <w:szCs w:val="21"/>
        </w:rPr>
      </w:pPr>
      <w:r>
        <w:rPr>
          <w:rFonts w:hint="eastAsia" w:ascii="宋体" w:hAnsi="宋体" w:cs="宋体"/>
          <w:szCs w:val="21"/>
        </w:rPr>
        <w:t>2.本表所指的控股关系仅限于直接控股关系，不包括间接的控股关系。公司实际控制人与公司之间的关系不属于本表所指的直接控股关系。</w:t>
      </w:r>
    </w:p>
    <w:p w14:paraId="02CB736A">
      <w:pPr>
        <w:spacing w:line="360" w:lineRule="auto"/>
        <w:ind w:firstLine="452"/>
        <w:jc w:val="left"/>
        <w:rPr>
          <w:rFonts w:ascii="宋体" w:hAnsi="宋体" w:cs="宋体"/>
          <w:szCs w:val="21"/>
        </w:rPr>
      </w:pPr>
      <w:r>
        <w:rPr>
          <w:rFonts w:hint="eastAsia" w:ascii="宋体" w:hAnsi="宋体" w:cs="宋体"/>
          <w:szCs w:val="21"/>
        </w:rPr>
        <w:t>3.投标人不存在直接控股股东的，则填“无”。</w:t>
      </w:r>
    </w:p>
    <w:p w14:paraId="171B3418">
      <w:pPr>
        <w:spacing w:line="360" w:lineRule="auto"/>
        <w:ind w:firstLine="361"/>
        <w:jc w:val="left"/>
        <w:rPr>
          <w:rFonts w:ascii="宋体" w:hAnsi="宋体" w:cs="宋体"/>
          <w:sz w:val="24"/>
        </w:rPr>
      </w:pPr>
    </w:p>
    <w:p w14:paraId="429A85C8">
      <w:pPr>
        <w:spacing w:line="360" w:lineRule="auto"/>
        <w:ind w:firstLine="361"/>
        <w:jc w:val="left"/>
        <w:rPr>
          <w:rFonts w:ascii="宋体" w:hAnsi="宋体" w:cs="宋体"/>
          <w:sz w:val="24"/>
        </w:rPr>
      </w:pPr>
    </w:p>
    <w:p w14:paraId="4D5062F7">
      <w:pPr>
        <w:pStyle w:val="15"/>
        <w:spacing w:line="320" w:lineRule="exact"/>
        <w:ind w:firstLine="361"/>
        <w:rPr>
          <w:rFonts w:hAnsi="宋体" w:cs="宋体"/>
          <w:sz w:val="24"/>
          <w:lang w:eastAsia="zh-CN"/>
        </w:rPr>
      </w:pPr>
    </w:p>
    <w:p w14:paraId="0495501F">
      <w:pPr>
        <w:pStyle w:val="15"/>
        <w:spacing w:line="360" w:lineRule="auto"/>
        <w:ind w:firstLine="316"/>
        <w:rPr>
          <w:rFonts w:hAnsi="宋体" w:cs="宋体"/>
          <w:sz w:val="21"/>
          <w:lang w:eastAsia="zh-CN"/>
        </w:rPr>
      </w:pPr>
      <w:r>
        <w:rPr>
          <w:rFonts w:hint="eastAsia" w:hAnsi="宋体" w:cs="宋体"/>
          <w:sz w:val="21"/>
          <w:lang w:eastAsia="zh-CN"/>
        </w:rPr>
        <w:t>法定代表人或者委托代理人签字[或盖章(CA签章)]</w:t>
      </w:r>
    </w:p>
    <w:p w14:paraId="4D271A22">
      <w:pPr>
        <w:spacing w:before="120" w:line="360" w:lineRule="auto"/>
        <w:ind w:right="480" w:firstLine="452"/>
        <w:rPr>
          <w:rFonts w:ascii="宋体" w:hAnsi="宋体" w:cs="宋体"/>
          <w:szCs w:val="21"/>
          <w:u w:val="single"/>
        </w:rPr>
      </w:pPr>
      <w:r>
        <w:rPr>
          <w:rFonts w:hint="eastAsia" w:ascii="宋体" w:hAnsi="宋体" w:cs="宋体"/>
          <w:szCs w:val="21"/>
        </w:rPr>
        <w:t>（属自然人的应在签名处加盖大拇指指印或个人CA签章）：</w:t>
      </w:r>
    </w:p>
    <w:p w14:paraId="60B127F2">
      <w:pPr>
        <w:wordWrap w:val="0"/>
        <w:spacing w:before="120" w:line="360" w:lineRule="auto"/>
        <w:ind w:right="480" w:firstLine="452"/>
        <w:rPr>
          <w:rFonts w:ascii="宋体" w:hAnsi="宋体" w:cs="宋体"/>
          <w:szCs w:val="21"/>
        </w:rPr>
      </w:pPr>
      <w:r>
        <w:rPr>
          <w:rFonts w:hint="eastAsia" w:ascii="宋体" w:hAnsi="宋体" w:cs="宋体"/>
          <w:szCs w:val="21"/>
        </w:rPr>
        <w:t>投标人[公章(CA签章)、自然人除外]：</w:t>
      </w:r>
    </w:p>
    <w:p w14:paraId="54A90AD5">
      <w:pPr>
        <w:spacing w:before="120" w:after="50" w:line="360" w:lineRule="auto"/>
        <w:ind w:right="480" w:firstLine="452"/>
        <w:rPr>
          <w:rFonts w:ascii="宋体" w:hAnsi="宋体" w:cs="宋体"/>
          <w:szCs w:val="21"/>
          <w:u w:val="single"/>
        </w:rPr>
      </w:pPr>
      <w:r>
        <w:rPr>
          <w:rFonts w:hint="eastAsia" w:ascii="宋体" w:hAnsi="宋体" w:cs="宋体"/>
          <w:szCs w:val="21"/>
          <w:u w:val="single"/>
        </w:rPr>
        <w:t>年    月    日</w:t>
      </w:r>
    </w:p>
    <w:p w14:paraId="0EE5D66D">
      <w:pPr>
        <w:spacing w:before="120" w:after="50" w:line="360" w:lineRule="auto"/>
        <w:ind w:right="480" w:firstLine="452"/>
        <w:rPr>
          <w:rFonts w:ascii="宋体" w:hAnsi="宋体" w:cs="宋体"/>
          <w:szCs w:val="21"/>
          <w:u w:val="single"/>
        </w:rPr>
      </w:pPr>
    </w:p>
    <w:p w14:paraId="6086BC05">
      <w:pPr>
        <w:spacing w:before="120" w:after="50" w:line="360" w:lineRule="auto"/>
        <w:ind w:right="480" w:firstLine="452"/>
        <w:rPr>
          <w:rFonts w:ascii="宋体" w:hAnsi="宋体" w:cs="宋体"/>
          <w:szCs w:val="21"/>
          <w:u w:val="single"/>
        </w:rPr>
      </w:pPr>
    </w:p>
    <w:p w14:paraId="29B9F8C0">
      <w:pPr>
        <w:spacing w:before="120" w:after="50" w:line="360" w:lineRule="auto"/>
        <w:ind w:right="480" w:firstLine="452"/>
        <w:rPr>
          <w:rFonts w:ascii="宋体" w:hAnsi="宋体" w:cs="宋体"/>
          <w:szCs w:val="21"/>
          <w:u w:val="single"/>
        </w:rPr>
      </w:pPr>
    </w:p>
    <w:p w14:paraId="107B4E38">
      <w:pPr>
        <w:spacing w:line="360" w:lineRule="auto"/>
        <w:ind w:firstLine="360"/>
        <w:jc w:val="center"/>
        <w:outlineLvl w:val="2"/>
        <w:rPr>
          <w:rFonts w:ascii="宋体" w:hAnsi="宋体" w:cs="宋体"/>
          <w:sz w:val="24"/>
        </w:rPr>
      </w:pPr>
      <w:bookmarkStart w:id="283" w:name="_Toc6916"/>
      <w:bookmarkStart w:id="284" w:name="_Toc21705"/>
      <w:r>
        <w:rPr>
          <w:rFonts w:hint="eastAsia" w:ascii="宋体" w:hAnsi="宋体" w:cs="宋体"/>
          <w:b/>
          <w:sz w:val="24"/>
        </w:rPr>
        <w:t>投标人直接管理关系信息表</w:t>
      </w:r>
      <w:bookmarkEnd w:id="283"/>
      <w:bookmarkEnd w:id="284"/>
    </w:p>
    <w:tbl>
      <w:tblPr>
        <w:tblStyle w:val="25"/>
        <w:tblW w:w="0" w:type="auto"/>
        <w:tblInd w:w="0" w:type="dxa"/>
        <w:shd w:val="clear" w:color="auto" w:fill="FBFBFB"/>
        <w:tblLayout w:type="fixed"/>
        <w:tblCellMar>
          <w:top w:w="0" w:type="dxa"/>
          <w:left w:w="0" w:type="dxa"/>
          <w:bottom w:w="0" w:type="dxa"/>
          <w:right w:w="0" w:type="dxa"/>
        </w:tblCellMar>
      </w:tblPr>
      <w:tblGrid>
        <w:gridCol w:w="1005"/>
        <w:gridCol w:w="2659"/>
        <w:gridCol w:w="3924"/>
        <w:gridCol w:w="1612"/>
      </w:tblGrid>
      <w:tr w14:paraId="77151A92">
        <w:tblPrEx>
          <w:shd w:val="clear" w:color="auto" w:fill="FBFBFB"/>
          <w:tblCellMar>
            <w:top w:w="0" w:type="dxa"/>
            <w:left w:w="0" w:type="dxa"/>
            <w:bottom w:w="0" w:type="dxa"/>
            <w:right w:w="0" w:type="dxa"/>
          </w:tblCellMar>
        </w:tblPrEx>
        <w:trPr>
          <w:tblHeader/>
        </w:trPr>
        <w:tc>
          <w:tcPr>
            <w:tcW w:w="1005" w:type="dxa"/>
            <w:tcBorders>
              <w:top w:val="single" w:color="000000" w:sz="4" w:space="0"/>
              <w:left w:val="single" w:color="000000" w:sz="4" w:space="0"/>
              <w:bottom w:val="single" w:color="000000" w:sz="4" w:space="0"/>
              <w:right w:val="single" w:color="000000" w:sz="4" w:space="0"/>
            </w:tcBorders>
            <w:shd w:val="clear" w:color="auto" w:fill="EAE3D8"/>
            <w:noWrap w:val="0"/>
            <w:tcMar>
              <w:top w:w="120" w:type="dxa"/>
              <w:left w:w="120" w:type="dxa"/>
              <w:bottom w:w="120" w:type="dxa"/>
              <w:right w:w="120" w:type="dxa"/>
            </w:tcMar>
            <w:vAlign w:val="center"/>
          </w:tcPr>
          <w:p w14:paraId="5FCDB3F2">
            <w:pPr>
              <w:spacing w:line="360" w:lineRule="auto"/>
              <w:jc w:val="center"/>
              <w:rPr>
                <w:rFonts w:hint="eastAsia" w:ascii="宋体" w:hAnsi="宋体" w:cs="宋体"/>
                <w:b/>
                <w:bCs/>
                <w:kern w:val="0"/>
                <w:szCs w:val="21"/>
              </w:rPr>
            </w:pPr>
            <w:r>
              <w:rPr>
                <w:rFonts w:hint="eastAsia" w:ascii="宋体" w:hAnsi="宋体" w:cs="宋体"/>
                <w:b/>
                <w:bCs/>
                <w:kern w:val="0"/>
                <w:szCs w:val="21"/>
              </w:rPr>
              <w:t>序号</w:t>
            </w:r>
          </w:p>
        </w:tc>
        <w:tc>
          <w:tcPr>
            <w:tcW w:w="2659" w:type="dxa"/>
            <w:tcBorders>
              <w:top w:val="single" w:color="000000" w:sz="4" w:space="0"/>
              <w:left w:val="single" w:color="000000" w:sz="4" w:space="0"/>
              <w:bottom w:val="single" w:color="000000" w:sz="4" w:space="0"/>
              <w:right w:val="single" w:color="000000" w:sz="4" w:space="0"/>
            </w:tcBorders>
            <w:shd w:val="clear" w:color="auto" w:fill="EAE3D8"/>
            <w:noWrap w:val="0"/>
            <w:tcMar>
              <w:top w:w="120" w:type="dxa"/>
              <w:left w:w="120" w:type="dxa"/>
              <w:bottom w:w="120" w:type="dxa"/>
              <w:right w:w="120" w:type="dxa"/>
            </w:tcMar>
            <w:vAlign w:val="center"/>
          </w:tcPr>
          <w:p w14:paraId="33AE83AC">
            <w:pPr>
              <w:spacing w:line="360" w:lineRule="auto"/>
              <w:jc w:val="center"/>
              <w:rPr>
                <w:rFonts w:hint="eastAsia" w:ascii="宋体" w:hAnsi="宋体" w:cs="宋体"/>
                <w:b/>
                <w:bCs/>
                <w:kern w:val="0"/>
                <w:szCs w:val="21"/>
              </w:rPr>
            </w:pPr>
            <w:r>
              <w:rPr>
                <w:rFonts w:hint="eastAsia" w:ascii="宋体" w:hAnsi="宋体" w:cs="宋体"/>
                <w:b/>
                <w:bCs/>
                <w:kern w:val="0"/>
                <w:szCs w:val="21"/>
              </w:rPr>
              <w:t>直接管理关系单位名称</w:t>
            </w:r>
          </w:p>
        </w:tc>
        <w:tc>
          <w:tcPr>
            <w:tcW w:w="3924" w:type="dxa"/>
            <w:tcBorders>
              <w:top w:val="single" w:color="000000" w:sz="4" w:space="0"/>
              <w:left w:val="single" w:color="000000" w:sz="4" w:space="0"/>
              <w:bottom w:val="single" w:color="000000" w:sz="4" w:space="0"/>
              <w:right w:val="single" w:color="000000" w:sz="4" w:space="0"/>
            </w:tcBorders>
            <w:shd w:val="clear" w:color="auto" w:fill="EAE3D8"/>
            <w:noWrap w:val="0"/>
            <w:tcMar>
              <w:top w:w="120" w:type="dxa"/>
              <w:left w:w="120" w:type="dxa"/>
              <w:bottom w:w="120" w:type="dxa"/>
              <w:right w:w="120" w:type="dxa"/>
            </w:tcMar>
            <w:vAlign w:val="center"/>
          </w:tcPr>
          <w:p w14:paraId="349AE1DA">
            <w:pPr>
              <w:spacing w:line="360" w:lineRule="auto"/>
              <w:jc w:val="center"/>
              <w:rPr>
                <w:rFonts w:hint="eastAsia" w:ascii="宋体" w:hAnsi="宋体" w:cs="宋体"/>
                <w:b/>
                <w:bCs/>
                <w:kern w:val="0"/>
                <w:szCs w:val="21"/>
              </w:rPr>
            </w:pPr>
            <w:r>
              <w:rPr>
                <w:rFonts w:hint="eastAsia" w:ascii="宋体" w:hAnsi="宋体" w:cs="宋体"/>
                <w:b/>
                <w:bCs/>
                <w:kern w:val="0"/>
                <w:szCs w:val="21"/>
              </w:rPr>
              <w:t>统一社会信用代码</w:t>
            </w:r>
          </w:p>
        </w:tc>
        <w:tc>
          <w:tcPr>
            <w:tcW w:w="1612" w:type="dxa"/>
            <w:tcBorders>
              <w:top w:val="single" w:color="000000" w:sz="4" w:space="0"/>
              <w:left w:val="single" w:color="000000" w:sz="4" w:space="0"/>
              <w:bottom w:val="single" w:color="000000" w:sz="4" w:space="0"/>
              <w:right w:val="single" w:color="000000" w:sz="4" w:space="0"/>
            </w:tcBorders>
            <w:shd w:val="clear" w:color="auto" w:fill="EAE3D8"/>
            <w:noWrap w:val="0"/>
            <w:tcMar>
              <w:top w:w="120" w:type="dxa"/>
              <w:left w:w="120" w:type="dxa"/>
              <w:bottom w:w="120" w:type="dxa"/>
              <w:right w:w="120" w:type="dxa"/>
            </w:tcMar>
            <w:vAlign w:val="center"/>
          </w:tcPr>
          <w:p w14:paraId="498726A9">
            <w:pPr>
              <w:spacing w:line="360" w:lineRule="auto"/>
              <w:jc w:val="center"/>
              <w:rPr>
                <w:rFonts w:hint="eastAsia" w:ascii="宋体" w:hAnsi="宋体" w:cs="宋体"/>
                <w:b/>
                <w:bCs/>
                <w:kern w:val="0"/>
                <w:szCs w:val="21"/>
              </w:rPr>
            </w:pPr>
            <w:r>
              <w:rPr>
                <w:rFonts w:hint="eastAsia" w:ascii="宋体" w:hAnsi="宋体" w:cs="宋体"/>
                <w:b/>
                <w:bCs/>
                <w:kern w:val="0"/>
                <w:szCs w:val="21"/>
              </w:rPr>
              <w:t>备注</w:t>
            </w:r>
          </w:p>
        </w:tc>
      </w:tr>
      <w:tr w14:paraId="6E08D9D7">
        <w:tblPrEx>
          <w:tblCellMar>
            <w:top w:w="0" w:type="dxa"/>
            <w:left w:w="0" w:type="dxa"/>
            <w:bottom w:w="0" w:type="dxa"/>
            <w:right w:w="0" w:type="dxa"/>
          </w:tblCellMar>
        </w:tblPrEx>
        <w:tc>
          <w:tcPr>
            <w:tcW w:w="1005"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4C9D784D">
            <w:pPr>
              <w:spacing w:line="360" w:lineRule="auto"/>
              <w:ind w:firstLine="452"/>
              <w:jc w:val="center"/>
              <w:rPr>
                <w:rFonts w:ascii="宋体" w:hAnsi="宋体" w:cs="宋体"/>
                <w:kern w:val="0"/>
                <w:szCs w:val="21"/>
              </w:rPr>
            </w:pPr>
            <w:r>
              <w:rPr>
                <w:rFonts w:hint="eastAsia" w:ascii="宋体" w:hAnsi="宋体" w:cs="宋体"/>
                <w:kern w:val="0"/>
                <w:szCs w:val="21"/>
              </w:rPr>
              <w:t>1</w:t>
            </w:r>
          </w:p>
        </w:tc>
        <w:tc>
          <w:tcPr>
            <w:tcW w:w="2659"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0B11D66B">
            <w:pPr>
              <w:spacing w:line="360" w:lineRule="auto"/>
              <w:ind w:firstLine="452"/>
              <w:jc w:val="center"/>
              <w:rPr>
                <w:rFonts w:ascii="宋体" w:hAnsi="宋体" w:cs="宋体"/>
                <w:kern w:val="0"/>
                <w:szCs w:val="21"/>
              </w:rPr>
            </w:pPr>
          </w:p>
        </w:tc>
        <w:tc>
          <w:tcPr>
            <w:tcW w:w="3924"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760D2A90">
            <w:pPr>
              <w:spacing w:line="360" w:lineRule="auto"/>
              <w:ind w:firstLine="452"/>
              <w:jc w:val="center"/>
              <w:rPr>
                <w:rFonts w:ascii="宋体" w:hAnsi="宋体" w:cs="宋体"/>
                <w:kern w:val="0"/>
                <w:szCs w:val="21"/>
              </w:rPr>
            </w:pPr>
          </w:p>
        </w:tc>
        <w:tc>
          <w:tcPr>
            <w:tcW w:w="1612"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69142688">
            <w:pPr>
              <w:spacing w:line="360" w:lineRule="auto"/>
              <w:ind w:firstLine="452"/>
              <w:jc w:val="center"/>
              <w:rPr>
                <w:rFonts w:ascii="宋体" w:hAnsi="宋体" w:cs="宋体"/>
                <w:kern w:val="0"/>
                <w:szCs w:val="21"/>
              </w:rPr>
            </w:pPr>
          </w:p>
        </w:tc>
      </w:tr>
      <w:tr w14:paraId="5FDFE442">
        <w:tblPrEx>
          <w:tblCellMar>
            <w:top w:w="0" w:type="dxa"/>
            <w:left w:w="0" w:type="dxa"/>
            <w:bottom w:w="0" w:type="dxa"/>
            <w:right w:w="0" w:type="dxa"/>
          </w:tblCellMar>
        </w:tblPrEx>
        <w:tc>
          <w:tcPr>
            <w:tcW w:w="1005"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02EE469E">
            <w:pPr>
              <w:spacing w:line="360" w:lineRule="auto"/>
              <w:ind w:firstLine="452"/>
              <w:jc w:val="center"/>
              <w:rPr>
                <w:rFonts w:ascii="宋体" w:hAnsi="宋体" w:cs="宋体"/>
                <w:kern w:val="0"/>
                <w:szCs w:val="21"/>
              </w:rPr>
            </w:pPr>
            <w:r>
              <w:rPr>
                <w:rFonts w:hint="eastAsia" w:ascii="宋体" w:hAnsi="宋体" w:cs="宋体"/>
                <w:kern w:val="0"/>
                <w:szCs w:val="21"/>
              </w:rPr>
              <w:t>2</w:t>
            </w:r>
          </w:p>
        </w:tc>
        <w:tc>
          <w:tcPr>
            <w:tcW w:w="2659"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72FFCDA6">
            <w:pPr>
              <w:spacing w:line="360" w:lineRule="auto"/>
              <w:ind w:firstLine="452"/>
              <w:jc w:val="center"/>
              <w:rPr>
                <w:rFonts w:ascii="宋体" w:hAnsi="宋体" w:cs="宋体"/>
                <w:kern w:val="0"/>
                <w:szCs w:val="21"/>
              </w:rPr>
            </w:pPr>
          </w:p>
        </w:tc>
        <w:tc>
          <w:tcPr>
            <w:tcW w:w="3924"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23AF7DDA">
            <w:pPr>
              <w:spacing w:line="360" w:lineRule="auto"/>
              <w:ind w:firstLine="452"/>
              <w:jc w:val="center"/>
              <w:rPr>
                <w:rFonts w:ascii="宋体" w:hAnsi="宋体" w:cs="宋体"/>
                <w:kern w:val="0"/>
                <w:szCs w:val="21"/>
              </w:rPr>
            </w:pPr>
          </w:p>
        </w:tc>
        <w:tc>
          <w:tcPr>
            <w:tcW w:w="1612"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021089C6">
            <w:pPr>
              <w:spacing w:line="360" w:lineRule="auto"/>
              <w:ind w:firstLine="452"/>
              <w:jc w:val="center"/>
              <w:rPr>
                <w:rFonts w:ascii="宋体" w:hAnsi="宋体" w:cs="宋体"/>
                <w:kern w:val="0"/>
                <w:szCs w:val="21"/>
              </w:rPr>
            </w:pPr>
          </w:p>
        </w:tc>
      </w:tr>
      <w:tr w14:paraId="1B850F37">
        <w:tblPrEx>
          <w:tblCellMar>
            <w:top w:w="0" w:type="dxa"/>
            <w:left w:w="0" w:type="dxa"/>
            <w:bottom w:w="0" w:type="dxa"/>
            <w:right w:w="0" w:type="dxa"/>
          </w:tblCellMar>
        </w:tblPrEx>
        <w:tc>
          <w:tcPr>
            <w:tcW w:w="1005"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5AB3FF29">
            <w:pPr>
              <w:spacing w:line="360" w:lineRule="auto"/>
              <w:ind w:firstLine="452"/>
              <w:jc w:val="center"/>
              <w:rPr>
                <w:rFonts w:ascii="宋体" w:hAnsi="宋体" w:cs="宋体"/>
                <w:kern w:val="0"/>
                <w:szCs w:val="21"/>
              </w:rPr>
            </w:pPr>
            <w:r>
              <w:rPr>
                <w:rFonts w:hint="eastAsia" w:ascii="宋体" w:hAnsi="宋体" w:cs="宋体"/>
                <w:kern w:val="0"/>
                <w:szCs w:val="21"/>
              </w:rPr>
              <w:t>3</w:t>
            </w:r>
          </w:p>
        </w:tc>
        <w:tc>
          <w:tcPr>
            <w:tcW w:w="2659"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5342E5CF">
            <w:pPr>
              <w:spacing w:line="360" w:lineRule="auto"/>
              <w:ind w:firstLine="452"/>
              <w:jc w:val="center"/>
              <w:rPr>
                <w:rFonts w:ascii="宋体" w:hAnsi="宋体" w:cs="宋体"/>
                <w:kern w:val="0"/>
                <w:szCs w:val="21"/>
              </w:rPr>
            </w:pPr>
          </w:p>
        </w:tc>
        <w:tc>
          <w:tcPr>
            <w:tcW w:w="3924"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4E84CAE7">
            <w:pPr>
              <w:spacing w:line="360" w:lineRule="auto"/>
              <w:ind w:firstLine="452"/>
              <w:jc w:val="center"/>
              <w:rPr>
                <w:rFonts w:ascii="宋体" w:hAnsi="宋体" w:cs="宋体"/>
                <w:kern w:val="0"/>
                <w:szCs w:val="21"/>
              </w:rPr>
            </w:pPr>
          </w:p>
        </w:tc>
        <w:tc>
          <w:tcPr>
            <w:tcW w:w="1612"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49F1EE31">
            <w:pPr>
              <w:spacing w:line="360" w:lineRule="auto"/>
              <w:ind w:firstLine="452"/>
              <w:jc w:val="center"/>
              <w:rPr>
                <w:rFonts w:ascii="宋体" w:hAnsi="宋体" w:cs="宋体"/>
                <w:kern w:val="0"/>
                <w:szCs w:val="21"/>
              </w:rPr>
            </w:pPr>
          </w:p>
        </w:tc>
      </w:tr>
      <w:tr w14:paraId="2A6A5DCA">
        <w:tblPrEx>
          <w:tblCellMar>
            <w:top w:w="0" w:type="dxa"/>
            <w:left w:w="0" w:type="dxa"/>
            <w:bottom w:w="0" w:type="dxa"/>
            <w:right w:w="0" w:type="dxa"/>
          </w:tblCellMar>
        </w:tblPrEx>
        <w:tc>
          <w:tcPr>
            <w:tcW w:w="1005"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080A9F6C">
            <w:pPr>
              <w:spacing w:line="360" w:lineRule="auto"/>
              <w:ind w:firstLine="452"/>
              <w:jc w:val="center"/>
              <w:rPr>
                <w:rFonts w:ascii="宋体" w:hAnsi="宋体" w:cs="宋体"/>
                <w:kern w:val="0"/>
                <w:szCs w:val="21"/>
              </w:rPr>
            </w:pPr>
            <w:r>
              <w:rPr>
                <w:rFonts w:hint="eastAsia" w:ascii="宋体" w:hAnsi="宋体" w:cs="宋体"/>
                <w:kern w:val="0"/>
                <w:szCs w:val="21"/>
              </w:rPr>
              <w:t>……</w:t>
            </w:r>
          </w:p>
        </w:tc>
        <w:tc>
          <w:tcPr>
            <w:tcW w:w="2659"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7FE6771F">
            <w:pPr>
              <w:spacing w:line="360" w:lineRule="auto"/>
              <w:ind w:firstLine="452"/>
              <w:jc w:val="center"/>
              <w:rPr>
                <w:rFonts w:ascii="宋体" w:hAnsi="宋体" w:cs="宋体"/>
                <w:kern w:val="0"/>
                <w:szCs w:val="21"/>
              </w:rPr>
            </w:pPr>
          </w:p>
        </w:tc>
        <w:tc>
          <w:tcPr>
            <w:tcW w:w="3924"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34C0A9A5">
            <w:pPr>
              <w:spacing w:line="360" w:lineRule="auto"/>
              <w:ind w:firstLine="452"/>
              <w:jc w:val="center"/>
              <w:rPr>
                <w:rFonts w:ascii="宋体" w:hAnsi="宋体" w:cs="宋体"/>
                <w:kern w:val="0"/>
                <w:szCs w:val="21"/>
              </w:rPr>
            </w:pPr>
          </w:p>
        </w:tc>
        <w:tc>
          <w:tcPr>
            <w:tcW w:w="1612" w:type="dxa"/>
            <w:tcBorders>
              <w:top w:val="single" w:color="000000" w:sz="4" w:space="0"/>
              <w:left w:val="single" w:color="000000" w:sz="4" w:space="0"/>
              <w:bottom w:val="single" w:color="000000" w:sz="4" w:space="0"/>
              <w:right w:val="single" w:color="000000" w:sz="4" w:space="0"/>
            </w:tcBorders>
            <w:shd w:val="clear" w:color="auto" w:fill="F9F9F9"/>
            <w:noWrap w:val="0"/>
            <w:tcMar>
              <w:top w:w="120" w:type="dxa"/>
              <w:left w:w="120" w:type="dxa"/>
              <w:bottom w:w="120" w:type="dxa"/>
              <w:right w:w="120" w:type="dxa"/>
            </w:tcMar>
            <w:vAlign w:val="center"/>
          </w:tcPr>
          <w:p w14:paraId="3D34225A">
            <w:pPr>
              <w:spacing w:line="360" w:lineRule="auto"/>
              <w:ind w:firstLine="452"/>
              <w:jc w:val="center"/>
              <w:rPr>
                <w:rFonts w:ascii="宋体" w:hAnsi="宋体" w:cs="宋体"/>
                <w:kern w:val="0"/>
                <w:szCs w:val="21"/>
              </w:rPr>
            </w:pPr>
          </w:p>
        </w:tc>
      </w:tr>
    </w:tbl>
    <w:p w14:paraId="37A8EC4C">
      <w:pPr>
        <w:spacing w:line="360" w:lineRule="auto"/>
        <w:ind w:firstLine="452"/>
        <w:jc w:val="left"/>
        <w:rPr>
          <w:rFonts w:ascii="宋体" w:hAnsi="宋体" w:cs="宋体"/>
          <w:szCs w:val="21"/>
        </w:rPr>
      </w:pPr>
      <w:r>
        <w:rPr>
          <w:rFonts w:hint="eastAsia" w:ascii="宋体" w:hAnsi="宋体" w:cs="宋体"/>
          <w:szCs w:val="21"/>
        </w:rPr>
        <w:t>注：</w:t>
      </w:r>
    </w:p>
    <w:p w14:paraId="5198B93E">
      <w:pPr>
        <w:spacing w:line="360" w:lineRule="auto"/>
        <w:ind w:firstLine="420" w:firstLineChars="200"/>
        <w:jc w:val="left"/>
        <w:rPr>
          <w:rFonts w:ascii="宋体" w:hAnsi="宋体" w:cs="宋体"/>
          <w:szCs w:val="21"/>
        </w:rPr>
      </w:pPr>
      <w:r>
        <w:rPr>
          <w:rFonts w:hint="eastAsia" w:ascii="宋体" w:hAnsi="宋体" w:cs="宋体"/>
          <w:szCs w:val="21"/>
        </w:rPr>
        <w:t>1.管理关系：是指不具有出资持股关系的其他单位之间存在的管理与被管理关系，如一些上下级关系的事业单位和团体组织。</w:t>
      </w:r>
    </w:p>
    <w:p w14:paraId="21A57B7F">
      <w:pPr>
        <w:spacing w:line="360" w:lineRule="auto"/>
        <w:ind w:firstLine="420" w:firstLineChars="200"/>
        <w:jc w:val="left"/>
        <w:rPr>
          <w:rFonts w:ascii="宋体" w:hAnsi="宋体" w:cs="宋体"/>
          <w:szCs w:val="21"/>
        </w:rPr>
      </w:pPr>
      <w:r>
        <w:rPr>
          <w:rFonts w:hint="eastAsia" w:ascii="宋体" w:hAnsi="宋体" w:cs="宋体"/>
          <w:szCs w:val="21"/>
        </w:rPr>
        <w:t>2.</w:t>
      </w:r>
      <w:r>
        <w:rPr>
          <w:rFonts w:hint="eastAsia" w:ascii="宋体" w:hAnsi="宋体" w:cs="宋体"/>
          <w:spacing w:val="-6"/>
          <w:szCs w:val="21"/>
        </w:rPr>
        <w:t>本表所指的管理关系仅限于直接管理关系，不包括间接的管理关系。</w:t>
      </w:r>
    </w:p>
    <w:p w14:paraId="53801566">
      <w:pPr>
        <w:spacing w:line="360" w:lineRule="auto"/>
        <w:ind w:firstLine="420" w:firstLineChars="200"/>
        <w:jc w:val="left"/>
        <w:rPr>
          <w:rFonts w:ascii="宋体" w:hAnsi="宋体" w:cs="宋体"/>
          <w:szCs w:val="21"/>
        </w:rPr>
      </w:pPr>
      <w:r>
        <w:rPr>
          <w:rFonts w:hint="eastAsia" w:ascii="宋体" w:hAnsi="宋体" w:cs="宋体"/>
          <w:szCs w:val="21"/>
        </w:rPr>
        <w:t>3.投标人不存在直接管理关系的，则填“无”。</w:t>
      </w:r>
    </w:p>
    <w:p w14:paraId="255A044B">
      <w:pPr>
        <w:spacing w:line="360" w:lineRule="auto"/>
        <w:ind w:firstLine="452"/>
        <w:jc w:val="left"/>
        <w:rPr>
          <w:rFonts w:ascii="宋体" w:hAnsi="宋体" w:cs="宋体"/>
          <w:szCs w:val="21"/>
        </w:rPr>
      </w:pPr>
    </w:p>
    <w:p w14:paraId="6DC127B1">
      <w:pPr>
        <w:spacing w:line="360" w:lineRule="auto"/>
        <w:ind w:firstLine="361"/>
        <w:jc w:val="left"/>
        <w:rPr>
          <w:rFonts w:ascii="宋体" w:hAnsi="宋体" w:cs="宋体"/>
          <w:sz w:val="24"/>
        </w:rPr>
      </w:pPr>
    </w:p>
    <w:p w14:paraId="614E26DF">
      <w:pPr>
        <w:spacing w:line="360" w:lineRule="auto"/>
        <w:ind w:firstLine="361"/>
        <w:jc w:val="left"/>
        <w:rPr>
          <w:rFonts w:ascii="宋体" w:hAnsi="宋体" w:cs="宋体"/>
          <w:sz w:val="24"/>
        </w:rPr>
      </w:pPr>
    </w:p>
    <w:p w14:paraId="09F515A6">
      <w:pPr>
        <w:spacing w:line="360" w:lineRule="auto"/>
        <w:ind w:firstLine="361"/>
        <w:jc w:val="left"/>
        <w:rPr>
          <w:rFonts w:ascii="宋体" w:hAnsi="宋体" w:cs="宋体"/>
          <w:sz w:val="24"/>
        </w:rPr>
      </w:pPr>
    </w:p>
    <w:p w14:paraId="74C1A4B9">
      <w:pPr>
        <w:spacing w:line="360" w:lineRule="auto"/>
        <w:ind w:firstLine="361"/>
        <w:jc w:val="left"/>
        <w:rPr>
          <w:rFonts w:ascii="宋体" w:hAnsi="宋体" w:cs="宋体"/>
          <w:sz w:val="24"/>
        </w:rPr>
      </w:pPr>
    </w:p>
    <w:p w14:paraId="6FD5C009">
      <w:pPr>
        <w:spacing w:line="360" w:lineRule="auto"/>
        <w:ind w:firstLine="361"/>
        <w:jc w:val="left"/>
        <w:rPr>
          <w:rFonts w:ascii="宋体" w:hAnsi="宋体" w:cs="宋体"/>
          <w:sz w:val="24"/>
        </w:rPr>
      </w:pPr>
    </w:p>
    <w:p w14:paraId="22DB1C6A">
      <w:pPr>
        <w:spacing w:line="360" w:lineRule="auto"/>
        <w:ind w:firstLine="452"/>
        <w:jc w:val="left"/>
        <w:rPr>
          <w:rFonts w:ascii="宋体" w:hAnsi="宋体" w:cs="宋体"/>
          <w:szCs w:val="21"/>
        </w:rPr>
      </w:pPr>
    </w:p>
    <w:p w14:paraId="4A79B9F3">
      <w:pPr>
        <w:pStyle w:val="15"/>
        <w:spacing w:line="360" w:lineRule="auto"/>
        <w:ind w:firstLine="316"/>
        <w:rPr>
          <w:rFonts w:hAnsi="宋体" w:cs="宋体"/>
          <w:sz w:val="21"/>
          <w:lang w:eastAsia="zh-CN"/>
        </w:rPr>
      </w:pPr>
      <w:r>
        <w:rPr>
          <w:rFonts w:hint="eastAsia" w:hAnsi="宋体" w:cs="宋体"/>
          <w:sz w:val="21"/>
          <w:lang w:eastAsia="zh-CN"/>
        </w:rPr>
        <w:t>法定代表人或者委托代理人签字[或盖章(CA签章)]</w:t>
      </w:r>
    </w:p>
    <w:p w14:paraId="3036AFC7">
      <w:pPr>
        <w:spacing w:before="120" w:line="360" w:lineRule="auto"/>
        <w:ind w:right="480" w:firstLine="452"/>
        <w:rPr>
          <w:rFonts w:ascii="宋体" w:hAnsi="宋体" w:cs="宋体"/>
          <w:szCs w:val="21"/>
          <w:u w:val="single"/>
        </w:rPr>
      </w:pPr>
      <w:r>
        <w:rPr>
          <w:rFonts w:hint="eastAsia" w:ascii="宋体" w:hAnsi="宋体" w:cs="宋体"/>
          <w:szCs w:val="21"/>
        </w:rPr>
        <w:t>（属自然人的应在签名处加盖大拇指指印或个人CA签章）：</w:t>
      </w:r>
    </w:p>
    <w:p w14:paraId="280E5A99">
      <w:pPr>
        <w:spacing w:before="120" w:after="50" w:line="360" w:lineRule="auto"/>
        <w:ind w:right="480" w:firstLine="452"/>
        <w:rPr>
          <w:rFonts w:ascii="宋体" w:hAnsi="宋体" w:cs="宋体"/>
          <w:szCs w:val="21"/>
        </w:rPr>
      </w:pPr>
      <w:r>
        <w:rPr>
          <w:rFonts w:hint="eastAsia" w:ascii="宋体" w:hAnsi="宋体" w:cs="宋体"/>
          <w:szCs w:val="21"/>
        </w:rPr>
        <w:t>投标人[公章(CA签章)、自然人除外]：</w:t>
      </w:r>
    </w:p>
    <w:p w14:paraId="15EDD8A6">
      <w:pPr>
        <w:spacing w:before="120" w:after="50" w:line="360" w:lineRule="auto"/>
        <w:ind w:right="480" w:firstLine="210" w:firstLineChars="100"/>
        <w:rPr>
          <w:rFonts w:ascii="宋体" w:hAnsi="宋体" w:cs="宋体"/>
          <w:szCs w:val="21"/>
        </w:rPr>
      </w:pPr>
      <w:r>
        <w:rPr>
          <w:rFonts w:hint="eastAsia" w:ascii="宋体" w:hAnsi="宋体" w:cs="宋体"/>
          <w:szCs w:val="21"/>
        </w:rPr>
        <w:t xml:space="preserve"> 年    月    日</w:t>
      </w:r>
    </w:p>
    <w:p w14:paraId="36C66CF5">
      <w:pPr>
        <w:ind w:firstLine="452"/>
        <w:rPr>
          <w:rFonts w:ascii="宋体" w:hAnsi="宋体" w:cs="宋体"/>
          <w:szCs w:val="21"/>
        </w:rPr>
      </w:pPr>
      <w:r>
        <w:rPr>
          <w:rFonts w:hint="eastAsia" w:ascii="宋体" w:hAnsi="宋体" w:cs="宋体"/>
          <w:szCs w:val="21"/>
        </w:rPr>
        <w:br w:type="page"/>
      </w:r>
    </w:p>
    <w:p w14:paraId="3754C280">
      <w:pPr>
        <w:pStyle w:val="9"/>
        <w:spacing w:line="360" w:lineRule="auto"/>
        <w:rPr>
          <w:rFonts w:ascii="宋体" w:hAnsi="宋体" w:cs="宋体"/>
          <w:szCs w:val="21"/>
          <w:lang w:eastAsia="zh-CN"/>
        </w:rPr>
      </w:pPr>
      <w:r>
        <w:rPr>
          <w:rFonts w:hint="eastAsia" w:ascii="宋体" w:hAnsi="宋体" w:cs="宋体"/>
          <w:b/>
          <w:bCs/>
          <w:sz w:val="24"/>
          <w:szCs w:val="24"/>
          <w:lang w:eastAsia="zh-CN"/>
        </w:rPr>
        <w:t>8</w:t>
      </w:r>
      <w:r>
        <w:rPr>
          <w:rFonts w:hint="eastAsia" w:ascii="宋体" w:hAnsi="宋体" w:cs="宋体"/>
          <w:sz w:val="24"/>
          <w:szCs w:val="24"/>
          <w:lang w:eastAsia="zh-CN"/>
        </w:rPr>
        <w:t>.投标声明（格式后附）；（</w:t>
      </w:r>
      <w:r>
        <w:rPr>
          <w:rFonts w:hint="eastAsia" w:ascii="宋体" w:hAnsi="宋体" w:cs="宋体"/>
          <w:b/>
          <w:sz w:val="24"/>
          <w:szCs w:val="24"/>
          <w:lang w:eastAsia="zh-CN"/>
        </w:rPr>
        <w:t>必须提供，否则投标文件按无效响应处理</w:t>
      </w:r>
      <w:r>
        <w:rPr>
          <w:rFonts w:hint="eastAsia" w:ascii="宋体" w:hAnsi="宋体" w:cs="宋体"/>
          <w:sz w:val="24"/>
          <w:szCs w:val="24"/>
          <w:lang w:eastAsia="zh-CN"/>
        </w:rPr>
        <w:t>）</w:t>
      </w:r>
    </w:p>
    <w:p w14:paraId="3B0B83B3">
      <w:pPr>
        <w:spacing w:before="50" w:after="120"/>
        <w:ind w:firstLine="480"/>
        <w:jc w:val="center"/>
        <w:outlineLvl w:val="1"/>
        <w:rPr>
          <w:rFonts w:ascii="宋体" w:hAnsi="宋体" w:cs="宋体"/>
          <w:b/>
          <w:sz w:val="32"/>
          <w:szCs w:val="32"/>
        </w:rPr>
      </w:pPr>
      <w:bookmarkStart w:id="285" w:name="_Toc12168"/>
      <w:bookmarkStart w:id="286" w:name="_Toc5820"/>
      <w:bookmarkStart w:id="287" w:name="_Toc11867"/>
      <w:r>
        <w:rPr>
          <w:rFonts w:hint="eastAsia" w:ascii="宋体" w:hAnsi="宋体" w:cs="宋体"/>
          <w:b/>
          <w:sz w:val="32"/>
          <w:szCs w:val="32"/>
        </w:rPr>
        <w:t>投标声明</w:t>
      </w:r>
      <w:bookmarkEnd w:id="285"/>
      <w:bookmarkEnd w:id="286"/>
      <w:bookmarkEnd w:id="287"/>
    </w:p>
    <w:p w14:paraId="2889C2E0">
      <w:pPr>
        <w:spacing w:before="50" w:after="120"/>
        <w:ind w:firstLine="361"/>
        <w:jc w:val="left"/>
        <w:rPr>
          <w:rFonts w:ascii="宋体" w:hAnsi="宋体" w:cs="宋体"/>
          <w:sz w:val="24"/>
          <w:u w:val="single"/>
        </w:rPr>
      </w:pPr>
    </w:p>
    <w:p w14:paraId="43992F80">
      <w:pPr>
        <w:spacing w:line="360" w:lineRule="auto"/>
        <w:ind w:firstLine="452"/>
        <w:jc w:val="left"/>
        <w:rPr>
          <w:rFonts w:ascii="宋体" w:hAnsi="宋体" w:cs="宋体"/>
          <w:szCs w:val="21"/>
          <w:u w:val="single"/>
        </w:rPr>
      </w:pPr>
      <w:r>
        <w:rPr>
          <w:rFonts w:hint="eastAsia" w:ascii="宋体" w:hAnsi="宋体" w:cs="宋体"/>
          <w:szCs w:val="21"/>
          <w:u w:val="single"/>
        </w:rPr>
        <w:t>（采购人名称）：</w:t>
      </w:r>
    </w:p>
    <w:p w14:paraId="4FA7FAAB">
      <w:pPr>
        <w:spacing w:line="360" w:lineRule="auto"/>
        <w:ind w:firstLine="452"/>
        <w:jc w:val="left"/>
        <w:rPr>
          <w:rFonts w:ascii="宋体" w:hAnsi="宋体" w:cs="宋体"/>
          <w:szCs w:val="21"/>
        </w:rPr>
      </w:pPr>
      <w:r>
        <w:rPr>
          <w:rFonts w:hint="eastAsia" w:ascii="宋体" w:hAnsi="宋体" w:cs="宋体"/>
          <w:szCs w:val="21"/>
        </w:rPr>
        <w:t>我方参加贵单位组织项目（项目编号：</w:t>
      </w:r>
      <w:r>
        <w:rPr>
          <w:rFonts w:hint="eastAsia" w:ascii="宋体" w:hAnsi="宋体" w:cs="宋体"/>
          <w:szCs w:val="21"/>
          <w:u w:val="single"/>
        </w:rPr>
        <w:t>）</w:t>
      </w:r>
      <w:r>
        <w:rPr>
          <w:rFonts w:hint="eastAsia" w:ascii="宋体" w:hAnsi="宋体" w:cs="宋体"/>
          <w:szCs w:val="21"/>
        </w:rPr>
        <w:t>的政府采购活动。我方在此郑重声明：</w:t>
      </w:r>
    </w:p>
    <w:p w14:paraId="4F959C36">
      <w:pPr>
        <w:spacing w:line="360" w:lineRule="auto"/>
        <w:ind w:firstLine="420" w:firstLineChars="200"/>
        <w:jc w:val="left"/>
        <w:rPr>
          <w:rFonts w:ascii="宋体" w:hAnsi="宋体" w:cs="宋体"/>
          <w:szCs w:val="21"/>
        </w:rPr>
      </w:pPr>
      <w:r>
        <w:rPr>
          <w:rFonts w:hint="eastAsia" w:ascii="宋体" w:hAnsi="宋体" w:cs="宋体"/>
          <w:szCs w:val="21"/>
        </w:rPr>
        <w:t>1.我方参加本项目的政府采购活动前三年内在经营活动中没有重大违法记录（重大违法记录是指投标人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投标人资格条件，我方对此声明负全部法律责任。</w:t>
      </w:r>
    </w:p>
    <w:p w14:paraId="2938369A">
      <w:pPr>
        <w:spacing w:line="360" w:lineRule="auto"/>
        <w:ind w:firstLine="420" w:firstLineChars="200"/>
        <w:jc w:val="left"/>
        <w:rPr>
          <w:rFonts w:ascii="宋体" w:hAnsi="宋体" w:cs="宋体"/>
          <w:szCs w:val="21"/>
        </w:rPr>
      </w:pPr>
      <w:r>
        <w:rPr>
          <w:rFonts w:hint="eastAsia" w:ascii="宋体" w:hAnsi="宋体" w:cs="宋体"/>
          <w:szCs w:val="21"/>
        </w:rPr>
        <w:t>2.我方不是采购人的附属机构；不是为本次采购项目提供整体设计、规范编制或者项目管理、监理、检测等服务的投标人；在获知本项目采购信息后，与采购人聘请的为此项目提供咨询服务的公司及其附属机构没有任何联系。</w:t>
      </w:r>
    </w:p>
    <w:p w14:paraId="131D3A1C">
      <w:pPr>
        <w:spacing w:line="360" w:lineRule="auto"/>
        <w:ind w:firstLine="420" w:firstLineChars="200"/>
        <w:jc w:val="left"/>
        <w:rPr>
          <w:rFonts w:ascii="宋体" w:hAnsi="宋体" w:cs="宋体"/>
          <w:szCs w:val="21"/>
        </w:rPr>
      </w:pPr>
      <w:r>
        <w:rPr>
          <w:rFonts w:hint="eastAsia" w:ascii="宋体" w:hAnsi="宋体" w:cs="宋体"/>
          <w:szCs w:val="21"/>
        </w:rPr>
        <w:t>3. 我方承诺符合《中华人民共和国政府采购法》第二十二条规定：</w:t>
      </w:r>
    </w:p>
    <w:p w14:paraId="39743035">
      <w:pPr>
        <w:spacing w:line="360" w:lineRule="auto"/>
        <w:ind w:firstLine="420" w:firstLineChars="200"/>
        <w:jc w:val="left"/>
        <w:rPr>
          <w:rFonts w:ascii="宋体" w:hAnsi="宋体" w:cs="宋体"/>
          <w:szCs w:val="21"/>
        </w:rPr>
      </w:pPr>
      <w:r>
        <w:rPr>
          <w:rFonts w:hint="eastAsia" w:ascii="宋体" w:hAnsi="宋体" w:cs="宋体"/>
          <w:szCs w:val="21"/>
        </w:rPr>
        <w:t>（一）具有独立承担民事责任的能力；</w:t>
      </w:r>
    </w:p>
    <w:p w14:paraId="39596DE6">
      <w:pPr>
        <w:spacing w:line="360" w:lineRule="auto"/>
        <w:ind w:firstLine="420" w:firstLineChars="200"/>
        <w:jc w:val="left"/>
        <w:rPr>
          <w:rFonts w:ascii="宋体" w:hAnsi="宋体" w:cs="宋体"/>
          <w:szCs w:val="21"/>
        </w:rPr>
      </w:pPr>
      <w:r>
        <w:rPr>
          <w:rFonts w:hint="eastAsia" w:ascii="宋体" w:hAnsi="宋体" w:cs="宋体"/>
          <w:szCs w:val="21"/>
        </w:rPr>
        <w:t>（二）具有良好的商业信誉和健全的财务会计制度；</w:t>
      </w:r>
    </w:p>
    <w:p w14:paraId="27E83EA9">
      <w:pPr>
        <w:spacing w:line="360" w:lineRule="auto"/>
        <w:ind w:firstLine="420" w:firstLineChars="200"/>
        <w:jc w:val="left"/>
        <w:rPr>
          <w:rFonts w:ascii="宋体" w:hAnsi="宋体" w:cs="宋体"/>
          <w:szCs w:val="21"/>
        </w:rPr>
      </w:pPr>
      <w:r>
        <w:rPr>
          <w:rFonts w:hint="eastAsia" w:ascii="宋体" w:hAnsi="宋体" w:cs="宋体"/>
          <w:szCs w:val="21"/>
        </w:rPr>
        <w:t>（三）具有履行合同所必需的设备和专业技术能力；</w:t>
      </w:r>
    </w:p>
    <w:p w14:paraId="2209BBF5">
      <w:pPr>
        <w:spacing w:line="360" w:lineRule="auto"/>
        <w:ind w:firstLine="420" w:firstLineChars="200"/>
        <w:jc w:val="left"/>
        <w:rPr>
          <w:rFonts w:ascii="宋体" w:hAnsi="宋体" w:cs="宋体"/>
          <w:szCs w:val="21"/>
        </w:rPr>
      </w:pPr>
      <w:r>
        <w:rPr>
          <w:rFonts w:hint="eastAsia" w:ascii="宋体" w:hAnsi="宋体" w:cs="宋体"/>
          <w:szCs w:val="21"/>
        </w:rPr>
        <w:t>（四）有依法缴纳税收和社会保障资金的良好记录；</w:t>
      </w:r>
    </w:p>
    <w:p w14:paraId="1BD73B7D">
      <w:pPr>
        <w:spacing w:line="360" w:lineRule="auto"/>
        <w:ind w:firstLine="420" w:firstLineChars="200"/>
        <w:jc w:val="left"/>
        <w:rPr>
          <w:rFonts w:ascii="宋体" w:hAnsi="宋体" w:cs="宋体"/>
          <w:szCs w:val="21"/>
        </w:rPr>
      </w:pPr>
      <w:r>
        <w:rPr>
          <w:rFonts w:hint="eastAsia" w:ascii="宋体" w:hAnsi="宋体" w:cs="宋体"/>
          <w:szCs w:val="21"/>
        </w:rPr>
        <w:t>（五）参加政府采购活动前三年内，在经营活动中没有重大违法记录；</w:t>
      </w:r>
    </w:p>
    <w:p w14:paraId="1803F10E">
      <w:pPr>
        <w:spacing w:line="360" w:lineRule="auto"/>
        <w:ind w:firstLine="420" w:firstLineChars="200"/>
        <w:jc w:val="left"/>
        <w:rPr>
          <w:rFonts w:ascii="宋体" w:hAnsi="宋体" w:cs="宋体"/>
          <w:szCs w:val="21"/>
        </w:rPr>
      </w:pPr>
      <w:r>
        <w:rPr>
          <w:rFonts w:hint="eastAsia" w:ascii="宋体" w:hAnsi="宋体" w:cs="宋体"/>
          <w:szCs w:val="21"/>
        </w:rPr>
        <w:t>（六）法律、行政法规规定的其他条件。</w:t>
      </w:r>
    </w:p>
    <w:p w14:paraId="14D2E23E">
      <w:pPr>
        <w:spacing w:line="360" w:lineRule="auto"/>
        <w:ind w:firstLine="420" w:firstLineChars="200"/>
        <w:jc w:val="left"/>
        <w:rPr>
          <w:rFonts w:ascii="宋体" w:hAnsi="宋体" w:cs="宋体"/>
          <w:szCs w:val="21"/>
        </w:rPr>
      </w:pPr>
      <w:r>
        <w:rPr>
          <w:rFonts w:hint="eastAsia" w:ascii="宋体" w:hAnsi="宋体" w:cs="宋体"/>
          <w:szCs w:val="21"/>
        </w:rPr>
        <w:t>4.以上事项如有虚假或者隐瞒，我方愿意承担一切后果，并不再寻求任何旨在减轻或者免除法律责任的辩解。</w:t>
      </w:r>
    </w:p>
    <w:p w14:paraId="52128416">
      <w:pPr>
        <w:spacing w:line="360" w:lineRule="auto"/>
        <w:ind w:firstLine="452"/>
        <w:jc w:val="left"/>
        <w:rPr>
          <w:rFonts w:ascii="宋体" w:hAnsi="宋体" w:cs="宋体"/>
          <w:szCs w:val="21"/>
        </w:rPr>
      </w:pPr>
      <w:r>
        <w:rPr>
          <w:rFonts w:hint="eastAsia" w:ascii="宋体" w:hAnsi="宋体" w:cs="宋体"/>
          <w:szCs w:val="21"/>
        </w:rPr>
        <w:t xml:space="preserve">    特此承诺。</w:t>
      </w:r>
    </w:p>
    <w:p w14:paraId="0CD2E3B0">
      <w:pPr>
        <w:pStyle w:val="15"/>
        <w:spacing w:line="360" w:lineRule="auto"/>
        <w:ind w:firstLine="316"/>
        <w:jc w:val="left"/>
        <w:rPr>
          <w:rFonts w:hint="default" w:hAnsi="宋体" w:cs="宋体"/>
          <w:sz w:val="21"/>
          <w:lang w:val="en-US" w:eastAsia="zh-CN"/>
        </w:rPr>
      </w:pPr>
      <w:r>
        <w:rPr>
          <w:rFonts w:hint="eastAsia" w:hAnsi="宋体" w:cs="宋体"/>
          <w:sz w:val="21"/>
          <w:lang w:val="en-US" w:eastAsia="zh-CN"/>
        </w:rPr>
        <w:t xml:space="preserve"> </w:t>
      </w:r>
    </w:p>
    <w:p w14:paraId="7A7A0694">
      <w:pPr>
        <w:pStyle w:val="15"/>
        <w:spacing w:line="360" w:lineRule="auto"/>
        <w:ind w:firstLine="316"/>
        <w:jc w:val="left"/>
        <w:rPr>
          <w:rFonts w:hAnsi="宋体" w:cs="宋体"/>
          <w:sz w:val="21"/>
          <w:lang w:eastAsia="zh-CN"/>
        </w:rPr>
      </w:pPr>
      <w:r>
        <w:rPr>
          <w:rFonts w:hint="eastAsia" w:hAnsi="宋体" w:cs="宋体"/>
          <w:sz w:val="21"/>
          <w:lang w:eastAsia="zh-CN"/>
        </w:rPr>
        <w:t>法定代表人或者委托代理人签字[或盖章(CA签章)]（属自然人的应在签名处加盖大拇指指印或个人CA签章）：</w:t>
      </w:r>
    </w:p>
    <w:p w14:paraId="7BC82364">
      <w:pPr>
        <w:spacing w:line="360" w:lineRule="auto"/>
        <w:ind w:firstLine="452"/>
        <w:jc w:val="left"/>
        <w:rPr>
          <w:rFonts w:ascii="宋体" w:hAnsi="宋体" w:cs="宋体"/>
          <w:szCs w:val="21"/>
        </w:rPr>
      </w:pPr>
      <w:r>
        <w:rPr>
          <w:rFonts w:hint="eastAsia" w:ascii="宋体" w:hAnsi="宋体" w:cs="宋体"/>
          <w:szCs w:val="21"/>
        </w:rPr>
        <w:t>投标人[公章(CA签章)、自然人除外]：</w:t>
      </w:r>
    </w:p>
    <w:p w14:paraId="72D68364">
      <w:pPr>
        <w:spacing w:line="360" w:lineRule="auto"/>
        <w:ind w:firstLine="452"/>
        <w:jc w:val="left"/>
        <w:rPr>
          <w:rFonts w:ascii="宋体" w:hAnsi="宋体" w:cs="宋体"/>
          <w:szCs w:val="21"/>
        </w:rPr>
      </w:pPr>
      <w:r>
        <w:rPr>
          <w:rFonts w:hint="eastAsia" w:ascii="宋体" w:hAnsi="宋体" w:cs="宋体"/>
          <w:szCs w:val="21"/>
        </w:rPr>
        <w:t xml:space="preserve"> 年    月    日</w:t>
      </w:r>
    </w:p>
    <w:p w14:paraId="14D3DCAC">
      <w:pPr>
        <w:ind w:firstLine="452"/>
        <w:rPr>
          <w:rFonts w:ascii="宋体" w:hAnsi="宋体" w:cs="宋体"/>
          <w:szCs w:val="21"/>
        </w:rPr>
      </w:pPr>
      <w:r>
        <w:rPr>
          <w:rFonts w:hint="eastAsia" w:ascii="宋体" w:hAnsi="宋体" w:cs="宋体"/>
          <w:szCs w:val="21"/>
        </w:rPr>
        <w:br w:type="page"/>
      </w:r>
    </w:p>
    <w:p w14:paraId="665EBE8B">
      <w:pPr>
        <w:pStyle w:val="9"/>
        <w:spacing w:line="360" w:lineRule="auto"/>
        <w:rPr>
          <w:rFonts w:ascii="宋体" w:hAnsi="宋体" w:cs="宋体"/>
          <w:b/>
          <w:szCs w:val="21"/>
          <w:lang w:eastAsia="zh-CN"/>
        </w:rPr>
      </w:pPr>
      <w:r>
        <w:rPr>
          <w:rFonts w:hint="eastAsia" w:ascii="宋体" w:hAnsi="宋体" w:cs="宋体"/>
          <w:b/>
          <w:bCs/>
          <w:sz w:val="24"/>
          <w:szCs w:val="24"/>
          <w:lang w:eastAsia="zh-CN"/>
        </w:rPr>
        <w:t>9</w:t>
      </w:r>
      <w:r>
        <w:rPr>
          <w:rFonts w:hint="eastAsia" w:ascii="宋体" w:hAnsi="宋体" w:cs="宋体"/>
          <w:sz w:val="24"/>
          <w:szCs w:val="24"/>
          <w:lang w:eastAsia="zh-CN"/>
        </w:rPr>
        <w:t>.中小企业声明函（格式后附，监狱企业或残疾人福利性单位视同中小企业）；</w:t>
      </w:r>
      <w:r>
        <w:rPr>
          <w:rFonts w:hint="eastAsia" w:ascii="宋体" w:hAnsi="宋体" w:cs="宋体"/>
          <w:b/>
          <w:bCs/>
          <w:sz w:val="24"/>
          <w:szCs w:val="24"/>
          <w:lang w:eastAsia="zh-CN"/>
        </w:rPr>
        <w:t>（如有请提供）</w:t>
      </w:r>
    </w:p>
    <w:p w14:paraId="4CC126D7">
      <w:pPr>
        <w:spacing w:line="520" w:lineRule="exact"/>
        <w:ind w:firstLine="420"/>
        <w:jc w:val="center"/>
        <w:outlineLvl w:val="1"/>
        <w:rPr>
          <w:rFonts w:hint="eastAsia" w:ascii="宋体" w:hAnsi="宋体" w:eastAsia="宋体" w:cs="宋体"/>
          <w:b/>
          <w:bCs/>
          <w:sz w:val="28"/>
          <w:szCs w:val="28"/>
          <w:lang w:eastAsia="zh-CN"/>
        </w:rPr>
      </w:pPr>
      <w:bookmarkStart w:id="288" w:name="_Toc16497"/>
      <w:bookmarkStart w:id="289" w:name="_Toc3144"/>
      <w:bookmarkStart w:id="290" w:name="_Toc2359"/>
      <w:r>
        <w:rPr>
          <w:rFonts w:hint="eastAsia" w:ascii="宋体" w:hAnsi="宋体" w:cs="宋体"/>
          <w:b/>
          <w:bCs/>
          <w:sz w:val="28"/>
          <w:szCs w:val="28"/>
        </w:rPr>
        <w:t>中小企业声明函</w:t>
      </w:r>
      <w:bookmarkEnd w:id="288"/>
      <w:r>
        <w:rPr>
          <w:rFonts w:hint="eastAsia" w:ascii="宋体" w:hAnsi="宋体" w:eastAsia="宋体" w:cs="宋体"/>
          <w:b/>
          <w:bCs/>
          <w:sz w:val="28"/>
          <w:szCs w:val="28"/>
          <w:lang w:eastAsia="zh-CN"/>
        </w:rPr>
        <w:t>（服务类）</w:t>
      </w:r>
      <w:bookmarkEnd w:id="289"/>
      <w:bookmarkEnd w:id="290"/>
    </w:p>
    <w:p w14:paraId="170A9F8A">
      <w:pPr>
        <w:spacing w:line="520" w:lineRule="exact"/>
        <w:ind w:firstLine="482"/>
        <w:rPr>
          <w:rFonts w:ascii="仿宋_GB2312" w:hAnsi="仿宋_GB2312" w:eastAsia="仿宋_GB2312" w:cs="仿宋_GB2312"/>
          <w:sz w:val="32"/>
          <w:szCs w:val="32"/>
        </w:rPr>
      </w:pPr>
    </w:p>
    <w:p w14:paraId="5A678318">
      <w:pPr>
        <w:pStyle w:val="11"/>
        <w:spacing w:line="360" w:lineRule="auto"/>
        <w:ind w:firstLine="420" w:firstLineChars="200"/>
        <w:rPr>
          <w:rFonts w:ascii="宋体" w:hAnsi="宋体" w:cs="宋体"/>
          <w:sz w:val="21"/>
          <w:szCs w:val="21"/>
          <w:lang w:eastAsia="zh-CN"/>
        </w:rPr>
      </w:pPr>
      <w:r>
        <w:rPr>
          <w:rFonts w:hint="eastAsia" w:ascii="宋体" w:hAnsi="宋体" w:cs="宋体"/>
          <w:sz w:val="21"/>
          <w:szCs w:val="21"/>
          <w:lang w:eastAsia="zh-CN"/>
        </w:rPr>
        <w:t>本公司（联合体）郑重声明，根据《政府采购促进中小企业发展管理办法》（财库﹝2020﹞46号）的规定，本公司（联合体）参加</w:t>
      </w:r>
      <w:r>
        <w:rPr>
          <w:rFonts w:hint="eastAsia" w:ascii="宋体" w:hAnsi="宋体" w:cs="宋体"/>
          <w:sz w:val="21"/>
          <w:szCs w:val="21"/>
          <w:u w:val="single"/>
          <w:lang w:eastAsia="zh-CN"/>
        </w:rPr>
        <w:t>（单位名称）</w:t>
      </w:r>
      <w:r>
        <w:rPr>
          <w:rFonts w:hint="eastAsia" w:ascii="宋体" w:hAnsi="宋体" w:cs="宋体"/>
          <w:sz w:val="21"/>
          <w:szCs w:val="21"/>
          <w:lang w:eastAsia="zh-CN"/>
        </w:rPr>
        <w:t>的</w:t>
      </w:r>
      <w:r>
        <w:rPr>
          <w:rFonts w:hint="eastAsia" w:ascii="宋体" w:hAnsi="宋体" w:cs="宋体"/>
          <w:sz w:val="21"/>
          <w:szCs w:val="21"/>
          <w:u w:val="single"/>
          <w:lang w:eastAsia="zh-CN"/>
        </w:rPr>
        <w:t>（项目名称）</w:t>
      </w:r>
      <w:r>
        <w:rPr>
          <w:rFonts w:hint="eastAsia" w:ascii="宋体" w:hAnsi="宋体" w:cs="宋体"/>
          <w:sz w:val="21"/>
          <w:szCs w:val="21"/>
          <w:lang w:eastAsia="zh-CN"/>
        </w:rPr>
        <w:t>采购活动，服务全部由符合政策要求的中小企业承接。相关企业（含联合体中的中小企业、签订分包意向协议的中小企业）的具体情况如下：</w:t>
      </w:r>
    </w:p>
    <w:p w14:paraId="0C27B956">
      <w:pPr>
        <w:tabs>
          <w:tab w:val="left" w:pos="1384"/>
          <w:tab w:val="left" w:pos="4562"/>
          <w:tab w:val="left" w:pos="6803"/>
        </w:tabs>
        <w:spacing w:line="360" w:lineRule="auto"/>
        <w:ind w:firstLine="600" w:firstLineChars="286"/>
        <w:rPr>
          <w:rFonts w:ascii="宋体" w:hAnsi="宋体" w:cs="宋体"/>
          <w:szCs w:val="21"/>
          <w:u w:val="single"/>
        </w:rPr>
      </w:pPr>
      <w:r>
        <w:rPr>
          <w:rFonts w:hint="eastAsia" w:ascii="宋体" w:hAnsi="宋体" w:cs="宋体"/>
          <w:szCs w:val="21"/>
        </w:rPr>
        <w:t>1.</w:t>
      </w:r>
      <w:r>
        <w:rPr>
          <w:rFonts w:hint="eastAsia" w:ascii="宋体" w:hAnsi="宋体" w:cs="宋体"/>
          <w:szCs w:val="21"/>
          <w:u w:val="single"/>
        </w:rPr>
        <w:t>（标的名称）</w:t>
      </w:r>
      <w:r>
        <w:rPr>
          <w:rFonts w:hint="eastAsia" w:ascii="宋体" w:hAnsi="宋体" w:cs="宋体"/>
          <w:szCs w:val="21"/>
        </w:rPr>
        <w:t>，属于</w:t>
      </w:r>
      <w:r>
        <w:rPr>
          <w:rFonts w:hint="eastAsia" w:ascii="宋体" w:hAnsi="宋体" w:cs="宋体"/>
          <w:szCs w:val="21"/>
          <w:u w:val="single"/>
        </w:rPr>
        <w:t>（采购文件中明确的所属行业）</w:t>
      </w:r>
      <w:r>
        <w:rPr>
          <w:rFonts w:hint="eastAsia" w:ascii="宋体" w:hAnsi="宋体" w:cs="宋体"/>
          <w:szCs w:val="21"/>
        </w:rPr>
        <w:t>；承接企业为</w:t>
      </w:r>
      <w:r>
        <w:rPr>
          <w:rFonts w:hint="eastAsia" w:ascii="宋体" w:hAnsi="宋体" w:cs="宋体"/>
          <w:szCs w:val="21"/>
          <w:u w:val="single"/>
        </w:rPr>
        <w:t>（企业名称）</w:t>
      </w:r>
      <w:r>
        <w:rPr>
          <w:rFonts w:hint="eastAsia" w:ascii="宋体" w:hAnsi="宋体" w:cs="宋体"/>
          <w:szCs w:val="21"/>
        </w:rPr>
        <w:t>，从业人员人，营业收入为万元，资产总额为万元，属于</w:t>
      </w:r>
      <w:r>
        <w:rPr>
          <w:rFonts w:hint="eastAsia" w:ascii="宋体" w:hAnsi="宋体" w:cs="宋体"/>
          <w:szCs w:val="21"/>
          <w:u w:val="single"/>
        </w:rPr>
        <w:t>（中型企业、小型企业、微型企业）</w:t>
      </w:r>
      <w:r>
        <w:rPr>
          <w:rFonts w:hint="eastAsia" w:ascii="宋体" w:hAnsi="宋体" w:cs="宋体"/>
          <w:szCs w:val="21"/>
        </w:rPr>
        <w:t>；</w:t>
      </w:r>
    </w:p>
    <w:p w14:paraId="55506FE3">
      <w:pPr>
        <w:pStyle w:val="11"/>
        <w:spacing w:line="360" w:lineRule="auto"/>
        <w:ind w:firstLine="316"/>
        <w:rPr>
          <w:rFonts w:ascii="宋体" w:hAnsi="宋体" w:cs="宋体"/>
          <w:sz w:val="21"/>
          <w:szCs w:val="21"/>
          <w:lang w:eastAsia="zh-CN"/>
        </w:rPr>
      </w:pPr>
      <w:r>
        <w:rPr>
          <w:rFonts w:hint="eastAsia" w:ascii="宋体" w:hAnsi="宋体" w:cs="宋体"/>
          <w:sz w:val="21"/>
          <w:szCs w:val="21"/>
          <w:lang w:eastAsia="zh-CN"/>
        </w:rPr>
        <w:t xml:space="preserve">…… </w:t>
      </w:r>
    </w:p>
    <w:p w14:paraId="1A0A02E9">
      <w:pPr>
        <w:pStyle w:val="11"/>
        <w:spacing w:line="360" w:lineRule="auto"/>
        <w:ind w:firstLine="420" w:firstLineChars="200"/>
        <w:rPr>
          <w:rFonts w:ascii="宋体" w:hAnsi="宋体" w:cs="宋体"/>
          <w:sz w:val="21"/>
          <w:szCs w:val="21"/>
          <w:lang w:eastAsia="zh-CN"/>
        </w:rPr>
      </w:pPr>
      <w:r>
        <w:rPr>
          <w:rFonts w:hint="eastAsia" w:ascii="宋体" w:hAnsi="宋体" w:cs="宋体"/>
          <w:sz w:val="21"/>
          <w:szCs w:val="21"/>
          <w:lang w:eastAsia="zh-CN"/>
        </w:rPr>
        <w:t>以上企业，不属于大企业的分支机构，不存在控股股东为大企业的情形，也不存在与大企业的负责人为同一人的情形。</w:t>
      </w:r>
    </w:p>
    <w:p w14:paraId="57AB2EC7">
      <w:pPr>
        <w:pStyle w:val="11"/>
        <w:spacing w:line="360" w:lineRule="auto"/>
        <w:ind w:firstLine="420" w:firstLineChars="200"/>
        <w:rPr>
          <w:rFonts w:ascii="宋体" w:hAnsi="宋体" w:cs="宋体"/>
          <w:sz w:val="21"/>
          <w:szCs w:val="21"/>
          <w:lang w:eastAsia="zh-CN"/>
        </w:rPr>
      </w:pPr>
      <w:r>
        <w:rPr>
          <w:rFonts w:hint="eastAsia" w:ascii="宋体" w:hAnsi="宋体" w:cs="宋体"/>
          <w:sz w:val="21"/>
          <w:szCs w:val="21"/>
          <w:lang w:eastAsia="zh-CN"/>
        </w:rPr>
        <w:t>本企业对上述声明内容的真实性负责。如有虚假，将依法承担相应责任。</w:t>
      </w:r>
    </w:p>
    <w:p w14:paraId="27206E34">
      <w:pPr>
        <w:spacing w:line="360" w:lineRule="auto"/>
        <w:ind w:firstLine="361"/>
        <w:rPr>
          <w:rFonts w:ascii="宋体" w:hAnsi="宋体" w:cs="仿宋_GB2312"/>
          <w:sz w:val="24"/>
        </w:rPr>
      </w:pPr>
    </w:p>
    <w:p w14:paraId="74D11020">
      <w:pPr>
        <w:spacing w:line="360" w:lineRule="auto"/>
        <w:ind w:firstLine="361"/>
        <w:rPr>
          <w:rFonts w:ascii="宋体" w:hAnsi="宋体" w:cs="仿宋_GB2312"/>
          <w:sz w:val="24"/>
        </w:rPr>
      </w:pPr>
    </w:p>
    <w:p w14:paraId="54505F64">
      <w:pPr>
        <w:spacing w:line="360" w:lineRule="auto"/>
        <w:ind w:firstLine="361"/>
        <w:rPr>
          <w:rFonts w:ascii="宋体" w:hAnsi="宋体" w:cs="仿宋_GB2312"/>
          <w:sz w:val="24"/>
        </w:rPr>
      </w:pPr>
    </w:p>
    <w:p w14:paraId="13A6C427">
      <w:pPr>
        <w:spacing w:line="360" w:lineRule="auto"/>
        <w:ind w:firstLine="452"/>
        <w:rPr>
          <w:rFonts w:ascii="宋体" w:hAnsi="宋体" w:cs="宋体"/>
          <w:szCs w:val="21"/>
        </w:rPr>
      </w:pPr>
      <w:r>
        <w:rPr>
          <w:rFonts w:hint="eastAsia" w:ascii="宋体" w:hAnsi="宋体" w:cs="宋体"/>
          <w:szCs w:val="21"/>
        </w:rPr>
        <w:t xml:space="preserve">投标人[公章（CA签章）]： </w:t>
      </w:r>
    </w:p>
    <w:p w14:paraId="75CD151E">
      <w:pPr>
        <w:spacing w:line="360" w:lineRule="auto"/>
        <w:ind w:firstLine="452"/>
        <w:rPr>
          <w:rFonts w:ascii="宋体" w:hAnsi="宋体" w:cs="仿宋_GB2312"/>
          <w:sz w:val="24"/>
        </w:rPr>
      </w:pPr>
      <w:r>
        <w:rPr>
          <w:rFonts w:hint="eastAsia" w:ascii="宋体" w:hAnsi="宋体" w:cs="宋体"/>
          <w:szCs w:val="21"/>
        </w:rPr>
        <w:t xml:space="preserve">  日  期：  </w:t>
      </w:r>
    </w:p>
    <w:p w14:paraId="6D7C1DFF">
      <w:pPr>
        <w:spacing w:line="360" w:lineRule="auto"/>
        <w:ind w:firstLine="361"/>
        <w:rPr>
          <w:rFonts w:ascii="宋体" w:hAnsi="宋体" w:cs="仿宋_GB2312"/>
          <w:sz w:val="24"/>
        </w:rPr>
      </w:pPr>
    </w:p>
    <w:p w14:paraId="043D658B">
      <w:pPr>
        <w:spacing w:line="360" w:lineRule="auto"/>
        <w:ind w:firstLine="361"/>
        <w:rPr>
          <w:rFonts w:ascii="宋体" w:hAnsi="宋体" w:cs="仿宋_GB2312"/>
          <w:sz w:val="24"/>
        </w:rPr>
      </w:pPr>
    </w:p>
    <w:p w14:paraId="1523AC34">
      <w:pPr>
        <w:spacing w:line="360" w:lineRule="auto"/>
        <w:ind w:firstLine="452"/>
        <w:rPr>
          <w:rFonts w:ascii="仿宋_GB2312" w:hAnsi="仿宋_GB2312" w:eastAsia="仿宋_GB2312" w:cs="仿宋_GB2312"/>
          <w:szCs w:val="21"/>
        </w:rPr>
      </w:pPr>
      <w:r>
        <w:rPr>
          <w:rFonts w:hint="eastAsia" w:ascii="宋体" w:hAnsi="宋体" w:cs="仿宋_GB2312"/>
          <w:szCs w:val="21"/>
        </w:rPr>
        <w:t>注：享受《政府采购促进中小企业发展管理办法》（财库〔2020〕46号）规定的中小企业扶持政策的，采购人、采购代理机构应当随中标结果公开中标投标人的《中小企业声明函》。从业人员、营业收入、资产总额填报上一年度数据，无上一年度数据的新成立企业可不填报。</w:t>
      </w:r>
    </w:p>
    <w:p w14:paraId="01675AF1">
      <w:pPr>
        <w:spacing w:line="360" w:lineRule="auto"/>
        <w:jc w:val="both"/>
        <w:outlineLvl w:val="1"/>
        <w:rPr>
          <w:rFonts w:hint="eastAsia" w:ascii="宋体" w:hAnsi="宋体" w:eastAsia="宋体"/>
          <w:sz w:val="24"/>
          <w:lang w:eastAsia="zh-CN"/>
        </w:rPr>
      </w:pPr>
    </w:p>
    <w:p w14:paraId="0524666E">
      <w:pPr>
        <w:spacing w:line="360" w:lineRule="auto"/>
        <w:jc w:val="both"/>
        <w:outlineLvl w:val="1"/>
        <w:rPr>
          <w:rFonts w:hint="eastAsia" w:ascii="宋体" w:hAnsi="宋体" w:eastAsia="宋体"/>
          <w:sz w:val="24"/>
          <w:lang w:eastAsia="zh-CN"/>
        </w:rPr>
      </w:pPr>
    </w:p>
    <w:p w14:paraId="227DBEE9">
      <w:pPr>
        <w:spacing w:line="360" w:lineRule="auto"/>
        <w:jc w:val="both"/>
        <w:outlineLvl w:val="1"/>
        <w:rPr>
          <w:rFonts w:hint="eastAsia" w:ascii="宋体" w:hAnsi="宋体" w:eastAsia="宋体"/>
          <w:sz w:val="24"/>
          <w:lang w:eastAsia="zh-CN"/>
        </w:rPr>
      </w:pPr>
    </w:p>
    <w:p w14:paraId="59DF351B">
      <w:pPr>
        <w:spacing w:line="360" w:lineRule="auto"/>
        <w:jc w:val="both"/>
        <w:outlineLvl w:val="1"/>
        <w:rPr>
          <w:rFonts w:hint="eastAsia" w:ascii="宋体" w:hAnsi="宋体" w:eastAsia="宋体"/>
          <w:sz w:val="24"/>
          <w:lang w:eastAsia="zh-CN"/>
        </w:rPr>
      </w:pPr>
    </w:p>
    <w:p w14:paraId="023BCCC1">
      <w:pPr>
        <w:spacing w:line="360" w:lineRule="auto"/>
        <w:jc w:val="both"/>
        <w:outlineLvl w:val="1"/>
        <w:rPr>
          <w:rFonts w:hint="eastAsia" w:ascii="宋体" w:hAnsi="宋体" w:eastAsia="宋体"/>
          <w:sz w:val="24"/>
          <w:lang w:eastAsia="zh-CN"/>
        </w:rPr>
      </w:pPr>
    </w:p>
    <w:p w14:paraId="17F2F87F">
      <w:pPr>
        <w:spacing w:line="360" w:lineRule="auto"/>
        <w:jc w:val="both"/>
        <w:outlineLvl w:val="1"/>
        <w:rPr>
          <w:rFonts w:hint="eastAsia" w:ascii="宋体" w:hAnsi="宋体" w:eastAsia="宋体"/>
          <w:sz w:val="24"/>
          <w:lang w:eastAsia="zh-CN"/>
        </w:rPr>
      </w:pPr>
    </w:p>
    <w:p w14:paraId="4BD8336B">
      <w:pPr>
        <w:spacing w:line="360" w:lineRule="auto"/>
        <w:jc w:val="both"/>
        <w:outlineLvl w:val="1"/>
        <w:rPr>
          <w:rFonts w:hint="eastAsia" w:ascii="宋体" w:hAnsi="宋体" w:eastAsia="宋体"/>
          <w:sz w:val="24"/>
          <w:lang w:eastAsia="zh-CN"/>
        </w:rPr>
      </w:pPr>
    </w:p>
    <w:p w14:paraId="1780C7C6">
      <w:pPr>
        <w:spacing w:line="360" w:lineRule="auto"/>
        <w:jc w:val="both"/>
        <w:outlineLvl w:val="1"/>
        <w:rPr>
          <w:rFonts w:hint="eastAsia" w:ascii="宋体" w:hAnsi="宋体" w:eastAsia="宋体"/>
          <w:sz w:val="24"/>
          <w:lang w:eastAsia="zh-CN"/>
        </w:rPr>
      </w:pPr>
    </w:p>
    <w:p w14:paraId="03063EE6">
      <w:pPr>
        <w:widowControl/>
        <w:snapToGrid w:val="0"/>
        <w:spacing w:before="120" w:after="120" w:line="400" w:lineRule="exact"/>
        <w:jc w:val="both"/>
        <w:textAlignment w:val="baseline"/>
        <w:rPr>
          <w:rFonts w:hint="eastAsia" w:ascii="宋体" w:hAnsi="宋体" w:eastAsia="宋体"/>
          <w:sz w:val="24"/>
          <w:lang w:eastAsia="zh-CN"/>
        </w:rPr>
      </w:pPr>
      <w:r>
        <w:rPr>
          <w:rFonts w:hint="eastAsia" w:ascii="宋体" w:hAnsi="宋体" w:eastAsia="宋体"/>
          <w:sz w:val="24"/>
          <w:lang w:eastAsia="zh-CN"/>
        </w:rPr>
        <w:t>附表：</w:t>
      </w:r>
    </w:p>
    <w:p w14:paraId="7A31C90E">
      <w:pPr>
        <w:widowControl/>
        <w:snapToGrid w:val="0"/>
        <w:spacing w:before="120" w:after="120" w:line="400" w:lineRule="exact"/>
        <w:jc w:val="center"/>
        <w:textAlignment w:val="baseline"/>
        <w:rPr>
          <w:rFonts w:hint="eastAsia" w:ascii="宋体" w:hAnsi="宋体" w:eastAsia="宋体"/>
          <w:sz w:val="24"/>
          <w:lang w:eastAsia="zh-CN"/>
        </w:rPr>
      </w:pPr>
      <w:r>
        <w:rPr>
          <w:rFonts w:ascii="宋体" w:hAnsi="宋体" w:cs="宋体"/>
          <w:b/>
          <w:bCs/>
          <w:color w:val="auto"/>
          <w:kern w:val="0"/>
          <w:sz w:val="30"/>
          <w:highlight w:val="none"/>
        </w:rPr>
        <w:t>统计上大中小微型企业划分标准</w:t>
      </w:r>
    </w:p>
    <w:tbl>
      <w:tblPr>
        <w:tblStyle w:val="25"/>
        <w:tblW w:w="96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7"/>
        <w:gridCol w:w="1451"/>
        <w:gridCol w:w="750"/>
        <w:gridCol w:w="1191"/>
        <w:gridCol w:w="1803"/>
        <w:gridCol w:w="1511"/>
        <w:gridCol w:w="1049"/>
      </w:tblGrid>
      <w:tr w14:paraId="15D59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exact"/>
          <w:tblHeader/>
          <w:jc w:val="center"/>
        </w:trPr>
        <w:tc>
          <w:tcPr>
            <w:tcW w:w="1847"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26F6DF51">
            <w:pPr>
              <w:widowControl/>
              <w:snapToGrid w:val="0"/>
              <w:spacing w:line="240" w:lineRule="exact"/>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行业名称</w:t>
            </w:r>
          </w:p>
        </w:tc>
        <w:tc>
          <w:tcPr>
            <w:tcW w:w="145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53C584B5">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指标名称</w:t>
            </w:r>
          </w:p>
        </w:tc>
        <w:tc>
          <w:tcPr>
            <w:tcW w:w="750"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2F04F65B">
            <w:pPr>
              <w:widowControl/>
              <w:snapToGrid w:val="0"/>
              <w:ind w:left="0" w:leftChars="0" w:firstLine="0" w:firstLineChars="0"/>
              <w:jc w:val="both"/>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计量</w:t>
            </w:r>
            <w:r>
              <w:rPr>
                <w:rFonts w:ascii="宋体" w:hAnsi="宋体" w:cs="宋体"/>
                <w:b/>
                <w:bCs/>
                <w:color w:val="auto"/>
                <w:kern w:val="0"/>
                <w:sz w:val="18"/>
                <w:highlight w:val="none"/>
              </w:rPr>
              <w:br w:type="textWrapping"/>
            </w:r>
            <w:r>
              <w:rPr>
                <w:rFonts w:ascii="宋体" w:hAnsi="宋体" w:cs="宋体"/>
                <w:b/>
                <w:bCs/>
                <w:color w:val="auto"/>
                <w:kern w:val="0"/>
                <w:sz w:val="18"/>
                <w:highlight w:val="none"/>
              </w:rPr>
              <w:t>单位</w:t>
            </w:r>
          </w:p>
        </w:tc>
        <w:tc>
          <w:tcPr>
            <w:tcW w:w="119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508B0E87">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大型</w:t>
            </w:r>
          </w:p>
        </w:tc>
        <w:tc>
          <w:tcPr>
            <w:tcW w:w="1803"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111ED528">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中型</w:t>
            </w:r>
          </w:p>
        </w:tc>
        <w:tc>
          <w:tcPr>
            <w:tcW w:w="1511"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2FA3337D">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小型</w:t>
            </w:r>
          </w:p>
        </w:tc>
        <w:tc>
          <w:tcPr>
            <w:tcW w:w="1049" w:type="dxa"/>
            <w:tcBorders>
              <w:top w:val="single" w:color="000000" w:sz="4" w:space="0"/>
              <w:left w:val="single" w:color="000000" w:sz="4" w:space="0"/>
              <w:bottom w:val="single" w:color="000000" w:sz="4" w:space="0"/>
              <w:right w:val="single" w:color="000000" w:sz="4" w:space="0"/>
            </w:tcBorders>
            <w:shd w:val="clear" w:color="auto" w:fill="8DB3E2"/>
            <w:noWrap w:val="0"/>
            <w:vAlign w:val="center"/>
          </w:tcPr>
          <w:p w14:paraId="6A141205">
            <w:pPr>
              <w:widowControl/>
              <w:snapToGrid w:val="0"/>
              <w:jc w:val="center"/>
              <w:textAlignment w:val="baseline"/>
              <w:rPr>
                <w:rFonts w:ascii="宋体" w:hAnsi="宋体" w:cs="宋体"/>
                <w:b/>
                <w:bCs/>
                <w:color w:val="auto"/>
                <w:kern w:val="0"/>
                <w:sz w:val="18"/>
                <w:highlight w:val="none"/>
              </w:rPr>
            </w:pPr>
            <w:r>
              <w:rPr>
                <w:rFonts w:ascii="宋体" w:hAnsi="宋体" w:cs="宋体"/>
                <w:b/>
                <w:bCs/>
                <w:color w:val="auto"/>
                <w:kern w:val="0"/>
                <w:sz w:val="18"/>
                <w:highlight w:val="none"/>
              </w:rPr>
              <w:t>微型</w:t>
            </w:r>
          </w:p>
        </w:tc>
      </w:tr>
      <w:tr w14:paraId="33CD1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tcBorders>
              <w:top w:val="single" w:color="000000" w:sz="4" w:space="0"/>
              <w:left w:val="single" w:color="000000" w:sz="4" w:space="0"/>
              <w:bottom w:val="single" w:color="000000" w:sz="4" w:space="0"/>
              <w:right w:val="single" w:color="000000" w:sz="4" w:space="0"/>
            </w:tcBorders>
            <w:noWrap w:val="0"/>
            <w:vAlign w:val="center"/>
          </w:tcPr>
          <w:p w14:paraId="45A4E14D">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农、林、牧、渔业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78AEB0A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8B2D9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20B8600">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Y≥20000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36149E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500≤Y＜20000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80E90E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50≤Y＜500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DB5317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Y＜50</w:t>
            </w:r>
          </w:p>
        </w:tc>
      </w:tr>
      <w:tr w14:paraId="24DA3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605669BE">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工业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2B4DAC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3BE02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B5D078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F9C3BA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6DF920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CCF4EA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w:t>
            </w:r>
          </w:p>
        </w:tc>
      </w:tr>
      <w:tr w14:paraId="48121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8186B6">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64FED43B">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FF0981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839040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Y≥40000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4B6652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2000≤Y＜40000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EA5DA0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A641BB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Y＜300</w:t>
            </w:r>
          </w:p>
        </w:tc>
      </w:tr>
      <w:tr w14:paraId="2D36F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4C188893">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建筑业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91A1F6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231E5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49BC7AB0">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Y≥80000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5E40A2C7">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6000≤Y＜80000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8349B18">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300≤Y＜6000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1182A4EC">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Y＜300</w:t>
            </w:r>
          </w:p>
        </w:tc>
      </w:tr>
      <w:tr w14:paraId="0C41F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15F9EE">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6AE61ABF">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资产总额(Z)</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CC26FF0">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A74175C">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Z≥80000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5FDD20C">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5000≤Z＜80000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4EC3A41">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300≤Z＜5000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3980F863">
            <w:pPr>
              <w:widowControl/>
              <w:snapToGrid w:val="0"/>
              <w:jc w:val="center"/>
              <w:textAlignment w:val="baseline"/>
              <w:rPr>
                <w:rFonts w:ascii="宋体" w:hAnsi="宋体"/>
                <w:b/>
                <w:bCs/>
                <w:color w:val="auto"/>
                <w:kern w:val="0"/>
                <w:sz w:val="18"/>
                <w:highlight w:val="none"/>
              </w:rPr>
            </w:pPr>
            <w:r>
              <w:rPr>
                <w:rFonts w:ascii="宋体" w:hAnsi="宋体"/>
                <w:b/>
                <w:bCs/>
                <w:color w:val="auto"/>
                <w:kern w:val="0"/>
                <w:sz w:val="18"/>
                <w:highlight w:val="none"/>
              </w:rPr>
              <w:t>Z＜300</w:t>
            </w:r>
          </w:p>
        </w:tc>
      </w:tr>
      <w:tr w14:paraId="4B4B7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28C93C40">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批发业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E3670A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A750CA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8532CE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3343F09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20≤X＜200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7C0A49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5≤X＜20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16083FC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X＜5</w:t>
            </w:r>
          </w:p>
        </w:tc>
      </w:tr>
      <w:tr w14:paraId="2F405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FCD89B">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24A02E6">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4EB52F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56A446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Y≥40000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29E5AD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5000≤Y＜40000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E13A096">
            <w:pPr>
              <w:widowControl/>
              <w:snapToGrid w:val="0"/>
              <w:ind w:left="-1" w:leftChars="-1" w:hanging="1"/>
              <w:jc w:val="center"/>
              <w:textAlignment w:val="baseline"/>
              <w:rPr>
                <w:rFonts w:ascii="宋体" w:hAnsi="宋体"/>
                <w:color w:val="auto"/>
                <w:kern w:val="0"/>
                <w:sz w:val="18"/>
                <w:highlight w:val="none"/>
              </w:rPr>
            </w:pPr>
            <w:r>
              <w:rPr>
                <w:rFonts w:ascii="宋体" w:hAnsi="宋体"/>
                <w:color w:val="auto"/>
                <w:kern w:val="0"/>
                <w:sz w:val="18"/>
                <w:highlight w:val="none"/>
              </w:rPr>
              <w:t>1000≤Y＜5000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D39FC8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w:t>
            </w:r>
          </w:p>
        </w:tc>
      </w:tr>
      <w:tr w14:paraId="6D44B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CBF07E7">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零售业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7950694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0BAF0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55C8866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5863AE60">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A70D662">
            <w:pPr>
              <w:widowControl/>
              <w:snapToGrid w:val="0"/>
              <w:ind w:left="-1" w:leftChars="-1" w:hanging="1"/>
              <w:jc w:val="center"/>
              <w:textAlignment w:val="baseline"/>
              <w:rPr>
                <w:rFonts w:ascii="宋体" w:hAnsi="宋体"/>
                <w:color w:val="auto"/>
                <w:kern w:val="0"/>
                <w:sz w:val="18"/>
                <w:highlight w:val="none"/>
              </w:rPr>
            </w:pPr>
            <w:r>
              <w:rPr>
                <w:rFonts w:ascii="宋体" w:hAnsi="宋体"/>
                <w:color w:val="auto"/>
                <w:kern w:val="0"/>
                <w:sz w:val="18"/>
                <w:highlight w:val="none"/>
              </w:rPr>
              <w:t xml:space="preserve">10≤X＜50 </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E59CAC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2DD15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9D1F45">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2459DB9">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67829F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FFA1BE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Y≥20000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2B11B95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500≤Y＜20000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EF1F376">
            <w:pPr>
              <w:widowControl/>
              <w:snapToGrid w:val="0"/>
              <w:ind w:left="-1" w:leftChars="-1" w:hanging="1"/>
              <w:jc w:val="center"/>
              <w:textAlignment w:val="baseline"/>
              <w:rPr>
                <w:rFonts w:ascii="宋体" w:hAnsi="宋体"/>
                <w:color w:val="auto"/>
                <w:kern w:val="0"/>
                <w:sz w:val="18"/>
                <w:highlight w:val="none"/>
              </w:rPr>
            </w:pPr>
            <w:r>
              <w:rPr>
                <w:rFonts w:ascii="宋体" w:hAnsi="宋体"/>
                <w:color w:val="auto"/>
                <w:kern w:val="0"/>
                <w:sz w:val="18"/>
                <w:highlight w:val="none"/>
              </w:rPr>
              <w:t>100≤Y＜500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623CA22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0B8CB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456B659">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交通运输业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1A94BFB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597918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6A6FD9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287B02F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D4CDEE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B22A58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w:t>
            </w:r>
          </w:p>
        </w:tc>
      </w:tr>
      <w:tr w14:paraId="73E48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CD6460">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0493433">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E24592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EEF8A9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Y≥30000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9E16D80">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3000≤Y＜30000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A5E65A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200≤Y＜3000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57785D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Y＜200</w:t>
            </w:r>
          </w:p>
        </w:tc>
      </w:tr>
      <w:tr w14:paraId="7277E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CEB4BBA">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仓储业*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1C1F17E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6D46F5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95A8A9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7170B128">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100≤X＜200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37038C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0988F1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w:t>
            </w:r>
          </w:p>
        </w:tc>
      </w:tr>
      <w:tr w14:paraId="20763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A28A0C">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2984459">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169CD0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B9C053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Y≥30000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49B00D80">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1000≤Y＜30000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5BF043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495B5F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0469F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1515E83A">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邮政业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839940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F71A20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7E1E3DF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5688F9B0">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62F725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FD9F86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w:t>
            </w:r>
          </w:p>
        </w:tc>
      </w:tr>
      <w:tr w14:paraId="2F6FC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7E2722">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5A3716C0">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A5C144E">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90B04D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Y≥30000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575225F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2000≤Y＜30000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B6916C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B201D1E">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27681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487E1A06">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住宿业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34933E7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4227C7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CA7DDB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5954359A">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E3D216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1FE34B8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55467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77E0C6">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5B116B67">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3ADD6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5C842F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427BDE6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2000≤Y＜10000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38AC05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5DBD49E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10B68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436ADF8">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餐饮业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864686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6CC113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3F6FB86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3170ECB">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 xml:space="preserve">100≤X＜300 </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5FA59CB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3CB8AEB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41406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D6BF27">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B000886">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E11A8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7D4ED6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0F2028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2000≤Y＜10000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72F3700">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100≤Y＜2000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875E5B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09B04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6CC9066D">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信息传输业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7153478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E66E6D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3FAB54C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X≥2000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2B77BB6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100≤X＜2000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7ED342A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580CF4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09D73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26D089">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9B75562">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C52D7A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7521D6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58D1E22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1000≤Y＜100000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44B98B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7FC71A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492CE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32B8AF22">
            <w:pPr>
              <w:widowControl/>
              <w:snapToGrid w:val="0"/>
              <w:spacing w:line="240" w:lineRule="exact"/>
              <w:jc w:val="left"/>
              <w:textAlignment w:val="baseline"/>
              <w:rPr>
                <w:rFonts w:ascii="宋体" w:hAnsi="宋体"/>
                <w:color w:val="auto"/>
                <w:spacing w:val="-12"/>
                <w:kern w:val="0"/>
                <w:sz w:val="18"/>
                <w:highlight w:val="none"/>
              </w:rPr>
            </w:pPr>
            <w:r>
              <w:rPr>
                <w:rFonts w:ascii="宋体" w:hAnsi="宋体"/>
                <w:color w:val="auto"/>
                <w:spacing w:val="-12"/>
                <w:kern w:val="0"/>
                <w:sz w:val="18"/>
                <w:highlight w:val="none"/>
              </w:rPr>
              <w:t>软件和信息技术服</w:t>
            </w:r>
            <w:r>
              <w:rPr>
                <w:rFonts w:ascii="宋体" w:hAnsi="宋体"/>
                <w:color w:val="auto"/>
                <w:kern w:val="0"/>
                <w:sz w:val="18"/>
                <w:highlight w:val="none"/>
              </w:rPr>
              <w:t>务业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4AD9E6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00BC66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6F90B5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5FD0B5A7">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 xml:space="preserve">100≤X＜300 </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370D23F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AFF6806">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02341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6567E7">
            <w:pPr>
              <w:widowControl/>
              <w:snapToGrid w:val="0"/>
              <w:jc w:val="left"/>
              <w:textAlignment w:val="baseline"/>
              <w:rPr>
                <w:rFonts w:ascii="宋体" w:hAnsi="宋体"/>
                <w:color w:val="auto"/>
                <w:spacing w:val="-12"/>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7F861AD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3A76F7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41AA147C">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A1F5A8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1000≤Y＜10000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A4F169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3790DFB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Y＜50</w:t>
            </w:r>
          </w:p>
        </w:tc>
      </w:tr>
      <w:tr w14:paraId="4F019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F31B6FA">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房地产开发经营</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3B36A10">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59860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04313D8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Y≥200000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9E0F4E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1000≤Y＜200000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6549B0B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71C5503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Y＜100</w:t>
            </w:r>
          </w:p>
        </w:tc>
      </w:tr>
      <w:tr w14:paraId="39A5A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B4D662">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4467A1E">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资产总额(Z)</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9AEB98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547CA64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Z≥10000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6FFC4082">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5000≤Z＜10000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1693584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2000≤Z＜5000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28DDA54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Z＜2000</w:t>
            </w:r>
          </w:p>
        </w:tc>
      </w:tr>
      <w:tr w14:paraId="494B9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62C9AC48">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物业管理</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5F397D1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DFFBA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29EDED4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0BE7160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300≤X＜1000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DABBDD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100≤X＜300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026CD88">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X＜100</w:t>
            </w:r>
          </w:p>
        </w:tc>
      </w:tr>
      <w:tr w14:paraId="2E955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FCAAC4">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07D15930">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营业收入(Y)</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E47E27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6948D7B1">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Y≥5000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4B604312">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1000≤Y＜5000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21BF9F0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500≤Y＜1000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417DBB57">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Y＜500</w:t>
            </w:r>
          </w:p>
        </w:tc>
      </w:tr>
      <w:tr w14:paraId="47BE6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restart"/>
            <w:tcBorders>
              <w:top w:val="single" w:color="000000" w:sz="4" w:space="0"/>
              <w:left w:val="single" w:color="000000" w:sz="4" w:space="0"/>
              <w:bottom w:val="single" w:color="000000" w:sz="4" w:space="0"/>
              <w:right w:val="single" w:color="000000" w:sz="4" w:space="0"/>
            </w:tcBorders>
            <w:noWrap w:val="0"/>
            <w:vAlign w:val="center"/>
          </w:tcPr>
          <w:p w14:paraId="581E24C4">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租赁和商务服务业</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283011B0">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EAAC8AF">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30FE48B">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232753FB">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E5E0214">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35B109C9">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X＜10</w:t>
            </w:r>
          </w:p>
        </w:tc>
      </w:tr>
      <w:tr w14:paraId="21677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exact"/>
          <w:jc w:val="center"/>
        </w:trPr>
        <w:tc>
          <w:tcPr>
            <w:tcW w:w="184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6949CF">
            <w:pPr>
              <w:widowControl/>
              <w:snapToGrid w:val="0"/>
              <w:jc w:val="left"/>
              <w:textAlignment w:val="baseline"/>
              <w:rPr>
                <w:rFonts w:ascii="宋体" w:hAnsi="宋体"/>
                <w:color w:val="auto"/>
                <w:kern w:val="0"/>
                <w:sz w:val="18"/>
                <w:highlight w:val="none"/>
              </w:rPr>
            </w:pP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44855B19">
            <w:pPr>
              <w:widowControl/>
              <w:snapToGrid w:val="0"/>
              <w:spacing w:line="240" w:lineRule="exact"/>
              <w:jc w:val="center"/>
              <w:textAlignment w:val="baseline"/>
              <w:rPr>
                <w:rFonts w:ascii="宋体" w:hAnsi="宋体"/>
                <w:color w:val="auto"/>
                <w:kern w:val="0"/>
                <w:sz w:val="18"/>
                <w:highlight w:val="none"/>
              </w:rPr>
            </w:pPr>
            <w:r>
              <w:rPr>
                <w:rFonts w:ascii="宋体" w:hAnsi="宋体"/>
                <w:color w:val="auto"/>
                <w:kern w:val="0"/>
                <w:sz w:val="18"/>
                <w:highlight w:val="none"/>
              </w:rPr>
              <w:t>资产总额(Z)</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E19BED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万元</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4D700D9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Z≥120000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1E583285">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8000≤Z＜120000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0624010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100≤Z＜8000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0C81F83A">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Z＜100</w:t>
            </w:r>
          </w:p>
        </w:tc>
      </w:tr>
      <w:tr w14:paraId="6347D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jc w:val="center"/>
        </w:trPr>
        <w:tc>
          <w:tcPr>
            <w:tcW w:w="1847" w:type="dxa"/>
            <w:tcBorders>
              <w:top w:val="single" w:color="000000" w:sz="4" w:space="0"/>
              <w:left w:val="single" w:color="000000" w:sz="4" w:space="0"/>
              <w:bottom w:val="single" w:color="000000" w:sz="4" w:space="0"/>
              <w:right w:val="single" w:color="000000" w:sz="4" w:space="0"/>
            </w:tcBorders>
            <w:noWrap w:val="0"/>
            <w:vAlign w:val="center"/>
          </w:tcPr>
          <w:p w14:paraId="08EE9E37">
            <w:pPr>
              <w:widowControl/>
              <w:snapToGrid w:val="0"/>
              <w:spacing w:line="240" w:lineRule="exact"/>
              <w:jc w:val="left"/>
              <w:textAlignment w:val="baseline"/>
              <w:rPr>
                <w:rFonts w:ascii="宋体" w:hAnsi="宋体"/>
                <w:color w:val="auto"/>
                <w:kern w:val="0"/>
                <w:sz w:val="18"/>
                <w:highlight w:val="none"/>
              </w:rPr>
            </w:pPr>
            <w:r>
              <w:rPr>
                <w:rFonts w:ascii="宋体" w:hAnsi="宋体"/>
                <w:color w:val="auto"/>
                <w:kern w:val="0"/>
                <w:sz w:val="18"/>
                <w:highlight w:val="none"/>
              </w:rPr>
              <w:t>其他未列明行业 *</w:t>
            </w:r>
          </w:p>
        </w:tc>
        <w:tc>
          <w:tcPr>
            <w:tcW w:w="1451" w:type="dxa"/>
            <w:tcBorders>
              <w:top w:val="single" w:color="000000" w:sz="4" w:space="0"/>
              <w:left w:val="single" w:color="000000" w:sz="4" w:space="0"/>
              <w:bottom w:val="single" w:color="000000" w:sz="4" w:space="0"/>
              <w:right w:val="single" w:color="000000" w:sz="4" w:space="0"/>
            </w:tcBorders>
            <w:noWrap w:val="0"/>
            <w:vAlign w:val="center"/>
          </w:tcPr>
          <w:p w14:paraId="77491C9D">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从业人员(X)</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09216E3">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人</w:t>
            </w:r>
          </w:p>
        </w:tc>
        <w:tc>
          <w:tcPr>
            <w:tcW w:w="1191" w:type="dxa"/>
            <w:tcBorders>
              <w:top w:val="single" w:color="000000" w:sz="4" w:space="0"/>
              <w:left w:val="single" w:color="000000" w:sz="4" w:space="0"/>
              <w:bottom w:val="single" w:color="000000" w:sz="4" w:space="0"/>
              <w:right w:val="single" w:color="000000" w:sz="4" w:space="0"/>
            </w:tcBorders>
            <w:noWrap w:val="0"/>
            <w:vAlign w:val="center"/>
          </w:tcPr>
          <w:p w14:paraId="1C809DA0">
            <w:pPr>
              <w:widowControl/>
              <w:snapToGrid w:val="0"/>
              <w:jc w:val="center"/>
              <w:textAlignment w:val="baseline"/>
              <w:rPr>
                <w:rFonts w:ascii="宋体" w:hAnsi="宋体"/>
                <w:color w:val="auto"/>
                <w:kern w:val="0"/>
                <w:sz w:val="18"/>
                <w:highlight w:val="none"/>
              </w:rPr>
            </w:pPr>
            <w:r>
              <w:rPr>
                <w:rFonts w:ascii="宋体" w:hAnsi="宋体"/>
                <w:color w:val="auto"/>
                <w:kern w:val="0"/>
                <w:sz w:val="18"/>
                <w:highlight w:val="none"/>
              </w:rPr>
              <w:t>X≥300</w:t>
            </w:r>
          </w:p>
        </w:tc>
        <w:tc>
          <w:tcPr>
            <w:tcW w:w="1803" w:type="dxa"/>
            <w:tcBorders>
              <w:top w:val="single" w:color="000000" w:sz="4" w:space="0"/>
              <w:left w:val="single" w:color="000000" w:sz="4" w:space="0"/>
              <w:bottom w:val="single" w:color="000000" w:sz="4" w:space="0"/>
              <w:right w:val="single" w:color="000000" w:sz="4" w:space="0"/>
            </w:tcBorders>
            <w:noWrap w:val="0"/>
            <w:vAlign w:val="center"/>
          </w:tcPr>
          <w:p w14:paraId="77F60451">
            <w:pPr>
              <w:widowControl/>
              <w:snapToGrid w:val="0"/>
              <w:ind w:left="1" w:leftChars="-51" w:hanging="108"/>
              <w:jc w:val="center"/>
              <w:textAlignment w:val="baseline"/>
              <w:rPr>
                <w:rFonts w:ascii="宋体" w:hAnsi="宋体"/>
                <w:color w:val="auto"/>
                <w:kern w:val="0"/>
                <w:sz w:val="18"/>
                <w:highlight w:val="none"/>
              </w:rPr>
            </w:pPr>
            <w:r>
              <w:rPr>
                <w:rFonts w:ascii="宋体" w:hAnsi="宋体"/>
                <w:color w:val="auto"/>
                <w:kern w:val="0"/>
                <w:sz w:val="18"/>
                <w:highlight w:val="none"/>
              </w:rPr>
              <w:t>100≤X＜300</w:t>
            </w:r>
          </w:p>
        </w:tc>
        <w:tc>
          <w:tcPr>
            <w:tcW w:w="1511" w:type="dxa"/>
            <w:tcBorders>
              <w:top w:val="single" w:color="000000" w:sz="4" w:space="0"/>
              <w:left w:val="single" w:color="000000" w:sz="4" w:space="0"/>
              <w:bottom w:val="single" w:color="000000" w:sz="4" w:space="0"/>
              <w:right w:val="single" w:color="000000" w:sz="4" w:space="0"/>
            </w:tcBorders>
            <w:noWrap w:val="0"/>
            <w:vAlign w:val="center"/>
          </w:tcPr>
          <w:p w14:paraId="40687B62">
            <w:pPr>
              <w:widowControl/>
              <w:snapToGrid w:val="0"/>
              <w:jc w:val="center"/>
              <w:textAlignment w:val="baseline"/>
              <w:rPr>
                <w:rFonts w:ascii="宋体" w:hAnsi="宋体"/>
                <w:bCs/>
                <w:color w:val="auto"/>
                <w:kern w:val="0"/>
                <w:sz w:val="18"/>
                <w:highlight w:val="none"/>
              </w:rPr>
            </w:pPr>
            <w:r>
              <w:rPr>
                <w:rFonts w:ascii="宋体" w:hAnsi="宋体"/>
                <w:bCs/>
                <w:color w:val="auto"/>
                <w:kern w:val="0"/>
                <w:sz w:val="18"/>
                <w:highlight w:val="none"/>
              </w:rPr>
              <w:t>10≤X＜100</w:t>
            </w:r>
          </w:p>
        </w:tc>
        <w:tc>
          <w:tcPr>
            <w:tcW w:w="1049" w:type="dxa"/>
            <w:tcBorders>
              <w:top w:val="single" w:color="000000" w:sz="4" w:space="0"/>
              <w:left w:val="single" w:color="000000" w:sz="4" w:space="0"/>
              <w:bottom w:val="single" w:color="000000" w:sz="4" w:space="0"/>
              <w:right w:val="single" w:color="000000" w:sz="4" w:space="0"/>
            </w:tcBorders>
            <w:noWrap w:val="0"/>
            <w:vAlign w:val="center"/>
          </w:tcPr>
          <w:p w14:paraId="111A5022">
            <w:pPr>
              <w:widowControl/>
              <w:snapToGrid w:val="0"/>
              <w:jc w:val="center"/>
              <w:textAlignment w:val="baseline"/>
              <w:rPr>
                <w:rFonts w:ascii="宋体" w:hAnsi="宋体"/>
                <w:bCs/>
                <w:color w:val="auto"/>
                <w:kern w:val="0"/>
                <w:sz w:val="18"/>
                <w:highlight w:val="none"/>
              </w:rPr>
            </w:pPr>
            <w:r>
              <w:rPr>
                <w:rFonts w:ascii="宋体" w:hAnsi="宋体"/>
                <w:bCs/>
                <w:color w:val="auto"/>
                <w:kern w:val="0"/>
                <w:sz w:val="18"/>
                <w:highlight w:val="none"/>
              </w:rPr>
              <w:t>X＜10</w:t>
            </w:r>
          </w:p>
        </w:tc>
      </w:tr>
    </w:tbl>
    <w:p w14:paraId="7F65CFD0">
      <w:pPr>
        <w:widowControl/>
        <w:snapToGrid w:val="0"/>
        <w:spacing w:line="540" w:lineRule="exact"/>
        <w:textAlignment w:val="baseline"/>
        <w:rPr>
          <w:rFonts w:ascii="宋体" w:hAnsi="宋体"/>
          <w:color w:val="auto"/>
          <w:spacing w:val="8"/>
          <w:kern w:val="0"/>
          <w:sz w:val="24"/>
          <w:highlight w:val="none"/>
        </w:rPr>
      </w:pPr>
    </w:p>
    <w:p w14:paraId="314F2749">
      <w:pPr>
        <w:widowControl/>
        <w:snapToGrid w:val="0"/>
        <w:spacing w:line="540" w:lineRule="exact"/>
        <w:textAlignment w:val="baseline"/>
        <w:rPr>
          <w:rFonts w:ascii="宋体" w:hAnsi="宋体"/>
          <w:color w:val="auto"/>
          <w:spacing w:val="8"/>
          <w:kern w:val="0"/>
          <w:sz w:val="21"/>
          <w:szCs w:val="21"/>
          <w:highlight w:val="none"/>
        </w:rPr>
      </w:pPr>
      <w:r>
        <w:rPr>
          <w:rFonts w:ascii="宋体" w:hAnsi="宋体"/>
          <w:color w:val="auto"/>
          <w:spacing w:val="8"/>
          <w:kern w:val="0"/>
          <w:sz w:val="21"/>
          <w:szCs w:val="21"/>
          <w:highlight w:val="none"/>
        </w:rPr>
        <w:t>说明：</w:t>
      </w:r>
    </w:p>
    <w:p w14:paraId="510E8C50">
      <w:pPr>
        <w:widowControl/>
        <w:snapToGrid w:val="0"/>
        <w:spacing w:line="380" w:lineRule="exact"/>
        <w:ind w:firstLine="452" w:firstLineChars="200"/>
        <w:textAlignment w:val="baseline"/>
        <w:rPr>
          <w:rFonts w:ascii="宋体" w:hAnsi="宋体"/>
          <w:color w:val="auto"/>
          <w:spacing w:val="8"/>
          <w:kern w:val="0"/>
          <w:sz w:val="21"/>
          <w:szCs w:val="21"/>
          <w:highlight w:val="none"/>
        </w:rPr>
      </w:pPr>
      <w:r>
        <w:rPr>
          <w:rFonts w:ascii="宋体" w:hAnsi="宋体"/>
          <w:color w:val="auto"/>
          <w:spacing w:val="8"/>
          <w:kern w:val="0"/>
          <w:sz w:val="21"/>
          <w:szCs w:val="21"/>
          <w:highlight w:val="none"/>
        </w:rPr>
        <w:t>1.大型、中型和小型企业须同时满足所列指标的下限，否则下划一档；微型企业只须满足所列指标中的一项即可。</w:t>
      </w:r>
    </w:p>
    <w:p w14:paraId="409A5AFD">
      <w:pPr>
        <w:widowControl/>
        <w:snapToGrid w:val="0"/>
        <w:spacing w:line="380" w:lineRule="exact"/>
        <w:ind w:firstLine="452" w:firstLineChars="200"/>
        <w:textAlignment w:val="baseline"/>
        <w:rPr>
          <w:rFonts w:ascii="宋体" w:hAnsi="宋体"/>
          <w:color w:val="auto"/>
          <w:spacing w:val="8"/>
          <w:kern w:val="0"/>
          <w:sz w:val="21"/>
          <w:szCs w:val="21"/>
          <w:highlight w:val="none"/>
        </w:rPr>
      </w:pPr>
      <w:r>
        <w:rPr>
          <w:rFonts w:ascii="宋体" w:hAnsi="宋体"/>
          <w:color w:val="auto"/>
          <w:spacing w:val="8"/>
          <w:kern w:val="0"/>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7B51687">
      <w:pPr>
        <w:widowControl/>
        <w:snapToGrid w:val="0"/>
        <w:spacing w:line="380" w:lineRule="exact"/>
        <w:ind w:firstLine="452" w:firstLineChars="200"/>
        <w:textAlignment w:val="baseline"/>
        <w:rPr>
          <w:rFonts w:ascii="宋体" w:hAnsi="宋体" w:cs="宋体"/>
          <w:bCs/>
          <w:color w:val="auto"/>
          <w:sz w:val="21"/>
          <w:szCs w:val="21"/>
          <w:highlight w:val="none"/>
        </w:rPr>
      </w:pPr>
      <w:r>
        <w:rPr>
          <w:rFonts w:ascii="宋体" w:hAnsi="宋体"/>
          <w:color w:val="auto"/>
          <w:spacing w:val="8"/>
          <w:kern w:val="0"/>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6B4830AD">
      <w:pPr>
        <w:spacing w:line="360" w:lineRule="auto"/>
        <w:jc w:val="center"/>
        <w:outlineLvl w:val="1"/>
        <w:rPr>
          <w:rFonts w:ascii="宋体" w:hAnsi="宋体" w:cs="宋体"/>
          <w:b/>
          <w:bCs/>
          <w:sz w:val="28"/>
          <w:szCs w:val="28"/>
        </w:rPr>
      </w:pPr>
      <w:r>
        <w:rPr>
          <w:rFonts w:ascii="宋体" w:hAnsi="宋体"/>
          <w:sz w:val="24"/>
        </w:rPr>
        <w:br w:type="page"/>
      </w:r>
      <w:bookmarkStart w:id="291" w:name="_Toc24275"/>
      <w:bookmarkStart w:id="292" w:name="_Toc30837"/>
      <w:bookmarkStart w:id="293" w:name="_Toc20769"/>
      <w:r>
        <w:rPr>
          <w:rFonts w:hint="eastAsia" w:ascii="宋体" w:hAnsi="宋体" w:eastAsia="宋体"/>
          <w:b/>
          <w:bCs/>
          <w:sz w:val="24"/>
          <w:lang w:val="en-US" w:eastAsia="zh-CN"/>
        </w:rPr>
        <w:t>9.1</w:t>
      </w:r>
      <w:r>
        <w:rPr>
          <w:rFonts w:hint="eastAsia" w:ascii="宋体" w:hAnsi="宋体" w:cs="宋体"/>
          <w:b/>
          <w:bCs/>
          <w:sz w:val="28"/>
          <w:szCs w:val="28"/>
        </w:rPr>
        <w:t>残疾人福利性单位声明函</w:t>
      </w:r>
      <w:bookmarkEnd w:id="291"/>
      <w:bookmarkEnd w:id="292"/>
      <w:bookmarkEnd w:id="293"/>
    </w:p>
    <w:p w14:paraId="57C1E122">
      <w:pPr>
        <w:spacing w:line="360" w:lineRule="auto"/>
        <w:ind w:firstLine="482"/>
        <w:rPr>
          <w:rFonts w:ascii="仿宋_GB2312" w:hAnsi="仿宋_GB2312" w:eastAsia="仿宋_GB2312" w:cs="仿宋_GB2312"/>
          <w:sz w:val="32"/>
          <w:szCs w:val="32"/>
        </w:rPr>
      </w:pPr>
    </w:p>
    <w:p w14:paraId="4F595AD2">
      <w:pPr>
        <w:spacing w:line="360" w:lineRule="auto"/>
        <w:ind w:firstLine="420" w:firstLineChars="200"/>
        <w:rPr>
          <w:rFonts w:ascii="宋体" w:hAnsi="宋体" w:cs="仿宋_GB2312"/>
          <w:szCs w:val="21"/>
        </w:rPr>
      </w:pPr>
      <w:r>
        <w:rPr>
          <w:rFonts w:hint="eastAsia" w:ascii="宋体" w:hAnsi="宋体" w:cs="仿宋_GB2312"/>
          <w:szCs w:val="21"/>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3ECA269">
      <w:pPr>
        <w:spacing w:line="360" w:lineRule="auto"/>
        <w:ind w:firstLine="420" w:firstLineChars="200"/>
        <w:rPr>
          <w:rFonts w:ascii="宋体" w:hAnsi="宋体" w:cs="仿宋_GB2312"/>
          <w:sz w:val="24"/>
        </w:rPr>
      </w:pPr>
      <w:r>
        <w:rPr>
          <w:rFonts w:hint="eastAsia" w:ascii="宋体" w:hAnsi="宋体" w:cs="仿宋_GB2312"/>
          <w:szCs w:val="21"/>
        </w:rPr>
        <w:t>本单位对上述声明的真实性负责。如有虚假，将依法承担相应责任。</w:t>
      </w:r>
    </w:p>
    <w:p w14:paraId="08F44FB0">
      <w:pPr>
        <w:spacing w:line="360" w:lineRule="auto"/>
        <w:ind w:firstLine="361"/>
        <w:rPr>
          <w:rFonts w:ascii="宋体" w:hAnsi="宋体" w:cs="仿宋_GB2312"/>
          <w:sz w:val="24"/>
        </w:rPr>
      </w:pPr>
    </w:p>
    <w:p w14:paraId="4FE51020">
      <w:pPr>
        <w:spacing w:line="360" w:lineRule="auto"/>
        <w:ind w:firstLine="361"/>
        <w:rPr>
          <w:rFonts w:ascii="宋体" w:hAnsi="宋体" w:cs="仿宋_GB2312"/>
          <w:sz w:val="24"/>
        </w:rPr>
      </w:pPr>
    </w:p>
    <w:p w14:paraId="3E5FE165">
      <w:pPr>
        <w:spacing w:line="360" w:lineRule="auto"/>
        <w:ind w:firstLine="361"/>
        <w:rPr>
          <w:rFonts w:ascii="宋体" w:hAnsi="宋体" w:cs="仿宋_GB2312"/>
          <w:sz w:val="24"/>
        </w:rPr>
      </w:pPr>
    </w:p>
    <w:p w14:paraId="318AC57D">
      <w:pPr>
        <w:spacing w:line="360" w:lineRule="auto"/>
        <w:ind w:firstLine="3150" w:firstLineChars="1500"/>
        <w:rPr>
          <w:rFonts w:ascii="宋体" w:hAnsi="宋体" w:cs="仿宋_GB2312"/>
          <w:szCs w:val="21"/>
        </w:rPr>
      </w:pPr>
      <w:r>
        <w:rPr>
          <w:rFonts w:hint="eastAsia" w:ascii="宋体" w:hAnsi="宋体" w:cs="仿宋_GB2312"/>
          <w:szCs w:val="21"/>
        </w:rPr>
        <w:t>投标人[公章（CA签章）]：</w:t>
      </w:r>
    </w:p>
    <w:p w14:paraId="1F0B1529">
      <w:pPr>
        <w:spacing w:line="360" w:lineRule="auto"/>
        <w:ind w:firstLine="3150" w:firstLineChars="1500"/>
        <w:rPr>
          <w:rFonts w:ascii="宋体" w:hAnsi="宋体" w:cs="仿宋_GB2312"/>
          <w:szCs w:val="21"/>
        </w:rPr>
      </w:pPr>
      <w:r>
        <w:rPr>
          <w:rFonts w:hint="eastAsia" w:ascii="宋体" w:hAnsi="宋体" w:cs="仿宋_GB2312"/>
          <w:szCs w:val="21"/>
        </w:rPr>
        <w:t>日  期：</w:t>
      </w:r>
    </w:p>
    <w:p w14:paraId="58B6B3C0">
      <w:pPr>
        <w:spacing w:line="360" w:lineRule="auto"/>
        <w:ind w:firstLine="361"/>
        <w:rPr>
          <w:rFonts w:ascii="宋体" w:hAnsi="宋体" w:cs="仿宋_GB2312"/>
          <w:sz w:val="24"/>
        </w:rPr>
      </w:pPr>
    </w:p>
    <w:p w14:paraId="229BC060">
      <w:pPr>
        <w:spacing w:line="360" w:lineRule="auto"/>
        <w:ind w:firstLine="361"/>
        <w:rPr>
          <w:rFonts w:ascii="宋体" w:hAnsi="宋体" w:cs="仿宋_GB2312"/>
          <w:sz w:val="24"/>
        </w:rPr>
      </w:pPr>
    </w:p>
    <w:p w14:paraId="58C6C32E">
      <w:pPr>
        <w:spacing w:line="360" w:lineRule="auto"/>
        <w:ind w:firstLine="361"/>
        <w:rPr>
          <w:rFonts w:ascii="宋体" w:hAnsi="宋体" w:cs="仿宋_GB2312"/>
          <w:sz w:val="24"/>
        </w:rPr>
      </w:pPr>
    </w:p>
    <w:p w14:paraId="383F73FD">
      <w:pPr>
        <w:spacing w:line="360" w:lineRule="auto"/>
        <w:ind w:firstLine="452"/>
        <w:rPr>
          <w:rFonts w:ascii="宋体" w:hAnsi="宋体" w:cs="仿宋_GB2312"/>
          <w:szCs w:val="21"/>
        </w:rPr>
      </w:pPr>
      <w:r>
        <w:rPr>
          <w:rFonts w:hint="eastAsia" w:ascii="宋体" w:hAnsi="宋体" w:cs="仿宋_GB2312"/>
          <w:szCs w:val="21"/>
        </w:rPr>
        <w:t>注：请根据自己的真实情况出具《残疾人福利性单位声明函》。依法享受中小企业优惠政策的，采购人或者采购代理机构在公告中标结果时，同时公告其《残疾人福利性单位声明函》，接受社会监督。</w:t>
      </w:r>
    </w:p>
    <w:p w14:paraId="7C5C9D5A">
      <w:pPr>
        <w:ind w:firstLine="452"/>
        <w:rPr>
          <w:rFonts w:ascii="宋体" w:hAnsi="宋体" w:cs="宋体"/>
        </w:rPr>
      </w:pPr>
      <w:r>
        <w:rPr>
          <w:rFonts w:hint="eastAsia" w:ascii="宋体" w:hAnsi="宋体" w:cs="宋体"/>
        </w:rPr>
        <w:br w:type="page"/>
      </w:r>
    </w:p>
    <w:p w14:paraId="3C1408AC">
      <w:pPr>
        <w:spacing w:line="360" w:lineRule="auto"/>
        <w:rPr>
          <w:rFonts w:hint="eastAsia" w:ascii="宋体" w:hAnsi="宋体" w:cs="宋体"/>
          <w:sz w:val="24"/>
          <w:szCs w:val="24"/>
        </w:rPr>
      </w:pPr>
      <w:r>
        <w:rPr>
          <w:rFonts w:hint="eastAsia" w:ascii="宋体" w:hAnsi="宋体" w:cs="宋体"/>
          <w:b/>
          <w:bCs/>
          <w:sz w:val="24"/>
          <w:szCs w:val="24"/>
        </w:rPr>
        <w:t>1</w:t>
      </w:r>
      <w:r>
        <w:rPr>
          <w:rFonts w:hint="eastAsia" w:ascii="宋体" w:hAnsi="宋体" w:eastAsia="宋体" w:cs="宋体"/>
          <w:b/>
          <w:bCs/>
          <w:sz w:val="24"/>
          <w:szCs w:val="24"/>
          <w:lang w:val="en-US" w:eastAsia="zh-CN"/>
        </w:rPr>
        <w:t>0</w:t>
      </w:r>
      <w:r>
        <w:rPr>
          <w:rFonts w:hint="eastAsia" w:ascii="宋体" w:hAnsi="宋体" w:eastAsia="宋体" w:cs="宋体"/>
          <w:sz w:val="24"/>
          <w:szCs w:val="24"/>
          <w:lang w:val="en-US" w:eastAsia="zh-CN"/>
        </w:rPr>
        <w:t>.</w:t>
      </w:r>
      <w:r>
        <w:rPr>
          <w:rFonts w:hint="eastAsia" w:ascii="宋体" w:hAnsi="宋体" w:cs="宋体"/>
          <w:sz w:val="24"/>
          <w:szCs w:val="24"/>
        </w:rPr>
        <w:t>投标人根据招标公告对应的特定资格要求设置投标人提供的资格证明材料；</w:t>
      </w:r>
      <w:r>
        <w:rPr>
          <w:rFonts w:hint="eastAsia" w:ascii="宋体" w:hAnsi="宋体" w:cs="宋体"/>
          <w:b/>
          <w:bCs/>
          <w:sz w:val="24"/>
          <w:szCs w:val="24"/>
        </w:rPr>
        <w:t>（</w:t>
      </w:r>
      <w:r>
        <w:rPr>
          <w:rFonts w:hint="eastAsia" w:ascii="宋体" w:hAnsi="宋体" w:cs="宋体"/>
          <w:b/>
          <w:sz w:val="24"/>
          <w:szCs w:val="24"/>
        </w:rPr>
        <w:t>如有请提供</w:t>
      </w:r>
      <w:r>
        <w:rPr>
          <w:rFonts w:hint="eastAsia" w:ascii="宋体" w:hAnsi="宋体" w:cs="宋体"/>
          <w:b/>
          <w:bCs/>
          <w:sz w:val="24"/>
          <w:szCs w:val="24"/>
        </w:rPr>
        <w:t>）</w:t>
      </w:r>
    </w:p>
    <w:p w14:paraId="1B6001FF">
      <w:pPr>
        <w:spacing w:line="360" w:lineRule="auto"/>
        <w:ind w:firstLine="420" w:firstLineChars="200"/>
        <w:rPr>
          <w:rFonts w:hint="eastAsia" w:ascii="宋体" w:hAnsi="宋体" w:cs="宋体"/>
          <w:szCs w:val="21"/>
        </w:rPr>
      </w:pPr>
    </w:p>
    <w:p w14:paraId="1A8BDDCD">
      <w:pPr>
        <w:spacing w:line="360" w:lineRule="auto"/>
        <w:ind w:firstLine="420" w:firstLineChars="200"/>
        <w:rPr>
          <w:rFonts w:hint="eastAsia" w:ascii="宋体" w:hAnsi="宋体" w:cs="宋体"/>
          <w:szCs w:val="21"/>
        </w:rPr>
      </w:pPr>
    </w:p>
    <w:p w14:paraId="1A5537D5">
      <w:pPr>
        <w:spacing w:line="360" w:lineRule="auto"/>
        <w:rPr>
          <w:rFonts w:hint="eastAsia" w:ascii="宋体" w:hAnsi="宋体" w:cs="宋体"/>
          <w:sz w:val="24"/>
          <w:szCs w:val="24"/>
        </w:rPr>
      </w:pPr>
      <w:r>
        <w:rPr>
          <w:rFonts w:hint="eastAsia" w:ascii="宋体" w:hAnsi="宋体" w:eastAsia="宋体" w:cs="宋体"/>
          <w:sz w:val="24"/>
          <w:szCs w:val="24"/>
          <w:lang w:val="en-US" w:eastAsia="zh-CN"/>
        </w:rPr>
        <w:t>11.</w:t>
      </w:r>
      <w:r>
        <w:rPr>
          <w:rFonts w:hint="eastAsia" w:ascii="宋体" w:hAnsi="宋体" w:cs="宋体"/>
          <w:sz w:val="24"/>
          <w:szCs w:val="24"/>
        </w:rPr>
        <w:t>除招标文件规定必须提供以外，投标人认为需要提供的其他证明材料</w:t>
      </w:r>
      <w:r>
        <w:rPr>
          <w:rFonts w:hint="eastAsia" w:ascii="宋体" w:hAnsi="宋体" w:eastAsia="宋体" w:cs="宋体"/>
          <w:sz w:val="24"/>
          <w:szCs w:val="24"/>
          <w:lang w:eastAsia="zh-CN"/>
        </w:rPr>
        <w:t>；</w:t>
      </w:r>
      <w:r>
        <w:rPr>
          <w:rFonts w:hint="eastAsia" w:ascii="宋体" w:hAnsi="宋体" w:cs="宋体"/>
          <w:b/>
          <w:bCs/>
          <w:sz w:val="24"/>
          <w:szCs w:val="24"/>
        </w:rPr>
        <w:t>（</w:t>
      </w:r>
      <w:r>
        <w:rPr>
          <w:rFonts w:hint="eastAsia" w:ascii="宋体" w:hAnsi="宋体" w:cs="宋体"/>
          <w:b/>
          <w:sz w:val="24"/>
          <w:szCs w:val="24"/>
        </w:rPr>
        <w:t>如有请提供</w:t>
      </w:r>
      <w:r>
        <w:rPr>
          <w:rFonts w:hint="eastAsia" w:ascii="宋体" w:hAnsi="宋体" w:cs="宋体"/>
          <w:b/>
          <w:bCs/>
          <w:sz w:val="24"/>
          <w:szCs w:val="24"/>
        </w:rPr>
        <w:t>）</w:t>
      </w:r>
    </w:p>
    <w:p w14:paraId="3B5FDC56">
      <w:pPr>
        <w:spacing w:line="360" w:lineRule="auto"/>
        <w:ind w:firstLine="420" w:firstLineChars="200"/>
        <w:rPr>
          <w:rFonts w:hint="eastAsia" w:ascii="宋体" w:hAnsi="宋体" w:cs="宋体"/>
          <w:szCs w:val="21"/>
        </w:rPr>
      </w:pPr>
    </w:p>
    <w:p w14:paraId="5E3A4FE5">
      <w:pPr>
        <w:rPr>
          <w:rFonts w:ascii="宋体" w:hAnsi="宋体" w:cs="宋体"/>
          <w:b/>
          <w:color w:val="auto"/>
          <w:sz w:val="28"/>
          <w:szCs w:val="28"/>
        </w:rPr>
      </w:pPr>
      <w:bookmarkStart w:id="294" w:name="_Toc19686838"/>
    </w:p>
    <w:p w14:paraId="3DB9E858">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rPr>
      </w:pPr>
      <w:r>
        <w:rPr>
          <w:rFonts w:hint="eastAsia" w:ascii="宋体" w:hAnsi="宋体" w:cs="宋体"/>
          <w:sz w:val="24"/>
          <w:szCs w:val="24"/>
        </w:rPr>
        <w:t>12、拟派项目经理无在岗项目承诺书或随时撤离承诺书</w:t>
      </w:r>
      <w:r>
        <w:rPr>
          <w:rFonts w:hint="eastAsia" w:ascii="宋体" w:hAnsi="宋体" w:cs="宋体"/>
          <w:b/>
          <w:bCs/>
          <w:sz w:val="24"/>
          <w:szCs w:val="24"/>
        </w:rPr>
        <w:t>(</w:t>
      </w:r>
      <w:r>
        <w:rPr>
          <w:rFonts w:hint="eastAsia" w:ascii="宋体" w:hAnsi="宋体" w:eastAsia="宋体" w:cs="宋体"/>
          <w:b/>
          <w:bCs/>
          <w:sz w:val="24"/>
          <w:szCs w:val="24"/>
          <w:lang w:eastAsia="zh-CN"/>
        </w:rPr>
        <w:t>必须提供</w:t>
      </w:r>
      <w:r>
        <w:rPr>
          <w:rFonts w:hint="eastAsia" w:ascii="宋体" w:hAnsi="宋体" w:cs="宋体"/>
          <w:b/>
          <w:bCs/>
          <w:sz w:val="24"/>
          <w:szCs w:val="24"/>
        </w:rPr>
        <w:t>)</w:t>
      </w:r>
      <w:r>
        <w:rPr>
          <w:rFonts w:hint="eastAsia" w:ascii="宋体" w:hAnsi="宋体" w:cs="宋体"/>
          <w:sz w:val="24"/>
          <w:szCs w:val="24"/>
        </w:rPr>
        <w:t>(格式自拟)</w:t>
      </w:r>
    </w:p>
    <w:p w14:paraId="35EDF57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b w:val="0"/>
          <w:bCs w:val="0"/>
          <w:sz w:val="24"/>
          <w:szCs w:val="24"/>
          <w:lang w:val="en-US" w:eastAsia="zh-CN"/>
        </w:rPr>
      </w:pPr>
    </w:p>
    <w:p w14:paraId="3C6AD0B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13、</w:t>
      </w:r>
      <w:r>
        <w:rPr>
          <w:rFonts w:hint="eastAsia" w:ascii="宋体" w:hAnsi="宋体" w:cs="宋体"/>
          <w:b w:val="0"/>
          <w:bCs w:val="0"/>
          <w:sz w:val="24"/>
          <w:szCs w:val="24"/>
        </w:rPr>
        <w:t>其它承诺书</w:t>
      </w:r>
      <w:r>
        <w:rPr>
          <w:rFonts w:hint="eastAsia" w:ascii="宋体" w:hAnsi="宋体" w:cs="宋体"/>
          <w:b/>
          <w:bCs/>
          <w:sz w:val="24"/>
          <w:szCs w:val="24"/>
        </w:rPr>
        <w:t>(</w:t>
      </w:r>
      <w:r>
        <w:rPr>
          <w:rFonts w:hint="eastAsia" w:ascii="宋体" w:hAnsi="宋体" w:eastAsia="宋体" w:cs="宋体"/>
          <w:b/>
          <w:bCs/>
          <w:sz w:val="24"/>
          <w:szCs w:val="24"/>
          <w:lang w:val="en-US" w:eastAsia="zh-CN"/>
        </w:rPr>
        <w:t>如有请</w:t>
      </w:r>
      <w:r>
        <w:rPr>
          <w:rFonts w:hint="eastAsia" w:ascii="宋体" w:hAnsi="宋体" w:eastAsia="宋体" w:cs="宋体"/>
          <w:b/>
          <w:bCs/>
          <w:sz w:val="24"/>
          <w:szCs w:val="24"/>
          <w:lang w:eastAsia="zh-CN"/>
        </w:rPr>
        <w:t>提供</w:t>
      </w:r>
      <w:r>
        <w:rPr>
          <w:rFonts w:hint="eastAsia" w:ascii="宋体" w:hAnsi="宋体" w:cs="宋体"/>
          <w:b/>
          <w:bCs/>
          <w:sz w:val="24"/>
          <w:szCs w:val="24"/>
        </w:rPr>
        <w:t>)</w:t>
      </w:r>
      <w:r>
        <w:rPr>
          <w:rFonts w:hint="eastAsia" w:ascii="宋体" w:hAnsi="宋体" w:cs="宋体"/>
          <w:b w:val="0"/>
          <w:bCs w:val="0"/>
          <w:sz w:val="24"/>
          <w:szCs w:val="24"/>
        </w:rPr>
        <w:t>(格式自拟)</w:t>
      </w:r>
    </w:p>
    <w:p w14:paraId="34225A95">
      <w:pPr>
        <w:rPr>
          <w:rFonts w:ascii="宋体" w:hAnsi="宋体" w:cs="宋体"/>
          <w:b/>
          <w:sz w:val="28"/>
          <w:szCs w:val="28"/>
        </w:rPr>
      </w:pPr>
    </w:p>
    <w:p w14:paraId="7E177A21">
      <w:pPr>
        <w:rPr>
          <w:rFonts w:ascii="宋体" w:hAnsi="宋体" w:cs="宋体"/>
          <w:b/>
          <w:sz w:val="28"/>
          <w:szCs w:val="28"/>
        </w:rPr>
      </w:pPr>
    </w:p>
    <w:p w14:paraId="17C15210">
      <w:pPr>
        <w:rPr>
          <w:rFonts w:ascii="宋体" w:hAnsi="宋体" w:cs="宋体"/>
          <w:b/>
          <w:sz w:val="28"/>
          <w:szCs w:val="28"/>
        </w:rPr>
      </w:pPr>
    </w:p>
    <w:p w14:paraId="3B8A4E5A">
      <w:pPr>
        <w:rPr>
          <w:rFonts w:ascii="宋体" w:hAnsi="宋体" w:cs="宋体"/>
          <w:b/>
          <w:sz w:val="28"/>
          <w:szCs w:val="28"/>
        </w:rPr>
      </w:pPr>
    </w:p>
    <w:p w14:paraId="295E8A64">
      <w:pPr>
        <w:rPr>
          <w:rFonts w:ascii="宋体" w:hAnsi="宋体" w:cs="宋体"/>
          <w:b/>
          <w:sz w:val="28"/>
          <w:szCs w:val="28"/>
        </w:rPr>
      </w:pPr>
    </w:p>
    <w:p w14:paraId="5655DC0F">
      <w:pPr>
        <w:rPr>
          <w:rFonts w:ascii="宋体" w:hAnsi="宋体" w:cs="宋体"/>
          <w:b/>
          <w:sz w:val="28"/>
          <w:szCs w:val="28"/>
        </w:rPr>
      </w:pPr>
    </w:p>
    <w:p w14:paraId="71595BA7">
      <w:pPr>
        <w:rPr>
          <w:rFonts w:ascii="宋体" w:hAnsi="宋体" w:cs="宋体"/>
          <w:b/>
          <w:sz w:val="28"/>
          <w:szCs w:val="28"/>
        </w:rPr>
      </w:pPr>
    </w:p>
    <w:p w14:paraId="34E6AB6B">
      <w:pPr>
        <w:rPr>
          <w:rFonts w:ascii="宋体" w:hAnsi="宋体" w:cs="宋体"/>
          <w:b/>
          <w:sz w:val="28"/>
          <w:szCs w:val="28"/>
        </w:rPr>
      </w:pPr>
    </w:p>
    <w:p w14:paraId="3622BC06">
      <w:pPr>
        <w:rPr>
          <w:rFonts w:ascii="宋体" w:hAnsi="宋体" w:cs="宋体"/>
          <w:b/>
          <w:sz w:val="28"/>
          <w:szCs w:val="28"/>
        </w:rPr>
      </w:pPr>
    </w:p>
    <w:p w14:paraId="7F743A7D">
      <w:pPr>
        <w:rPr>
          <w:rFonts w:ascii="宋体" w:hAnsi="宋体" w:cs="宋体"/>
          <w:b/>
          <w:sz w:val="28"/>
          <w:szCs w:val="28"/>
        </w:rPr>
      </w:pPr>
    </w:p>
    <w:p w14:paraId="5849FBC7">
      <w:pPr>
        <w:rPr>
          <w:rFonts w:ascii="宋体" w:hAnsi="宋体" w:cs="宋体"/>
          <w:b/>
          <w:sz w:val="28"/>
          <w:szCs w:val="28"/>
        </w:rPr>
      </w:pPr>
    </w:p>
    <w:p w14:paraId="67BF5C6D">
      <w:pPr>
        <w:rPr>
          <w:rFonts w:ascii="宋体" w:hAnsi="宋体" w:cs="宋体"/>
          <w:b/>
          <w:sz w:val="28"/>
          <w:szCs w:val="28"/>
        </w:rPr>
      </w:pPr>
    </w:p>
    <w:p w14:paraId="549C32EE">
      <w:pPr>
        <w:rPr>
          <w:rFonts w:ascii="宋体" w:hAnsi="宋体" w:cs="宋体"/>
          <w:b/>
          <w:sz w:val="28"/>
          <w:szCs w:val="28"/>
        </w:rPr>
      </w:pPr>
    </w:p>
    <w:p w14:paraId="07AB3BD5">
      <w:pPr>
        <w:rPr>
          <w:rFonts w:ascii="宋体" w:hAnsi="宋体" w:cs="宋体"/>
          <w:b/>
          <w:sz w:val="28"/>
          <w:szCs w:val="28"/>
        </w:rPr>
      </w:pPr>
    </w:p>
    <w:p w14:paraId="1DC469C1">
      <w:pPr>
        <w:rPr>
          <w:rFonts w:ascii="宋体" w:hAnsi="宋体" w:cs="宋体"/>
          <w:b/>
          <w:sz w:val="28"/>
          <w:szCs w:val="28"/>
        </w:rPr>
      </w:pPr>
    </w:p>
    <w:p w14:paraId="686CEA22">
      <w:pPr>
        <w:rPr>
          <w:rFonts w:ascii="宋体" w:hAnsi="宋体" w:cs="宋体"/>
          <w:b/>
          <w:sz w:val="28"/>
          <w:szCs w:val="28"/>
        </w:rPr>
      </w:pPr>
    </w:p>
    <w:p w14:paraId="3238F8D3">
      <w:pPr>
        <w:rPr>
          <w:rFonts w:ascii="宋体" w:hAnsi="宋体" w:cs="宋体"/>
          <w:b/>
          <w:sz w:val="28"/>
          <w:szCs w:val="28"/>
        </w:rPr>
      </w:pPr>
    </w:p>
    <w:p w14:paraId="4D252CBF">
      <w:pPr>
        <w:rPr>
          <w:rFonts w:ascii="宋体" w:hAnsi="宋体" w:cs="宋体"/>
          <w:b/>
          <w:sz w:val="28"/>
          <w:szCs w:val="28"/>
        </w:rPr>
      </w:pPr>
    </w:p>
    <w:p w14:paraId="264873F5">
      <w:pPr>
        <w:rPr>
          <w:rFonts w:ascii="宋体" w:hAnsi="宋体" w:cs="宋体"/>
          <w:b/>
          <w:sz w:val="28"/>
          <w:szCs w:val="28"/>
        </w:rPr>
      </w:pPr>
    </w:p>
    <w:p w14:paraId="2234F518">
      <w:pPr>
        <w:rPr>
          <w:rFonts w:ascii="宋体" w:hAnsi="宋体" w:cs="宋体"/>
          <w:b/>
          <w:sz w:val="28"/>
          <w:szCs w:val="28"/>
        </w:rPr>
      </w:pPr>
    </w:p>
    <w:p w14:paraId="52386F10">
      <w:pPr>
        <w:rPr>
          <w:rFonts w:ascii="宋体" w:hAnsi="宋体" w:cs="宋体"/>
          <w:b/>
          <w:sz w:val="28"/>
          <w:szCs w:val="28"/>
        </w:rPr>
      </w:pPr>
    </w:p>
    <w:p w14:paraId="4D37C97D">
      <w:pPr>
        <w:rPr>
          <w:rFonts w:ascii="宋体" w:hAnsi="宋体" w:cs="宋体"/>
          <w:b/>
          <w:sz w:val="28"/>
          <w:szCs w:val="28"/>
        </w:rPr>
      </w:pPr>
    </w:p>
    <w:p w14:paraId="0F9BBA01">
      <w:pPr>
        <w:rPr>
          <w:rFonts w:ascii="宋体" w:hAnsi="宋体" w:cs="宋体"/>
          <w:b/>
          <w:sz w:val="28"/>
          <w:szCs w:val="28"/>
        </w:rPr>
      </w:pPr>
    </w:p>
    <w:p w14:paraId="627A60CE">
      <w:pPr>
        <w:rPr>
          <w:rFonts w:ascii="宋体" w:hAnsi="宋体" w:cs="宋体"/>
          <w:b/>
          <w:sz w:val="28"/>
          <w:szCs w:val="28"/>
        </w:rPr>
      </w:pPr>
    </w:p>
    <w:p w14:paraId="02E0255A">
      <w:pPr>
        <w:rPr>
          <w:rFonts w:ascii="宋体" w:hAnsi="宋体" w:cs="宋体"/>
          <w:b/>
          <w:sz w:val="28"/>
          <w:szCs w:val="28"/>
        </w:rPr>
      </w:pPr>
    </w:p>
    <w:p w14:paraId="22F3C097">
      <w:pPr>
        <w:rPr>
          <w:rFonts w:ascii="宋体" w:hAnsi="宋体" w:cs="宋体"/>
          <w:b/>
          <w:sz w:val="28"/>
          <w:szCs w:val="28"/>
        </w:rPr>
      </w:pPr>
    </w:p>
    <w:p w14:paraId="7FF828C2">
      <w:pPr>
        <w:rPr>
          <w:rFonts w:ascii="宋体" w:hAnsi="宋体" w:cs="宋体"/>
          <w:b/>
          <w:sz w:val="28"/>
          <w:szCs w:val="28"/>
        </w:rPr>
      </w:pPr>
    </w:p>
    <w:p w14:paraId="043A224D">
      <w:pPr>
        <w:rPr>
          <w:rFonts w:ascii="宋体" w:hAnsi="宋体" w:cs="宋体"/>
          <w:b/>
          <w:sz w:val="28"/>
          <w:szCs w:val="28"/>
        </w:rPr>
      </w:pPr>
    </w:p>
    <w:p w14:paraId="5253E097">
      <w:pPr>
        <w:outlineLvl w:val="1"/>
        <w:rPr>
          <w:rFonts w:ascii="宋体" w:hAnsi="宋体" w:cs="宋体"/>
          <w:b/>
          <w:sz w:val="28"/>
          <w:szCs w:val="28"/>
        </w:rPr>
      </w:pPr>
      <w:bookmarkStart w:id="295" w:name="_Toc30891"/>
      <w:bookmarkStart w:id="296" w:name="_Toc7339"/>
      <w:r>
        <w:rPr>
          <w:rFonts w:hint="eastAsia" w:ascii="宋体" w:hAnsi="宋体" w:cs="宋体"/>
          <w:b/>
          <w:sz w:val="28"/>
          <w:szCs w:val="28"/>
        </w:rPr>
        <w:t>三、商务文件格式</w:t>
      </w:r>
      <w:bookmarkEnd w:id="294"/>
      <w:bookmarkEnd w:id="295"/>
      <w:bookmarkEnd w:id="296"/>
    </w:p>
    <w:p w14:paraId="22986907">
      <w:pPr>
        <w:spacing w:before="120" w:after="50" w:line="360" w:lineRule="auto"/>
        <w:jc w:val="left"/>
        <w:rPr>
          <w:rFonts w:ascii="宋体" w:hAnsi="宋体" w:cs="宋体"/>
          <w:b/>
          <w:sz w:val="24"/>
        </w:rPr>
      </w:pPr>
      <w:r>
        <w:rPr>
          <w:rFonts w:hint="eastAsia" w:ascii="宋体" w:hAnsi="宋体" w:cs="宋体"/>
          <w:b/>
          <w:sz w:val="24"/>
        </w:rPr>
        <w:t xml:space="preserve">1.商务文件封面格式： </w:t>
      </w:r>
    </w:p>
    <w:p w14:paraId="7CD36FE9">
      <w:pPr>
        <w:spacing w:before="120" w:after="50"/>
        <w:rPr>
          <w:rFonts w:ascii="宋体" w:hAnsi="宋体" w:cs="宋体"/>
          <w:bCs/>
          <w:sz w:val="32"/>
          <w:szCs w:val="20"/>
        </w:rPr>
      </w:pPr>
      <w:r>
        <w:rPr>
          <w:rFonts w:hint="eastAsia" w:ascii="宋体" w:hAnsi="宋体" w:cs="宋体"/>
          <w:sz w:val="24"/>
        </w:rPr>
        <w:t xml:space="preserve">                                                 </w:t>
      </w:r>
    </w:p>
    <w:p w14:paraId="2F97E24F">
      <w:pPr>
        <w:spacing w:before="120" w:after="50"/>
        <w:rPr>
          <w:rFonts w:ascii="宋体" w:hAnsi="宋体" w:cs="宋体"/>
          <w:sz w:val="24"/>
          <w:szCs w:val="20"/>
        </w:rPr>
      </w:pPr>
    </w:p>
    <w:p w14:paraId="6B49AE8B">
      <w:pPr>
        <w:spacing w:before="120" w:after="50"/>
        <w:rPr>
          <w:rFonts w:ascii="宋体" w:hAnsi="宋体" w:cs="宋体"/>
          <w:sz w:val="24"/>
          <w:szCs w:val="20"/>
        </w:rPr>
      </w:pPr>
    </w:p>
    <w:p w14:paraId="233018C5">
      <w:pPr>
        <w:spacing w:before="120" w:after="50"/>
        <w:rPr>
          <w:rFonts w:ascii="宋体" w:hAnsi="宋体" w:cs="宋体"/>
          <w:sz w:val="24"/>
          <w:szCs w:val="20"/>
        </w:rPr>
      </w:pPr>
    </w:p>
    <w:p w14:paraId="3D5E7D8D">
      <w:pPr>
        <w:spacing w:before="120" w:after="50"/>
        <w:jc w:val="center"/>
        <w:outlineLvl w:val="2"/>
        <w:rPr>
          <w:rFonts w:ascii="宋体" w:hAnsi="宋体" w:cs="宋体"/>
          <w:sz w:val="84"/>
          <w:szCs w:val="84"/>
        </w:rPr>
      </w:pPr>
      <w:bookmarkStart w:id="297" w:name="_Toc26691"/>
      <w:bookmarkStart w:id="298" w:name="_Toc29390"/>
      <w:r>
        <w:rPr>
          <w:rFonts w:hint="eastAsia" w:ascii="宋体" w:hAnsi="宋体" w:cs="宋体"/>
          <w:sz w:val="84"/>
          <w:szCs w:val="84"/>
        </w:rPr>
        <w:t>投  标  文  件</w:t>
      </w:r>
      <w:bookmarkEnd w:id="297"/>
      <w:bookmarkEnd w:id="298"/>
    </w:p>
    <w:p w14:paraId="5D143FDE">
      <w:pPr>
        <w:spacing w:before="120" w:after="50"/>
        <w:rPr>
          <w:rFonts w:ascii="宋体" w:hAnsi="宋体" w:cs="宋体"/>
          <w:sz w:val="24"/>
          <w:szCs w:val="20"/>
        </w:rPr>
      </w:pPr>
    </w:p>
    <w:p w14:paraId="37B51D06">
      <w:pPr>
        <w:spacing w:before="120" w:after="50"/>
        <w:rPr>
          <w:rFonts w:ascii="宋体" w:hAnsi="宋体" w:cs="宋体"/>
          <w:sz w:val="24"/>
          <w:szCs w:val="20"/>
        </w:rPr>
      </w:pPr>
    </w:p>
    <w:p w14:paraId="4DE91F09">
      <w:pPr>
        <w:spacing w:before="120" w:after="50"/>
        <w:jc w:val="center"/>
        <w:outlineLvl w:val="2"/>
        <w:rPr>
          <w:rFonts w:ascii="宋体" w:hAnsi="宋体" w:cs="宋体"/>
          <w:bCs/>
          <w:sz w:val="32"/>
          <w:szCs w:val="32"/>
        </w:rPr>
      </w:pPr>
      <w:bookmarkStart w:id="299" w:name="_Toc19840"/>
      <w:bookmarkStart w:id="300" w:name="_Toc11623"/>
      <w:r>
        <w:rPr>
          <w:rFonts w:hint="eastAsia" w:ascii="宋体" w:hAnsi="宋体" w:cs="宋体"/>
          <w:bCs/>
          <w:sz w:val="32"/>
          <w:szCs w:val="32"/>
        </w:rPr>
        <w:t>商  务  文  件</w:t>
      </w:r>
      <w:bookmarkEnd w:id="299"/>
      <w:bookmarkEnd w:id="300"/>
    </w:p>
    <w:p w14:paraId="5624F879">
      <w:pPr>
        <w:spacing w:before="120" w:after="50"/>
        <w:rPr>
          <w:rFonts w:ascii="宋体" w:hAnsi="宋体" w:cs="宋体"/>
          <w:bCs/>
          <w:sz w:val="24"/>
          <w:szCs w:val="20"/>
        </w:rPr>
      </w:pPr>
    </w:p>
    <w:p w14:paraId="478A20B8">
      <w:pPr>
        <w:spacing w:before="120" w:after="50"/>
        <w:ind w:firstLine="540" w:firstLineChars="225"/>
        <w:rPr>
          <w:rFonts w:ascii="宋体" w:hAnsi="宋体" w:cs="宋体"/>
          <w:bCs/>
          <w:sz w:val="24"/>
        </w:rPr>
      </w:pPr>
    </w:p>
    <w:p w14:paraId="3B957E3D">
      <w:pPr>
        <w:spacing w:before="120" w:after="50"/>
        <w:ind w:firstLine="540" w:firstLineChars="225"/>
        <w:rPr>
          <w:rFonts w:ascii="宋体" w:hAnsi="宋体" w:cs="宋体"/>
          <w:bCs/>
          <w:sz w:val="24"/>
        </w:rPr>
      </w:pPr>
    </w:p>
    <w:p w14:paraId="767617DE">
      <w:pPr>
        <w:spacing w:before="120" w:after="50"/>
        <w:ind w:firstLine="540" w:firstLineChars="225"/>
        <w:rPr>
          <w:rFonts w:ascii="宋体" w:hAnsi="宋体" w:cs="宋体"/>
          <w:bCs/>
          <w:sz w:val="24"/>
        </w:rPr>
      </w:pPr>
    </w:p>
    <w:p w14:paraId="06878517">
      <w:pPr>
        <w:spacing w:before="120" w:after="50"/>
        <w:ind w:firstLine="540" w:firstLineChars="225"/>
        <w:rPr>
          <w:rFonts w:ascii="宋体" w:hAnsi="宋体" w:cs="宋体"/>
          <w:bCs/>
          <w:sz w:val="24"/>
        </w:rPr>
      </w:pPr>
      <w:r>
        <w:rPr>
          <w:rFonts w:hint="eastAsia" w:ascii="宋体" w:hAnsi="宋体" w:cs="宋体"/>
          <w:bCs/>
          <w:sz w:val="24"/>
        </w:rPr>
        <w:t>项目名称：</w:t>
      </w:r>
    </w:p>
    <w:p w14:paraId="627B9B1F">
      <w:pPr>
        <w:spacing w:before="120" w:after="50"/>
        <w:ind w:firstLine="540" w:firstLineChars="225"/>
        <w:rPr>
          <w:rFonts w:ascii="宋体" w:hAnsi="宋体" w:cs="宋体"/>
          <w:bCs/>
          <w:sz w:val="24"/>
          <w:szCs w:val="20"/>
        </w:rPr>
      </w:pPr>
    </w:p>
    <w:p w14:paraId="024E73D9">
      <w:pPr>
        <w:spacing w:before="120" w:after="50"/>
        <w:ind w:firstLine="540" w:firstLineChars="225"/>
        <w:rPr>
          <w:rFonts w:ascii="宋体" w:hAnsi="宋体" w:cs="宋体"/>
          <w:bCs/>
          <w:sz w:val="24"/>
        </w:rPr>
      </w:pPr>
      <w:r>
        <w:rPr>
          <w:rFonts w:hint="eastAsia" w:ascii="宋体" w:hAnsi="宋体" w:cs="宋体"/>
          <w:bCs/>
          <w:sz w:val="24"/>
        </w:rPr>
        <w:t>项目编号：</w:t>
      </w:r>
    </w:p>
    <w:p w14:paraId="39886345">
      <w:pPr>
        <w:spacing w:before="120" w:after="50"/>
        <w:ind w:firstLine="540" w:firstLineChars="225"/>
        <w:rPr>
          <w:rFonts w:ascii="宋体" w:hAnsi="宋体" w:cs="宋体"/>
          <w:bCs/>
          <w:sz w:val="24"/>
          <w:szCs w:val="20"/>
        </w:rPr>
      </w:pPr>
      <w:r>
        <w:rPr>
          <w:rFonts w:hint="eastAsia" w:ascii="宋体" w:hAnsi="宋体" w:cs="宋体"/>
          <w:bCs/>
          <w:sz w:val="24"/>
        </w:rPr>
        <w:t xml:space="preserve"> </w:t>
      </w:r>
    </w:p>
    <w:p w14:paraId="37B31824">
      <w:pPr>
        <w:pStyle w:val="7"/>
        <w:spacing w:before="50" w:after="50"/>
        <w:ind w:firstLine="540" w:firstLineChars="225"/>
        <w:rPr>
          <w:rFonts w:ascii="宋体" w:hAnsi="宋体" w:cs="宋体"/>
          <w:bCs/>
          <w:sz w:val="24"/>
          <w:szCs w:val="24"/>
        </w:rPr>
      </w:pPr>
      <w:r>
        <w:rPr>
          <w:rFonts w:hint="eastAsia" w:ascii="宋体" w:hAnsi="宋体" w:cs="宋体"/>
          <w:bCs/>
          <w:sz w:val="24"/>
          <w:szCs w:val="24"/>
        </w:rPr>
        <w:t>投标人名称：</w:t>
      </w:r>
    </w:p>
    <w:p w14:paraId="491AC5D5">
      <w:pPr>
        <w:pStyle w:val="7"/>
        <w:spacing w:before="50" w:after="50"/>
        <w:ind w:firstLine="540" w:firstLineChars="225"/>
        <w:rPr>
          <w:rFonts w:ascii="宋体" w:hAnsi="宋体" w:cs="宋体"/>
          <w:bCs/>
          <w:sz w:val="24"/>
          <w:szCs w:val="24"/>
        </w:rPr>
      </w:pPr>
    </w:p>
    <w:p w14:paraId="18B28727">
      <w:pPr>
        <w:pStyle w:val="7"/>
        <w:spacing w:before="50" w:after="50"/>
        <w:ind w:firstLine="960" w:firstLineChars="400"/>
        <w:rPr>
          <w:rFonts w:ascii="宋体" w:hAnsi="宋体" w:cs="宋体"/>
          <w:bCs/>
          <w:sz w:val="24"/>
          <w:szCs w:val="24"/>
        </w:rPr>
      </w:pPr>
    </w:p>
    <w:p w14:paraId="7E6133CC">
      <w:pPr>
        <w:pStyle w:val="7"/>
        <w:spacing w:before="50" w:after="50"/>
        <w:ind w:firstLine="960" w:firstLineChars="400"/>
        <w:rPr>
          <w:rFonts w:ascii="宋体" w:hAnsi="宋体" w:cs="宋体"/>
          <w:bCs/>
          <w:sz w:val="24"/>
          <w:szCs w:val="24"/>
        </w:rPr>
      </w:pPr>
    </w:p>
    <w:p w14:paraId="00340BA4">
      <w:pPr>
        <w:spacing w:before="120" w:after="50"/>
        <w:ind w:firstLine="645"/>
        <w:rPr>
          <w:rFonts w:ascii="宋体" w:hAnsi="宋体" w:cs="宋体"/>
          <w:sz w:val="24"/>
        </w:rPr>
      </w:pPr>
      <w:r>
        <w:rPr>
          <w:rFonts w:hint="eastAsia" w:ascii="宋体" w:hAnsi="宋体" w:cs="宋体"/>
          <w:sz w:val="24"/>
        </w:rPr>
        <w:t xml:space="preserve">                        年  月  日</w:t>
      </w:r>
    </w:p>
    <w:p w14:paraId="42972CCA">
      <w:pPr>
        <w:spacing w:before="120" w:after="50"/>
        <w:rPr>
          <w:rFonts w:ascii="宋体" w:hAnsi="宋体" w:cs="宋体"/>
          <w:sz w:val="24"/>
          <w:szCs w:val="20"/>
        </w:rPr>
      </w:pPr>
      <w:r>
        <w:rPr>
          <w:rFonts w:hint="eastAsia" w:ascii="宋体" w:hAnsi="宋体" w:cs="宋体"/>
          <w:sz w:val="24"/>
          <w:szCs w:val="20"/>
        </w:rPr>
        <w:t xml:space="preserve"> </w:t>
      </w:r>
    </w:p>
    <w:p w14:paraId="04E8C6B5">
      <w:pPr>
        <w:spacing w:line="360" w:lineRule="auto"/>
        <w:jc w:val="center"/>
        <w:rPr>
          <w:rFonts w:ascii="宋体" w:hAnsi="宋体" w:cs="宋体"/>
          <w:b/>
          <w:bCs/>
          <w:sz w:val="28"/>
          <w:szCs w:val="28"/>
        </w:rPr>
      </w:pPr>
      <w:r>
        <w:rPr>
          <w:rFonts w:hint="eastAsia" w:ascii="宋体" w:hAnsi="宋体" w:cs="宋体"/>
          <w:sz w:val="24"/>
          <w:szCs w:val="20"/>
        </w:rPr>
        <w:br w:type="page"/>
      </w:r>
      <w:r>
        <w:rPr>
          <w:rFonts w:hint="eastAsia" w:ascii="宋体" w:hAnsi="宋体" w:cs="宋体"/>
          <w:b/>
          <w:bCs/>
          <w:sz w:val="24"/>
        </w:rPr>
        <w:t>商务文件目录</w:t>
      </w:r>
    </w:p>
    <w:p w14:paraId="667B446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1、无串通投标行为的承诺函（格式后附）；（</w:t>
      </w:r>
      <w:r>
        <w:rPr>
          <w:rFonts w:hint="eastAsia" w:ascii="宋体" w:hAnsi="宋体" w:cs="宋体"/>
          <w:b/>
          <w:sz w:val="24"/>
          <w:szCs w:val="24"/>
        </w:rPr>
        <w:t>必须提供，否则按无效投标处理</w:t>
      </w:r>
      <w:r>
        <w:rPr>
          <w:rFonts w:hint="eastAsia" w:ascii="宋体" w:hAnsi="宋体" w:cs="宋体"/>
          <w:sz w:val="24"/>
          <w:szCs w:val="24"/>
        </w:rPr>
        <w:t>）</w:t>
      </w:r>
    </w:p>
    <w:p w14:paraId="01A3890E">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2、投标保证金提交凭证；（</w:t>
      </w:r>
      <w:r>
        <w:rPr>
          <w:rFonts w:hint="eastAsia" w:ascii="宋体" w:hAnsi="宋体" w:cs="宋体"/>
          <w:b/>
          <w:bCs/>
          <w:sz w:val="24"/>
          <w:szCs w:val="24"/>
        </w:rPr>
        <w:t>必须提供</w:t>
      </w:r>
      <w:r>
        <w:rPr>
          <w:rFonts w:hint="eastAsia" w:ascii="宋体" w:hAnsi="宋体" w:cs="宋体"/>
          <w:b/>
          <w:sz w:val="24"/>
          <w:szCs w:val="24"/>
        </w:rPr>
        <w:t>，否则按无效投标处理</w:t>
      </w:r>
      <w:r>
        <w:rPr>
          <w:rFonts w:hint="eastAsia" w:ascii="宋体" w:hAnsi="宋体" w:cs="宋体"/>
          <w:sz w:val="24"/>
          <w:szCs w:val="24"/>
        </w:rPr>
        <w:t>）</w:t>
      </w:r>
    </w:p>
    <w:p w14:paraId="2BF6966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3、法定代表人身份证明及法定代表人有效身份证正反面复印件（格式后附）；（</w:t>
      </w:r>
      <w:r>
        <w:rPr>
          <w:rFonts w:hint="eastAsia" w:ascii="宋体" w:hAnsi="宋体" w:cs="宋体"/>
          <w:b/>
          <w:bCs/>
          <w:sz w:val="24"/>
          <w:szCs w:val="24"/>
        </w:rPr>
        <w:t>除自然人投标外</w:t>
      </w:r>
      <w:r>
        <w:rPr>
          <w:rFonts w:hint="eastAsia" w:ascii="宋体" w:hAnsi="宋体" w:cs="宋体"/>
          <w:b/>
          <w:sz w:val="24"/>
          <w:szCs w:val="24"/>
        </w:rPr>
        <w:t>必须提供，否则按无效投标处理</w:t>
      </w:r>
      <w:r>
        <w:rPr>
          <w:rFonts w:hint="eastAsia" w:ascii="宋体" w:hAnsi="宋体" w:cs="宋体"/>
          <w:sz w:val="24"/>
          <w:szCs w:val="24"/>
        </w:rPr>
        <w:t>）</w:t>
      </w:r>
    </w:p>
    <w:p w14:paraId="302E847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4、授权委托书及委托代理人有效身份证正反面复印件（格式后附）；（</w:t>
      </w:r>
      <w:r>
        <w:rPr>
          <w:rFonts w:hint="eastAsia" w:ascii="宋体" w:hAnsi="宋体" w:cs="宋体"/>
          <w:b/>
          <w:sz w:val="24"/>
          <w:szCs w:val="24"/>
        </w:rPr>
        <w:t>委托时必须提供，否则按无效投标处理</w:t>
      </w:r>
      <w:r>
        <w:rPr>
          <w:rFonts w:hint="eastAsia" w:ascii="宋体" w:hAnsi="宋体" w:cs="宋体"/>
          <w:sz w:val="24"/>
          <w:szCs w:val="24"/>
        </w:rPr>
        <w:t>）</w:t>
      </w:r>
    </w:p>
    <w:p w14:paraId="38BF336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5、商务要求偏离表（格式后附）；（</w:t>
      </w:r>
      <w:r>
        <w:rPr>
          <w:rFonts w:hint="eastAsia" w:ascii="宋体" w:hAnsi="宋体" w:cs="宋体"/>
          <w:b/>
          <w:sz w:val="24"/>
          <w:szCs w:val="24"/>
        </w:rPr>
        <w:t>必须提供，否则按无效投标处理</w:t>
      </w:r>
      <w:r>
        <w:rPr>
          <w:rFonts w:hint="eastAsia" w:ascii="宋体" w:hAnsi="宋体" w:cs="宋体"/>
          <w:sz w:val="24"/>
          <w:szCs w:val="24"/>
        </w:rPr>
        <w:t>）</w:t>
      </w:r>
    </w:p>
    <w:p w14:paraId="090CA8F0">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eastAsia="宋体" w:cs="宋体"/>
          <w:sz w:val="24"/>
          <w:szCs w:val="24"/>
          <w:lang w:val="en-US" w:eastAsia="zh-CN"/>
        </w:rPr>
        <w:t>6</w:t>
      </w:r>
      <w:r>
        <w:rPr>
          <w:rFonts w:hint="eastAsia" w:ascii="宋体" w:hAnsi="宋体" w:cs="宋体"/>
          <w:sz w:val="24"/>
          <w:szCs w:val="24"/>
        </w:rPr>
        <w:t>、投标人情况介绍（格式自拟）；</w:t>
      </w:r>
    </w:p>
    <w:p w14:paraId="3E5FD7E8">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r>
        <w:rPr>
          <w:rFonts w:hint="eastAsia" w:ascii="宋体" w:hAnsi="宋体" w:cs="宋体"/>
          <w:sz w:val="24"/>
          <w:szCs w:val="24"/>
        </w:rPr>
        <w:t>、投标人业绩证明材料</w:t>
      </w:r>
      <w:r>
        <w:rPr>
          <w:rFonts w:hint="eastAsia" w:ascii="宋体" w:hAnsi="宋体" w:eastAsia="宋体" w:cs="宋体"/>
          <w:sz w:val="24"/>
          <w:szCs w:val="24"/>
          <w:lang w:eastAsia="zh-CN"/>
        </w:rPr>
        <w:t>；</w:t>
      </w:r>
    </w:p>
    <w:p w14:paraId="6B4A766E">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rPr>
      </w:pPr>
      <w:r>
        <w:rPr>
          <w:rFonts w:hint="eastAsia" w:ascii="宋体" w:hAnsi="宋体" w:eastAsia="宋体" w:cs="宋体"/>
          <w:sz w:val="24"/>
          <w:szCs w:val="24"/>
          <w:lang w:val="en-US" w:eastAsia="zh-CN"/>
        </w:rPr>
        <w:t>8、</w:t>
      </w:r>
      <w:r>
        <w:rPr>
          <w:rFonts w:hint="eastAsia" w:ascii="宋体" w:hAnsi="宋体" w:cs="宋体"/>
          <w:sz w:val="24"/>
          <w:szCs w:val="24"/>
        </w:rPr>
        <w:t>除招标文件规定必须提供以外，投标人认为需要提供的其他证明材料（格式自拟）。</w:t>
      </w:r>
    </w:p>
    <w:p w14:paraId="65A43F80">
      <w:pPr>
        <w:spacing w:before="120" w:after="50"/>
        <w:jc w:val="left"/>
        <w:rPr>
          <w:rFonts w:ascii="宋体" w:hAnsi="宋体" w:cs="宋体"/>
          <w:b/>
          <w:sz w:val="24"/>
        </w:rPr>
      </w:pPr>
      <w:r>
        <w:rPr>
          <w:rFonts w:hint="eastAsia" w:ascii="宋体" w:hAnsi="宋体" w:cs="宋体"/>
          <w:b/>
          <w:bCs/>
          <w:sz w:val="24"/>
          <w:szCs w:val="24"/>
        </w:rPr>
        <w:t>注：以上标明“必须提供”的材料属于复印件的，必须加盖投标人公章，否则按无效投标</w:t>
      </w:r>
      <w:r>
        <w:rPr>
          <w:rFonts w:hint="eastAsia" w:ascii="宋体" w:hAnsi="宋体" w:cs="宋体"/>
          <w:b/>
          <w:sz w:val="24"/>
          <w:szCs w:val="24"/>
        </w:rPr>
        <w:t>处理</w:t>
      </w:r>
      <w:r>
        <w:rPr>
          <w:rFonts w:hint="eastAsia" w:ascii="宋体" w:hAnsi="宋体" w:cs="宋体"/>
          <w:b/>
          <w:bCs/>
          <w:sz w:val="24"/>
          <w:szCs w:val="24"/>
        </w:rPr>
        <w:t>。</w:t>
      </w:r>
      <w:r>
        <w:rPr>
          <w:rFonts w:hint="eastAsia" w:ascii="宋体" w:hAnsi="宋体" w:cs="宋体"/>
          <w:b/>
          <w:sz w:val="24"/>
        </w:rPr>
        <w:br w:type="page"/>
      </w:r>
      <w:r>
        <w:rPr>
          <w:rFonts w:hint="eastAsia" w:ascii="宋体" w:hAnsi="宋体" w:cs="宋体"/>
          <w:b/>
          <w:sz w:val="24"/>
          <w:lang w:val="en-US" w:eastAsia="zh-CN"/>
        </w:rPr>
        <w:t>1</w:t>
      </w:r>
      <w:r>
        <w:rPr>
          <w:rFonts w:hint="eastAsia" w:ascii="宋体" w:hAnsi="宋体" w:cs="宋体"/>
          <w:b/>
          <w:sz w:val="24"/>
        </w:rPr>
        <w:t>.投标人参加本项目无围标串标行为的承诺</w:t>
      </w:r>
      <w:r>
        <w:rPr>
          <w:rFonts w:hint="eastAsia" w:ascii="宋体" w:hAnsi="宋体" w:cs="宋体"/>
          <w:sz w:val="24"/>
          <w:szCs w:val="24"/>
        </w:rPr>
        <w:t>（</w:t>
      </w:r>
      <w:r>
        <w:rPr>
          <w:rFonts w:hint="eastAsia" w:ascii="宋体" w:hAnsi="宋体" w:cs="宋体"/>
          <w:b/>
          <w:sz w:val="24"/>
          <w:szCs w:val="24"/>
        </w:rPr>
        <w:t>必须提供，否则按无效投标处理</w:t>
      </w:r>
      <w:r>
        <w:rPr>
          <w:rFonts w:hint="eastAsia" w:ascii="宋体" w:hAnsi="宋体" w:cs="宋体"/>
          <w:sz w:val="24"/>
          <w:szCs w:val="24"/>
        </w:rPr>
        <w:t>）</w:t>
      </w:r>
    </w:p>
    <w:p w14:paraId="5CF8144F">
      <w:pPr>
        <w:spacing w:before="120" w:after="50"/>
        <w:jc w:val="left"/>
        <w:rPr>
          <w:rFonts w:ascii="宋体" w:hAnsi="宋体" w:cs="宋体"/>
          <w:b/>
          <w:sz w:val="24"/>
        </w:rPr>
      </w:pPr>
    </w:p>
    <w:p w14:paraId="3D2FC8E2">
      <w:pPr>
        <w:spacing w:line="360" w:lineRule="auto"/>
        <w:ind w:left="420"/>
        <w:contextualSpacing/>
        <w:jc w:val="center"/>
        <w:rPr>
          <w:rFonts w:ascii="宋体" w:hAnsi="宋体" w:cs="宋体"/>
          <w:b/>
          <w:sz w:val="24"/>
        </w:rPr>
      </w:pPr>
      <w:r>
        <w:rPr>
          <w:rFonts w:hint="eastAsia" w:ascii="宋体" w:hAnsi="宋体" w:cs="宋体"/>
          <w:bCs/>
          <w:spacing w:val="-11"/>
          <w:sz w:val="44"/>
          <w:szCs w:val="44"/>
        </w:rPr>
        <w:t>投标人参加本项目无围标串标行为的承诺函</w:t>
      </w:r>
    </w:p>
    <w:p w14:paraId="3C6E0669">
      <w:pPr>
        <w:spacing w:line="440" w:lineRule="exact"/>
        <w:contextualSpacing/>
        <w:jc w:val="left"/>
        <w:rPr>
          <w:rFonts w:ascii="宋体" w:hAnsi="宋体" w:cs="宋体"/>
          <w:b/>
          <w:sz w:val="24"/>
        </w:rPr>
      </w:pPr>
      <w:r>
        <w:rPr>
          <w:rFonts w:hint="eastAsia" w:ascii="宋体" w:hAnsi="宋体" w:cs="宋体"/>
          <w:b/>
          <w:sz w:val="24"/>
        </w:rPr>
        <w:t>一、我方承诺无下列相互串通投标的情形：</w:t>
      </w:r>
    </w:p>
    <w:p w14:paraId="33910194">
      <w:pPr>
        <w:spacing w:line="440" w:lineRule="exact"/>
        <w:ind w:firstLine="470" w:firstLineChars="196"/>
        <w:contextualSpacing/>
        <w:jc w:val="left"/>
        <w:rPr>
          <w:rFonts w:ascii="宋体" w:hAnsi="宋体" w:cs="宋体"/>
          <w:sz w:val="24"/>
        </w:rPr>
      </w:pPr>
      <w:r>
        <w:rPr>
          <w:rFonts w:hint="eastAsia" w:ascii="宋体" w:hAnsi="宋体" w:cs="宋体"/>
          <w:sz w:val="24"/>
        </w:rPr>
        <w:t>1.不同投标人的投标文件由同一单位或者个人编制；</w:t>
      </w:r>
    </w:p>
    <w:p w14:paraId="2C241269">
      <w:pPr>
        <w:spacing w:line="440" w:lineRule="exact"/>
        <w:ind w:firstLine="470" w:firstLineChars="196"/>
        <w:contextualSpacing/>
        <w:jc w:val="left"/>
        <w:rPr>
          <w:rFonts w:ascii="宋体" w:hAnsi="宋体" w:cs="宋体"/>
          <w:sz w:val="24"/>
        </w:rPr>
      </w:pPr>
      <w:r>
        <w:rPr>
          <w:rFonts w:hint="eastAsia" w:ascii="宋体" w:hAnsi="宋体" w:cs="宋体"/>
          <w:sz w:val="24"/>
        </w:rPr>
        <w:t>2.不同投标人委托同一单位或者个人办理投标事宜；</w:t>
      </w:r>
    </w:p>
    <w:p w14:paraId="2DEB7BC9">
      <w:pPr>
        <w:spacing w:line="440" w:lineRule="exact"/>
        <w:ind w:firstLine="470" w:firstLineChars="196"/>
        <w:contextualSpacing/>
        <w:jc w:val="left"/>
        <w:rPr>
          <w:rFonts w:ascii="宋体" w:hAnsi="宋体" w:cs="宋体"/>
          <w:sz w:val="24"/>
        </w:rPr>
      </w:pPr>
      <w:r>
        <w:rPr>
          <w:rFonts w:hint="eastAsia" w:ascii="宋体" w:hAnsi="宋体" w:cs="宋体"/>
          <w:sz w:val="24"/>
        </w:rPr>
        <w:t>3.不同的投标人的投标文件载明的项目管理员为同一个人；</w:t>
      </w:r>
    </w:p>
    <w:p w14:paraId="04F95A9A">
      <w:pPr>
        <w:spacing w:line="440" w:lineRule="exact"/>
        <w:ind w:firstLine="470" w:firstLineChars="196"/>
        <w:contextualSpacing/>
        <w:jc w:val="left"/>
        <w:rPr>
          <w:rFonts w:ascii="宋体" w:hAnsi="宋体" w:cs="宋体"/>
          <w:sz w:val="24"/>
        </w:rPr>
      </w:pPr>
      <w:r>
        <w:rPr>
          <w:rFonts w:hint="eastAsia" w:ascii="宋体" w:hAnsi="宋体" w:cs="宋体"/>
          <w:sz w:val="24"/>
        </w:rPr>
        <w:t>4.不同投标人的投标文件异常一致或者投标报价呈规律性差异；</w:t>
      </w:r>
    </w:p>
    <w:p w14:paraId="2DA3BD68">
      <w:pPr>
        <w:spacing w:line="440" w:lineRule="exact"/>
        <w:ind w:firstLine="470" w:firstLineChars="196"/>
        <w:contextualSpacing/>
        <w:jc w:val="left"/>
        <w:rPr>
          <w:rFonts w:ascii="宋体" w:hAnsi="宋体" w:cs="宋体"/>
          <w:sz w:val="24"/>
        </w:rPr>
      </w:pPr>
      <w:r>
        <w:rPr>
          <w:rFonts w:hint="eastAsia" w:ascii="宋体" w:hAnsi="宋体" w:cs="宋体"/>
          <w:sz w:val="24"/>
        </w:rPr>
        <w:t>5.不同投标人的投标文件相互混装；</w:t>
      </w:r>
    </w:p>
    <w:p w14:paraId="3D92BE77">
      <w:pPr>
        <w:spacing w:line="440" w:lineRule="exact"/>
        <w:ind w:firstLine="470" w:firstLineChars="196"/>
        <w:contextualSpacing/>
        <w:jc w:val="left"/>
        <w:rPr>
          <w:rFonts w:ascii="宋体" w:hAnsi="宋体" w:cs="宋体"/>
          <w:sz w:val="24"/>
        </w:rPr>
      </w:pPr>
      <w:r>
        <w:rPr>
          <w:rFonts w:hint="eastAsia" w:ascii="宋体" w:hAnsi="宋体" w:cs="宋体"/>
          <w:sz w:val="24"/>
        </w:rPr>
        <w:t>6.不同投标人的投标保证金从同一单位或者个人账户转出。</w:t>
      </w:r>
    </w:p>
    <w:p w14:paraId="6A162343">
      <w:pPr>
        <w:spacing w:line="440" w:lineRule="exact"/>
        <w:contextualSpacing/>
        <w:jc w:val="left"/>
        <w:rPr>
          <w:rFonts w:ascii="宋体" w:hAnsi="宋体" w:cs="宋体"/>
          <w:sz w:val="24"/>
        </w:rPr>
      </w:pPr>
      <w:r>
        <w:rPr>
          <w:rFonts w:hint="eastAsia" w:ascii="宋体" w:hAnsi="宋体" w:cs="宋体"/>
          <w:b/>
          <w:sz w:val="24"/>
        </w:rPr>
        <w:t>二、我方承诺无下列恶意串通的情形：</w:t>
      </w:r>
    </w:p>
    <w:p w14:paraId="6A542A5E">
      <w:pPr>
        <w:spacing w:line="440" w:lineRule="exact"/>
        <w:ind w:firstLine="470" w:firstLineChars="196"/>
        <w:contextualSpacing/>
        <w:jc w:val="left"/>
        <w:rPr>
          <w:rFonts w:ascii="宋体" w:hAnsi="宋体" w:cs="宋体"/>
          <w:sz w:val="24"/>
        </w:rPr>
      </w:pPr>
      <w:r>
        <w:rPr>
          <w:rFonts w:hint="eastAsia" w:ascii="宋体" w:hAnsi="宋体" w:cs="宋体"/>
          <w:sz w:val="24"/>
        </w:rPr>
        <w:t>1.投标人直接或者间接从采购人或者采购代理机构处获得其他投标人的相关信息并修改其投标文件或者投标文件；</w:t>
      </w:r>
    </w:p>
    <w:p w14:paraId="392210BD">
      <w:pPr>
        <w:spacing w:line="440" w:lineRule="exact"/>
        <w:ind w:firstLine="470" w:firstLineChars="196"/>
        <w:contextualSpacing/>
        <w:jc w:val="left"/>
        <w:rPr>
          <w:rFonts w:ascii="宋体" w:hAnsi="宋体" w:cs="宋体"/>
          <w:sz w:val="24"/>
        </w:rPr>
      </w:pPr>
      <w:r>
        <w:rPr>
          <w:rFonts w:hint="eastAsia" w:ascii="宋体" w:hAnsi="宋体" w:cs="宋体"/>
          <w:sz w:val="24"/>
        </w:rPr>
        <w:t>2.投标人按照采购人或者采购代理机构的授意撤换、修改投标文件或者投标文件；</w:t>
      </w:r>
    </w:p>
    <w:p w14:paraId="30E2CEAB">
      <w:pPr>
        <w:spacing w:line="440" w:lineRule="exact"/>
        <w:ind w:firstLine="470" w:firstLineChars="196"/>
        <w:contextualSpacing/>
        <w:jc w:val="left"/>
        <w:rPr>
          <w:rFonts w:ascii="宋体" w:hAnsi="宋体" w:cs="宋体"/>
          <w:sz w:val="24"/>
        </w:rPr>
      </w:pPr>
      <w:r>
        <w:rPr>
          <w:rFonts w:hint="eastAsia" w:ascii="宋体" w:hAnsi="宋体" w:cs="宋体"/>
          <w:sz w:val="24"/>
        </w:rPr>
        <w:t>3.投标人之间协商报价、技术方案等投标文件或者投标文件的实质性内容；</w:t>
      </w:r>
    </w:p>
    <w:p w14:paraId="18B1DFE5">
      <w:pPr>
        <w:spacing w:line="440" w:lineRule="exact"/>
        <w:ind w:firstLine="470" w:firstLineChars="196"/>
        <w:contextualSpacing/>
        <w:jc w:val="left"/>
        <w:rPr>
          <w:rFonts w:ascii="宋体" w:hAnsi="宋体" w:cs="宋体"/>
          <w:sz w:val="24"/>
        </w:rPr>
      </w:pPr>
      <w:r>
        <w:rPr>
          <w:rFonts w:hint="eastAsia" w:ascii="宋体" w:hAnsi="宋体" w:cs="宋体"/>
          <w:sz w:val="24"/>
        </w:rPr>
        <w:t>4.属于同一集团、协会、商会等组织成员的投标人按照该组织要求协同参加政府采购活动；</w:t>
      </w:r>
    </w:p>
    <w:p w14:paraId="309ADE95">
      <w:pPr>
        <w:spacing w:line="440" w:lineRule="exact"/>
        <w:ind w:firstLine="470" w:firstLineChars="196"/>
        <w:contextualSpacing/>
        <w:jc w:val="left"/>
        <w:rPr>
          <w:rFonts w:ascii="宋体" w:hAnsi="宋体" w:cs="宋体"/>
          <w:sz w:val="24"/>
        </w:rPr>
      </w:pPr>
      <w:r>
        <w:rPr>
          <w:rFonts w:hint="eastAsia" w:ascii="宋体" w:hAnsi="宋体" w:cs="宋体"/>
          <w:sz w:val="24"/>
        </w:rPr>
        <w:t>5.投标人之间事先约定一致抬高或者压低投标报价，或者在招标项目中事先约定轮流以高价位或者低价位中标，或者事先约定由某一特定投标人中标，然后再参加投标；</w:t>
      </w:r>
    </w:p>
    <w:p w14:paraId="4B3E4B37">
      <w:pPr>
        <w:spacing w:line="440" w:lineRule="exact"/>
        <w:ind w:firstLine="470" w:firstLineChars="196"/>
        <w:contextualSpacing/>
        <w:jc w:val="left"/>
        <w:rPr>
          <w:rFonts w:ascii="宋体" w:hAnsi="宋体" w:cs="宋体"/>
          <w:sz w:val="24"/>
        </w:rPr>
      </w:pPr>
      <w:r>
        <w:rPr>
          <w:rFonts w:hint="eastAsia" w:ascii="宋体" w:hAnsi="宋体" w:cs="宋体"/>
          <w:sz w:val="24"/>
        </w:rPr>
        <w:t>6.投标人之间商定部分投标人放弃参加政府采购活动或者放弃中标；</w:t>
      </w:r>
    </w:p>
    <w:p w14:paraId="32B12D6C">
      <w:pPr>
        <w:spacing w:line="440" w:lineRule="exact"/>
        <w:ind w:firstLine="470" w:firstLineChars="196"/>
        <w:contextualSpacing/>
        <w:jc w:val="left"/>
        <w:rPr>
          <w:rFonts w:ascii="宋体" w:hAnsi="宋体" w:cs="宋体"/>
          <w:sz w:val="24"/>
        </w:rPr>
      </w:pPr>
      <w:r>
        <w:rPr>
          <w:rFonts w:hint="eastAsia" w:ascii="宋体" w:hAnsi="宋体" w:cs="宋体"/>
          <w:sz w:val="24"/>
        </w:rPr>
        <w:t>7.投标人与采购人或者采购代理机构之间、投标人相互之间，为谋求特定投标人中标或者排斥其他投标人的其他串通行为。</w:t>
      </w:r>
    </w:p>
    <w:p w14:paraId="1B7B40EF">
      <w:pPr>
        <w:spacing w:line="440" w:lineRule="exact"/>
        <w:ind w:firstLine="471" w:firstLineChars="196"/>
        <w:contextualSpacing/>
        <w:jc w:val="left"/>
        <w:rPr>
          <w:rFonts w:ascii="宋体" w:hAnsi="宋体" w:cs="宋体"/>
          <w:b/>
          <w:sz w:val="24"/>
        </w:rPr>
      </w:pPr>
      <w:r>
        <w:rPr>
          <w:rFonts w:hint="eastAsia" w:ascii="宋体" w:hAnsi="宋体" w:cs="宋体"/>
          <w:b/>
          <w:sz w:val="24"/>
        </w:rPr>
        <w:t>以上情形一经核查属实，我方愿意承担一切后果，并不再寻求任何旨在减轻或者免除法律责任的辩解。</w:t>
      </w:r>
    </w:p>
    <w:p w14:paraId="12EEAA9D">
      <w:pPr>
        <w:pStyle w:val="15"/>
        <w:spacing w:line="440" w:lineRule="exact"/>
        <w:ind w:firstLine="6840" w:firstLineChars="2850"/>
        <w:contextualSpacing/>
        <w:rPr>
          <w:rFonts w:hAnsi="宋体" w:cs="宋体"/>
          <w:sz w:val="24"/>
          <w:szCs w:val="24"/>
          <w:lang w:eastAsia="zh-CN"/>
        </w:rPr>
      </w:pPr>
    </w:p>
    <w:p w14:paraId="398C416B">
      <w:pPr>
        <w:pStyle w:val="15"/>
        <w:spacing w:line="440" w:lineRule="exact"/>
        <w:contextualSpacing/>
        <w:jc w:val="center"/>
        <w:outlineLvl w:val="2"/>
        <w:rPr>
          <w:rFonts w:hAnsi="宋体" w:cs="宋体"/>
          <w:sz w:val="24"/>
          <w:szCs w:val="24"/>
          <w:lang w:eastAsia="zh-CN"/>
        </w:rPr>
      </w:pPr>
      <w:r>
        <w:rPr>
          <w:rFonts w:hint="eastAsia" w:hAnsi="宋体" w:cs="宋体"/>
          <w:sz w:val="24"/>
          <w:szCs w:val="24"/>
          <w:lang w:eastAsia="zh-CN"/>
        </w:rPr>
        <w:t xml:space="preserve">                                    </w:t>
      </w:r>
      <w:bookmarkStart w:id="301" w:name="_Toc17023"/>
      <w:bookmarkStart w:id="302" w:name="_Toc13228"/>
      <w:r>
        <w:rPr>
          <w:rFonts w:hint="eastAsia" w:hAnsi="宋体" w:cs="宋体"/>
          <w:sz w:val="24"/>
          <w:szCs w:val="24"/>
          <w:lang w:eastAsia="zh-CN"/>
        </w:rPr>
        <w:t>投标人名称（公章）</w:t>
      </w:r>
      <w:bookmarkEnd w:id="301"/>
      <w:bookmarkEnd w:id="302"/>
    </w:p>
    <w:p w14:paraId="71D46971">
      <w:pPr>
        <w:pStyle w:val="15"/>
        <w:spacing w:line="440" w:lineRule="exact"/>
        <w:contextualSpacing/>
        <w:rPr>
          <w:rFonts w:hAnsi="宋体" w:cs="宋体"/>
          <w:sz w:val="24"/>
          <w:lang w:eastAsia="zh-CN"/>
        </w:rPr>
      </w:pPr>
      <w:r>
        <w:rPr>
          <w:rFonts w:hint="eastAsia" w:hAnsi="宋体" w:cs="宋体"/>
          <w:sz w:val="24"/>
          <w:lang w:eastAsia="zh-CN"/>
        </w:rPr>
        <w:t xml:space="preserve">                                                </w:t>
      </w:r>
      <w:r>
        <w:rPr>
          <w:rFonts w:hint="eastAsia" w:hAnsi="宋体" w:cs="宋体"/>
          <w:sz w:val="24"/>
          <w:u w:val="single"/>
          <w:lang w:eastAsia="zh-CN"/>
        </w:rPr>
        <w:t xml:space="preserve">      </w:t>
      </w:r>
      <w:r>
        <w:rPr>
          <w:rFonts w:hint="eastAsia" w:hAnsi="宋体" w:cs="宋体"/>
          <w:sz w:val="24"/>
          <w:lang w:eastAsia="zh-CN"/>
        </w:rPr>
        <w:t>年</w:t>
      </w:r>
      <w:r>
        <w:rPr>
          <w:rFonts w:hint="eastAsia" w:hAnsi="宋体" w:cs="宋体"/>
          <w:sz w:val="24"/>
          <w:u w:val="single"/>
          <w:lang w:eastAsia="zh-CN"/>
        </w:rPr>
        <w:t xml:space="preserve">    </w:t>
      </w:r>
      <w:r>
        <w:rPr>
          <w:rFonts w:hint="eastAsia" w:hAnsi="宋体" w:cs="宋体"/>
          <w:sz w:val="24"/>
          <w:lang w:eastAsia="zh-CN"/>
        </w:rPr>
        <w:t>月</w:t>
      </w:r>
      <w:r>
        <w:rPr>
          <w:rFonts w:hint="eastAsia" w:hAnsi="宋体" w:cs="宋体"/>
          <w:sz w:val="24"/>
          <w:u w:val="single"/>
          <w:lang w:eastAsia="zh-CN"/>
        </w:rPr>
        <w:t xml:space="preserve">     </w:t>
      </w:r>
      <w:r>
        <w:rPr>
          <w:rFonts w:hint="eastAsia" w:hAnsi="宋体" w:cs="宋体"/>
          <w:sz w:val="24"/>
          <w:lang w:eastAsia="zh-CN"/>
        </w:rPr>
        <w:t>日</w:t>
      </w:r>
    </w:p>
    <w:p w14:paraId="2D4DB65B">
      <w:pPr>
        <w:spacing w:before="120" w:after="50"/>
        <w:jc w:val="left"/>
        <w:rPr>
          <w:rFonts w:hint="eastAsia" w:ascii="宋体" w:hAnsi="宋体" w:cs="宋体"/>
          <w:b/>
          <w:sz w:val="24"/>
        </w:rPr>
      </w:pPr>
      <w:r>
        <w:rPr>
          <w:rFonts w:hint="eastAsia" w:ascii="宋体" w:hAnsi="宋体" w:cs="宋体"/>
          <w:b/>
          <w:sz w:val="24"/>
        </w:rPr>
        <w:br w:type="page"/>
      </w:r>
    </w:p>
    <w:p w14:paraId="2F073049">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b/>
          <w:sz w:val="24"/>
          <w:lang w:val="en-US" w:eastAsia="zh-CN"/>
        </w:rPr>
        <w:t>2.</w:t>
      </w:r>
      <w:r>
        <w:rPr>
          <w:rFonts w:hint="eastAsia" w:ascii="宋体" w:hAnsi="宋体" w:cs="宋体"/>
          <w:sz w:val="24"/>
          <w:szCs w:val="24"/>
        </w:rPr>
        <w:t>投标保证金提交凭证；（</w:t>
      </w:r>
      <w:r>
        <w:rPr>
          <w:rFonts w:hint="eastAsia" w:ascii="宋体" w:hAnsi="宋体" w:cs="宋体"/>
          <w:b/>
          <w:bCs/>
          <w:sz w:val="24"/>
          <w:szCs w:val="24"/>
        </w:rPr>
        <w:t>必须提供</w:t>
      </w:r>
      <w:r>
        <w:rPr>
          <w:rFonts w:hint="eastAsia" w:ascii="宋体" w:hAnsi="宋体" w:cs="宋体"/>
          <w:b/>
          <w:sz w:val="24"/>
          <w:szCs w:val="24"/>
        </w:rPr>
        <w:t>，否则按无效投标处理</w:t>
      </w:r>
      <w:r>
        <w:rPr>
          <w:rFonts w:hint="eastAsia" w:ascii="宋体" w:hAnsi="宋体" w:cs="宋体"/>
          <w:sz w:val="24"/>
          <w:szCs w:val="24"/>
        </w:rPr>
        <w:t>）</w:t>
      </w:r>
    </w:p>
    <w:p w14:paraId="1AEF1CE6">
      <w:pPr>
        <w:spacing w:before="120" w:after="50"/>
        <w:jc w:val="left"/>
        <w:rPr>
          <w:rFonts w:hint="eastAsia" w:ascii="宋体" w:hAnsi="宋体" w:cs="宋体"/>
          <w:b/>
          <w:sz w:val="24"/>
        </w:rPr>
      </w:pPr>
    </w:p>
    <w:p w14:paraId="6FE5A1F7">
      <w:pPr>
        <w:spacing w:before="120" w:after="50"/>
        <w:jc w:val="left"/>
        <w:rPr>
          <w:rFonts w:hint="eastAsia" w:ascii="宋体" w:hAnsi="宋体" w:cs="宋体"/>
          <w:b/>
          <w:sz w:val="24"/>
        </w:rPr>
      </w:pPr>
    </w:p>
    <w:p w14:paraId="35CD2853">
      <w:pPr>
        <w:spacing w:before="120" w:after="50"/>
        <w:jc w:val="left"/>
        <w:rPr>
          <w:rFonts w:hint="eastAsia" w:ascii="宋体" w:hAnsi="宋体" w:cs="宋体"/>
          <w:b/>
          <w:sz w:val="24"/>
        </w:rPr>
      </w:pPr>
    </w:p>
    <w:p w14:paraId="50A0339E">
      <w:pPr>
        <w:spacing w:before="120" w:after="50"/>
        <w:jc w:val="left"/>
        <w:rPr>
          <w:rFonts w:hint="eastAsia" w:ascii="宋体" w:hAnsi="宋体" w:cs="宋体"/>
          <w:sz w:val="24"/>
          <w:szCs w:val="24"/>
        </w:rPr>
      </w:pPr>
      <w:r>
        <w:rPr>
          <w:rFonts w:hint="eastAsia" w:ascii="宋体" w:hAnsi="宋体" w:cs="宋体"/>
          <w:b/>
          <w:sz w:val="24"/>
          <w:lang w:val="en-US" w:eastAsia="zh-CN"/>
        </w:rPr>
        <w:t>3.</w:t>
      </w:r>
      <w:r>
        <w:rPr>
          <w:rFonts w:hint="eastAsia" w:ascii="宋体" w:hAnsi="宋体" w:cs="宋体"/>
          <w:sz w:val="24"/>
          <w:szCs w:val="24"/>
        </w:rPr>
        <w:t>法定代表人身份证明及法定代表人有效身份证正反面复印件（</w:t>
      </w:r>
      <w:r>
        <w:rPr>
          <w:rFonts w:hint="eastAsia" w:ascii="宋体" w:hAnsi="宋体" w:cs="宋体"/>
          <w:b/>
          <w:bCs/>
          <w:sz w:val="24"/>
          <w:szCs w:val="24"/>
        </w:rPr>
        <w:t>除自然人投标外</w:t>
      </w:r>
      <w:r>
        <w:rPr>
          <w:rFonts w:hint="eastAsia" w:ascii="宋体" w:hAnsi="宋体" w:cs="宋体"/>
          <w:b/>
          <w:sz w:val="24"/>
          <w:szCs w:val="24"/>
        </w:rPr>
        <w:t>必须提供，否则按无效投标处理</w:t>
      </w:r>
      <w:r>
        <w:rPr>
          <w:rFonts w:hint="eastAsia" w:ascii="宋体" w:hAnsi="宋体" w:cs="宋体"/>
          <w:sz w:val="24"/>
          <w:szCs w:val="24"/>
        </w:rPr>
        <w:t>）</w:t>
      </w:r>
    </w:p>
    <w:p w14:paraId="73A17CA7">
      <w:pPr>
        <w:spacing w:before="120" w:after="50"/>
        <w:jc w:val="left"/>
        <w:rPr>
          <w:rFonts w:hint="default" w:ascii="宋体" w:hAnsi="宋体" w:cs="宋体"/>
          <w:sz w:val="24"/>
          <w:szCs w:val="24"/>
          <w:lang w:val="en-US" w:eastAsia="zh-CN"/>
        </w:rPr>
      </w:pPr>
    </w:p>
    <w:p w14:paraId="1CE67684">
      <w:pPr>
        <w:spacing w:before="240" w:after="120"/>
        <w:ind w:left="540"/>
        <w:jc w:val="center"/>
        <w:rPr>
          <w:rFonts w:ascii="宋体" w:hAnsi="宋体" w:cs="宋体"/>
          <w:bCs/>
          <w:sz w:val="44"/>
          <w:szCs w:val="44"/>
        </w:rPr>
      </w:pPr>
      <w:r>
        <w:rPr>
          <w:rFonts w:hint="eastAsia" w:ascii="宋体" w:hAnsi="宋体" w:cs="宋体"/>
          <w:bCs/>
          <w:sz w:val="44"/>
          <w:szCs w:val="44"/>
        </w:rPr>
        <w:t>法定代表人身份证明</w:t>
      </w:r>
    </w:p>
    <w:p w14:paraId="7CA6B503">
      <w:pPr>
        <w:spacing w:line="500" w:lineRule="exact"/>
        <w:ind w:left="540"/>
        <w:rPr>
          <w:rFonts w:ascii="宋体" w:hAnsi="宋体" w:cs="宋体"/>
          <w:sz w:val="24"/>
        </w:rPr>
      </w:pPr>
      <w:r>
        <w:rPr>
          <w:rFonts w:hint="eastAsia" w:ascii="宋体" w:hAnsi="宋体" w:cs="宋体"/>
          <w:sz w:val="24"/>
        </w:rPr>
        <w:t>投 标 人：</w:t>
      </w:r>
      <w:r>
        <w:rPr>
          <w:rFonts w:hint="eastAsia" w:ascii="宋体" w:hAnsi="宋体" w:cs="宋体"/>
          <w:sz w:val="24"/>
          <w:u w:val="single"/>
        </w:rPr>
        <w:t xml:space="preserve">                                                        </w:t>
      </w:r>
    </w:p>
    <w:p w14:paraId="00984456">
      <w:pPr>
        <w:spacing w:line="500" w:lineRule="exact"/>
        <w:ind w:left="540"/>
        <w:rPr>
          <w:rFonts w:ascii="宋体" w:hAnsi="宋体" w:cs="宋体"/>
          <w:sz w:val="24"/>
        </w:rPr>
      </w:pPr>
      <w:r>
        <w:rPr>
          <w:rFonts w:hint="eastAsia" w:ascii="宋体" w:hAnsi="宋体" w:cs="宋体"/>
          <w:sz w:val="24"/>
        </w:rPr>
        <w:t>地    址：</w:t>
      </w:r>
      <w:r>
        <w:rPr>
          <w:rFonts w:hint="eastAsia" w:ascii="宋体" w:hAnsi="宋体" w:cs="宋体"/>
          <w:sz w:val="24"/>
          <w:u w:val="single"/>
        </w:rPr>
        <w:t xml:space="preserve">                                                        </w:t>
      </w:r>
    </w:p>
    <w:p w14:paraId="1EBE8525">
      <w:pPr>
        <w:spacing w:line="500" w:lineRule="exact"/>
        <w:ind w:left="540"/>
        <w:rPr>
          <w:rFonts w:ascii="宋体" w:hAnsi="宋体" w:cs="宋体"/>
          <w:sz w:val="24"/>
        </w:rPr>
      </w:pPr>
      <w:r>
        <w:rPr>
          <w:rFonts w:hint="eastAsia" w:ascii="宋体" w:hAnsi="宋体" w:cs="宋体"/>
          <w:sz w:val="24"/>
        </w:rPr>
        <w:t>姓    名：</w:t>
      </w:r>
      <w:r>
        <w:rPr>
          <w:rFonts w:hint="eastAsia" w:ascii="宋体" w:hAnsi="宋体" w:cs="宋体"/>
          <w:sz w:val="24"/>
          <w:u w:val="single"/>
        </w:rPr>
        <w:t xml:space="preserve">                          </w:t>
      </w:r>
      <w:r>
        <w:rPr>
          <w:rFonts w:hint="eastAsia" w:ascii="宋体" w:hAnsi="宋体" w:cs="宋体"/>
          <w:sz w:val="24"/>
        </w:rPr>
        <w:t>性      别：</w:t>
      </w:r>
      <w:r>
        <w:rPr>
          <w:rFonts w:hint="eastAsia" w:ascii="宋体" w:hAnsi="宋体" w:cs="宋体"/>
          <w:sz w:val="24"/>
          <w:u w:val="single"/>
        </w:rPr>
        <w:t xml:space="preserve">                </w:t>
      </w:r>
    </w:p>
    <w:p w14:paraId="454C877B">
      <w:pPr>
        <w:spacing w:line="500" w:lineRule="exact"/>
        <w:ind w:left="540"/>
        <w:rPr>
          <w:rFonts w:ascii="宋体" w:hAnsi="宋体" w:cs="宋体"/>
          <w:sz w:val="24"/>
          <w:u w:val="single"/>
        </w:rPr>
      </w:pPr>
      <w:r>
        <w:rPr>
          <w:rFonts w:hint="eastAsia" w:ascii="宋体" w:hAnsi="宋体" w:cs="宋体"/>
          <w:sz w:val="24"/>
        </w:rPr>
        <w:t>年    龄：</w:t>
      </w:r>
      <w:r>
        <w:rPr>
          <w:rFonts w:hint="eastAsia" w:ascii="宋体" w:hAnsi="宋体" w:cs="宋体"/>
          <w:sz w:val="24"/>
          <w:u w:val="single"/>
        </w:rPr>
        <w:t xml:space="preserve">                          </w:t>
      </w:r>
      <w:r>
        <w:rPr>
          <w:rFonts w:hint="eastAsia" w:ascii="宋体" w:hAnsi="宋体" w:cs="宋体"/>
          <w:sz w:val="24"/>
        </w:rPr>
        <w:t>职      务：</w:t>
      </w:r>
      <w:r>
        <w:rPr>
          <w:rFonts w:hint="eastAsia" w:ascii="宋体" w:hAnsi="宋体" w:cs="宋体"/>
          <w:sz w:val="24"/>
          <w:u w:val="single"/>
        </w:rPr>
        <w:t xml:space="preserve">                </w:t>
      </w:r>
    </w:p>
    <w:p w14:paraId="15353FBD">
      <w:pPr>
        <w:spacing w:line="500" w:lineRule="exact"/>
        <w:ind w:left="540"/>
        <w:rPr>
          <w:rFonts w:ascii="宋体" w:hAnsi="宋体" w:cs="宋体"/>
          <w:sz w:val="24"/>
        </w:rPr>
      </w:pPr>
      <w:r>
        <w:rPr>
          <w:rFonts w:hint="eastAsia" w:ascii="宋体" w:hAnsi="宋体" w:cs="宋体"/>
          <w:sz w:val="24"/>
        </w:rPr>
        <w:t>身份证号码：</w:t>
      </w:r>
      <w:r>
        <w:rPr>
          <w:rFonts w:hint="eastAsia" w:ascii="宋体" w:hAnsi="宋体" w:cs="宋体"/>
          <w:sz w:val="24"/>
          <w:u w:val="single"/>
        </w:rPr>
        <w:t xml:space="preserve">                                 </w:t>
      </w:r>
    </w:p>
    <w:p w14:paraId="7E16F59A">
      <w:pPr>
        <w:spacing w:line="500" w:lineRule="exact"/>
        <w:ind w:left="540"/>
        <w:rPr>
          <w:rFonts w:ascii="宋体" w:hAnsi="宋体" w:cs="宋体"/>
          <w:sz w:val="24"/>
        </w:rPr>
      </w:pPr>
      <w:r>
        <w:rPr>
          <w:rFonts w:hint="eastAsia" w:ascii="宋体" w:hAnsi="宋体" w:cs="宋体"/>
          <w:sz w:val="24"/>
        </w:rPr>
        <w:t>系</w:t>
      </w:r>
      <w:r>
        <w:rPr>
          <w:rFonts w:hint="eastAsia" w:ascii="宋体" w:hAnsi="宋体" w:cs="宋体"/>
          <w:sz w:val="24"/>
          <w:u w:val="single"/>
        </w:rPr>
        <w:t xml:space="preserve">            （投标人名称）              </w:t>
      </w:r>
      <w:r>
        <w:rPr>
          <w:rFonts w:hint="eastAsia" w:ascii="宋体" w:hAnsi="宋体" w:cs="宋体"/>
          <w:sz w:val="24"/>
        </w:rPr>
        <w:t>的法定代表人。</w:t>
      </w:r>
    </w:p>
    <w:p w14:paraId="5E6603D2">
      <w:pPr>
        <w:spacing w:line="500" w:lineRule="exact"/>
        <w:ind w:left="540"/>
        <w:rPr>
          <w:rFonts w:ascii="宋体" w:hAnsi="宋体" w:cs="宋体"/>
          <w:sz w:val="24"/>
        </w:rPr>
      </w:pPr>
      <w:r>
        <w:rPr>
          <w:rFonts w:hint="eastAsia" w:ascii="宋体" w:hAnsi="宋体" w:cs="宋体"/>
          <w:sz w:val="24"/>
        </w:rPr>
        <w:t>特此证明。</w:t>
      </w:r>
    </w:p>
    <w:p w14:paraId="4DAE40C3">
      <w:pPr>
        <w:spacing w:line="500" w:lineRule="exact"/>
        <w:ind w:left="540"/>
        <w:rPr>
          <w:rFonts w:ascii="宋体" w:hAnsi="宋体" w:cs="宋体"/>
          <w:sz w:val="24"/>
        </w:rPr>
      </w:pPr>
    </w:p>
    <w:p w14:paraId="715040DD">
      <w:pPr>
        <w:spacing w:line="500" w:lineRule="exact"/>
        <w:ind w:left="540"/>
        <w:rPr>
          <w:rFonts w:ascii="宋体" w:hAnsi="宋体" w:cs="宋体"/>
          <w:sz w:val="24"/>
        </w:rPr>
      </w:pPr>
    </w:p>
    <w:p w14:paraId="0FCFDFDF">
      <w:pPr>
        <w:spacing w:line="500" w:lineRule="exact"/>
        <w:ind w:left="540"/>
        <w:rPr>
          <w:rFonts w:ascii="宋体" w:hAnsi="宋体" w:cs="宋体"/>
          <w:sz w:val="24"/>
        </w:rPr>
      </w:pPr>
      <w:r>
        <w:rPr>
          <w:rFonts w:hint="eastAsia" w:ascii="宋体" w:hAnsi="宋体" w:cs="宋体"/>
          <w:sz w:val="24"/>
        </w:rPr>
        <w:t>附件：法定代表人有效身份证正反面复印件</w:t>
      </w:r>
    </w:p>
    <w:p w14:paraId="436E0AB5">
      <w:pPr>
        <w:spacing w:line="500" w:lineRule="exact"/>
        <w:ind w:left="540"/>
        <w:rPr>
          <w:rFonts w:ascii="宋体" w:hAnsi="宋体" w:cs="宋体"/>
          <w:sz w:val="24"/>
        </w:rPr>
      </w:pPr>
    </w:p>
    <w:p w14:paraId="1C4D8735">
      <w:pPr>
        <w:spacing w:line="500" w:lineRule="exact"/>
        <w:ind w:left="540"/>
        <w:jc w:val="right"/>
        <w:rPr>
          <w:rFonts w:ascii="宋体" w:hAnsi="宋体" w:cs="宋体"/>
          <w:sz w:val="24"/>
        </w:rPr>
      </w:pPr>
      <w:r>
        <w:rPr>
          <w:rFonts w:hint="eastAsia" w:ascii="宋体" w:hAnsi="宋体" w:cs="宋体"/>
          <w:sz w:val="24"/>
        </w:rPr>
        <w:t>投标人名称（公章）</w:t>
      </w:r>
    </w:p>
    <w:p w14:paraId="415EAA35">
      <w:pPr>
        <w:spacing w:line="500" w:lineRule="exact"/>
        <w:ind w:left="540"/>
        <w:jc w:val="right"/>
        <w:rPr>
          <w:rFonts w:ascii="宋体" w:hAnsi="宋体" w:cs="宋体"/>
          <w:sz w:val="24"/>
        </w:rPr>
      </w:pPr>
    </w:p>
    <w:p w14:paraId="78BE017A">
      <w:pPr>
        <w:spacing w:before="120" w:after="50"/>
        <w:ind w:left="540"/>
        <w:jc w:val="right"/>
        <w:rPr>
          <w:rFonts w:ascii="宋体" w:hAnsi="宋体" w:cs="宋体"/>
          <w:sz w:val="24"/>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29E05C49">
      <w:pPr>
        <w:spacing w:before="120" w:after="50"/>
        <w:jc w:val="center"/>
        <w:rPr>
          <w:rFonts w:ascii="宋体" w:hAnsi="宋体" w:cs="宋体"/>
          <w:b/>
          <w:sz w:val="24"/>
        </w:rPr>
      </w:pPr>
    </w:p>
    <w:p w14:paraId="528D754D">
      <w:pPr>
        <w:spacing w:before="120" w:after="50"/>
        <w:jc w:val="left"/>
        <w:rPr>
          <w:rFonts w:ascii="宋体" w:hAnsi="宋体" w:cs="宋体"/>
          <w:b/>
          <w:sz w:val="24"/>
          <w:szCs w:val="20"/>
        </w:rPr>
      </w:pPr>
      <w:r>
        <w:rPr>
          <w:rFonts w:hint="eastAsia" w:ascii="宋体" w:hAnsi="宋体" w:cs="宋体"/>
          <w:sz w:val="24"/>
        </w:rPr>
        <w:t>注：自然人投标的无需提供</w:t>
      </w:r>
    </w:p>
    <w:p w14:paraId="7435E253">
      <w:pPr>
        <w:spacing w:before="120" w:after="50"/>
        <w:jc w:val="left"/>
        <w:rPr>
          <w:rFonts w:hint="default" w:ascii="宋体" w:hAnsi="宋体" w:eastAsia="宋体" w:cs="宋体"/>
          <w:b/>
          <w:sz w:val="24"/>
          <w:szCs w:val="20"/>
          <w:lang w:val="en-US" w:eastAsia="zh-CN"/>
        </w:rPr>
      </w:pPr>
      <w:r>
        <w:rPr>
          <w:rFonts w:hint="eastAsia" w:ascii="宋体" w:hAnsi="宋体" w:cs="宋体"/>
          <w:b/>
          <w:sz w:val="24"/>
        </w:rPr>
        <w:br w:type="page"/>
      </w:r>
      <w:r>
        <w:rPr>
          <w:rFonts w:hint="eastAsia" w:ascii="宋体" w:hAnsi="宋体" w:cs="宋体"/>
          <w:b/>
          <w:sz w:val="24"/>
          <w:lang w:val="en-US" w:eastAsia="zh-CN"/>
        </w:rPr>
        <w:t>4.</w:t>
      </w:r>
      <w:r>
        <w:rPr>
          <w:rFonts w:hint="eastAsia" w:ascii="宋体" w:hAnsi="宋体" w:cs="宋体"/>
          <w:sz w:val="24"/>
          <w:szCs w:val="24"/>
        </w:rPr>
        <w:t>授权委托书及委托代理人有效身份证正反面复印件；（</w:t>
      </w:r>
      <w:r>
        <w:rPr>
          <w:rFonts w:hint="eastAsia" w:ascii="宋体" w:hAnsi="宋体" w:cs="宋体"/>
          <w:b/>
          <w:sz w:val="24"/>
          <w:szCs w:val="24"/>
        </w:rPr>
        <w:t>委托时必须提供，否则按无效投标处理</w:t>
      </w:r>
      <w:r>
        <w:rPr>
          <w:rFonts w:hint="eastAsia" w:ascii="宋体" w:hAnsi="宋体" w:cs="宋体"/>
          <w:sz w:val="24"/>
          <w:szCs w:val="24"/>
        </w:rPr>
        <w:t>）</w:t>
      </w:r>
    </w:p>
    <w:p w14:paraId="46CF62E7">
      <w:pPr>
        <w:spacing w:before="120" w:after="50"/>
        <w:jc w:val="center"/>
        <w:rPr>
          <w:rFonts w:ascii="宋体" w:hAnsi="宋体" w:cs="宋体"/>
          <w:b/>
          <w:sz w:val="44"/>
          <w:szCs w:val="44"/>
        </w:rPr>
      </w:pPr>
    </w:p>
    <w:p w14:paraId="46739D9E">
      <w:pPr>
        <w:spacing w:line="360" w:lineRule="auto"/>
        <w:contextualSpacing/>
        <w:jc w:val="center"/>
        <w:rPr>
          <w:rFonts w:ascii="宋体" w:hAnsi="宋体" w:cs="宋体"/>
          <w:bCs/>
          <w:sz w:val="44"/>
          <w:szCs w:val="44"/>
        </w:rPr>
      </w:pPr>
      <w:r>
        <w:rPr>
          <w:rFonts w:hint="eastAsia" w:ascii="宋体" w:hAnsi="宋体" w:cs="宋体"/>
          <w:bCs/>
          <w:sz w:val="44"/>
          <w:szCs w:val="44"/>
        </w:rPr>
        <w:t>授权委托书</w:t>
      </w:r>
    </w:p>
    <w:p w14:paraId="3ED835C8">
      <w:pPr>
        <w:spacing w:line="360" w:lineRule="auto"/>
        <w:contextualSpacing/>
        <w:jc w:val="center"/>
        <w:outlineLvl w:val="2"/>
        <w:rPr>
          <w:rFonts w:ascii="宋体" w:hAnsi="宋体" w:cs="宋体"/>
          <w:bCs/>
          <w:sz w:val="24"/>
        </w:rPr>
      </w:pPr>
      <w:bookmarkStart w:id="303" w:name="_Toc10818"/>
      <w:bookmarkStart w:id="304" w:name="_Toc27051"/>
      <w:r>
        <w:rPr>
          <w:rFonts w:hint="eastAsia" w:ascii="宋体" w:hAnsi="宋体" w:cs="宋体"/>
          <w:bCs/>
          <w:sz w:val="32"/>
          <w:szCs w:val="32"/>
        </w:rPr>
        <w:t>（如有委托时）</w:t>
      </w:r>
      <w:bookmarkEnd w:id="303"/>
      <w:bookmarkEnd w:id="304"/>
    </w:p>
    <w:p w14:paraId="4AA95E55">
      <w:pPr>
        <w:spacing w:line="440" w:lineRule="exact"/>
        <w:contextualSpacing/>
        <w:jc w:val="center"/>
        <w:rPr>
          <w:rFonts w:ascii="宋体" w:hAnsi="宋体" w:cs="宋体"/>
          <w:b/>
          <w:sz w:val="24"/>
        </w:rPr>
      </w:pPr>
    </w:p>
    <w:p w14:paraId="7096F535">
      <w:pPr>
        <w:spacing w:line="440" w:lineRule="exact"/>
        <w:contextualSpacing/>
        <w:rPr>
          <w:rFonts w:ascii="宋体" w:hAnsi="宋体" w:cs="宋体"/>
          <w:b/>
          <w:bCs/>
          <w:sz w:val="24"/>
        </w:rPr>
      </w:pPr>
      <w:r>
        <w:rPr>
          <w:rFonts w:hint="eastAsia" w:ascii="宋体" w:hAnsi="宋体" w:cs="宋体"/>
          <w:bCs/>
          <w:sz w:val="24"/>
        </w:rPr>
        <w:t>致：</w:t>
      </w:r>
      <w:r>
        <w:rPr>
          <w:rFonts w:hint="eastAsia" w:ascii="宋体" w:hAnsi="宋体" w:cs="宋体"/>
          <w:sz w:val="24"/>
          <w:u w:val="single"/>
        </w:rPr>
        <w:t>采购人名称</w:t>
      </w:r>
      <w:r>
        <w:rPr>
          <w:rFonts w:hint="eastAsia" w:ascii="宋体" w:hAnsi="宋体" w:cs="宋体"/>
          <w:sz w:val="24"/>
        </w:rPr>
        <w:t>：</w:t>
      </w:r>
    </w:p>
    <w:p w14:paraId="11B22DF6">
      <w:pPr>
        <w:spacing w:line="440" w:lineRule="exact"/>
        <w:ind w:firstLine="566" w:firstLineChars="236"/>
        <w:contextualSpacing/>
        <w:rPr>
          <w:rFonts w:ascii="宋体" w:hAnsi="宋体" w:cs="宋体"/>
          <w:sz w:val="24"/>
        </w:rPr>
      </w:pPr>
      <w:r>
        <w:rPr>
          <w:rFonts w:hint="eastAsia" w:ascii="宋体" w:hAnsi="宋体" w:cs="宋体"/>
          <w:sz w:val="24"/>
        </w:rPr>
        <w:t>我</w:t>
      </w:r>
      <w:r>
        <w:rPr>
          <w:rFonts w:hint="eastAsia" w:ascii="宋体" w:hAnsi="宋体" w:cs="宋体"/>
          <w:sz w:val="24"/>
          <w:u w:val="single"/>
        </w:rPr>
        <w:t xml:space="preserve">       </w:t>
      </w:r>
      <w:r>
        <w:rPr>
          <w:rFonts w:hint="eastAsia" w:ascii="宋体" w:hAnsi="宋体" w:cs="宋体"/>
          <w:sz w:val="24"/>
        </w:rPr>
        <w:t>（姓名）系</w:t>
      </w:r>
      <w:r>
        <w:rPr>
          <w:rFonts w:hint="eastAsia" w:ascii="宋体" w:hAnsi="宋体" w:cs="宋体"/>
          <w:sz w:val="24"/>
          <w:u w:val="single"/>
        </w:rPr>
        <w:t xml:space="preserve">      </w:t>
      </w:r>
      <w:r>
        <w:rPr>
          <w:rFonts w:hint="eastAsia" w:ascii="宋体" w:hAnsi="宋体" w:cs="宋体"/>
          <w:sz w:val="24"/>
        </w:rPr>
        <w:t>（投标人名称）的法定代表人，现授权委托</w:t>
      </w:r>
      <w:r>
        <w:rPr>
          <w:rFonts w:hint="eastAsia" w:ascii="宋体" w:hAnsi="宋体" w:cs="宋体"/>
          <w:sz w:val="24"/>
          <w:u w:val="single"/>
        </w:rPr>
        <w:t xml:space="preserve">              （姓名）</w:t>
      </w:r>
      <w:r>
        <w:rPr>
          <w:rFonts w:hint="eastAsia" w:ascii="宋体" w:hAnsi="宋体" w:cs="宋体"/>
          <w:sz w:val="24"/>
        </w:rPr>
        <w:t>以我方的名义参加</w:t>
      </w:r>
      <w:r>
        <w:rPr>
          <w:rFonts w:hint="eastAsia" w:ascii="宋体" w:hAnsi="宋体" w:cs="宋体"/>
          <w:sz w:val="24"/>
          <w:u w:val="single"/>
        </w:rPr>
        <w:t xml:space="preserve">              </w:t>
      </w:r>
      <w:r>
        <w:rPr>
          <w:rFonts w:hint="eastAsia" w:ascii="宋体" w:hAnsi="宋体" w:cs="宋体"/>
          <w:sz w:val="24"/>
        </w:rPr>
        <w:t>项目的投标活动，并代表我方全权办理针对上述项目的所有采购程序和环节的具体事务和签署相关文件。</w:t>
      </w:r>
    </w:p>
    <w:p w14:paraId="3AB2A45F">
      <w:pPr>
        <w:spacing w:line="440" w:lineRule="exact"/>
        <w:contextualSpacing/>
        <w:rPr>
          <w:rFonts w:ascii="宋体" w:hAnsi="宋体" w:cs="宋体"/>
          <w:sz w:val="24"/>
        </w:rPr>
      </w:pPr>
      <w:r>
        <w:rPr>
          <w:rFonts w:hint="eastAsia" w:ascii="宋体" w:hAnsi="宋体" w:cs="宋体"/>
          <w:sz w:val="24"/>
        </w:rPr>
        <w:t xml:space="preserve">    我方对委托代理人的签字事项负全部责任。</w:t>
      </w:r>
    </w:p>
    <w:p w14:paraId="5818A93C">
      <w:pPr>
        <w:spacing w:line="440" w:lineRule="exact"/>
        <w:ind w:firstLine="480"/>
        <w:contextualSpacing/>
        <w:rPr>
          <w:rFonts w:ascii="宋体" w:hAnsi="宋体" w:cs="宋体"/>
          <w:sz w:val="24"/>
        </w:rPr>
      </w:pPr>
      <w:r>
        <w:rPr>
          <w:rFonts w:hint="eastAsia" w:ascii="宋体" w:hAnsi="宋体" w:cs="宋体"/>
          <w:sz w:val="24"/>
          <w:u w:val="single"/>
        </w:rPr>
        <w:t>本授权书自签署之日起生效，在撤销授权的书面通知以前，本授权书一直有效。委托代理人在授权书有效期内签署的所有文件不因授权的撤销而失效。</w:t>
      </w:r>
    </w:p>
    <w:p w14:paraId="0E21DC35">
      <w:pPr>
        <w:spacing w:line="440" w:lineRule="exact"/>
        <w:ind w:firstLine="480"/>
        <w:contextualSpacing/>
        <w:rPr>
          <w:rFonts w:ascii="宋体" w:hAnsi="宋体" w:cs="宋体"/>
          <w:sz w:val="24"/>
        </w:rPr>
      </w:pPr>
      <w:r>
        <w:rPr>
          <w:rFonts w:hint="eastAsia" w:ascii="宋体" w:hAnsi="宋体" w:cs="宋体"/>
          <w:sz w:val="24"/>
        </w:rPr>
        <w:t>委托代理人无转委托权，特此委托。</w:t>
      </w:r>
    </w:p>
    <w:p w14:paraId="22CA3E63">
      <w:pPr>
        <w:spacing w:line="440" w:lineRule="exact"/>
        <w:ind w:firstLine="480"/>
        <w:contextualSpacing/>
        <w:rPr>
          <w:rFonts w:ascii="宋体" w:hAnsi="宋体" w:cs="宋体"/>
          <w:b/>
          <w:bCs/>
          <w:sz w:val="24"/>
        </w:rPr>
      </w:pPr>
      <w:r>
        <w:rPr>
          <w:rFonts w:hint="eastAsia" w:ascii="宋体" w:hAnsi="宋体" w:cs="宋体"/>
          <w:b/>
          <w:bCs/>
          <w:sz w:val="24"/>
        </w:rPr>
        <w:t>附：法定代表人身份证明及委托代理人有效身份证正反面复印件</w:t>
      </w:r>
    </w:p>
    <w:p w14:paraId="1EE6528D">
      <w:pPr>
        <w:spacing w:line="440" w:lineRule="exact"/>
        <w:contextualSpacing/>
        <w:rPr>
          <w:rFonts w:ascii="宋体" w:hAnsi="宋体" w:cs="宋体"/>
          <w:sz w:val="24"/>
        </w:rPr>
      </w:pPr>
    </w:p>
    <w:p w14:paraId="00CE5594">
      <w:pPr>
        <w:spacing w:line="440" w:lineRule="exact"/>
        <w:contextualSpacing/>
        <w:rPr>
          <w:rFonts w:hint="eastAsia" w:ascii="宋体" w:hAnsi="宋体" w:cs="宋体"/>
          <w:sz w:val="24"/>
        </w:rPr>
      </w:pPr>
      <w:r>
        <w:rPr>
          <w:rFonts w:hint="eastAsia" w:ascii="宋体" w:hAnsi="宋体" w:cs="宋体"/>
          <w:sz w:val="24"/>
        </w:rPr>
        <w:t>委托代理人（签字）：</w:t>
      </w:r>
      <w:r>
        <w:rPr>
          <w:rFonts w:hint="eastAsia" w:ascii="宋体" w:hAnsi="宋体" w:cs="宋体"/>
          <w:sz w:val="24"/>
          <w:u w:val="single"/>
        </w:rPr>
        <w:t xml:space="preserve">               </w:t>
      </w:r>
      <w:r>
        <w:rPr>
          <w:rFonts w:hint="eastAsia" w:ascii="宋体" w:hAnsi="宋体" w:cs="宋体"/>
          <w:sz w:val="24"/>
        </w:rPr>
        <w:t xml:space="preserve">            </w:t>
      </w:r>
    </w:p>
    <w:p w14:paraId="373E2359">
      <w:pPr>
        <w:spacing w:line="440" w:lineRule="exact"/>
        <w:contextualSpacing/>
        <w:rPr>
          <w:rFonts w:ascii="宋体" w:hAnsi="宋体" w:cs="宋体"/>
          <w:sz w:val="24"/>
          <w:u w:val="single"/>
        </w:rPr>
      </w:pPr>
      <w:r>
        <w:rPr>
          <w:rFonts w:hint="eastAsia" w:ascii="宋体" w:hAnsi="宋体" w:cs="宋体"/>
          <w:sz w:val="24"/>
        </w:rPr>
        <w:t>法定代表人（签字或者盖章）：</w:t>
      </w:r>
      <w:r>
        <w:rPr>
          <w:rFonts w:hint="eastAsia" w:ascii="宋体" w:hAnsi="宋体" w:cs="宋体"/>
          <w:sz w:val="24"/>
          <w:u w:val="single"/>
        </w:rPr>
        <w:t xml:space="preserve">              </w:t>
      </w:r>
    </w:p>
    <w:p w14:paraId="086794CD">
      <w:pPr>
        <w:spacing w:line="440" w:lineRule="exact"/>
        <w:contextualSpacing/>
        <w:rPr>
          <w:rFonts w:ascii="宋体" w:hAnsi="宋体" w:cs="宋体"/>
          <w:sz w:val="24"/>
        </w:rPr>
      </w:pPr>
      <w:r>
        <w:rPr>
          <w:rFonts w:hint="eastAsia" w:ascii="宋体" w:hAnsi="宋体" w:cs="宋体"/>
          <w:sz w:val="24"/>
        </w:rPr>
        <w:t>委托代理人身份证号码：</w:t>
      </w:r>
      <w:r>
        <w:rPr>
          <w:rFonts w:hint="eastAsia" w:ascii="宋体" w:hAnsi="宋体" w:cs="宋体"/>
          <w:sz w:val="24"/>
          <w:u w:val="single"/>
        </w:rPr>
        <w:t xml:space="preserve">                             </w:t>
      </w:r>
      <w:r>
        <w:rPr>
          <w:rFonts w:hint="eastAsia" w:ascii="宋体" w:hAnsi="宋体" w:cs="宋体"/>
          <w:sz w:val="24"/>
        </w:rPr>
        <w:t xml:space="preserve"> </w:t>
      </w:r>
    </w:p>
    <w:p w14:paraId="103CE15F">
      <w:pPr>
        <w:spacing w:line="440" w:lineRule="exact"/>
        <w:contextualSpacing/>
        <w:jc w:val="center"/>
        <w:outlineLvl w:val="2"/>
        <w:rPr>
          <w:rFonts w:ascii="宋体" w:hAnsi="宋体" w:cs="宋体"/>
          <w:sz w:val="24"/>
        </w:rPr>
      </w:pPr>
      <w:r>
        <w:rPr>
          <w:rFonts w:hint="eastAsia" w:ascii="宋体" w:hAnsi="宋体" w:cs="宋体"/>
          <w:sz w:val="24"/>
        </w:rPr>
        <w:t xml:space="preserve">                                                </w:t>
      </w:r>
      <w:bookmarkStart w:id="305" w:name="_Toc20378"/>
      <w:bookmarkStart w:id="306" w:name="_Toc23751"/>
      <w:r>
        <w:rPr>
          <w:rFonts w:hint="eastAsia" w:ascii="宋体" w:hAnsi="宋体" w:cs="宋体"/>
          <w:sz w:val="24"/>
        </w:rPr>
        <w:t>投标人（盖公章）：</w:t>
      </w:r>
      <w:bookmarkEnd w:id="305"/>
      <w:bookmarkEnd w:id="306"/>
    </w:p>
    <w:p w14:paraId="7CEAACD5">
      <w:pPr>
        <w:spacing w:line="440" w:lineRule="exact"/>
        <w:contextualSpacing/>
        <w:jc w:val="center"/>
        <w:outlineLvl w:val="2"/>
        <w:rPr>
          <w:rFonts w:ascii="宋体" w:hAnsi="宋体" w:cs="宋体"/>
          <w:sz w:val="24"/>
        </w:rPr>
      </w:pPr>
      <w:r>
        <w:rPr>
          <w:rFonts w:hint="eastAsia" w:ascii="宋体" w:hAnsi="宋体" w:cs="宋体"/>
          <w:sz w:val="24"/>
        </w:rPr>
        <w:t xml:space="preserve">                                              </w:t>
      </w:r>
      <w:bookmarkStart w:id="307" w:name="_Toc444"/>
      <w:bookmarkStart w:id="308" w:name="_Toc11002"/>
      <w:r>
        <w:rPr>
          <w:rFonts w:hint="eastAsia" w:ascii="宋体" w:hAnsi="宋体" w:cs="宋体"/>
          <w:sz w:val="24"/>
        </w:rPr>
        <w:t>年    月    日</w:t>
      </w:r>
      <w:bookmarkEnd w:id="307"/>
      <w:bookmarkEnd w:id="308"/>
    </w:p>
    <w:p w14:paraId="08DDB52A">
      <w:pPr>
        <w:spacing w:line="440" w:lineRule="exact"/>
        <w:contextualSpacing/>
        <w:rPr>
          <w:rFonts w:ascii="宋体" w:hAnsi="宋体" w:cs="宋体"/>
          <w:sz w:val="24"/>
        </w:rPr>
      </w:pPr>
      <w:r>
        <w:rPr>
          <w:rFonts w:hint="eastAsia" w:ascii="宋体" w:hAnsi="宋体" w:cs="宋体"/>
          <w:sz w:val="24"/>
        </w:rPr>
        <w:t>注：1.</w:t>
      </w:r>
      <w:bookmarkStart w:id="309" w:name="_Hlk65851555"/>
      <w:bookmarkStart w:id="310" w:name="_Hlk65851620"/>
      <w:r>
        <w:rPr>
          <w:rFonts w:hint="eastAsia" w:ascii="宋体" w:hAnsi="宋体" w:cs="宋体"/>
          <w:sz w:val="24"/>
        </w:rPr>
        <w:t>法定代表人必须在授权委托书上亲笔签字或者盖章，</w:t>
      </w:r>
      <w:bookmarkEnd w:id="309"/>
      <w:r>
        <w:rPr>
          <w:rFonts w:hint="eastAsia" w:ascii="宋体" w:hAnsi="宋体" w:cs="宋体"/>
          <w:sz w:val="24"/>
        </w:rPr>
        <w:t>委托代理人必须在授权委托书上亲笔签字，</w:t>
      </w:r>
      <w:r>
        <w:rPr>
          <w:rFonts w:hint="eastAsia" w:ascii="宋体" w:hAnsi="宋体" w:cs="宋体"/>
          <w:b/>
          <w:bCs/>
          <w:sz w:val="24"/>
        </w:rPr>
        <w:t>否则按无效投标处理</w:t>
      </w:r>
      <w:r>
        <w:rPr>
          <w:rFonts w:hint="eastAsia" w:ascii="宋体" w:hAnsi="宋体" w:cs="宋体"/>
          <w:sz w:val="24"/>
        </w:rPr>
        <w:t>；</w:t>
      </w:r>
      <w:bookmarkEnd w:id="310"/>
    </w:p>
    <w:p w14:paraId="6A7E58E7">
      <w:pPr>
        <w:spacing w:line="440" w:lineRule="exact"/>
        <w:ind w:firstLine="480" w:firstLineChars="200"/>
        <w:contextualSpacing/>
        <w:jc w:val="left"/>
        <w:rPr>
          <w:rFonts w:ascii="宋体" w:hAnsi="宋体" w:cs="宋体"/>
          <w:sz w:val="24"/>
        </w:rPr>
      </w:pPr>
      <w:r>
        <w:rPr>
          <w:rFonts w:hint="eastAsia" w:ascii="宋体" w:hAnsi="宋体" w:cs="宋体"/>
          <w:sz w:val="24"/>
        </w:rPr>
        <w:t>2.法人、其他组织投标时“我方”是指“我单位”，自然人投标时“我方”是指“本人”。</w:t>
      </w:r>
    </w:p>
    <w:p w14:paraId="3E9A0D11">
      <w:r>
        <w:rPr>
          <w:rFonts w:hint="eastAsia" w:ascii="宋体" w:hAnsi="宋体" w:cs="宋体"/>
          <w:sz w:val="24"/>
        </w:rPr>
        <w:br w:type="page"/>
      </w:r>
    </w:p>
    <w:p w14:paraId="5F0383C3">
      <w:pPr>
        <w:rPr>
          <w:rFonts w:ascii="宋体" w:hAnsi="宋体" w:cs="宋体"/>
          <w:sz w:val="24"/>
        </w:rPr>
      </w:pPr>
    </w:p>
    <w:p w14:paraId="7CC8121D">
      <w:pPr>
        <w:rPr>
          <w:rFonts w:ascii="宋体" w:hAnsi="宋体" w:cs="宋体"/>
          <w:b/>
          <w:sz w:val="24"/>
          <w:szCs w:val="20"/>
        </w:rPr>
      </w:pPr>
      <w:r>
        <w:rPr>
          <w:rFonts w:hint="eastAsia" w:ascii="宋体" w:hAnsi="宋体" w:cs="宋体"/>
          <w:b/>
          <w:sz w:val="24"/>
          <w:lang w:val="en-US" w:eastAsia="zh-CN"/>
        </w:rPr>
        <w:t>5</w:t>
      </w:r>
      <w:r>
        <w:rPr>
          <w:rFonts w:hint="eastAsia" w:ascii="宋体" w:hAnsi="宋体" w:cs="宋体"/>
          <w:b/>
          <w:sz w:val="24"/>
        </w:rPr>
        <w:t>.商务要求偏离表格式（注：按项目需求表具体项目修改）</w:t>
      </w:r>
    </w:p>
    <w:p w14:paraId="50A5831E">
      <w:pPr>
        <w:spacing w:before="50"/>
        <w:jc w:val="left"/>
        <w:rPr>
          <w:rFonts w:ascii="宋体" w:hAnsi="宋体" w:cs="宋体"/>
          <w:sz w:val="24"/>
        </w:rPr>
      </w:pPr>
    </w:p>
    <w:p w14:paraId="7EEC41D8">
      <w:pPr>
        <w:spacing w:before="50"/>
        <w:jc w:val="center"/>
        <w:rPr>
          <w:rFonts w:hint="eastAsia" w:ascii="宋体" w:hAnsi="宋体" w:cs="宋体"/>
          <w:b/>
          <w:sz w:val="24"/>
        </w:rPr>
      </w:pPr>
      <w:r>
        <w:rPr>
          <w:rFonts w:hint="eastAsia" w:ascii="宋体" w:hAnsi="宋体" w:cs="宋体"/>
          <w:b/>
          <w:sz w:val="24"/>
        </w:rPr>
        <w:t>商务要求偏离表</w:t>
      </w:r>
    </w:p>
    <w:p w14:paraId="475350AD">
      <w:pPr>
        <w:spacing w:before="50"/>
        <w:jc w:val="center"/>
        <w:rPr>
          <w:rFonts w:hint="eastAsia" w:ascii="宋体" w:hAnsi="宋体" w:cs="宋体"/>
          <w:b/>
          <w:sz w:val="24"/>
        </w:rPr>
      </w:pPr>
    </w:p>
    <w:tbl>
      <w:tblPr>
        <w:tblStyle w:val="25"/>
        <w:tblW w:w="0" w:type="auto"/>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723"/>
        <w:gridCol w:w="3803"/>
        <w:gridCol w:w="2007"/>
        <w:gridCol w:w="2320"/>
      </w:tblGrid>
      <w:tr w14:paraId="17C7811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740" w:type="dxa"/>
            <w:tcBorders>
              <w:top w:val="single" w:color="000000" w:sz="4" w:space="0"/>
              <w:left w:val="single" w:color="000000" w:sz="4" w:space="0"/>
              <w:bottom w:val="single" w:color="000000" w:sz="4" w:space="0"/>
              <w:right w:val="single" w:color="000000" w:sz="4" w:space="0"/>
            </w:tcBorders>
            <w:noWrap w:val="0"/>
            <w:vAlign w:val="top"/>
          </w:tcPr>
          <w:p w14:paraId="346EAFEF">
            <w:pPr>
              <w:spacing w:before="120"/>
              <w:jc w:val="center"/>
              <w:rPr>
                <w:rFonts w:ascii="宋体" w:hAnsi="宋体" w:cs="宋体"/>
                <w:sz w:val="24"/>
              </w:rPr>
            </w:pPr>
            <w:r>
              <w:rPr>
                <w:rFonts w:hint="eastAsia" w:ascii="宋体" w:hAnsi="宋体" w:cs="宋体"/>
                <w:sz w:val="24"/>
              </w:rPr>
              <w:t>项目</w:t>
            </w:r>
          </w:p>
        </w:tc>
        <w:tc>
          <w:tcPr>
            <w:tcW w:w="3847" w:type="dxa"/>
            <w:tcBorders>
              <w:top w:val="single" w:color="000000" w:sz="4" w:space="0"/>
              <w:left w:val="single" w:color="000000" w:sz="4" w:space="0"/>
              <w:bottom w:val="single" w:color="000000" w:sz="4" w:space="0"/>
              <w:right w:val="single" w:color="000000" w:sz="4" w:space="0"/>
            </w:tcBorders>
            <w:noWrap w:val="0"/>
            <w:vAlign w:val="top"/>
          </w:tcPr>
          <w:p w14:paraId="0348C01E">
            <w:pPr>
              <w:spacing w:before="120"/>
              <w:jc w:val="center"/>
              <w:rPr>
                <w:rFonts w:ascii="宋体" w:hAnsi="宋体" w:cs="宋体"/>
                <w:sz w:val="24"/>
              </w:rPr>
            </w:pPr>
            <w:r>
              <w:rPr>
                <w:rFonts w:hint="eastAsia" w:ascii="宋体" w:hAnsi="宋体" w:cs="宋体"/>
                <w:sz w:val="24"/>
              </w:rPr>
              <w:t>招标文件商务要求</w:t>
            </w:r>
          </w:p>
        </w:tc>
        <w:tc>
          <w:tcPr>
            <w:tcW w:w="2027" w:type="dxa"/>
            <w:tcBorders>
              <w:top w:val="single" w:color="000000" w:sz="4" w:space="0"/>
              <w:left w:val="single" w:color="000000" w:sz="4" w:space="0"/>
              <w:bottom w:val="single" w:color="000000" w:sz="4" w:space="0"/>
              <w:right w:val="single" w:color="000000" w:sz="4" w:space="0"/>
            </w:tcBorders>
            <w:noWrap w:val="0"/>
            <w:vAlign w:val="top"/>
          </w:tcPr>
          <w:p w14:paraId="61644686">
            <w:pPr>
              <w:spacing w:before="120"/>
              <w:jc w:val="center"/>
              <w:rPr>
                <w:rFonts w:ascii="宋体" w:hAnsi="宋体" w:cs="宋体"/>
                <w:sz w:val="24"/>
              </w:rPr>
            </w:pPr>
            <w:r>
              <w:rPr>
                <w:rFonts w:hint="eastAsia" w:ascii="宋体" w:hAnsi="宋体" w:cs="宋体"/>
                <w:sz w:val="24"/>
              </w:rPr>
              <w:t>投标人的承诺</w:t>
            </w:r>
          </w:p>
        </w:tc>
        <w:tc>
          <w:tcPr>
            <w:tcW w:w="2344" w:type="dxa"/>
            <w:tcBorders>
              <w:top w:val="single" w:color="000000" w:sz="4" w:space="0"/>
              <w:left w:val="single" w:color="000000" w:sz="4" w:space="0"/>
              <w:bottom w:val="single" w:color="000000" w:sz="4" w:space="0"/>
              <w:right w:val="single" w:color="000000" w:sz="4" w:space="0"/>
            </w:tcBorders>
            <w:noWrap w:val="0"/>
            <w:vAlign w:val="top"/>
          </w:tcPr>
          <w:p w14:paraId="77186E6A">
            <w:pPr>
              <w:spacing w:before="120"/>
              <w:jc w:val="center"/>
              <w:rPr>
                <w:rFonts w:ascii="宋体" w:hAnsi="宋体" w:cs="宋体"/>
                <w:sz w:val="24"/>
              </w:rPr>
            </w:pPr>
            <w:r>
              <w:rPr>
                <w:rFonts w:hint="eastAsia" w:ascii="宋体" w:hAnsi="宋体" w:cs="宋体"/>
                <w:sz w:val="24"/>
              </w:rPr>
              <w:t>偏离说明</w:t>
            </w:r>
          </w:p>
        </w:tc>
      </w:tr>
      <w:tr w14:paraId="1A4F456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740" w:type="dxa"/>
            <w:tcBorders>
              <w:top w:val="single" w:color="000000" w:sz="4" w:space="0"/>
              <w:left w:val="single" w:color="000000" w:sz="4" w:space="0"/>
              <w:bottom w:val="single" w:color="000000" w:sz="4" w:space="0"/>
              <w:right w:val="single" w:color="000000" w:sz="4" w:space="0"/>
            </w:tcBorders>
            <w:noWrap w:val="0"/>
            <w:vAlign w:val="center"/>
          </w:tcPr>
          <w:p w14:paraId="688D615B">
            <w:pPr>
              <w:jc w:val="center"/>
              <w:rPr>
                <w:rFonts w:ascii="宋体" w:hAnsi="宋体" w:cs="宋体"/>
                <w:sz w:val="24"/>
              </w:rPr>
            </w:pPr>
          </w:p>
        </w:tc>
        <w:tc>
          <w:tcPr>
            <w:tcW w:w="3847" w:type="dxa"/>
            <w:tcBorders>
              <w:top w:val="single" w:color="000000" w:sz="4" w:space="0"/>
              <w:left w:val="single" w:color="000000" w:sz="4" w:space="0"/>
              <w:bottom w:val="single" w:color="000000" w:sz="4" w:space="0"/>
              <w:right w:val="single" w:color="000000" w:sz="4" w:space="0"/>
            </w:tcBorders>
            <w:noWrap w:val="0"/>
            <w:vAlign w:val="top"/>
          </w:tcPr>
          <w:p w14:paraId="06B73F24">
            <w:pPr>
              <w:spacing w:before="120"/>
              <w:jc w:val="center"/>
              <w:rPr>
                <w:rFonts w:ascii="宋体" w:hAnsi="宋体" w:cs="宋体"/>
                <w:sz w:val="24"/>
              </w:rPr>
            </w:pPr>
          </w:p>
        </w:tc>
        <w:tc>
          <w:tcPr>
            <w:tcW w:w="2027" w:type="dxa"/>
            <w:tcBorders>
              <w:top w:val="single" w:color="000000" w:sz="4" w:space="0"/>
              <w:left w:val="single" w:color="000000" w:sz="4" w:space="0"/>
              <w:bottom w:val="single" w:color="000000" w:sz="4" w:space="0"/>
              <w:right w:val="single" w:color="000000" w:sz="4" w:space="0"/>
            </w:tcBorders>
            <w:noWrap w:val="0"/>
            <w:vAlign w:val="top"/>
          </w:tcPr>
          <w:p w14:paraId="5C400FA1">
            <w:pPr>
              <w:spacing w:before="120"/>
              <w:jc w:val="center"/>
              <w:rPr>
                <w:rFonts w:ascii="宋体" w:hAnsi="宋体" w:cs="宋体"/>
                <w:sz w:val="24"/>
              </w:rPr>
            </w:pPr>
          </w:p>
        </w:tc>
        <w:tc>
          <w:tcPr>
            <w:tcW w:w="2344" w:type="dxa"/>
            <w:tcBorders>
              <w:top w:val="single" w:color="000000" w:sz="4" w:space="0"/>
              <w:left w:val="single" w:color="000000" w:sz="4" w:space="0"/>
              <w:bottom w:val="single" w:color="000000" w:sz="4" w:space="0"/>
              <w:right w:val="single" w:color="000000" w:sz="4" w:space="0"/>
            </w:tcBorders>
            <w:noWrap w:val="0"/>
            <w:vAlign w:val="top"/>
          </w:tcPr>
          <w:p w14:paraId="1F212100">
            <w:pPr>
              <w:spacing w:before="120"/>
              <w:jc w:val="center"/>
              <w:rPr>
                <w:rFonts w:ascii="宋体" w:hAnsi="宋体" w:cs="宋体"/>
                <w:sz w:val="24"/>
              </w:rPr>
            </w:pPr>
          </w:p>
        </w:tc>
      </w:tr>
      <w:tr w14:paraId="585B518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1740" w:type="dxa"/>
            <w:tcBorders>
              <w:top w:val="single" w:color="000000" w:sz="4" w:space="0"/>
              <w:left w:val="single" w:color="000000" w:sz="4" w:space="0"/>
              <w:bottom w:val="single" w:color="000000" w:sz="4" w:space="0"/>
              <w:right w:val="single" w:color="000000" w:sz="4" w:space="0"/>
            </w:tcBorders>
            <w:noWrap w:val="0"/>
            <w:vAlign w:val="center"/>
          </w:tcPr>
          <w:p w14:paraId="3ABCECA2">
            <w:pPr>
              <w:jc w:val="center"/>
              <w:rPr>
                <w:rFonts w:ascii="宋体" w:hAnsi="宋体" w:cs="宋体"/>
                <w:sz w:val="24"/>
              </w:rPr>
            </w:pPr>
          </w:p>
        </w:tc>
        <w:tc>
          <w:tcPr>
            <w:tcW w:w="3847" w:type="dxa"/>
            <w:tcBorders>
              <w:top w:val="single" w:color="000000" w:sz="4" w:space="0"/>
              <w:left w:val="single" w:color="000000" w:sz="4" w:space="0"/>
              <w:bottom w:val="single" w:color="000000" w:sz="4" w:space="0"/>
              <w:right w:val="single" w:color="000000" w:sz="4" w:space="0"/>
            </w:tcBorders>
            <w:noWrap w:val="0"/>
            <w:vAlign w:val="top"/>
          </w:tcPr>
          <w:p w14:paraId="52F7BABA">
            <w:pPr>
              <w:spacing w:before="120"/>
              <w:rPr>
                <w:rFonts w:ascii="宋体" w:hAnsi="宋体" w:cs="宋体"/>
                <w:sz w:val="24"/>
                <w:u w:val="single"/>
              </w:rPr>
            </w:pPr>
          </w:p>
        </w:tc>
        <w:tc>
          <w:tcPr>
            <w:tcW w:w="2027" w:type="dxa"/>
            <w:tcBorders>
              <w:top w:val="single" w:color="000000" w:sz="4" w:space="0"/>
              <w:left w:val="single" w:color="000000" w:sz="4" w:space="0"/>
              <w:bottom w:val="single" w:color="000000" w:sz="4" w:space="0"/>
              <w:right w:val="single" w:color="000000" w:sz="4" w:space="0"/>
            </w:tcBorders>
            <w:noWrap w:val="0"/>
            <w:vAlign w:val="top"/>
          </w:tcPr>
          <w:p w14:paraId="58D3D679">
            <w:pPr>
              <w:spacing w:before="120"/>
              <w:ind w:left="43"/>
              <w:jc w:val="center"/>
              <w:rPr>
                <w:rFonts w:ascii="宋体" w:hAnsi="宋体" w:cs="宋体"/>
                <w:sz w:val="24"/>
              </w:rPr>
            </w:pPr>
          </w:p>
        </w:tc>
        <w:tc>
          <w:tcPr>
            <w:tcW w:w="2344" w:type="dxa"/>
            <w:tcBorders>
              <w:top w:val="single" w:color="000000" w:sz="4" w:space="0"/>
              <w:left w:val="single" w:color="000000" w:sz="4" w:space="0"/>
              <w:bottom w:val="single" w:color="000000" w:sz="4" w:space="0"/>
              <w:right w:val="single" w:color="000000" w:sz="4" w:space="0"/>
            </w:tcBorders>
            <w:noWrap w:val="0"/>
            <w:vAlign w:val="top"/>
          </w:tcPr>
          <w:p w14:paraId="55B70356">
            <w:pPr>
              <w:spacing w:before="120"/>
              <w:ind w:left="43"/>
              <w:jc w:val="center"/>
              <w:rPr>
                <w:rFonts w:ascii="宋体" w:hAnsi="宋体" w:cs="宋体"/>
                <w:sz w:val="24"/>
              </w:rPr>
            </w:pPr>
          </w:p>
        </w:tc>
      </w:tr>
      <w:tr w14:paraId="14C81E0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1740" w:type="dxa"/>
            <w:tcBorders>
              <w:top w:val="single" w:color="000000" w:sz="4" w:space="0"/>
              <w:left w:val="single" w:color="000000" w:sz="4" w:space="0"/>
              <w:bottom w:val="single" w:color="000000" w:sz="4" w:space="0"/>
              <w:right w:val="single" w:color="000000" w:sz="4" w:space="0"/>
            </w:tcBorders>
            <w:noWrap w:val="0"/>
            <w:vAlign w:val="top"/>
          </w:tcPr>
          <w:p w14:paraId="1FF8FB1D">
            <w:pPr>
              <w:spacing w:before="120"/>
              <w:jc w:val="center"/>
              <w:rPr>
                <w:rFonts w:ascii="宋体" w:hAnsi="宋体" w:cs="宋体"/>
                <w:sz w:val="24"/>
              </w:rPr>
            </w:pPr>
          </w:p>
        </w:tc>
        <w:tc>
          <w:tcPr>
            <w:tcW w:w="3847" w:type="dxa"/>
            <w:tcBorders>
              <w:top w:val="single" w:color="000000" w:sz="4" w:space="0"/>
              <w:left w:val="single" w:color="000000" w:sz="4" w:space="0"/>
              <w:bottom w:val="single" w:color="000000" w:sz="4" w:space="0"/>
              <w:right w:val="single" w:color="000000" w:sz="4" w:space="0"/>
            </w:tcBorders>
            <w:noWrap w:val="0"/>
            <w:vAlign w:val="top"/>
          </w:tcPr>
          <w:p w14:paraId="3848DD15">
            <w:pPr>
              <w:spacing w:before="120"/>
              <w:jc w:val="center"/>
              <w:rPr>
                <w:rFonts w:ascii="宋体" w:hAnsi="宋体" w:cs="宋体"/>
                <w:sz w:val="24"/>
              </w:rPr>
            </w:pPr>
          </w:p>
        </w:tc>
        <w:tc>
          <w:tcPr>
            <w:tcW w:w="2027" w:type="dxa"/>
            <w:tcBorders>
              <w:top w:val="single" w:color="000000" w:sz="4" w:space="0"/>
              <w:left w:val="single" w:color="000000" w:sz="4" w:space="0"/>
              <w:bottom w:val="single" w:color="000000" w:sz="4" w:space="0"/>
              <w:right w:val="single" w:color="000000" w:sz="4" w:space="0"/>
            </w:tcBorders>
            <w:noWrap w:val="0"/>
            <w:vAlign w:val="top"/>
          </w:tcPr>
          <w:p w14:paraId="71C46589">
            <w:pPr>
              <w:spacing w:before="120"/>
              <w:jc w:val="center"/>
              <w:rPr>
                <w:rFonts w:ascii="宋体" w:hAnsi="宋体" w:cs="宋体"/>
                <w:sz w:val="24"/>
              </w:rPr>
            </w:pPr>
          </w:p>
        </w:tc>
        <w:tc>
          <w:tcPr>
            <w:tcW w:w="2344" w:type="dxa"/>
            <w:tcBorders>
              <w:top w:val="single" w:color="000000" w:sz="4" w:space="0"/>
              <w:left w:val="single" w:color="000000" w:sz="4" w:space="0"/>
              <w:bottom w:val="single" w:color="000000" w:sz="4" w:space="0"/>
              <w:right w:val="single" w:color="000000" w:sz="4" w:space="0"/>
            </w:tcBorders>
            <w:noWrap w:val="0"/>
            <w:vAlign w:val="top"/>
          </w:tcPr>
          <w:p w14:paraId="0C7CBDB6">
            <w:pPr>
              <w:spacing w:before="120"/>
              <w:jc w:val="center"/>
              <w:rPr>
                <w:rFonts w:ascii="宋体" w:hAnsi="宋体" w:cs="宋体"/>
                <w:sz w:val="24"/>
              </w:rPr>
            </w:pPr>
          </w:p>
        </w:tc>
      </w:tr>
    </w:tbl>
    <w:p w14:paraId="7ADBAFE3">
      <w:pPr>
        <w:pStyle w:val="10"/>
        <w:rPr>
          <w:rFonts w:ascii="宋体" w:hAnsi="宋体" w:cs="宋体"/>
        </w:rPr>
      </w:pPr>
      <w:r>
        <w:rPr>
          <w:rFonts w:hint="eastAsia" w:ascii="宋体" w:hAnsi="宋体" w:cs="宋体"/>
        </w:rPr>
        <w:t>注：</w:t>
      </w:r>
    </w:p>
    <w:p w14:paraId="54A5E865">
      <w:pPr>
        <w:pStyle w:val="12"/>
        <w:spacing w:line="520" w:lineRule="exact"/>
        <w:ind w:firstLine="0" w:firstLineChars="0"/>
        <w:rPr>
          <w:rFonts w:ascii="宋体" w:hAnsi="宋体" w:eastAsia="宋体" w:cs="宋体"/>
          <w:szCs w:val="32"/>
          <w:lang w:eastAsia="zh-CN"/>
        </w:rPr>
      </w:pPr>
      <w:r>
        <w:rPr>
          <w:rFonts w:hint="eastAsia" w:ascii="宋体" w:hAnsi="宋体" w:eastAsia="宋体" w:cs="宋体"/>
          <w:sz w:val="24"/>
          <w:szCs w:val="24"/>
          <w:lang w:eastAsia="zh-CN"/>
        </w:rPr>
        <w:t>1.</w:t>
      </w:r>
      <w:r>
        <w:rPr>
          <w:rFonts w:hint="eastAsia" w:ascii="宋体" w:hAnsi="宋体" w:eastAsia="宋体" w:cs="宋体"/>
          <w:lang w:eastAsia="zh-CN"/>
        </w:rPr>
        <w:t xml:space="preserve"> </w:t>
      </w:r>
      <w:r>
        <w:rPr>
          <w:rFonts w:hint="eastAsia" w:ascii="宋体" w:hAnsi="宋体" w:eastAsia="宋体" w:cs="宋体"/>
          <w:sz w:val="24"/>
          <w:szCs w:val="24"/>
          <w:lang w:eastAsia="zh-CN"/>
        </w:rPr>
        <w:t>说明：应对照招标文件“第二章 采购需求”中的商务要求逐条作明确的投标响应，并作出偏离说明。</w:t>
      </w:r>
    </w:p>
    <w:p w14:paraId="6AC12C6F">
      <w:pPr>
        <w:pStyle w:val="10"/>
        <w:rPr>
          <w:rFonts w:ascii="宋体" w:hAnsi="宋体" w:cs="宋体"/>
          <w:b w:val="0"/>
          <w:bCs w:val="0"/>
          <w:lang w:eastAsia="zh-CN"/>
        </w:rPr>
      </w:pPr>
      <w:r>
        <w:rPr>
          <w:rFonts w:hint="eastAsia" w:ascii="宋体" w:hAnsi="宋体" w:cs="宋体"/>
          <w:b w:val="0"/>
          <w:bCs w:val="0"/>
          <w:lang w:eastAsia="zh-CN"/>
        </w:rPr>
        <w:t>2.投标人应根据自身的承诺，对照招标文件要求在“偏离说明”中注明“</w:t>
      </w:r>
      <w:r>
        <w:rPr>
          <w:rFonts w:hint="eastAsia" w:ascii="宋体" w:hAnsi="宋体" w:cs="宋体"/>
          <w:lang w:eastAsia="zh-CN"/>
        </w:rPr>
        <w:t>正偏离</w:t>
      </w:r>
      <w:r>
        <w:rPr>
          <w:rFonts w:hint="eastAsia" w:ascii="宋体" w:hAnsi="宋体" w:cs="宋体"/>
          <w:b w:val="0"/>
          <w:bCs w:val="0"/>
          <w:lang w:eastAsia="zh-CN"/>
        </w:rPr>
        <w:t>”、“</w:t>
      </w:r>
      <w:r>
        <w:rPr>
          <w:rFonts w:hint="eastAsia" w:ascii="宋体" w:hAnsi="宋体" w:cs="宋体"/>
          <w:lang w:eastAsia="zh-CN"/>
        </w:rPr>
        <w:t>负偏离</w:t>
      </w:r>
      <w:r>
        <w:rPr>
          <w:rFonts w:hint="eastAsia" w:ascii="宋体" w:hAnsi="宋体" w:cs="宋体"/>
          <w:b w:val="0"/>
          <w:bCs w:val="0"/>
          <w:lang w:eastAsia="zh-CN"/>
        </w:rPr>
        <w:t>”或者“</w:t>
      </w:r>
      <w:r>
        <w:rPr>
          <w:rFonts w:hint="eastAsia" w:ascii="宋体" w:hAnsi="宋体" w:cs="宋体"/>
          <w:lang w:eastAsia="zh-CN"/>
        </w:rPr>
        <w:t>无偏离</w:t>
      </w:r>
      <w:r>
        <w:rPr>
          <w:rFonts w:hint="eastAsia" w:ascii="宋体" w:hAnsi="宋体" w:cs="宋体"/>
          <w:b w:val="0"/>
          <w:bCs w:val="0"/>
          <w:lang w:eastAsia="zh-CN"/>
        </w:rPr>
        <w:t>”。既不属于“</w:t>
      </w:r>
      <w:r>
        <w:rPr>
          <w:rFonts w:hint="eastAsia" w:ascii="宋体" w:hAnsi="宋体" w:cs="宋体"/>
          <w:lang w:eastAsia="zh-CN"/>
        </w:rPr>
        <w:t>正偏离</w:t>
      </w:r>
      <w:r>
        <w:rPr>
          <w:rFonts w:hint="eastAsia" w:ascii="宋体" w:hAnsi="宋体" w:cs="宋体"/>
          <w:b w:val="0"/>
          <w:bCs w:val="0"/>
          <w:lang w:eastAsia="zh-CN"/>
        </w:rPr>
        <w:t>”也不属于“</w:t>
      </w:r>
      <w:r>
        <w:rPr>
          <w:rFonts w:hint="eastAsia" w:ascii="宋体" w:hAnsi="宋体" w:cs="宋体"/>
          <w:lang w:eastAsia="zh-CN"/>
        </w:rPr>
        <w:t>负偏离</w:t>
      </w:r>
      <w:r>
        <w:rPr>
          <w:rFonts w:hint="eastAsia" w:ascii="宋体" w:hAnsi="宋体" w:cs="宋体"/>
          <w:b w:val="0"/>
          <w:bCs w:val="0"/>
          <w:lang w:eastAsia="zh-CN"/>
        </w:rPr>
        <w:t>”即为“</w:t>
      </w:r>
      <w:r>
        <w:rPr>
          <w:rFonts w:hint="eastAsia" w:ascii="宋体" w:hAnsi="宋体" w:cs="宋体"/>
          <w:lang w:eastAsia="zh-CN"/>
        </w:rPr>
        <w:t>无偏离</w:t>
      </w:r>
      <w:r>
        <w:rPr>
          <w:rFonts w:hint="eastAsia" w:ascii="宋体" w:hAnsi="宋体" w:cs="宋体"/>
          <w:b w:val="0"/>
          <w:bCs w:val="0"/>
          <w:lang w:eastAsia="zh-CN"/>
        </w:rPr>
        <w:t>”。</w:t>
      </w:r>
    </w:p>
    <w:p w14:paraId="24ADD501">
      <w:pPr>
        <w:spacing w:before="50" w:after="50"/>
        <w:rPr>
          <w:rFonts w:ascii="宋体" w:hAnsi="宋体" w:cs="宋体"/>
          <w:sz w:val="24"/>
        </w:rPr>
      </w:pPr>
    </w:p>
    <w:p w14:paraId="1A7E7604">
      <w:pPr>
        <w:spacing w:before="50" w:after="50"/>
        <w:rPr>
          <w:rFonts w:ascii="宋体" w:hAnsi="宋体" w:cs="宋体"/>
          <w:spacing w:val="20"/>
          <w:sz w:val="24"/>
          <w:u w:val="single"/>
        </w:rPr>
      </w:pPr>
      <w:r>
        <w:rPr>
          <w:rFonts w:hint="eastAsia" w:ascii="宋体" w:hAnsi="宋体" w:cs="宋体"/>
          <w:sz w:val="24"/>
        </w:rPr>
        <w:t>法定代表人或者委托代理人</w:t>
      </w:r>
      <w:r>
        <w:rPr>
          <w:rFonts w:hint="eastAsia" w:ascii="宋体" w:hAnsi="宋体" w:cs="宋体"/>
          <w:spacing w:val="20"/>
          <w:sz w:val="24"/>
        </w:rPr>
        <w:t>（签字）：</w:t>
      </w:r>
      <w:r>
        <w:rPr>
          <w:rFonts w:hint="eastAsia" w:ascii="宋体" w:hAnsi="宋体" w:cs="宋体"/>
          <w:spacing w:val="20"/>
          <w:sz w:val="24"/>
          <w:u w:val="single"/>
        </w:rPr>
        <w:t xml:space="preserve">        </w:t>
      </w:r>
    </w:p>
    <w:p w14:paraId="0EB42000">
      <w:pPr>
        <w:spacing w:before="120"/>
        <w:rPr>
          <w:rFonts w:ascii="宋体" w:hAnsi="宋体" w:cs="宋体"/>
          <w:spacing w:val="20"/>
          <w:sz w:val="24"/>
        </w:rPr>
      </w:pPr>
      <w:r>
        <w:rPr>
          <w:rFonts w:hint="eastAsia" w:ascii="宋体" w:hAnsi="宋体" w:cs="宋体"/>
          <w:spacing w:val="20"/>
          <w:sz w:val="24"/>
        </w:rPr>
        <w:t>投标人盖公章：</w:t>
      </w:r>
      <w:r>
        <w:rPr>
          <w:rFonts w:hint="eastAsia" w:ascii="宋体" w:hAnsi="宋体" w:cs="宋体"/>
          <w:spacing w:val="20"/>
          <w:sz w:val="24"/>
          <w:u w:val="single"/>
        </w:rPr>
        <w:t xml:space="preserve">            </w:t>
      </w:r>
      <w:r>
        <w:rPr>
          <w:rFonts w:hint="eastAsia" w:ascii="宋体" w:hAnsi="宋体" w:cs="宋体"/>
          <w:spacing w:val="20"/>
          <w:sz w:val="24"/>
        </w:rPr>
        <w:t xml:space="preserve">   </w:t>
      </w:r>
    </w:p>
    <w:p w14:paraId="20794740">
      <w:pPr>
        <w:spacing w:before="120"/>
        <w:rPr>
          <w:rFonts w:ascii="宋体" w:hAnsi="宋体" w:cs="宋体"/>
          <w:sz w:val="24"/>
          <w:szCs w:val="20"/>
        </w:rPr>
      </w:pPr>
      <w:r>
        <w:rPr>
          <w:rFonts w:hint="eastAsia" w:ascii="宋体" w:hAnsi="宋体" w:cs="宋体"/>
          <w:spacing w:val="20"/>
          <w:sz w:val="24"/>
        </w:rPr>
        <w:t>日  期：</w:t>
      </w:r>
      <w:r>
        <w:rPr>
          <w:rFonts w:hint="eastAsia" w:ascii="宋体" w:hAnsi="宋体" w:cs="宋体"/>
          <w:spacing w:val="20"/>
          <w:sz w:val="24"/>
          <w:u w:val="single"/>
        </w:rPr>
        <w:t xml:space="preserve">         </w:t>
      </w:r>
    </w:p>
    <w:p w14:paraId="2834EF61">
      <w:pPr>
        <w:spacing w:before="120"/>
        <w:rPr>
          <w:rFonts w:ascii="宋体" w:hAnsi="宋体" w:cs="宋体"/>
          <w:sz w:val="24"/>
          <w:szCs w:val="20"/>
        </w:rPr>
      </w:pPr>
    </w:p>
    <w:p w14:paraId="02A88F49">
      <w:pPr>
        <w:spacing w:before="120" w:after="50"/>
        <w:jc w:val="left"/>
        <w:rPr>
          <w:rFonts w:hint="eastAsia" w:ascii="宋体" w:hAnsi="宋体" w:cs="宋体"/>
          <w:sz w:val="24"/>
          <w:szCs w:val="20"/>
        </w:rPr>
      </w:pPr>
    </w:p>
    <w:p w14:paraId="33913027">
      <w:pPr>
        <w:spacing w:before="120" w:after="50"/>
        <w:jc w:val="left"/>
        <w:rPr>
          <w:rFonts w:hint="eastAsia" w:ascii="宋体" w:hAnsi="宋体" w:cs="宋体"/>
          <w:sz w:val="24"/>
          <w:szCs w:val="20"/>
        </w:rPr>
      </w:pPr>
    </w:p>
    <w:p w14:paraId="076CC96C">
      <w:pPr>
        <w:spacing w:before="120" w:after="50"/>
        <w:jc w:val="left"/>
        <w:rPr>
          <w:rFonts w:hint="eastAsia" w:ascii="宋体" w:hAnsi="宋体" w:cs="宋体"/>
          <w:sz w:val="24"/>
          <w:szCs w:val="20"/>
        </w:rPr>
      </w:pPr>
    </w:p>
    <w:p w14:paraId="46168515">
      <w:pPr>
        <w:spacing w:before="120" w:after="50"/>
        <w:jc w:val="left"/>
        <w:rPr>
          <w:rFonts w:hint="eastAsia" w:ascii="宋体" w:hAnsi="宋体" w:cs="宋体"/>
          <w:sz w:val="24"/>
          <w:szCs w:val="20"/>
        </w:rPr>
      </w:pPr>
    </w:p>
    <w:p w14:paraId="6703D7E8">
      <w:pPr>
        <w:spacing w:before="120" w:after="50"/>
        <w:jc w:val="left"/>
        <w:rPr>
          <w:rFonts w:hint="eastAsia" w:ascii="宋体" w:hAnsi="宋体" w:cs="宋体"/>
          <w:b/>
          <w:bCs/>
          <w:sz w:val="24"/>
          <w:szCs w:val="20"/>
        </w:rPr>
      </w:pPr>
    </w:p>
    <w:p w14:paraId="18BCDE25">
      <w:pPr>
        <w:spacing w:before="120" w:after="50"/>
        <w:jc w:val="left"/>
        <w:rPr>
          <w:rFonts w:hint="eastAsia" w:ascii="宋体" w:hAnsi="宋体" w:cs="宋体"/>
          <w:b/>
          <w:bCs/>
          <w:sz w:val="24"/>
          <w:szCs w:val="20"/>
        </w:rPr>
      </w:pPr>
    </w:p>
    <w:p w14:paraId="3706C89E">
      <w:pPr>
        <w:spacing w:before="120" w:after="50"/>
        <w:jc w:val="left"/>
        <w:rPr>
          <w:rFonts w:hint="eastAsia" w:ascii="宋体" w:hAnsi="宋体" w:cs="宋体"/>
          <w:b/>
          <w:bCs/>
          <w:sz w:val="24"/>
          <w:szCs w:val="20"/>
        </w:rPr>
      </w:pPr>
      <w:r>
        <w:rPr>
          <w:rFonts w:hint="eastAsia" w:ascii="宋体" w:hAnsi="宋体" w:cs="宋体"/>
          <w:b/>
          <w:bCs/>
          <w:sz w:val="24"/>
          <w:szCs w:val="20"/>
          <w:lang w:val="en-US" w:eastAsia="zh-CN"/>
        </w:rPr>
        <w:t>6.投标人情况介绍（格式自拟）</w:t>
      </w:r>
      <w:r>
        <w:rPr>
          <w:rFonts w:hint="eastAsia" w:ascii="宋体" w:hAnsi="宋体" w:cs="宋体"/>
          <w:b/>
          <w:bCs/>
          <w:sz w:val="24"/>
          <w:szCs w:val="20"/>
        </w:rPr>
        <w:br w:type="page"/>
      </w:r>
    </w:p>
    <w:p w14:paraId="32799110">
      <w:pPr>
        <w:spacing w:before="120" w:after="50"/>
        <w:jc w:val="left"/>
        <w:rPr>
          <w:rFonts w:ascii="宋体" w:hAnsi="宋体" w:cs="宋体"/>
          <w:b/>
          <w:sz w:val="24"/>
        </w:rPr>
      </w:pPr>
      <w:r>
        <w:rPr>
          <w:rFonts w:hint="eastAsia" w:ascii="宋体" w:hAnsi="宋体" w:cs="宋体"/>
          <w:b/>
          <w:sz w:val="24"/>
          <w:lang w:val="en-US" w:eastAsia="zh-CN"/>
        </w:rPr>
        <w:t>7</w:t>
      </w:r>
      <w:r>
        <w:rPr>
          <w:rFonts w:hint="eastAsia" w:ascii="宋体" w:hAnsi="宋体" w:cs="宋体"/>
          <w:b/>
          <w:sz w:val="24"/>
        </w:rPr>
        <w:t>.投标人业绩证明材料</w:t>
      </w:r>
    </w:p>
    <w:p w14:paraId="39B73AD8">
      <w:pPr>
        <w:pStyle w:val="22"/>
        <w:ind w:left="480" w:hanging="480"/>
        <w:rPr>
          <w:rFonts w:ascii="宋体" w:hAnsi="宋体" w:cs="宋体"/>
          <w:sz w:val="24"/>
        </w:rPr>
      </w:pPr>
    </w:p>
    <w:p w14:paraId="7EF46177">
      <w:pPr>
        <w:pStyle w:val="22"/>
        <w:ind w:left="480" w:hanging="480"/>
        <w:rPr>
          <w:rFonts w:ascii="宋体" w:hAnsi="宋体" w:cs="宋体"/>
          <w:sz w:val="24"/>
        </w:rPr>
      </w:pPr>
      <w:r>
        <w:rPr>
          <w:rFonts w:hint="eastAsia" w:ascii="宋体" w:hAnsi="宋体" w:cs="宋体"/>
          <w:sz w:val="24"/>
        </w:rPr>
        <w:t xml:space="preserve">投标人业绩情况一览表： </w:t>
      </w:r>
    </w:p>
    <w:tbl>
      <w:tblPr>
        <w:tblStyle w:val="25"/>
        <w:tblW w:w="0" w:type="auto"/>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463"/>
        <w:gridCol w:w="2046"/>
        <w:gridCol w:w="2049"/>
        <w:gridCol w:w="3295"/>
      </w:tblGrid>
      <w:tr w14:paraId="0A818DF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491" w:type="dxa"/>
            <w:vMerge w:val="restart"/>
            <w:tcBorders>
              <w:top w:val="single" w:color="000000" w:sz="4" w:space="0"/>
              <w:left w:val="single" w:color="000000" w:sz="4" w:space="0"/>
              <w:bottom w:val="single" w:color="000000" w:sz="4" w:space="0"/>
              <w:right w:val="single" w:color="000000" w:sz="4" w:space="0"/>
            </w:tcBorders>
            <w:noWrap w:val="0"/>
            <w:vAlign w:val="center"/>
          </w:tcPr>
          <w:p w14:paraId="54D62717">
            <w:pPr>
              <w:spacing w:line="240" w:lineRule="auto"/>
              <w:jc w:val="center"/>
              <w:rPr>
                <w:rFonts w:ascii="宋体" w:hAnsi="宋体" w:cs="宋体"/>
                <w:sz w:val="24"/>
              </w:rPr>
            </w:pPr>
            <w:r>
              <w:rPr>
                <w:rFonts w:hint="eastAsia" w:ascii="宋体" w:hAnsi="宋体" w:cs="宋体"/>
                <w:sz w:val="24"/>
              </w:rPr>
              <w:t>采购人名称</w:t>
            </w:r>
          </w:p>
        </w:tc>
        <w:tc>
          <w:tcPr>
            <w:tcW w:w="2068" w:type="dxa"/>
            <w:vMerge w:val="restart"/>
            <w:tcBorders>
              <w:top w:val="single" w:color="000000" w:sz="4" w:space="0"/>
              <w:left w:val="single" w:color="000000" w:sz="4" w:space="0"/>
              <w:bottom w:val="single" w:color="000000" w:sz="4" w:space="0"/>
              <w:right w:val="single" w:color="000000" w:sz="4" w:space="0"/>
            </w:tcBorders>
            <w:noWrap w:val="0"/>
            <w:vAlign w:val="center"/>
          </w:tcPr>
          <w:p w14:paraId="2C374DDF">
            <w:pPr>
              <w:spacing w:line="240" w:lineRule="auto"/>
              <w:jc w:val="center"/>
              <w:rPr>
                <w:rFonts w:ascii="宋体" w:hAnsi="宋体" w:cs="宋体"/>
                <w:sz w:val="24"/>
              </w:rPr>
            </w:pPr>
            <w:r>
              <w:rPr>
                <w:rFonts w:hint="eastAsia" w:ascii="宋体" w:hAnsi="宋体" w:cs="宋体"/>
                <w:sz w:val="24"/>
              </w:rPr>
              <w:t>项目名称</w:t>
            </w:r>
          </w:p>
        </w:tc>
        <w:tc>
          <w:tcPr>
            <w:tcW w:w="2068" w:type="dxa"/>
            <w:vMerge w:val="restart"/>
            <w:tcBorders>
              <w:top w:val="single" w:color="000000" w:sz="4" w:space="0"/>
              <w:left w:val="single" w:color="000000" w:sz="4" w:space="0"/>
              <w:bottom w:val="single" w:color="000000" w:sz="4" w:space="0"/>
              <w:right w:val="single" w:color="000000" w:sz="4" w:space="0"/>
            </w:tcBorders>
            <w:noWrap w:val="0"/>
            <w:vAlign w:val="center"/>
          </w:tcPr>
          <w:p w14:paraId="15EC5311">
            <w:pPr>
              <w:spacing w:line="240" w:lineRule="auto"/>
              <w:jc w:val="center"/>
              <w:rPr>
                <w:rFonts w:ascii="宋体" w:hAnsi="宋体" w:cs="宋体"/>
                <w:sz w:val="24"/>
              </w:rPr>
            </w:pPr>
            <w:r>
              <w:rPr>
                <w:rFonts w:hint="eastAsia" w:ascii="宋体" w:hAnsi="宋体" w:cs="宋体"/>
                <w:sz w:val="24"/>
              </w:rPr>
              <w:t>合同金额</w:t>
            </w:r>
          </w:p>
          <w:p w14:paraId="62602643">
            <w:pPr>
              <w:spacing w:line="240" w:lineRule="auto"/>
              <w:jc w:val="center"/>
              <w:rPr>
                <w:rFonts w:ascii="宋体" w:hAnsi="宋体" w:cs="宋体"/>
                <w:sz w:val="24"/>
              </w:rPr>
            </w:pPr>
            <w:r>
              <w:rPr>
                <w:rFonts w:hint="eastAsia" w:ascii="宋体" w:hAnsi="宋体" w:cs="宋体"/>
                <w:sz w:val="24"/>
              </w:rPr>
              <w:t>（万元）</w:t>
            </w:r>
          </w:p>
        </w:tc>
        <w:tc>
          <w:tcPr>
            <w:tcW w:w="3335" w:type="dxa"/>
            <w:vMerge w:val="restart"/>
            <w:tcBorders>
              <w:top w:val="single" w:color="000000" w:sz="4" w:space="0"/>
              <w:left w:val="single" w:color="000000" w:sz="4" w:space="0"/>
              <w:bottom w:val="single" w:color="000000" w:sz="4" w:space="0"/>
              <w:right w:val="single" w:color="000000" w:sz="4" w:space="0"/>
            </w:tcBorders>
            <w:noWrap w:val="0"/>
            <w:vAlign w:val="center"/>
          </w:tcPr>
          <w:p w14:paraId="259D6ACD">
            <w:pPr>
              <w:spacing w:line="240" w:lineRule="auto"/>
              <w:jc w:val="center"/>
              <w:rPr>
                <w:rFonts w:ascii="宋体" w:hAnsi="宋体" w:cs="宋体"/>
                <w:sz w:val="24"/>
              </w:rPr>
            </w:pPr>
            <w:r>
              <w:rPr>
                <w:rFonts w:hint="eastAsia" w:ascii="宋体" w:hAnsi="宋体" w:cs="宋体"/>
                <w:sz w:val="24"/>
              </w:rPr>
              <w:t>采购人联系人及</w:t>
            </w:r>
          </w:p>
          <w:p w14:paraId="5571FC67">
            <w:pPr>
              <w:spacing w:line="240" w:lineRule="auto"/>
              <w:jc w:val="center"/>
              <w:rPr>
                <w:rFonts w:ascii="宋体" w:hAnsi="宋体" w:cs="宋体"/>
                <w:sz w:val="24"/>
              </w:rPr>
            </w:pPr>
            <w:r>
              <w:rPr>
                <w:rFonts w:hint="eastAsia" w:ascii="宋体" w:hAnsi="宋体" w:cs="宋体"/>
                <w:sz w:val="24"/>
              </w:rPr>
              <w:t>联系电话</w:t>
            </w:r>
          </w:p>
        </w:tc>
      </w:tr>
      <w:tr w14:paraId="5F5621B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49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4DBC90">
            <w:pPr>
              <w:jc w:val="left"/>
              <w:rPr>
                <w:rFonts w:ascii="宋体" w:hAnsi="宋体" w:cs="宋体"/>
                <w:sz w:val="24"/>
              </w:rPr>
            </w:pPr>
          </w:p>
        </w:tc>
        <w:tc>
          <w:tcPr>
            <w:tcW w:w="20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1AC026">
            <w:pPr>
              <w:jc w:val="left"/>
              <w:rPr>
                <w:rFonts w:ascii="宋体" w:hAnsi="宋体" w:cs="宋体"/>
                <w:sz w:val="24"/>
              </w:rPr>
            </w:pPr>
          </w:p>
        </w:tc>
        <w:tc>
          <w:tcPr>
            <w:tcW w:w="206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AEA4E3">
            <w:pPr>
              <w:jc w:val="left"/>
              <w:rPr>
                <w:rFonts w:ascii="宋体" w:hAnsi="宋体" w:cs="宋体"/>
                <w:sz w:val="24"/>
              </w:rPr>
            </w:pPr>
          </w:p>
        </w:tc>
        <w:tc>
          <w:tcPr>
            <w:tcW w:w="33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0F3104">
            <w:pPr>
              <w:jc w:val="left"/>
              <w:rPr>
                <w:rFonts w:ascii="宋体" w:hAnsi="宋体" w:cs="宋体"/>
                <w:sz w:val="24"/>
              </w:rPr>
            </w:pPr>
          </w:p>
        </w:tc>
      </w:tr>
      <w:tr w14:paraId="769632F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491" w:type="dxa"/>
            <w:tcBorders>
              <w:top w:val="single" w:color="000000" w:sz="4" w:space="0"/>
              <w:left w:val="single" w:color="000000" w:sz="4" w:space="0"/>
              <w:bottom w:val="single" w:color="000000" w:sz="4" w:space="0"/>
              <w:right w:val="single" w:color="000000" w:sz="4" w:space="0"/>
            </w:tcBorders>
            <w:noWrap w:val="0"/>
            <w:vAlign w:val="top"/>
          </w:tcPr>
          <w:p w14:paraId="21034EF4">
            <w:pPr>
              <w:spacing w:line="240" w:lineRule="exact"/>
              <w:jc w:val="left"/>
              <w:rPr>
                <w:rFonts w:ascii="宋体" w:hAnsi="宋体" w:cs="宋体"/>
                <w:sz w:val="24"/>
              </w:rPr>
            </w:pPr>
          </w:p>
        </w:tc>
        <w:tc>
          <w:tcPr>
            <w:tcW w:w="2068" w:type="dxa"/>
            <w:tcBorders>
              <w:top w:val="single" w:color="000000" w:sz="4" w:space="0"/>
              <w:left w:val="single" w:color="000000" w:sz="4" w:space="0"/>
              <w:bottom w:val="single" w:color="000000" w:sz="4" w:space="0"/>
              <w:right w:val="single" w:color="000000" w:sz="4" w:space="0"/>
            </w:tcBorders>
            <w:noWrap w:val="0"/>
            <w:vAlign w:val="top"/>
          </w:tcPr>
          <w:p w14:paraId="711F19A8">
            <w:pPr>
              <w:spacing w:line="240" w:lineRule="exact"/>
              <w:jc w:val="left"/>
              <w:rPr>
                <w:rFonts w:ascii="宋体" w:hAnsi="宋体" w:cs="宋体"/>
                <w:sz w:val="24"/>
              </w:rPr>
            </w:pPr>
          </w:p>
        </w:tc>
        <w:tc>
          <w:tcPr>
            <w:tcW w:w="2068" w:type="dxa"/>
            <w:tcBorders>
              <w:top w:val="single" w:color="000000" w:sz="4" w:space="0"/>
              <w:left w:val="single" w:color="000000" w:sz="4" w:space="0"/>
              <w:bottom w:val="single" w:color="000000" w:sz="4" w:space="0"/>
              <w:right w:val="single" w:color="000000" w:sz="4" w:space="0"/>
            </w:tcBorders>
            <w:noWrap w:val="0"/>
            <w:vAlign w:val="top"/>
          </w:tcPr>
          <w:p w14:paraId="79F60AFC">
            <w:pPr>
              <w:spacing w:line="240" w:lineRule="exact"/>
              <w:jc w:val="left"/>
              <w:rPr>
                <w:rFonts w:ascii="宋体" w:hAnsi="宋体" w:cs="宋体"/>
                <w:sz w:val="24"/>
              </w:rPr>
            </w:pPr>
          </w:p>
        </w:tc>
        <w:tc>
          <w:tcPr>
            <w:tcW w:w="3335" w:type="dxa"/>
            <w:tcBorders>
              <w:top w:val="single" w:color="000000" w:sz="4" w:space="0"/>
              <w:left w:val="single" w:color="000000" w:sz="4" w:space="0"/>
              <w:bottom w:val="single" w:color="000000" w:sz="4" w:space="0"/>
              <w:right w:val="single" w:color="000000" w:sz="4" w:space="0"/>
            </w:tcBorders>
            <w:noWrap w:val="0"/>
            <w:vAlign w:val="top"/>
          </w:tcPr>
          <w:p w14:paraId="7F05CD7A">
            <w:pPr>
              <w:spacing w:line="240" w:lineRule="exact"/>
              <w:jc w:val="left"/>
              <w:rPr>
                <w:rFonts w:ascii="宋体" w:hAnsi="宋体" w:cs="宋体"/>
                <w:sz w:val="24"/>
              </w:rPr>
            </w:pPr>
          </w:p>
        </w:tc>
      </w:tr>
      <w:tr w14:paraId="3CFD80B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c>
          <w:tcPr>
            <w:tcW w:w="2491" w:type="dxa"/>
            <w:tcBorders>
              <w:top w:val="single" w:color="000000" w:sz="4" w:space="0"/>
              <w:left w:val="single" w:color="000000" w:sz="4" w:space="0"/>
              <w:bottom w:val="single" w:color="000000" w:sz="4" w:space="0"/>
              <w:right w:val="single" w:color="000000" w:sz="4" w:space="0"/>
            </w:tcBorders>
            <w:noWrap w:val="0"/>
            <w:vAlign w:val="top"/>
          </w:tcPr>
          <w:p w14:paraId="03BAB88C">
            <w:pPr>
              <w:spacing w:before="50" w:after="120" w:line="400" w:lineRule="exact"/>
              <w:jc w:val="left"/>
              <w:rPr>
                <w:rFonts w:ascii="宋体" w:hAnsi="宋体" w:cs="宋体"/>
                <w:sz w:val="24"/>
              </w:rPr>
            </w:pPr>
          </w:p>
        </w:tc>
        <w:tc>
          <w:tcPr>
            <w:tcW w:w="2068" w:type="dxa"/>
            <w:tcBorders>
              <w:top w:val="single" w:color="000000" w:sz="4" w:space="0"/>
              <w:left w:val="single" w:color="000000" w:sz="4" w:space="0"/>
              <w:bottom w:val="single" w:color="000000" w:sz="4" w:space="0"/>
              <w:right w:val="single" w:color="000000" w:sz="4" w:space="0"/>
            </w:tcBorders>
            <w:noWrap w:val="0"/>
            <w:vAlign w:val="top"/>
          </w:tcPr>
          <w:p w14:paraId="24958A64">
            <w:pPr>
              <w:spacing w:before="50" w:after="120" w:line="400" w:lineRule="exact"/>
              <w:jc w:val="left"/>
              <w:rPr>
                <w:rFonts w:ascii="宋体" w:hAnsi="宋体" w:cs="宋体"/>
                <w:sz w:val="24"/>
              </w:rPr>
            </w:pPr>
          </w:p>
        </w:tc>
        <w:tc>
          <w:tcPr>
            <w:tcW w:w="2068" w:type="dxa"/>
            <w:tcBorders>
              <w:top w:val="single" w:color="000000" w:sz="4" w:space="0"/>
              <w:left w:val="single" w:color="000000" w:sz="4" w:space="0"/>
              <w:bottom w:val="single" w:color="000000" w:sz="4" w:space="0"/>
              <w:right w:val="single" w:color="000000" w:sz="4" w:space="0"/>
            </w:tcBorders>
            <w:noWrap w:val="0"/>
            <w:vAlign w:val="top"/>
          </w:tcPr>
          <w:p w14:paraId="301C788C">
            <w:pPr>
              <w:spacing w:before="50" w:after="120" w:line="400" w:lineRule="exact"/>
              <w:jc w:val="left"/>
              <w:rPr>
                <w:rFonts w:ascii="宋体" w:hAnsi="宋体" w:cs="宋体"/>
                <w:sz w:val="24"/>
              </w:rPr>
            </w:pPr>
          </w:p>
        </w:tc>
        <w:tc>
          <w:tcPr>
            <w:tcW w:w="3335" w:type="dxa"/>
            <w:tcBorders>
              <w:top w:val="single" w:color="000000" w:sz="4" w:space="0"/>
              <w:left w:val="single" w:color="000000" w:sz="4" w:space="0"/>
              <w:bottom w:val="single" w:color="000000" w:sz="4" w:space="0"/>
              <w:right w:val="single" w:color="000000" w:sz="4" w:space="0"/>
            </w:tcBorders>
            <w:noWrap w:val="0"/>
            <w:vAlign w:val="top"/>
          </w:tcPr>
          <w:p w14:paraId="6762E825">
            <w:pPr>
              <w:spacing w:before="50" w:after="120" w:line="400" w:lineRule="exact"/>
              <w:jc w:val="left"/>
              <w:rPr>
                <w:rFonts w:ascii="宋体" w:hAnsi="宋体" w:cs="宋体"/>
                <w:sz w:val="24"/>
              </w:rPr>
            </w:pPr>
          </w:p>
        </w:tc>
      </w:tr>
      <w:tr w14:paraId="523BAAF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491" w:type="dxa"/>
            <w:tcBorders>
              <w:top w:val="single" w:color="000000" w:sz="4" w:space="0"/>
              <w:left w:val="single" w:color="000000" w:sz="4" w:space="0"/>
              <w:bottom w:val="single" w:color="000000" w:sz="4" w:space="0"/>
              <w:right w:val="single" w:color="000000" w:sz="4" w:space="0"/>
            </w:tcBorders>
            <w:noWrap w:val="0"/>
            <w:vAlign w:val="top"/>
          </w:tcPr>
          <w:p w14:paraId="11063FD1">
            <w:pPr>
              <w:spacing w:before="50" w:after="120" w:line="400" w:lineRule="exact"/>
              <w:jc w:val="left"/>
              <w:rPr>
                <w:rFonts w:ascii="宋体" w:hAnsi="宋体" w:cs="宋体"/>
                <w:sz w:val="24"/>
              </w:rPr>
            </w:pPr>
          </w:p>
        </w:tc>
        <w:tc>
          <w:tcPr>
            <w:tcW w:w="2068" w:type="dxa"/>
            <w:tcBorders>
              <w:top w:val="single" w:color="000000" w:sz="4" w:space="0"/>
              <w:left w:val="single" w:color="000000" w:sz="4" w:space="0"/>
              <w:bottom w:val="single" w:color="000000" w:sz="4" w:space="0"/>
              <w:right w:val="single" w:color="000000" w:sz="4" w:space="0"/>
            </w:tcBorders>
            <w:noWrap w:val="0"/>
            <w:vAlign w:val="top"/>
          </w:tcPr>
          <w:p w14:paraId="2624235F">
            <w:pPr>
              <w:spacing w:before="50" w:after="120" w:line="400" w:lineRule="exact"/>
              <w:jc w:val="left"/>
              <w:rPr>
                <w:rFonts w:ascii="宋体" w:hAnsi="宋体" w:cs="宋体"/>
                <w:sz w:val="24"/>
              </w:rPr>
            </w:pPr>
          </w:p>
        </w:tc>
        <w:tc>
          <w:tcPr>
            <w:tcW w:w="2068" w:type="dxa"/>
            <w:tcBorders>
              <w:top w:val="single" w:color="000000" w:sz="4" w:space="0"/>
              <w:left w:val="single" w:color="000000" w:sz="4" w:space="0"/>
              <w:bottom w:val="single" w:color="000000" w:sz="4" w:space="0"/>
              <w:right w:val="single" w:color="000000" w:sz="4" w:space="0"/>
            </w:tcBorders>
            <w:noWrap w:val="0"/>
            <w:vAlign w:val="top"/>
          </w:tcPr>
          <w:p w14:paraId="2436F9C2">
            <w:pPr>
              <w:spacing w:before="50" w:after="120" w:line="400" w:lineRule="exact"/>
              <w:jc w:val="left"/>
              <w:rPr>
                <w:rFonts w:ascii="宋体" w:hAnsi="宋体" w:cs="宋体"/>
                <w:sz w:val="24"/>
              </w:rPr>
            </w:pPr>
          </w:p>
        </w:tc>
        <w:tc>
          <w:tcPr>
            <w:tcW w:w="3335" w:type="dxa"/>
            <w:tcBorders>
              <w:top w:val="single" w:color="000000" w:sz="4" w:space="0"/>
              <w:left w:val="single" w:color="000000" w:sz="4" w:space="0"/>
              <w:bottom w:val="single" w:color="000000" w:sz="4" w:space="0"/>
              <w:right w:val="single" w:color="000000" w:sz="4" w:space="0"/>
            </w:tcBorders>
            <w:noWrap w:val="0"/>
            <w:vAlign w:val="top"/>
          </w:tcPr>
          <w:p w14:paraId="5D4CF46C">
            <w:pPr>
              <w:spacing w:before="50" w:after="120" w:line="400" w:lineRule="exact"/>
              <w:jc w:val="left"/>
              <w:rPr>
                <w:rFonts w:ascii="宋体" w:hAnsi="宋体" w:cs="宋体"/>
                <w:sz w:val="24"/>
              </w:rPr>
            </w:pPr>
          </w:p>
        </w:tc>
      </w:tr>
      <w:tr w14:paraId="7C2E78D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c>
          <w:tcPr>
            <w:tcW w:w="2491" w:type="dxa"/>
            <w:tcBorders>
              <w:top w:val="single" w:color="000000" w:sz="4" w:space="0"/>
              <w:left w:val="single" w:color="000000" w:sz="4" w:space="0"/>
              <w:bottom w:val="single" w:color="000000" w:sz="4" w:space="0"/>
              <w:right w:val="single" w:color="000000" w:sz="4" w:space="0"/>
            </w:tcBorders>
            <w:noWrap w:val="0"/>
            <w:vAlign w:val="top"/>
          </w:tcPr>
          <w:p w14:paraId="55EC780B">
            <w:pPr>
              <w:spacing w:before="50" w:after="120" w:line="400" w:lineRule="exact"/>
              <w:jc w:val="left"/>
              <w:rPr>
                <w:rFonts w:ascii="宋体" w:hAnsi="宋体" w:cs="宋体"/>
                <w:sz w:val="24"/>
              </w:rPr>
            </w:pPr>
          </w:p>
        </w:tc>
        <w:tc>
          <w:tcPr>
            <w:tcW w:w="2068" w:type="dxa"/>
            <w:tcBorders>
              <w:top w:val="single" w:color="000000" w:sz="4" w:space="0"/>
              <w:left w:val="single" w:color="000000" w:sz="4" w:space="0"/>
              <w:bottom w:val="single" w:color="000000" w:sz="4" w:space="0"/>
              <w:right w:val="single" w:color="000000" w:sz="4" w:space="0"/>
            </w:tcBorders>
            <w:noWrap w:val="0"/>
            <w:vAlign w:val="top"/>
          </w:tcPr>
          <w:p w14:paraId="5D0A5543">
            <w:pPr>
              <w:spacing w:before="50" w:after="120" w:line="400" w:lineRule="exact"/>
              <w:jc w:val="left"/>
              <w:rPr>
                <w:rFonts w:ascii="宋体" w:hAnsi="宋体" w:cs="宋体"/>
                <w:sz w:val="24"/>
              </w:rPr>
            </w:pPr>
          </w:p>
        </w:tc>
        <w:tc>
          <w:tcPr>
            <w:tcW w:w="2068" w:type="dxa"/>
            <w:tcBorders>
              <w:top w:val="single" w:color="000000" w:sz="4" w:space="0"/>
              <w:left w:val="single" w:color="000000" w:sz="4" w:space="0"/>
              <w:bottom w:val="single" w:color="000000" w:sz="4" w:space="0"/>
              <w:right w:val="single" w:color="000000" w:sz="4" w:space="0"/>
            </w:tcBorders>
            <w:noWrap w:val="0"/>
            <w:vAlign w:val="top"/>
          </w:tcPr>
          <w:p w14:paraId="151B24A8">
            <w:pPr>
              <w:spacing w:before="50" w:after="120" w:line="400" w:lineRule="exact"/>
              <w:jc w:val="left"/>
              <w:rPr>
                <w:rFonts w:ascii="宋体" w:hAnsi="宋体" w:cs="宋体"/>
                <w:sz w:val="24"/>
              </w:rPr>
            </w:pPr>
          </w:p>
        </w:tc>
        <w:tc>
          <w:tcPr>
            <w:tcW w:w="3335" w:type="dxa"/>
            <w:tcBorders>
              <w:top w:val="single" w:color="000000" w:sz="4" w:space="0"/>
              <w:left w:val="single" w:color="000000" w:sz="4" w:space="0"/>
              <w:bottom w:val="single" w:color="000000" w:sz="4" w:space="0"/>
              <w:right w:val="single" w:color="000000" w:sz="4" w:space="0"/>
            </w:tcBorders>
            <w:noWrap w:val="0"/>
            <w:vAlign w:val="top"/>
          </w:tcPr>
          <w:p w14:paraId="209A14BA">
            <w:pPr>
              <w:spacing w:before="50" w:after="120" w:line="400" w:lineRule="exact"/>
              <w:jc w:val="left"/>
              <w:rPr>
                <w:rFonts w:ascii="宋体" w:hAnsi="宋体" w:cs="宋体"/>
                <w:sz w:val="24"/>
              </w:rPr>
            </w:pPr>
          </w:p>
        </w:tc>
      </w:tr>
      <w:tr w14:paraId="0315B6D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c>
          <w:tcPr>
            <w:tcW w:w="2491" w:type="dxa"/>
            <w:tcBorders>
              <w:top w:val="single" w:color="000000" w:sz="4" w:space="0"/>
              <w:left w:val="single" w:color="000000" w:sz="4" w:space="0"/>
              <w:bottom w:val="single" w:color="000000" w:sz="4" w:space="0"/>
              <w:right w:val="single" w:color="000000" w:sz="4" w:space="0"/>
            </w:tcBorders>
            <w:noWrap w:val="0"/>
            <w:vAlign w:val="top"/>
          </w:tcPr>
          <w:p w14:paraId="22DA8A1A">
            <w:pPr>
              <w:spacing w:before="50" w:after="120" w:line="400" w:lineRule="exact"/>
              <w:jc w:val="left"/>
              <w:rPr>
                <w:rFonts w:ascii="宋体" w:hAnsi="宋体" w:cs="宋体"/>
                <w:sz w:val="24"/>
              </w:rPr>
            </w:pPr>
          </w:p>
        </w:tc>
        <w:tc>
          <w:tcPr>
            <w:tcW w:w="2068" w:type="dxa"/>
            <w:tcBorders>
              <w:top w:val="single" w:color="000000" w:sz="4" w:space="0"/>
              <w:left w:val="single" w:color="000000" w:sz="4" w:space="0"/>
              <w:bottom w:val="single" w:color="000000" w:sz="4" w:space="0"/>
              <w:right w:val="single" w:color="000000" w:sz="4" w:space="0"/>
            </w:tcBorders>
            <w:noWrap w:val="0"/>
            <w:vAlign w:val="top"/>
          </w:tcPr>
          <w:p w14:paraId="37337A9C">
            <w:pPr>
              <w:spacing w:before="50" w:after="120" w:line="400" w:lineRule="exact"/>
              <w:jc w:val="left"/>
              <w:rPr>
                <w:rFonts w:ascii="宋体" w:hAnsi="宋体" w:cs="宋体"/>
                <w:sz w:val="24"/>
              </w:rPr>
            </w:pPr>
          </w:p>
        </w:tc>
        <w:tc>
          <w:tcPr>
            <w:tcW w:w="2068" w:type="dxa"/>
            <w:tcBorders>
              <w:top w:val="single" w:color="000000" w:sz="4" w:space="0"/>
              <w:left w:val="single" w:color="000000" w:sz="4" w:space="0"/>
              <w:bottom w:val="single" w:color="000000" w:sz="4" w:space="0"/>
              <w:right w:val="single" w:color="000000" w:sz="4" w:space="0"/>
            </w:tcBorders>
            <w:noWrap w:val="0"/>
            <w:vAlign w:val="top"/>
          </w:tcPr>
          <w:p w14:paraId="31523932">
            <w:pPr>
              <w:spacing w:before="50" w:after="120" w:line="400" w:lineRule="exact"/>
              <w:jc w:val="left"/>
              <w:rPr>
                <w:rFonts w:ascii="宋体" w:hAnsi="宋体" w:cs="宋体"/>
                <w:sz w:val="24"/>
              </w:rPr>
            </w:pPr>
          </w:p>
        </w:tc>
        <w:tc>
          <w:tcPr>
            <w:tcW w:w="3335" w:type="dxa"/>
            <w:tcBorders>
              <w:top w:val="single" w:color="000000" w:sz="4" w:space="0"/>
              <w:left w:val="single" w:color="000000" w:sz="4" w:space="0"/>
              <w:bottom w:val="single" w:color="000000" w:sz="4" w:space="0"/>
              <w:right w:val="single" w:color="000000" w:sz="4" w:space="0"/>
            </w:tcBorders>
            <w:noWrap w:val="0"/>
            <w:vAlign w:val="top"/>
          </w:tcPr>
          <w:p w14:paraId="29C1E5A8">
            <w:pPr>
              <w:spacing w:before="50" w:after="120" w:line="400" w:lineRule="exact"/>
              <w:jc w:val="left"/>
              <w:rPr>
                <w:rFonts w:ascii="宋体" w:hAnsi="宋体" w:cs="宋体"/>
                <w:sz w:val="24"/>
              </w:rPr>
            </w:pPr>
          </w:p>
        </w:tc>
      </w:tr>
    </w:tbl>
    <w:p w14:paraId="0D87903C">
      <w:pPr>
        <w:pStyle w:val="8"/>
        <w:spacing w:before="0" w:after="0" w:line="360" w:lineRule="auto"/>
        <w:contextualSpacing/>
        <w:rPr>
          <w:rFonts w:ascii="宋体" w:hAnsi="宋体" w:eastAsia="宋体" w:cs="宋体"/>
          <w:sz w:val="24"/>
          <w:szCs w:val="24"/>
        </w:rPr>
      </w:pPr>
    </w:p>
    <w:p w14:paraId="5E95276F">
      <w:pPr>
        <w:pStyle w:val="8"/>
        <w:spacing w:before="0" w:after="0" w:line="360" w:lineRule="auto"/>
        <w:contextualSpacing/>
        <w:rPr>
          <w:rFonts w:ascii="宋体" w:hAnsi="宋体" w:eastAsia="宋体" w:cs="宋体"/>
          <w:sz w:val="24"/>
          <w:szCs w:val="24"/>
          <w:highlight w:val="none"/>
        </w:rPr>
      </w:pPr>
      <w:r>
        <w:rPr>
          <w:rFonts w:hint="eastAsia" w:ascii="宋体" w:hAnsi="宋体" w:eastAsia="宋体" w:cs="宋体"/>
          <w:sz w:val="24"/>
          <w:szCs w:val="24"/>
          <w:highlight w:val="none"/>
        </w:rPr>
        <w:t>注：如本表格不适合投标单位的实际情况，可根据本表自行制表填写</w:t>
      </w:r>
      <w:r>
        <w:rPr>
          <w:rFonts w:hint="eastAsia" w:ascii="宋体" w:hAnsi="宋体" w:eastAsia="宋体" w:cs="宋体"/>
          <w:sz w:val="24"/>
          <w:highlight w:val="none"/>
        </w:rPr>
        <w:t>。</w:t>
      </w:r>
    </w:p>
    <w:p w14:paraId="459CF4C5">
      <w:pPr>
        <w:pStyle w:val="8"/>
        <w:spacing w:before="0" w:after="0" w:line="360" w:lineRule="auto"/>
        <w:contextualSpacing/>
        <w:jc w:val="left"/>
        <w:rPr>
          <w:rFonts w:ascii="宋体" w:hAnsi="宋体" w:eastAsia="宋体" w:cs="宋体"/>
          <w:sz w:val="24"/>
          <w:szCs w:val="24"/>
          <w:u w:val="single"/>
        </w:rPr>
      </w:pPr>
      <w:r>
        <w:rPr>
          <w:rFonts w:hint="eastAsia" w:ascii="宋体" w:hAnsi="宋体" w:eastAsia="宋体" w:cs="宋体"/>
          <w:sz w:val="24"/>
          <w:szCs w:val="24"/>
        </w:rPr>
        <w:t>法定代表人或者委托代理人（签字）：</w:t>
      </w:r>
      <w:r>
        <w:rPr>
          <w:rFonts w:hint="eastAsia" w:ascii="宋体" w:hAnsi="宋体" w:eastAsia="宋体" w:cs="宋体"/>
          <w:sz w:val="24"/>
          <w:szCs w:val="24"/>
          <w:u w:val="single"/>
        </w:rPr>
        <w:t>　　　　　</w:t>
      </w:r>
    </w:p>
    <w:p w14:paraId="547693BD">
      <w:pPr>
        <w:spacing w:line="360" w:lineRule="auto"/>
        <w:ind w:right="480"/>
        <w:contextualSpacing/>
        <w:jc w:val="left"/>
        <w:rPr>
          <w:rFonts w:ascii="宋体" w:hAnsi="宋体" w:cs="宋体"/>
          <w:sz w:val="24"/>
          <w:szCs w:val="20"/>
        </w:rPr>
      </w:pPr>
      <w:r>
        <w:rPr>
          <w:rFonts w:hint="eastAsia" w:ascii="宋体" w:hAnsi="宋体" w:cs="宋体"/>
          <w:sz w:val="24"/>
        </w:rPr>
        <w:t xml:space="preserve">投标人（盖公章）： </w:t>
      </w:r>
      <w:r>
        <w:rPr>
          <w:rFonts w:hint="eastAsia" w:ascii="宋体" w:hAnsi="宋体" w:cs="宋体"/>
          <w:sz w:val="24"/>
          <w:u w:val="single"/>
        </w:rPr>
        <w:t xml:space="preserve">                </w:t>
      </w:r>
      <w:r>
        <w:rPr>
          <w:rFonts w:hint="eastAsia" w:ascii="宋体" w:hAnsi="宋体" w:cs="宋体"/>
          <w:sz w:val="24"/>
        </w:rPr>
        <w:t xml:space="preserve">                                                              年    月    日</w:t>
      </w:r>
    </w:p>
    <w:p w14:paraId="31B9E9E4">
      <w:pPr>
        <w:spacing w:before="50"/>
        <w:ind w:firstLine="480" w:firstLineChars="200"/>
        <w:jc w:val="left"/>
        <w:rPr>
          <w:rFonts w:ascii="宋体" w:hAnsi="宋体" w:cs="宋体"/>
          <w:sz w:val="24"/>
          <w:szCs w:val="20"/>
        </w:rPr>
      </w:pPr>
    </w:p>
    <w:p w14:paraId="2D64BCB2">
      <w:pPr>
        <w:spacing w:before="50"/>
        <w:jc w:val="left"/>
        <w:rPr>
          <w:rFonts w:ascii="宋体" w:hAnsi="宋体" w:cs="宋体"/>
          <w:sz w:val="24"/>
        </w:rPr>
      </w:pPr>
    </w:p>
    <w:p w14:paraId="16714CAA">
      <w:pPr>
        <w:spacing w:before="120"/>
        <w:rPr>
          <w:rFonts w:ascii="宋体" w:hAnsi="宋体" w:cs="宋体"/>
          <w:sz w:val="24"/>
          <w:szCs w:val="20"/>
        </w:rPr>
      </w:pPr>
    </w:p>
    <w:p w14:paraId="39B67A68">
      <w:pPr>
        <w:spacing w:before="120"/>
        <w:rPr>
          <w:rFonts w:ascii="宋体" w:hAnsi="宋体" w:cs="宋体"/>
          <w:sz w:val="24"/>
          <w:szCs w:val="20"/>
        </w:rPr>
      </w:pPr>
    </w:p>
    <w:p w14:paraId="3405B578">
      <w:pPr>
        <w:spacing w:before="120"/>
        <w:rPr>
          <w:rFonts w:hint="default" w:ascii="宋体" w:hAnsi="宋体" w:eastAsia="宋体" w:cs="宋体"/>
          <w:b/>
          <w:bCs/>
          <w:sz w:val="24"/>
          <w:szCs w:val="20"/>
          <w:lang w:val="en-US" w:eastAsia="zh-CN"/>
        </w:rPr>
        <w:sectPr>
          <w:headerReference r:id="rId25" w:type="default"/>
          <w:footerReference r:id="rId26" w:type="default"/>
          <w:pgSz w:w="11905" w:h="16838"/>
          <w:pgMar w:top="1440" w:right="1134" w:bottom="1440" w:left="1134" w:header="0" w:footer="720" w:gutter="0"/>
          <w:pgNumType w:fmt="decimal"/>
          <w:cols w:space="0" w:num="1"/>
          <w:rtlGutter w:val="0"/>
          <w:docGrid w:linePitch="312" w:charSpace="0"/>
        </w:sectPr>
      </w:pPr>
      <w:r>
        <w:rPr>
          <w:rFonts w:hint="eastAsia" w:ascii="宋体" w:hAnsi="宋体" w:cs="宋体"/>
          <w:b/>
          <w:bCs/>
          <w:sz w:val="24"/>
          <w:szCs w:val="20"/>
          <w:lang w:val="en-US" w:eastAsia="zh-CN"/>
        </w:rPr>
        <w:t>8.</w:t>
      </w:r>
      <w:r>
        <w:rPr>
          <w:rFonts w:hint="eastAsia" w:ascii="宋体" w:hAnsi="宋体" w:cs="宋体"/>
          <w:b/>
          <w:bCs/>
          <w:sz w:val="24"/>
          <w:szCs w:val="24"/>
        </w:rPr>
        <w:t>除招标文件规定必须提供以外，投标人认为需要提供的其他证明材料（格式自拟）。</w:t>
      </w:r>
    </w:p>
    <w:p w14:paraId="08BD8318">
      <w:pPr>
        <w:outlineLvl w:val="1"/>
        <w:rPr>
          <w:rFonts w:ascii="宋体" w:hAnsi="宋体" w:cs="宋体"/>
          <w:b/>
          <w:sz w:val="28"/>
          <w:szCs w:val="28"/>
        </w:rPr>
      </w:pPr>
      <w:bookmarkStart w:id="311" w:name="_Toc2540"/>
      <w:bookmarkStart w:id="312" w:name="_Toc3194"/>
      <w:r>
        <w:rPr>
          <w:rFonts w:hint="eastAsia" w:ascii="宋体" w:hAnsi="宋体" w:cs="宋体"/>
          <w:b/>
          <w:sz w:val="28"/>
          <w:szCs w:val="28"/>
        </w:rPr>
        <w:t>四、技术文件格式</w:t>
      </w:r>
      <w:bookmarkEnd w:id="311"/>
      <w:bookmarkEnd w:id="312"/>
    </w:p>
    <w:p w14:paraId="0304DCC0">
      <w:pPr>
        <w:spacing w:before="120" w:after="50"/>
        <w:ind w:left="142"/>
        <w:jc w:val="left"/>
        <w:rPr>
          <w:rFonts w:ascii="宋体" w:hAnsi="宋体" w:cs="宋体"/>
          <w:b/>
          <w:sz w:val="24"/>
        </w:rPr>
      </w:pPr>
      <w:r>
        <w:rPr>
          <w:rFonts w:hint="eastAsia" w:ascii="宋体" w:hAnsi="宋体" w:cs="宋体"/>
          <w:b/>
          <w:sz w:val="24"/>
        </w:rPr>
        <w:t xml:space="preserve">1. 技术文件封面格式： </w:t>
      </w:r>
    </w:p>
    <w:p w14:paraId="3AA66974">
      <w:pPr>
        <w:spacing w:before="120" w:after="50"/>
        <w:rPr>
          <w:rFonts w:ascii="宋体" w:hAnsi="宋体" w:cs="宋体"/>
          <w:b/>
          <w:bCs/>
          <w:sz w:val="32"/>
          <w:szCs w:val="20"/>
        </w:rPr>
      </w:pPr>
      <w:r>
        <w:rPr>
          <w:rFonts w:hint="eastAsia" w:ascii="宋体" w:hAnsi="宋体" w:cs="宋体"/>
          <w:sz w:val="24"/>
        </w:rPr>
        <w:t xml:space="preserve">                                                   </w:t>
      </w:r>
    </w:p>
    <w:p w14:paraId="3583E227">
      <w:pPr>
        <w:spacing w:before="120" w:after="50"/>
        <w:rPr>
          <w:rFonts w:ascii="宋体" w:hAnsi="宋体" w:cs="宋体"/>
          <w:sz w:val="24"/>
          <w:szCs w:val="20"/>
        </w:rPr>
      </w:pPr>
    </w:p>
    <w:p w14:paraId="02C4645E">
      <w:pPr>
        <w:spacing w:before="120" w:after="50"/>
        <w:rPr>
          <w:rFonts w:ascii="宋体" w:hAnsi="宋体" w:cs="宋体"/>
          <w:sz w:val="24"/>
          <w:szCs w:val="20"/>
        </w:rPr>
      </w:pPr>
    </w:p>
    <w:p w14:paraId="3527210F">
      <w:pPr>
        <w:spacing w:before="120" w:after="50"/>
        <w:jc w:val="center"/>
        <w:rPr>
          <w:rFonts w:ascii="宋体" w:hAnsi="宋体" w:cs="宋体"/>
          <w:sz w:val="84"/>
          <w:szCs w:val="84"/>
        </w:rPr>
      </w:pPr>
      <w:r>
        <w:rPr>
          <w:rFonts w:hint="eastAsia" w:ascii="宋体" w:hAnsi="宋体" w:cs="宋体"/>
          <w:sz w:val="84"/>
          <w:szCs w:val="84"/>
        </w:rPr>
        <w:t>投  标  文  件</w:t>
      </w:r>
    </w:p>
    <w:p w14:paraId="7DD04396">
      <w:pPr>
        <w:spacing w:before="120" w:after="50"/>
        <w:rPr>
          <w:rFonts w:ascii="宋体" w:hAnsi="宋体" w:cs="宋体"/>
          <w:sz w:val="24"/>
          <w:szCs w:val="20"/>
        </w:rPr>
      </w:pPr>
    </w:p>
    <w:p w14:paraId="0C67B72E">
      <w:pPr>
        <w:spacing w:before="120" w:after="50"/>
        <w:rPr>
          <w:rFonts w:ascii="宋体" w:hAnsi="宋体" w:cs="宋体"/>
          <w:sz w:val="24"/>
          <w:szCs w:val="20"/>
        </w:rPr>
      </w:pPr>
    </w:p>
    <w:p w14:paraId="43641FE2">
      <w:pPr>
        <w:spacing w:before="120" w:after="50"/>
        <w:jc w:val="center"/>
        <w:outlineLvl w:val="1"/>
        <w:rPr>
          <w:rFonts w:ascii="宋体" w:hAnsi="宋体" w:cs="宋体"/>
          <w:b/>
          <w:bCs/>
          <w:sz w:val="32"/>
          <w:szCs w:val="32"/>
        </w:rPr>
      </w:pPr>
      <w:bookmarkStart w:id="313" w:name="_Toc787"/>
      <w:bookmarkStart w:id="314" w:name="_Toc25089"/>
      <w:bookmarkStart w:id="315" w:name="_Toc14456"/>
      <w:r>
        <w:rPr>
          <w:rFonts w:hint="eastAsia" w:ascii="宋体" w:hAnsi="宋体" w:cs="宋体"/>
          <w:b/>
          <w:bCs/>
          <w:sz w:val="32"/>
          <w:szCs w:val="32"/>
        </w:rPr>
        <w:t>技  术  文  件</w:t>
      </w:r>
      <w:bookmarkEnd w:id="313"/>
      <w:bookmarkEnd w:id="314"/>
      <w:bookmarkEnd w:id="315"/>
    </w:p>
    <w:p w14:paraId="55E32428">
      <w:pPr>
        <w:spacing w:before="120" w:after="50"/>
        <w:rPr>
          <w:rFonts w:ascii="宋体" w:hAnsi="宋体" w:cs="宋体"/>
          <w:bCs/>
          <w:sz w:val="24"/>
          <w:szCs w:val="20"/>
        </w:rPr>
      </w:pPr>
    </w:p>
    <w:p w14:paraId="078EF544">
      <w:pPr>
        <w:spacing w:before="120" w:after="50"/>
        <w:rPr>
          <w:rFonts w:ascii="宋体" w:hAnsi="宋体" w:cs="宋体"/>
          <w:bCs/>
          <w:sz w:val="24"/>
          <w:szCs w:val="20"/>
        </w:rPr>
      </w:pPr>
    </w:p>
    <w:p w14:paraId="36BED6FC">
      <w:pPr>
        <w:spacing w:before="120" w:after="50" w:line="400" w:lineRule="exact"/>
        <w:ind w:firstLine="360" w:firstLineChars="150"/>
        <w:rPr>
          <w:rFonts w:ascii="宋体" w:hAnsi="宋体" w:cs="宋体"/>
          <w:bCs/>
          <w:sz w:val="24"/>
        </w:rPr>
      </w:pPr>
      <w:r>
        <w:rPr>
          <w:rFonts w:hint="eastAsia" w:ascii="宋体" w:hAnsi="宋体" w:cs="宋体"/>
          <w:bCs/>
          <w:sz w:val="24"/>
        </w:rPr>
        <w:t xml:space="preserve">项目名称： </w:t>
      </w:r>
    </w:p>
    <w:p w14:paraId="6671D93A">
      <w:pPr>
        <w:spacing w:before="120" w:after="50" w:line="400" w:lineRule="exact"/>
        <w:ind w:firstLine="360" w:firstLineChars="150"/>
        <w:rPr>
          <w:rFonts w:ascii="宋体" w:hAnsi="宋体" w:cs="宋体"/>
          <w:bCs/>
          <w:sz w:val="24"/>
          <w:szCs w:val="20"/>
        </w:rPr>
      </w:pPr>
    </w:p>
    <w:p w14:paraId="346E91AE">
      <w:pPr>
        <w:spacing w:before="120" w:after="50" w:line="400" w:lineRule="exact"/>
        <w:ind w:firstLine="360" w:firstLineChars="150"/>
        <w:rPr>
          <w:rFonts w:ascii="宋体" w:hAnsi="宋体" w:cs="宋体"/>
          <w:bCs/>
          <w:sz w:val="24"/>
        </w:rPr>
      </w:pPr>
      <w:r>
        <w:rPr>
          <w:rFonts w:hint="eastAsia" w:ascii="宋体" w:hAnsi="宋体" w:cs="宋体"/>
          <w:bCs/>
          <w:sz w:val="24"/>
        </w:rPr>
        <w:t xml:space="preserve">项目编号： </w:t>
      </w:r>
    </w:p>
    <w:p w14:paraId="56DB87D7">
      <w:pPr>
        <w:spacing w:before="120" w:after="50" w:line="400" w:lineRule="exact"/>
        <w:ind w:firstLine="360" w:firstLineChars="150"/>
        <w:rPr>
          <w:rFonts w:ascii="宋体" w:hAnsi="宋体" w:cs="宋体"/>
          <w:bCs/>
          <w:sz w:val="24"/>
        </w:rPr>
      </w:pPr>
    </w:p>
    <w:p w14:paraId="1D76788B">
      <w:pPr>
        <w:spacing w:before="120" w:after="50" w:line="400" w:lineRule="exact"/>
        <w:ind w:firstLine="360" w:firstLineChars="150"/>
        <w:rPr>
          <w:rFonts w:ascii="宋体" w:hAnsi="宋体" w:cs="宋体"/>
          <w:bCs/>
          <w:sz w:val="24"/>
        </w:rPr>
      </w:pPr>
      <w:r>
        <w:rPr>
          <w:rFonts w:hint="eastAsia" w:ascii="宋体" w:hAnsi="宋体" w:cs="宋体"/>
          <w:bCs/>
          <w:sz w:val="24"/>
        </w:rPr>
        <w:t>投标人名称：</w:t>
      </w:r>
    </w:p>
    <w:p w14:paraId="3BEF3FA4">
      <w:pPr>
        <w:spacing w:before="120" w:after="50" w:line="400" w:lineRule="exact"/>
        <w:ind w:firstLine="360" w:firstLineChars="150"/>
        <w:rPr>
          <w:rFonts w:ascii="宋体" w:hAnsi="宋体" w:cs="宋体"/>
          <w:bCs/>
          <w:sz w:val="24"/>
        </w:rPr>
      </w:pPr>
    </w:p>
    <w:p w14:paraId="38D84D61">
      <w:pPr>
        <w:spacing w:before="120" w:after="50" w:line="400" w:lineRule="exact"/>
        <w:ind w:firstLine="360" w:firstLineChars="150"/>
        <w:rPr>
          <w:rFonts w:ascii="宋体" w:hAnsi="宋体" w:cs="宋体"/>
          <w:bCs/>
          <w:sz w:val="24"/>
        </w:rPr>
      </w:pPr>
    </w:p>
    <w:p w14:paraId="4FBABCBA">
      <w:pPr>
        <w:spacing w:before="120" w:after="50"/>
        <w:ind w:firstLine="645"/>
        <w:jc w:val="center"/>
        <w:rPr>
          <w:rFonts w:ascii="宋体" w:hAnsi="宋体" w:cs="宋体"/>
          <w:sz w:val="24"/>
        </w:rPr>
      </w:pPr>
      <w:r>
        <w:rPr>
          <w:rFonts w:hint="eastAsia" w:ascii="宋体" w:hAnsi="宋体" w:cs="宋体"/>
          <w:sz w:val="24"/>
        </w:rPr>
        <w:t xml:space="preserve">               </w:t>
      </w:r>
    </w:p>
    <w:p w14:paraId="058D27AA">
      <w:pPr>
        <w:spacing w:before="120" w:after="50"/>
        <w:ind w:firstLine="645"/>
        <w:jc w:val="center"/>
        <w:rPr>
          <w:rFonts w:ascii="宋体" w:hAnsi="宋体" w:cs="宋体"/>
          <w:sz w:val="24"/>
        </w:rPr>
      </w:pPr>
    </w:p>
    <w:p w14:paraId="66C0A47D">
      <w:pPr>
        <w:spacing w:before="120" w:after="50"/>
        <w:ind w:firstLine="645"/>
        <w:jc w:val="center"/>
        <w:rPr>
          <w:rFonts w:ascii="宋体" w:hAnsi="宋体" w:cs="宋体"/>
          <w:sz w:val="24"/>
        </w:rPr>
      </w:pPr>
      <w:r>
        <w:rPr>
          <w:rFonts w:hint="eastAsia" w:ascii="宋体" w:hAnsi="宋体" w:cs="宋体"/>
          <w:sz w:val="24"/>
        </w:rPr>
        <w:t>年    月    日</w:t>
      </w:r>
    </w:p>
    <w:p w14:paraId="7355EED7">
      <w:pPr>
        <w:spacing w:before="120" w:after="50"/>
        <w:ind w:firstLine="645"/>
        <w:jc w:val="center"/>
        <w:rPr>
          <w:rFonts w:ascii="宋体" w:hAnsi="宋体" w:cs="宋体"/>
          <w:sz w:val="24"/>
          <w:szCs w:val="20"/>
        </w:rPr>
      </w:pPr>
    </w:p>
    <w:p w14:paraId="64E5E12B">
      <w:pPr>
        <w:spacing w:before="120" w:after="50"/>
        <w:ind w:left="142"/>
        <w:jc w:val="center"/>
        <w:rPr>
          <w:rFonts w:ascii="宋体" w:hAnsi="宋体" w:cs="宋体"/>
          <w:b/>
          <w:bCs/>
          <w:sz w:val="24"/>
        </w:rPr>
      </w:pPr>
      <w:r>
        <w:rPr>
          <w:rFonts w:hint="eastAsia" w:ascii="宋体" w:hAnsi="宋体" w:cs="宋体"/>
          <w:b/>
          <w:bCs/>
          <w:sz w:val="24"/>
        </w:rPr>
        <w:br w:type="page"/>
      </w:r>
      <w:r>
        <w:rPr>
          <w:rFonts w:hint="eastAsia" w:ascii="宋体" w:hAnsi="宋体" w:cs="宋体"/>
          <w:b/>
          <w:bCs/>
          <w:sz w:val="24"/>
        </w:rPr>
        <w:t>技术文件目录</w:t>
      </w:r>
    </w:p>
    <w:p w14:paraId="7FB9289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bCs/>
          <w:sz w:val="24"/>
          <w:szCs w:val="24"/>
        </w:rPr>
      </w:pPr>
      <w:r>
        <w:rPr>
          <w:rFonts w:hint="eastAsia" w:ascii="宋体" w:hAnsi="宋体" w:cs="宋体"/>
          <w:sz w:val="24"/>
          <w:szCs w:val="24"/>
        </w:rPr>
        <w:t>1、</w:t>
      </w:r>
      <w:r>
        <w:rPr>
          <w:rFonts w:hint="eastAsia" w:ascii="宋体" w:hAnsi="宋体" w:eastAsia="宋体" w:cs="宋体"/>
          <w:sz w:val="24"/>
          <w:szCs w:val="24"/>
          <w:lang w:val="en-US" w:eastAsia="zh-CN"/>
        </w:rPr>
        <w:t>主要技术需求和服务要求</w:t>
      </w:r>
      <w:r>
        <w:rPr>
          <w:rFonts w:hint="eastAsia" w:ascii="宋体" w:hAnsi="宋体" w:cs="宋体"/>
          <w:sz w:val="24"/>
          <w:szCs w:val="24"/>
        </w:rPr>
        <w:t>偏离表（格式后附）；</w:t>
      </w:r>
      <w:r>
        <w:rPr>
          <w:rFonts w:hint="eastAsia" w:ascii="宋体" w:hAnsi="宋体" w:cs="宋体"/>
          <w:b/>
          <w:bCs/>
          <w:sz w:val="24"/>
          <w:szCs w:val="24"/>
        </w:rPr>
        <w:t>（必须提供，否则按无效投标处理）</w:t>
      </w:r>
    </w:p>
    <w:p w14:paraId="00FFB552">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b/>
          <w:bCs/>
          <w:sz w:val="24"/>
          <w:szCs w:val="24"/>
        </w:rPr>
      </w:pPr>
      <w:r>
        <w:rPr>
          <w:rFonts w:hint="eastAsia" w:ascii="宋体" w:hAnsi="宋体" w:cs="宋体"/>
          <w:sz w:val="24"/>
          <w:szCs w:val="24"/>
        </w:rPr>
        <w:t>2、农民工工资保证金承诺书（格式附后）；</w:t>
      </w:r>
      <w:r>
        <w:rPr>
          <w:rFonts w:hint="eastAsia" w:ascii="宋体" w:hAnsi="宋体" w:cs="宋体"/>
          <w:b/>
          <w:bCs/>
          <w:sz w:val="24"/>
          <w:szCs w:val="24"/>
        </w:rPr>
        <w:t>（必须提供，投标人必须按投标文件格式“农民工工资保证金承诺书”对农民工工资保障金的问题作出承诺，承诺内容与承诺书格式内容不符或者未作承诺的，作否决投标处理）</w:t>
      </w:r>
    </w:p>
    <w:p w14:paraId="2488A7A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3、关于投标人中标后优先使用本地农民工的承诺函（格式自拟）；</w:t>
      </w:r>
      <w:r>
        <w:rPr>
          <w:rFonts w:hint="eastAsia" w:ascii="宋体" w:hAnsi="宋体" w:cs="宋体"/>
          <w:b/>
          <w:bCs/>
          <w:sz w:val="24"/>
          <w:szCs w:val="24"/>
        </w:rPr>
        <w:t>（必须提供，否则按无效投标处理）</w:t>
      </w:r>
      <w:r>
        <w:rPr>
          <w:rFonts w:hint="eastAsia" w:ascii="宋体" w:hAnsi="宋体" w:cs="宋体"/>
          <w:sz w:val="24"/>
          <w:szCs w:val="24"/>
        </w:rPr>
        <w:t>（为响应国家富农、强农、惠农、兴农、助农及“乡村振兴”等，推动农村富余劳动力转移就业，增加当地农民劳务收入，改善当地农民经济生活，中标人须承诺中标后现场养护工人在同等基础条件下优先使用本地农民工，未作承诺的，作否决投标处理。）</w:t>
      </w:r>
    </w:p>
    <w:p w14:paraId="68039EF8">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4、投入</w:t>
      </w:r>
      <w:r>
        <w:rPr>
          <w:rFonts w:hint="eastAsia" w:ascii="宋体"/>
          <w:sz w:val="24"/>
          <w:szCs w:val="24"/>
        </w:rPr>
        <w:t>主要机械设备和试验检测设备承诺函；</w:t>
      </w:r>
      <w:r>
        <w:rPr>
          <w:rFonts w:hint="eastAsia" w:ascii="宋体" w:hAnsi="宋体" w:cs="宋体"/>
          <w:b/>
          <w:bCs/>
          <w:sz w:val="24"/>
          <w:szCs w:val="24"/>
        </w:rPr>
        <w:t>（必须提供，否则按无效投标处理）</w:t>
      </w:r>
      <w:r>
        <w:rPr>
          <w:rFonts w:hint="eastAsia" w:ascii="宋体" w:hAnsi="宋体" w:cs="宋体"/>
          <w:sz w:val="24"/>
          <w:szCs w:val="24"/>
        </w:rPr>
        <w:t>（投标人应按公开招标文件采购需求人员及设备要求提供承诺函予以响应，未作承诺的，作否决投标处理。）</w:t>
      </w:r>
    </w:p>
    <w:p w14:paraId="74164D9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5、服务方案（格式自拟）；</w:t>
      </w:r>
    </w:p>
    <w:p w14:paraId="0CF1675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color w:val="FF0000"/>
          <w:sz w:val="24"/>
          <w:szCs w:val="24"/>
        </w:rPr>
      </w:pPr>
      <w:r>
        <w:rPr>
          <w:rFonts w:hint="eastAsia" w:ascii="宋体" w:hAnsi="宋体" w:cs="宋体"/>
          <w:sz w:val="24"/>
          <w:szCs w:val="24"/>
        </w:rPr>
        <w:t>6、项目实施人员一览表（格式附</w:t>
      </w:r>
      <w:r>
        <w:rPr>
          <w:rFonts w:hint="eastAsia" w:ascii="宋体" w:hAnsi="宋体" w:eastAsia="宋体" w:cs="宋体"/>
          <w:sz w:val="24"/>
          <w:szCs w:val="24"/>
          <w:lang w:val="en-US" w:eastAsia="zh-CN"/>
        </w:rPr>
        <w:t>后</w:t>
      </w:r>
      <w:r>
        <w:rPr>
          <w:rFonts w:hint="eastAsia" w:ascii="宋体" w:hAnsi="宋体" w:cs="宋体"/>
          <w:sz w:val="24"/>
          <w:szCs w:val="24"/>
        </w:rPr>
        <w:t>，投标人</w:t>
      </w:r>
      <w:r>
        <w:rPr>
          <w:rFonts w:hint="eastAsia" w:ascii="宋体" w:hAnsi="宋体" w:cs="宋体"/>
          <w:sz w:val="24"/>
          <w:szCs w:val="24"/>
          <w:highlight w:val="none"/>
        </w:rPr>
        <w:t>应</w:t>
      </w:r>
      <w:r>
        <w:rPr>
          <w:rFonts w:hint="eastAsia" w:ascii="宋体" w:hAnsi="宋体" w:eastAsia="宋体" w:cs="宋体"/>
          <w:sz w:val="24"/>
          <w:szCs w:val="24"/>
          <w:highlight w:val="none"/>
          <w:lang w:val="en-US" w:eastAsia="zh-CN"/>
        </w:rPr>
        <w:t>满足</w:t>
      </w:r>
      <w:r>
        <w:rPr>
          <w:rFonts w:hint="eastAsia" w:ascii="宋体" w:hAnsi="宋体" w:cs="宋体"/>
          <w:sz w:val="24"/>
          <w:szCs w:val="24"/>
          <w:highlight w:val="none"/>
        </w:rPr>
        <w:t>公开招标文件采购需求</w:t>
      </w:r>
      <w:r>
        <w:rPr>
          <w:rFonts w:hint="eastAsia" w:ascii="宋体" w:hAnsi="宋体" w:eastAsia="宋体" w:cs="宋体"/>
          <w:sz w:val="24"/>
          <w:szCs w:val="24"/>
          <w:highlight w:val="none"/>
          <w:lang w:val="en-US" w:eastAsia="zh-CN"/>
        </w:rPr>
        <w:t>中</w:t>
      </w:r>
      <w:r>
        <w:rPr>
          <w:rFonts w:hint="eastAsia" w:ascii="宋体"/>
          <w:sz w:val="24"/>
          <w:szCs w:val="24"/>
          <w:highlight w:val="none"/>
        </w:rPr>
        <w:t>主要管理</w:t>
      </w:r>
      <w:r>
        <w:rPr>
          <w:rFonts w:hint="eastAsia" w:ascii="宋体" w:eastAsia="宋体"/>
          <w:sz w:val="24"/>
          <w:szCs w:val="24"/>
          <w:highlight w:val="none"/>
          <w:lang w:val="en-US" w:eastAsia="zh-CN"/>
        </w:rPr>
        <w:t>人员</w:t>
      </w:r>
      <w:r>
        <w:rPr>
          <w:rFonts w:hint="eastAsia" w:ascii="宋体"/>
          <w:sz w:val="24"/>
          <w:szCs w:val="24"/>
          <w:highlight w:val="none"/>
        </w:rPr>
        <w:t>和技术人员</w:t>
      </w:r>
      <w:r>
        <w:rPr>
          <w:rFonts w:hint="eastAsia" w:ascii="宋体" w:eastAsia="宋体"/>
          <w:sz w:val="24"/>
          <w:szCs w:val="24"/>
          <w:highlight w:val="none"/>
          <w:lang w:val="en-US" w:eastAsia="zh-CN"/>
        </w:rPr>
        <w:t>配置</w:t>
      </w:r>
      <w:r>
        <w:rPr>
          <w:rFonts w:hint="eastAsia" w:ascii="宋体"/>
          <w:sz w:val="24"/>
          <w:szCs w:val="24"/>
          <w:highlight w:val="none"/>
        </w:rPr>
        <w:t>最低要求，</w:t>
      </w:r>
      <w:r>
        <w:rPr>
          <w:rFonts w:hint="eastAsia" w:ascii="宋体" w:hAnsi="宋体" w:cs="宋体"/>
          <w:b/>
          <w:bCs/>
          <w:sz w:val="24"/>
          <w:szCs w:val="24"/>
        </w:rPr>
        <w:t>必须提供，否则按无效投标处理</w:t>
      </w:r>
      <w:r>
        <w:rPr>
          <w:rFonts w:hint="eastAsia" w:ascii="宋体" w:hAnsi="宋体" w:cs="宋体"/>
          <w:sz w:val="24"/>
          <w:szCs w:val="24"/>
        </w:rPr>
        <w:t>）；</w:t>
      </w:r>
      <w:r>
        <w:rPr>
          <w:rFonts w:hint="eastAsia" w:ascii="宋体" w:hAnsi="宋体" w:cs="宋体"/>
          <w:color w:val="FF0000"/>
          <w:sz w:val="24"/>
          <w:szCs w:val="24"/>
        </w:rPr>
        <w:t xml:space="preserve"> </w:t>
      </w:r>
    </w:p>
    <w:p w14:paraId="44066F63">
      <w:pPr>
        <w:pStyle w:val="29"/>
        <w:keepNext w:val="0"/>
        <w:keepLines w:val="0"/>
        <w:pageBreakBefore w:val="0"/>
        <w:widowControl w:val="0"/>
        <w:kinsoku/>
        <w:wordWrap w:val="0"/>
        <w:overflowPunct/>
        <w:topLinePunct w:val="0"/>
        <w:autoSpaceDE w:val="0"/>
        <w:autoSpaceDN w:val="0"/>
        <w:bidi w:val="0"/>
        <w:adjustRightInd w:val="0"/>
        <w:snapToGrid w:val="0"/>
        <w:spacing w:line="360" w:lineRule="auto"/>
        <w:ind w:right="0"/>
        <w:textAlignment w:val="baseline"/>
        <w:rPr>
          <w:rFonts w:ascii="宋体" w:hAnsi="宋体" w:cs="宋体"/>
          <w:sz w:val="24"/>
          <w:szCs w:val="24"/>
        </w:rPr>
      </w:pPr>
      <w:r>
        <w:rPr>
          <w:rFonts w:hint="eastAsia" w:ascii="宋体" w:hAnsi="宋体" w:cs="宋体"/>
          <w:sz w:val="24"/>
          <w:szCs w:val="24"/>
        </w:rPr>
        <w:t>7、投入满足应急抢险需要的人员承诺函</w:t>
      </w:r>
      <w:r>
        <w:rPr>
          <w:rFonts w:hint="eastAsia" w:ascii="宋体"/>
          <w:sz w:val="24"/>
          <w:szCs w:val="24"/>
        </w:rPr>
        <w:t>（格式自拟）；</w:t>
      </w:r>
      <w:r>
        <w:rPr>
          <w:rFonts w:hint="eastAsia" w:ascii="宋体" w:hAnsi="宋体" w:cs="宋体"/>
          <w:b/>
          <w:bCs/>
          <w:sz w:val="24"/>
          <w:szCs w:val="24"/>
        </w:rPr>
        <w:t>（必须提供，否则按无效投标处理）</w:t>
      </w:r>
      <w:r>
        <w:rPr>
          <w:rFonts w:hint="eastAsia" w:ascii="宋体" w:hAnsi="宋体" w:cs="宋体"/>
          <w:sz w:val="24"/>
          <w:szCs w:val="24"/>
        </w:rPr>
        <w:t>（投标人应按公开招标文件第二章采购需求中的</w:t>
      </w:r>
      <w:r>
        <w:rPr>
          <w:rFonts w:hint="eastAsia" w:cs="宋体"/>
          <w:sz w:val="24"/>
          <w:szCs w:val="24"/>
          <w:lang w:eastAsia="zh-CN"/>
        </w:rPr>
        <w:t>“</w:t>
      </w:r>
      <w:r>
        <w:rPr>
          <w:rFonts w:hint="eastAsia" w:ascii="宋体" w:hAnsi="宋体" w:eastAsia="宋体" w:cs="宋体"/>
          <w:b/>
          <w:bCs/>
          <w:spacing w:val="0"/>
          <w:w w:val="100"/>
          <w:position w:val="0"/>
          <w:sz w:val="24"/>
          <w:szCs w:val="24"/>
        </w:rPr>
        <w:t>三、服务</w:t>
      </w:r>
      <w:r>
        <w:rPr>
          <w:rFonts w:hint="eastAsia" w:ascii="宋体" w:hAnsi="宋体" w:eastAsia="宋体" w:cs="宋体"/>
          <w:b/>
          <w:bCs/>
          <w:spacing w:val="0"/>
          <w:w w:val="100"/>
          <w:position w:val="0"/>
          <w:sz w:val="24"/>
          <w:szCs w:val="24"/>
          <w:lang w:val="en-US" w:eastAsia="zh-CN"/>
        </w:rPr>
        <w:t>内容</w:t>
      </w:r>
      <w:r>
        <w:rPr>
          <w:rFonts w:hint="eastAsia" w:ascii="宋体" w:hAnsi="宋体" w:eastAsia="宋体" w:cs="宋体"/>
          <w:b/>
          <w:bCs/>
          <w:spacing w:val="0"/>
          <w:w w:val="100"/>
          <w:position w:val="0"/>
          <w:sz w:val="24"/>
          <w:szCs w:val="24"/>
        </w:rPr>
        <w:t>要求和技术需求</w:t>
      </w:r>
      <w:r>
        <w:rPr>
          <w:rFonts w:hint="eastAsia" w:ascii="宋体" w:hAnsi="宋体" w:eastAsia="宋体" w:cs="宋体"/>
          <w:b/>
          <w:bCs/>
          <w:spacing w:val="0"/>
          <w:w w:val="100"/>
          <w:position w:val="0"/>
          <w:sz w:val="24"/>
          <w:szCs w:val="24"/>
          <w:lang w:eastAsia="zh-CN"/>
        </w:rPr>
        <w:t>”第</w:t>
      </w:r>
      <w:r>
        <w:rPr>
          <w:rFonts w:hint="eastAsia" w:ascii="宋体" w:hAnsi="宋体" w:eastAsia="宋体" w:cs="宋体"/>
          <w:b/>
          <w:bCs/>
          <w:spacing w:val="0"/>
          <w:w w:val="100"/>
          <w:position w:val="0"/>
          <w:sz w:val="24"/>
          <w:szCs w:val="24"/>
          <w:lang w:val="en-US" w:eastAsia="zh-CN"/>
        </w:rPr>
        <w:t>2点</w:t>
      </w:r>
      <w:r>
        <w:rPr>
          <w:rFonts w:hint="eastAsia" w:ascii="宋体" w:hAnsi="宋体" w:cs="宋体"/>
          <w:sz w:val="24"/>
          <w:szCs w:val="24"/>
        </w:rPr>
        <w:t>应急抢险要求</w:t>
      </w:r>
      <w:r>
        <w:rPr>
          <w:rFonts w:hint="eastAsia" w:cs="宋体"/>
          <w:sz w:val="24"/>
          <w:szCs w:val="24"/>
          <w:lang w:eastAsia="zh-CN"/>
        </w:rPr>
        <w:t>：</w:t>
      </w:r>
      <w:r>
        <w:rPr>
          <w:rFonts w:hint="eastAsia" w:ascii="宋体" w:hAnsi="宋体" w:cs="宋体"/>
          <w:sz w:val="24"/>
          <w:szCs w:val="24"/>
        </w:rPr>
        <w:t>提供承诺函予以响应，未作承诺的，作否决投标处理。）</w:t>
      </w:r>
    </w:p>
    <w:p w14:paraId="1413541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ascii="宋体" w:hAnsi="宋体" w:cs="宋体"/>
          <w:sz w:val="24"/>
          <w:szCs w:val="24"/>
        </w:rPr>
      </w:pPr>
      <w:r>
        <w:rPr>
          <w:rFonts w:hint="eastAsia" w:ascii="宋体" w:hAnsi="宋体" w:cs="宋体"/>
          <w:sz w:val="24"/>
          <w:szCs w:val="24"/>
        </w:rPr>
        <w:t>8、投标人对本项目的合理化建议和改进措施（格式自拟）；</w:t>
      </w:r>
    </w:p>
    <w:p w14:paraId="25436EF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baseline"/>
        <w:rPr>
          <w:rFonts w:hint="eastAsia" w:ascii="宋体" w:hAnsi="宋体" w:cs="宋体"/>
          <w:sz w:val="24"/>
          <w:szCs w:val="24"/>
        </w:rPr>
      </w:pPr>
      <w:r>
        <w:rPr>
          <w:rFonts w:hint="eastAsia" w:ascii="宋体" w:hAnsi="宋体" w:cs="宋体"/>
          <w:sz w:val="24"/>
          <w:szCs w:val="24"/>
        </w:rPr>
        <w:t>9、除招标文件规定必须提供以外，投标人需要说明的其他文件和说明（格式自拟）。</w:t>
      </w:r>
    </w:p>
    <w:p w14:paraId="3CE2F9CE">
      <w:pPr>
        <w:spacing w:before="50" w:after="120" w:line="360" w:lineRule="auto"/>
        <w:ind w:firstLine="480" w:firstLineChars="200"/>
        <w:jc w:val="left"/>
        <w:rPr>
          <w:rFonts w:ascii="宋体" w:hAnsi="宋体" w:cs="宋体"/>
          <w:sz w:val="24"/>
        </w:rPr>
      </w:pPr>
      <w:r>
        <w:rPr>
          <w:rFonts w:hint="eastAsia" w:ascii="宋体" w:hAnsi="宋体" w:cs="宋体"/>
          <w:b/>
          <w:bCs/>
          <w:sz w:val="24"/>
          <w:szCs w:val="24"/>
        </w:rPr>
        <w:t>注：以上标明“必须提供”的材料属于复印件的，必须加盖投标人公章，否则按无效投标</w:t>
      </w:r>
      <w:r>
        <w:rPr>
          <w:rFonts w:hint="eastAsia" w:ascii="宋体" w:hAnsi="宋体" w:cs="宋体"/>
          <w:b/>
          <w:sz w:val="24"/>
          <w:szCs w:val="24"/>
        </w:rPr>
        <w:t>处理</w:t>
      </w:r>
      <w:r>
        <w:rPr>
          <w:rFonts w:hint="eastAsia" w:ascii="宋体" w:hAnsi="宋体" w:cs="宋体"/>
          <w:b/>
          <w:bCs/>
          <w:sz w:val="24"/>
          <w:szCs w:val="24"/>
        </w:rPr>
        <w:t>。</w:t>
      </w:r>
    </w:p>
    <w:p w14:paraId="4B35F8A3">
      <w:pPr>
        <w:spacing w:before="120" w:after="50"/>
        <w:ind w:left="142"/>
        <w:jc w:val="left"/>
        <w:rPr>
          <w:rFonts w:ascii="宋体" w:hAnsi="宋体" w:cs="宋体"/>
          <w:b/>
          <w:sz w:val="24"/>
        </w:rPr>
      </w:pPr>
      <w:r>
        <w:rPr>
          <w:rFonts w:hint="eastAsia" w:ascii="宋体" w:hAnsi="宋体" w:cs="宋体"/>
          <w:b/>
          <w:sz w:val="24"/>
        </w:rPr>
        <w:br w:type="page"/>
      </w:r>
      <w:r>
        <w:rPr>
          <w:rFonts w:hint="eastAsia" w:ascii="宋体" w:hAnsi="宋体" w:cs="宋体"/>
          <w:b/>
          <w:sz w:val="24"/>
          <w:lang w:val="en-US" w:eastAsia="zh-CN"/>
        </w:rPr>
        <w:t>1</w:t>
      </w:r>
      <w:r>
        <w:rPr>
          <w:rFonts w:hint="eastAsia" w:ascii="宋体" w:hAnsi="宋体" w:cs="宋体"/>
          <w:b/>
          <w:sz w:val="24"/>
        </w:rPr>
        <w:t>. 主要技术需求和服务要求表格式</w:t>
      </w:r>
      <w:r>
        <w:rPr>
          <w:rFonts w:hint="eastAsia" w:ascii="宋体" w:hAnsi="宋体" w:cs="宋体"/>
          <w:b/>
          <w:bCs/>
          <w:sz w:val="24"/>
          <w:szCs w:val="24"/>
        </w:rPr>
        <w:t>（必须提供，否则按无效投标处理）</w:t>
      </w:r>
    </w:p>
    <w:p w14:paraId="6E935680">
      <w:pPr>
        <w:spacing w:before="120" w:after="50"/>
        <w:ind w:left="142"/>
        <w:jc w:val="left"/>
        <w:rPr>
          <w:rFonts w:ascii="宋体" w:hAnsi="宋体" w:cs="宋体"/>
          <w:b/>
          <w:sz w:val="24"/>
        </w:rPr>
      </w:pPr>
    </w:p>
    <w:p w14:paraId="23DD9B93">
      <w:pPr>
        <w:spacing w:before="120" w:after="50"/>
        <w:ind w:left="142"/>
        <w:jc w:val="center"/>
        <w:outlineLvl w:val="1"/>
        <w:rPr>
          <w:rFonts w:hint="eastAsia" w:ascii="宋体" w:hAnsi="宋体" w:eastAsia="宋体" w:cs="宋体"/>
          <w:b/>
          <w:sz w:val="32"/>
          <w:szCs w:val="32"/>
          <w:lang w:eastAsia="zh-CN"/>
        </w:rPr>
      </w:pPr>
      <w:bookmarkStart w:id="316" w:name="_Toc13461"/>
      <w:r>
        <w:rPr>
          <w:rFonts w:hint="eastAsia" w:ascii="宋体" w:hAnsi="宋体" w:cs="宋体"/>
          <w:b/>
          <w:sz w:val="32"/>
          <w:szCs w:val="32"/>
        </w:rPr>
        <w:t>主要技术需求和服务要求表</w:t>
      </w:r>
      <w:bookmarkEnd w:id="316"/>
    </w:p>
    <w:tbl>
      <w:tblPr>
        <w:tblStyle w:val="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74"/>
        <w:gridCol w:w="2344"/>
        <w:gridCol w:w="2120"/>
        <w:gridCol w:w="3723"/>
        <w:gridCol w:w="892"/>
      </w:tblGrid>
      <w:tr w14:paraId="44BE4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6" w:hRule="atLeast"/>
        </w:trPr>
        <w:tc>
          <w:tcPr>
            <w:tcW w:w="779" w:type="dxa"/>
            <w:noWrap w:val="0"/>
            <w:vAlign w:val="center"/>
          </w:tcPr>
          <w:p w14:paraId="448A9FB3">
            <w:pPr>
              <w:pStyle w:val="15"/>
              <w:spacing w:line="400" w:lineRule="exact"/>
              <w:jc w:val="center"/>
              <w:rPr>
                <w:rFonts w:hAnsi="宋体" w:cs="宋体"/>
                <w:kern w:val="2"/>
                <w:sz w:val="24"/>
                <w:szCs w:val="24"/>
                <w:lang w:eastAsia="zh-CN"/>
              </w:rPr>
            </w:pPr>
            <w:r>
              <w:rPr>
                <w:rFonts w:hint="eastAsia" w:hAnsi="宋体" w:cs="宋体"/>
                <w:kern w:val="2"/>
                <w:sz w:val="24"/>
                <w:szCs w:val="24"/>
                <w:lang w:eastAsia="zh-CN"/>
              </w:rPr>
              <w:t>项号</w:t>
            </w:r>
          </w:p>
        </w:tc>
        <w:tc>
          <w:tcPr>
            <w:tcW w:w="2370" w:type="dxa"/>
            <w:noWrap w:val="0"/>
            <w:vAlign w:val="center"/>
          </w:tcPr>
          <w:p w14:paraId="16D94EC4">
            <w:pPr>
              <w:pStyle w:val="15"/>
              <w:spacing w:line="400" w:lineRule="exact"/>
              <w:jc w:val="center"/>
              <w:rPr>
                <w:rFonts w:hAnsi="宋体" w:cs="宋体"/>
                <w:kern w:val="2"/>
                <w:sz w:val="24"/>
                <w:szCs w:val="24"/>
                <w:lang w:eastAsia="zh-CN"/>
              </w:rPr>
            </w:pPr>
            <w:r>
              <w:rPr>
                <w:rFonts w:hint="eastAsia" w:hAnsi="宋体" w:cs="宋体"/>
                <w:kern w:val="2"/>
                <w:sz w:val="24"/>
                <w:szCs w:val="24"/>
                <w:lang w:eastAsia="zh-CN"/>
              </w:rPr>
              <w:t>内容</w:t>
            </w:r>
          </w:p>
        </w:tc>
        <w:tc>
          <w:tcPr>
            <w:tcW w:w="2143" w:type="dxa"/>
            <w:noWrap w:val="0"/>
            <w:vAlign w:val="center"/>
          </w:tcPr>
          <w:p w14:paraId="30C91695">
            <w:pPr>
              <w:pStyle w:val="15"/>
              <w:spacing w:line="400" w:lineRule="exact"/>
              <w:jc w:val="center"/>
              <w:rPr>
                <w:rFonts w:hAnsi="宋体" w:cs="宋体"/>
                <w:kern w:val="2"/>
                <w:sz w:val="24"/>
                <w:szCs w:val="24"/>
                <w:lang w:eastAsia="zh-CN"/>
              </w:rPr>
            </w:pPr>
            <w:r>
              <w:rPr>
                <w:rFonts w:hint="eastAsia" w:ascii="宋体" w:hAnsi="宋体" w:eastAsia="宋体" w:cs="宋体"/>
                <w:sz w:val="24"/>
                <w:szCs w:val="24"/>
                <w:lang w:eastAsia="zh-CN"/>
              </w:rPr>
              <w:t>主要技术需求</w:t>
            </w:r>
            <w:r>
              <w:rPr>
                <w:rFonts w:hint="eastAsia" w:ascii="宋体" w:hAnsi="宋体" w:eastAsia="宋体" w:cs="宋体"/>
                <w:sz w:val="24"/>
                <w:szCs w:val="24"/>
                <w:lang w:val="en-US" w:eastAsia="zh-CN"/>
              </w:rPr>
              <w:t>和</w:t>
            </w:r>
            <w:r>
              <w:rPr>
                <w:rFonts w:hint="eastAsia" w:ascii="宋体" w:hAnsi="宋体" w:eastAsia="宋体" w:cs="宋体"/>
                <w:sz w:val="24"/>
                <w:szCs w:val="24"/>
                <w:lang w:eastAsia="zh-CN"/>
              </w:rPr>
              <w:t>服务要求</w:t>
            </w:r>
          </w:p>
        </w:tc>
        <w:tc>
          <w:tcPr>
            <w:tcW w:w="3768" w:type="dxa"/>
            <w:noWrap w:val="0"/>
            <w:vAlign w:val="center"/>
          </w:tcPr>
          <w:p w14:paraId="77D25C7D">
            <w:pPr>
              <w:pStyle w:val="15"/>
              <w:spacing w:line="400" w:lineRule="exact"/>
              <w:jc w:val="center"/>
              <w:rPr>
                <w:rFonts w:hAnsi="宋体" w:cs="宋体"/>
                <w:kern w:val="2"/>
                <w:sz w:val="24"/>
                <w:szCs w:val="24"/>
                <w:lang w:eastAsia="zh-CN"/>
              </w:rPr>
            </w:pPr>
            <w:r>
              <w:rPr>
                <w:rFonts w:hint="eastAsia" w:hAnsi="宋体" w:cs="宋体"/>
                <w:kern w:val="2"/>
                <w:sz w:val="24"/>
                <w:szCs w:val="24"/>
                <w:lang w:eastAsia="zh-CN"/>
              </w:rPr>
              <w:t>投标响应</w:t>
            </w:r>
          </w:p>
        </w:tc>
        <w:tc>
          <w:tcPr>
            <w:tcW w:w="898" w:type="dxa"/>
            <w:noWrap w:val="0"/>
            <w:vAlign w:val="center"/>
          </w:tcPr>
          <w:p w14:paraId="70BC067A">
            <w:pPr>
              <w:pStyle w:val="15"/>
              <w:spacing w:line="400" w:lineRule="exact"/>
              <w:jc w:val="center"/>
              <w:rPr>
                <w:rFonts w:hAnsi="宋体" w:cs="宋体"/>
                <w:kern w:val="2"/>
                <w:sz w:val="24"/>
                <w:szCs w:val="24"/>
                <w:lang w:eastAsia="zh-CN"/>
              </w:rPr>
            </w:pPr>
            <w:r>
              <w:rPr>
                <w:rFonts w:hint="eastAsia" w:hAnsi="宋体" w:cs="宋体"/>
                <w:kern w:val="2"/>
                <w:sz w:val="24"/>
                <w:szCs w:val="24"/>
                <w:lang w:eastAsia="zh-CN"/>
              </w:rPr>
              <w:t>偏离说明</w:t>
            </w:r>
          </w:p>
        </w:tc>
      </w:tr>
      <w:tr w14:paraId="0035F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9" w:type="dxa"/>
            <w:noWrap w:val="0"/>
            <w:vAlign w:val="center"/>
          </w:tcPr>
          <w:p w14:paraId="1B602B81">
            <w:pPr>
              <w:pStyle w:val="15"/>
              <w:jc w:val="center"/>
              <w:rPr>
                <w:rFonts w:hAnsi="宋体" w:cs="宋体"/>
                <w:kern w:val="2"/>
                <w:sz w:val="24"/>
                <w:szCs w:val="24"/>
                <w:lang w:eastAsia="zh-CN"/>
              </w:rPr>
            </w:pPr>
          </w:p>
        </w:tc>
        <w:tc>
          <w:tcPr>
            <w:tcW w:w="2370" w:type="dxa"/>
            <w:noWrap w:val="0"/>
            <w:vAlign w:val="center"/>
          </w:tcPr>
          <w:p w14:paraId="3AAF0365">
            <w:pPr>
              <w:pStyle w:val="15"/>
              <w:jc w:val="center"/>
              <w:rPr>
                <w:rFonts w:hAnsi="宋体" w:cs="宋体"/>
                <w:kern w:val="2"/>
                <w:sz w:val="24"/>
                <w:szCs w:val="24"/>
                <w:lang w:eastAsia="zh-CN"/>
              </w:rPr>
            </w:pPr>
          </w:p>
        </w:tc>
        <w:tc>
          <w:tcPr>
            <w:tcW w:w="2143" w:type="dxa"/>
            <w:noWrap w:val="0"/>
            <w:vAlign w:val="top"/>
          </w:tcPr>
          <w:p w14:paraId="4B4BD1AC">
            <w:pPr>
              <w:pStyle w:val="15"/>
              <w:spacing w:line="600" w:lineRule="exact"/>
              <w:rPr>
                <w:rFonts w:hAnsi="宋体" w:cs="宋体"/>
                <w:kern w:val="2"/>
                <w:sz w:val="24"/>
                <w:szCs w:val="24"/>
                <w:lang w:eastAsia="zh-CN"/>
              </w:rPr>
            </w:pPr>
          </w:p>
        </w:tc>
        <w:tc>
          <w:tcPr>
            <w:tcW w:w="3768" w:type="dxa"/>
            <w:noWrap w:val="0"/>
            <w:vAlign w:val="top"/>
          </w:tcPr>
          <w:p w14:paraId="6890412B">
            <w:pPr>
              <w:pStyle w:val="15"/>
              <w:spacing w:line="600" w:lineRule="exact"/>
              <w:rPr>
                <w:rFonts w:hAnsi="宋体" w:cs="宋体"/>
                <w:kern w:val="2"/>
                <w:sz w:val="24"/>
                <w:szCs w:val="24"/>
                <w:lang w:eastAsia="zh-CN"/>
              </w:rPr>
            </w:pPr>
          </w:p>
        </w:tc>
        <w:tc>
          <w:tcPr>
            <w:tcW w:w="898" w:type="dxa"/>
            <w:noWrap w:val="0"/>
            <w:vAlign w:val="top"/>
          </w:tcPr>
          <w:p w14:paraId="0EC38821">
            <w:pPr>
              <w:pStyle w:val="15"/>
              <w:spacing w:line="600" w:lineRule="exact"/>
              <w:rPr>
                <w:rFonts w:hAnsi="宋体" w:cs="宋体"/>
                <w:kern w:val="2"/>
                <w:sz w:val="24"/>
                <w:szCs w:val="24"/>
                <w:lang w:eastAsia="zh-CN"/>
              </w:rPr>
            </w:pPr>
          </w:p>
        </w:tc>
      </w:tr>
      <w:tr w14:paraId="539EE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9" w:type="dxa"/>
            <w:noWrap w:val="0"/>
            <w:vAlign w:val="center"/>
          </w:tcPr>
          <w:p w14:paraId="772FB44D">
            <w:pPr>
              <w:pStyle w:val="15"/>
              <w:jc w:val="center"/>
              <w:rPr>
                <w:rFonts w:hAnsi="宋体" w:cs="宋体"/>
                <w:kern w:val="2"/>
                <w:sz w:val="24"/>
                <w:szCs w:val="24"/>
                <w:lang w:eastAsia="zh-CN"/>
              </w:rPr>
            </w:pPr>
          </w:p>
        </w:tc>
        <w:tc>
          <w:tcPr>
            <w:tcW w:w="2370" w:type="dxa"/>
            <w:noWrap w:val="0"/>
            <w:vAlign w:val="center"/>
          </w:tcPr>
          <w:p w14:paraId="6DFED3ED">
            <w:pPr>
              <w:pStyle w:val="15"/>
              <w:jc w:val="center"/>
              <w:rPr>
                <w:rFonts w:hAnsi="宋体" w:cs="宋体"/>
                <w:kern w:val="2"/>
                <w:sz w:val="24"/>
                <w:szCs w:val="24"/>
                <w:lang w:eastAsia="zh-CN"/>
              </w:rPr>
            </w:pPr>
          </w:p>
        </w:tc>
        <w:tc>
          <w:tcPr>
            <w:tcW w:w="2143" w:type="dxa"/>
            <w:noWrap w:val="0"/>
            <w:vAlign w:val="top"/>
          </w:tcPr>
          <w:p w14:paraId="432CFFBD">
            <w:pPr>
              <w:pStyle w:val="15"/>
              <w:spacing w:line="600" w:lineRule="exact"/>
              <w:rPr>
                <w:rFonts w:hAnsi="宋体" w:cs="宋体"/>
                <w:kern w:val="2"/>
                <w:sz w:val="24"/>
                <w:szCs w:val="24"/>
                <w:lang w:eastAsia="zh-CN"/>
              </w:rPr>
            </w:pPr>
          </w:p>
        </w:tc>
        <w:tc>
          <w:tcPr>
            <w:tcW w:w="3768" w:type="dxa"/>
            <w:noWrap w:val="0"/>
            <w:vAlign w:val="top"/>
          </w:tcPr>
          <w:p w14:paraId="01F9AB8C">
            <w:pPr>
              <w:pStyle w:val="15"/>
              <w:spacing w:line="600" w:lineRule="exact"/>
              <w:rPr>
                <w:rFonts w:hAnsi="宋体" w:cs="宋体"/>
                <w:kern w:val="2"/>
                <w:sz w:val="24"/>
                <w:szCs w:val="24"/>
                <w:lang w:eastAsia="zh-CN"/>
              </w:rPr>
            </w:pPr>
          </w:p>
        </w:tc>
        <w:tc>
          <w:tcPr>
            <w:tcW w:w="898" w:type="dxa"/>
            <w:noWrap w:val="0"/>
            <w:vAlign w:val="top"/>
          </w:tcPr>
          <w:p w14:paraId="61738062">
            <w:pPr>
              <w:pStyle w:val="15"/>
              <w:spacing w:line="600" w:lineRule="exact"/>
              <w:rPr>
                <w:rFonts w:hAnsi="宋体" w:cs="宋体"/>
                <w:kern w:val="2"/>
                <w:sz w:val="24"/>
                <w:szCs w:val="24"/>
                <w:lang w:eastAsia="zh-CN"/>
              </w:rPr>
            </w:pPr>
          </w:p>
        </w:tc>
      </w:tr>
      <w:tr w14:paraId="4C89F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9" w:type="dxa"/>
            <w:noWrap w:val="0"/>
            <w:vAlign w:val="center"/>
          </w:tcPr>
          <w:p w14:paraId="14AC6D5C">
            <w:pPr>
              <w:pStyle w:val="15"/>
              <w:jc w:val="center"/>
              <w:rPr>
                <w:rFonts w:hAnsi="宋体" w:cs="宋体"/>
                <w:kern w:val="2"/>
                <w:sz w:val="24"/>
                <w:szCs w:val="24"/>
                <w:lang w:eastAsia="zh-CN"/>
              </w:rPr>
            </w:pPr>
          </w:p>
        </w:tc>
        <w:tc>
          <w:tcPr>
            <w:tcW w:w="2370" w:type="dxa"/>
            <w:noWrap w:val="0"/>
            <w:vAlign w:val="center"/>
          </w:tcPr>
          <w:p w14:paraId="78A554EF">
            <w:pPr>
              <w:pStyle w:val="15"/>
              <w:jc w:val="center"/>
              <w:rPr>
                <w:rFonts w:hAnsi="宋体" w:cs="宋体"/>
                <w:kern w:val="2"/>
                <w:sz w:val="24"/>
                <w:szCs w:val="24"/>
                <w:lang w:eastAsia="zh-CN"/>
              </w:rPr>
            </w:pPr>
          </w:p>
        </w:tc>
        <w:tc>
          <w:tcPr>
            <w:tcW w:w="2143" w:type="dxa"/>
            <w:noWrap w:val="0"/>
            <w:vAlign w:val="top"/>
          </w:tcPr>
          <w:p w14:paraId="77B34D92">
            <w:pPr>
              <w:pStyle w:val="15"/>
              <w:spacing w:line="600" w:lineRule="exact"/>
              <w:rPr>
                <w:rFonts w:hAnsi="宋体" w:cs="宋体"/>
                <w:kern w:val="2"/>
                <w:sz w:val="24"/>
                <w:szCs w:val="24"/>
                <w:lang w:eastAsia="zh-CN"/>
              </w:rPr>
            </w:pPr>
          </w:p>
        </w:tc>
        <w:tc>
          <w:tcPr>
            <w:tcW w:w="3768" w:type="dxa"/>
            <w:noWrap w:val="0"/>
            <w:vAlign w:val="top"/>
          </w:tcPr>
          <w:p w14:paraId="7F01E795">
            <w:pPr>
              <w:pStyle w:val="15"/>
              <w:spacing w:line="600" w:lineRule="exact"/>
              <w:rPr>
                <w:rFonts w:hAnsi="宋体" w:cs="宋体"/>
                <w:kern w:val="2"/>
                <w:sz w:val="24"/>
                <w:szCs w:val="24"/>
                <w:lang w:eastAsia="zh-CN"/>
              </w:rPr>
            </w:pPr>
          </w:p>
        </w:tc>
        <w:tc>
          <w:tcPr>
            <w:tcW w:w="898" w:type="dxa"/>
            <w:noWrap w:val="0"/>
            <w:vAlign w:val="top"/>
          </w:tcPr>
          <w:p w14:paraId="32D8EAC9">
            <w:pPr>
              <w:pStyle w:val="15"/>
              <w:spacing w:line="600" w:lineRule="exact"/>
              <w:rPr>
                <w:rFonts w:hAnsi="宋体" w:cs="宋体"/>
                <w:kern w:val="2"/>
                <w:sz w:val="24"/>
                <w:szCs w:val="24"/>
                <w:lang w:eastAsia="zh-CN"/>
              </w:rPr>
            </w:pPr>
          </w:p>
        </w:tc>
      </w:tr>
      <w:tr w14:paraId="3E46A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9" w:type="dxa"/>
            <w:noWrap w:val="0"/>
            <w:vAlign w:val="center"/>
          </w:tcPr>
          <w:p w14:paraId="7E93A986">
            <w:pPr>
              <w:pStyle w:val="15"/>
              <w:jc w:val="center"/>
              <w:rPr>
                <w:rFonts w:hAnsi="宋体" w:cs="宋体"/>
                <w:kern w:val="2"/>
                <w:sz w:val="24"/>
                <w:szCs w:val="24"/>
                <w:lang w:eastAsia="zh-CN"/>
              </w:rPr>
            </w:pPr>
          </w:p>
        </w:tc>
        <w:tc>
          <w:tcPr>
            <w:tcW w:w="2370" w:type="dxa"/>
            <w:noWrap w:val="0"/>
            <w:vAlign w:val="center"/>
          </w:tcPr>
          <w:p w14:paraId="4C518555">
            <w:pPr>
              <w:pStyle w:val="15"/>
              <w:jc w:val="center"/>
              <w:rPr>
                <w:rFonts w:hAnsi="宋体" w:cs="宋体"/>
                <w:kern w:val="2"/>
                <w:sz w:val="24"/>
                <w:szCs w:val="24"/>
                <w:lang w:eastAsia="zh-CN"/>
              </w:rPr>
            </w:pPr>
          </w:p>
        </w:tc>
        <w:tc>
          <w:tcPr>
            <w:tcW w:w="2143" w:type="dxa"/>
            <w:noWrap w:val="0"/>
            <w:vAlign w:val="top"/>
          </w:tcPr>
          <w:p w14:paraId="414BBF4B">
            <w:pPr>
              <w:pStyle w:val="15"/>
              <w:spacing w:line="600" w:lineRule="exact"/>
              <w:rPr>
                <w:rFonts w:hAnsi="宋体" w:cs="宋体"/>
                <w:kern w:val="2"/>
                <w:sz w:val="24"/>
                <w:szCs w:val="24"/>
                <w:lang w:eastAsia="zh-CN"/>
              </w:rPr>
            </w:pPr>
          </w:p>
        </w:tc>
        <w:tc>
          <w:tcPr>
            <w:tcW w:w="3768" w:type="dxa"/>
            <w:noWrap w:val="0"/>
            <w:vAlign w:val="top"/>
          </w:tcPr>
          <w:p w14:paraId="7660FD46">
            <w:pPr>
              <w:pStyle w:val="15"/>
              <w:spacing w:line="600" w:lineRule="exact"/>
              <w:rPr>
                <w:rFonts w:hAnsi="宋体" w:cs="宋体"/>
                <w:kern w:val="2"/>
                <w:sz w:val="24"/>
                <w:szCs w:val="24"/>
                <w:lang w:eastAsia="zh-CN"/>
              </w:rPr>
            </w:pPr>
          </w:p>
        </w:tc>
        <w:tc>
          <w:tcPr>
            <w:tcW w:w="898" w:type="dxa"/>
            <w:noWrap w:val="0"/>
            <w:vAlign w:val="top"/>
          </w:tcPr>
          <w:p w14:paraId="45B458FE">
            <w:pPr>
              <w:pStyle w:val="15"/>
              <w:spacing w:line="600" w:lineRule="exact"/>
              <w:rPr>
                <w:rFonts w:hAnsi="宋体" w:cs="宋体"/>
                <w:kern w:val="2"/>
                <w:sz w:val="24"/>
                <w:szCs w:val="24"/>
                <w:lang w:eastAsia="zh-CN"/>
              </w:rPr>
            </w:pPr>
          </w:p>
        </w:tc>
      </w:tr>
      <w:tr w14:paraId="1B03E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9" w:type="dxa"/>
            <w:noWrap w:val="0"/>
            <w:vAlign w:val="center"/>
          </w:tcPr>
          <w:p w14:paraId="003CB3A7">
            <w:pPr>
              <w:pStyle w:val="15"/>
              <w:jc w:val="center"/>
              <w:rPr>
                <w:rFonts w:hAnsi="宋体" w:cs="宋体"/>
                <w:kern w:val="2"/>
                <w:sz w:val="24"/>
                <w:szCs w:val="24"/>
                <w:lang w:eastAsia="zh-CN"/>
              </w:rPr>
            </w:pPr>
          </w:p>
        </w:tc>
        <w:tc>
          <w:tcPr>
            <w:tcW w:w="2370" w:type="dxa"/>
            <w:noWrap w:val="0"/>
            <w:vAlign w:val="center"/>
          </w:tcPr>
          <w:p w14:paraId="4996B612">
            <w:pPr>
              <w:pStyle w:val="15"/>
              <w:jc w:val="center"/>
              <w:rPr>
                <w:rFonts w:hAnsi="宋体" w:cs="宋体"/>
                <w:kern w:val="2"/>
                <w:sz w:val="24"/>
                <w:szCs w:val="24"/>
                <w:lang w:eastAsia="zh-CN"/>
              </w:rPr>
            </w:pPr>
          </w:p>
        </w:tc>
        <w:tc>
          <w:tcPr>
            <w:tcW w:w="2143" w:type="dxa"/>
            <w:noWrap w:val="0"/>
            <w:vAlign w:val="top"/>
          </w:tcPr>
          <w:p w14:paraId="7ADEED3C">
            <w:pPr>
              <w:pStyle w:val="15"/>
              <w:spacing w:line="600" w:lineRule="exact"/>
              <w:rPr>
                <w:rFonts w:hAnsi="宋体" w:cs="宋体"/>
                <w:kern w:val="2"/>
                <w:sz w:val="24"/>
                <w:szCs w:val="24"/>
                <w:lang w:eastAsia="zh-CN"/>
              </w:rPr>
            </w:pPr>
          </w:p>
        </w:tc>
        <w:tc>
          <w:tcPr>
            <w:tcW w:w="3768" w:type="dxa"/>
            <w:noWrap w:val="0"/>
            <w:vAlign w:val="top"/>
          </w:tcPr>
          <w:p w14:paraId="1423782C">
            <w:pPr>
              <w:pStyle w:val="15"/>
              <w:spacing w:line="600" w:lineRule="exact"/>
              <w:rPr>
                <w:rFonts w:hAnsi="宋体" w:cs="宋体"/>
                <w:kern w:val="2"/>
                <w:sz w:val="24"/>
                <w:szCs w:val="24"/>
                <w:lang w:eastAsia="zh-CN"/>
              </w:rPr>
            </w:pPr>
          </w:p>
        </w:tc>
        <w:tc>
          <w:tcPr>
            <w:tcW w:w="898" w:type="dxa"/>
            <w:noWrap w:val="0"/>
            <w:vAlign w:val="top"/>
          </w:tcPr>
          <w:p w14:paraId="50026F92">
            <w:pPr>
              <w:pStyle w:val="15"/>
              <w:spacing w:line="600" w:lineRule="exact"/>
              <w:rPr>
                <w:rFonts w:hAnsi="宋体" w:cs="宋体"/>
                <w:kern w:val="2"/>
                <w:sz w:val="24"/>
                <w:szCs w:val="24"/>
                <w:lang w:eastAsia="zh-CN"/>
              </w:rPr>
            </w:pPr>
          </w:p>
        </w:tc>
      </w:tr>
      <w:tr w14:paraId="0B3CA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79" w:type="dxa"/>
            <w:noWrap w:val="0"/>
            <w:vAlign w:val="center"/>
          </w:tcPr>
          <w:p w14:paraId="1D8CFF2D">
            <w:pPr>
              <w:pStyle w:val="15"/>
              <w:jc w:val="center"/>
              <w:rPr>
                <w:rFonts w:hAnsi="宋体" w:cs="宋体"/>
                <w:kern w:val="2"/>
                <w:sz w:val="24"/>
                <w:szCs w:val="24"/>
                <w:lang w:eastAsia="zh-CN"/>
              </w:rPr>
            </w:pPr>
          </w:p>
        </w:tc>
        <w:tc>
          <w:tcPr>
            <w:tcW w:w="2370" w:type="dxa"/>
            <w:noWrap w:val="0"/>
            <w:vAlign w:val="center"/>
          </w:tcPr>
          <w:p w14:paraId="065D3998">
            <w:pPr>
              <w:pStyle w:val="15"/>
              <w:jc w:val="center"/>
              <w:rPr>
                <w:rFonts w:hAnsi="宋体" w:cs="宋体"/>
                <w:kern w:val="2"/>
                <w:sz w:val="24"/>
                <w:szCs w:val="24"/>
                <w:lang w:eastAsia="zh-CN"/>
              </w:rPr>
            </w:pPr>
          </w:p>
        </w:tc>
        <w:tc>
          <w:tcPr>
            <w:tcW w:w="2143" w:type="dxa"/>
            <w:noWrap w:val="0"/>
            <w:vAlign w:val="top"/>
          </w:tcPr>
          <w:p w14:paraId="436AD9DF">
            <w:pPr>
              <w:pStyle w:val="15"/>
              <w:spacing w:line="600" w:lineRule="exact"/>
              <w:rPr>
                <w:rFonts w:hAnsi="宋体" w:cs="宋体"/>
                <w:kern w:val="2"/>
                <w:sz w:val="24"/>
                <w:szCs w:val="24"/>
                <w:lang w:eastAsia="zh-CN"/>
              </w:rPr>
            </w:pPr>
          </w:p>
        </w:tc>
        <w:tc>
          <w:tcPr>
            <w:tcW w:w="3768" w:type="dxa"/>
            <w:noWrap w:val="0"/>
            <w:vAlign w:val="top"/>
          </w:tcPr>
          <w:p w14:paraId="4AA67EAB">
            <w:pPr>
              <w:pStyle w:val="15"/>
              <w:spacing w:line="600" w:lineRule="exact"/>
              <w:rPr>
                <w:rFonts w:hAnsi="宋体" w:cs="宋体"/>
                <w:kern w:val="2"/>
                <w:sz w:val="24"/>
                <w:szCs w:val="24"/>
                <w:lang w:eastAsia="zh-CN"/>
              </w:rPr>
            </w:pPr>
          </w:p>
        </w:tc>
        <w:tc>
          <w:tcPr>
            <w:tcW w:w="898" w:type="dxa"/>
            <w:noWrap w:val="0"/>
            <w:vAlign w:val="top"/>
          </w:tcPr>
          <w:p w14:paraId="0F80664E">
            <w:pPr>
              <w:pStyle w:val="15"/>
              <w:spacing w:line="600" w:lineRule="exact"/>
              <w:rPr>
                <w:rFonts w:hAnsi="宋体" w:cs="宋体"/>
                <w:kern w:val="2"/>
                <w:sz w:val="24"/>
                <w:szCs w:val="24"/>
                <w:lang w:eastAsia="zh-CN"/>
              </w:rPr>
            </w:pPr>
          </w:p>
        </w:tc>
      </w:tr>
    </w:tbl>
    <w:p w14:paraId="7A3440E2">
      <w:pPr>
        <w:pStyle w:val="15"/>
        <w:jc w:val="center"/>
        <w:rPr>
          <w:rFonts w:hint="eastAsia" w:ascii="宋体" w:hAnsi="宋体" w:cs="宋体"/>
          <w:b/>
          <w:sz w:val="32"/>
          <w:szCs w:val="32"/>
        </w:rPr>
      </w:pPr>
    </w:p>
    <w:p w14:paraId="29E10D6B">
      <w:pPr>
        <w:rPr>
          <w:rFonts w:hAnsi="宋体" w:cs="宋体"/>
          <w:sz w:val="24"/>
          <w:szCs w:val="24"/>
        </w:rPr>
      </w:pPr>
    </w:p>
    <w:p w14:paraId="08D066FB">
      <w:pPr>
        <w:pStyle w:val="10"/>
        <w:rPr>
          <w:rFonts w:ascii="宋体" w:hAnsi="宋体" w:cs="宋体"/>
        </w:rPr>
      </w:pPr>
      <w:r>
        <w:rPr>
          <w:rFonts w:hint="eastAsia" w:ascii="宋体" w:hAnsi="宋体" w:cs="宋体"/>
        </w:rPr>
        <w:t>注：</w:t>
      </w:r>
    </w:p>
    <w:p w14:paraId="24F3A19A">
      <w:pPr>
        <w:pStyle w:val="12"/>
        <w:spacing w:line="360" w:lineRule="auto"/>
        <w:ind w:firstLine="0" w:firstLineChars="0"/>
        <w:contextualSpacing/>
        <w:rPr>
          <w:rFonts w:ascii="宋体" w:hAnsi="宋体" w:eastAsia="宋体" w:cs="宋体"/>
          <w:szCs w:val="32"/>
          <w:lang w:eastAsia="zh-CN"/>
        </w:rPr>
      </w:pPr>
      <w:r>
        <w:rPr>
          <w:rFonts w:hint="eastAsia" w:ascii="宋体" w:hAnsi="宋体" w:eastAsia="宋体" w:cs="宋体"/>
          <w:sz w:val="24"/>
          <w:szCs w:val="24"/>
          <w:lang w:eastAsia="zh-CN"/>
        </w:rPr>
        <w:t>1.说明：应对照招标文件“第二章 采购需求”中的“主要技术需求</w:t>
      </w:r>
      <w:r>
        <w:rPr>
          <w:rFonts w:hint="eastAsia" w:ascii="宋体" w:hAnsi="宋体" w:eastAsia="宋体" w:cs="宋体"/>
          <w:sz w:val="24"/>
          <w:szCs w:val="24"/>
          <w:lang w:val="en-US" w:eastAsia="zh-CN"/>
        </w:rPr>
        <w:t>和</w:t>
      </w:r>
      <w:r>
        <w:rPr>
          <w:rFonts w:hint="eastAsia" w:ascii="宋体" w:hAnsi="宋体" w:eastAsia="宋体" w:cs="宋体"/>
          <w:sz w:val="24"/>
          <w:szCs w:val="24"/>
          <w:lang w:eastAsia="zh-CN"/>
        </w:rPr>
        <w:t>服务要求”逐条作明确的投标响应，并作出偏离说明。</w:t>
      </w:r>
    </w:p>
    <w:p w14:paraId="4288DA10">
      <w:pPr>
        <w:pStyle w:val="10"/>
        <w:spacing w:line="360" w:lineRule="auto"/>
        <w:contextualSpacing/>
        <w:rPr>
          <w:rFonts w:ascii="宋体" w:hAnsi="宋体" w:cs="宋体"/>
          <w:b w:val="0"/>
          <w:bCs w:val="0"/>
          <w:lang w:eastAsia="zh-CN"/>
        </w:rPr>
      </w:pPr>
      <w:r>
        <w:rPr>
          <w:rFonts w:hint="eastAsia" w:ascii="宋体" w:hAnsi="宋体" w:cs="宋体"/>
          <w:b w:val="0"/>
          <w:bCs w:val="0"/>
          <w:lang w:eastAsia="zh-CN"/>
        </w:rPr>
        <w:t>2.投标人应根据自身的承诺，对照招标文件要求，在“偏离说明”中注明“</w:t>
      </w:r>
      <w:r>
        <w:rPr>
          <w:rFonts w:hint="eastAsia" w:ascii="宋体" w:hAnsi="宋体" w:cs="宋体"/>
          <w:lang w:eastAsia="zh-CN"/>
        </w:rPr>
        <w:t>正偏离</w:t>
      </w:r>
      <w:r>
        <w:rPr>
          <w:rFonts w:hint="eastAsia" w:ascii="宋体" w:hAnsi="宋体" w:cs="宋体"/>
          <w:b w:val="0"/>
          <w:bCs w:val="0"/>
          <w:lang w:eastAsia="zh-CN"/>
        </w:rPr>
        <w:t>”、“</w:t>
      </w:r>
      <w:r>
        <w:rPr>
          <w:rFonts w:hint="eastAsia" w:ascii="宋体" w:hAnsi="宋体" w:cs="宋体"/>
          <w:lang w:eastAsia="zh-CN"/>
        </w:rPr>
        <w:t>负偏离</w:t>
      </w:r>
      <w:r>
        <w:rPr>
          <w:rFonts w:hint="eastAsia" w:ascii="宋体" w:hAnsi="宋体" w:cs="宋体"/>
          <w:b w:val="0"/>
          <w:bCs w:val="0"/>
          <w:lang w:eastAsia="zh-CN"/>
        </w:rPr>
        <w:t>”或者“</w:t>
      </w:r>
      <w:r>
        <w:rPr>
          <w:rFonts w:hint="eastAsia" w:ascii="宋体" w:hAnsi="宋体" w:cs="宋体"/>
          <w:lang w:eastAsia="zh-CN"/>
        </w:rPr>
        <w:t>无偏离</w:t>
      </w:r>
      <w:r>
        <w:rPr>
          <w:rFonts w:hint="eastAsia" w:ascii="宋体" w:hAnsi="宋体" w:cs="宋体"/>
          <w:b w:val="0"/>
          <w:bCs w:val="0"/>
          <w:lang w:eastAsia="zh-CN"/>
        </w:rPr>
        <w:t>”。既不属于“</w:t>
      </w:r>
      <w:r>
        <w:rPr>
          <w:rFonts w:hint="eastAsia" w:ascii="宋体" w:hAnsi="宋体" w:cs="宋体"/>
          <w:lang w:eastAsia="zh-CN"/>
        </w:rPr>
        <w:t>正偏离</w:t>
      </w:r>
      <w:r>
        <w:rPr>
          <w:rFonts w:hint="eastAsia" w:ascii="宋体" w:hAnsi="宋体" w:cs="宋体"/>
          <w:b w:val="0"/>
          <w:bCs w:val="0"/>
          <w:lang w:eastAsia="zh-CN"/>
        </w:rPr>
        <w:t>”也不属于“</w:t>
      </w:r>
      <w:r>
        <w:rPr>
          <w:rFonts w:hint="eastAsia" w:ascii="宋体" w:hAnsi="宋体" w:cs="宋体"/>
          <w:lang w:eastAsia="zh-CN"/>
        </w:rPr>
        <w:t>负偏离</w:t>
      </w:r>
      <w:r>
        <w:rPr>
          <w:rFonts w:hint="eastAsia" w:ascii="宋体" w:hAnsi="宋体" w:cs="宋体"/>
          <w:b w:val="0"/>
          <w:bCs w:val="0"/>
          <w:lang w:eastAsia="zh-CN"/>
        </w:rPr>
        <w:t>”即为“</w:t>
      </w:r>
      <w:r>
        <w:rPr>
          <w:rFonts w:hint="eastAsia" w:ascii="宋体" w:hAnsi="宋体" w:cs="宋体"/>
          <w:lang w:eastAsia="zh-CN"/>
        </w:rPr>
        <w:t>无偏离</w:t>
      </w:r>
      <w:r>
        <w:rPr>
          <w:rFonts w:hint="eastAsia" w:ascii="宋体" w:hAnsi="宋体" w:cs="宋体"/>
          <w:b w:val="0"/>
          <w:bCs w:val="0"/>
          <w:lang w:eastAsia="zh-CN"/>
        </w:rPr>
        <w:t>”。</w:t>
      </w:r>
    </w:p>
    <w:p w14:paraId="59C4EFE6">
      <w:pPr>
        <w:pStyle w:val="10"/>
        <w:spacing w:line="360" w:lineRule="auto"/>
        <w:contextualSpacing/>
        <w:rPr>
          <w:rFonts w:ascii="宋体" w:hAnsi="宋体" w:cs="宋体"/>
          <w:b w:val="0"/>
          <w:bCs w:val="0"/>
          <w:lang w:eastAsia="zh-CN"/>
        </w:rPr>
      </w:pPr>
    </w:p>
    <w:p w14:paraId="5C76918D">
      <w:pPr>
        <w:spacing w:before="50" w:after="50" w:line="360" w:lineRule="auto"/>
        <w:rPr>
          <w:rFonts w:ascii="宋体" w:hAnsi="宋体" w:cs="宋体"/>
          <w:spacing w:val="20"/>
          <w:sz w:val="24"/>
          <w:u w:val="single"/>
        </w:rPr>
      </w:pPr>
      <w:r>
        <w:rPr>
          <w:rFonts w:hint="eastAsia" w:ascii="宋体" w:hAnsi="宋体" w:cs="宋体"/>
          <w:sz w:val="24"/>
        </w:rPr>
        <w:t>法定代表人或者委托代理人</w:t>
      </w:r>
      <w:r>
        <w:rPr>
          <w:rFonts w:hint="eastAsia" w:ascii="宋体" w:hAnsi="宋体" w:cs="宋体"/>
          <w:spacing w:val="20"/>
          <w:sz w:val="24"/>
        </w:rPr>
        <w:t>（签字）：</w:t>
      </w:r>
      <w:r>
        <w:rPr>
          <w:rFonts w:hint="eastAsia" w:ascii="宋体" w:hAnsi="宋体" w:cs="宋体"/>
          <w:spacing w:val="20"/>
          <w:sz w:val="24"/>
          <w:u w:val="single"/>
        </w:rPr>
        <w:t xml:space="preserve">        </w:t>
      </w:r>
    </w:p>
    <w:p w14:paraId="32C3D3FD">
      <w:pPr>
        <w:spacing w:before="50" w:after="50" w:line="360" w:lineRule="auto"/>
        <w:rPr>
          <w:rFonts w:hint="eastAsia" w:ascii="宋体" w:hAnsi="宋体" w:cs="宋体"/>
          <w:spacing w:val="20"/>
          <w:sz w:val="24"/>
        </w:rPr>
      </w:pPr>
      <w:r>
        <w:rPr>
          <w:rFonts w:hint="eastAsia" w:ascii="宋体" w:hAnsi="宋体" w:cs="宋体"/>
          <w:spacing w:val="20"/>
          <w:sz w:val="24"/>
        </w:rPr>
        <w:t>投标人（盖公章）：</w:t>
      </w:r>
      <w:r>
        <w:rPr>
          <w:rFonts w:hint="eastAsia" w:ascii="宋体" w:hAnsi="宋体" w:cs="宋体"/>
          <w:spacing w:val="20"/>
          <w:sz w:val="24"/>
          <w:u w:val="single"/>
        </w:rPr>
        <w:t xml:space="preserve">            </w:t>
      </w:r>
      <w:r>
        <w:rPr>
          <w:rFonts w:hint="eastAsia" w:ascii="宋体" w:hAnsi="宋体" w:cs="宋体"/>
          <w:spacing w:val="20"/>
          <w:sz w:val="24"/>
        </w:rPr>
        <w:t xml:space="preserve">              </w:t>
      </w:r>
    </w:p>
    <w:p w14:paraId="2063E58F">
      <w:pPr>
        <w:spacing w:before="50" w:after="50" w:line="360" w:lineRule="auto"/>
        <w:rPr>
          <w:rFonts w:ascii="宋体" w:hAnsi="宋体" w:cs="宋体"/>
          <w:spacing w:val="20"/>
          <w:sz w:val="24"/>
          <w:u w:val="single"/>
        </w:rPr>
      </w:pPr>
      <w:r>
        <w:rPr>
          <w:rFonts w:hint="eastAsia" w:ascii="宋体" w:hAnsi="宋体" w:cs="宋体"/>
          <w:spacing w:val="20"/>
          <w:sz w:val="24"/>
        </w:rPr>
        <w:t>日 期：</w:t>
      </w:r>
      <w:r>
        <w:rPr>
          <w:rFonts w:hint="eastAsia" w:ascii="宋体" w:hAnsi="宋体" w:cs="宋体"/>
          <w:spacing w:val="20"/>
          <w:sz w:val="24"/>
          <w:u w:val="single"/>
        </w:rPr>
        <w:t xml:space="preserve">        </w:t>
      </w:r>
    </w:p>
    <w:p w14:paraId="66B638D4">
      <w:pPr>
        <w:tabs>
          <w:tab w:val="left" w:pos="0"/>
        </w:tabs>
        <w:jc w:val="left"/>
        <w:rPr>
          <w:rFonts w:ascii="宋体" w:hAnsi="宋体" w:cs="宋体"/>
          <w:spacing w:val="20"/>
          <w:sz w:val="24"/>
          <w:u w:val="single"/>
        </w:rPr>
      </w:pPr>
      <w:r>
        <w:rPr>
          <w:rFonts w:hint="eastAsia" w:ascii="宋体" w:hAnsi="宋体" w:cs="宋体"/>
          <w:spacing w:val="20"/>
          <w:sz w:val="24"/>
          <w:u w:val="single"/>
        </w:rPr>
        <w:br w:type="page"/>
      </w:r>
      <w:r>
        <w:rPr>
          <w:rFonts w:hint="eastAsia" w:ascii="宋体" w:hAnsi="宋体" w:cs="宋体"/>
          <w:b/>
          <w:sz w:val="24"/>
          <w:lang w:val="en-US" w:eastAsia="zh-CN"/>
        </w:rPr>
        <w:t>2</w:t>
      </w:r>
      <w:r>
        <w:rPr>
          <w:rFonts w:hint="eastAsia" w:ascii="宋体" w:hAnsi="宋体" w:cs="宋体"/>
          <w:b/>
          <w:sz w:val="24"/>
        </w:rPr>
        <w:t>. 农民工工资保证金承诺书</w:t>
      </w:r>
    </w:p>
    <w:p w14:paraId="3CBECF17">
      <w:pPr>
        <w:tabs>
          <w:tab w:val="left" w:pos="0"/>
        </w:tabs>
        <w:jc w:val="center"/>
        <w:rPr>
          <w:rFonts w:ascii="宋体" w:hAnsi="宋体" w:cs="宋体"/>
          <w:b/>
          <w:bCs/>
          <w:sz w:val="44"/>
          <w:szCs w:val="44"/>
        </w:rPr>
      </w:pPr>
    </w:p>
    <w:p w14:paraId="4F9EBB2A">
      <w:pPr>
        <w:tabs>
          <w:tab w:val="left" w:pos="0"/>
        </w:tabs>
        <w:jc w:val="center"/>
        <w:rPr>
          <w:rFonts w:ascii="宋体" w:hAnsi="宋体" w:cs="宋体"/>
          <w:b/>
          <w:bCs/>
          <w:sz w:val="44"/>
          <w:szCs w:val="44"/>
        </w:rPr>
      </w:pPr>
      <w:r>
        <w:rPr>
          <w:rFonts w:hint="eastAsia" w:ascii="宋体" w:hAnsi="宋体" w:cs="宋体"/>
          <w:b/>
          <w:bCs/>
          <w:sz w:val="44"/>
          <w:szCs w:val="44"/>
        </w:rPr>
        <w:t>农民工工资保证金承诺书</w:t>
      </w:r>
    </w:p>
    <w:p w14:paraId="636F7AC1">
      <w:pPr>
        <w:tabs>
          <w:tab w:val="left" w:pos="0"/>
        </w:tabs>
        <w:ind w:left="420" w:leftChars="200"/>
        <w:rPr>
          <w:rFonts w:ascii="宋体" w:hAnsi="宋体" w:cs="宋体"/>
        </w:rPr>
      </w:pPr>
    </w:p>
    <w:p w14:paraId="0ADDEB82">
      <w:pPr>
        <w:spacing w:line="360" w:lineRule="exact"/>
        <w:rPr>
          <w:rFonts w:ascii="宋体" w:hAnsi="宋体" w:cs="宋体"/>
          <w:b/>
          <w:bCs/>
          <w:sz w:val="24"/>
        </w:rPr>
      </w:pPr>
      <w:r>
        <w:rPr>
          <w:rFonts w:hint="eastAsia" w:ascii="宋体" w:hAnsi="宋体" w:cs="宋体"/>
          <w:b/>
          <w:bCs/>
          <w:sz w:val="24"/>
        </w:rPr>
        <w:t>致：</w:t>
      </w:r>
      <w:r>
        <w:rPr>
          <w:rFonts w:hint="eastAsia" w:ascii="宋体" w:hAnsi="宋体" w:cs="宋体"/>
          <w:b/>
          <w:bCs/>
          <w:sz w:val="24"/>
          <w:u w:val="single"/>
        </w:rPr>
        <w:t xml:space="preserve">                             </w:t>
      </w:r>
      <w:r>
        <w:rPr>
          <w:rFonts w:hint="eastAsia" w:ascii="宋体" w:hAnsi="宋体" w:cs="宋体"/>
          <w:b/>
          <w:bCs/>
          <w:sz w:val="24"/>
        </w:rPr>
        <w:t>（采购人名称）</w:t>
      </w:r>
    </w:p>
    <w:p w14:paraId="37D5DCEC">
      <w:pPr>
        <w:spacing w:line="360" w:lineRule="exact"/>
        <w:ind w:firstLine="420"/>
        <w:rPr>
          <w:rFonts w:hint="eastAsia" w:ascii="宋体" w:hAnsi="宋体" w:cs="宋体"/>
          <w:sz w:val="24"/>
        </w:rPr>
      </w:pPr>
      <w:r>
        <w:rPr>
          <w:rFonts w:hint="eastAsia" w:ascii="宋体" w:hAnsi="宋体" w:cs="宋体"/>
          <w:sz w:val="24"/>
        </w:rPr>
        <w:t>农民工工资保证金承诺书</w:t>
      </w:r>
    </w:p>
    <w:p w14:paraId="45A75D1B">
      <w:pPr>
        <w:spacing w:line="360" w:lineRule="exact"/>
        <w:ind w:firstLine="420"/>
        <w:rPr>
          <w:rFonts w:hint="eastAsia" w:ascii="宋体" w:hAnsi="宋体" w:cs="宋体"/>
          <w:sz w:val="24"/>
        </w:rPr>
      </w:pPr>
      <w:r>
        <w:rPr>
          <w:rFonts w:hint="eastAsia" w:ascii="宋体" w:hAnsi="宋体" w:cs="宋体"/>
          <w:sz w:val="24"/>
        </w:rPr>
        <w:t>致：（招标人）</w:t>
      </w:r>
    </w:p>
    <w:p w14:paraId="765AE161">
      <w:pPr>
        <w:spacing w:line="360" w:lineRule="exact"/>
        <w:ind w:firstLine="420"/>
        <w:rPr>
          <w:rFonts w:hint="eastAsia" w:ascii="宋体" w:hAnsi="宋体" w:cs="宋体"/>
          <w:sz w:val="24"/>
        </w:rPr>
      </w:pPr>
      <w:r>
        <w:rPr>
          <w:rFonts w:hint="eastAsia" w:ascii="宋体" w:hAnsi="宋体" w:cs="宋体"/>
          <w:sz w:val="24"/>
        </w:rPr>
        <w:t>根据《保障农民工工资支付条例》（中华人民共和国国务院令第 724  号）、《关于明确农民工工资保证金制度有关问题的通知》（桂薪联发﹝2016﹞2 号）及《广西壮族自治区工程建设领域农民工工资保证金规定实施办法》（桂人社规〔2021〕16 号）、《广西壮族自治区人力资源和社会保障厅等 8 部门关于印发广西壮族自治区工程建设领域农民工工资专用账户管理暂行办法实施细则的通知》（桂人社规〔2022〕5 号）等规定，在</w:t>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 xml:space="preserve">（项目名称）           </w:t>
      </w:r>
      <w:r>
        <w:rPr>
          <w:rFonts w:hint="eastAsia" w:ascii="宋体" w:hAnsi="宋体" w:cs="宋体"/>
          <w:sz w:val="24"/>
        </w:rPr>
        <w:t>招标的投标中，我单位对农民工工资的支付作出以下郑重承诺：</w:t>
      </w:r>
    </w:p>
    <w:p w14:paraId="25602841">
      <w:pPr>
        <w:spacing w:line="360" w:lineRule="exact"/>
        <w:ind w:firstLine="420"/>
        <w:rPr>
          <w:rFonts w:hint="eastAsia" w:ascii="宋体" w:hAnsi="宋体" w:cs="宋体"/>
          <w:sz w:val="24"/>
        </w:rPr>
      </w:pPr>
      <w:r>
        <w:rPr>
          <w:rFonts w:hint="eastAsia" w:ascii="宋体" w:hAnsi="宋体" w:cs="宋体"/>
          <w:sz w:val="24"/>
        </w:rPr>
        <w:t>（一）我单位在本招标项目递交投标文件截止时间 20       年 月 日（开标日）前所承建的工程项目，不存在拖欠或克扣农民工工资的行为。</w:t>
      </w:r>
    </w:p>
    <w:p w14:paraId="574A3333">
      <w:pPr>
        <w:spacing w:line="360" w:lineRule="exact"/>
        <w:ind w:firstLine="420"/>
        <w:rPr>
          <w:rFonts w:hint="eastAsia" w:ascii="宋体" w:hAnsi="宋体" w:cs="宋体"/>
          <w:sz w:val="24"/>
        </w:rPr>
      </w:pPr>
      <w:r>
        <w:rPr>
          <w:rFonts w:hint="eastAsia" w:ascii="宋体" w:hAnsi="宋体" w:cs="宋体"/>
          <w:sz w:val="24"/>
        </w:rPr>
        <w:t>（二）投标中标后，我单位同意在工程项目所在地商业银行开设农民工工资保证金专用账户，并按招标文件规定的投标保证金额度预存一定数额的资金作为农民工工资保证金或出具工程项目所在地的商业银行的银行保函，并到工程项目所在地具有管辖权的人力资源社会保障部门备案。</w:t>
      </w:r>
    </w:p>
    <w:p w14:paraId="1F4E6ADF">
      <w:pPr>
        <w:spacing w:line="360" w:lineRule="exact"/>
        <w:ind w:firstLine="420"/>
        <w:rPr>
          <w:rFonts w:hint="eastAsia" w:ascii="宋体" w:hAnsi="宋体" w:cs="宋体"/>
          <w:sz w:val="24"/>
        </w:rPr>
      </w:pPr>
      <w:r>
        <w:rPr>
          <w:rFonts w:hint="eastAsia" w:ascii="宋体" w:hAnsi="宋体" w:cs="宋体"/>
          <w:sz w:val="24"/>
        </w:rPr>
        <w:t>（三）我单位向建设单位承诺依法足额支付农民工工资，一旦我单位（包含我单位的分包商）承建的 （项目名称）              施工出现拖欠农民工工资情况的，可由劳动保障、交通主管部门（或授权机构）及建设单位根据相关规定从其农民工工资保证金中先予支取。</w:t>
      </w:r>
    </w:p>
    <w:p w14:paraId="78FE4E98">
      <w:pPr>
        <w:spacing w:line="360" w:lineRule="exact"/>
        <w:ind w:firstLine="420"/>
        <w:rPr>
          <w:rFonts w:hint="eastAsia" w:ascii="宋体" w:hAnsi="宋体" w:cs="宋体"/>
          <w:sz w:val="24"/>
        </w:rPr>
      </w:pPr>
      <w:r>
        <w:rPr>
          <w:rFonts w:hint="eastAsia" w:ascii="宋体" w:hAnsi="宋体" w:cs="宋体"/>
          <w:sz w:val="24"/>
        </w:rPr>
        <w:t>（四）其它未尽事宜按《广西壮族自治区人力资源和社会保障厅 广西壮族自治区住房和城乡建设厅 广西壮族自治区交通运输厅 广西壮族自治区水利厅 中国银行保险监督管理委员会广西监管局关于印发广西壮族自治区工程建设领域农民工工资保证金规定实施办法的通知》（桂人社规〔2021〕16 号）的有关规定执行。</w:t>
      </w:r>
    </w:p>
    <w:p w14:paraId="54C8097D">
      <w:pPr>
        <w:spacing w:line="360" w:lineRule="exact"/>
        <w:ind w:firstLine="420"/>
        <w:rPr>
          <w:rFonts w:hint="eastAsia" w:ascii="宋体" w:hAnsi="宋体" w:cs="宋体"/>
          <w:sz w:val="24"/>
        </w:rPr>
      </w:pPr>
      <w:r>
        <w:rPr>
          <w:rFonts w:hint="eastAsia" w:ascii="宋体" w:hAnsi="宋体" w:cs="宋体"/>
          <w:sz w:val="24"/>
        </w:rPr>
        <w:t>承诺人：（投标单位全称）（盖单位公章）法定代表人</w:t>
      </w:r>
    </w:p>
    <w:p w14:paraId="2362E7D2">
      <w:pPr>
        <w:spacing w:line="360" w:lineRule="exact"/>
        <w:ind w:firstLine="420"/>
        <w:rPr>
          <w:rFonts w:hint="eastAsia" w:ascii="宋体" w:hAnsi="宋体" w:cs="宋体"/>
          <w:sz w:val="24"/>
        </w:rPr>
      </w:pPr>
      <w:r>
        <w:rPr>
          <w:rFonts w:hint="eastAsia" w:ascii="宋体" w:hAnsi="宋体" w:cs="宋体"/>
          <w:sz w:val="24"/>
        </w:rPr>
        <w:t>或其授权的代理人：（姓名）（签字）</w:t>
      </w:r>
    </w:p>
    <w:p w14:paraId="16FC512B">
      <w:pPr>
        <w:spacing w:before="50" w:after="50" w:line="360" w:lineRule="auto"/>
        <w:ind w:firstLine="4800" w:firstLineChars="2000"/>
        <w:rPr>
          <w:rFonts w:ascii="宋体" w:hAnsi="宋体" w:cs="宋体"/>
          <w:spacing w:val="20"/>
          <w:sz w:val="24"/>
          <w:u w:val="single"/>
        </w:rPr>
      </w:pPr>
      <w:r>
        <w:rPr>
          <w:rFonts w:hint="eastAsia" w:ascii="宋体" w:hAnsi="宋体" w:cs="宋体"/>
          <w:sz w:val="24"/>
        </w:rPr>
        <w:t>日期：20  年</w:t>
      </w:r>
      <w:r>
        <w:rPr>
          <w:rFonts w:hint="eastAsia" w:ascii="宋体" w:hAnsi="宋体" w:eastAsia="宋体" w:cs="宋体"/>
          <w:sz w:val="24"/>
          <w:lang w:val="en-US" w:eastAsia="zh-CN"/>
        </w:rPr>
        <w:t xml:space="preserve">  </w:t>
      </w:r>
      <w:r>
        <w:rPr>
          <w:rFonts w:hint="eastAsia" w:ascii="宋体" w:hAnsi="宋体" w:cs="宋体"/>
          <w:sz w:val="24"/>
        </w:rPr>
        <w:t>月</w:t>
      </w:r>
      <w:r>
        <w:rPr>
          <w:rFonts w:hint="eastAsia" w:ascii="宋体" w:hAnsi="宋体" w:eastAsia="宋体" w:cs="宋体"/>
          <w:sz w:val="24"/>
          <w:lang w:val="en-US" w:eastAsia="zh-CN"/>
        </w:rPr>
        <w:t xml:space="preserve">  </w:t>
      </w:r>
      <w:r>
        <w:rPr>
          <w:rFonts w:hint="eastAsia" w:ascii="宋体" w:hAnsi="宋体" w:cs="宋体"/>
          <w:sz w:val="24"/>
        </w:rPr>
        <w:t>日</w:t>
      </w:r>
    </w:p>
    <w:p w14:paraId="50BB4BB4">
      <w:pPr>
        <w:spacing w:before="50" w:after="50" w:line="360" w:lineRule="auto"/>
        <w:rPr>
          <w:rFonts w:ascii="宋体" w:hAnsi="宋体" w:cs="宋体"/>
          <w:sz w:val="24"/>
          <w:szCs w:val="20"/>
        </w:rPr>
      </w:pPr>
    </w:p>
    <w:p w14:paraId="7D61240D">
      <w:pPr>
        <w:numPr>
          <w:ilvl w:val="2"/>
          <w:numId w:val="0"/>
        </w:numPr>
        <w:spacing w:before="120" w:after="50"/>
        <w:jc w:val="left"/>
        <w:rPr>
          <w:rFonts w:ascii="宋体" w:hAnsi="宋体" w:cs="宋体"/>
          <w:b/>
          <w:sz w:val="24"/>
        </w:rPr>
      </w:pPr>
      <w:r>
        <w:rPr>
          <w:rFonts w:hint="eastAsia" w:ascii="宋体" w:hAnsi="宋体" w:cs="宋体"/>
          <w:b/>
          <w:sz w:val="24"/>
        </w:rPr>
        <w:br w:type="page"/>
      </w:r>
      <w:r>
        <w:rPr>
          <w:rFonts w:hint="eastAsia" w:ascii="宋体" w:hAnsi="宋体" w:cs="宋体"/>
          <w:b/>
          <w:sz w:val="24"/>
          <w:lang w:val="en-US" w:eastAsia="zh-CN"/>
        </w:rPr>
        <w:t>3</w:t>
      </w:r>
      <w:r>
        <w:rPr>
          <w:rFonts w:hint="eastAsia" w:ascii="宋体" w:hAnsi="宋体" w:cs="宋体"/>
          <w:b/>
          <w:sz w:val="24"/>
        </w:rPr>
        <w:t>.关于投标人中标后优先使用本地农民工的承诺函</w:t>
      </w:r>
      <w:r>
        <w:rPr>
          <w:rFonts w:hint="eastAsia" w:ascii="宋体" w:hAnsi="宋体" w:cs="宋体"/>
          <w:b/>
          <w:bCs/>
          <w:sz w:val="24"/>
          <w:szCs w:val="24"/>
        </w:rPr>
        <w:t>（必须提供，否则按无效投标处理）</w:t>
      </w:r>
    </w:p>
    <w:p w14:paraId="3730BAD1">
      <w:pPr>
        <w:spacing w:before="120" w:after="50"/>
        <w:jc w:val="left"/>
        <w:rPr>
          <w:rFonts w:ascii="宋体" w:hAnsi="宋体" w:cs="宋体"/>
          <w:b/>
          <w:sz w:val="24"/>
        </w:rPr>
      </w:pPr>
    </w:p>
    <w:p w14:paraId="67AB1AA1">
      <w:pPr>
        <w:spacing w:before="120" w:after="50"/>
        <w:jc w:val="center"/>
        <w:rPr>
          <w:rFonts w:ascii="宋体" w:hAnsi="宋体" w:cs="宋体"/>
          <w:bCs/>
          <w:sz w:val="24"/>
        </w:rPr>
      </w:pPr>
      <w:r>
        <w:rPr>
          <w:rFonts w:hint="eastAsia" w:ascii="宋体" w:hAnsi="宋体" w:cs="宋体"/>
          <w:bCs/>
          <w:sz w:val="24"/>
        </w:rPr>
        <w:t>格式自拟</w:t>
      </w:r>
    </w:p>
    <w:p w14:paraId="62489486">
      <w:pPr>
        <w:spacing w:before="120" w:after="50"/>
        <w:rPr>
          <w:rFonts w:ascii="宋体" w:hAnsi="宋体" w:cs="宋体"/>
          <w:b/>
          <w:sz w:val="24"/>
          <w:szCs w:val="24"/>
          <w:highlight w:val="yellow"/>
        </w:rPr>
      </w:pPr>
      <w:r>
        <w:rPr>
          <w:rFonts w:hint="eastAsia" w:ascii="宋体" w:hAnsi="宋体" w:cs="宋体"/>
          <w:bCs/>
          <w:sz w:val="24"/>
        </w:rPr>
        <w:br w:type="page"/>
      </w:r>
      <w:r>
        <w:rPr>
          <w:rFonts w:ascii="宋体" w:hAnsi="宋体" w:cs="宋体"/>
          <w:bCs/>
          <w:sz w:val="24"/>
          <w:szCs w:val="24"/>
        </w:rPr>
        <w:t>4.</w:t>
      </w:r>
      <w:r>
        <w:rPr>
          <w:b/>
          <w:sz w:val="24"/>
          <w:szCs w:val="24"/>
        </w:rPr>
        <w:t>投入主要机械设备和试验检测设备承诺函</w:t>
      </w:r>
      <w:r>
        <w:rPr>
          <w:b/>
          <w:bCs/>
          <w:sz w:val="24"/>
          <w:szCs w:val="24"/>
        </w:rPr>
        <w:t>（必须提供，否则按无效投标处理）</w:t>
      </w:r>
    </w:p>
    <w:p w14:paraId="41C9FCD5">
      <w:pPr>
        <w:spacing w:before="120" w:after="50"/>
        <w:rPr>
          <w:rFonts w:ascii="宋体" w:hAnsi="宋体" w:cs="宋体"/>
          <w:b/>
          <w:sz w:val="24"/>
          <w:szCs w:val="24"/>
        </w:rPr>
      </w:pPr>
      <w:r>
        <w:rPr>
          <w:rFonts w:ascii="宋体" w:hAnsi="宋体" w:cs="宋体"/>
          <w:b/>
          <w:sz w:val="24"/>
          <w:szCs w:val="24"/>
        </w:rPr>
        <w:t xml:space="preserve"> </w:t>
      </w:r>
    </w:p>
    <w:p w14:paraId="1DA40644">
      <w:pPr>
        <w:pStyle w:val="24"/>
        <w:ind w:firstLine="0" w:firstLineChars="0"/>
      </w:pPr>
      <w:r>
        <w:t xml:space="preserve"> </w:t>
      </w:r>
    </w:p>
    <w:p w14:paraId="3100A522">
      <w:pPr>
        <w:jc w:val="center"/>
        <w:outlineLvl w:val="1"/>
        <w:rPr>
          <w:b/>
          <w:bCs/>
          <w:sz w:val="28"/>
          <w:szCs w:val="28"/>
        </w:rPr>
      </w:pPr>
      <w:bookmarkStart w:id="317" w:name="_Toc26126"/>
      <w:bookmarkStart w:id="318" w:name="_Toc3276"/>
      <w:bookmarkStart w:id="319" w:name="_Toc11053"/>
      <w:r>
        <w:rPr>
          <w:b/>
          <w:bCs/>
          <w:sz w:val="28"/>
          <w:szCs w:val="28"/>
        </w:rPr>
        <w:t>投入主要机械设备和试验检测设备承诺函</w:t>
      </w:r>
      <w:bookmarkEnd w:id="317"/>
      <w:bookmarkEnd w:id="318"/>
      <w:bookmarkEnd w:id="319"/>
    </w:p>
    <w:p w14:paraId="657F2420">
      <w:pPr>
        <w:jc w:val="center"/>
        <w:rPr>
          <w:b/>
          <w:bCs/>
          <w:sz w:val="28"/>
          <w:szCs w:val="28"/>
        </w:rPr>
      </w:pPr>
      <w:r>
        <w:rPr>
          <w:b/>
          <w:bCs/>
          <w:sz w:val="28"/>
          <w:szCs w:val="28"/>
        </w:rPr>
        <w:t xml:space="preserve"> </w:t>
      </w:r>
    </w:p>
    <w:p w14:paraId="189C5FA0">
      <w:pPr>
        <w:pStyle w:val="37"/>
        <w:ind w:firstLine="440" w:firstLineChars="200"/>
        <w:rPr>
          <w:rFonts w:hint="eastAsia" w:ascii="等线" w:hAnsi="等线" w:eastAsia="等线"/>
          <w:lang w:eastAsia="zh-CN"/>
        </w:rPr>
      </w:pPr>
      <w:r>
        <w:rPr>
          <w:rFonts w:ascii="等线" w:hAnsi="等线"/>
        </w:rPr>
        <w:t>致：</w:t>
      </w:r>
      <w:r>
        <w:rPr>
          <w:rFonts w:hint="eastAsia" w:ascii="等线" w:hAnsi="等线"/>
        </w:rPr>
        <w:t>广西壮族自治区恭城公路养护中心、广西壮族自治区平乐公路养护中心、广西壮族自治区阳朔公路养护中心、广西壮族自治区灌阳公路养护中心</w:t>
      </w:r>
      <w:r>
        <w:rPr>
          <w:rFonts w:hint="eastAsia" w:ascii="等线" w:hAnsi="等线"/>
          <w:lang w:eastAsia="zh-CN"/>
        </w:rPr>
        <w:t>：</w:t>
      </w:r>
    </w:p>
    <w:p w14:paraId="761F6DB0">
      <w:pPr>
        <w:pStyle w:val="37"/>
        <w:ind w:firstLine="440" w:firstLineChars="200"/>
      </w:pPr>
      <w:r>
        <w:rPr>
          <w:rFonts w:ascii="等线" w:hAnsi="等线"/>
        </w:rPr>
        <w:t>为严格履行合同约定，保障公路日常养护、应急抢险及工程质量检测工作高效开展，依据《公路养护技术规范》（</w:t>
      </w:r>
      <w:r>
        <w:t>JTG H10-2009</w:t>
      </w:r>
      <w:r>
        <w:rPr>
          <w:rFonts w:ascii="等线" w:hAnsi="等线"/>
        </w:rPr>
        <w:t>）《公路工程试验检测管理办法》《公路交通应急抢通技术规程》（</w:t>
      </w:r>
      <w:r>
        <w:t>JTG/T 6410—2025</w:t>
      </w:r>
      <w:r>
        <w:rPr>
          <w:rFonts w:ascii="等线" w:hAnsi="等线"/>
        </w:rPr>
        <w:t>）等相关法律法规及技术标准，现就投入本项目的主要机械设备和试验检测设备事宜，郑重作出如下承诺：</w:t>
      </w:r>
    </w:p>
    <w:p w14:paraId="0E11EABA">
      <w:pPr>
        <w:pStyle w:val="37"/>
        <w:ind w:left="288" w:hanging="288"/>
      </w:pPr>
      <w:r>
        <w:t>1.</w:t>
      </w:r>
      <w:r>
        <w:rPr>
          <w:rFonts w:ascii="等线" w:hAnsi="等线"/>
          <w:b/>
          <w:bCs/>
        </w:rPr>
        <w:t>主要机械设备</w:t>
      </w:r>
      <w:r>
        <w:rPr>
          <w:rFonts w:ascii="等线" w:hAnsi="等线"/>
        </w:rPr>
        <w:t>：按</w:t>
      </w:r>
      <w:r>
        <w:rPr>
          <w:rFonts w:hint="eastAsia" w:ascii="等线" w:hAnsi="等线"/>
        </w:rPr>
        <w:t>采购人最低要求养护设备一览表约定的机械设备数量和在评标标准商务部分拟投入本项目服务的主要施工机械设备情况中增加的机械设备</w:t>
      </w:r>
      <w:r>
        <w:rPr>
          <w:rFonts w:ascii="等线" w:hAnsi="等线"/>
        </w:rPr>
        <w:t>足额配置</w:t>
      </w:r>
      <w:r>
        <w:rPr>
          <w:rFonts w:hint="eastAsia" w:ascii="等线" w:hAnsi="等线"/>
        </w:rPr>
        <w:t>，</w:t>
      </w:r>
      <w:r>
        <w:rPr>
          <w:rFonts w:ascii="等线" w:hAnsi="等线"/>
        </w:rPr>
        <w:t>养护与应急类设备，设备型号、功率等参数符合项目技术要求，覆盖路基、路面、桥涵等全场景作业需求。</w:t>
      </w:r>
    </w:p>
    <w:p w14:paraId="66AD5304">
      <w:pPr>
        <w:pStyle w:val="37"/>
        <w:ind w:left="288" w:hanging="288"/>
      </w:pPr>
      <w:r>
        <w:t>2.</w:t>
      </w:r>
      <w:r>
        <w:rPr>
          <w:rFonts w:ascii="等线" w:hAnsi="等线"/>
          <w:b/>
          <w:bCs/>
        </w:rPr>
        <w:t>试验检测设备</w:t>
      </w:r>
      <w:r>
        <w:rPr>
          <w:rFonts w:ascii="等线" w:hAnsi="等线"/>
        </w:rPr>
        <w:t>：配置满足工程质量检测的全套设备，涵盖原材料检测类、路面性能检测类、结构安全检测类，设备量程、精度符合《公路工程质量检验评定标准》，可完成压实度、厚度、强度等核心指标检测。</w:t>
      </w:r>
    </w:p>
    <w:p w14:paraId="659B11DA">
      <w:pPr>
        <w:pStyle w:val="37"/>
        <w:ind w:left="288" w:hanging="288"/>
      </w:pPr>
      <w:r>
        <w:t>3.</w:t>
      </w:r>
      <w:r>
        <w:rPr>
          <w:rFonts w:ascii="等线" w:hAnsi="等线"/>
          <w:b/>
          <w:bCs/>
        </w:rPr>
        <w:t>设备权属清晰</w:t>
      </w:r>
      <w:r>
        <w:rPr>
          <w:rFonts w:ascii="等线" w:hAnsi="等线"/>
        </w:rPr>
        <w:t>：所有投入设备均为我方自有或合法租赁，租赁设备已签订有效租赁合同，明确约定项目服务期内使用权，无产权纠纷或抵押限制，确保设备全程稳定投入使用。</w:t>
      </w:r>
    </w:p>
    <w:p w14:paraId="723E49CB">
      <w:pPr>
        <w:pStyle w:val="37"/>
        <w:ind w:left="288" w:hanging="288"/>
      </w:pPr>
      <w:r>
        <w:rPr>
          <w:rFonts w:hint="eastAsia"/>
        </w:rPr>
        <w:t>4</w:t>
      </w:r>
      <w:r>
        <w:t>.</w:t>
      </w:r>
      <w:r>
        <w:rPr>
          <w:rFonts w:ascii="等线" w:hAnsi="等线"/>
          <w:b/>
          <w:bCs/>
        </w:rPr>
        <w:t>性能达标要求</w:t>
      </w:r>
      <w:r>
        <w:rPr>
          <w:rFonts w:ascii="等线" w:hAnsi="等线"/>
        </w:rPr>
        <w:t>：机械设备运行状态良好，动力性能、作业效率满足项目施工与应急抢险需求，近</w:t>
      </w:r>
      <w:r>
        <w:t xml:space="preserve"> 1 </w:t>
      </w:r>
      <w:r>
        <w:rPr>
          <w:rFonts w:ascii="等线" w:hAnsi="等线"/>
        </w:rPr>
        <w:t xml:space="preserve">年内无重大故障记录；试验检测设备经法定计量检定机构检定 </w:t>
      </w:r>
      <w:r>
        <w:t xml:space="preserve">/ </w:t>
      </w:r>
      <w:r>
        <w:rPr>
          <w:rFonts w:ascii="等线" w:hAnsi="等线"/>
        </w:rPr>
        <w:t xml:space="preserve">校准合格，取得有效检定 </w:t>
      </w:r>
      <w:r>
        <w:t xml:space="preserve">/ </w:t>
      </w:r>
      <w:r>
        <w:rPr>
          <w:rFonts w:ascii="等线" w:hAnsi="等线"/>
        </w:rPr>
        <w:t>校准证书，证书在有效期内，确保检测数据准确可靠。</w:t>
      </w:r>
    </w:p>
    <w:p w14:paraId="0EF04405">
      <w:pPr>
        <w:pStyle w:val="37"/>
        <w:ind w:left="288" w:hanging="288"/>
      </w:pPr>
      <w:r>
        <w:rPr>
          <w:rFonts w:hint="eastAsia"/>
        </w:rPr>
        <w:t>5</w:t>
      </w:r>
      <w:r>
        <w:t>.</w:t>
      </w:r>
      <w:r>
        <w:rPr>
          <w:rFonts w:ascii="等线" w:hAnsi="等线"/>
          <w:b/>
          <w:bCs/>
        </w:rPr>
        <w:t>专项适配保障</w:t>
      </w:r>
      <w:r>
        <w:rPr>
          <w:rFonts w:ascii="等线" w:hAnsi="等线"/>
        </w:rPr>
        <w:t>：针对项目特殊需求（如山区路段配备防滑链、爬坡增强型设备，冬季除雪路段配备低温适配型除雪车，跨海桥梁配备防腐蚀检测设备），设备已完成专项改装与调试，能适应复杂作业环境；危险品路段养护设备额外配备防火、防爆装置，符合安全作业规范。</w:t>
      </w:r>
    </w:p>
    <w:p w14:paraId="06597E40">
      <w:pPr>
        <w:pStyle w:val="37"/>
        <w:ind w:left="288" w:hanging="288"/>
      </w:pPr>
      <w:r>
        <w:rPr>
          <w:rFonts w:hint="eastAsia"/>
        </w:rPr>
        <w:t>6</w:t>
      </w:r>
      <w:r>
        <w:t>.</w:t>
      </w:r>
      <w:r>
        <w:rPr>
          <w:rFonts w:ascii="等线" w:hAnsi="等线"/>
          <w:b/>
          <w:bCs/>
        </w:rPr>
        <w:t>违约追责承诺</w:t>
      </w:r>
      <w:r>
        <w:rPr>
          <w:rFonts w:ascii="等线" w:hAnsi="等线"/>
        </w:rPr>
        <w:t>：</w:t>
      </w:r>
      <w:r>
        <w:rPr>
          <w:rFonts w:hint="eastAsia" w:ascii="等线" w:hAnsi="等线"/>
        </w:rPr>
        <w:t>我方承诺一旦中标，应在签订合同15天内，按采购人最低要求养护设备一览表约定的机械设备数量和在评标标准商务部分拟投入本项目服务的主要施工机械设备情况中增加的机械设备到位，否则按违约处理。</w:t>
      </w:r>
      <w:r>
        <w:rPr>
          <w:rFonts w:ascii="等线" w:hAnsi="等线"/>
        </w:rPr>
        <w:t>，我方自愿接受甲方按合同约定的处罚，并承担由此产生的全部经济损失和法律责任；自愿接受甲方及相关主管部门对设备配置、维护、使用情况的监督检查，对发现的问题在规定期限内完成整改。</w:t>
      </w:r>
    </w:p>
    <w:p w14:paraId="6E24B4CD">
      <w:pPr>
        <w:pStyle w:val="37"/>
        <w:ind w:left="288" w:hanging="288"/>
      </w:pPr>
      <w:r>
        <w:rPr>
          <w:rFonts w:hint="eastAsia"/>
        </w:rPr>
        <w:t>7. ......</w:t>
      </w:r>
      <w:r>
        <w:rPr>
          <w:rFonts w:hint="eastAsia" w:ascii="等线" w:hAnsi="等线"/>
        </w:rPr>
        <w:t>（投标人可根据企业自身实际情况自行编写）</w:t>
      </w:r>
    </w:p>
    <w:p w14:paraId="12ABA94E">
      <w:pPr>
        <w:pStyle w:val="37"/>
        <w:ind w:left="424" w:leftChars="202" w:firstLine="574" w:firstLineChars="261"/>
      </w:pPr>
      <w:r>
        <w:rPr>
          <w:rFonts w:ascii="等线" w:hAnsi="等线"/>
        </w:rPr>
        <w:t>我方将严格恪守上述承诺，</w:t>
      </w:r>
      <w:r>
        <w:rPr>
          <w:rFonts w:hint="eastAsia" w:ascii="等线" w:hAnsi="等线"/>
        </w:rPr>
        <w:t>投入主要机械设备和试验检测设备</w:t>
      </w:r>
      <w:r>
        <w:rPr>
          <w:rFonts w:ascii="等线" w:hAnsi="等线"/>
        </w:rPr>
        <w:t>保障设备足额、合规、高效投入使用。</w:t>
      </w:r>
    </w:p>
    <w:p w14:paraId="787D72CA">
      <w:r>
        <w:t xml:space="preserve"> </w:t>
      </w:r>
    </w:p>
    <w:p w14:paraId="6CC6D1D4">
      <w:pPr>
        <w:pStyle w:val="37"/>
      </w:pPr>
      <w:r>
        <w:rPr>
          <w:rFonts w:hint="eastAsia" w:ascii="等线" w:hAnsi="等线"/>
        </w:rPr>
        <w:t>投标人</w:t>
      </w:r>
      <w:r>
        <w:rPr>
          <w:rFonts w:ascii="等线" w:hAnsi="等线"/>
        </w:rPr>
        <w:t>（公章）：</w:t>
      </w:r>
    </w:p>
    <w:p w14:paraId="5DC4981E">
      <w:pPr>
        <w:pStyle w:val="37"/>
      </w:pPr>
      <w:r>
        <w:rPr>
          <w:rFonts w:ascii="等线" w:hAnsi="等线"/>
        </w:rPr>
        <w:t>法定代表人或其授权代理人（签字</w:t>
      </w:r>
      <w:r>
        <w:rPr>
          <w:rFonts w:hint="eastAsia" w:ascii="等线" w:hAnsi="等线"/>
        </w:rPr>
        <w:t>或盖章</w:t>
      </w:r>
      <w:r>
        <w:rPr>
          <w:rFonts w:ascii="等线" w:hAnsi="等线"/>
        </w:rPr>
        <w:t>）：</w:t>
      </w:r>
    </w:p>
    <w:p w14:paraId="1730B116">
      <w:pPr>
        <w:pStyle w:val="37"/>
      </w:pPr>
      <w:r>
        <w:rPr>
          <w:rFonts w:ascii="等线" w:hAnsi="等线"/>
        </w:rPr>
        <w:t>日期：</w:t>
      </w:r>
      <w:r>
        <w:rPr>
          <w:rFonts w:hint="eastAsia"/>
        </w:rPr>
        <w:t>20XX</w:t>
      </w:r>
      <w:r>
        <w:rPr>
          <w:rFonts w:hint="eastAsia" w:ascii="等线" w:hAnsi="等线"/>
        </w:rPr>
        <w:t>年</w:t>
      </w:r>
      <w:r>
        <w:rPr>
          <w:rFonts w:hint="eastAsia"/>
        </w:rPr>
        <w:t>XX</w:t>
      </w:r>
      <w:r>
        <w:rPr>
          <w:rFonts w:hint="eastAsia" w:ascii="等线" w:hAnsi="等线"/>
        </w:rPr>
        <w:t>月</w:t>
      </w:r>
      <w:r>
        <w:rPr>
          <w:rFonts w:hint="eastAsia"/>
        </w:rPr>
        <w:t>XX</w:t>
      </w:r>
      <w:r>
        <w:rPr>
          <w:rFonts w:hint="eastAsia" w:ascii="等线" w:hAnsi="等线"/>
        </w:rPr>
        <w:t>日</w:t>
      </w:r>
    </w:p>
    <w:p w14:paraId="7E3BA666"/>
    <w:p w14:paraId="58ED27FC">
      <w:pPr>
        <w:pStyle w:val="37"/>
        <w:rPr>
          <w:rFonts w:hint="default" w:eastAsia="等线"/>
          <w:color w:val="auto"/>
          <w:lang w:val="en-US" w:eastAsia="zh-CN"/>
        </w:rPr>
      </w:pPr>
    </w:p>
    <w:p w14:paraId="3A0D8D3F">
      <w:pPr>
        <w:numPr>
          <w:ilvl w:val="2"/>
          <w:numId w:val="0"/>
        </w:numPr>
        <w:spacing w:before="120" w:after="50"/>
        <w:jc w:val="left"/>
        <w:rPr>
          <w:rFonts w:hint="eastAsia" w:ascii="宋体" w:hAnsi="宋体" w:cs="宋体"/>
          <w:b/>
          <w:sz w:val="24"/>
        </w:rPr>
      </w:pPr>
      <w:r>
        <w:rPr>
          <w:rFonts w:hint="eastAsia" w:ascii="宋体" w:hAnsi="宋体" w:cs="宋体"/>
          <w:b/>
          <w:sz w:val="24"/>
        </w:rPr>
        <w:br w:type="page"/>
      </w:r>
    </w:p>
    <w:p w14:paraId="6D7A139E">
      <w:pPr>
        <w:numPr>
          <w:ilvl w:val="2"/>
          <w:numId w:val="0"/>
        </w:numPr>
        <w:spacing w:before="120" w:after="50"/>
        <w:jc w:val="left"/>
        <w:rPr>
          <w:rFonts w:hint="default" w:ascii="宋体" w:hAnsi="宋体" w:eastAsia="宋体" w:cs="宋体"/>
          <w:b/>
          <w:sz w:val="24"/>
          <w:lang w:val="en-US" w:eastAsia="zh-CN"/>
        </w:rPr>
      </w:pPr>
      <w:r>
        <w:rPr>
          <w:rFonts w:hint="eastAsia" w:ascii="宋体" w:hAnsi="宋体" w:cs="宋体"/>
          <w:b/>
          <w:sz w:val="24"/>
          <w:lang w:val="en-US" w:eastAsia="zh-CN"/>
        </w:rPr>
        <w:t>5.服务方案（格式自拟）；</w:t>
      </w:r>
    </w:p>
    <w:p w14:paraId="09ED2E9D">
      <w:pPr>
        <w:numPr>
          <w:ilvl w:val="2"/>
          <w:numId w:val="0"/>
        </w:numPr>
        <w:spacing w:before="120" w:after="50"/>
        <w:jc w:val="left"/>
        <w:rPr>
          <w:rFonts w:hint="eastAsia" w:ascii="宋体" w:hAnsi="宋体" w:cs="宋体"/>
          <w:b/>
          <w:sz w:val="24"/>
        </w:rPr>
      </w:pPr>
    </w:p>
    <w:p w14:paraId="6359929A">
      <w:pPr>
        <w:numPr>
          <w:ilvl w:val="2"/>
          <w:numId w:val="0"/>
        </w:numPr>
        <w:spacing w:before="120" w:after="50"/>
        <w:jc w:val="left"/>
        <w:rPr>
          <w:rFonts w:hint="eastAsia" w:ascii="宋体" w:hAnsi="宋体" w:cs="宋体"/>
          <w:b/>
          <w:sz w:val="24"/>
        </w:rPr>
      </w:pPr>
    </w:p>
    <w:p w14:paraId="0D3D6B8C">
      <w:pPr>
        <w:numPr>
          <w:ilvl w:val="2"/>
          <w:numId w:val="0"/>
        </w:numPr>
        <w:spacing w:before="120" w:after="50"/>
        <w:jc w:val="left"/>
        <w:rPr>
          <w:rFonts w:hint="eastAsia" w:ascii="宋体" w:hAnsi="宋体" w:cs="宋体"/>
          <w:b/>
          <w:sz w:val="24"/>
        </w:rPr>
      </w:pPr>
    </w:p>
    <w:p w14:paraId="715C3777">
      <w:pPr>
        <w:numPr>
          <w:ilvl w:val="2"/>
          <w:numId w:val="0"/>
        </w:numPr>
        <w:spacing w:before="120" w:after="50"/>
        <w:jc w:val="left"/>
        <w:rPr>
          <w:rFonts w:hint="eastAsia" w:ascii="宋体" w:hAnsi="宋体" w:cs="宋体"/>
          <w:b/>
          <w:sz w:val="24"/>
        </w:rPr>
      </w:pPr>
    </w:p>
    <w:p w14:paraId="65BB2A5A">
      <w:pPr>
        <w:numPr>
          <w:ilvl w:val="2"/>
          <w:numId w:val="0"/>
        </w:numPr>
        <w:spacing w:before="120" w:after="50"/>
        <w:jc w:val="left"/>
        <w:rPr>
          <w:rFonts w:hint="eastAsia" w:ascii="宋体" w:hAnsi="宋体" w:cs="宋体"/>
          <w:b/>
          <w:sz w:val="24"/>
        </w:rPr>
      </w:pPr>
    </w:p>
    <w:p w14:paraId="5F5BBAB7">
      <w:pPr>
        <w:numPr>
          <w:ilvl w:val="2"/>
          <w:numId w:val="0"/>
        </w:numPr>
        <w:spacing w:before="120" w:after="50"/>
        <w:jc w:val="left"/>
        <w:rPr>
          <w:rFonts w:ascii="宋体" w:hAnsi="宋体" w:cs="宋体"/>
          <w:b/>
          <w:sz w:val="24"/>
        </w:rPr>
      </w:pPr>
      <w:r>
        <w:rPr>
          <w:rFonts w:hint="eastAsia" w:ascii="宋体" w:hAnsi="宋体" w:cs="宋体"/>
          <w:b/>
          <w:sz w:val="24"/>
          <w:lang w:val="en-US" w:eastAsia="zh-CN"/>
        </w:rPr>
        <w:t>6</w:t>
      </w:r>
      <w:r>
        <w:rPr>
          <w:rFonts w:hint="eastAsia" w:ascii="宋体" w:hAnsi="宋体" w:cs="宋体"/>
          <w:b/>
          <w:sz w:val="24"/>
        </w:rPr>
        <w:t>. 项目实施人员一览表格式</w:t>
      </w:r>
      <w:r>
        <w:rPr>
          <w:rFonts w:hint="eastAsia" w:ascii="宋体" w:hAnsi="宋体" w:cs="宋体"/>
          <w:b/>
          <w:bCs/>
          <w:sz w:val="24"/>
          <w:szCs w:val="24"/>
        </w:rPr>
        <w:t>（必须提供，否则按无效投标处理）</w:t>
      </w:r>
    </w:p>
    <w:p w14:paraId="3926B310">
      <w:pPr>
        <w:spacing w:before="120" w:after="50"/>
        <w:ind w:left="142"/>
        <w:jc w:val="left"/>
        <w:rPr>
          <w:rFonts w:ascii="宋体" w:hAnsi="宋体" w:cs="宋体"/>
          <w:b/>
          <w:sz w:val="24"/>
        </w:rPr>
      </w:pPr>
    </w:p>
    <w:p w14:paraId="32A470B2">
      <w:pPr>
        <w:spacing w:before="185" w:line="231" w:lineRule="auto"/>
        <w:ind w:left="230"/>
        <w:jc w:val="center"/>
        <w:rPr>
          <w:rFonts w:hint="eastAsia" w:ascii="宋体" w:hAnsi="宋体" w:eastAsia="宋体" w:cs="宋体"/>
          <w:sz w:val="29"/>
          <w:szCs w:val="29"/>
          <w:lang w:eastAsia="zh-CN"/>
        </w:rPr>
      </w:pPr>
      <w:r>
        <w:rPr>
          <w:rFonts w:hint="eastAsia" w:ascii="宋体" w:hAnsi="宋体" w:cs="宋体"/>
          <w:spacing w:val="10"/>
          <w:sz w:val="29"/>
          <w:szCs w:val="29"/>
        </w:rPr>
        <w:t>（1）拟委任的项目经理资历表</w:t>
      </w:r>
      <w:r>
        <w:rPr>
          <w:rFonts w:hint="eastAsia" w:ascii="宋体" w:hAnsi="宋体" w:cs="宋体"/>
          <w:spacing w:val="10"/>
          <w:sz w:val="29"/>
          <w:szCs w:val="29"/>
          <w:lang w:eastAsia="zh-CN"/>
        </w:rPr>
        <w:t>（</w:t>
      </w:r>
      <w:r>
        <w:rPr>
          <w:rFonts w:hint="eastAsia" w:ascii="宋体" w:hAnsi="宋体" w:cs="宋体"/>
          <w:spacing w:val="10"/>
          <w:sz w:val="29"/>
          <w:szCs w:val="29"/>
          <w:lang w:val="en-US" w:eastAsia="zh-CN"/>
        </w:rPr>
        <w:t>格式</w:t>
      </w:r>
      <w:r>
        <w:rPr>
          <w:rFonts w:hint="eastAsia" w:ascii="宋体" w:hAnsi="宋体" w:cs="宋体"/>
          <w:spacing w:val="10"/>
          <w:sz w:val="29"/>
          <w:szCs w:val="29"/>
          <w:lang w:eastAsia="zh-CN"/>
        </w:rPr>
        <w:t>）</w:t>
      </w:r>
    </w:p>
    <w:p w14:paraId="44538F9B"/>
    <w:tbl>
      <w:tblPr>
        <w:tblStyle w:val="25"/>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403"/>
        <w:gridCol w:w="1275"/>
        <w:gridCol w:w="321"/>
        <w:gridCol w:w="1516"/>
        <w:gridCol w:w="862"/>
        <w:gridCol w:w="616"/>
        <w:gridCol w:w="776"/>
        <w:gridCol w:w="1393"/>
        <w:gridCol w:w="1477"/>
      </w:tblGrid>
      <w:tr w14:paraId="24CB8F4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1403" w:type="dxa"/>
            <w:noWrap/>
            <w:vAlign w:val="center"/>
          </w:tcPr>
          <w:p w14:paraId="75AF6C06">
            <w:pPr>
              <w:tabs>
                <w:tab w:val="left" w:pos="680"/>
              </w:tabs>
              <w:spacing w:before="73"/>
              <w:jc w:val="center"/>
              <w:rPr>
                <w:rFonts w:ascii="宋体" w:hAnsi="宋体" w:cs="宋体"/>
              </w:rPr>
            </w:pPr>
            <w:r>
              <w:rPr>
                <w:rFonts w:hint="eastAsia" w:ascii="宋体" w:hAnsi="宋体" w:cs="宋体"/>
              </w:rPr>
              <w:t>姓</w:t>
            </w:r>
            <w:r>
              <w:rPr>
                <w:rFonts w:hint="eastAsia" w:ascii="宋体" w:hAnsi="宋体" w:cs="宋体"/>
              </w:rPr>
              <w:tab/>
            </w:r>
            <w:r>
              <w:rPr>
                <w:rFonts w:hint="eastAsia" w:ascii="宋体" w:hAnsi="宋体" w:cs="宋体"/>
              </w:rPr>
              <w:t>名</w:t>
            </w:r>
          </w:p>
        </w:tc>
        <w:tc>
          <w:tcPr>
            <w:tcW w:w="1596" w:type="dxa"/>
            <w:gridSpan w:val="2"/>
            <w:noWrap/>
            <w:vAlign w:val="center"/>
          </w:tcPr>
          <w:p w14:paraId="67454763">
            <w:pPr>
              <w:jc w:val="center"/>
              <w:rPr>
                <w:rFonts w:ascii="宋体" w:hAnsi="宋体" w:cs="宋体"/>
              </w:rPr>
            </w:pPr>
          </w:p>
        </w:tc>
        <w:tc>
          <w:tcPr>
            <w:tcW w:w="1516" w:type="dxa"/>
            <w:noWrap/>
            <w:vAlign w:val="center"/>
          </w:tcPr>
          <w:p w14:paraId="5CEAA578">
            <w:pPr>
              <w:spacing w:before="73"/>
              <w:jc w:val="center"/>
              <w:rPr>
                <w:rFonts w:ascii="宋体" w:hAnsi="宋体" w:cs="宋体"/>
              </w:rPr>
            </w:pPr>
            <w:r>
              <w:rPr>
                <w:rFonts w:hint="eastAsia" w:ascii="宋体" w:hAnsi="宋体" w:cs="宋体"/>
              </w:rPr>
              <w:t>年  龄</w:t>
            </w:r>
          </w:p>
        </w:tc>
        <w:tc>
          <w:tcPr>
            <w:tcW w:w="1478" w:type="dxa"/>
            <w:gridSpan w:val="2"/>
            <w:noWrap/>
            <w:vAlign w:val="center"/>
          </w:tcPr>
          <w:p w14:paraId="2720FFBC">
            <w:pPr>
              <w:jc w:val="center"/>
              <w:rPr>
                <w:rFonts w:ascii="宋体" w:hAnsi="宋体" w:cs="宋体"/>
              </w:rPr>
            </w:pPr>
          </w:p>
        </w:tc>
        <w:tc>
          <w:tcPr>
            <w:tcW w:w="2169" w:type="dxa"/>
            <w:gridSpan w:val="2"/>
            <w:noWrap/>
            <w:vAlign w:val="center"/>
          </w:tcPr>
          <w:p w14:paraId="769810DD">
            <w:pPr>
              <w:spacing w:before="73"/>
              <w:jc w:val="center"/>
              <w:rPr>
                <w:rFonts w:ascii="宋体" w:hAnsi="宋体" w:cs="宋体"/>
              </w:rPr>
            </w:pPr>
            <w:r>
              <w:rPr>
                <w:rFonts w:hint="eastAsia" w:ascii="宋体" w:hAnsi="宋体" w:cs="宋体"/>
              </w:rPr>
              <w:t>专  业</w:t>
            </w:r>
          </w:p>
        </w:tc>
        <w:tc>
          <w:tcPr>
            <w:tcW w:w="1477" w:type="dxa"/>
            <w:noWrap/>
            <w:vAlign w:val="center"/>
          </w:tcPr>
          <w:p w14:paraId="7321358B">
            <w:pPr>
              <w:jc w:val="center"/>
              <w:rPr>
                <w:rFonts w:ascii="宋体" w:hAnsi="宋体" w:cs="宋体"/>
              </w:rPr>
            </w:pPr>
          </w:p>
        </w:tc>
      </w:tr>
      <w:tr w14:paraId="15FFCBA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1403" w:type="dxa"/>
            <w:noWrap/>
            <w:vAlign w:val="center"/>
          </w:tcPr>
          <w:p w14:paraId="64D92FE2">
            <w:pPr>
              <w:tabs>
                <w:tab w:val="left" w:pos="680"/>
              </w:tabs>
              <w:spacing w:before="73"/>
              <w:jc w:val="center"/>
              <w:rPr>
                <w:rFonts w:ascii="宋体" w:hAnsi="宋体" w:cs="宋体"/>
              </w:rPr>
            </w:pPr>
            <w:r>
              <w:rPr>
                <w:rFonts w:hint="eastAsia" w:ascii="宋体" w:hAnsi="宋体" w:cs="宋体"/>
              </w:rPr>
              <w:t>技术职称</w:t>
            </w:r>
          </w:p>
        </w:tc>
        <w:tc>
          <w:tcPr>
            <w:tcW w:w="1596" w:type="dxa"/>
            <w:gridSpan w:val="2"/>
            <w:noWrap/>
            <w:vAlign w:val="center"/>
          </w:tcPr>
          <w:p w14:paraId="2D2E8DCF">
            <w:pPr>
              <w:jc w:val="center"/>
              <w:rPr>
                <w:rFonts w:ascii="宋体" w:hAnsi="宋体" w:cs="宋体"/>
              </w:rPr>
            </w:pPr>
          </w:p>
        </w:tc>
        <w:tc>
          <w:tcPr>
            <w:tcW w:w="1516" w:type="dxa"/>
            <w:noWrap/>
            <w:vAlign w:val="center"/>
          </w:tcPr>
          <w:p w14:paraId="42C87BBC">
            <w:pPr>
              <w:spacing w:before="73"/>
              <w:jc w:val="center"/>
              <w:rPr>
                <w:rFonts w:ascii="宋体" w:hAnsi="宋体" w:cs="宋体"/>
              </w:rPr>
            </w:pPr>
            <w:r>
              <w:rPr>
                <w:rFonts w:hint="eastAsia" w:ascii="宋体" w:hAnsi="宋体" w:cs="宋体"/>
              </w:rPr>
              <w:t>学历</w:t>
            </w:r>
          </w:p>
        </w:tc>
        <w:tc>
          <w:tcPr>
            <w:tcW w:w="1478" w:type="dxa"/>
            <w:gridSpan w:val="2"/>
            <w:noWrap/>
            <w:vAlign w:val="center"/>
          </w:tcPr>
          <w:p w14:paraId="25D50868">
            <w:pPr>
              <w:jc w:val="center"/>
              <w:rPr>
                <w:rFonts w:ascii="宋体" w:hAnsi="宋体" w:cs="宋体"/>
              </w:rPr>
            </w:pPr>
          </w:p>
        </w:tc>
        <w:tc>
          <w:tcPr>
            <w:tcW w:w="2169" w:type="dxa"/>
            <w:gridSpan w:val="2"/>
            <w:noWrap/>
            <w:vAlign w:val="center"/>
          </w:tcPr>
          <w:p w14:paraId="649EFFB3">
            <w:pPr>
              <w:spacing w:before="73"/>
              <w:jc w:val="center"/>
              <w:rPr>
                <w:rFonts w:ascii="宋体" w:hAnsi="宋体" w:cs="宋体"/>
              </w:rPr>
            </w:pPr>
            <w:r>
              <w:rPr>
                <w:rFonts w:hint="eastAsia" w:ascii="宋体" w:hAnsi="宋体" w:cs="宋体"/>
              </w:rPr>
              <w:t>拟在本标段</w:t>
            </w:r>
          </w:p>
          <w:p w14:paraId="01D27EBB">
            <w:pPr>
              <w:spacing w:before="73"/>
              <w:jc w:val="center"/>
              <w:rPr>
                <w:rFonts w:ascii="宋体" w:hAnsi="宋体" w:cs="宋体"/>
              </w:rPr>
            </w:pPr>
            <w:r>
              <w:rPr>
                <w:rFonts w:hint="eastAsia" w:ascii="宋体" w:hAnsi="宋体" w:cs="宋体"/>
              </w:rPr>
              <w:t>工程任职</w:t>
            </w:r>
          </w:p>
        </w:tc>
        <w:tc>
          <w:tcPr>
            <w:tcW w:w="1477" w:type="dxa"/>
            <w:noWrap/>
            <w:vAlign w:val="center"/>
          </w:tcPr>
          <w:p w14:paraId="7FAA250E">
            <w:pPr>
              <w:jc w:val="center"/>
              <w:rPr>
                <w:rFonts w:ascii="宋体" w:hAnsi="宋体" w:cs="宋体"/>
              </w:rPr>
            </w:pPr>
          </w:p>
        </w:tc>
      </w:tr>
      <w:tr w14:paraId="00A97FA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1403" w:type="dxa"/>
            <w:noWrap/>
            <w:vAlign w:val="center"/>
          </w:tcPr>
          <w:p w14:paraId="6F9303E4">
            <w:pPr>
              <w:tabs>
                <w:tab w:val="left" w:pos="680"/>
              </w:tabs>
              <w:spacing w:before="73"/>
              <w:jc w:val="center"/>
              <w:rPr>
                <w:rFonts w:ascii="宋体" w:hAnsi="宋体" w:cs="宋体"/>
              </w:rPr>
            </w:pPr>
            <w:r>
              <w:rPr>
                <w:rFonts w:hint="eastAsia" w:ascii="宋体" w:hAnsi="宋体" w:cs="宋体"/>
              </w:rPr>
              <w:t>工作年限</w:t>
            </w:r>
          </w:p>
        </w:tc>
        <w:tc>
          <w:tcPr>
            <w:tcW w:w="4590" w:type="dxa"/>
            <w:gridSpan w:val="5"/>
            <w:noWrap/>
            <w:vAlign w:val="center"/>
          </w:tcPr>
          <w:p w14:paraId="24BEC66A">
            <w:pPr>
              <w:jc w:val="center"/>
              <w:rPr>
                <w:rFonts w:ascii="宋体" w:hAnsi="宋体" w:cs="宋体"/>
              </w:rPr>
            </w:pPr>
          </w:p>
        </w:tc>
        <w:tc>
          <w:tcPr>
            <w:tcW w:w="2169" w:type="dxa"/>
            <w:gridSpan w:val="2"/>
            <w:noWrap/>
            <w:vAlign w:val="center"/>
          </w:tcPr>
          <w:p w14:paraId="16560E8C">
            <w:pPr>
              <w:spacing w:before="73"/>
              <w:jc w:val="center"/>
              <w:rPr>
                <w:rFonts w:ascii="宋体" w:hAnsi="宋体" w:cs="宋体"/>
              </w:rPr>
            </w:pPr>
            <w:r>
              <w:rPr>
                <w:rFonts w:hint="eastAsia" w:ascii="宋体" w:hAnsi="宋体" w:cs="宋体"/>
              </w:rPr>
              <w:t>类似施工经验年限</w:t>
            </w:r>
          </w:p>
        </w:tc>
        <w:tc>
          <w:tcPr>
            <w:tcW w:w="1477" w:type="dxa"/>
            <w:noWrap/>
            <w:vAlign w:val="center"/>
          </w:tcPr>
          <w:p w14:paraId="395A4134">
            <w:pPr>
              <w:jc w:val="center"/>
              <w:rPr>
                <w:rFonts w:ascii="宋体" w:hAnsi="宋体" w:cs="宋体"/>
              </w:rPr>
            </w:pPr>
          </w:p>
        </w:tc>
      </w:tr>
      <w:tr w14:paraId="68906EC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1403" w:type="dxa"/>
            <w:noWrap/>
            <w:vAlign w:val="center"/>
          </w:tcPr>
          <w:p w14:paraId="30D9E932">
            <w:pPr>
              <w:spacing w:before="73"/>
              <w:jc w:val="center"/>
              <w:rPr>
                <w:rFonts w:ascii="宋体" w:hAnsi="宋体" w:cs="宋体"/>
              </w:rPr>
            </w:pPr>
            <w:r>
              <w:rPr>
                <w:rFonts w:hint="eastAsia" w:ascii="宋体" w:hAnsi="宋体" w:cs="宋体"/>
              </w:rPr>
              <w:t>毕业学校</w:t>
            </w:r>
          </w:p>
        </w:tc>
        <w:tc>
          <w:tcPr>
            <w:tcW w:w="8236" w:type="dxa"/>
            <w:gridSpan w:val="8"/>
            <w:noWrap/>
            <w:vAlign w:val="center"/>
          </w:tcPr>
          <w:p w14:paraId="6C92DDD9">
            <w:pPr>
              <w:tabs>
                <w:tab w:val="left" w:pos="2820"/>
                <w:tab w:val="left" w:pos="4080"/>
              </w:tabs>
              <w:spacing w:before="73"/>
              <w:ind w:left="-1291" w:leftChars="-615" w:firstLine="1680" w:firstLineChars="800"/>
              <w:rPr>
                <w:rFonts w:ascii="宋体" w:hAnsi="宋体" w:cs="宋体"/>
              </w:rPr>
            </w:pPr>
            <w:r>
              <w:rPr>
                <w:rFonts w:hint="eastAsia" w:ascii="宋体" w:hAnsi="宋体" w:cs="宋体"/>
                <w:lang w:val="zh-CN"/>
              </w:rPr>
              <w:t>年</w:t>
            </w:r>
            <w:r>
              <w:rPr>
                <w:rFonts w:hint="eastAsia" w:ascii="宋体" w:hAnsi="宋体" w:cs="宋体"/>
              </w:rPr>
              <w:t xml:space="preserve">    </w:t>
            </w:r>
            <w:r>
              <w:rPr>
                <w:rFonts w:hint="eastAsia" w:ascii="宋体" w:hAnsi="宋体" w:cs="宋体"/>
                <w:lang w:val="zh-CN"/>
              </w:rPr>
              <w:t>月毕业于</w:t>
            </w:r>
            <w:r>
              <w:rPr>
                <w:rFonts w:hint="eastAsia" w:ascii="宋体" w:hAnsi="宋体" w:cs="宋体"/>
              </w:rPr>
              <w:t xml:space="preserve">       </w:t>
            </w:r>
            <w:r>
              <w:rPr>
                <w:rFonts w:hint="eastAsia" w:ascii="宋体" w:hAnsi="宋体" w:cs="宋体"/>
                <w:lang w:val="zh-CN"/>
              </w:rPr>
              <w:t>学校</w:t>
            </w:r>
            <w:r>
              <w:rPr>
                <w:rFonts w:hint="eastAsia" w:ascii="宋体" w:hAnsi="宋体" w:cs="宋体"/>
                <w:lang w:val="zh-CN"/>
              </w:rPr>
              <w:tab/>
            </w:r>
            <w:r>
              <w:rPr>
                <w:rFonts w:hint="eastAsia" w:ascii="宋体" w:hAnsi="宋体" w:cs="宋体"/>
                <w:lang w:val="zh-CN"/>
              </w:rPr>
              <w:t>专业，学制</w:t>
            </w:r>
            <w:r>
              <w:rPr>
                <w:rFonts w:hint="eastAsia" w:ascii="宋体" w:hAnsi="宋体" w:cs="宋体"/>
                <w:lang w:val="zh-CN"/>
              </w:rPr>
              <w:tab/>
            </w:r>
            <w:r>
              <w:rPr>
                <w:rFonts w:hint="eastAsia" w:ascii="宋体" w:hAnsi="宋体" w:cs="宋体"/>
                <w:lang w:val="zh-CN"/>
              </w:rPr>
              <w:t>年</w:t>
            </w:r>
          </w:p>
        </w:tc>
      </w:tr>
      <w:tr w14:paraId="5C7388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9639" w:type="dxa"/>
            <w:gridSpan w:val="9"/>
            <w:noWrap/>
            <w:vAlign w:val="center"/>
          </w:tcPr>
          <w:p w14:paraId="436DA538">
            <w:pPr>
              <w:jc w:val="center"/>
              <w:rPr>
                <w:rFonts w:ascii="宋体" w:hAnsi="宋体" w:cs="宋体"/>
              </w:rPr>
            </w:pPr>
            <w:r>
              <w:rPr>
                <w:rFonts w:hint="eastAsia" w:ascii="宋体" w:hAnsi="宋体" w:cs="宋体"/>
              </w:rPr>
              <w:t>经     历</w:t>
            </w:r>
          </w:p>
        </w:tc>
      </w:tr>
      <w:tr w14:paraId="38CAF52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1403" w:type="dxa"/>
            <w:noWrap/>
            <w:vAlign w:val="center"/>
          </w:tcPr>
          <w:p w14:paraId="671F8BB9">
            <w:pPr>
              <w:jc w:val="center"/>
              <w:rPr>
                <w:rFonts w:ascii="宋体" w:hAnsi="宋体" w:cs="宋体"/>
              </w:rPr>
            </w:pPr>
            <w:r>
              <w:rPr>
                <w:rFonts w:hint="eastAsia" w:ascii="宋体" w:hAnsi="宋体" w:cs="宋体"/>
              </w:rPr>
              <w:t>时间</w:t>
            </w:r>
          </w:p>
        </w:tc>
        <w:tc>
          <w:tcPr>
            <w:tcW w:w="3974" w:type="dxa"/>
            <w:gridSpan w:val="4"/>
            <w:noWrap/>
            <w:vAlign w:val="center"/>
          </w:tcPr>
          <w:p w14:paraId="34AA99A1">
            <w:pPr>
              <w:jc w:val="center"/>
              <w:rPr>
                <w:rFonts w:ascii="宋体" w:hAnsi="宋体" w:cs="宋体"/>
              </w:rPr>
            </w:pPr>
            <w:r>
              <w:rPr>
                <w:rFonts w:hint="eastAsia" w:ascii="宋体" w:hAnsi="宋体" w:cs="宋体"/>
              </w:rPr>
              <w:t>参加过的类似工程项目名称</w:t>
            </w:r>
          </w:p>
        </w:tc>
        <w:tc>
          <w:tcPr>
            <w:tcW w:w="1392" w:type="dxa"/>
            <w:gridSpan w:val="2"/>
            <w:noWrap/>
            <w:vAlign w:val="center"/>
          </w:tcPr>
          <w:p w14:paraId="44C4AD81">
            <w:pPr>
              <w:jc w:val="center"/>
              <w:rPr>
                <w:rFonts w:ascii="宋体" w:hAnsi="宋体" w:cs="宋体"/>
              </w:rPr>
            </w:pPr>
            <w:r>
              <w:rPr>
                <w:rFonts w:hint="eastAsia" w:ascii="宋体" w:hAnsi="宋体" w:cs="宋体"/>
              </w:rPr>
              <w:t>担任职务</w:t>
            </w:r>
          </w:p>
        </w:tc>
        <w:tc>
          <w:tcPr>
            <w:tcW w:w="2870" w:type="dxa"/>
            <w:gridSpan w:val="2"/>
            <w:noWrap/>
            <w:vAlign w:val="center"/>
          </w:tcPr>
          <w:p w14:paraId="0D18C552">
            <w:pPr>
              <w:jc w:val="center"/>
              <w:rPr>
                <w:rFonts w:ascii="宋体" w:hAnsi="宋体" w:cs="宋体"/>
              </w:rPr>
            </w:pPr>
            <w:r>
              <w:rPr>
                <w:rFonts w:hint="eastAsia" w:ascii="宋体" w:hAnsi="宋体" w:cs="宋体"/>
              </w:rPr>
              <w:t>采购人及</w:t>
            </w:r>
          </w:p>
          <w:p w14:paraId="01759074">
            <w:pPr>
              <w:jc w:val="center"/>
              <w:rPr>
                <w:rFonts w:ascii="宋体" w:hAnsi="宋体" w:cs="宋体"/>
              </w:rPr>
            </w:pPr>
            <w:r>
              <w:rPr>
                <w:rFonts w:hint="eastAsia" w:ascii="宋体" w:hAnsi="宋体" w:cs="宋体"/>
              </w:rPr>
              <w:t>联系电话</w:t>
            </w:r>
          </w:p>
        </w:tc>
      </w:tr>
      <w:tr w14:paraId="3F9059F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exact"/>
          <w:jc w:val="center"/>
        </w:trPr>
        <w:tc>
          <w:tcPr>
            <w:tcW w:w="1403" w:type="dxa"/>
            <w:noWrap/>
            <w:vAlign w:val="center"/>
          </w:tcPr>
          <w:p w14:paraId="6128933A">
            <w:pPr>
              <w:jc w:val="center"/>
              <w:rPr>
                <w:rFonts w:ascii="宋体" w:hAnsi="宋体" w:cs="宋体"/>
              </w:rPr>
            </w:pPr>
          </w:p>
        </w:tc>
        <w:tc>
          <w:tcPr>
            <w:tcW w:w="3974" w:type="dxa"/>
            <w:gridSpan w:val="4"/>
            <w:noWrap/>
            <w:vAlign w:val="center"/>
          </w:tcPr>
          <w:p w14:paraId="3A50FFC3">
            <w:pPr>
              <w:jc w:val="center"/>
              <w:rPr>
                <w:rFonts w:ascii="宋体" w:hAnsi="宋体" w:cs="宋体"/>
              </w:rPr>
            </w:pPr>
          </w:p>
        </w:tc>
        <w:tc>
          <w:tcPr>
            <w:tcW w:w="1392" w:type="dxa"/>
            <w:gridSpan w:val="2"/>
            <w:noWrap/>
            <w:vAlign w:val="center"/>
          </w:tcPr>
          <w:p w14:paraId="10E74AAD">
            <w:pPr>
              <w:jc w:val="center"/>
              <w:rPr>
                <w:rFonts w:ascii="宋体" w:hAnsi="宋体" w:cs="宋体"/>
              </w:rPr>
            </w:pPr>
          </w:p>
        </w:tc>
        <w:tc>
          <w:tcPr>
            <w:tcW w:w="2870" w:type="dxa"/>
            <w:gridSpan w:val="2"/>
            <w:noWrap/>
            <w:vAlign w:val="center"/>
          </w:tcPr>
          <w:p w14:paraId="5D46C619">
            <w:pPr>
              <w:jc w:val="center"/>
              <w:rPr>
                <w:rFonts w:ascii="宋体" w:hAnsi="宋体" w:cs="宋体"/>
              </w:rPr>
            </w:pPr>
          </w:p>
        </w:tc>
      </w:tr>
      <w:tr w14:paraId="0DC838C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exact"/>
          <w:jc w:val="center"/>
        </w:trPr>
        <w:tc>
          <w:tcPr>
            <w:tcW w:w="1403" w:type="dxa"/>
            <w:noWrap/>
            <w:vAlign w:val="center"/>
          </w:tcPr>
          <w:p w14:paraId="22EE0013">
            <w:pPr>
              <w:jc w:val="center"/>
              <w:rPr>
                <w:rFonts w:ascii="宋体" w:hAnsi="宋体" w:cs="宋体"/>
              </w:rPr>
            </w:pPr>
          </w:p>
        </w:tc>
        <w:tc>
          <w:tcPr>
            <w:tcW w:w="3974" w:type="dxa"/>
            <w:gridSpan w:val="4"/>
            <w:noWrap/>
            <w:vAlign w:val="center"/>
          </w:tcPr>
          <w:p w14:paraId="1A99D455">
            <w:pPr>
              <w:jc w:val="center"/>
              <w:rPr>
                <w:rFonts w:ascii="宋体" w:hAnsi="宋体" w:cs="宋体"/>
              </w:rPr>
            </w:pPr>
          </w:p>
        </w:tc>
        <w:tc>
          <w:tcPr>
            <w:tcW w:w="1392" w:type="dxa"/>
            <w:gridSpan w:val="2"/>
            <w:noWrap/>
            <w:vAlign w:val="center"/>
          </w:tcPr>
          <w:p w14:paraId="2D49B991">
            <w:pPr>
              <w:jc w:val="center"/>
              <w:rPr>
                <w:rFonts w:ascii="宋体" w:hAnsi="宋体" w:cs="宋体"/>
              </w:rPr>
            </w:pPr>
          </w:p>
        </w:tc>
        <w:tc>
          <w:tcPr>
            <w:tcW w:w="2870" w:type="dxa"/>
            <w:gridSpan w:val="2"/>
            <w:noWrap/>
            <w:vAlign w:val="center"/>
          </w:tcPr>
          <w:p w14:paraId="27FE263C">
            <w:pPr>
              <w:jc w:val="center"/>
              <w:rPr>
                <w:rFonts w:ascii="宋体" w:hAnsi="宋体" w:cs="宋体"/>
              </w:rPr>
            </w:pPr>
          </w:p>
        </w:tc>
      </w:tr>
      <w:tr w14:paraId="34EF149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exact"/>
          <w:jc w:val="center"/>
        </w:trPr>
        <w:tc>
          <w:tcPr>
            <w:tcW w:w="1403" w:type="dxa"/>
            <w:noWrap/>
            <w:vAlign w:val="center"/>
          </w:tcPr>
          <w:p w14:paraId="018E964D">
            <w:pPr>
              <w:jc w:val="center"/>
              <w:rPr>
                <w:rFonts w:ascii="宋体" w:hAnsi="宋体" w:cs="宋体"/>
              </w:rPr>
            </w:pPr>
          </w:p>
        </w:tc>
        <w:tc>
          <w:tcPr>
            <w:tcW w:w="3974" w:type="dxa"/>
            <w:gridSpan w:val="4"/>
            <w:noWrap/>
            <w:vAlign w:val="center"/>
          </w:tcPr>
          <w:p w14:paraId="052D7403">
            <w:pPr>
              <w:jc w:val="center"/>
              <w:rPr>
                <w:rFonts w:ascii="宋体" w:hAnsi="宋体" w:cs="宋体"/>
              </w:rPr>
            </w:pPr>
          </w:p>
        </w:tc>
        <w:tc>
          <w:tcPr>
            <w:tcW w:w="1392" w:type="dxa"/>
            <w:gridSpan w:val="2"/>
            <w:noWrap/>
            <w:vAlign w:val="center"/>
          </w:tcPr>
          <w:p w14:paraId="3872AFA9">
            <w:pPr>
              <w:jc w:val="center"/>
              <w:rPr>
                <w:rFonts w:ascii="宋体" w:hAnsi="宋体" w:cs="宋体"/>
              </w:rPr>
            </w:pPr>
          </w:p>
        </w:tc>
        <w:tc>
          <w:tcPr>
            <w:tcW w:w="2870" w:type="dxa"/>
            <w:gridSpan w:val="2"/>
            <w:noWrap/>
            <w:vAlign w:val="center"/>
          </w:tcPr>
          <w:p w14:paraId="756BC223">
            <w:pPr>
              <w:jc w:val="center"/>
              <w:rPr>
                <w:rFonts w:ascii="宋体" w:hAnsi="宋体" w:cs="宋体"/>
              </w:rPr>
            </w:pPr>
          </w:p>
        </w:tc>
      </w:tr>
      <w:tr w14:paraId="24F1DB8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exact"/>
          <w:jc w:val="center"/>
        </w:trPr>
        <w:tc>
          <w:tcPr>
            <w:tcW w:w="1403" w:type="dxa"/>
            <w:noWrap/>
            <w:vAlign w:val="center"/>
          </w:tcPr>
          <w:p w14:paraId="1B0697A3">
            <w:pPr>
              <w:jc w:val="center"/>
              <w:rPr>
                <w:rFonts w:ascii="宋体" w:hAnsi="宋体" w:cs="宋体"/>
              </w:rPr>
            </w:pPr>
          </w:p>
        </w:tc>
        <w:tc>
          <w:tcPr>
            <w:tcW w:w="3974" w:type="dxa"/>
            <w:gridSpan w:val="4"/>
            <w:noWrap/>
            <w:vAlign w:val="center"/>
          </w:tcPr>
          <w:p w14:paraId="046C7144">
            <w:pPr>
              <w:jc w:val="center"/>
              <w:rPr>
                <w:rFonts w:ascii="宋体" w:hAnsi="宋体" w:cs="宋体"/>
              </w:rPr>
            </w:pPr>
          </w:p>
        </w:tc>
        <w:tc>
          <w:tcPr>
            <w:tcW w:w="1392" w:type="dxa"/>
            <w:gridSpan w:val="2"/>
            <w:noWrap/>
            <w:vAlign w:val="center"/>
          </w:tcPr>
          <w:p w14:paraId="3D1FB266">
            <w:pPr>
              <w:jc w:val="center"/>
              <w:rPr>
                <w:rFonts w:ascii="宋体" w:hAnsi="宋体" w:cs="宋体"/>
              </w:rPr>
            </w:pPr>
          </w:p>
        </w:tc>
        <w:tc>
          <w:tcPr>
            <w:tcW w:w="2870" w:type="dxa"/>
            <w:gridSpan w:val="2"/>
            <w:noWrap/>
            <w:vAlign w:val="center"/>
          </w:tcPr>
          <w:p w14:paraId="467B4955">
            <w:pPr>
              <w:jc w:val="center"/>
              <w:rPr>
                <w:rFonts w:ascii="宋体" w:hAnsi="宋体" w:cs="宋体"/>
              </w:rPr>
            </w:pPr>
          </w:p>
        </w:tc>
      </w:tr>
      <w:tr w14:paraId="0B5AFBD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exact"/>
          <w:jc w:val="center"/>
        </w:trPr>
        <w:tc>
          <w:tcPr>
            <w:tcW w:w="1403" w:type="dxa"/>
            <w:noWrap/>
            <w:vAlign w:val="center"/>
          </w:tcPr>
          <w:p w14:paraId="12931122">
            <w:pPr>
              <w:jc w:val="center"/>
              <w:rPr>
                <w:rFonts w:ascii="宋体" w:hAnsi="宋体" w:cs="宋体"/>
              </w:rPr>
            </w:pPr>
          </w:p>
        </w:tc>
        <w:tc>
          <w:tcPr>
            <w:tcW w:w="3974" w:type="dxa"/>
            <w:gridSpan w:val="4"/>
            <w:noWrap/>
            <w:vAlign w:val="center"/>
          </w:tcPr>
          <w:p w14:paraId="00CE595C">
            <w:pPr>
              <w:jc w:val="center"/>
              <w:rPr>
                <w:rFonts w:ascii="宋体" w:hAnsi="宋体" w:cs="宋体"/>
              </w:rPr>
            </w:pPr>
          </w:p>
        </w:tc>
        <w:tc>
          <w:tcPr>
            <w:tcW w:w="1392" w:type="dxa"/>
            <w:gridSpan w:val="2"/>
            <w:noWrap/>
            <w:vAlign w:val="center"/>
          </w:tcPr>
          <w:p w14:paraId="5F65CA52">
            <w:pPr>
              <w:jc w:val="center"/>
              <w:rPr>
                <w:rFonts w:ascii="宋体" w:hAnsi="宋体" w:cs="宋体"/>
              </w:rPr>
            </w:pPr>
          </w:p>
        </w:tc>
        <w:tc>
          <w:tcPr>
            <w:tcW w:w="2870" w:type="dxa"/>
            <w:gridSpan w:val="2"/>
            <w:noWrap/>
            <w:vAlign w:val="center"/>
          </w:tcPr>
          <w:p w14:paraId="3553DC79">
            <w:pPr>
              <w:jc w:val="center"/>
              <w:rPr>
                <w:rFonts w:ascii="宋体" w:hAnsi="宋体" w:cs="宋体"/>
              </w:rPr>
            </w:pPr>
          </w:p>
        </w:tc>
      </w:tr>
      <w:tr w14:paraId="520EB7D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exact"/>
          <w:jc w:val="center"/>
        </w:trPr>
        <w:tc>
          <w:tcPr>
            <w:tcW w:w="2678" w:type="dxa"/>
            <w:gridSpan w:val="2"/>
            <w:noWrap/>
            <w:vAlign w:val="center"/>
          </w:tcPr>
          <w:p w14:paraId="4DA349AF">
            <w:pPr>
              <w:jc w:val="center"/>
              <w:rPr>
                <w:rFonts w:ascii="宋体" w:hAnsi="宋体" w:cs="宋体"/>
              </w:rPr>
            </w:pPr>
            <w:r>
              <w:rPr>
                <w:rFonts w:hint="eastAsia" w:ascii="宋体" w:hAnsi="宋体" w:cs="宋体"/>
              </w:rPr>
              <w:t>获奖情况</w:t>
            </w:r>
          </w:p>
        </w:tc>
        <w:tc>
          <w:tcPr>
            <w:tcW w:w="6961" w:type="dxa"/>
            <w:gridSpan w:val="7"/>
            <w:noWrap/>
            <w:vAlign w:val="center"/>
          </w:tcPr>
          <w:p w14:paraId="51D84F36">
            <w:pPr>
              <w:jc w:val="center"/>
              <w:rPr>
                <w:rFonts w:ascii="宋体" w:hAnsi="宋体" w:cs="宋体"/>
              </w:rPr>
            </w:pPr>
          </w:p>
        </w:tc>
      </w:tr>
      <w:tr w14:paraId="4824FB3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62" w:hRule="atLeast"/>
          <w:jc w:val="center"/>
        </w:trPr>
        <w:tc>
          <w:tcPr>
            <w:tcW w:w="1403" w:type="dxa"/>
            <w:noWrap/>
            <w:vAlign w:val="center"/>
          </w:tcPr>
          <w:p w14:paraId="4F3782F1">
            <w:pPr>
              <w:jc w:val="center"/>
              <w:rPr>
                <w:rFonts w:ascii="宋体" w:hAnsi="宋体" w:cs="宋体"/>
              </w:rPr>
            </w:pPr>
            <w:r>
              <w:rPr>
                <w:rFonts w:hint="eastAsia" w:ascii="宋体" w:hAnsi="宋体" w:cs="宋体"/>
              </w:rPr>
              <w:t>说明在岗情况</w:t>
            </w:r>
          </w:p>
        </w:tc>
        <w:tc>
          <w:tcPr>
            <w:tcW w:w="8236" w:type="dxa"/>
            <w:gridSpan w:val="8"/>
            <w:noWrap/>
            <w:vAlign w:val="center"/>
          </w:tcPr>
          <w:p w14:paraId="35616400">
            <w:pPr>
              <w:pStyle w:val="38"/>
              <w:jc w:val="both"/>
              <w:rPr>
                <w:rFonts w:hAnsi="宋体"/>
                <w:sz w:val="21"/>
                <w:szCs w:val="21"/>
              </w:rPr>
            </w:pPr>
            <w:r>
              <w:rPr>
                <w:rFonts w:hint="eastAsia" w:hAnsi="宋体"/>
                <w:sz w:val="21"/>
                <w:szCs w:val="21"/>
              </w:rPr>
              <w:t xml:space="preserve">□目前未在其他项目上任职，现从事工作为：。 </w:t>
            </w:r>
          </w:p>
          <w:p w14:paraId="55DAB4AA">
            <w:pPr>
              <w:pStyle w:val="38"/>
              <w:jc w:val="both"/>
              <w:rPr>
                <w:rFonts w:hAnsi="宋体"/>
                <w:sz w:val="21"/>
                <w:szCs w:val="21"/>
              </w:rPr>
            </w:pPr>
            <w:r>
              <w:rPr>
                <w:rFonts w:hint="eastAsia" w:hAnsi="宋体"/>
                <w:sz w:val="21"/>
                <w:szCs w:val="21"/>
              </w:rPr>
              <w:t>□目前虽在其他项目上任职，但本项目中标（成交）后能够从该项目撤离，目前任职项目：</w:t>
            </w:r>
            <w:r>
              <w:rPr>
                <w:rFonts w:hint="eastAsia" w:hAnsi="宋体"/>
                <w:sz w:val="21"/>
                <w:szCs w:val="21"/>
                <w:u w:val="single"/>
              </w:rPr>
              <w:t xml:space="preserve">      </w:t>
            </w:r>
            <w:r>
              <w:rPr>
                <w:rFonts w:hint="eastAsia" w:hAnsi="宋体"/>
                <w:sz w:val="21"/>
                <w:szCs w:val="21"/>
              </w:rPr>
              <w:t>，担任职位：</w:t>
            </w:r>
            <w:r>
              <w:rPr>
                <w:rFonts w:hint="eastAsia" w:hAnsi="宋体"/>
                <w:sz w:val="21"/>
                <w:szCs w:val="21"/>
                <w:u w:val="single"/>
              </w:rPr>
              <w:t xml:space="preserve">      </w:t>
            </w:r>
            <w:r>
              <w:rPr>
                <w:rFonts w:hint="eastAsia" w:hAnsi="宋体"/>
                <w:sz w:val="21"/>
                <w:szCs w:val="21"/>
              </w:rPr>
              <w:t xml:space="preserve">。 </w:t>
            </w:r>
          </w:p>
        </w:tc>
      </w:tr>
      <w:tr w14:paraId="1D7F614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09" w:hRule="atLeast"/>
          <w:jc w:val="center"/>
        </w:trPr>
        <w:tc>
          <w:tcPr>
            <w:tcW w:w="1403" w:type="dxa"/>
            <w:noWrap/>
            <w:vAlign w:val="center"/>
          </w:tcPr>
          <w:p w14:paraId="5FCF8770">
            <w:pPr>
              <w:jc w:val="center"/>
              <w:rPr>
                <w:rFonts w:ascii="宋体" w:hAnsi="宋体" w:cs="宋体"/>
              </w:rPr>
            </w:pPr>
            <w:r>
              <w:rPr>
                <w:rFonts w:hint="eastAsia" w:ascii="宋体" w:hAnsi="宋体" w:cs="宋体"/>
              </w:rPr>
              <w:t>备注</w:t>
            </w:r>
          </w:p>
        </w:tc>
        <w:tc>
          <w:tcPr>
            <w:tcW w:w="8236" w:type="dxa"/>
            <w:gridSpan w:val="8"/>
            <w:noWrap/>
            <w:vAlign w:val="center"/>
          </w:tcPr>
          <w:p w14:paraId="538D93BC">
            <w:pPr>
              <w:rPr>
                <w:rFonts w:ascii="宋体" w:hAnsi="宋体" w:cs="宋体"/>
              </w:rPr>
            </w:pPr>
          </w:p>
        </w:tc>
      </w:tr>
    </w:tbl>
    <w:p w14:paraId="513A13DB"/>
    <w:p w14:paraId="70EA5DE0">
      <w:pPr>
        <w:ind w:firstLine="420" w:firstLineChars="200"/>
        <w:rPr>
          <w:rFonts w:ascii="宋体" w:hAnsi="宋体" w:cs="宋体"/>
        </w:rPr>
      </w:pPr>
      <w:r>
        <w:rPr>
          <w:rFonts w:hint="eastAsia" w:ascii="宋体" w:hAnsi="宋体" w:cs="宋体"/>
        </w:rPr>
        <w:t xml:space="preserve">1.本表应填写项目经理相关情况。 </w:t>
      </w:r>
    </w:p>
    <w:p w14:paraId="10B118C1">
      <w:pPr>
        <w:ind w:firstLine="420" w:firstLineChars="200"/>
        <w:rPr>
          <w:rFonts w:ascii="宋体" w:hAnsi="宋体" w:cs="宋体"/>
        </w:rPr>
      </w:pPr>
      <w:r>
        <w:rPr>
          <w:rFonts w:hint="eastAsia" w:ascii="宋体" w:hAnsi="宋体" w:cs="宋体"/>
        </w:rPr>
        <w:t xml:space="preserve">2.在本表后附社保证明及相关证书的复印件并加盖投标人公章。 </w:t>
      </w:r>
    </w:p>
    <w:p w14:paraId="282A5534">
      <w:pPr>
        <w:spacing w:before="185" w:line="231" w:lineRule="auto"/>
        <w:ind w:left="230"/>
        <w:jc w:val="center"/>
        <w:rPr>
          <w:rFonts w:ascii="宋体" w:hAnsi="宋体" w:cs="宋体"/>
          <w:spacing w:val="10"/>
          <w:sz w:val="29"/>
          <w:szCs w:val="29"/>
        </w:rPr>
      </w:pPr>
    </w:p>
    <w:p w14:paraId="41D094F0">
      <w:pPr>
        <w:spacing w:before="185" w:line="231" w:lineRule="auto"/>
        <w:ind w:left="230"/>
        <w:jc w:val="center"/>
        <w:rPr>
          <w:rFonts w:ascii="宋体" w:hAnsi="宋体" w:cs="宋体"/>
          <w:spacing w:val="10"/>
          <w:sz w:val="29"/>
          <w:szCs w:val="29"/>
        </w:rPr>
      </w:pPr>
    </w:p>
    <w:p w14:paraId="501EBA4A">
      <w:pPr>
        <w:jc w:val="center"/>
        <w:rPr>
          <w:rFonts w:ascii="宋体" w:hAnsi="宋体" w:cs="宋体"/>
          <w:b/>
          <w:sz w:val="32"/>
          <w:szCs w:val="32"/>
        </w:rPr>
      </w:pPr>
      <w:r>
        <w:rPr>
          <w:rFonts w:hint="eastAsia" w:ascii="宋体" w:hAnsi="宋体" w:cs="宋体"/>
          <w:spacing w:val="10"/>
          <w:sz w:val="29"/>
          <w:szCs w:val="29"/>
        </w:rPr>
        <w:t>（2）</w:t>
      </w:r>
      <w:r>
        <w:rPr>
          <w:rFonts w:hint="eastAsia" w:ascii="宋体" w:hAnsi="宋体" w:cs="宋体"/>
          <w:spacing w:val="10"/>
          <w:sz w:val="29"/>
          <w:szCs w:val="29"/>
          <w:lang w:val="zh-CN"/>
        </w:rPr>
        <w:t>拟委任的其他管理和技术人员汇总表</w:t>
      </w:r>
    </w:p>
    <w:p w14:paraId="4703DFA8"/>
    <w:tbl>
      <w:tblPr>
        <w:tblStyle w:val="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3"/>
        <w:gridCol w:w="853"/>
        <w:gridCol w:w="2049"/>
        <w:gridCol w:w="1709"/>
        <w:gridCol w:w="2514"/>
        <w:gridCol w:w="1745"/>
      </w:tblGrid>
      <w:tr w14:paraId="5016D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1" w:type="dxa"/>
            <w:noWrap w:val="0"/>
            <w:vAlign w:val="center"/>
          </w:tcPr>
          <w:p w14:paraId="7F0716E4">
            <w:pPr>
              <w:spacing w:before="50" w:after="120"/>
              <w:jc w:val="center"/>
              <w:rPr>
                <w:rFonts w:ascii="宋体" w:hAnsi="宋体" w:cs="宋体"/>
                <w:sz w:val="24"/>
                <w:szCs w:val="20"/>
              </w:rPr>
            </w:pPr>
            <w:r>
              <w:rPr>
                <w:rFonts w:hint="eastAsia" w:ascii="宋体" w:hAnsi="宋体" w:cs="宋体"/>
                <w:sz w:val="24"/>
                <w:szCs w:val="20"/>
              </w:rPr>
              <w:t>姓名</w:t>
            </w:r>
          </w:p>
        </w:tc>
        <w:tc>
          <w:tcPr>
            <w:tcW w:w="859" w:type="dxa"/>
            <w:noWrap w:val="0"/>
            <w:vAlign w:val="center"/>
          </w:tcPr>
          <w:p w14:paraId="49B4AB8F">
            <w:pPr>
              <w:spacing w:before="50" w:after="120"/>
              <w:jc w:val="center"/>
              <w:rPr>
                <w:rFonts w:ascii="宋体" w:hAnsi="宋体" w:cs="宋体"/>
                <w:sz w:val="24"/>
                <w:szCs w:val="20"/>
              </w:rPr>
            </w:pPr>
            <w:r>
              <w:rPr>
                <w:rFonts w:hint="eastAsia" w:ascii="宋体" w:hAnsi="宋体" w:cs="宋体"/>
                <w:sz w:val="24"/>
                <w:szCs w:val="20"/>
              </w:rPr>
              <w:t>职务</w:t>
            </w:r>
          </w:p>
        </w:tc>
        <w:tc>
          <w:tcPr>
            <w:tcW w:w="2069" w:type="dxa"/>
            <w:noWrap w:val="0"/>
            <w:vAlign w:val="center"/>
          </w:tcPr>
          <w:p w14:paraId="399AFF76">
            <w:pPr>
              <w:spacing w:before="50" w:after="120"/>
              <w:jc w:val="center"/>
              <w:rPr>
                <w:rFonts w:ascii="宋体" w:hAnsi="宋体" w:cs="宋体"/>
                <w:sz w:val="24"/>
                <w:szCs w:val="20"/>
              </w:rPr>
            </w:pPr>
            <w:r>
              <w:rPr>
                <w:rFonts w:hint="eastAsia" w:ascii="宋体" w:hAnsi="宋体" w:cs="宋体"/>
                <w:sz w:val="24"/>
                <w:szCs w:val="20"/>
              </w:rPr>
              <w:t>专业技术资格（职称）或者职业资格或者执业资格证或者其他证书</w:t>
            </w:r>
          </w:p>
        </w:tc>
        <w:tc>
          <w:tcPr>
            <w:tcW w:w="1728" w:type="dxa"/>
            <w:noWrap w:val="0"/>
            <w:vAlign w:val="center"/>
          </w:tcPr>
          <w:p w14:paraId="6F703DED">
            <w:pPr>
              <w:spacing w:before="50" w:after="120"/>
              <w:jc w:val="center"/>
              <w:rPr>
                <w:rFonts w:ascii="宋体" w:hAnsi="宋体" w:cs="宋体"/>
                <w:sz w:val="24"/>
                <w:szCs w:val="20"/>
              </w:rPr>
            </w:pPr>
            <w:r>
              <w:rPr>
                <w:rFonts w:hint="eastAsia" w:ascii="宋体" w:hAnsi="宋体" w:cs="宋体"/>
                <w:sz w:val="24"/>
                <w:szCs w:val="20"/>
              </w:rPr>
              <w:t>证书编号</w:t>
            </w:r>
          </w:p>
        </w:tc>
        <w:tc>
          <w:tcPr>
            <w:tcW w:w="2545" w:type="dxa"/>
            <w:noWrap w:val="0"/>
            <w:vAlign w:val="center"/>
          </w:tcPr>
          <w:p w14:paraId="5CB8FA70">
            <w:pPr>
              <w:spacing w:before="50" w:after="120"/>
              <w:jc w:val="center"/>
              <w:rPr>
                <w:rFonts w:ascii="宋体" w:hAnsi="宋体" w:cs="宋体"/>
                <w:sz w:val="24"/>
                <w:szCs w:val="20"/>
              </w:rPr>
            </w:pPr>
            <w:r>
              <w:rPr>
                <w:rFonts w:hint="eastAsia" w:ascii="宋体" w:hAnsi="宋体" w:cs="宋体"/>
                <w:sz w:val="24"/>
                <w:szCs w:val="20"/>
              </w:rPr>
              <w:t>参加本单位</w:t>
            </w:r>
          </w:p>
          <w:p w14:paraId="55F69CFB">
            <w:pPr>
              <w:spacing w:before="50" w:after="120"/>
              <w:jc w:val="center"/>
              <w:rPr>
                <w:rFonts w:ascii="宋体" w:hAnsi="宋体" w:cs="宋体"/>
                <w:sz w:val="24"/>
                <w:szCs w:val="20"/>
              </w:rPr>
            </w:pPr>
            <w:r>
              <w:rPr>
                <w:rFonts w:hint="eastAsia" w:ascii="宋体" w:hAnsi="宋体" w:cs="宋体"/>
                <w:sz w:val="24"/>
                <w:szCs w:val="20"/>
              </w:rPr>
              <w:t>工作时间</w:t>
            </w:r>
          </w:p>
        </w:tc>
        <w:tc>
          <w:tcPr>
            <w:tcW w:w="1764" w:type="dxa"/>
            <w:noWrap w:val="0"/>
            <w:vAlign w:val="center"/>
          </w:tcPr>
          <w:p w14:paraId="76A9DFA7">
            <w:pPr>
              <w:spacing w:before="50" w:after="120"/>
              <w:jc w:val="center"/>
              <w:rPr>
                <w:rFonts w:ascii="宋体" w:hAnsi="宋体" w:cs="宋体"/>
                <w:sz w:val="24"/>
                <w:szCs w:val="20"/>
              </w:rPr>
            </w:pPr>
            <w:r>
              <w:rPr>
                <w:rFonts w:hint="eastAsia" w:ascii="宋体" w:hAnsi="宋体" w:cs="宋体"/>
                <w:sz w:val="24"/>
                <w:szCs w:val="20"/>
              </w:rPr>
              <w:t>备注</w:t>
            </w:r>
          </w:p>
        </w:tc>
      </w:tr>
      <w:tr w14:paraId="00104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1" w:type="dxa"/>
            <w:noWrap w:val="0"/>
            <w:vAlign w:val="center"/>
          </w:tcPr>
          <w:p w14:paraId="3FD8952D">
            <w:pPr>
              <w:spacing w:before="50" w:after="120"/>
              <w:jc w:val="center"/>
              <w:rPr>
                <w:rFonts w:ascii="宋体" w:hAnsi="宋体" w:cs="宋体"/>
                <w:sz w:val="24"/>
                <w:szCs w:val="20"/>
              </w:rPr>
            </w:pPr>
          </w:p>
        </w:tc>
        <w:tc>
          <w:tcPr>
            <w:tcW w:w="859" w:type="dxa"/>
            <w:noWrap w:val="0"/>
            <w:vAlign w:val="center"/>
          </w:tcPr>
          <w:p w14:paraId="26AAB898">
            <w:pPr>
              <w:spacing w:before="50" w:after="120"/>
              <w:jc w:val="center"/>
              <w:rPr>
                <w:rFonts w:ascii="宋体" w:hAnsi="宋体" w:cs="宋体"/>
                <w:sz w:val="24"/>
                <w:szCs w:val="20"/>
              </w:rPr>
            </w:pPr>
          </w:p>
        </w:tc>
        <w:tc>
          <w:tcPr>
            <w:tcW w:w="2069" w:type="dxa"/>
            <w:noWrap w:val="0"/>
            <w:vAlign w:val="center"/>
          </w:tcPr>
          <w:p w14:paraId="6CFC7238">
            <w:pPr>
              <w:spacing w:before="50" w:after="120"/>
              <w:jc w:val="center"/>
              <w:rPr>
                <w:rFonts w:ascii="宋体" w:hAnsi="宋体" w:cs="宋体"/>
                <w:sz w:val="24"/>
                <w:szCs w:val="20"/>
              </w:rPr>
            </w:pPr>
          </w:p>
        </w:tc>
        <w:tc>
          <w:tcPr>
            <w:tcW w:w="1728" w:type="dxa"/>
            <w:noWrap w:val="0"/>
            <w:vAlign w:val="center"/>
          </w:tcPr>
          <w:p w14:paraId="5B4CCA63">
            <w:pPr>
              <w:spacing w:before="50" w:after="120"/>
              <w:jc w:val="center"/>
              <w:rPr>
                <w:rFonts w:ascii="宋体" w:hAnsi="宋体" w:cs="宋体"/>
                <w:sz w:val="24"/>
                <w:szCs w:val="20"/>
              </w:rPr>
            </w:pPr>
          </w:p>
        </w:tc>
        <w:tc>
          <w:tcPr>
            <w:tcW w:w="2545" w:type="dxa"/>
            <w:noWrap w:val="0"/>
            <w:vAlign w:val="center"/>
          </w:tcPr>
          <w:p w14:paraId="5B3F6E2B">
            <w:pPr>
              <w:spacing w:before="50" w:after="120"/>
              <w:jc w:val="center"/>
              <w:rPr>
                <w:rFonts w:ascii="宋体" w:hAnsi="宋体" w:cs="宋体"/>
                <w:sz w:val="24"/>
                <w:szCs w:val="20"/>
              </w:rPr>
            </w:pPr>
          </w:p>
        </w:tc>
        <w:tc>
          <w:tcPr>
            <w:tcW w:w="1764" w:type="dxa"/>
            <w:noWrap w:val="0"/>
            <w:vAlign w:val="center"/>
          </w:tcPr>
          <w:p w14:paraId="17A8E493">
            <w:pPr>
              <w:spacing w:before="50" w:after="120"/>
              <w:jc w:val="center"/>
              <w:rPr>
                <w:rFonts w:ascii="宋体" w:hAnsi="宋体" w:cs="宋体"/>
                <w:sz w:val="24"/>
                <w:szCs w:val="20"/>
              </w:rPr>
            </w:pPr>
          </w:p>
        </w:tc>
      </w:tr>
      <w:tr w14:paraId="18109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1" w:type="dxa"/>
            <w:noWrap w:val="0"/>
            <w:vAlign w:val="center"/>
          </w:tcPr>
          <w:p w14:paraId="7E266896">
            <w:pPr>
              <w:spacing w:before="50" w:after="120"/>
              <w:jc w:val="center"/>
              <w:rPr>
                <w:rFonts w:ascii="宋体" w:hAnsi="宋体" w:cs="宋体"/>
                <w:sz w:val="24"/>
                <w:szCs w:val="20"/>
              </w:rPr>
            </w:pPr>
          </w:p>
        </w:tc>
        <w:tc>
          <w:tcPr>
            <w:tcW w:w="859" w:type="dxa"/>
            <w:noWrap w:val="0"/>
            <w:vAlign w:val="center"/>
          </w:tcPr>
          <w:p w14:paraId="13D0574E">
            <w:pPr>
              <w:spacing w:before="50" w:after="120"/>
              <w:jc w:val="center"/>
              <w:rPr>
                <w:rFonts w:ascii="宋体" w:hAnsi="宋体" w:cs="宋体"/>
                <w:sz w:val="24"/>
                <w:szCs w:val="20"/>
              </w:rPr>
            </w:pPr>
          </w:p>
        </w:tc>
        <w:tc>
          <w:tcPr>
            <w:tcW w:w="2069" w:type="dxa"/>
            <w:noWrap w:val="0"/>
            <w:vAlign w:val="center"/>
          </w:tcPr>
          <w:p w14:paraId="07EFB36A">
            <w:pPr>
              <w:spacing w:before="50" w:after="120"/>
              <w:jc w:val="center"/>
              <w:rPr>
                <w:rFonts w:ascii="宋体" w:hAnsi="宋体" w:cs="宋体"/>
                <w:sz w:val="24"/>
                <w:szCs w:val="20"/>
              </w:rPr>
            </w:pPr>
          </w:p>
        </w:tc>
        <w:tc>
          <w:tcPr>
            <w:tcW w:w="1728" w:type="dxa"/>
            <w:noWrap w:val="0"/>
            <w:vAlign w:val="center"/>
          </w:tcPr>
          <w:p w14:paraId="57CC649E">
            <w:pPr>
              <w:spacing w:before="50" w:after="120"/>
              <w:jc w:val="center"/>
              <w:rPr>
                <w:rFonts w:ascii="宋体" w:hAnsi="宋体" w:cs="宋体"/>
                <w:sz w:val="24"/>
                <w:szCs w:val="20"/>
              </w:rPr>
            </w:pPr>
          </w:p>
        </w:tc>
        <w:tc>
          <w:tcPr>
            <w:tcW w:w="2545" w:type="dxa"/>
            <w:noWrap w:val="0"/>
            <w:vAlign w:val="center"/>
          </w:tcPr>
          <w:p w14:paraId="4299EDC1">
            <w:pPr>
              <w:spacing w:before="50" w:after="120"/>
              <w:jc w:val="center"/>
              <w:rPr>
                <w:rFonts w:ascii="宋体" w:hAnsi="宋体" w:cs="宋体"/>
                <w:sz w:val="24"/>
                <w:szCs w:val="20"/>
              </w:rPr>
            </w:pPr>
          </w:p>
        </w:tc>
        <w:tc>
          <w:tcPr>
            <w:tcW w:w="1764" w:type="dxa"/>
            <w:noWrap w:val="0"/>
            <w:vAlign w:val="center"/>
          </w:tcPr>
          <w:p w14:paraId="478C15AB">
            <w:pPr>
              <w:spacing w:before="50" w:after="120"/>
              <w:jc w:val="center"/>
              <w:rPr>
                <w:rFonts w:ascii="宋体" w:hAnsi="宋体" w:cs="宋体"/>
                <w:sz w:val="24"/>
                <w:szCs w:val="20"/>
              </w:rPr>
            </w:pPr>
          </w:p>
        </w:tc>
      </w:tr>
      <w:tr w14:paraId="3556E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1" w:type="dxa"/>
            <w:noWrap w:val="0"/>
            <w:vAlign w:val="center"/>
          </w:tcPr>
          <w:p w14:paraId="04048B3A">
            <w:pPr>
              <w:spacing w:before="50" w:after="120"/>
              <w:jc w:val="center"/>
              <w:rPr>
                <w:rFonts w:ascii="宋体" w:hAnsi="宋体" w:cs="宋体"/>
                <w:sz w:val="24"/>
                <w:szCs w:val="20"/>
              </w:rPr>
            </w:pPr>
          </w:p>
        </w:tc>
        <w:tc>
          <w:tcPr>
            <w:tcW w:w="859" w:type="dxa"/>
            <w:noWrap w:val="0"/>
            <w:vAlign w:val="center"/>
          </w:tcPr>
          <w:p w14:paraId="076EDD9E">
            <w:pPr>
              <w:spacing w:before="50" w:after="120"/>
              <w:jc w:val="center"/>
              <w:rPr>
                <w:rFonts w:ascii="宋体" w:hAnsi="宋体" w:cs="宋体"/>
                <w:sz w:val="24"/>
                <w:szCs w:val="20"/>
              </w:rPr>
            </w:pPr>
          </w:p>
        </w:tc>
        <w:tc>
          <w:tcPr>
            <w:tcW w:w="2069" w:type="dxa"/>
            <w:noWrap w:val="0"/>
            <w:vAlign w:val="center"/>
          </w:tcPr>
          <w:p w14:paraId="1B58D907">
            <w:pPr>
              <w:spacing w:before="50" w:after="120"/>
              <w:jc w:val="center"/>
              <w:rPr>
                <w:rFonts w:ascii="宋体" w:hAnsi="宋体" w:cs="宋体"/>
                <w:sz w:val="24"/>
                <w:szCs w:val="20"/>
              </w:rPr>
            </w:pPr>
          </w:p>
        </w:tc>
        <w:tc>
          <w:tcPr>
            <w:tcW w:w="1728" w:type="dxa"/>
            <w:noWrap w:val="0"/>
            <w:vAlign w:val="center"/>
          </w:tcPr>
          <w:p w14:paraId="45D368D8">
            <w:pPr>
              <w:spacing w:before="50" w:after="120"/>
              <w:jc w:val="center"/>
              <w:rPr>
                <w:rFonts w:ascii="宋体" w:hAnsi="宋体" w:cs="宋体"/>
                <w:sz w:val="24"/>
                <w:szCs w:val="20"/>
              </w:rPr>
            </w:pPr>
          </w:p>
        </w:tc>
        <w:tc>
          <w:tcPr>
            <w:tcW w:w="2545" w:type="dxa"/>
            <w:noWrap w:val="0"/>
            <w:vAlign w:val="center"/>
          </w:tcPr>
          <w:p w14:paraId="2281268D">
            <w:pPr>
              <w:spacing w:before="50" w:after="120"/>
              <w:jc w:val="center"/>
              <w:rPr>
                <w:rFonts w:ascii="宋体" w:hAnsi="宋体" w:cs="宋体"/>
                <w:sz w:val="24"/>
                <w:szCs w:val="20"/>
              </w:rPr>
            </w:pPr>
          </w:p>
        </w:tc>
        <w:tc>
          <w:tcPr>
            <w:tcW w:w="1764" w:type="dxa"/>
            <w:noWrap w:val="0"/>
            <w:vAlign w:val="center"/>
          </w:tcPr>
          <w:p w14:paraId="1F33A629">
            <w:pPr>
              <w:spacing w:before="50" w:after="120"/>
              <w:jc w:val="center"/>
              <w:rPr>
                <w:rFonts w:ascii="宋体" w:hAnsi="宋体" w:cs="宋体"/>
                <w:sz w:val="24"/>
                <w:szCs w:val="20"/>
              </w:rPr>
            </w:pPr>
          </w:p>
        </w:tc>
      </w:tr>
    </w:tbl>
    <w:p w14:paraId="72E46A87">
      <w:pPr>
        <w:spacing w:before="50" w:after="120"/>
        <w:jc w:val="left"/>
        <w:rPr>
          <w:rFonts w:ascii="宋体" w:hAnsi="宋体" w:cs="宋体"/>
          <w:sz w:val="24"/>
          <w:szCs w:val="20"/>
        </w:rPr>
      </w:pPr>
    </w:p>
    <w:p w14:paraId="4E5C6226">
      <w:pPr>
        <w:spacing w:line="360" w:lineRule="auto"/>
        <w:contextualSpacing/>
        <w:jc w:val="left"/>
        <w:rPr>
          <w:rFonts w:ascii="宋体" w:hAnsi="宋体" w:cs="宋体"/>
          <w:sz w:val="24"/>
          <w:szCs w:val="20"/>
        </w:rPr>
      </w:pPr>
      <w:r>
        <w:rPr>
          <w:rFonts w:hint="eastAsia" w:ascii="宋体" w:hAnsi="宋体" w:cs="宋体"/>
          <w:sz w:val="24"/>
          <w:szCs w:val="20"/>
        </w:rPr>
        <w:t>注：</w:t>
      </w:r>
    </w:p>
    <w:p w14:paraId="240BD05B">
      <w:pPr>
        <w:spacing w:line="360" w:lineRule="auto"/>
        <w:contextualSpacing/>
        <w:jc w:val="left"/>
        <w:rPr>
          <w:rFonts w:ascii="宋体" w:hAnsi="宋体" w:cs="宋体"/>
          <w:sz w:val="24"/>
          <w:szCs w:val="20"/>
        </w:rPr>
      </w:pPr>
      <w:r>
        <w:rPr>
          <w:rFonts w:hint="eastAsia" w:ascii="宋体" w:hAnsi="宋体" w:cs="宋体"/>
          <w:sz w:val="24"/>
          <w:szCs w:val="20"/>
        </w:rPr>
        <w:t>1.在填写时，如本表格不适合投标单位的实际情况，可根据本表格式自行制表填写。</w:t>
      </w:r>
    </w:p>
    <w:p w14:paraId="557DC250">
      <w:pPr>
        <w:spacing w:line="360" w:lineRule="auto"/>
        <w:contextualSpacing/>
        <w:jc w:val="left"/>
        <w:rPr>
          <w:rFonts w:ascii="宋体" w:hAnsi="宋体" w:cs="宋体"/>
          <w:sz w:val="24"/>
          <w:szCs w:val="20"/>
        </w:rPr>
      </w:pPr>
      <w:r>
        <w:rPr>
          <w:rFonts w:hint="eastAsia" w:ascii="宋体" w:hAnsi="宋体" w:cs="宋体"/>
          <w:sz w:val="24"/>
          <w:szCs w:val="20"/>
        </w:rPr>
        <w:t>2.</w:t>
      </w:r>
      <w:r>
        <w:rPr>
          <w:rFonts w:hint="eastAsia" w:ascii="宋体" w:hAnsi="宋体" w:cs="宋体"/>
          <w:sz w:val="24"/>
          <w:szCs w:val="20"/>
          <w:lang w:val="zh-CN"/>
        </w:rPr>
        <w:t>本表填报的人员应满足招标文件第</w:t>
      </w:r>
      <w:r>
        <w:rPr>
          <w:rFonts w:hint="eastAsia" w:ascii="宋体" w:hAnsi="宋体" w:cs="宋体"/>
          <w:sz w:val="24"/>
          <w:szCs w:val="20"/>
        </w:rPr>
        <w:t>二</w:t>
      </w:r>
      <w:r>
        <w:rPr>
          <w:rFonts w:hint="eastAsia" w:ascii="宋体" w:hAnsi="宋体" w:cs="宋体"/>
          <w:sz w:val="24"/>
          <w:szCs w:val="20"/>
          <w:lang w:val="zh-CN"/>
        </w:rPr>
        <w:t>章“采购需求”中的要求。</w:t>
      </w:r>
    </w:p>
    <w:p w14:paraId="1F432608">
      <w:pPr>
        <w:spacing w:line="360" w:lineRule="auto"/>
        <w:contextualSpacing/>
        <w:rPr>
          <w:rFonts w:ascii="宋体" w:hAnsi="宋体" w:cs="宋体"/>
          <w:sz w:val="24"/>
        </w:rPr>
      </w:pPr>
    </w:p>
    <w:p w14:paraId="3BF90AC5">
      <w:pPr>
        <w:spacing w:line="360" w:lineRule="auto"/>
        <w:contextualSpacing/>
        <w:rPr>
          <w:rFonts w:ascii="宋体" w:hAnsi="宋体" w:cs="宋体"/>
          <w:sz w:val="24"/>
        </w:rPr>
      </w:pPr>
    </w:p>
    <w:p w14:paraId="1684ACCA">
      <w:pPr>
        <w:spacing w:line="360" w:lineRule="auto"/>
        <w:contextualSpacing/>
        <w:rPr>
          <w:rFonts w:ascii="宋体" w:hAnsi="宋体" w:cs="宋体"/>
          <w:spacing w:val="20"/>
          <w:sz w:val="24"/>
          <w:szCs w:val="20"/>
          <w:u w:val="single"/>
        </w:rPr>
      </w:pPr>
      <w:r>
        <w:rPr>
          <w:rFonts w:hint="eastAsia" w:ascii="宋体" w:hAnsi="宋体" w:cs="宋体"/>
          <w:sz w:val="24"/>
        </w:rPr>
        <w:t>法定代表人或者委托代理人</w:t>
      </w:r>
      <w:r>
        <w:rPr>
          <w:rFonts w:hint="eastAsia" w:ascii="宋体" w:hAnsi="宋体" w:cs="宋体"/>
          <w:spacing w:val="20"/>
          <w:sz w:val="24"/>
        </w:rPr>
        <w:t>（签字）：</w:t>
      </w:r>
      <w:r>
        <w:rPr>
          <w:rFonts w:hint="eastAsia" w:ascii="宋体" w:hAnsi="宋体" w:cs="宋体"/>
          <w:spacing w:val="20"/>
          <w:sz w:val="24"/>
          <w:u w:val="single"/>
        </w:rPr>
        <w:t xml:space="preserve">        </w:t>
      </w:r>
    </w:p>
    <w:p w14:paraId="09D760AA">
      <w:pPr>
        <w:spacing w:line="360" w:lineRule="auto"/>
        <w:contextualSpacing/>
        <w:jc w:val="left"/>
        <w:rPr>
          <w:rFonts w:ascii="宋体" w:hAnsi="宋体" w:cs="宋体"/>
          <w:spacing w:val="20"/>
          <w:sz w:val="24"/>
        </w:rPr>
      </w:pPr>
      <w:r>
        <w:rPr>
          <w:rFonts w:hint="eastAsia" w:ascii="宋体" w:hAnsi="宋体" w:cs="宋体"/>
          <w:spacing w:val="20"/>
          <w:sz w:val="24"/>
        </w:rPr>
        <w:t>投标人（盖公章）：</w:t>
      </w:r>
      <w:r>
        <w:rPr>
          <w:rFonts w:hint="eastAsia" w:ascii="宋体" w:hAnsi="宋体" w:cs="宋体"/>
          <w:spacing w:val="20"/>
          <w:sz w:val="24"/>
          <w:u w:val="single"/>
        </w:rPr>
        <w:t xml:space="preserve">            </w:t>
      </w:r>
      <w:r>
        <w:rPr>
          <w:rFonts w:hint="eastAsia" w:ascii="宋体" w:hAnsi="宋体" w:cs="宋体"/>
          <w:spacing w:val="20"/>
          <w:sz w:val="24"/>
        </w:rPr>
        <w:t xml:space="preserve">              </w:t>
      </w:r>
    </w:p>
    <w:p w14:paraId="4E74B6DC">
      <w:pPr>
        <w:spacing w:line="360" w:lineRule="auto"/>
        <w:contextualSpacing/>
        <w:jc w:val="left"/>
        <w:rPr>
          <w:rFonts w:ascii="宋体" w:hAnsi="宋体" w:cs="宋体"/>
          <w:sz w:val="24"/>
          <w:szCs w:val="20"/>
        </w:rPr>
      </w:pPr>
      <w:r>
        <w:rPr>
          <w:rFonts w:hint="eastAsia" w:ascii="宋体" w:hAnsi="宋体" w:cs="宋体"/>
          <w:spacing w:val="20"/>
          <w:sz w:val="24"/>
        </w:rPr>
        <w:t>日 期：</w:t>
      </w:r>
      <w:r>
        <w:rPr>
          <w:rFonts w:hint="eastAsia" w:ascii="宋体" w:hAnsi="宋体" w:cs="宋体"/>
          <w:spacing w:val="20"/>
          <w:sz w:val="24"/>
          <w:u w:val="single"/>
        </w:rPr>
        <w:t xml:space="preserve">         </w:t>
      </w:r>
    </w:p>
    <w:p w14:paraId="196CB19D">
      <w:pPr>
        <w:spacing w:before="50" w:after="120"/>
        <w:jc w:val="left"/>
        <w:rPr>
          <w:rFonts w:ascii="宋体" w:hAnsi="宋体" w:cs="宋体"/>
          <w:sz w:val="24"/>
          <w:szCs w:val="20"/>
        </w:rPr>
      </w:pPr>
    </w:p>
    <w:p w14:paraId="288A7471">
      <w:pPr>
        <w:spacing w:before="185" w:line="231" w:lineRule="auto"/>
        <w:ind w:left="230"/>
        <w:jc w:val="center"/>
        <w:rPr>
          <w:rFonts w:ascii="宋体" w:hAnsi="宋体" w:cs="宋体"/>
          <w:sz w:val="29"/>
          <w:szCs w:val="29"/>
        </w:rPr>
      </w:pPr>
      <w:r>
        <w:rPr>
          <w:rFonts w:hint="eastAsia" w:ascii="宋体" w:hAnsi="宋体" w:cs="宋体"/>
          <w:b/>
          <w:sz w:val="24"/>
        </w:rPr>
        <w:br w:type="page"/>
      </w:r>
      <w:r>
        <w:rPr>
          <w:rFonts w:hint="eastAsia" w:ascii="宋体" w:hAnsi="宋体" w:cs="宋体"/>
          <w:spacing w:val="10"/>
          <w:sz w:val="29"/>
          <w:szCs w:val="29"/>
        </w:rPr>
        <w:t>（3）拟委任的其他管理和技术人员资历表</w:t>
      </w:r>
    </w:p>
    <w:p w14:paraId="2DDAA639"/>
    <w:tbl>
      <w:tblPr>
        <w:tblStyle w:val="25"/>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403"/>
        <w:gridCol w:w="1275"/>
        <w:gridCol w:w="321"/>
        <w:gridCol w:w="1516"/>
        <w:gridCol w:w="862"/>
        <w:gridCol w:w="616"/>
        <w:gridCol w:w="776"/>
        <w:gridCol w:w="1393"/>
        <w:gridCol w:w="1477"/>
      </w:tblGrid>
      <w:tr w14:paraId="44C2E07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1403" w:type="dxa"/>
            <w:noWrap/>
            <w:vAlign w:val="center"/>
          </w:tcPr>
          <w:p w14:paraId="16B7666F">
            <w:pPr>
              <w:tabs>
                <w:tab w:val="left" w:pos="680"/>
              </w:tabs>
              <w:spacing w:before="73"/>
              <w:jc w:val="center"/>
              <w:rPr>
                <w:rFonts w:ascii="宋体" w:hAnsi="宋体" w:cs="宋体"/>
              </w:rPr>
            </w:pPr>
            <w:r>
              <w:rPr>
                <w:rFonts w:hint="eastAsia" w:ascii="宋体" w:hAnsi="宋体" w:cs="宋体"/>
              </w:rPr>
              <w:t>姓</w:t>
            </w:r>
            <w:r>
              <w:rPr>
                <w:rFonts w:hint="eastAsia" w:ascii="宋体" w:hAnsi="宋体" w:cs="宋体"/>
              </w:rPr>
              <w:tab/>
            </w:r>
            <w:r>
              <w:rPr>
                <w:rFonts w:hint="eastAsia" w:ascii="宋体" w:hAnsi="宋体" w:cs="宋体"/>
              </w:rPr>
              <w:t>名</w:t>
            </w:r>
          </w:p>
        </w:tc>
        <w:tc>
          <w:tcPr>
            <w:tcW w:w="1596" w:type="dxa"/>
            <w:gridSpan w:val="2"/>
            <w:noWrap/>
            <w:vAlign w:val="center"/>
          </w:tcPr>
          <w:p w14:paraId="4AB21F2B">
            <w:pPr>
              <w:jc w:val="center"/>
              <w:rPr>
                <w:rFonts w:ascii="宋体" w:hAnsi="宋体" w:cs="宋体"/>
              </w:rPr>
            </w:pPr>
          </w:p>
        </w:tc>
        <w:tc>
          <w:tcPr>
            <w:tcW w:w="1516" w:type="dxa"/>
            <w:noWrap/>
            <w:vAlign w:val="center"/>
          </w:tcPr>
          <w:p w14:paraId="33F7AB7A">
            <w:pPr>
              <w:spacing w:before="73"/>
              <w:jc w:val="center"/>
              <w:rPr>
                <w:rFonts w:ascii="宋体" w:hAnsi="宋体" w:cs="宋体"/>
              </w:rPr>
            </w:pPr>
            <w:r>
              <w:rPr>
                <w:rFonts w:hint="eastAsia" w:ascii="宋体" w:hAnsi="宋体" w:cs="宋体"/>
              </w:rPr>
              <w:t>年  龄</w:t>
            </w:r>
          </w:p>
        </w:tc>
        <w:tc>
          <w:tcPr>
            <w:tcW w:w="1478" w:type="dxa"/>
            <w:gridSpan w:val="2"/>
            <w:noWrap/>
            <w:vAlign w:val="center"/>
          </w:tcPr>
          <w:p w14:paraId="763AF719">
            <w:pPr>
              <w:jc w:val="center"/>
              <w:rPr>
                <w:rFonts w:ascii="宋体" w:hAnsi="宋体" w:cs="宋体"/>
              </w:rPr>
            </w:pPr>
          </w:p>
        </w:tc>
        <w:tc>
          <w:tcPr>
            <w:tcW w:w="2169" w:type="dxa"/>
            <w:gridSpan w:val="2"/>
            <w:noWrap/>
            <w:vAlign w:val="center"/>
          </w:tcPr>
          <w:p w14:paraId="304A5526">
            <w:pPr>
              <w:spacing w:before="73"/>
              <w:jc w:val="center"/>
              <w:rPr>
                <w:rFonts w:ascii="宋体" w:hAnsi="宋体" w:cs="宋体"/>
              </w:rPr>
            </w:pPr>
            <w:r>
              <w:rPr>
                <w:rFonts w:hint="eastAsia" w:ascii="宋体" w:hAnsi="宋体" w:cs="宋体"/>
              </w:rPr>
              <w:t>专  业</w:t>
            </w:r>
          </w:p>
        </w:tc>
        <w:tc>
          <w:tcPr>
            <w:tcW w:w="1477" w:type="dxa"/>
            <w:noWrap/>
            <w:vAlign w:val="center"/>
          </w:tcPr>
          <w:p w14:paraId="584D308E">
            <w:pPr>
              <w:jc w:val="center"/>
              <w:rPr>
                <w:rFonts w:ascii="宋体" w:hAnsi="宋体" w:cs="宋体"/>
              </w:rPr>
            </w:pPr>
          </w:p>
        </w:tc>
      </w:tr>
      <w:tr w14:paraId="15CBCFD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1403" w:type="dxa"/>
            <w:noWrap/>
            <w:vAlign w:val="center"/>
          </w:tcPr>
          <w:p w14:paraId="724507D5">
            <w:pPr>
              <w:tabs>
                <w:tab w:val="left" w:pos="680"/>
              </w:tabs>
              <w:spacing w:before="73"/>
              <w:jc w:val="center"/>
              <w:rPr>
                <w:rFonts w:ascii="宋体" w:hAnsi="宋体" w:cs="宋体"/>
              </w:rPr>
            </w:pPr>
            <w:r>
              <w:rPr>
                <w:rFonts w:hint="eastAsia" w:ascii="宋体" w:hAnsi="宋体" w:cs="宋体"/>
              </w:rPr>
              <w:t>技术职称</w:t>
            </w:r>
          </w:p>
        </w:tc>
        <w:tc>
          <w:tcPr>
            <w:tcW w:w="1596" w:type="dxa"/>
            <w:gridSpan w:val="2"/>
            <w:noWrap/>
            <w:vAlign w:val="center"/>
          </w:tcPr>
          <w:p w14:paraId="57F3C6BC">
            <w:pPr>
              <w:jc w:val="center"/>
              <w:rPr>
                <w:rFonts w:ascii="宋体" w:hAnsi="宋体" w:cs="宋体"/>
              </w:rPr>
            </w:pPr>
          </w:p>
        </w:tc>
        <w:tc>
          <w:tcPr>
            <w:tcW w:w="1516" w:type="dxa"/>
            <w:noWrap/>
            <w:vAlign w:val="center"/>
          </w:tcPr>
          <w:p w14:paraId="43A2E69B">
            <w:pPr>
              <w:spacing w:before="73"/>
              <w:jc w:val="center"/>
              <w:rPr>
                <w:rFonts w:ascii="宋体" w:hAnsi="宋体" w:cs="宋体"/>
              </w:rPr>
            </w:pPr>
            <w:r>
              <w:rPr>
                <w:rFonts w:hint="eastAsia" w:ascii="宋体" w:hAnsi="宋体" w:cs="宋体"/>
              </w:rPr>
              <w:t>学历</w:t>
            </w:r>
          </w:p>
        </w:tc>
        <w:tc>
          <w:tcPr>
            <w:tcW w:w="1478" w:type="dxa"/>
            <w:gridSpan w:val="2"/>
            <w:noWrap/>
            <w:vAlign w:val="center"/>
          </w:tcPr>
          <w:p w14:paraId="3BFF539E">
            <w:pPr>
              <w:jc w:val="center"/>
              <w:rPr>
                <w:rFonts w:ascii="宋体" w:hAnsi="宋体" w:cs="宋体"/>
              </w:rPr>
            </w:pPr>
          </w:p>
        </w:tc>
        <w:tc>
          <w:tcPr>
            <w:tcW w:w="2169" w:type="dxa"/>
            <w:gridSpan w:val="2"/>
            <w:noWrap/>
            <w:vAlign w:val="center"/>
          </w:tcPr>
          <w:p w14:paraId="65DE4D4D">
            <w:pPr>
              <w:spacing w:before="73"/>
              <w:jc w:val="center"/>
              <w:rPr>
                <w:rFonts w:ascii="宋体" w:hAnsi="宋体" w:cs="宋体"/>
              </w:rPr>
            </w:pPr>
            <w:r>
              <w:rPr>
                <w:rFonts w:hint="eastAsia" w:ascii="宋体" w:hAnsi="宋体" w:cs="宋体"/>
              </w:rPr>
              <w:t>拟在本标段</w:t>
            </w:r>
          </w:p>
          <w:p w14:paraId="3E5E8946">
            <w:pPr>
              <w:spacing w:before="73"/>
              <w:jc w:val="center"/>
              <w:rPr>
                <w:rFonts w:ascii="宋体" w:hAnsi="宋体" w:cs="宋体"/>
              </w:rPr>
            </w:pPr>
            <w:r>
              <w:rPr>
                <w:rFonts w:hint="eastAsia" w:ascii="宋体" w:hAnsi="宋体" w:cs="宋体"/>
              </w:rPr>
              <w:t>工程任职</w:t>
            </w:r>
          </w:p>
        </w:tc>
        <w:tc>
          <w:tcPr>
            <w:tcW w:w="1477" w:type="dxa"/>
            <w:noWrap/>
            <w:vAlign w:val="center"/>
          </w:tcPr>
          <w:p w14:paraId="6FD8F7C1">
            <w:pPr>
              <w:jc w:val="center"/>
              <w:rPr>
                <w:rFonts w:ascii="宋体" w:hAnsi="宋体" w:cs="宋体"/>
              </w:rPr>
            </w:pPr>
          </w:p>
        </w:tc>
      </w:tr>
      <w:tr w14:paraId="509818F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1403" w:type="dxa"/>
            <w:noWrap/>
            <w:vAlign w:val="center"/>
          </w:tcPr>
          <w:p w14:paraId="3C2933B8">
            <w:pPr>
              <w:tabs>
                <w:tab w:val="left" w:pos="680"/>
              </w:tabs>
              <w:spacing w:before="73"/>
              <w:jc w:val="center"/>
              <w:rPr>
                <w:rFonts w:ascii="宋体" w:hAnsi="宋体" w:cs="宋体"/>
              </w:rPr>
            </w:pPr>
            <w:r>
              <w:rPr>
                <w:rFonts w:hint="eastAsia" w:ascii="宋体" w:hAnsi="宋体" w:cs="宋体"/>
              </w:rPr>
              <w:t>工作年限</w:t>
            </w:r>
          </w:p>
        </w:tc>
        <w:tc>
          <w:tcPr>
            <w:tcW w:w="4590" w:type="dxa"/>
            <w:gridSpan w:val="5"/>
            <w:noWrap/>
            <w:vAlign w:val="center"/>
          </w:tcPr>
          <w:p w14:paraId="2D526A10">
            <w:pPr>
              <w:jc w:val="center"/>
              <w:rPr>
                <w:rFonts w:ascii="宋体" w:hAnsi="宋体" w:cs="宋体"/>
              </w:rPr>
            </w:pPr>
          </w:p>
        </w:tc>
        <w:tc>
          <w:tcPr>
            <w:tcW w:w="2169" w:type="dxa"/>
            <w:gridSpan w:val="2"/>
            <w:noWrap/>
            <w:vAlign w:val="center"/>
          </w:tcPr>
          <w:p w14:paraId="582FA2D5">
            <w:pPr>
              <w:spacing w:before="73"/>
              <w:jc w:val="center"/>
              <w:rPr>
                <w:rFonts w:ascii="宋体" w:hAnsi="宋体" w:cs="宋体"/>
              </w:rPr>
            </w:pPr>
            <w:r>
              <w:rPr>
                <w:rFonts w:hint="eastAsia" w:ascii="宋体" w:hAnsi="宋体" w:cs="宋体"/>
              </w:rPr>
              <w:t>类似施工经验年限</w:t>
            </w:r>
          </w:p>
        </w:tc>
        <w:tc>
          <w:tcPr>
            <w:tcW w:w="1477" w:type="dxa"/>
            <w:noWrap/>
            <w:vAlign w:val="center"/>
          </w:tcPr>
          <w:p w14:paraId="07ACF93A">
            <w:pPr>
              <w:jc w:val="center"/>
              <w:rPr>
                <w:rFonts w:ascii="宋体" w:hAnsi="宋体" w:cs="宋体"/>
              </w:rPr>
            </w:pPr>
          </w:p>
        </w:tc>
      </w:tr>
      <w:tr w14:paraId="04D6AFC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1403" w:type="dxa"/>
            <w:noWrap/>
            <w:vAlign w:val="center"/>
          </w:tcPr>
          <w:p w14:paraId="3E6D2F71">
            <w:pPr>
              <w:spacing w:before="73"/>
              <w:jc w:val="center"/>
              <w:rPr>
                <w:rFonts w:ascii="宋体" w:hAnsi="宋体" w:cs="宋体"/>
              </w:rPr>
            </w:pPr>
            <w:r>
              <w:rPr>
                <w:rFonts w:hint="eastAsia" w:ascii="宋体" w:hAnsi="宋体" w:cs="宋体"/>
              </w:rPr>
              <w:t>毕业学校</w:t>
            </w:r>
          </w:p>
        </w:tc>
        <w:tc>
          <w:tcPr>
            <w:tcW w:w="8236" w:type="dxa"/>
            <w:gridSpan w:val="8"/>
            <w:noWrap/>
            <w:vAlign w:val="center"/>
          </w:tcPr>
          <w:p w14:paraId="424135B9">
            <w:pPr>
              <w:tabs>
                <w:tab w:val="left" w:pos="2820"/>
                <w:tab w:val="left" w:pos="4080"/>
              </w:tabs>
              <w:spacing w:before="73"/>
              <w:ind w:left="-1291" w:leftChars="-615" w:firstLine="1680" w:firstLineChars="800"/>
              <w:rPr>
                <w:rFonts w:ascii="宋体" w:hAnsi="宋体" w:cs="宋体"/>
              </w:rPr>
            </w:pPr>
            <w:r>
              <w:rPr>
                <w:rFonts w:hint="eastAsia" w:ascii="宋体" w:hAnsi="宋体" w:cs="宋体"/>
                <w:lang w:val="zh-CN"/>
              </w:rPr>
              <w:t>年</w:t>
            </w:r>
            <w:r>
              <w:rPr>
                <w:rFonts w:hint="eastAsia" w:ascii="宋体" w:hAnsi="宋体" w:cs="宋体"/>
              </w:rPr>
              <w:t xml:space="preserve">    </w:t>
            </w:r>
            <w:r>
              <w:rPr>
                <w:rFonts w:hint="eastAsia" w:ascii="宋体" w:hAnsi="宋体" w:cs="宋体"/>
                <w:lang w:val="zh-CN"/>
              </w:rPr>
              <w:t>月毕业于</w:t>
            </w:r>
            <w:r>
              <w:rPr>
                <w:rFonts w:hint="eastAsia" w:ascii="宋体" w:hAnsi="宋体" w:cs="宋体"/>
              </w:rPr>
              <w:t xml:space="preserve">       </w:t>
            </w:r>
            <w:r>
              <w:rPr>
                <w:rFonts w:hint="eastAsia" w:ascii="宋体" w:hAnsi="宋体" w:cs="宋体"/>
                <w:lang w:val="zh-CN"/>
              </w:rPr>
              <w:t>学校</w:t>
            </w:r>
            <w:r>
              <w:rPr>
                <w:rFonts w:hint="eastAsia" w:ascii="宋体" w:hAnsi="宋体" w:cs="宋体"/>
                <w:lang w:val="zh-CN"/>
              </w:rPr>
              <w:tab/>
            </w:r>
            <w:r>
              <w:rPr>
                <w:rFonts w:hint="eastAsia" w:ascii="宋体" w:hAnsi="宋体" w:cs="宋体"/>
                <w:lang w:val="zh-CN"/>
              </w:rPr>
              <w:t>专业，学制</w:t>
            </w:r>
            <w:r>
              <w:rPr>
                <w:rFonts w:hint="eastAsia" w:ascii="宋体" w:hAnsi="宋体" w:cs="宋体"/>
                <w:lang w:val="zh-CN"/>
              </w:rPr>
              <w:tab/>
            </w:r>
            <w:r>
              <w:rPr>
                <w:rFonts w:hint="eastAsia" w:ascii="宋体" w:hAnsi="宋体" w:cs="宋体"/>
                <w:lang w:val="zh-CN"/>
              </w:rPr>
              <w:t>年</w:t>
            </w:r>
          </w:p>
        </w:tc>
      </w:tr>
      <w:tr w14:paraId="29B6373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9639" w:type="dxa"/>
            <w:gridSpan w:val="9"/>
            <w:noWrap/>
            <w:vAlign w:val="center"/>
          </w:tcPr>
          <w:p w14:paraId="5CCFB165">
            <w:pPr>
              <w:jc w:val="center"/>
              <w:rPr>
                <w:rFonts w:ascii="宋体" w:hAnsi="宋体" w:cs="宋体"/>
              </w:rPr>
            </w:pPr>
            <w:r>
              <w:rPr>
                <w:rFonts w:hint="eastAsia" w:ascii="宋体" w:hAnsi="宋体" w:cs="宋体"/>
              </w:rPr>
              <w:t>经     历</w:t>
            </w:r>
          </w:p>
        </w:tc>
      </w:tr>
      <w:tr w14:paraId="319B287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1403" w:type="dxa"/>
            <w:noWrap/>
            <w:vAlign w:val="center"/>
          </w:tcPr>
          <w:p w14:paraId="75D05C87">
            <w:pPr>
              <w:jc w:val="center"/>
              <w:rPr>
                <w:rFonts w:ascii="宋体" w:hAnsi="宋体" w:cs="宋体"/>
              </w:rPr>
            </w:pPr>
            <w:r>
              <w:rPr>
                <w:rFonts w:hint="eastAsia" w:ascii="宋体" w:hAnsi="宋体" w:cs="宋体"/>
              </w:rPr>
              <w:t>时间</w:t>
            </w:r>
          </w:p>
        </w:tc>
        <w:tc>
          <w:tcPr>
            <w:tcW w:w="3974" w:type="dxa"/>
            <w:gridSpan w:val="4"/>
            <w:noWrap/>
            <w:vAlign w:val="center"/>
          </w:tcPr>
          <w:p w14:paraId="1AB0D66E">
            <w:pPr>
              <w:jc w:val="center"/>
              <w:rPr>
                <w:rFonts w:ascii="宋体" w:hAnsi="宋体" w:cs="宋体"/>
              </w:rPr>
            </w:pPr>
            <w:r>
              <w:rPr>
                <w:rFonts w:hint="eastAsia" w:ascii="宋体" w:hAnsi="宋体" w:cs="宋体"/>
              </w:rPr>
              <w:t>参加过的类似工程项目名称</w:t>
            </w:r>
          </w:p>
        </w:tc>
        <w:tc>
          <w:tcPr>
            <w:tcW w:w="1392" w:type="dxa"/>
            <w:gridSpan w:val="2"/>
            <w:noWrap/>
            <w:vAlign w:val="center"/>
          </w:tcPr>
          <w:p w14:paraId="172C9E2E">
            <w:pPr>
              <w:jc w:val="center"/>
              <w:rPr>
                <w:rFonts w:ascii="宋体" w:hAnsi="宋体" w:cs="宋体"/>
              </w:rPr>
            </w:pPr>
            <w:r>
              <w:rPr>
                <w:rFonts w:hint="eastAsia" w:ascii="宋体" w:hAnsi="宋体" w:cs="宋体"/>
              </w:rPr>
              <w:t>担任职务</w:t>
            </w:r>
          </w:p>
        </w:tc>
        <w:tc>
          <w:tcPr>
            <w:tcW w:w="2870" w:type="dxa"/>
            <w:gridSpan w:val="2"/>
            <w:noWrap/>
            <w:vAlign w:val="center"/>
          </w:tcPr>
          <w:p w14:paraId="7DEC0341">
            <w:pPr>
              <w:jc w:val="center"/>
              <w:rPr>
                <w:rFonts w:ascii="宋体" w:hAnsi="宋体" w:cs="宋体"/>
              </w:rPr>
            </w:pPr>
            <w:r>
              <w:rPr>
                <w:rFonts w:hint="eastAsia" w:ascii="宋体" w:hAnsi="宋体" w:cs="宋体"/>
              </w:rPr>
              <w:t>发包人及</w:t>
            </w:r>
          </w:p>
          <w:p w14:paraId="5B26FA08">
            <w:pPr>
              <w:jc w:val="center"/>
              <w:rPr>
                <w:rFonts w:ascii="宋体" w:hAnsi="宋体" w:cs="宋体"/>
              </w:rPr>
            </w:pPr>
            <w:r>
              <w:rPr>
                <w:rFonts w:hint="eastAsia" w:ascii="宋体" w:hAnsi="宋体" w:cs="宋体"/>
              </w:rPr>
              <w:t>联系电话</w:t>
            </w:r>
          </w:p>
        </w:tc>
      </w:tr>
      <w:tr w14:paraId="2566435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exact"/>
          <w:jc w:val="center"/>
        </w:trPr>
        <w:tc>
          <w:tcPr>
            <w:tcW w:w="1403" w:type="dxa"/>
            <w:noWrap/>
            <w:vAlign w:val="center"/>
          </w:tcPr>
          <w:p w14:paraId="456D83D1">
            <w:pPr>
              <w:jc w:val="center"/>
              <w:rPr>
                <w:rFonts w:ascii="宋体" w:hAnsi="宋体" w:cs="宋体"/>
              </w:rPr>
            </w:pPr>
          </w:p>
        </w:tc>
        <w:tc>
          <w:tcPr>
            <w:tcW w:w="3974" w:type="dxa"/>
            <w:gridSpan w:val="4"/>
            <w:noWrap/>
            <w:vAlign w:val="center"/>
          </w:tcPr>
          <w:p w14:paraId="585765DB">
            <w:pPr>
              <w:jc w:val="center"/>
              <w:rPr>
                <w:rFonts w:ascii="宋体" w:hAnsi="宋体" w:cs="宋体"/>
              </w:rPr>
            </w:pPr>
          </w:p>
        </w:tc>
        <w:tc>
          <w:tcPr>
            <w:tcW w:w="1392" w:type="dxa"/>
            <w:gridSpan w:val="2"/>
            <w:noWrap/>
            <w:vAlign w:val="center"/>
          </w:tcPr>
          <w:p w14:paraId="18BADF30">
            <w:pPr>
              <w:jc w:val="center"/>
              <w:rPr>
                <w:rFonts w:ascii="宋体" w:hAnsi="宋体" w:cs="宋体"/>
              </w:rPr>
            </w:pPr>
          </w:p>
        </w:tc>
        <w:tc>
          <w:tcPr>
            <w:tcW w:w="2870" w:type="dxa"/>
            <w:gridSpan w:val="2"/>
            <w:noWrap/>
            <w:vAlign w:val="center"/>
          </w:tcPr>
          <w:p w14:paraId="221CA423">
            <w:pPr>
              <w:jc w:val="center"/>
              <w:rPr>
                <w:rFonts w:ascii="宋体" w:hAnsi="宋体" w:cs="宋体"/>
              </w:rPr>
            </w:pPr>
          </w:p>
        </w:tc>
      </w:tr>
      <w:tr w14:paraId="5E5E12F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exact"/>
          <w:jc w:val="center"/>
        </w:trPr>
        <w:tc>
          <w:tcPr>
            <w:tcW w:w="1403" w:type="dxa"/>
            <w:noWrap/>
            <w:vAlign w:val="center"/>
          </w:tcPr>
          <w:p w14:paraId="4E9D6202">
            <w:pPr>
              <w:jc w:val="center"/>
              <w:rPr>
                <w:rFonts w:ascii="宋体" w:hAnsi="宋体" w:cs="宋体"/>
              </w:rPr>
            </w:pPr>
          </w:p>
        </w:tc>
        <w:tc>
          <w:tcPr>
            <w:tcW w:w="3974" w:type="dxa"/>
            <w:gridSpan w:val="4"/>
            <w:noWrap/>
            <w:vAlign w:val="center"/>
          </w:tcPr>
          <w:p w14:paraId="5B5A1C66">
            <w:pPr>
              <w:jc w:val="center"/>
              <w:rPr>
                <w:rFonts w:ascii="宋体" w:hAnsi="宋体" w:cs="宋体"/>
              </w:rPr>
            </w:pPr>
          </w:p>
        </w:tc>
        <w:tc>
          <w:tcPr>
            <w:tcW w:w="1392" w:type="dxa"/>
            <w:gridSpan w:val="2"/>
            <w:noWrap/>
            <w:vAlign w:val="center"/>
          </w:tcPr>
          <w:p w14:paraId="35C31036">
            <w:pPr>
              <w:jc w:val="center"/>
              <w:rPr>
                <w:rFonts w:ascii="宋体" w:hAnsi="宋体" w:cs="宋体"/>
              </w:rPr>
            </w:pPr>
          </w:p>
        </w:tc>
        <w:tc>
          <w:tcPr>
            <w:tcW w:w="2870" w:type="dxa"/>
            <w:gridSpan w:val="2"/>
            <w:noWrap/>
            <w:vAlign w:val="center"/>
          </w:tcPr>
          <w:p w14:paraId="1FC5C54A">
            <w:pPr>
              <w:jc w:val="center"/>
              <w:rPr>
                <w:rFonts w:ascii="宋体" w:hAnsi="宋体" w:cs="宋体"/>
              </w:rPr>
            </w:pPr>
          </w:p>
        </w:tc>
      </w:tr>
      <w:tr w14:paraId="74222E2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exact"/>
          <w:jc w:val="center"/>
        </w:trPr>
        <w:tc>
          <w:tcPr>
            <w:tcW w:w="1403" w:type="dxa"/>
            <w:noWrap/>
            <w:vAlign w:val="center"/>
          </w:tcPr>
          <w:p w14:paraId="226DC6EC">
            <w:pPr>
              <w:jc w:val="center"/>
              <w:rPr>
                <w:rFonts w:ascii="宋体" w:hAnsi="宋体" w:cs="宋体"/>
              </w:rPr>
            </w:pPr>
          </w:p>
        </w:tc>
        <w:tc>
          <w:tcPr>
            <w:tcW w:w="3974" w:type="dxa"/>
            <w:gridSpan w:val="4"/>
            <w:noWrap/>
            <w:vAlign w:val="center"/>
          </w:tcPr>
          <w:p w14:paraId="71AE3F45">
            <w:pPr>
              <w:jc w:val="center"/>
              <w:rPr>
                <w:rFonts w:ascii="宋体" w:hAnsi="宋体" w:cs="宋体"/>
              </w:rPr>
            </w:pPr>
          </w:p>
        </w:tc>
        <w:tc>
          <w:tcPr>
            <w:tcW w:w="1392" w:type="dxa"/>
            <w:gridSpan w:val="2"/>
            <w:noWrap/>
            <w:vAlign w:val="center"/>
          </w:tcPr>
          <w:p w14:paraId="063E222D">
            <w:pPr>
              <w:jc w:val="center"/>
              <w:rPr>
                <w:rFonts w:ascii="宋体" w:hAnsi="宋体" w:cs="宋体"/>
              </w:rPr>
            </w:pPr>
          </w:p>
        </w:tc>
        <w:tc>
          <w:tcPr>
            <w:tcW w:w="2870" w:type="dxa"/>
            <w:gridSpan w:val="2"/>
            <w:noWrap/>
            <w:vAlign w:val="center"/>
          </w:tcPr>
          <w:p w14:paraId="1837856E">
            <w:pPr>
              <w:jc w:val="center"/>
              <w:rPr>
                <w:rFonts w:ascii="宋体" w:hAnsi="宋体" w:cs="宋体"/>
              </w:rPr>
            </w:pPr>
          </w:p>
        </w:tc>
      </w:tr>
      <w:tr w14:paraId="001267A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exact"/>
          <w:jc w:val="center"/>
        </w:trPr>
        <w:tc>
          <w:tcPr>
            <w:tcW w:w="1403" w:type="dxa"/>
            <w:noWrap/>
            <w:vAlign w:val="center"/>
          </w:tcPr>
          <w:p w14:paraId="02027183">
            <w:pPr>
              <w:jc w:val="center"/>
              <w:rPr>
                <w:rFonts w:ascii="宋体" w:hAnsi="宋体" w:cs="宋体"/>
              </w:rPr>
            </w:pPr>
          </w:p>
        </w:tc>
        <w:tc>
          <w:tcPr>
            <w:tcW w:w="3974" w:type="dxa"/>
            <w:gridSpan w:val="4"/>
            <w:noWrap/>
            <w:vAlign w:val="center"/>
          </w:tcPr>
          <w:p w14:paraId="31B60CBB">
            <w:pPr>
              <w:jc w:val="center"/>
              <w:rPr>
                <w:rFonts w:ascii="宋体" w:hAnsi="宋体" w:cs="宋体"/>
              </w:rPr>
            </w:pPr>
          </w:p>
        </w:tc>
        <w:tc>
          <w:tcPr>
            <w:tcW w:w="1392" w:type="dxa"/>
            <w:gridSpan w:val="2"/>
            <w:noWrap/>
            <w:vAlign w:val="center"/>
          </w:tcPr>
          <w:p w14:paraId="7BD22F79">
            <w:pPr>
              <w:jc w:val="center"/>
              <w:rPr>
                <w:rFonts w:ascii="宋体" w:hAnsi="宋体" w:cs="宋体"/>
              </w:rPr>
            </w:pPr>
          </w:p>
        </w:tc>
        <w:tc>
          <w:tcPr>
            <w:tcW w:w="2870" w:type="dxa"/>
            <w:gridSpan w:val="2"/>
            <w:noWrap/>
            <w:vAlign w:val="center"/>
          </w:tcPr>
          <w:p w14:paraId="105A2D54">
            <w:pPr>
              <w:jc w:val="center"/>
              <w:rPr>
                <w:rFonts w:ascii="宋体" w:hAnsi="宋体" w:cs="宋体"/>
              </w:rPr>
            </w:pPr>
          </w:p>
        </w:tc>
      </w:tr>
      <w:tr w14:paraId="441C330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exact"/>
          <w:jc w:val="center"/>
        </w:trPr>
        <w:tc>
          <w:tcPr>
            <w:tcW w:w="1403" w:type="dxa"/>
            <w:noWrap/>
            <w:vAlign w:val="center"/>
          </w:tcPr>
          <w:p w14:paraId="6E092AF1">
            <w:pPr>
              <w:jc w:val="center"/>
              <w:rPr>
                <w:rFonts w:ascii="宋体" w:hAnsi="宋体" w:cs="宋体"/>
              </w:rPr>
            </w:pPr>
          </w:p>
        </w:tc>
        <w:tc>
          <w:tcPr>
            <w:tcW w:w="3974" w:type="dxa"/>
            <w:gridSpan w:val="4"/>
            <w:noWrap/>
            <w:vAlign w:val="center"/>
          </w:tcPr>
          <w:p w14:paraId="012E0983">
            <w:pPr>
              <w:jc w:val="center"/>
              <w:rPr>
                <w:rFonts w:ascii="宋体" w:hAnsi="宋体" w:cs="宋体"/>
              </w:rPr>
            </w:pPr>
          </w:p>
        </w:tc>
        <w:tc>
          <w:tcPr>
            <w:tcW w:w="1392" w:type="dxa"/>
            <w:gridSpan w:val="2"/>
            <w:noWrap/>
            <w:vAlign w:val="center"/>
          </w:tcPr>
          <w:p w14:paraId="69E1381F">
            <w:pPr>
              <w:jc w:val="center"/>
              <w:rPr>
                <w:rFonts w:ascii="宋体" w:hAnsi="宋体" w:cs="宋体"/>
              </w:rPr>
            </w:pPr>
          </w:p>
        </w:tc>
        <w:tc>
          <w:tcPr>
            <w:tcW w:w="2870" w:type="dxa"/>
            <w:gridSpan w:val="2"/>
            <w:noWrap/>
            <w:vAlign w:val="center"/>
          </w:tcPr>
          <w:p w14:paraId="23F072FF">
            <w:pPr>
              <w:jc w:val="center"/>
              <w:rPr>
                <w:rFonts w:ascii="宋体" w:hAnsi="宋体" w:cs="宋体"/>
              </w:rPr>
            </w:pPr>
          </w:p>
        </w:tc>
      </w:tr>
      <w:tr w14:paraId="7E9B805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54" w:hRule="exact"/>
          <w:jc w:val="center"/>
        </w:trPr>
        <w:tc>
          <w:tcPr>
            <w:tcW w:w="2678" w:type="dxa"/>
            <w:gridSpan w:val="2"/>
            <w:noWrap/>
            <w:vAlign w:val="center"/>
          </w:tcPr>
          <w:p w14:paraId="220BD85E">
            <w:pPr>
              <w:jc w:val="center"/>
              <w:rPr>
                <w:rFonts w:ascii="宋体" w:hAnsi="宋体" w:cs="宋体"/>
              </w:rPr>
            </w:pPr>
            <w:r>
              <w:rPr>
                <w:rFonts w:hint="eastAsia" w:ascii="宋体" w:hAnsi="宋体" w:cs="宋体"/>
              </w:rPr>
              <w:t>获奖情况</w:t>
            </w:r>
          </w:p>
        </w:tc>
        <w:tc>
          <w:tcPr>
            <w:tcW w:w="6961" w:type="dxa"/>
            <w:gridSpan w:val="7"/>
            <w:noWrap/>
            <w:vAlign w:val="center"/>
          </w:tcPr>
          <w:p w14:paraId="4B01536F">
            <w:pPr>
              <w:jc w:val="center"/>
              <w:rPr>
                <w:rFonts w:ascii="宋体" w:hAnsi="宋体" w:cs="宋体"/>
              </w:rPr>
            </w:pPr>
          </w:p>
        </w:tc>
      </w:tr>
      <w:tr w14:paraId="30B1037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62" w:hRule="atLeast"/>
          <w:jc w:val="center"/>
        </w:trPr>
        <w:tc>
          <w:tcPr>
            <w:tcW w:w="1403" w:type="dxa"/>
            <w:noWrap/>
            <w:vAlign w:val="center"/>
          </w:tcPr>
          <w:p w14:paraId="56F6C710">
            <w:pPr>
              <w:jc w:val="center"/>
              <w:rPr>
                <w:rFonts w:ascii="宋体" w:hAnsi="宋体" w:cs="宋体"/>
              </w:rPr>
            </w:pPr>
            <w:r>
              <w:rPr>
                <w:rFonts w:hint="eastAsia" w:ascii="宋体" w:hAnsi="宋体" w:cs="宋体"/>
              </w:rPr>
              <w:t>说明在岗情况</w:t>
            </w:r>
          </w:p>
        </w:tc>
        <w:tc>
          <w:tcPr>
            <w:tcW w:w="8236" w:type="dxa"/>
            <w:gridSpan w:val="8"/>
            <w:noWrap/>
            <w:vAlign w:val="center"/>
          </w:tcPr>
          <w:p w14:paraId="06B34B83">
            <w:pPr>
              <w:pStyle w:val="38"/>
              <w:jc w:val="both"/>
              <w:rPr>
                <w:rFonts w:hAnsi="宋体"/>
                <w:sz w:val="21"/>
                <w:szCs w:val="21"/>
              </w:rPr>
            </w:pPr>
            <w:r>
              <w:rPr>
                <w:rFonts w:hint="eastAsia" w:hAnsi="宋体"/>
                <w:sz w:val="21"/>
                <w:szCs w:val="21"/>
              </w:rPr>
              <w:t xml:space="preserve">□目前未在其他项目上任职，现从事工作为：。 </w:t>
            </w:r>
          </w:p>
          <w:p w14:paraId="5A1DC433">
            <w:pPr>
              <w:pStyle w:val="38"/>
              <w:jc w:val="both"/>
              <w:rPr>
                <w:rFonts w:hAnsi="宋体"/>
                <w:sz w:val="21"/>
                <w:szCs w:val="21"/>
              </w:rPr>
            </w:pPr>
            <w:r>
              <w:rPr>
                <w:rFonts w:hint="eastAsia" w:hAnsi="宋体"/>
                <w:sz w:val="21"/>
                <w:szCs w:val="21"/>
              </w:rPr>
              <w:t>□目前虽在其他项目上任职，但本项目中标（成交）后能够从该项目撤离，目前任职项目：</w:t>
            </w:r>
            <w:r>
              <w:rPr>
                <w:rFonts w:hint="eastAsia" w:hAnsi="宋体"/>
                <w:sz w:val="21"/>
                <w:szCs w:val="21"/>
                <w:u w:val="single"/>
              </w:rPr>
              <w:t xml:space="preserve">      </w:t>
            </w:r>
            <w:r>
              <w:rPr>
                <w:rFonts w:hint="eastAsia" w:hAnsi="宋体"/>
                <w:sz w:val="21"/>
                <w:szCs w:val="21"/>
              </w:rPr>
              <w:t>，担任职位：</w:t>
            </w:r>
            <w:r>
              <w:rPr>
                <w:rFonts w:hint="eastAsia" w:hAnsi="宋体"/>
                <w:sz w:val="21"/>
                <w:szCs w:val="21"/>
                <w:u w:val="single"/>
              </w:rPr>
              <w:t xml:space="preserve">      </w:t>
            </w:r>
            <w:r>
              <w:rPr>
                <w:rFonts w:hint="eastAsia" w:hAnsi="宋体"/>
                <w:sz w:val="21"/>
                <w:szCs w:val="21"/>
              </w:rPr>
              <w:t xml:space="preserve">。 </w:t>
            </w:r>
          </w:p>
        </w:tc>
      </w:tr>
      <w:tr w14:paraId="0FD41DB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09" w:hRule="atLeast"/>
          <w:jc w:val="center"/>
        </w:trPr>
        <w:tc>
          <w:tcPr>
            <w:tcW w:w="1403" w:type="dxa"/>
            <w:noWrap/>
            <w:vAlign w:val="center"/>
          </w:tcPr>
          <w:p w14:paraId="0A7055F9">
            <w:pPr>
              <w:jc w:val="center"/>
              <w:rPr>
                <w:rFonts w:ascii="宋体" w:hAnsi="宋体" w:cs="宋体"/>
              </w:rPr>
            </w:pPr>
            <w:r>
              <w:rPr>
                <w:rFonts w:hint="eastAsia" w:ascii="宋体" w:hAnsi="宋体" w:cs="宋体"/>
              </w:rPr>
              <w:t>备注</w:t>
            </w:r>
          </w:p>
        </w:tc>
        <w:tc>
          <w:tcPr>
            <w:tcW w:w="8236" w:type="dxa"/>
            <w:gridSpan w:val="8"/>
            <w:noWrap/>
            <w:vAlign w:val="center"/>
          </w:tcPr>
          <w:p w14:paraId="71BE4042">
            <w:pPr>
              <w:rPr>
                <w:rFonts w:ascii="宋体" w:hAnsi="宋体" w:cs="宋体"/>
              </w:rPr>
            </w:pPr>
          </w:p>
        </w:tc>
      </w:tr>
    </w:tbl>
    <w:p w14:paraId="40118C07"/>
    <w:p w14:paraId="062BB58D">
      <w:pPr>
        <w:ind w:firstLine="420" w:firstLineChars="200"/>
        <w:rPr>
          <w:rFonts w:ascii="宋体" w:hAnsi="宋体" w:cs="宋体"/>
        </w:rPr>
      </w:pPr>
      <w:r>
        <w:rPr>
          <w:rFonts w:hint="eastAsia" w:ascii="宋体" w:hAnsi="宋体" w:cs="宋体"/>
        </w:rPr>
        <w:t xml:space="preserve">1.本表应填写相关情况。 </w:t>
      </w:r>
    </w:p>
    <w:p w14:paraId="77E0631D">
      <w:pPr>
        <w:ind w:firstLine="420" w:firstLineChars="200"/>
        <w:rPr>
          <w:rFonts w:ascii="宋体" w:hAnsi="宋体" w:cs="宋体"/>
        </w:rPr>
      </w:pPr>
      <w:r>
        <w:rPr>
          <w:rFonts w:hint="eastAsia" w:ascii="宋体" w:hAnsi="宋体" w:cs="宋体"/>
        </w:rPr>
        <w:t>2.在本表后附社保证明及相关证书的复印件并加盖投标人公章。</w:t>
      </w:r>
    </w:p>
    <w:p w14:paraId="33C5AAD2">
      <w:pPr>
        <w:rPr>
          <w:rFonts w:ascii="宋体" w:hAnsi="宋体" w:cs="宋体"/>
          <w:b/>
          <w:sz w:val="24"/>
        </w:rPr>
      </w:pPr>
      <w:r>
        <w:rPr>
          <w:rFonts w:hint="eastAsia" w:ascii="宋体" w:hAnsi="宋体" w:cs="宋体"/>
        </w:rPr>
        <w:br w:type="page"/>
      </w:r>
      <w:r>
        <w:rPr>
          <w:rFonts w:hint="eastAsia" w:ascii="宋体" w:hAnsi="宋体" w:cs="宋体"/>
          <w:b/>
          <w:sz w:val="24"/>
          <w:lang w:val="en-US" w:eastAsia="zh-CN"/>
        </w:rPr>
        <w:t>7</w:t>
      </w:r>
      <w:r>
        <w:rPr>
          <w:rFonts w:hint="eastAsia" w:ascii="宋体" w:hAnsi="宋体" w:cs="宋体"/>
          <w:b/>
          <w:sz w:val="24"/>
        </w:rPr>
        <w:t>.投入满足应急抢险需要的人员承诺函</w:t>
      </w:r>
      <w:r>
        <w:rPr>
          <w:rFonts w:hint="eastAsia" w:ascii="宋体" w:hAnsi="宋体" w:cs="宋体"/>
          <w:b/>
          <w:bCs/>
          <w:sz w:val="24"/>
          <w:szCs w:val="24"/>
        </w:rPr>
        <w:t>（必须提供，否则按无效投标处理）</w:t>
      </w:r>
    </w:p>
    <w:p w14:paraId="053864C5">
      <w:pPr>
        <w:pStyle w:val="24"/>
        <w:ind w:firstLine="482"/>
        <w:rPr>
          <w:rFonts w:ascii="宋体" w:hAnsi="宋体" w:eastAsia="宋体" w:cs="宋体"/>
          <w:b/>
          <w:sz w:val="24"/>
          <w:lang w:eastAsia="zh-CN"/>
        </w:rPr>
      </w:pPr>
    </w:p>
    <w:p w14:paraId="174AB3BA">
      <w:pPr>
        <w:pStyle w:val="24"/>
        <w:ind w:firstLine="480"/>
        <w:jc w:val="center"/>
        <w:rPr>
          <w:rFonts w:ascii="宋体" w:hAnsi="宋体" w:eastAsia="宋体" w:cs="宋体"/>
          <w:bCs/>
          <w:sz w:val="24"/>
          <w:lang w:eastAsia="zh-CN"/>
        </w:rPr>
      </w:pPr>
      <w:r>
        <w:rPr>
          <w:rFonts w:hint="eastAsia" w:ascii="宋体" w:hAnsi="宋体" w:eastAsia="宋体" w:cs="宋体"/>
          <w:bCs/>
          <w:sz w:val="24"/>
          <w:lang w:eastAsia="zh-CN"/>
        </w:rPr>
        <w:t>（格式自拟）</w:t>
      </w:r>
    </w:p>
    <w:p w14:paraId="70D61041">
      <w:pPr>
        <w:ind w:firstLine="480" w:firstLineChars="200"/>
        <w:rPr>
          <w:rFonts w:hint="eastAsia" w:ascii="宋体" w:hAnsi="宋体" w:cs="宋体"/>
          <w:b/>
          <w:sz w:val="24"/>
        </w:rPr>
      </w:pPr>
    </w:p>
    <w:p w14:paraId="69C62820">
      <w:pPr>
        <w:ind w:firstLine="480" w:firstLineChars="200"/>
        <w:rPr>
          <w:rFonts w:hint="eastAsia" w:ascii="宋体" w:hAnsi="宋体" w:cs="宋体"/>
          <w:b/>
          <w:sz w:val="24"/>
        </w:rPr>
      </w:pPr>
    </w:p>
    <w:p w14:paraId="2ADC6DB6">
      <w:pPr>
        <w:ind w:firstLine="480" w:firstLineChars="200"/>
        <w:rPr>
          <w:rFonts w:hint="eastAsia" w:ascii="宋体" w:hAnsi="宋体" w:cs="宋体"/>
          <w:b/>
          <w:sz w:val="24"/>
        </w:rPr>
      </w:pPr>
    </w:p>
    <w:p w14:paraId="09F8C157">
      <w:pPr>
        <w:ind w:firstLine="0" w:firstLineChars="0"/>
        <w:rPr>
          <w:rFonts w:hint="eastAsia" w:ascii="宋体" w:hAnsi="宋体" w:cs="宋体"/>
          <w:b/>
          <w:bCs/>
          <w:sz w:val="24"/>
          <w:szCs w:val="24"/>
        </w:rPr>
      </w:pPr>
      <w:r>
        <w:rPr>
          <w:rFonts w:hint="eastAsia" w:ascii="宋体" w:hAnsi="宋体" w:cs="宋体"/>
          <w:b/>
          <w:bCs/>
          <w:sz w:val="24"/>
          <w:szCs w:val="24"/>
        </w:rPr>
        <w:t>8</w:t>
      </w:r>
      <w:r>
        <w:rPr>
          <w:rFonts w:hint="eastAsia" w:ascii="宋体" w:hAnsi="宋体" w:cs="宋体"/>
          <w:b/>
          <w:bCs/>
          <w:sz w:val="24"/>
          <w:szCs w:val="24"/>
          <w:lang w:val="en-US" w:eastAsia="zh-CN"/>
        </w:rPr>
        <w:t>.</w:t>
      </w:r>
      <w:r>
        <w:rPr>
          <w:rFonts w:hint="eastAsia" w:ascii="宋体" w:hAnsi="宋体" w:cs="宋体"/>
          <w:b/>
          <w:bCs/>
          <w:sz w:val="24"/>
          <w:szCs w:val="24"/>
        </w:rPr>
        <w:t>投标人对本项目的合理化建议和改进措施（格式自拟）</w:t>
      </w:r>
    </w:p>
    <w:p w14:paraId="2FCA412D">
      <w:pPr>
        <w:ind w:firstLine="0" w:firstLineChars="0"/>
        <w:rPr>
          <w:rFonts w:hint="eastAsia" w:ascii="宋体" w:hAnsi="宋体" w:cs="宋体"/>
          <w:b/>
          <w:bCs/>
          <w:sz w:val="24"/>
        </w:rPr>
      </w:pPr>
    </w:p>
    <w:p w14:paraId="7C7CF184">
      <w:pPr>
        <w:ind w:firstLine="0" w:firstLineChars="0"/>
        <w:rPr>
          <w:rFonts w:hint="eastAsia" w:ascii="宋体" w:hAnsi="宋体" w:cs="宋体"/>
          <w:b/>
          <w:bCs/>
          <w:sz w:val="24"/>
        </w:rPr>
      </w:pPr>
    </w:p>
    <w:p w14:paraId="16871E67">
      <w:pPr>
        <w:ind w:firstLine="0" w:firstLineChars="0"/>
        <w:rPr>
          <w:rFonts w:hint="eastAsia" w:ascii="宋体" w:hAnsi="宋体" w:cs="宋体"/>
          <w:b/>
          <w:bCs/>
          <w:sz w:val="24"/>
        </w:rPr>
      </w:pPr>
    </w:p>
    <w:p w14:paraId="202FB67E">
      <w:pPr>
        <w:ind w:firstLine="0" w:firstLineChars="0"/>
        <w:rPr>
          <w:rFonts w:hint="eastAsia" w:ascii="宋体" w:hAnsi="宋体" w:cs="宋体"/>
          <w:b/>
          <w:bCs/>
          <w:sz w:val="24"/>
        </w:rPr>
      </w:pPr>
    </w:p>
    <w:p w14:paraId="376F8A9D">
      <w:r>
        <w:rPr>
          <w:rFonts w:hint="eastAsia" w:ascii="宋体" w:hAnsi="宋体" w:cs="宋体"/>
          <w:b/>
          <w:bCs/>
          <w:sz w:val="24"/>
          <w:szCs w:val="24"/>
        </w:rPr>
        <w:t>9、除招标文件规定必须提供以外，投标人需要说明的其他文件和说明（格式自拟）</w:t>
      </w:r>
    </w:p>
    <w:p w14:paraId="566E7ABA"/>
    <w:p w14:paraId="10EEB99B">
      <w:pPr>
        <w:bidi w:val="0"/>
        <w:rPr>
          <w:rFonts w:ascii="Arial" w:hAnsi="Arial" w:eastAsia="Arial" w:cs="Arial"/>
          <w:snapToGrid w:val="0"/>
          <w:color w:val="000000"/>
          <w:kern w:val="0"/>
          <w:sz w:val="21"/>
          <w:szCs w:val="21"/>
          <w:lang w:val="en-US" w:eastAsia="en-US" w:bidi="ar-SA"/>
        </w:rPr>
      </w:pPr>
    </w:p>
    <w:p w14:paraId="377CBAD2">
      <w:pPr>
        <w:bidi w:val="0"/>
        <w:rPr>
          <w:lang w:val="en-US" w:eastAsia="en-US"/>
        </w:rPr>
      </w:pPr>
    </w:p>
    <w:p w14:paraId="05B62850">
      <w:pPr>
        <w:bidi w:val="0"/>
        <w:rPr>
          <w:lang w:val="en-US" w:eastAsia="en-US"/>
        </w:rPr>
      </w:pPr>
    </w:p>
    <w:p w14:paraId="29AA5AA7">
      <w:pPr>
        <w:bidi w:val="0"/>
        <w:rPr>
          <w:lang w:val="en-US" w:eastAsia="en-US"/>
        </w:rPr>
      </w:pPr>
    </w:p>
    <w:p w14:paraId="521320CA">
      <w:pPr>
        <w:bidi w:val="0"/>
        <w:rPr>
          <w:lang w:val="en-US" w:eastAsia="en-US"/>
        </w:rPr>
      </w:pPr>
    </w:p>
    <w:p w14:paraId="0BF434A3">
      <w:pPr>
        <w:bidi w:val="0"/>
        <w:rPr>
          <w:lang w:val="en-US" w:eastAsia="en-US"/>
        </w:rPr>
      </w:pPr>
    </w:p>
    <w:p w14:paraId="67E84586">
      <w:pPr>
        <w:bidi w:val="0"/>
        <w:rPr>
          <w:lang w:val="en-US" w:eastAsia="en-US"/>
        </w:rPr>
      </w:pPr>
    </w:p>
    <w:p w14:paraId="0A0A7D6B">
      <w:pPr>
        <w:bidi w:val="0"/>
        <w:rPr>
          <w:lang w:val="en-US" w:eastAsia="en-US"/>
        </w:rPr>
      </w:pPr>
    </w:p>
    <w:p w14:paraId="4249A7FB">
      <w:pPr>
        <w:bidi w:val="0"/>
        <w:rPr>
          <w:lang w:val="en-US" w:eastAsia="en-US"/>
        </w:rPr>
      </w:pPr>
    </w:p>
    <w:p w14:paraId="670563F0">
      <w:pPr>
        <w:bidi w:val="0"/>
        <w:rPr>
          <w:lang w:val="en-US" w:eastAsia="en-US"/>
        </w:rPr>
      </w:pPr>
    </w:p>
    <w:p w14:paraId="20C94A58">
      <w:pPr>
        <w:bidi w:val="0"/>
        <w:rPr>
          <w:lang w:val="en-US" w:eastAsia="en-US"/>
        </w:rPr>
      </w:pPr>
    </w:p>
    <w:p w14:paraId="0D613083">
      <w:pPr>
        <w:bidi w:val="0"/>
        <w:rPr>
          <w:lang w:val="en-US" w:eastAsia="en-US"/>
        </w:rPr>
      </w:pPr>
    </w:p>
    <w:p w14:paraId="3B1C12FC">
      <w:pPr>
        <w:bidi w:val="0"/>
        <w:rPr>
          <w:lang w:val="en-US" w:eastAsia="en-US"/>
        </w:rPr>
      </w:pPr>
    </w:p>
    <w:p w14:paraId="0AEAEE9C">
      <w:pPr>
        <w:bidi w:val="0"/>
        <w:rPr>
          <w:lang w:val="en-US" w:eastAsia="en-US"/>
        </w:rPr>
      </w:pPr>
    </w:p>
    <w:p w14:paraId="6E40FAC6">
      <w:pPr>
        <w:bidi w:val="0"/>
        <w:rPr>
          <w:lang w:val="en-US" w:eastAsia="en-US"/>
        </w:rPr>
      </w:pPr>
    </w:p>
    <w:p w14:paraId="0D518AE0">
      <w:pPr>
        <w:bidi w:val="0"/>
        <w:rPr>
          <w:lang w:val="en-US" w:eastAsia="en-US"/>
        </w:rPr>
      </w:pPr>
    </w:p>
    <w:p w14:paraId="55B84EA9">
      <w:pPr>
        <w:bidi w:val="0"/>
        <w:rPr>
          <w:lang w:val="en-US" w:eastAsia="en-US"/>
        </w:rPr>
      </w:pPr>
    </w:p>
    <w:p w14:paraId="23E8E6AB">
      <w:pPr>
        <w:bidi w:val="0"/>
        <w:rPr>
          <w:lang w:val="en-US" w:eastAsia="en-US"/>
        </w:rPr>
      </w:pPr>
    </w:p>
    <w:p w14:paraId="632119F9">
      <w:pPr>
        <w:bidi w:val="0"/>
        <w:rPr>
          <w:lang w:val="en-US" w:eastAsia="en-US"/>
        </w:rPr>
      </w:pPr>
    </w:p>
    <w:p w14:paraId="282A9EF7">
      <w:pPr>
        <w:bidi w:val="0"/>
        <w:rPr>
          <w:lang w:val="en-US" w:eastAsia="en-US"/>
        </w:rPr>
      </w:pPr>
    </w:p>
    <w:p w14:paraId="6F4DDBA7">
      <w:pPr>
        <w:bidi w:val="0"/>
        <w:rPr>
          <w:lang w:val="en-US" w:eastAsia="en-US"/>
        </w:rPr>
      </w:pPr>
    </w:p>
    <w:p w14:paraId="20F30DA7">
      <w:pPr>
        <w:bidi w:val="0"/>
        <w:rPr>
          <w:lang w:val="en-US" w:eastAsia="en-US"/>
        </w:rPr>
      </w:pPr>
    </w:p>
    <w:p w14:paraId="0D516441">
      <w:pPr>
        <w:bidi w:val="0"/>
        <w:rPr>
          <w:lang w:val="en-US" w:eastAsia="en-US"/>
        </w:rPr>
      </w:pPr>
    </w:p>
    <w:p w14:paraId="17436FED">
      <w:pPr>
        <w:bidi w:val="0"/>
        <w:rPr>
          <w:lang w:val="en-US" w:eastAsia="en-US"/>
        </w:rPr>
      </w:pPr>
    </w:p>
    <w:p w14:paraId="47C6C204">
      <w:pPr>
        <w:bidi w:val="0"/>
        <w:rPr>
          <w:lang w:val="en-US" w:eastAsia="en-US"/>
        </w:rPr>
      </w:pPr>
    </w:p>
    <w:p w14:paraId="3F35E235">
      <w:pPr>
        <w:bidi w:val="0"/>
        <w:rPr>
          <w:lang w:val="en-US" w:eastAsia="en-US"/>
        </w:rPr>
      </w:pPr>
    </w:p>
    <w:p w14:paraId="02DE2C0F">
      <w:pPr>
        <w:bidi w:val="0"/>
        <w:rPr>
          <w:lang w:val="en-US" w:eastAsia="en-US"/>
        </w:rPr>
      </w:pPr>
    </w:p>
    <w:p w14:paraId="00665C28">
      <w:pPr>
        <w:bidi w:val="0"/>
        <w:rPr>
          <w:lang w:val="en-US" w:eastAsia="en-US"/>
        </w:rPr>
      </w:pPr>
    </w:p>
    <w:p w14:paraId="444B98E1">
      <w:pPr>
        <w:bidi w:val="0"/>
        <w:rPr>
          <w:lang w:val="en-US" w:eastAsia="en-US"/>
        </w:rPr>
      </w:pPr>
    </w:p>
    <w:p w14:paraId="48A42C21">
      <w:pPr>
        <w:bidi w:val="0"/>
        <w:rPr>
          <w:lang w:val="en-US" w:eastAsia="en-US"/>
        </w:rPr>
      </w:pPr>
    </w:p>
    <w:p w14:paraId="0A2FCBFE">
      <w:pPr>
        <w:bidi w:val="0"/>
        <w:rPr>
          <w:lang w:val="en-US" w:eastAsia="en-US"/>
        </w:rPr>
      </w:pPr>
    </w:p>
    <w:p w14:paraId="7DB71D23">
      <w:pPr>
        <w:bidi w:val="0"/>
        <w:rPr>
          <w:lang w:val="en-US" w:eastAsia="en-US"/>
        </w:rPr>
      </w:pPr>
    </w:p>
    <w:p w14:paraId="5AA82D95">
      <w:pPr>
        <w:bidi w:val="0"/>
        <w:rPr>
          <w:lang w:val="en-US" w:eastAsia="en-US"/>
        </w:rPr>
      </w:pPr>
    </w:p>
    <w:p w14:paraId="03FBC0ED">
      <w:pPr>
        <w:bidi w:val="0"/>
        <w:rPr>
          <w:lang w:val="en-US" w:eastAsia="en-US"/>
        </w:rPr>
      </w:pPr>
    </w:p>
    <w:p w14:paraId="26619289">
      <w:pPr>
        <w:bidi w:val="0"/>
        <w:rPr>
          <w:lang w:val="en-US" w:eastAsia="en-US"/>
        </w:rPr>
      </w:pPr>
    </w:p>
    <w:p w14:paraId="19C24AA7">
      <w:pPr>
        <w:bidi w:val="0"/>
        <w:rPr>
          <w:lang w:val="en-US" w:eastAsia="en-US"/>
        </w:rPr>
      </w:pPr>
    </w:p>
    <w:p w14:paraId="348362FF">
      <w:pPr>
        <w:bidi w:val="0"/>
        <w:rPr>
          <w:lang w:val="en-US" w:eastAsia="en-US"/>
        </w:rPr>
      </w:pPr>
    </w:p>
    <w:p w14:paraId="41A0DB6F">
      <w:pPr>
        <w:tabs>
          <w:tab w:val="left" w:pos="3495"/>
        </w:tabs>
        <w:bidi w:val="0"/>
        <w:jc w:val="left"/>
        <w:rPr>
          <w:rFonts w:hint="eastAsia" w:eastAsia="宋体"/>
          <w:lang w:val="en-US" w:eastAsia="zh-CN"/>
        </w:rPr>
      </w:pPr>
      <w:r>
        <w:rPr>
          <w:rFonts w:hint="eastAsia" w:eastAsia="宋体"/>
          <w:lang w:val="en-US" w:eastAsia="zh-CN"/>
        </w:rPr>
        <w:tab/>
      </w:r>
    </w:p>
    <w:p w14:paraId="28B5E345">
      <w:pPr>
        <w:tabs>
          <w:tab w:val="left" w:pos="3495"/>
        </w:tabs>
        <w:bidi w:val="0"/>
        <w:jc w:val="left"/>
        <w:rPr>
          <w:rFonts w:hint="eastAsia" w:eastAsia="宋体"/>
          <w:lang w:val="en-US" w:eastAsia="zh-CN"/>
        </w:rPr>
      </w:pPr>
    </w:p>
    <w:p w14:paraId="66A0BFFD">
      <w:pPr>
        <w:tabs>
          <w:tab w:val="left" w:pos="3495"/>
        </w:tabs>
        <w:bidi w:val="0"/>
        <w:jc w:val="left"/>
        <w:rPr>
          <w:rFonts w:hint="eastAsia" w:eastAsia="宋体"/>
          <w:lang w:val="en-US" w:eastAsia="zh-CN"/>
        </w:rPr>
      </w:pPr>
    </w:p>
    <w:p w14:paraId="2638D9D6">
      <w:pPr>
        <w:pStyle w:val="2"/>
        <w:numPr>
          <w:ilvl w:val="0"/>
          <w:numId w:val="18"/>
        </w:numPr>
        <w:bidi w:val="0"/>
        <w:rPr>
          <w:rFonts w:hint="default" w:eastAsia="宋体"/>
          <w:highlight w:val="none"/>
          <w:lang w:val="en-US" w:eastAsia="zh-CN"/>
        </w:rPr>
      </w:pPr>
      <w:r>
        <w:rPr>
          <w:highlight w:val="none"/>
        </w:rPr>
        <w:t xml:space="preserve"> </w:t>
      </w:r>
      <w:bookmarkStart w:id="320" w:name="_Toc11763"/>
      <w:r>
        <w:rPr>
          <w:rFonts w:hint="eastAsia" w:eastAsia="宋体"/>
          <w:highlight w:val="none"/>
          <w:lang w:val="en-US" w:eastAsia="zh-CN"/>
        </w:rPr>
        <w:t>绩效</w:t>
      </w:r>
      <w:r>
        <w:rPr>
          <w:rFonts w:hint="eastAsia"/>
          <w:highlight w:val="none"/>
          <w:lang w:val="en-US" w:eastAsia="zh-CN"/>
        </w:rPr>
        <w:t>清单</w:t>
      </w:r>
      <w:r>
        <w:rPr>
          <w:rFonts w:hint="eastAsia" w:eastAsia="宋体"/>
          <w:highlight w:val="none"/>
          <w:lang w:val="en-US" w:eastAsia="zh-CN"/>
        </w:rPr>
        <w:t>和工程量清单</w:t>
      </w:r>
      <w:bookmarkEnd w:id="320"/>
    </w:p>
    <w:p w14:paraId="4906B462">
      <w:pPr>
        <w:pStyle w:val="2"/>
        <w:numPr>
          <w:ilvl w:val="0"/>
          <w:numId w:val="0"/>
        </w:numPr>
        <w:bidi w:val="0"/>
        <w:jc w:val="center"/>
        <w:rPr>
          <w:rFonts w:hint="default" w:eastAsia="宋体"/>
          <w:highlight w:val="none"/>
          <w:lang w:val="en-US" w:eastAsia="zh-CN"/>
        </w:rPr>
      </w:pPr>
      <w:bookmarkStart w:id="321" w:name="_Toc31109"/>
      <w:r>
        <w:rPr>
          <w:rFonts w:hint="eastAsia" w:eastAsia="宋体"/>
          <w:highlight w:val="none"/>
          <w:lang w:val="en-US" w:eastAsia="zh-CN"/>
        </w:rPr>
        <w:t>（另册）</w:t>
      </w:r>
      <w:bookmarkEnd w:id="321"/>
    </w:p>
    <w:p w14:paraId="5DACFC9B"/>
    <w:sectPr>
      <w:headerReference r:id="rId27" w:type="default"/>
      <w:footerReference r:id="rId28" w:type="default"/>
      <w:pgSz w:w="11905" w:h="16838"/>
      <w:pgMar w:top="1440" w:right="1134" w:bottom="1440" w:left="1134" w:header="0" w:footer="720" w:gutter="0"/>
      <w:pgNumType w:fmt="decimal"/>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MS Gothic">
    <w:altName w:val="宋体"/>
    <w:panose1 w:val="020B0609070205080204"/>
    <w:charset w:val="86"/>
    <w:family w:val="auto"/>
    <w:pitch w:val="default"/>
    <w:sig w:usb0="00000000" w:usb1="00000000" w:usb2="08000012" w:usb3="00000000" w:csb0="4002009F" w:csb1="DFD70000"/>
  </w:font>
  <w:font w:name="FZZhengHeiS-DB-GB">
    <w:altName w:val="微软雅黑"/>
    <w:panose1 w:val="00000000000000000000"/>
    <w:charset w:val="00"/>
    <w:family w:val="roman"/>
    <w:pitch w:val="default"/>
    <w:sig w:usb0="00000000" w:usb1="00000000" w:usb2="00000000" w:usb3="00000000" w:csb0="00040001" w:csb1="0000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052E6">
    <w:pPr>
      <w:pStyle w:val="1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22B1C">
    <w:pPr>
      <w:spacing w:line="184" w:lineRule="auto"/>
      <w:ind w:left="4202"/>
      <w:rPr>
        <w:rFonts w:eastAsia="Times New Roman"/>
        <w:sz w:val="19"/>
        <w:szCs w:val="19"/>
      </w:rPr>
    </w:pPr>
    <w:r>
      <w:rPr>
        <w:sz w:val="19"/>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61B91">
                          <w:pPr>
                            <w:pStyle w:val="17"/>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A561B91">
                    <w:pPr>
                      <w:pStyle w:val="17"/>
                    </w:pPr>
                    <w:r>
                      <w:fldChar w:fldCharType="begin"/>
                    </w:r>
                    <w:r>
                      <w:instrText xml:space="preserve"> PAGE  \* MERGEFORMAT </w:instrText>
                    </w:r>
                    <w:r>
                      <w:fldChar w:fldCharType="separate"/>
                    </w:r>
                    <w:r>
                      <w:t>143</w:t>
                    </w:r>
                    <w:r>
                      <w:fldChar w:fldCharType="end"/>
                    </w:r>
                  </w:p>
                </w:txbxContent>
              </v:textbox>
            </v:shape>
          </w:pict>
        </mc:Fallback>
      </mc:AlternateContent>
    </w:r>
    <w:r>
      <w:rPr>
        <w:sz w:val="19"/>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B28A7F8">
                          <w:pPr>
                            <w:pStyle w:val="17"/>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0B28A7F8">
                    <w:pPr>
                      <w:pStyle w:val="17"/>
                    </w:pP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8D177">
    <w:pPr>
      <w:pStyle w:val="17"/>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5D08AA">
                          <w:pPr>
                            <w:pStyle w:val="17"/>
                          </w:pPr>
                          <w:r>
                            <w:fldChar w:fldCharType="begin"/>
                          </w:r>
                          <w:r>
                            <w:instrText xml:space="preserve"> PAGE  \* MERGEFORMAT </w:instrText>
                          </w:r>
                          <w:r>
                            <w:fldChar w:fldCharType="separate"/>
                          </w:r>
                          <w:r>
                            <w:t>145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55D08AA">
                    <w:pPr>
                      <w:pStyle w:val="17"/>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937D8">
    <w:pPr>
      <w:pStyle w:val="17"/>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BE97DA">
                          <w:pPr>
                            <w:pStyle w:val="17"/>
                          </w:pPr>
                          <w:r>
                            <w:fldChar w:fldCharType="begin"/>
                          </w:r>
                          <w:r>
                            <w:instrText xml:space="preserve"> PAGE  \* MERGEFORMAT </w:instrText>
                          </w:r>
                          <w:r>
                            <w:fldChar w:fldCharType="separate"/>
                          </w:r>
                          <w:r>
                            <w:t>150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6BE97DA">
                    <w:pPr>
                      <w:pStyle w:val="17"/>
                    </w:pPr>
                    <w:r>
                      <w:fldChar w:fldCharType="begin"/>
                    </w:r>
                    <w:r>
                      <w:instrText xml:space="preserve"> PAGE  \* MERGEFORMAT </w:instrText>
                    </w:r>
                    <w:r>
                      <w:fldChar w:fldCharType="separate"/>
                    </w:r>
                    <w:r>
                      <w:t>150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69FB7">
    <w:pPr>
      <w:spacing w:line="176" w:lineRule="auto"/>
      <w:ind w:left="48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179D34">
                          <w:pPr>
                            <w:pStyle w:val="17"/>
                          </w:pPr>
                          <w:r>
                            <w:fldChar w:fldCharType="begin"/>
                          </w:r>
                          <w:r>
                            <w:instrText xml:space="preserve"> PAGE  \* MERGEFORMAT </w:instrText>
                          </w:r>
                          <w:r>
                            <w:fldChar w:fldCharType="separate"/>
                          </w:r>
                          <w:r>
                            <w:t>191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0179D34">
                    <w:pPr>
                      <w:pStyle w:val="17"/>
                    </w:pPr>
                    <w:r>
                      <w:fldChar w:fldCharType="begin"/>
                    </w:r>
                    <w:r>
                      <w:instrText xml:space="preserve"> PAGE  \* MERGEFORMAT </w:instrText>
                    </w:r>
                    <w:r>
                      <w:fldChar w:fldCharType="separate"/>
                    </w:r>
                    <w:r>
                      <w:t>191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7C08E">
    <w:pPr>
      <w:spacing w:line="184" w:lineRule="auto"/>
      <w:ind w:left="4230"/>
      <w:rPr>
        <w:rFonts w:ascii="Times New Roman" w:hAnsi="Times New Roman" w:eastAsia="Times New Roman" w:cs="Times New Roman"/>
        <w:sz w:val="19"/>
        <w:szCs w:val="19"/>
      </w:rPr>
    </w:pPr>
    <w:r>
      <w:rPr>
        <w:sz w:val="19"/>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A014A4">
                          <w:pPr>
                            <w:pStyle w:val="1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EA014A4">
                    <w:pPr>
                      <w:pStyle w:val="17"/>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4796">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A3FEAD">
                          <w:pPr>
                            <w:pStyle w:val="17"/>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A3FEAD">
                    <w:pPr>
                      <w:pStyle w:val="17"/>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2C2BD">
    <w:pPr>
      <w:pStyle w:val="1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B37E81">
                          <w:pPr>
                            <w:pStyle w:val="17"/>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1EB37E81">
                    <w:pPr>
                      <w:pStyle w:val="17"/>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7CB84">
    <w:pPr>
      <w:spacing w:line="184" w:lineRule="auto"/>
      <w:ind w:left="4281"/>
      <w:rPr>
        <w:rFonts w:hint="eastAsia" w:eastAsia="宋体"/>
        <w:sz w:val="19"/>
        <w:szCs w:val="19"/>
        <w:lang w:val="en-US" w:eastAsia="zh-CN"/>
      </w:rPr>
    </w:pPr>
    <w:r>
      <w:rPr>
        <w:sz w:val="19"/>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1BEC6">
                          <w:pPr>
                            <w:pStyle w:val="17"/>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161BEC6">
                    <w:pPr>
                      <w:pStyle w:val="17"/>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FFC0A">
    <w:pPr>
      <w:spacing w:line="181" w:lineRule="auto"/>
      <w:ind w:left="4358"/>
      <w:rPr>
        <w:rFonts w:eastAsia="Times New Roman"/>
        <w:sz w:val="19"/>
        <w:szCs w:val="19"/>
      </w:rPr>
    </w:pPr>
    <w:r>
      <w:rPr>
        <w:sz w:val="19"/>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233E7">
                          <w:pPr>
                            <w:pStyle w:val="17"/>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01233E7">
                    <w:pPr>
                      <w:pStyle w:val="17"/>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E3C77">
    <w:pPr>
      <w:pStyle w:val="17"/>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375614">
                          <w:pPr>
                            <w:pStyle w:val="17"/>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E375614">
                    <w:pPr>
                      <w:pStyle w:val="17"/>
                    </w:pPr>
                    <w:r>
                      <w:fldChar w:fldCharType="begin"/>
                    </w:r>
                    <w:r>
                      <w:instrText xml:space="preserve"> PAGE  \* MERGEFORMAT </w:instrText>
                    </w:r>
                    <w:r>
                      <w:fldChar w:fldCharType="separate"/>
                    </w:r>
                    <w:r>
                      <w:t>99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31876">
    <w:pPr>
      <w:pStyle w:val="17"/>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C8BD80">
                          <w:pPr>
                            <w:pStyle w:val="17"/>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9C8BD80">
                    <w:pPr>
                      <w:pStyle w:val="17"/>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0D9EA">
    <w:pPr>
      <w:pStyle w:val="17"/>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A095AD">
                          <w:pPr>
                            <w:pStyle w:val="17"/>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BA095AD">
                    <w:pPr>
                      <w:pStyle w:val="17"/>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42637">
    <w:pPr>
      <w:pStyle w:val="11"/>
      <w:spacing w:line="14" w:lineRule="auto"/>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847F9">
    <w:pPr>
      <w:pStyle w:val="11"/>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6C2C8">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4B875">
    <w:pPr>
      <w:spacing w:line="46"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2F77D">
    <w:pPr>
      <w:spacing w:line="46"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10A31">
    <w:pPr>
      <w:pStyle w:val="11"/>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D9903">
    <w:pPr>
      <w:pStyle w:val="11"/>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3C966">
    <w:pPr>
      <w:pStyle w:val="11"/>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00444">
    <w:pPr>
      <w:pStyle w:val="11"/>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8C8B9">
    <w:pPr>
      <w:pStyle w:val="11"/>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485D4">
    <w:pPr>
      <w:pStyle w:val="11"/>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4547CB"/>
    <w:multiLevelType w:val="singleLevel"/>
    <w:tmpl w:val="9C4547CB"/>
    <w:lvl w:ilvl="0" w:tentative="0">
      <w:start w:val="1"/>
      <w:numFmt w:val="decimal"/>
      <w:lvlText w:val="%1."/>
      <w:lvlJc w:val="left"/>
      <w:pPr>
        <w:tabs>
          <w:tab w:val="left" w:pos="312"/>
        </w:tabs>
      </w:pPr>
    </w:lvl>
  </w:abstractNum>
  <w:abstractNum w:abstractNumId="1">
    <w:nsid w:val="A423DB4D"/>
    <w:multiLevelType w:val="singleLevel"/>
    <w:tmpl w:val="A423DB4D"/>
    <w:lvl w:ilvl="0" w:tentative="0">
      <w:start w:val="1"/>
      <w:numFmt w:val="decimal"/>
      <w:suff w:val="nothing"/>
      <w:lvlText w:val="（%1）"/>
      <w:lvlJc w:val="left"/>
    </w:lvl>
  </w:abstractNum>
  <w:abstractNum w:abstractNumId="2">
    <w:nsid w:val="B0096080"/>
    <w:multiLevelType w:val="singleLevel"/>
    <w:tmpl w:val="B0096080"/>
    <w:lvl w:ilvl="0" w:tentative="0">
      <w:start w:val="4"/>
      <w:numFmt w:val="chineseCounting"/>
      <w:suff w:val="nothing"/>
      <w:lvlText w:val="%1、"/>
      <w:lvlJc w:val="left"/>
      <w:rPr>
        <w:rFonts w:hint="eastAsia"/>
      </w:rPr>
    </w:lvl>
  </w:abstractNum>
  <w:abstractNum w:abstractNumId="3">
    <w:nsid w:val="BD84F9D5"/>
    <w:multiLevelType w:val="singleLevel"/>
    <w:tmpl w:val="BD84F9D5"/>
    <w:lvl w:ilvl="0" w:tentative="0">
      <w:start w:val="7"/>
      <w:numFmt w:val="chineseCounting"/>
      <w:suff w:val="space"/>
      <w:lvlText w:val="第%1章"/>
      <w:lvlJc w:val="left"/>
      <w:rPr>
        <w:rFonts w:hint="eastAsia"/>
      </w:rPr>
    </w:lvl>
  </w:abstractNum>
  <w:abstractNum w:abstractNumId="4">
    <w:nsid w:val="C5977856"/>
    <w:multiLevelType w:val="singleLevel"/>
    <w:tmpl w:val="C5977856"/>
    <w:lvl w:ilvl="0" w:tentative="0">
      <w:start w:val="1"/>
      <w:numFmt w:val="decimal"/>
      <w:suff w:val="nothing"/>
      <w:lvlText w:val="%1、"/>
      <w:lvlJc w:val="left"/>
    </w:lvl>
  </w:abstractNum>
  <w:abstractNum w:abstractNumId="5">
    <w:nsid w:val="C72B7917"/>
    <w:multiLevelType w:val="multilevel"/>
    <w:tmpl w:val="C72B7917"/>
    <w:lvl w:ilvl="0" w:tentative="0">
      <w:start w:val="1"/>
      <w:numFmt w:val="decimal"/>
      <w:lvlText w:val="%1."/>
      <w:lvlJc w:val="left"/>
      <w:pPr>
        <w:tabs>
          <w:tab w:val="left" w:pos="312"/>
        </w:tabs>
      </w:pPr>
    </w:lvl>
    <w:lvl w:ilvl="1" w:tentative="0">
      <w:start w:val="1"/>
      <w:numFmt w:val="decimal"/>
      <w:isLgl/>
      <w:lvlText w:val="%1.%2"/>
      <w:lvlJc w:val="left"/>
      <w:pPr>
        <w:ind w:left="797" w:hanging="660"/>
      </w:pPr>
      <w:rPr>
        <w:rFonts w:hint="default" w:ascii="Times New Roman" w:hAnsi="Times New Roman" w:eastAsia="Times New Roman" w:cs="Times New Roman"/>
      </w:rPr>
    </w:lvl>
    <w:lvl w:ilvl="2" w:tentative="0">
      <w:start w:val="1"/>
      <w:numFmt w:val="decimal"/>
      <w:isLgl/>
      <w:lvlText w:val="%1.%2.%3"/>
      <w:lvlJc w:val="left"/>
      <w:pPr>
        <w:ind w:left="994" w:hanging="720"/>
      </w:pPr>
      <w:rPr>
        <w:rFonts w:hint="default" w:ascii="Times New Roman" w:hAnsi="Times New Roman" w:eastAsia="Times New Roman" w:cs="Times New Roman"/>
      </w:rPr>
    </w:lvl>
    <w:lvl w:ilvl="3" w:tentative="0">
      <w:start w:val="6"/>
      <w:numFmt w:val="decimal"/>
      <w:isLgl/>
      <w:lvlText w:val="%1.%2.%3.%4"/>
      <w:lvlJc w:val="left"/>
      <w:pPr>
        <w:ind w:left="1131" w:hanging="720"/>
      </w:pPr>
      <w:rPr>
        <w:rFonts w:hint="default" w:ascii="Times New Roman" w:hAnsi="Times New Roman" w:eastAsia="Times New Roman" w:cs="Times New Roman"/>
      </w:rPr>
    </w:lvl>
    <w:lvl w:ilvl="4" w:tentative="0">
      <w:start w:val="1"/>
      <w:numFmt w:val="decimal"/>
      <w:isLgl/>
      <w:lvlText w:val="%1.%2.%3.%4.%5"/>
      <w:lvlJc w:val="left"/>
      <w:pPr>
        <w:ind w:left="1628" w:hanging="1080"/>
      </w:pPr>
      <w:rPr>
        <w:rFonts w:hint="default" w:ascii="Times New Roman" w:hAnsi="Times New Roman" w:eastAsia="Times New Roman" w:cs="Times New Roman"/>
      </w:rPr>
    </w:lvl>
    <w:lvl w:ilvl="5" w:tentative="0">
      <w:start w:val="1"/>
      <w:numFmt w:val="decimal"/>
      <w:isLgl/>
      <w:lvlText w:val="%1.%2.%3.%4.%5.%6"/>
      <w:lvlJc w:val="left"/>
      <w:pPr>
        <w:ind w:left="2125" w:hanging="1440"/>
      </w:pPr>
      <w:rPr>
        <w:rFonts w:hint="default" w:ascii="Times New Roman" w:hAnsi="Times New Roman" w:eastAsia="Times New Roman" w:cs="Times New Roman"/>
      </w:rPr>
    </w:lvl>
    <w:lvl w:ilvl="6" w:tentative="0">
      <w:start w:val="1"/>
      <w:numFmt w:val="decimal"/>
      <w:isLgl/>
      <w:lvlText w:val="%1.%2.%3.%4.%5.%6.%7"/>
      <w:lvlJc w:val="left"/>
      <w:pPr>
        <w:ind w:left="2262" w:hanging="1440"/>
      </w:pPr>
      <w:rPr>
        <w:rFonts w:hint="default" w:ascii="Times New Roman" w:hAnsi="Times New Roman" w:eastAsia="Times New Roman" w:cs="Times New Roman"/>
      </w:rPr>
    </w:lvl>
    <w:lvl w:ilvl="7" w:tentative="0">
      <w:start w:val="1"/>
      <w:numFmt w:val="decimal"/>
      <w:isLgl/>
      <w:lvlText w:val="%1.%2.%3.%4.%5.%6.%7.%8"/>
      <w:lvlJc w:val="left"/>
      <w:pPr>
        <w:ind w:left="2759" w:hanging="1800"/>
      </w:pPr>
      <w:rPr>
        <w:rFonts w:hint="default" w:ascii="Times New Roman" w:hAnsi="Times New Roman" w:eastAsia="Times New Roman" w:cs="Times New Roman"/>
      </w:rPr>
    </w:lvl>
    <w:lvl w:ilvl="8" w:tentative="0">
      <w:start w:val="1"/>
      <w:numFmt w:val="decimal"/>
      <w:isLgl/>
      <w:lvlText w:val="%1.%2.%3.%4.%5.%6.%7.%8.%9"/>
      <w:lvlJc w:val="left"/>
      <w:pPr>
        <w:ind w:left="2896" w:hanging="1800"/>
      </w:pPr>
      <w:rPr>
        <w:rFonts w:hint="default" w:ascii="Times New Roman" w:hAnsi="Times New Roman" w:eastAsia="Times New Roman" w:cs="Times New Roman"/>
      </w:rPr>
    </w:lvl>
  </w:abstractNum>
  <w:abstractNum w:abstractNumId="6">
    <w:nsid w:val="E88CBB79"/>
    <w:multiLevelType w:val="multilevel"/>
    <w:tmpl w:val="E88CBB79"/>
    <w:lvl w:ilvl="0" w:tentative="0">
      <w:start w:val="1"/>
      <w:numFmt w:val="decimalEnclosedCircle"/>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69E976E"/>
    <w:multiLevelType w:val="multilevel"/>
    <w:tmpl w:val="069E976E"/>
    <w:lvl w:ilvl="0" w:tentative="0">
      <w:start w:val="1"/>
      <w:numFmt w:val="decimalEnclosedCircle"/>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B4B3F8F"/>
    <w:multiLevelType w:val="singleLevel"/>
    <w:tmpl w:val="0B4B3F8F"/>
    <w:lvl w:ilvl="0" w:tentative="0">
      <w:start w:val="5"/>
      <w:numFmt w:val="chineseCounting"/>
      <w:suff w:val="space"/>
      <w:lvlText w:val="第%1节"/>
      <w:lvlJc w:val="left"/>
      <w:rPr>
        <w:rFonts w:hint="eastAsia"/>
      </w:rPr>
    </w:lvl>
  </w:abstractNum>
  <w:abstractNum w:abstractNumId="9">
    <w:nsid w:val="0DBB03DF"/>
    <w:multiLevelType w:val="multilevel"/>
    <w:tmpl w:val="0DBB03DF"/>
    <w:lvl w:ilvl="0" w:tentative="0">
      <w:start w:val="0"/>
      <w:numFmt w:val="none"/>
      <w:lvlText w:val=""/>
      <w:lvlJc w:val="left"/>
      <w:pPr>
        <w:tabs>
          <w:tab w:val="left" w:pos="360"/>
        </w:tabs>
      </w:p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0">
    <w:nsid w:val="185C01BD"/>
    <w:multiLevelType w:val="singleLevel"/>
    <w:tmpl w:val="185C01BD"/>
    <w:lvl w:ilvl="0" w:tentative="0">
      <w:start w:val="4"/>
      <w:numFmt w:val="decimal"/>
      <w:suff w:val="nothing"/>
      <w:lvlText w:val="（%1）"/>
      <w:lvlJc w:val="left"/>
    </w:lvl>
  </w:abstractNum>
  <w:abstractNum w:abstractNumId="1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decimal"/>
      <w:suff w:val="nothing"/>
      <w:lvlText w:val=""/>
      <w:lvlJc w:val="left"/>
      <w:pPr>
        <w:ind w:left="0" w:firstLine="0"/>
      </w:pPr>
      <w:rPr>
        <w:rFonts w:hint="eastAsia"/>
      </w:rPr>
    </w:lvl>
    <w:lvl w:ilvl="2" w:tentative="0">
      <w:start w:val="1"/>
      <w:numFmt w:val="decimal"/>
      <w:suff w:val="nothing"/>
      <w:lvlText w:val=""/>
      <w:lvlJc w:val="left"/>
      <w:pPr>
        <w:ind w:left="0" w:firstLine="0"/>
      </w:pPr>
      <w:rPr>
        <w:rFonts w:hint="eastAsia"/>
      </w:rPr>
    </w:lvl>
    <w:lvl w:ilvl="3" w:tentative="0">
      <w:start w:val="1"/>
      <w:numFmt w:val="decimal"/>
      <w:suff w:val="nothing"/>
      <w:lvlText w:val=""/>
      <w:lvlJc w:val="left"/>
      <w:pPr>
        <w:ind w:left="0" w:firstLine="0"/>
      </w:pPr>
      <w:rPr>
        <w:rFonts w:hint="eastAsia"/>
      </w:rPr>
    </w:lvl>
    <w:lvl w:ilvl="4" w:tentative="0">
      <w:start w:val="1"/>
      <w:numFmt w:val="decimal"/>
      <w:pStyle w:val="6"/>
      <w:suff w:val="nothing"/>
      <w:lvlText w:val=""/>
      <w:lvlJc w:val="left"/>
      <w:pPr>
        <w:ind w:left="0" w:firstLine="0"/>
      </w:pPr>
      <w:rPr>
        <w:rFonts w:hint="eastAsia"/>
      </w:rPr>
    </w:lvl>
    <w:lvl w:ilvl="5" w:tentative="0">
      <w:start w:val="1"/>
      <w:numFmt w:val="decimal"/>
      <w:suff w:val="nothing"/>
      <w:lvlText w:val=""/>
      <w:lvlJc w:val="left"/>
      <w:pPr>
        <w:ind w:left="0" w:firstLine="0"/>
      </w:pPr>
      <w:rPr>
        <w:rFonts w:hint="eastAsia"/>
      </w:rPr>
    </w:lvl>
    <w:lvl w:ilvl="6" w:tentative="0">
      <w:start w:val="1"/>
      <w:numFmt w:val="decimal"/>
      <w:suff w:val="nothing"/>
      <w:lvlText w:val=""/>
      <w:lvlJc w:val="left"/>
      <w:pPr>
        <w:ind w:left="0" w:firstLine="0"/>
      </w:pPr>
      <w:rPr>
        <w:rFonts w:hint="eastAsia"/>
      </w:rPr>
    </w:lvl>
    <w:lvl w:ilvl="7" w:tentative="0">
      <w:start w:val="1"/>
      <w:numFmt w:val="decimal"/>
      <w:suff w:val="nothing"/>
      <w:lvlText w:val=""/>
      <w:lvlJc w:val="left"/>
      <w:pPr>
        <w:ind w:left="0" w:firstLine="0"/>
      </w:pPr>
      <w:rPr>
        <w:rFonts w:hint="eastAsia"/>
      </w:rPr>
    </w:lvl>
    <w:lvl w:ilvl="8" w:tentative="0">
      <w:start w:val="1"/>
      <w:numFmt w:val="decimal"/>
      <w:suff w:val="nothing"/>
      <w:lvlText w:val=""/>
      <w:lvlJc w:val="left"/>
      <w:pPr>
        <w:ind w:left="0" w:firstLine="0"/>
      </w:pPr>
      <w:rPr>
        <w:rFonts w:hint="eastAsia"/>
      </w:rPr>
    </w:lvl>
  </w:abstractNum>
  <w:abstractNum w:abstractNumId="12">
    <w:nsid w:val="3CA46F72"/>
    <w:multiLevelType w:val="singleLevel"/>
    <w:tmpl w:val="3CA46F72"/>
    <w:lvl w:ilvl="0" w:tentative="0">
      <w:start w:val="6"/>
      <w:numFmt w:val="decimal"/>
      <w:suff w:val="nothing"/>
      <w:lvlText w:val="（%1）"/>
      <w:lvlJc w:val="left"/>
    </w:lvl>
  </w:abstractNum>
  <w:abstractNum w:abstractNumId="13">
    <w:nsid w:val="4C601917"/>
    <w:multiLevelType w:val="singleLevel"/>
    <w:tmpl w:val="4C601917"/>
    <w:lvl w:ilvl="0" w:tentative="0">
      <w:start w:val="1"/>
      <w:numFmt w:val="decimal"/>
      <w:suff w:val="nothing"/>
      <w:lvlText w:val="（%1）"/>
      <w:lvlJc w:val="left"/>
      <w:pPr>
        <w:ind w:left="-2"/>
      </w:pPr>
    </w:lvl>
  </w:abstractNum>
  <w:abstractNum w:abstractNumId="14">
    <w:nsid w:val="5FABD14B"/>
    <w:multiLevelType w:val="singleLevel"/>
    <w:tmpl w:val="5FABD14B"/>
    <w:lvl w:ilvl="0" w:tentative="0">
      <w:start w:val="1"/>
      <w:numFmt w:val="decimal"/>
      <w:suff w:val="nothing"/>
      <w:lvlText w:val="（%1）"/>
      <w:lvlJc w:val="left"/>
    </w:lvl>
  </w:abstractNum>
  <w:abstractNum w:abstractNumId="15">
    <w:nsid w:val="6FC2A50A"/>
    <w:multiLevelType w:val="singleLevel"/>
    <w:tmpl w:val="6FC2A50A"/>
    <w:lvl w:ilvl="0" w:tentative="0">
      <w:start w:val="3"/>
      <w:numFmt w:val="decimal"/>
      <w:suff w:val="space"/>
      <w:lvlText w:val="%1."/>
      <w:lvlJc w:val="left"/>
    </w:lvl>
  </w:abstractNum>
  <w:abstractNum w:abstractNumId="16">
    <w:nsid w:val="7B7EAC91"/>
    <w:multiLevelType w:val="multilevel"/>
    <w:tmpl w:val="7B7EAC91"/>
    <w:lvl w:ilvl="0" w:tentative="0">
      <w:start w:val="1"/>
      <w:numFmt w:val="decimalEnclosedCircle"/>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7CB87AC3"/>
    <w:multiLevelType w:val="multilevel"/>
    <w:tmpl w:val="7CB87AC3"/>
    <w:lvl w:ilvl="0" w:tentative="0">
      <w:start w:val="1"/>
      <w:numFmt w:val="decimalEnclosedCircle"/>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10"/>
  </w:num>
  <w:num w:numId="3">
    <w:abstractNumId w:val="2"/>
  </w:num>
  <w:num w:numId="4">
    <w:abstractNumId w:val="1"/>
  </w:num>
  <w:num w:numId="5">
    <w:abstractNumId w:val="4"/>
  </w:num>
  <w:num w:numId="6">
    <w:abstractNumId w:val="13"/>
  </w:num>
  <w:num w:numId="7">
    <w:abstractNumId w:val="14"/>
  </w:num>
  <w:num w:numId="8">
    <w:abstractNumId w:val="15"/>
  </w:num>
  <w:num w:numId="9">
    <w:abstractNumId w:val="0"/>
  </w:num>
  <w:num w:numId="10">
    <w:abstractNumId w:val="5"/>
  </w:num>
  <w:num w:numId="11">
    <w:abstractNumId w:val="9"/>
  </w:num>
  <w:num w:numId="12">
    <w:abstractNumId w:val="12"/>
  </w:num>
  <w:num w:numId="13">
    <w:abstractNumId w:val="8"/>
  </w:num>
  <w:num w:numId="14">
    <w:abstractNumId w:val="17"/>
  </w:num>
  <w:num w:numId="15">
    <w:abstractNumId w:val="6"/>
  </w:num>
  <w:num w:numId="16">
    <w:abstractNumId w:val="7"/>
  </w:num>
  <w:num w:numId="17">
    <w:abstractNumId w:val="1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C91E23"/>
    <w:rsid w:val="003532FE"/>
    <w:rsid w:val="00B20DF2"/>
    <w:rsid w:val="00C6310A"/>
    <w:rsid w:val="00D5688F"/>
    <w:rsid w:val="016A347B"/>
    <w:rsid w:val="020554C1"/>
    <w:rsid w:val="021B6523"/>
    <w:rsid w:val="025263E9"/>
    <w:rsid w:val="025B2DC4"/>
    <w:rsid w:val="03412D34"/>
    <w:rsid w:val="03575C81"/>
    <w:rsid w:val="03A1159F"/>
    <w:rsid w:val="03AF786B"/>
    <w:rsid w:val="03B95FF4"/>
    <w:rsid w:val="03C008D2"/>
    <w:rsid w:val="03CF27DA"/>
    <w:rsid w:val="03ED2496"/>
    <w:rsid w:val="03FA6D38"/>
    <w:rsid w:val="043833BC"/>
    <w:rsid w:val="047343F4"/>
    <w:rsid w:val="052B2F21"/>
    <w:rsid w:val="05E7658D"/>
    <w:rsid w:val="05FD48BE"/>
    <w:rsid w:val="06021ED4"/>
    <w:rsid w:val="06233BF8"/>
    <w:rsid w:val="06BD404D"/>
    <w:rsid w:val="06C61153"/>
    <w:rsid w:val="06D82C35"/>
    <w:rsid w:val="07307C61"/>
    <w:rsid w:val="0768220B"/>
    <w:rsid w:val="07D77390"/>
    <w:rsid w:val="07ED0962"/>
    <w:rsid w:val="085E40F1"/>
    <w:rsid w:val="08901178"/>
    <w:rsid w:val="08A6195F"/>
    <w:rsid w:val="08C276F9"/>
    <w:rsid w:val="0995305F"/>
    <w:rsid w:val="09B23C11"/>
    <w:rsid w:val="09CD45A7"/>
    <w:rsid w:val="09FB7366"/>
    <w:rsid w:val="0A006D14"/>
    <w:rsid w:val="0A842E95"/>
    <w:rsid w:val="0AFB731B"/>
    <w:rsid w:val="0B0C10FF"/>
    <w:rsid w:val="0B171478"/>
    <w:rsid w:val="0B8E7D66"/>
    <w:rsid w:val="0BA31A63"/>
    <w:rsid w:val="0C134F7E"/>
    <w:rsid w:val="0C450D6C"/>
    <w:rsid w:val="0C5801FD"/>
    <w:rsid w:val="0C671484"/>
    <w:rsid w:val="0C84355F"/>
    <w:rsid w:val="0C913FB2"/>
    <w:rsid w:val="0CC7352F"/>
    <w:rsid w:val="0CD22FF5"/>
    <w:rsid w:val="0CDD0FA5"/>
    <w:rsid w:val="0D49488C"/>
    <w:rsid w:val="0E3A50E0"/>
    <w:rsid w:val="0EAD49A7"/>
    <w:rsid w:val="0EB20279"/>
    <w:rsid w:val="0EB45143"/>
    <w:rsid w:val="0EB61AAE"/>
    <w:rsid w:val="0EF645A0"/>
    <w:rsid w:val="0FB2460C"/>
    <w:rsid w:val="10141182"/>
    <w:rsid w:val="105652C1"/>
    <w:rsid w:val="10700789"/>
    <w:rsid w:val="10814AA8"/>
    <w:rsid w:val="10852A4F"/>
    <w:rsid w:val="10B62239"/>
    <w:rsid w:val="11673533"/>
    <w:rsid w:val="11760EF0"/>
    <w:rsid w:val="12D544CC"/>
    <w:rsid w:val="130A061A"/>
    <w:rsid w:val="13123FC3"/>
    <w:rsid w:val="136C3083"/>
    <w:rsid w:val="13B54A2A"/>
    <w:rsid w:val="13D80B9A"/>
    <w:rsid w:val="13DD25E3"/>
    <w:rsid w:val="141352AC"/>
    <w:rsid w:val="146401FE"/>
    <w:rsid w:val="146D773D"/>
    <w:rsid w:val="14ED3D4F"/>
    <w:rsid w:val="14F11A91"/>
    <w:rsid w:val="150C5718"/>
    <w:rsid w:val="1528122B"/>
    <w:rsid w:val="15791A87"/>
    <w:rsid w:val="15C56A7A"/>
    <w:rsid w:val="15FA6724"/>
    <w:rsid w:val="161D2412"/>
    <w:rsid w:val="166149F5"/>
    <w:rsid w:val="16877AFF"/>
    <w:rsid w:val="1695623D"/>
    <w:rsid w:val="16A85011"/>
    <w:rsid w:val="16FD016C"/>
    <w:rsid w:val="16FF2645"/>
    <w:rsid w:val="170F61FF"/>
    <w:rsid w:val="17214184"/>
    <w:rsid w:val="178A3AD7"/>
    <w:rsid w:val="183D0B4A"/>
    <w:rsid w:val="184620F4"/>
    <w:rsid w:val="184A3267"/>
    <w:rsid w:val="18AA3680"/>
    <w:rsid w:val="18BC5F12"/>
    <w:rsid w:val="190E24E6"/>
    <w:rsid w:val="1947168D"/>
    <w:rsid w:val="198D78AF"/>
    <w:rsid w:val="19BB08C0"/>
    <w:rsid w:val="19C31523"/>
    <w:rsid w:val="1A0822E3"/>
    <w:rsid w:val="1A24438C"/>
    <w:rsid w:val="1A2C57FA"/>
    <w:rsid w:val="1A301F78"/>
    <w:rsid w:val="1A532B52"/>
    <w:rsid w:val="1A8962C8"/>
    <w:rsid w:val="1A9263E2"/>
    <w:rsid w:val="1AEE0821"/>
    <w:rsid w:val="1AEF6A73"/>
    <w:rsid w:val="1B487F31"/>
    <w:rsid w:val="1B713322"/>
    <w:rsid w:val="1B903686"/>
    <w:rsid w:val="1BF43C15"/>
    <w:rsid w:val="1CF2284B"/>
    <w:rsid w:val="1CFA34AD"/>
    <w:rsid w:val="1D097B94"/>
    <w:rsid w:val="1D28626C"/>
    <w:rsid w:val="1D383FD6"/>
    <w:rsid w:val="1D64247C"/>
    <w:rsid w:val="1D6B6159"/>
    <w:rsid w:val="1DDB19DF"/>
    <w:rsid w:val="1E546BED"/>
    <w:rsid w:val="1E8A7A96"/>
    <w:rsid w:val="1E8C7359"/>
    <w:rsid w:val="1E9D2342"/>
    <w:rsid w:val="1ECF68E4"/>
    <w:rsid w:val="1F29350C"/>
    <w:rsid w:val="1F721A21"/>
    <w:rsid w:val="1FE30BF5"/>
    <w:rsid w:val="201A43A8"/>
    <w:rsid w:val="201C7BDE"/>
    <w:rsid w:val="2043516B"/>
    <w:rsid w:val="206C021E"/>
    <w:rsid w:val="20A35C8C"/>
    <w:rsid w:val="20B41BC5"/>
    <w:rsid w:val="20C46478"/>
    <w:rsid w:val="20D9025D"/>
    <w:rsid w:val="218A2E91"/>
    <w:rsid w:val="21922AF0"/>
    <w:rsid w:val="219A700D"/>
    <w:rsid w:val="21C1459A"/>
    <w:rsid w:val="221C4286"/>
    <w:rsid w:val="22405DEE"/>
    <w:rsid w:val="227930C6"/>
    <w:rsid w:val="227E06DD"/>
    <w:rsid w:val="22FD3A0B"/>
    <w:rsid w:val="23533917"/>
    <w:rsid w:val="237C5DEE"/>
    <w:rsid w:val="24CA5E5B"/>
    <w:rsid w:val="2536704D"/>
    <w:rsid w:val="258109B4"/>
    <w:rsid w:val="260E7FC9"/>
    <w:rsid w:val="262D044F"/>
    <w:rsid w:val="263E265D"/>
    <w:rsid w:val="265C50DF"/>
    <w:rsid w:val="270661EC"/>
    <w:rsid w:val="270C03E2"/>
    <w:rsid w:val="273F4C7E"/>
    <w:rsid w:val="27F136FF"/>
    <w:rsid w:val="28575C58"/>
    <w:rsid w:val="295E6B72"/>
    <w:rsid w:val="2964062C"/>
    <w:rsid w:val="299C7C01"/>
    <w:rsid w:val="29A76EBE"/>
    <w:rsid w:val="29FD282F"/>
    <w:rsid w:val="2A261D85"/>
    <w:rsid w:val="2A335A09"/>
    <w:rsid w:val="2AE15CAC"/>
    <w:rsid w:val="2B0971E3"/>
    <w:rsid w:val="2B2A7653"/>
    <w:rsid w:val="2C14631E"/>
    <w:rsid w:val="2C365B84"/>
    <w:rsid w:val="2C4B2A52"/>
    <w:rsid w:val="2C886EB4"/>
    <w:rsid w:val="2CB76CC5"/>
    <w:rsid w:val="2CE850D0"/>
    <w:rsid w:val="2D2818F4"/>
    <w:rsid w:val="2D4F514F"/>
    <w:rsid w:val="2D99461C"/>
    <w:rsid w:val="2DC27612"/>
    <w:rsid w:val="2DCD7B0B"/>
    <w:rsid w:val="2DD438A6"/>
    <w:rsid w:val="2E1E542A"/>
    <w:rsid w:val="2E4B642E"/>
    <w:rsid w:val="2ED81174"/>
    <w:rsid w:val="2F061213"/>
    <w:rsid w:val="2F860BD0"/>
    <w:rsid w:val="2FE778C1"/>
    <w:rsid w:val="304659F1"/>
    <w:rsid w:val="3069477A"/>
    <w:rsid w:val="30754BE9"/>
    <w:rsid w:val="30BC0D4E"/>
    <w:rsid w:val="31592A40"/>
    <w:rsid w:val="3161596C"/>
    <w:rsid w:val="31B30825"/>
    <w:rsid w:val="31B77767"/>
    <w:rsid w:val="31D71BB7"/>
    <w:rsid w:val="322835A4"/>
    <w:rsid w:val="323B5CA2"/>
    <w:rsid w:val="3263726E"/>
    <w:rsid w:val="32807969"/>
    <w:rsid w:val="32B41C7B"/>
    <w:rsid w:val="32BA750F"/>
    <w:rsid w:val="32C24615"/>
    <w:rsid w:val="335C05C6"/>
    <w:rsid w:val="33F97BC3"/>
    <w:rsid w:val="3491604D"/>
    <w:rsid w:val="35107F65"/>
    <w:rsid w:val="35167112"/>
    <w:rsid w:val="354F510F"/>
    <w:rsid w:val="359058C8"/>
    <w:rsid w:val="36CD51B5"/>
    <w:rsid w:val="37026945"/>
    <w:rsid w:val="372F1B4E"/>
    <w:rsid w:val="375E101A"/>
    <w:rsid w:val="377A7634"/>
    <w:rsid w:val="37B22EAA"/>
    <w:rsid w:val="37D050DF"/>
    <w:rsid w:val="388A772D"/>
    <w:rsid w:val="38AF0AFB"/>
    <w:rsid w:val="38C34C43"/>
    <w:rsid w:val="38F60B75"/>
    <w:rsid w:val="390D52D4"/>
    <w:rsid w:val="39382F3B"/>
    <w:rsid w:val="39E3734B"/>
    <w:rsid w:val="3A4122C4"/>
    <w:rsid w:val="3AA840F1"/>
    <w:rsid w:val="3AC85ECB"/>
    <w:rsid w:val="3B5F0C53"/>
    <w:rsid w:val="3B691AD2"/>
    <w:rsid w:val="3BB8294F"/>
    <w:rsid w:val="3C0C2E19"/>
    <w:rsid w:val="3C3C07BA"/>
    <w:rsid w:val="3C5E715D"/>
    <w:rsid w:val="3C7A386B"/>
    <w:rsid w:val="3C7D7C75"/>
    <w:rsid w:val="3C7E41BE"/>
    <w:rsid w:val="3D4129FD"/>
    <w:rsid w:val="3DFA4C63"/>
    <w:rsid w:val="3E426917"/>
    <w:rsid w:val="3E7E3AE6"/>
    <w:rsid w:val="3EF75647"/>
    <w:rsid w:val="3F043A71"/>
    <w:rsid w:val="3F294668"/>
    <w:rsid w:val="3F4F0FDF"/>
    <w:rsid w:val="3F8D1F9F"/>
    <w:rsid w:val="3FBD23EC"/>
    <w:rsid w:val="3FFD0A3B"/>
    <w:rsid w:val="406B3BF6"/>
    <w:rsid w:val="407F76A2"/>
    <w:rsid w:val="408252EC"/>
    <w:rsid w:val="40972C3D"/>
    <w:rsid w:val="409B6018"/>
    <w:rsid w:val="40A0001C"/>
    <w:rsid w:val="40AE7F87"/>
    <w:rsid w:val="40F41E3E"/>
    <w:rsid w:val="427A64AB"/>
    <w:rsid w:val="427D5E63"/>
    <w:rsid w:val="42FA5706"/>
    <w:rsid w:val="430A5A3B"/>
    <w:rsid w:val="43456981"/>
    <w:rsid w:val="436F1C50"/>
    <w:rsid w:val="43821950"/>
    <w:rsid w:val="439D4A0F"/>
    <w:rsid w:val="43EB2CDF"/>
    <w:rsid w:val="43F62371"/>
    <w:rsid w:val="44663053"/>
    <w:rsid w:val="44A12734"/>
    <w:rsid w:val="44C76214"/>
    <w:rsid w:val="44FF34A7"/>
    <w:rsid w:val="45CF2E79"/>
    <w:rsid w:val="46175DBD"/>
    <w:rsid w:val="46317FF9"/>
    <w:rsid w:val="46365B9D"/>
    <w:rsid w:val="464E3D9E"/>
    <w:rsid w:val="4661270A"/>
    <w:rsid w:val="471425D5"/>
    <w:rsid w:val="47596E9F"/>
    <w:rsid w:val="47794E4B"/>
    <w:rsid w:val="477E6905"/>
    <w:rsid w:val="47DE73A4"/>
    <w:rsid w:val="48311BC9"/>
    <w:rsid w:val="49382AE4"/>
    <w:rsid w:val="49885819"/>
    <w:rsid w:val="4A4624E5"/>
    <w:rsid w:val="4A4C2CEB"/>
    <w:rsid w:val="4A5346D7"/>
    <w:rsid w:val="4A590F64"/>
    <w:rsid w:val="4A8561FD"/>
    <w:rsid w:val="4A875AD1"/>
    <w:rsid w:val="4A8E5D1F"/>
    <w:rsid w:val="4A9A0BF2"/>
    <w:rsid w:val="4AD131F0"/>
    <w:rsid w:val="4AD4683C"/>
    <w:rsid w:val="4AE36EF8"/>
    <w:rsid w:val="4B3B68BB"/>
    <w:rsid w:val="4B6776B0"/>
    <w:rsid w:val="4BA12011"/>
    <w:rsid w:val="4BB52D43"/>
    <w:rsid w:val="4BBF74EC"/>
    <w:rsid w:val="4C030171"/>
    <w:rsid w:val="4C371778"/>
    <w:rsid w:val="4CA24E44"/>
    <w:rsid w:val="4CEC108D"/>
    <w:rsid w:val="4D175B45"/>
    <w:rsid w:val="4D2E492A"/>
    <w:rsid w:val="4D3C7046"/>
    <w:rsid w:val="4D4C3002"/>
    <w:rsid w:val="4D73015B"/>
    <w:rsid w:val="4D942E5A"/>
    <w:rsid w:val="4DA679BF"/>
    <w:rsid w:val="4DC4528E"/>
    <w:rsid w:val="4E864D95"/>
    <w:rsid w:val="4EDB3A18"/>
    <w:rsid w:val="4F204746"/>
    <w:rsid w:val="4F29184C"/>
    <w:rsid w:val="4F42646A"/>
    <w:rsid w:val="4F493C9D"/>
    <w:rsid w:val="50707007"/>
    <w:rsid w:val="5085651A"/>
    <w:rsid w:val="508A1E77"/>
    <w:rsid w:val="50F4343A"/>
    <w:rsid w:val="510357D4"/>
    <w:rsid w:val="513D47D3"/>
    <w:rsid w:val="51621A77"/>
    <w:rsid w:val="51654692"/>
    <w:rsid w:val="51711289"/>
    <w:rsid w:val="5187285A"/>
    <w:rsid w:val="51A768EB"/>
    <w:rsid w:val="51B15B29"/>
    <w:rsid w:val="5255181A"/>
    <w:rsid w:val="52B4142D"/>
    <w:rsid w:val="52EA12F3"/>
    <w:rsid w:val="53311748"/>
    <w:rsid w:val="536450EB"/>
    <w:rsid w:val="536917EA"/>
    <w:rsid w:val="53803F81"/>
    <w:rsid w:val="53A72D40"/>
    <w:rsid w:val="53EC2E48"/>
    <w:rsid w:val="53EC3E51"/>
    <w:rsid w:val="54176117"/>
    <w:rsid w:val="54290784"/>
    <w:rsid w:val="54420CBA"/>
    <w:rsid w:val="548012A8"/>
    <w:rsid w:val="54AA6F8B"/>
    <w:rsid w:val="54AD6A7C"/>
    <w:rsid w:val="54D933CD"/>
    <w:rsid w:val="54E85673"/>
    <w:rsid w:val="54F15B76"/>
    <w:rsid w:val="550F47D7"/>
    <w:rsid w:val="55342CF9"/>
    <w:rsid w:val="564A7EA3"/>
    <w:rsid w:val="56576C9F"/>
    <w:rsid w:val="56586573"/>
    <w:rsid w:val="568B06F7"/>
    <w:rsid w:val="568D446F"/>
    <w:rsid w:val="56C202EB"/>
    <w:rsid w:val="56D60D89"/>
    <w:rsid w:val="56FE2A7E"/>
    <w:rsid w:val="57055882"/>
    <w:rsid w:val="57454BD4"/>
    <w:rsid w:val="579547CB"/>
    <w:rsid w:val="57C438B7"/>
    <w:rsid w:val="5835781A"/>
    <w:rsid w:val="583A0626"/>
    <w:rsid w:val="58523BC2"/>
    <w:rsid w:val="58A9377E"/>
    <w:rsid w:val="594C64E5"/>
    <w:rsid w:val="596C2A61"/>
    <w:rsid w:val="59A57D21"/>
    <w:rsid w:val="5A2D0090"/>
    <w:rsid w:val="5A785396"/>
    <w:rsid w:val="5A8042EB"/>
    <w:rsid w:val="5A9164F8"/>
    <w:rsid w:val="5B0637C0"/>
    <w:rsid w:val="5B21787C"/>
    <w:rsid w:val="5C236A2A"/>
    <w:rsid w:val="5C4C364B"/>
    <w:rsid w:val="5C631477"/>
    <w:rsid w:val="5D1D5461"/>
    <w:rsid w:val="5D7C523D"/>
    <w:rsid w:val="5D8D11F8"/>
    <w:rsid w:val="5DE0757A"/>
    <w:rsid w:val="5DF254FF"/>
    <w:rsid w:val="5E483371"/>
    <w:rsid w:val="5E6E102A"/>
    <w:rsid w:val="5F427DC1"/>
    <w:rsid w:val="5F6D44A1"/>
    <w:rsid w:val="5F795ED8"/>
    <w:rsid w:val="5F9B585D"/>
    <w:rsid w:val="5FC37153"/>
    <w:rsid w:val="602966E5"/>
    <w:rsid w:val="60B97540"/>
    <w:rsid w:val="60CC2D96"/>
    <w:rsid w:val="61EB473F"/>
    <w:rsid w:val="628A03FC"/>
    <w:rsid w:val="629D3C8C"/>
    <w:rsid w:val="62B527BD"/>
    <w:rsid w:val="62E23D94"/>
    <w:rsid w:val="6324615B"/>
    <w:rsid w:val="632E2B36"/>
    <w:rsid w:val="633827E0"/>
    <w:rsid w:val="63B05C41"/>
    <w:rsid w:val="63FC0E86"/>
    <w:rsid w:val="642A77A1"/>
    <w:rsid w:val="648B3FB8"/>
    <w:rsid w:val="65945E68"/>
    <w:rsid w:val="659D312D"/>
    <w:rsid w:val="65FE3049"/>
    <w:rsid w:val="663012BB"/>
    <w:rsid w:val="663E56BD"/>
    <w:rsid w:val="666B22F3"/>
    <w:rsid w:val="66754F1F"/>
    <w:rsid w:val="6678672C"/>
    <w:rsid w:val="66C20165"/>
    <w:rsid w:val="676549EA"/>
    <w:rsid w:val="67955879"/>
    <w:rsid w:val="680D3662"/>
    <w:rsid w:val="68617509"/>
    <w:rsid w:val="68721717"/>
    <w:rsid w:val="691B3B5C"/>
    <w:rsid w:val="69484B4A"/>
    <w:rsid w:val="699A03D4"/>
    <w:rsid w:val="699F478D"/>
    <w:rsid w:val="69B95123"/>
    <w:rsid w:val="69C100A7"/>
    <w:rsid w:val="69FF6FDA"/>
    <w:rsid w:val="6A3328BA"/>
    <w:rsid w:val="6A674B7F"/>
    <w:rsid w:val="6A7A0D56"/>
    <w:rsid w:val="6A815C41"/>
    <w:rsid w:val="6ADB7A47"/>
    <w:rsid w:val="6ADE47CE"/>
    <w:rsid w:val="6AE12B83"/>
    <w:rsid w:val="6AE71E36"/>
    <w:rsid w:val="6B02444B"/>
    <w:rsid w:val="6B3F4A26"/>
    <w:rsid w:val="6B4C44A1"/>
    <w:rsid w:val="6B5C045C"/>
    <w:rsid w:val="6B6A0DCB"/>
    <w:rsid w:val="6B824366"/>
    <w:rsid w:val="6BB12556"/>
    <w:rsid w:val="6BB867F5"/>
    <w:rsid w:val="6BBD6E5B"/>
    <w:rsid w:val="6BE04BE9"/>
    <w:rsid w:val="6C250942"/>
    <w:rsid w:val="6C33740F"/>
    <w:rsid w:val="6C6E6C0B"/>
    <w:rsid w:val="6C9E7C37"/>
    <w:rsid w:val="6D5911AE"/>
    <w:rsid w:val="6D7970A3"/>
    <w:rsid w:val="6D8E6FF3"/>
    <w:rsid w:val="6DEA1D4F"/>
    <w:rsid w:val="6E185F84"/>
    <w:rsid w:val="6E26547D"/>
    <w:rsid w:val="6E407BC1"/>
    <w:rsid w:val="6E882872"/>
    <w:rsid w:val="6FD66361"/>
    <w:rsid w:val="702E686B"/>
    <w:rsid w:val="70657DB3"/>
    <w:rsid w:val="709D579F"/>
    <w:rsid w:val="70AE175A"/>
    <w:rsid w:val="70BE4D7A"/>
    <w:rsid w:val="71324139"/>
    <w:rsid w:val="719065BC"/>
    <w:rsid w:val="71BB3115"/>
    <w:rsid w:val="71D04977"/>
    <w:rsid w:val="71F95AB0"/>
    <w:rsid w:val="72402885"/>
    <w:rsid w:val="72524914"/>
    <w:rsid w:val="726E73F3"/>
    <w:rsid w:val="731955B0"/>
    <w:rsid w:val="733F2B3D"/>
    <w:rsid w:val="73A40BF2"/>
    <w:rsid w:val="73ED123E"/>
    <w:rsid w:val="744120B0"/>
    <w:rsid w:val="74505AB1"/>
    <w:rsid w:val="74600FBD"/>
    <w:rsid w:val="747800B5"/>
    <w:rsid w:val="74892EBA"/>
    <w:rsid w:val="748A7DE8"/>
    <w:rsid w:val="751A6575"/>
    <w:rsid w:val="751C17E4"/>
    <w:rsid w:val="75581C94"/>
    <w:rsid w:val="757F05E4"/>
    <w:rsid w:val="75C817BE"/>
    <w:rsid w:val="75C91E23"/>
    <w:rsid w:val="75D732ED"/>
    <w:rsid w:val="76320737"/>
    <w:rsid w:val="763C5112"/>
    <w:rsid w:val="766A126A"/>
    <w:rsid w:val="77AD4519"/>
    <w:rsid w:val="77AE38A3"/>
    <w:rsid w:val="781225CE"/>
    <w:rsid w:val="782567A5"/>
    <w:rsid w:val="784B5B37"/>
    <w:rsid w:val="78654DF4"/>
    <w:rsid w:val="78880AE2"/>
    <w:rsid w:val="78B04630"/>
    <w:rsid w:val="792F44BB"/>
    <w:rsid w:val="793D18CD"/>
    <w:rsid w:val="79490272"/>
    <w:rsid w:val="79514085"/>
    <w:rsid w:val="79667075"/>
    <w:rsid w:val="79752E15"/>
    <w:rsid w:val="7997420A"/>
    <w:rsid w:val="79D12015"/>
    <w:rsid w:val="79E85CDC"/>
    <w:rsid w:val="7A067F11"/>
    <w:rsid w:val="7A1E525A"/>
    <w:rsid w:val="7A703241"/>
    <w:rsid w:val="7B0C11A1"/>
    <w:rsid w:val="7B3D5BB4"/>
    <w:rsid w:val="7B827A6B"/>
    <w:rsid w:val="7BB833F5"/>
    <w:rsid w:val="7BC81F33"/>
    <w:rsid w:val="7C0F0B98"/>
    <w:rsid w:val="7C120DEF"/>
    <w:rsid w:val="7C8A4E29"/>
    <w:rsid w:val="7C981862"/>
    <w:rsid w:val="7CB52C22"/>
    <w:rsid w:val="7CC85951"/>
    <w:rsid w:val="7D053358"/>
    <w:rsid w:val="7D055283"/>
    <w:rsid w:val="7D3C358A"/>
    <w:rsid w:val="7D537911"/>
    <w:rsid w:val="7DDF73F6"/>
    <w:rsid w:val="7E3A462D"/>
    <w:rsid w:val="7EEA681F"/>
    <w:rsid w:val="7F8C710A"/>
    <w:rsid w:val="7FCA06E4"/>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spacing w:before="87" w:line="222" w:lineRule="auto"/>
      <w:ind w:firstLine="0" w:firstLineChars="0"/>
      <w:jc w:val="center"/>
      <w:outlineLvl w:val="0"/>
    </w:pPr>
    <w:rPr>
      <w:b/>
      <w:bCs/>
      <w:spacing w:val="4"/>
      <w:sz w:val="43"/>
      <w:szCs w:val="43"/>
    </w:rPr>
  </w:style>
  <w:style w:type="paragraph" w:styleId="3">
    <w:name w:val="heading 2"/>
    <w:basedOn w:val="1"/>
    <w:next w:val="1"/>
    <w:unhideWhenUsed/>
    <w:qFormat/>
    <w:uiPriority w:val="0"/>
    <w:pPr>
      <w:keepNext/>
      <w:keepLines/>
      <w:spacing w:beforeLines="0" w:beforeAutospacing="0" w:afterLines="0" w:afterAutospacing="0" w:line="360" w:lineRule="auto"/>
      <w:ind w:firstLine="0" w:firstLineChars="0"/>
      <w:jc w:val="center"/>
      <w:outlineLvl w:val="1"/>
    </w:pPr>
    <w:rPr>
      <w:b/>
      <w:sz w:val="32"/>
    </w:rPr>
  </w:style>
  <w:style w:type="paragraph" w:styleId="4">
    <w:name w:val="heading 3"/>
    <w:basedOn w:val="1"/>
    <w:next w:val="1"/>
    <w:qFormat/>
    <w:uiPriority w:val="0"/>
    <w:pPr>
      <w:keepNext/>
      <w:keepLines/>
      <w:spacing w:before="260" w:after="260" w:line="416" w:lineRule="auto"/>
      <w:outlineLvl w:val="2"/>
    </w:pPr>
    <w:rPr>
      <w:b/>
      <w:bCs/>
      <w:kern w:val="0"/>
      <w:sz w:val="32"/>
      <w:szCs w:val="32"/>
      <w:lang w:eastAsia="en-US"/>
    </w:rPr>
  </w:style>
  <w:style w:type="paragraph" w:styleId="5">
    <w:name w:val="heading 4"/>
    <w:basedOn w:val="1"/>
    <w:next w:val="1"/>
    <w:qFormat/>
    <w:uiPriority w:val="0"/>
    <w:pPr>
      <w:keepNext/>
      <w:keepLines/>
      <w:widowControl/>
      <w:spacing w:before="200" w:line="276" w:lineRule="auto"/>
      <w:jc w:val="left"/>
      <w:outlineLvl w:val="3"/>
    </w:pPr>
    <w:rPr>
      <w:rFonts w:ascii="Calibri Light" w:hAnsi="Calibri Light" w:cs="Times New Roman"/>
      <w:b/>
      <w:bCs/>
      <w:iCs/>
      <w:szCs w:val="22"/>
    </w:rPr>
  </w:style>
  <w:style w:type="paragraph" w:styleId="6">
    <w:name w:val="heading 5"/>
    <w:basedOn w:val="1"/>
    <w:next w:val="1"/>
    <w:qFormat/>
    <w:uiPriority w:val="0"/>
    <w:pPr>
      <w:keepNext/>
      <w:keepLines/>
      <w:numPr>
        <w:ilvl w:val="4"/>
        <w:numId w:val="1"/>
      </w:numPr>
      <w:spacing w:before="280" w:after="290" w:line="376" w:lineRule="auto"/>
      <w:outlineLvl w:val="4"/>
    </w:pPr>
    <w:rPr>
      <w:b/>
      <w:sz w:val="28"/>
      <w:lang w:eastAsia="en-US"/>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caption"/>
    <w:basedOn w:val="1"/>
    <w:next w:val="1"/>
    <w:qFormat/>
    <w:uiPriority w:val="0"/>
    <w:pPr>
      <w:spacing w:before="152" w:after="160"/>
    </w:pPr>
    <w:rPr>
      <w:rFonts w:ascii="Arial" w:hAnsi="Arial" w:eastAsia="黑体" w:cs="Arial"/>
      <w:sz w:val="20"/>
      <w:szCs w:val="20"/>
    </w:rPr>
  </w:style>
  <w:style w:type="paragraph" w:styleId="9">
    <w:name w:val="annotation text"/>
    <w:basedOn w:val="1"/>
    <w:qFormat/>
    <w:uiPriority w:val="0"/>
    <w:pPr>
      <w:jc w:val="left"/>
    </w:pPr>
  </w:style>
  <w:style w:type="paragraph" w:styleId="10">
    <w:name w:val="Body Text 3"/>
    <w:basedOn w:val="1"/>
    <w:qFormat/>
    <w:uiPriority w:val="0"/>
    <w:pPr>
      <w:spacing w:line="500" w:lineRule="exact"/>
    </w:pPr>
    <w:rPr>
      <w:b/>
      <w:bCs/>
      <w:kern w:val="0"/>
      <w:sz w:val="24"/>
      <w:lang w:eastAsia="en-US"/>
    </w:rPr>
  </w:style>
  <w:style w:type="paragraph" w:styleId="11">
    <w:name w:val="Body Text"/>
    <w:basedOn w:val="1"/>
    <w:semiHidden/>
    <w:qFormat/>
    <w:uiPriority w:val="0"/>
    <w:rPr>
      <w:rFonts w:ascii="宋体" w:hAnsi="宋体" w:eastAsia="宋体" w:cs="宋体"/>
      <w:sz w:val="30"/>
      <w:szCs w:val="30"/>
      <w:lang w:val="en-US" w:eastAsia="en-US" w:bidi="ar-SA"/>
    </w:rPr>
  </w:style>
  <w:style w:type="paragraph" w:styleId="12">
    <w:name w:val="Body Text Indent"/>
    <w:basedOn w:val="1"/>
    <w:qFormat/>
    <w:uiPriority w:val="0"/>
    <w:pPr>
      <w:ind w:firstLine="830" w:firstLineChars="352"/>
    </w:pPr>
    <w:rPr>
      <w:rFonts w:ascii="仿宋_GB2312" w:eastAsia="仿宋_GB2312"/>
      <w:kern w:val="0"/>
      <w:sz w:val="32"/>
      <w:szCs w:val="20"/>
      <w:lang w:eastAsia="en-US"/>
    </w:rPr>
  </w:style>
  <w:style w:type="paragraph" w:styleId="13">
    <w:name w:val="toc 5"/>
    <w:basedOn w:val="1"/>
    <w:next w:val="1"/>
    <w:qFormat/>
    <w:uiPriority w:val="0"/>
    <w:pPr>
      <w:ind w:left="1680" w:leftChars="800"/>
    </w:pPr>
  </w:style>
  <w:style w:type="paragraph" w:styleId="14">
    <w:name w:val="toc 3"/>
    <w:basedOn w:val="1"/>
    <w:next w:val="1"/>
    <w:qFormat/>
    <w:uiPriority w:val="0"/>
    <w:pPr>
      <w:ind w:left="840" w:leftChars="400"/>
    </w:pPr>
  </w:style>
  <w:style w:type="paragraph" w:styleId="15">
    <w:name w:val="Plain Text"/>
    <w:basedOn w:val="1"/>
    <w:next w:val="1"/>
    <w:qFormat/>
    <w:uiPriority w:val="0"/>
    <w:rPr>
      <w:rFonts w:ascii="宋体" w:hAnsi="Courier New"/>
      <w:kern w:val="0"/>
      <w:sz w:val="20"/>
      <w:szCs w:val="21"/>
      <w:lang w:eastAsia="en-US"/>
    </w:rPr>
  </w:style>
  <w:style w:type="paragraph" w:styleId="16">
    <w:name w:val="toc 8"/>
    <w:basedOn w:val="1"/>
    <w:next w:val="1"/>
    <w:unhideWhenUsed/>
    <w:qFormat/>
    <w:uiPriority w:val="39"/>
    <w:pPr>
      <w:ind w:left="2940" w:leftChars="1400"/>
    </w:pPr>
    <w:rPr>
      <w:rFonts w:ascii="Calibri" w:hAnsi="Calibri"/>
      <w:szCs w:val="22"/>
    </w:rPr>
  </w:style>
  <w:style w:type="paragraph" w:styleId="17">
    <w:name w:val="footer"/>
    <w:basedOn w:val="1"/>
    <w:next w:val="18"/>
    <w:qFormat/>
    <w:uiPriority w:val="0"/>
    <w:pPr>
      <w:tabs>
        <w:tab w:val="center" w:pos="4153"/>
        <w:tab w:val="right" w:pos="8306"/>
      </w:tabs>
      <w:snapToGrid w:val="0"/>
      <w:jc w:val="left"/>
    </w:pPr>
    <w:rPr>
      <w:sz w:val="18"/>
    </w:rPr>
  </w:style>
  <w:style w:type="paragraph" w:customStyle="1" w:styleId="18">
    <w:name w:val="font5"/>
    <w:basedOn w:val="1"/>
    <w:next w:val="16"/>
    <w:qFormat/>
    <w:uiPriority w:val="0"/>
    <w:pPr>
      <w:widowControl/>
      <w:tabs>
        <w:tab w:val="left" w:pos="0"/>
      </w:tabs>
      <w:wordWrap w:val="0"/>
      <w:spacing w:before="280" w:after="280" w:line="360" w:lineRule="auto"/>
      <w:ind w:firstLine="200" w:firstLineChars="200"/>
      <w:jc w:val="left"/>
    </w:pPr>
    <w:rPr>
      <w:rFonts w:ascii="宋体" w:hAnsi="宋体"/>
      <w:sz w:val="18"/>
      <w:szCs w:val="22"/>
    </w:rPr>
  </w:style>
  <w:style w:type="paragraph" w:styleId="1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qFormat/>
    <w:uiPriority w:val="0"/>
  </w:style>
  <w:style w:type="paragraph" w:styleId="21">
    <w:name w:val="toc 4"/>
    <w:basedOn w:val="1"/>
    <w:next w:val="1"/>
    <w:qFormat/>
    <w:uiPriority w:val="0"/>
    <w:pPr>
      <w:ind w:left="1260" w:leftChars="600"/>
    </w:pPr>
  </w:style>
  <w:style w:type="paragraph" w:styleId="22">
    <w:name w:val="List"/>
    <w:basedOn w:val="1"/>
    <w:qFormat/>
    <w:uiPriority w:val="0"/>
    <w:pPr>
      <w:ind w:left="200" w:hanging="200" w:hangingChars="200"/>
    </w:pPr>
    <w:rPr>
      <w:sz w:val="28"/>
    </w:rPr>
  </w:style>
  <w:style w:type="paragraph" w:styleId="23">
    <w:name w:val="toc 2"/>
    <w:basedOn w:val="1"/>
    <w:next w:val="1"/>
    <w:qFormat/>
    <w:uiPriority w:val="0"/>
    <w:pPr>
      <w:ind w:left="420" w:leftChars="200"/>
    </w:pPr>
  </w:style>
  <w:style w:type="paragraph" w:styleId="24">
    <w:name w:val="Body Text First Indent 2"/>
    <w:basedOn w:val="12"/>
    <w:qFormat/>
    <w:uiPriority w:val="0"/>
    <w:pPr>
      <w:ind w:firstLine="420" w:firstLineChars="20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qFormat/>
    <w:uiPriority w:val="99"/>
    <w:rPr>
      <w:color w:val="000000"/>
      <w:u w:val="none"/>
    </w:rPr>
  </w:style>
  <w:style w:type="paragraph" w:customStyle="1" w:styleId="29">
    <w:name w:val="Table Text"/>
    <w:basedOn w:val="1"/>
    <w:semiHidden/>
    <w:qFormat/>
    <w:uiPriority w:val="0"/>
    <w:rPr>
      <w:rFonts w:ascii="宋体" w:hAnsi="宋体" w:eastAsia="宋体" w:cs="宋体"/>
      <w:sz w:val="20"/>
      <w:szCs w:val="20"/>
      <w:lang w:val="en-US" w:eastAsia="en-US" w:bidi="ar-SA"/>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标题3（居中）"/>
    <w:basedOn w:val="1"/>
    <w:next w:val="1"/>
    <w:qFormat/>
    <w:uiPriority w:val="0"/>
    <w:pPr>
      <w:keepNext/>
      <w:keepLines/>
      <w:tabs>
        <w:tab w:val="left" w:pos="0"/>
      </w:tabs>
      <w:wordWrap w:val="0"/>
      <w:spacing w:before="260" w:after="260" w:line="360" w:lineRule="auto"/>
      <w:jc w:val="center"/>
      <w:outlineLvl w:val="2"/>
    </w:pPr>
    <w:rPr>
      <w:rFonts w:ascii="Cambria" w:hAnsi="Cambria" w:eastAsia="仿宋"/>
      <w:b/>
      <w:bCs/>
      <w:kern w:val="0"/>
      <w:sz w:val="36"/>
      <w:szCs w:val="32"/>
      <w:lang w:eastAsia="en-US"/>
    </w:rPr>
  </w:style>
  <w:style w:type="paragraph" w:customStyle="1" w:styleId="32">
    <w:name w:val="正文缩进1"/>
    <w:basedOn w:val="1"/>
    <w:qFormat/>
    <w:uiPriority w:val="0"/>
    <w:pPr>
      <w:adjustRightInd w:val="0"/>
      <w:spacing w:line="360" w:lineRule="auto"/>
      <w:ind w:left="0" w:right="0" w:firstLine="0"/>
    </w:pPr>
    <w:rPr>
      <w:rFonts w:ascii="宋体" w:hAnsi="宋体" w:eastAsia="宋体" w:cs="宋体"/>
      <w:spacing w:val="11"/>
      <w:sz w:val="24"/>
      <w:szCs w:val="24"/>
    </w:rPr>
  </w:style>
  <w:style w:type="paragraph" w:customStyle="1" w:styleId="33">
    <w:name w:val="缩进2"/>
    <w:basedOn w:val="1"/>
    <w:qFormat/>
    <w:uiPriority w:val="0"/>
    <w:pPr>
      <w:spacing w:line="360" w:lineRule="auto"/>
      <w:ind w:firstLine="879" w:firstLineChars="200"/>
    </w:pPr>
    <w:rPr>
      <w:rFonts w:ascii="宋体" w:hAnsi="宋体" w:eastAsia="宋体" w:cs="宋体"/>
      <w:spacing w:val="0"/>
      <w:sz w:val="24"/>
      <w:szCs w:val="24"/>
    </w:rPr>
  </w:style>
  <w:style w:type="paragraph" w:customStyle="1" w:styleId="34">
    <w:name w:val="正文-表格"/>
    <w:basedOn w:val="1"/>
    <w:qFormat/>
    <w:uiPriority w:val="0"/>
    <w:pPr>
      <w:spacing w:line="360" w:lineRule="auto"/>
      <w:ind w:left="0" w:firstLine="0" w:firstLineChars="0"/>
    </w:pPr>
    <w:rPr>
      <w:rFonts w:ascii="宋体" w:hAnsi="宋体" w:cs="宋体"/>
      <w:spacing w:val="6"/>
      <w:szCs w:val="24"/>
    </w:rPr>
  </w:style>
  <w:style w:type="paragraph" w:customStyle="1" w:styleId="35">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7">
    <w:name w:val="_Style 13"/>
    <w:qFormat/>
    <w:uiPriority w:val="0"/>
    <w:pPr>
      <w:spacing w:before="120" w:after="120" w:line="288" w:lineRule="auto"/>
      <w:ind w:left="0"/>
      <w:jc w:val="left"/>
    </w:pPr>
    <w:rPr>
      <w:rFonts w:ascii="Arial" w:hAnsi="Arial" w:eastAsia="等线" w:cs="Arial"/>
      <w:sz w:val="22"/>
      <w:szCs w:val="22"/>
    </w:rPr>
  </w:style>
  <w:style w:type="paragraph" w:customStyle="1" w:styleId="38">
    <w:name w:val="Default"/>
    <w:qFormat/>
    <w:uiPriority w:val="0"/>
    <w:pPr>
      <w:widowControl w:val="0"/>
      <w:autoSpaceDE w:val="0"/>
      <w:autoSpaceDN w:val="0"/>
    </w:pPr>
    <w:rPr>
      <w:rFonts w:ascii="宋体" w:hAnsi="Calibri" w:eastAsia="宋体" w:cs="宋体"/>
      <w:color w:val="000000"/>
      <w:sz w:val="24"/>
      <w:szCs w:val="24"/>
      <w:lang w:val="en-US" w:eastAsia="zh-CN" w:bidi="ar-SA"/>
    </w:rPr>
  </w:style>
  <w:style w:type="paragraph" w:customStyle="1" w:styleId="39">
    <w:name w:val="Table Paragraph"/>
    <w:basedOn w:val="1"/>
    <w:qFormat/>
    <w:uiPriority w:val="1"/>
    <w:pPr>
      <w:jc w:val="left"/>
    </w:pPr>
    <w:rPr>
      <w:rFonts w:ascii="Calibri" w:hAnsi="Calibri"/>
      <w:kern w:val="0"/>
      <w:sz w:val="22"/>
      <w:szCs w:val="22"/>
      <w:lang w:eastAsia="en-US"/>
    </w:rPr>
  </w:style>
  <w:style w:type="character" w:customStyle="1" w:styleId="40">
    <w:name w:val="font31"/>
    <w:basedOn w:val="27"/>
    <w:qFormat/>
    <w:uiPriority w:val="0"/>
    <w:rPr>
      <w:rFonts w:hint="eastAsia" w:ascii="宋体" w:hAnsi="宋体" w:eastAsia="宋体" w:cs="宋体"/>
      <w:color w:val="000000"/>
      <w:sz w:val="20"/>
      <w:szCs w:val="20"/>
      <w:u w:val="none"/>
    </w:rPr>
  </w:style>
  <w:style w:type="character" w:customStyle="1" w:styleId="41">
    <w:name w:val="font91"/>
    <w:basedOn w:val="27"/>
    <w:qFormat/>
    <w:uiPriority w:val="0"/>
    <w:rPr>
      <w:rFonts w:hint="eastAsia" w:ascii="宋体" w:hAnsi="宋体" w:eastAsia="宋体" w:cs="宋体"/>
      <w:b/>
      <w:bCs/>
      <w:color w:val="000000"/>
      <w:sz w:val="20"/>
      <w:szCs w:val="20"/>
      <w:u w:val="none"/>
    </w:rPr>
  </w:style>
  <w:style w:type="paragraph" w:customStyle="1" w:styleId="42">
    <w:name w:val="WPSOffice手动目录 1"/>
    <w:qFormat/>
    <w:uiPriority w:val="0"/>
    <w:pPr>
      <w:ind w:leftChars="0"/>
    </w:pPr>
    <w:rPr>
      <w:rFonts w:ascii="Times New Roman" w:hAnsi="Times New Roman" w:eastAsia="宋体" w:cs="Times New Roman"/>
      <w:sz w:val="20"/>
      <w:szCs w:val="20"/>
    </w:rPr>
  </w:style>
  <w:style w:type="paragraph" w:customStyle="1" w:styleId="43">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png"/><Relationship Id="rId3" Type="http://schemas.openxmlformats.org/officeDocument/2006/relationships/footnotes" Target="footnotes.xml"/><Relationship Id="rId29" Type="http://schemas.openxmlformats.org/officeDocument/2006/relationships/theme" Target="theme/theme1.xml"/><Relationship Id="rId28" Type="http://schemas.openxmlformats.org/officeDocument/2006/relationships/footer" Target="footer13.xml"/><Relationship Id="rId27" Type="http://schemas.openxmlformats.org/officeDocument/2006/relationships/header" Target="header11.xml"/><Relationship Id="rId26" Type="http://schemas.openxmlformats.org/officeDocument/2006/relationships/footer" Target="footer12.xml"/><Relationship Id="rId25" Type="http://schemas.openxmlformats.org/officeDocument/2006/relationships/header" Target="header10.xml"/><Relationship Id="rId24" Type="http://schemas.openxmlformats.org/officeDocument/2006/relationships/footer" Target="footer11.xml"/><Relationship Id="rId23" Type="http://schemas.openxmlformats.org/officeDocument/2006/relationships/header" Target="header9.xml"/><Relationship Id="rId22" Type="http://schemas.openxmlformats.org/officeDocument/2006/relationships/footer" Target="footer10.xml"/><Relationship Id="rId21" Type="http://schemas.openxmlformats.org/officeDocument/2006/relationships/header" Target="header8.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217</Pages>
  <Words>87572</Words>
  <Characters>94962</Characters>
  <Lines>0</Lines>
  <Paragraphs>0</Paragraphs>
  <TotalTime>87</TotalTime>
  <ScaleCrop>false</ScaleCrop>
  <LinksUpToDate>false</LinksUpToDate>
  <CharactersWithSpaces>99791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2026-03-12T05:49:00Z</dcterms:created>
  <dc:creator>芹子</dc:creator>
  <cp:lastModifiedBy>WPS_1678268861</cp:lastModifiedBy>
  <dcterms:modified xsi:type="dcterms:W3CDTF">2026-03-25T07:42:59Z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373287EF7D7B4409B130D74006DCB371_13</vt:lpwstr>
  </property>
  <property fmtid="{D5CDD505-2E9C-101B-9397-08002B2CF9AE}" pid="4" name="KSOTemplateDocerSaveRecord">
    <vt:lpwstr>eyJoZGlkIjoiMDg1MzkyMTlmNGUzYzhkMDdiNDNkY2UyMzQ3NmE2YzIiLCJ1c2VySWQiOiIxNDc5NDQ1OTU4In0=</vt:lpwstr>
  </property>
</Properties>
</file>