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12369F8B" w:rsidR="000C1B2B" w:rsidRPr="00F762A5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F762A5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F762A5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F762A5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4B346A" w:rsidRPr="00F762A5">
        <w:rPr>
          <w:rFonts w:ascii="方正小标宋简体" w:eastAsia="方正小标宋简体" w:hint="eastAsia"/>
          <w:b/>
          <w:kern w:val="44"/>
          <w:sz w:val="28"/>
          <w:szCs w:val="21"/>
        </w:rPr>
        <w:t>自营食堂物资（大宗食材）定点供应服务采购项目</w:t>
      </w:r>
      <w:r w:rsidRPr="00F762A5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4B346A" w:rsidRPr="00F762A5">
        <w:rPr>
          <w:rFonts w:ascii="方正小标宋简体" w:eastAsia="方正小标宋简体" w:hint="eastAsia"/>
          <w:b/>
          <w:kern w:val="44"/>
          <w:sz w:val="28"/>
          <w:szCs w:val="21"/>
        </w:rPr>
        <w:t>GXZC2026-G3-000336-YZLZ</w:t>
      </w:r>
      <w:r w:rsidRPr="00F762A5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35E94B70" w14:textId="77777777" w:rsidR="000C1B2B" w:rsidRPr="00F762A5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A780BCC" w14:textId="6E5F4621" w:rsidR="008418F5" w:rsidRPr="00F762A5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一</w:t>
      </w:r>
      <w:r w:rsidRPr="00F762A5">
        <w:rPr>
          <w:rFonts w:asciiTheme="minorEastAsia" w:hAnsiTheme="minorEastAsia" w:cs="Times New Roman"/>
          <w:szCs w:val="21"/>
        </w:rPr>
        <w:t>、</w:t>
      </w:r>
      <w:r w:rsidR="00387D1D" w:rsidRPr="00F762A5">
        <w:rPr>
          <w:rFonts w:ascii="宋体" w:hAnsi="宋体" w:hint="eastAsia"/>
          <w:szCs w:val="21"/>
        </w:rPr>
        <w:t>项目编号：GXZC2026-G3-000336-YZLZ；政府采购计划编号：</w:t>
      </w:r>
      <w:proofErr w:type="gramStart"/>
      <w:r w:rsidR="00387D1D" w:rsidRPr="00F762A5">
        <w:rPr>
          <w:rFonts w:ascii="宋体" w:hAnsi="宋体" w:hint="eastAsia"/>
          <w:szCs w:val="21"/>
        </w:rPr>
        <w:t>广西政采</w:t>
      </w:r>
      <w:proofErr w:type="gramEnd"/>
      <w:r w:rsidR="00387D1D" w:rsidRPr="00F762A5">
        <w:rPr>
          <w:rFonts w:ascii="宋体" w:hAnsi="宋体" w:hint="eastAsia"/>
          <w:szCs w:val="21"/>
        </w:rPr>
        <w:t>[2026]1129号-001、</w:t>
      </w:r>
      <w:proofErr w:type="gramStart"/>
      <w:r w:rsidR="00387D1D" w:rsidRPr="00F762A5">
        <w:rPr>
          <w:rFonts w:ascii="宋体" w:hAnsi="宋体" w:hint="eastAsia"/>
          <w:szCs w:val="21"/>
        </w:rPr>
        <w:t>广西政采</w:t>
      </w:r>
      <w:proofErr w:type="gramEnd"/>
      <w:r w:rsidR="00387D1D" w:rsidRPr="00F762A5">
        <w:rPr>
          <w:rFonts w:ascii="宋体" w:hAnsi="宋体" w:hint="eastAsia"/>
          <w:szCs w:val="21"/>
        </w:rPr>
        <w:t>[2026]1129号-002</w:t>
      </w:r>
    </w:p>
    <w:p w14:paraId="5F5D5BD0" w14:textId="47196F6E" w:rsidR="000C1B2B" w:rsidRPr="00F762A5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二</w:t>
      </w:r>
      <w:r w:rsidRPr="00F762A5">
        <w:rPr>
          <w:rFonts w:asciiTheme="minorEastAsia" w:hAnsiTheme="minorEastAsia" w:cs="Times New Roman"/>
          <w:szCs w:val="21"/>
        </w:rPr>
        <w:t>、</w:t>
      </w:r>
      <w:r w:rsidRPr="00F762A5">
        <w:rPr>
          <w:rFonts w:asciiTheme="minorEastAsia" w:hAnsiTheme="minorEastAsia" w:cs="Times New Roman" w:hint="eastAsia"/>
          <w:szCs w:val="21"/>
        </w:rPr>
        <w:t>项目名称：</w:t>
      </w:r>
      <w:r w:rsidR="00387D1D" w:rsidRPr="00F762A5">
        <w:rPr>
          <w:rFonts w:asciiTheme="minorEastAsia" w:hAnsiTheme="minorEastAsia" w:cs="Times New Roman" w:hint="eastAsia"/>
          <w:szCs w:val="21"/>
        </w:rPr>
        <w:t>自营食堂物资（大宗食材）定点供应服务采购项目</w:t>
      </w:r>
    </w:p>
    <w:p w14:paraId="5D59E80F" w14:textId="3A69457C" w:rsidR="008418F5" w:rsidRPr="00F762A5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三、中标结果信息</w:t>
      </w:r>
    </w:p>
    <w:p w14:paraId="5A586D75" w14:textId="719234B8" w:rsidR="004B346A" w:rsidRPr="00F762A5" w:rsidRDefault="004B346A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387D1D" w:rsidRPr="00F762A5">
        <w:rPr>
          <w:rFonts w:asciiTheme="minorEastAsia" w:hAnsiTheme="minorEastAsia" w:cs="Times New Roman" w:hint="eastAsia"/>
          <w:szCs w:val="21"/>
        </w:rPr>
        <w:t>1</w:t>
      </w:r>
    </w:p>
    <w:p w14:paraId="1C997E5A" w14:textId="06BEFEBE" w:rsidR="000C1B2B" w:rsidRPr="00F762A5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南宁市</w:t>
      </w:r>
      <w:proofErr w:type="gramStart"/>
      <w:r w:rsidR="00FF6712" w:rsidRPr="00F762A5">
        <w:rPr>
          <w:rFonts w:asciiTheme="minorEastAsia" w:hAnsiTheme="minorEastAsia" w:cs="Times New Roman" w:hint="eastAsia"/>
          <w:szCs w:val="21"/>
        </w:rPr>
        <w:t>食桂鲜</w:t>
      </w:r>
      <w:proofErr w:type="gramEnd"/>
      <w:r w:rsidR="00FF6712" w:rsidRPr="00F762A5">
        <w:rPr>
          <w:rFonts w:asciiTheme="minorEastAsia" w:hAnsiTheme="minorEastAsia" w:cs="Times New Roman" w:hint="eastAsia"/>
          <w:szCs w:val="21"/>
        </w:rPr>
        <w:t>农产品配送有限公司</w:t>
      </w:r>
    </w:p>
    <w:p w14:paraId="69F68BF7" w14:textId="2F7E8BD2" w:rsidR="000C1B2B" w:rsidRPr="00F762A5" w:rsidRDefault="005201CD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南宁市江南区五一路101号南宁市五一中农贸市场综合楼一楼11号铺面</w:t>
      </w:r>
    </w:p>
    <w:p w14:paraId="1E831032" w14:textId="0555107C" w:rsidR="000C1B2B" w:rsidRPr="00F762A5" w:rsidRDefault="00CF7B66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</w:t>
      </w:r>
      <w:r w:rsidR="00387D1D" w:rsidRPr="00F762A5">
        <w:rPr>
          <w:rFonts w:asciiTheme="minorEastAsia" w:hAnsiTheme="minorEastAsia" w:cs="Times New Roman" w:hint="eastAsia"/>
          <w:szCs w:val="21"/>
        </w:rPr>
        <w:t>（</w:t>
      </w:r>
      <w:r w:rsidR="00387D1D" w:rsidRPr="00F762A5">
        <w:rPr>
          <w:rFonts w:hint="eastAsia"/>
        </w:rPr>
        <w:t>下浮系数</w:t>
      </w:r>
      <w:r w:rsidR="00387D1D" w:rsidRPr="00F762A5">
        <w:rPr>
          <w:rFonts w:hint="eastAsia"/>
        </w:rPr>
        <w:t>%</w:t>
      </w:r>
      <w:r w:rsidR="00387D1D" w:rsidRPr="00F762A5">
        <w:rPr>
          <w:rFonts w:asciiTheme="minorEastAsia" w:hAnsiTheme="minorEastAsia" w:cs="Times New Roman" w:hint="eastAsia"/>
          <w:szCs w:val="21"/>
        </w:rPr>
        <w:t>）</w:t>
      </w:r>
      <w:r w:rsidRPr="00F762A5">
        <w:rPr>
          <w:rFonts w:asciiTheme="minorEastAsia" w:hAnsiTheme="minorEastAsia" w:cs="Times New Roman" w:hint="eastAsia"/>
          <w:szCs w:val="21"/>
        </w:rPr>
        <w:t>：</w:t>
      </w:r>
      <w:r w:rsidR="00FF6712" w:rsidRPr="00F762A5">
        <w:rPr>
          <w:rFonts w:asciiTheme="minorEastAsia" w:hAnsiTheme="minorEastAsia" w:cs="Times New Roman"/>
          <w:szCs w:val="21"/>
        </w:rPr>
        <w:t>11.5</w:t>
      </w:r>
    </w:p>
    <w:p w14:paraId="283328C9" w14:textId="10FD58EE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分标2</w:t>
      </w:r>
    </w:p>
    <w:p w14:paraId="4DB05C38" w14:textId="317D347C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南宁力源粮油食品有限责任公司</w:t>
      </w:r>
    </w:p>
    <w:p w14:paraId="01CEA8D7" w14:textId="5D3995E8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南宁市金凯路25号</w:t>
      </w:r>
    </w:p>
    <w:p w14:paraId="702FE112" w14:textId="7AE1BD20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</w:t>
      </w:r>
      <w:r w:rsidRPr="00F762A5">
        <w:rPr>
          <w:rFonts w:hint="eastAsia"/>
        </w:rPr>
        <w:t>下浮系数</w:t>
      </w:r>
      <w:r w:rsidRPr="00F762A5">
        <w:rPr>
          <w:rFonts w:hint="eastAsia"/>
        </w:rPr>
        <w:t>%</w:t>
      </w:r>
      <w:r w:rsidRPr="00F762A5">
        <w:rPr>
          <w:rFonts w:asciiTheme="minorEastAsia" w:hAnsiTheme="minorEastAsia" w:cs="Times New Roman" w:hint="eastAsia"/>
          <w:szCs w:val="21"/>
        </w:rPr>
        <w:t>）：</w:t>
      </w:r>
      <w:r w:rsidR="00FF6712" w:rsidRPr="00F762A5">
        <w:rPr>
          <w:rFonts w:asciiTheme="minorEastAsia" w:hAnsiTheme="minorEastAsia" w:cs="Times New Roman"/>
          <w:szCs w:val="21"/>
        </w:rPr>
        <w:t>9</w:t>
      </w:r>
    </w:p>
    <w:p w14:paraId="6BD73D69" w14:textId="62494D18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分标3</w:t>
      </w:r>
    </w:p>
    <w:p w14:paraId="6C03FD55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中标人名称：南宁市</w:t>
      </w:r>
      <w:proofErr w:type="gramStart"/>
      <w:r w:rsidRPr="00F762A5">
        <w:rPr>
          <w:rFonts w:asciiTheme="minorEastAsia" w:hAnsiTheme="minorEastAsia" w:cs="Times New Roman" w:hint="eastAsia"/>
          <w:szCs w:val="21"/>
        </w:rPr>
        <w:t>食桂鲜</w:t>
      </w:r>
      <w:proofErr w:type="gramEnd"/>
      <w:r w:rsidRPr="00F762A5">
        <w:rPr>
          <w:rFonts w:asciiTheme="minorEastAsia" w:hAnsiTheme="minorEastAsia" w:cs="Times New Roman" w:hint="eastAsia"/>
          <w:szCs w:val="21"/>
        </w:rPr>
        <w:t>农产品配送有限公司</w:t>
      </w:r>
    </w:p>
    <w:p w14:paraId="701AA94D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中标人地址：南宁市江南区五一路101号南宁市五一中农贸市场综合楼一楼11号铺面</w:t>
      </w:r>
    </w:p>
    <w:p w14:paraId="22230E62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中标金额（下浮系数%）：11.5</w:t>
      </w:r>
    </w:p>
    <w:p w14:paraId="04D482E3" w14:textId="5FE2FD7A" w:rsidR="00387D1D" w:rsidRPr="00F762A5" w:rsidRDefault="00387D1D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分标4</w:t>
      </w:r>
    </w:p>
    <w:p w14:paraId="67ADF35D" w14:textId="32DD3EC9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</w:t>
      </w:r>
      <w:r w:rsidR="00FF6712" w:rsidRPr="00F762A5">
        <w:rPr>
          <w:rFonts w:asciiTheme="minorEastAsia" w:hAnsiTheme="minorEastAsia" w:cs="Times New Roman" w:hint="eastAsia"/>
          <w:szCs w:val="21"/>
        </w:rPr>
        <w:t>广西汇之丰生态农业有限责任公司</w:t>
      </w:r>
    </w:p>
    <w:p w14:paraId="175E19C5" w14:textId="6CB97CF5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南宁市江南区五一西路175号B座15、16、17、18号商铺</w:t>
      </w:r>
    </w:p>
    <w:p w14:paraId="4E40D4DE" w14:textId="6C121D3B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</w:t>
      </w:r>
      <w:r w:rsidRPr="00F762A5">
        <w:rPr>
          <w:rFonts w:hint="eastAsia"/>
        </w:rPr>
        <w:t>下浮系数</w:t>
      </w:r>
      <w:r w:rsidRPr="00F762A5">
        <w:rPr>
          <w:rFonts w:hint="eastAsia"/>
        </w:rPr>
        <w:t>%</w:t>
      </w:r>
      <w:r w:rsidRPr="00F762A5">
        <w:rPr>
          <w:rFonts w:asciiTheme="minorEastAsia" w:hAnsiTheme="minorEastAsia" w:cs="Times New Roman" w:hint="eastAsia"/>
          <w:szCs w:val="21"/>
        </w:rPr>
        <w:t>）：</w:t>
      </w:r>
      <w:r w:rsidR="00FF6712" w:rsidRPr="00F762A5">
        <w:rPr>
          <w:rFonts w:asciiTheme="minorEastAsia" w:hAnsiTheme="minorEastAsia" w:cs="Times New Roman"/>
          <w:szCs w:val="21"/>
        </w:rPr>
        <w:t>8</w:t>
      </w:r>
    </w:p>
    <w:p w14:paraId="2C883AB7" w14:textId="1F766737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分标5</w:t>
      </w:r>
    </w:p>
    <w:p w14:paraId="01415328" w14:textId="4ABE4791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</w:t>
      </w:r>
      <w:proofErr w:type="gramStart"/>
      <w:r w:rsidR="00FF6712" w:rsidRPr="00F762A5">
        <w:rPr>
          <w:rFonts w:asciiTheme="minorEastAsia" w:hAnsiTheme="minorEastAsia" w:cs="Times New Roman" w:hint="eastAsia"/>
          <w:szCs w:val="21"/>
        </w:rPr>
        <w:t>广西桂然生态农业</w:t>
      </w:r>
      <w:proofErr w:type="gramEnd"/>
      <w:r w:rsidR="00FF6712" w:rsidRPr="00F762A5">
        <w:rPr>
          <w:rFonts w:asciiTheme="minorEastAsia" w:hAnsiTheme="minorEastAsia" w:cs="Times New Roman" w:hint="eastAsia"/>
          <w:szCs w:val="21"/>
        </w:rPr>
        <w:t>有限公司</w:t>
      </w:r>
    </w:p>
    <w:p w14:paraId="421FC7E3" w14:textId="78451CB3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南宁市江南区五一中路新福里2-1号-1</w:t>
      </w:r>
    </w:p>
    <w:p w14:paraId="584420F3" w14:textId="1E5B6D63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</w:t>
      </w:r>
      <w:r w:rsidRPr="00F762A5">
        <w:rPr>
          <w:rFonts w:hint="eastAsia"/>
        </w:rPr>
        <w:t>下浮系数</w:t>
      </w:r>
      <w:r w:rsidRPr="00F762A5">
        <w:rPr>
          <w:rFonts w:hint="eastAsia"/>
        </w:rPr>
        <w:t>%</w:t>
      </w:r>
      <w:r w:rsidRPr="00F762A5">
        <w:rPr>
          <w:rFonts w:asciiTheme="minorEastAsia" w:hAnsiTheme="minorEastAsia" w:cs="Times New Roman" w:hint="eastAsia"/>
          <w:szCs w:val="21"/>
        </w:rPr>
        <w:t>）：</w:t>
      </w:r>
      <w:r w:rsidR="00FF6712" w:rsidRPr="00F762A5">
        <w:rPr>
          <w:rFonts w:asciiTheme="minorEastAsia" w:hAnsiTheme="minorEastAsia" w:cs="Times New Roman"/>
          <w:szCs w:val="21"/>
        </w:rPr>
        <w:t>6</w:t>
      </w:r>
    </w:p>
    <w:p w14:paraId="48B0F0EE" w14:textId="1C62715D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分标6</w:t>
      </w:r>
    </w:p>
    <w:p w14:paraId="4717AE75" w14:textId="6938B84B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</w:t>
      </w:r>
      <w:r w:rsidR="00FF6712" w:rsidRPr="00F762A5">
        <w:rPr>
          <w:rFonts w:asciiTheme="minorEastAsia" w:hAnsiTheme="minorEastAsia" w:cs="Times New Roman" w:hint="eastAsia"/>
          <w:szCs w:val="21"/>
        </w:rPr>
        <w:t>广西龙兴生态农业发展有限公司</w:t>
      </w:r>
    </w:p>
    <w:p w14:paraId="728C89BB" w14:textId="698E9074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南宁市江南区五</w:t>
      </w:r>
      <w:proofErr w:type="gramStart"/>
      <w:r w:rsidR="00FF6712" w:rsidRPr="00F762A5">
        <w:rPr>
          <w:rFonts w:asciiTheme="minorEastAsia" w:hAnsiTheme="minorEastAsia" w:cs="Times New Roman" w:hint="eastAsia"/>
          <w:szCs w:val="21"/>
        </w:rPr>
        <w:t>一路新</w:t>
      </w:r>
      <w:proofErr w:type="gramEnd"/>
      <w:r w:rsidR="00FF6712" w:rsidRPr="00F762A5">
        <w:rPr>
          <w:rFonts w:asciiTheme="minorEastAsia" w:hAnsiTheme="minorEastAsia" w:cs="Times New Roman" w:hint="eastAsia"/>
          <w:szCs w:val="21"/>
        </w:rPr>
        <w:t>福里2号的仓库3、4、5号</w:t>
      </w:r>
      <w:r w:rsidRPr="00F762A5">
        <w:rPr>
          <w:rFonts w:asciiTheme="minorEastAsia" w:hAnsiTheme="minorEastAsia" w:cs="Times New Roman"/>
          <w:szCs w:val="21"/>
        </w:rPr>
        <w:t xml:space="preserve"> </w:t>
      </w:r>
    </w:p>
    <w:p w14:paraId="0122BBB8" w14:textId="5C7A05ED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lastRenderedPageBreak/>
        <w:t>中标金额（</w:t>
      </w:r>
      <w:r w:rsidRPr="00F762A5">
        <w:rPr>
          <w:rFonts w:hint="eastAsia"/>
        </w:rPr>
        <w:t>下浮系数</w:t>
      </w:r>
      <w:r w:rsidRPr="00F762A5">
        <w:rPr>
          <w:rFonts w:hint="eastAsia"/>
        </w:rPr>
        <w:t>%</w:t>
      </w:r>
      <w:r w:rsidRPr="00F762A5">
        <w:rPr>
          <w:rFonts w:asciiTheme="minorEastAsia" w:hAnsiTheme="minorEastAsia" w:cs="Times New Roman" w:hint="eastAsia"/>
          <w:szCs w:val="21"/>
        </w:rPr>
        <w:t>）：</w:t>
      </w:r>
      <w:r w:rsidR="00FF6712" w:rsidRPr="00F762A5">
        <w:rPr>
          <w:rFonts w:asciiTheme="minorEastAsia" w:hAnsiTheme="minorEastAsia" w:cs="Times New Roman"/>
          <w:szCs w:val="21"/>
        </w:rPr>
        <w:t>5</w:t>
      </w:r>
    </w:p>
    <w:p w14:paraId="7F6CB5DE" w14:textId="07A3C219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分标7</w:t>
      </w:r>
    </w:p>
    <w:p w14:paraId="77D5E679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中标人名称：广西龙兴生态农业发展有限公司</w:t>
      </w:r>
    </w:p>
    <w:p w14:paraId="63F7A119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中标人地址：南宁市江南区五</w:t>
      </w:r>
      <w:proofErr w:type="gramStart"/>
      <w:r w:rsidRPr="00F762A5">
        <w:rPr>
          <w:rFonts w:asciiTheme="minorEastAsia" w:hAnsiTheme="minorEastAsia" w:cs="Times New Roman" w:hint="eastAsia"/>
          <w:szCs w:val="21"/>
        </w:rPr>
        <w:t>一路新</w:t>
      </w:r>
      <w:proofErr w:type="gramEnd"/>
      <w:r w:rsidRPr="00F762A5">
        <w:rPr>
          <w:rFonts w:asciiTheme="minorEastAsia" w:hAnsiTheme="minorEastAsia" w:cs="Times New Roman" w:hint="eastAsia"/>
          <w:szCs w:val="21"/>
        </w:rPr>
        <w:t xml:space="preserve">福里2号的仓库3、4、5号 </w:t>
      </w:r>
    </w:p>
    <w:p w14:paraId="2FB7C640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中标金额（下浮系数%）：5</w:t>
      </w:r>
    </w:p>
    <w:p w14:paraId="5B92E8D7" w14:textId="12B7C972" w:rsidR="00387D1D" w:rsidRPr="00F762A5" w:rsidRDefault="00387D1D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分标8</w:t>
      </w:r>
    </w:p>
    <w:p w14:paraId="2DFB5586" w14:textId="02E8C5F0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</w:t>
      </w:r>
      <w:r w:rsidR="00FF6712" w:rsidRPr="00F762A5">
        <w:rPr>
          <w:rFonts w:asciiTheme="minorEastAsia" w:hAnsiTheme="minorEastAsia" w:cs="Times New Roman" w:hint="eastAsia"/>
          <w:szCs w:val="21"/>
        </w:rPr>
        <w:t>广西中邦餐饮管理有限公司</w:t>
      </w:r>
    </w:p>
    <w:p w14:paraId="1E0CD238" w14:textId="6DD8C24B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</w:t>
      </w:r>
      <w:r w:rsidR="00FF6712" w:rsidRPr="00F762A5">
        <w:rPr>
          <w:rFonts w:asciiTheme="minorEastAsia" w:hAnsiTheme="minorEastAsia" w:cs="Times New Roman" w:hint="eastAsia"/>
          <w:szCs w:val="21"/>
        </w:rPr>
        <w:t>南宁市江南区南建路8号A2栋39.40.41.42号</w:t>
      </w:r>
    </w:p>
    <w:p w14:paraId="6AA2B7A9" w14:textId="1A9FC21A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</w:t>
      </w:r>
      <w:r w:rsidRPr="00F762A5">
        <w:rPr>
          <w:rFonts w:hint="eastAsia"/>
        </w:rPr>
        <w:t>下浮系数</w:t>
      </w:r>
      <w:r w:rsidRPr="00F762A5">
        <w:rPr>
          <w:rFonts w:hint="eastAsia"/>
        </w:rPr>
        <w:t>%</w:t>
      </w:r>
      <w:r w:rsidRPr="00F762A5">
        <w:rPr>
          <w:rFonts w:asciiTheme="minorEastAsia" w:hAnsiTheme="minorEastAsia" w:cs="Times New Roman" w:hint="eastAsia"/>
          <w:szCs w:val="21"/>
        </w:rPr>
        <w:t>）：</w:t>
      </w:r>
      <w:r w:rsidR="00FF6712" w:rsidRPr="00F762A5">
        <w:rPr>
          <w:rFonts w:asciiTheme="minorEastAsia" w:hAnsiTheme="minorEastAsia" w:cs="Times New Roman"/>
          <w:szCs w:val="21"/>
        </w:rPr>
        <w:t>4</w:t>
      </w:r>
    </w:p>
    <w:p w14:paraId="21FFB200" w14:textId="04EEDA76" w:rsidR="00387D1D" w:rsidRPr="00F762A5" w:rsidRDefault="00387D1D" w:rsidP="00387D1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分标9</w:t>
      </w:r>
    </w:p>
    <w:p w14:paraId="3505D2A5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</w:t>
      </w:r>
      <w:proofErr w:type="gramStart"/>
      <w:r w:rsidRPr="00F762A5">
        <w:rPr>
          <w:rFonts w:asciiTheme="minorEastAsia" w:hAnsiTheme="minorEastAsia" w:cs="Times New Roman" w:hint="eastAsia"/>
          <w:szCs w:val="21"/>
        </w:rPr>
        <w:t>广西桂然生态农业</w:t>
      </w:r>
      <w:proofErr w:type="gramEnd"/>
      <w:r w:rsidRPr="00F762A5">
        <w:rPr>
          <w:rFonts w:asciiTheme="minorEastAsia" w:hAnsiTheme="minorEastAsia" w:cs="Times New Roman" w:hint="eastAsia"/>
          <w:szCs w:val="21"/>
        </w:rPr>
        <w:t>有限公司</w:t>
      </w:r>
    </w:p>
    <w:p w14:paraId="3B6EC6EE" w14:textId="77777777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中标人地址：南宁市江南区五一中路新福里2-1号-1</w:t>
      </w:r>
    </w:p>
    <w:p w14:paraId="1363D161" w14:textId="5CA92BBA" w:rsidR="00FF6712" w:rsidRPr="00F762A5" w:rsidRDefault="00FF6712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中标金额（下浮系数%）：</w:t>
      </w:r>
      <w:r w:rsidRPr="00F762A5">
        <w:rPr>
          <w:rFonts w:asciiTheme="minorEastAsia" w:hAnsiTheme="minorEastAsia" w:cs="Times New Roman"/>
          <w:szCs w:val="21"/>
        </w:rPr>
        <w:t>3</w:t>
      </w:r>
    </w:p>
    <w:p w14:paraId="711FD887" w14:textId="0201A000" w:rsidR="00387D1D" w:rsidRPr="00F762A5" w:rsidRDefault="00387D1D" w:rsidP="00FF6712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分标10</w:t>
      </w:r>
    </w:p>
    <w:p w14:paraId="50272AD0" w14:textId="77777777" w:rsidR="00FF6712" w:rsidRPr="00F762A5" w:rsidRDefault="00FF6712" w:rsidP="00FF6712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中标人名称：广西中邦餐饮管理有限公司</w:t>
      </w:r>
    </w:p>
    <w:p w14:paraId="09A25A96" w14:textId="77777777" w:rsidR="00FF6712" w:rsidRPr="00F762A5" w:rsidRDefault="00FF6712" w:rsidP="00FF6712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中标人地址：南宁市江南区南建路8号A2栋39.40.41.42号</w:t>
      </w:r>
    </w:p>
    <w:p w14:paraId="22BD8800" w14:textId="77777777" w:rsidR="00FF6712" w:rsidRPr="00F762A5" w:rsidRDefault="00FF6712" w:rsidP="00FF6712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中标金额（下浮系数%）：4</w:t>
      </w:r>
    </w:p>
    <w:p w14:paraId="57CEA21C" w14:textId="19DF333E" w:rsidR="000C1B2B" w:rsidRPr="00F762A5" w:rsidRDefault="005201CD" w:rsidP="00FF6712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p w14:paraId="51BCB6CC" w14:textId="0C59263D" w:rsidR="005561B5" w:rsidRPr="00F762A5" w:rsidRDefault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F762A5" w14:paraId="34FEDEA0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F762A5" w14:paraId="1D2B0DE8" w14:textId="7777777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7A9BFBAD" w:rsidR="000C1B2B" w:rsidRPr="00F762A5" w:rsidRDefault="004B346A" w:rsidP="00556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大米、面粉、食用油类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0C1B2B" w:rsidRPr="00F762A5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F762A5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5FEDB65" w14:textId="4A8975F8" w:rsidR="005561B5" w:rsidRPr="00F762A5" w:rsidRDefault="005561B5" w:rsidP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A66DFD" w:rsidRPr="00F762A5">
        <w:rPr>
          <w:rFonts w:asciiTheme="minorEastAsia" w:hAnsiTheme="minorEastAsia" w:cs="Times New Roman" w:hint="eastAsia"/>
          <w:szCs w:val="21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5561B5" w:rsidRPr="00F762A5" w14:paraId="60AD6758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1D336BEA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8BFA8A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BB5F4CB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1E7CFFB1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C69EB03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669B765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5561B5" w:rsidRPr="00F762A5" w14:paraId="0D74E38B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77628A02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A557646" w14:textId="33804BAE" w:rsidR="005561B5" w:rsidRPr="00F762A5" w:rsidRDefault="004B346A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大米、面粉、食用油类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BA72588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3657C4E6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0297402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154635E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2E797EB6" w14:textId="77777777" w:rsidR="005561B5" w:rsidRPr="00F762A5" w:rsidRDefault="005561B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4ACC05C" w14:textId="53A641A0" w:rsidR="005561B5" w:rsidRPr="00F762A5" w:rsidRDefault="005561B5" w:rsidP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A66DFD" w:rsidRPr="00F762A5">
        <w:rPr>
          <w:rFonts w:asciiTheme="minorEastAsia" w:hAnsiTheme="minorEastAsia" w:cs="Times New Roman" w:hint="eastAsia"/>
          <w:szCs w:val="21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5561B5" w:rsidRPr="00F762A5" w14:paraId="5375015E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25C4450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8B5A86C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C0B1EB6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61A60009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85C43E5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6A56DE0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5561B5" w:rsidRPr="00F762A5" w14:paraId="03493DBC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4AC24891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A66BF37" w14:textId="23C4B0DC" w:rsidR="005561B5" w:rsidRPr="00F762A5" w:rsidRDefault="004B346A" w:rsidP="004B346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新鲜鸡鸭肉、水产、禽蛋类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2C260F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60EE895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4FD518E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52E7B9F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0AEDFB47" w14:textId="77777777" w:rsidR="005561B5" w:rsidRPr="00F762A5" w:rsidRDefault="005561B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CD116B5" w14:textId="0FE43A6A" w:rsidR="005561B5" w:rsidRPr="00F762A5" w:rsidRDefault="005561B5" w:rsidP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994503" w:rsidRPr="00F762A5">
        <w:rPr>
          <w:rFonts w:asciiTheme="minorEastAsia" w:hAnsiTheme="minorEastAsia" w:cs="Times New Roman" w:hint="eastAsia"/>
          <w:szCs w:val="21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5561B5" w:rsidRPr="00F762A5" w14:paraId="48C38923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4C60E1B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3BBFF9A8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ED96325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4BD565D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EA6F20B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5A07C0C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994503" w:rsidRPr="00F762A5" w14:paraId="4CED5EBA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1070E713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65D71D5" w14:textId="2E0BBF88" w:rsidR="00994503" w:rsidRPr="00F762A5" w:rsidRDefault="004B346A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新鲜鸡鸭肉、水产、禽蛋类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9E4DF7B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3C5E4920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828297E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7CC8A96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7C52BAB1" w14:textId="77777777" w:rsidR="005561B5" w:rsidRPr="00F762A5" w:rsidRDefault="005561B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650A9A2A" w14:textId="2012F1A9" w:rsidR="005561B5" w:rsidRPr="00F762A5" w:rsidRDefault="005561B5" w:rsidP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994503" w:rsidRPr="00F762A5">
        <w:rPr>
          <w:rFonts w:asciiTheme="minorEastAsia" w:hAnsiTheme="minorEastAsia" w:cs="Times New Roman" w:hint="eastAsia"/>
          <w:szCs w:val="21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5561B5" w:rsidRPr="00F762A5" w14:paraId="3A88192B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62C935E4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C255699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1F782591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F45FA6D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AA4FDC5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6A81DB2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5561B5" w:rsidRPr="00F762A5" w14:paraId="60486511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123A68DB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5D5520D" w14:textId="3CF4E0E8" w:rsidR="005561B5" w:rsidRPr="00F762A5" w:rsidRDefault="004B346A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蔬菜、豆制品、腌制品类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3B9BB4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4752649D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EEAC25D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F2F2FC5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3E051BDC" w14:textId="77777777" w:rsidR="005561B5" w:rsidRPr="00F762A5" w:rsidRDefault="005561B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807B9F1" w14:textId="6F23EA0B" w:rsidR="005561B5" w:rsidRPr="00F762A5" w:rsidRDefault="005561B5" w:rsidP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994503" w:rsidRPr="00F762A5">
        <w:rPr>
          <w:rFonts w:asciiTheme="minorEastAsia" w:hAnsiTheme="minorEastAsia" w:cs="Times New Roman" w:hint="eastAsia"/>
          <w:szCs w:val="21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5561B5" w:rsidRPr="00F762A5" w14:paraId="5D3675DA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2B7518E9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6496BA0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9B2AFD2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70FC4D6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2FF0C6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D8B89E9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994503" w:rsidRPr="00F762A5" w14:paraId="226A1EE0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0D540D9B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C9AABE1" w14:textId="3DDA1133" w:rsidR="00994503" w:rsidRPr="00F762A5" w:rsidRDefault="004B346A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蔬菜、豆制品、腌制品类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4C0B5E7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00F0667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B75930F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89760D2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06ABCDED" w14:textId="77777777" w:rsidR="005561B5" w:rsidRPr="00F762A5" w:rsidRDefault="005561B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B416E99" w14:textId="47723D31" w:rsidR="005561B5" w:rsidRPr="00F762A5" w:rsidRDefault="005561B5" w:rsidP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994503" w:rsidRPr="00F762A5">
        <w:rPr>
          <w:rFonts w:asciiTheme="minorEastAsia" w:hAnsiTheme="minorEastAsia" w:cs="Times New Roman" w:hint="eastAsia"/>
          <w:szCs w:val="21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5561B5" w:rsidRPr="00F762A5" w14:paraId="24B5DA66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183CD5C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0E1DFDF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4567123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33F20C3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7D89289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A7A665D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5561B5" w:rsidRPr="00F762A5" w14:paraId="50EDCA4B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6F884202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9594774" w14:textId="34E2E292" w:rsidR="005561B5" w:rsidRPr="00F762A5" w:rsidRDefault="004B346A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新鲜猪、牛肉类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1170960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BCF98B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6229373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77F7D11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385A4CCF" w14:textId="77777777" w:rsidR="005561B5" w:rsidRPr="00F762A5" w:rsidRDefault="005561B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5519149A" w14:textId="58B7C515" w:rsidR="005561B5" w:rsidRPr="00F762A5" w:rsidRDefault="005561B5" w:rsidP="005561B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</w:t>
      </w:r>
      <w:r w:rsidR="00994503" w:rsidRPr="00F762A5">
        <w:rPr>
          <w:rFonts w:asciiTheme="minorEastAsia" w:hAnsiTheme="minorEastAsia" w:cs="Times New Roman" w:hint="eastAsia"/>
          <w:szCs w:val="21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5561B5" w:rsidRPr="00F762A5" w14:paraId="11D48D6E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3E3835E8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0D78ED96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33F40F9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CAC741C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EEF467D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C700DF7" w14:textId="77777777" w:rsidR="005561B5" w:rsidRPr="00F762A5" w:rsidRDefault="005561B5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994503" w:rsidRPr="00F762A5" w14:paraId="56F7CD2B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2242807E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C4818D8" w14:textId="316AA18C" w:rsidR="00994503" w:rsidRPr="00F762A5" w:rsidRDefault="004B346A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新鲜猪、牛肉类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4EE03B7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A115706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6446F52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A6F9D70" w14:textId="77777777" w:rsidR="00994503" w:rsidRPr="00F762A5" w:rsidRDefault="00994503" w:rsidP="009945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01AFECB9" w14:textId="77777777" w:rsidR="005561B5" w:rsidRPr="00F762A5" w:rsidRDefault="005561B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32E6BC6F" w14:textId="4ABE8761" w:rsidR="00994503" w:rsidRPr="00F762A5" w:rsidRDefault="00994503" w:rsidP="00994503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lastRenderedPageBreak/>
        <w:t>分标9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994503" w:rsidRPr="00F762A5" w14:paraId="2AC223FA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58D7C038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7F612A3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635DF70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3BC9BEEE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5AE71E0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05367CE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994503" w:rsidRPr="00F762A5" w14:paraId="068B58DE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74EAF500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4C5F044" w14:textId="53324644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冻品类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89F56DD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43D4475C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1C25D8D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88BCEDA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4538E645" w14:textId="77777777" w:rsidR="00994503" w:rsidRPr="00F762A5" w:rsidRDefault="00994503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38C523FF" w14:textId="5962B495" w:rsidR="00994503" w:rsidRPr="00F762A5" w:rsidRDefault="00994503" w:rsidP="00994503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994503" w:rsidRPr="00F762A5" w14:paraId="2B9DAE05" w14:textId="77777777" w:rsidTr="006944EA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E02C167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AC28F78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506BC99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E7DF06F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07D844E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A495DBB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994503" w:rsidRPr="00F762A5" w14:paraId="3AD608AC" w14:textId="77777777" w:rsidTr="006944EA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5B29BC8C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B3332AE" w14:textId="158AB75D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冻品类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62C25AA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6ADA654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ED2A780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F762A5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270C22E" w14:textId="77777777" w:rsidR="00994503" w:rsidRPr="00F762A5" w:rsidRDefault="00994503" w:rsidP="006944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2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</w:tbl>
    <w:p w14:paraId="0721DA6C" w14:textId="77777777" w:rsidR="00994503" w:rsidRPr="00F762A5" w:rsidRDefault="00994503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4E1F538C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五、评审专家名单：</w:t>
      </w:r>
      <w:r w:rsidR="009A5FE3" w:rsidRPr="00F762A5">
        <w:rPr>
          <w:rFonts w:asciiTheme="minorEastAsia" w:hAnsiTheme="minorEastAsia" w:cs="Times New Roman" w:hint="eastAsia"/>
          <w:szCs w:val="21"/>
        </w:rPr>
        <w:t>梁元耀、邹戎、黄胜斌、黄中甫、廖良华、黄君文、黄奕欢</w:t>
      </w:r>
      <w:r w:rsidRPr="00F762A5">
        <w:rPr>
          <w:rFonts w:asciiTheme="minorEastAsia" w:hAnsiTheme="minorEastAsia" w:cs="Times New Roman" w:hint="eastAsia"/>
          <w:szCs w:val="21"/>
        </w:rPr>
        <w:t>（采购人代表</w:t>
      </w:r>
      <w:r w:rsidR="00387D1D" w:rsidRPr="00F762A5">
        <w:rPr>
          <w:rFonts w:asciiTheme="minorEastAsia" w:hAnsiTheme="minorEastAsia" w:cs="Times New Roman" w:hint="eastAsia"/>
          <w:szCs w:val="21"/>
        </w:rPr>
        <w:t>）</w:t>
      </w:r>
    </w:p>
    <w:p w14:paraId="6D38FCAC" w14:textId="77777777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180A00F3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代理服务收费标准：</w:t>
      </w:r>
      <w:r w:rsidR="009A1BC6" w:rsidRPr="00F762A5">
        <w:rPr>
          <w:rFonts w:asciiTheme="minorEastAsia" w:hAnsiTheme="minorEastAsia" w:cs="Times New Roman" w:hint="eastAsia"/>
          <w:szCs w:val="21"/>
        </w:rPr>
        <w:t>以各分</w:t>
      </w:r>
      <w:proofErr w:type="gramStart"/>
      <w:r w:rsidR="009A1BC6" w:rsidRPr="00F762A5">
        <w:rPr>
          <w:rFonts w:asciiTheme="minorEastAsia" w:hAnsiTheme="minorEastAsia" w:cs="Times New Roman" w:hint="eastAsia"/>
          <w:szCs w:val="21"/>
        </w:rPr>
        <w:t>标预算</w:t>
      </w:r>
      <w:proofErr w:type="gramEnd"/>
      <w:r w:rsidR="009A1BC6" w:rsidRPr="00F762A5">
        <w:rPr>
          <w:rFonts w:asciiTheme="minorEastAsia" w:hAnsiTheme="minorEastAsia" w:cs="Times New Roman" w:hint="eastAsia"/>
          <w:szCs w:val="21"/>
        </w:rPr>
        <w:t>金额为计费额，按招标文件须知正文第39.2条规定的收费计算标准（服务招标）采用差额定率累进法计算</w:t>
      </w:r>
      <w:proofErr w:type="gramStart"/>
      <w:r w:rsidR="009A1BC6" w:rsidRPr="00F762A5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="009A1BC6" w:rsidRPr="00F762A5">
        <w:rPr>
          <w:rFonts w:asciiTheme="minorEastAsia" w:hAnsiTheme="minorEastAsia" w:cs="Times New Roman" w:hint="eastAsia"/>
          <w:szCs w:val="21"/>
        </w:rPr>
        <w:t>基准价格下浮15%收取。</w:t>
      </w:r>
    </w:p>
    <w:p w14:paraId="3BCA134E" w14:textId="77777777" w:rsidR="00450BEC" w:rsidRPr="00F762A5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本项目的代理服务费为：</w:t>
      </w:r>
    </w:p>
    <w:p w14:paraId="07DDFFE5" w14:textId="21AE6E4C" w:rsidR="000C1B2B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分标1</w:t>
      </w:r>
      <w:r w:rsidR="007D54E7" w:rsidRPr="00F762A5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FB01BC" w:rsidRPr="00F762A5">
        <w:rPr>
          <w:rFonts w:asciiTheme="minorEastAsia" w:hAnsiTheme="minorEastAsia" w:cs="Times New Roman" w:hint="eastAsia"/>
          <w:szCs w:val="21"/>
        </w:rPr>
        <w:t>壹万伍仟肆佰柒拾</w:t>
      </w:r>
      <w:proofErr w:type="gramEnd"/>
      <w:r w:rsidR="00FB01BC" w:rsidRPr="00F762A5">
        <w:rPr>
          <w:rFonts w:asciiTheme="minorEastAsia" w:hAnsiTheme="minorEastAsia" w:cs="Times New Roman" w:hint="eastAsia"/>
          <w:szCs w:val="21"/>
        </w:rPr>
        <w:t>元整</w:t>
      </w:r>
      <w:r w:rsidR="007D54E7" w:rsidRPr="00F762A5">
        <w:rPr>
          <w:rFonts w:asciiTheme="minorEastAsia" w:hAnsiTheme="minorEastAsia" w:cs="Times New Roman" w:hint="eastAsia"/>
          <w:szCs w:val="21"/>
        </w:rPr>
        <w:t>（</w:t>
      </w:r>
      <w:r w:rsidR="007D54E7" w:rsidRPr="00F762A5">
        <w:rPr>
          <w:rFonts w:asciiTheme="minorEastAsia" w:hAnsiTheme="minorEastAsia" w:cs="Times New Roman"/>
          <w:szCs w:val="21"/>
        </w:rPr>
        <w:t>¥</w:t>
      </w:r>
      <w:r w:rsidR="00FB01BC" w:rsidRPr="00F762A5">
        <w:rPr>
          <w:rFonts w:asciiTheme="minorEastAsia" w:hAnsiTheme="minorEastAsia" w:cs="Times New Roman"/>
          <w:szCs w:val="21"/>
        </w:rPr>
        <w:t>15470.00</w:t>
      </w:r>
      <w:r w:rsidR="007D54E7" w:rsidRPr="00F762A5">
        <w:rPr>
          <w:rFonts w:asciiTheme="minorEastAsia" w:hAnsiTheme="minorEastAsia" w:cs="Times New Roman" w:hint="eastAsia"/>
          <w:szCs w:val="21"/>
        </w:rPr>
        <w:t>）</w:t>
      </w:r>
    </w:p>
    <w:p w14:paraId="5180DA0B" w14:textId="59EAE50B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分标2人民币</w:t>
      </w:r>
      <w:proofErr w:type="gramStart"/>
      <w:r w:rsidR="00FB01BC" w:rsidRPr="00F762A5">
        <w:rPr>
          <w:rFonts w:asciiTheme="minorEastAsia" w:hAnsiTheme="minorEastAsia" w:cs="Times New Roman" w:hint="eastAsia"/>
          <w:szCs w:val="21"/>
        </w:rPr>
        <w:t>壹万伍仟肆佰柒拾</w:t>
      </w:r>
      <w:proofErr w:type="gramEnd"/>
      <w:r w:rsidR="00FB01BC" w:rsidRPr="00F762A5">
        <w:rPr>
          <w:rFonts w:asciiTheme="minorEastAsia" w:hAnsiTheme="minorEastAsia" w:cs="Times New Roman" w:hint="eastAsia"/>
          <w:szCs w:val="21"/>
        </w:rPr>
        <w:t>元整（</w:t>
      </w:r>
      <w:r w:rsidR="00FB01BC" w:rsidRPr="00F762A5">
        <w:rPr>
          <w:rFonts w:asciiTheme="minorEastAsia" w:hAnsiTheme="minorEastAsia" w:cs="Times New Roman"/>
          <w:szCs w:val="21"/>
        </w:rPr>
        <w:t>¥15470.00</w:t>
      </w:r>
      <w:r w:rsidR="00FB01BC" w:rsidRPr="00F762A5">
        <w:rPr>
          <w:rFonts w:asciiTheme="minorEastAsia" w:hAnsiTheme="minorEastAsia" w:cs="Times New Roman" w:hint="eastAsia"/>
          <w:szCs w:val="21"/>
        </w:rPr>
        <w:t>）</w:t>
      </w:r>
    </w:p>
    <w:p w14:paraId="78F0C08B" w14:textId="1A702741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分标3人民币</w:t>
      </w:r>
      <w:r w:rsidR="00FB01BC" w:rsidRPr="00F762A5">
        <w:rPr>
          <w:rFonts w:asciiTheme="minorEastAsia" w:hAnsiTheme="minorEastAsia" w:cs="Times New Roman" w:hint="eastAsia"/>
          <w:szCs w:val="21"/>
        </w:rPr>
        <w:t>壹万玖仟伍佰伍拾元整</w:t>
      </w:r>
      <w:r w:rsidRPr="00F762A5">
        <w:rPr>
          <w:rFonts w:asciiTheme="minorEastAsia" w:hAnsiTheme="minorEastAsia" w:cs="Times New Roman" w:hint="eastAsia"/>
          <w:szCs w:val="21"/>
        </w:rPr>
        <w:t>（</w:t>
      </w:r>
      <w:r w:rsidRPr="00F762A5">
        <w:rPr>
          <w:rFonts w:asciiTheme="minorEastAsia" w:hAnsiTheme="minorEastAsia" w:cs="Times New Roman"/>
          <w:szCs w:val="21"/>
        </w:rPr>
        <w:t>¥</w:t>
      </w:r>
      <w:r w:rsidR="00FB01BC" w:rsidRPr="00F762A5">
        <w:rPr>
          <w:rFonts w:asciiTheme="minorEastAsia" w:hAnsiTheme="minorEastAsia" w:cs="Times New Roman"/>
          <w:szCs w:val="21"/>
        </w:rPr>
        <w:t>19550.00</w:t>
      </w:r>
      <w:r w:rsidRPr="00F762A5">
        <w:rPr>
          <w:rFonts w:asciiTheme="minorEastAsia" w:hAnsiTheme="minorEastAsia" w:cs="Times New Roman" w:hint="eastAsia"/>
          <w:szCs w:val="21"/>
        </w:rPr>
        <w:t>）</w:t>
      </w:r>
    </w:p>
    <w:p w14:paraId="6ADAD9BC" w14:textId="7F943A76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分标4人民币</w:t>
      </w:r>
      <w:r w:rsidR="00FB01BC" w:rsidRPr="00F762A5">
        <w:rPr>
          <w:rFonts w:asciiTheme="minorEastAsia" w:hAnsiTheme="minorEastAsia" w:cs="Times New Roman" w:hint="eastAsia"/>
          <w:szCs w:val="21"/>
        </w:rPr>
        <w:t>壹万玖仟伍佰伍拾元整（</w:t>
      </w:r>
      <w:r w:rsidR="00FB01BC" w:rsidRPr="00F762A5">
        <w:rPr>
          <w:rFonts w:asciiTheme="minorEastAsia" w:hAnsiTheme="minorEastAsia" w:cs="Times New Roman"/>
          <w:szCs w:val="21"/>
        </w:rPr>
        <w:t>¥19550.00</w:t>
      </w:r>
      <w:r w:rsidR="00FB01BC" w:rsidRPr="00F762A5">
        <w:rPr>
          <w:rFonts w:asciiTheme="minorEastAsia" w:hAnsiTheme="minorEastAsia" w:cs="Times New Roman" w:hint="eastAsia"/>
          <w:szCs w:val="21"/>
        </w:rPr>
        <w:t>）</w:t>
      </w:r>
    </w:p>
    <w:p w14:paraId="166F3A42" w14:textId="760F6FE9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分标5人民币</w:t>
      </w:r>
      <w:r w:rsidR="00FB01BC" w:rsidRPr="00F762A5">
        <w:rPr>
          <w:rFonts w:asciiTheme="minorEastAsia" w:hAnsiTheme="minorEastAsia" w:cs="Times New Roman" w:hint="eastAsia"/>
          <w:szCs w:val="21"/>
        </w:rPr>
        <w:t>贰万零贰佰叁拾元整</w:t>
      </w:r>
      <w:r w:rsidRPr="00F762A5">
        <w:rPr>
          <w:rFonts w:asciiTheme="minorEastAsia" w:hAnsiTheme="minorEastAsia" w:cs="Times New Roman" w:hint="eastAsia"/>
          <w:szCs w:val="21"/>
        </w:rPr>
        <w:t>（</w:t>
      </w:r>
      <w:r w:rsidRPr="00F762A5">
        <w:rPr>
          <w:rFonts w:asciiTheme="minorEastAsia" w:hAnsiTheme="minorEastAsia" w:cs="Times New Roman"/>
          <w:szCs w:val="21"/>
        </w:rPr>
        <w:t>¥</w:t>
      </w:r>
      <w:r w:rsidR="00FB01BC" w:rsidRPr="00F762A5">
        <w:rPr>
          <w:rFonts w:asciiTheme="minorEastAsia" w:hAnsiTheme="minorEastAsia" w:cs="Times New Roman"/>
          <w:szCs w:val="21"/>
        </w:rPr>
        <w:t>20230.00</w:t>
      </w:r>
      <w:r w:rsidRPr="00F762A5">
        <w:rPr>
          <w:rFonts w:asciiTheme="minorEastAsia" w:hAnsiTheme="minorEastAsia" w:cs="Times New Roman" w:hint="eastAsia"/>
          <w:szCs w:val="21"/>
        </w:rPr>
        <w:t>）</w:t>
      </w:r>
    </w:p>
    <w:p w14:paraId="6FE0FE62" w14:textId="5D00DE21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分标6人民币</w:t>
      </w:r>
      <w:r w:rsidR="00FB01BC" w:rsidRPr="00F762A5">
        <w:rPr>
          <w:rFonts w:asciiTheme="minorEastAsia" w:hAnsiTheme="minorEastAsia" w:cs="Times New Roman" w:hint="eastAsia"/>
          <w:szCs w:val="21"/>
        </w:rPr>
        <w:t>贰万零贰佰叁拾元整（</w:t>
      </w:r>
      <w:r w:rsidR="00FB01BC" w:rsidRPr="00F762A5">
        <w:rPr>
          <w:rFonts w:asciiTheme="minorEastAsia" w:hAnsiTheme="minorEastAsia" w:cs="Times New Roman"/>
          <w:szCs w:val="21"/>
        </w:rPr>
        <w:t>¥20230.00</w:t>
      </w:r>
      <w:r w:rsidR="00FB01BC" w:rsidRPr="00F762A5">
        <w:rPr>
          <w:rFonts w:asciiTheme="minorEastAsia" w:hAnsiTheme="minorEastAsia" w:cs="Times New Roman" w:hint="eastAsia"/>
          <w:szCs w:val="21"/>
        </w:rPr>
        <w:t>）</w:t>
      </w:r>
    </w:p>
    <w:p w14:paraId="1125853E" w14:textId="654DB071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分标7人民币</w:t>
      </w:r>
      <w:r w:rsidR="00FB01BC" w:rsidRPr="00F762A5">
        <w:rPr>
          <w:rFonts w:asciiTheme="minorEastAsia" w:hAnsiTheme="minorEastAsia" w:cs="Times New Roman" w:hint="eastAsia"/>
          <w:szCs w:val="21"/>
        </w:rPr>
        <w:t>壹万陆仟壹佰伍拾元整</w:t>
      </w:r>
      <w:r w:rsidRPr="00F762A5">
        <w:rPr>
          <w:rFonts w:asciiTheme="minorEastAsia" w:hAnsiTheme="minorEastAsia" w:cs="Times New Roman" w:hint="eastAsia"/>
          <w:szCs w:val="21"/>
        </w:rPr>
        <w:t>（</w:t>
      </w:r>
      <w:r w:rsidRPr="00F762A5">
        <w:rPr>
          <w:rFonts w:asciiTheme="minorEastAsia" w:hAnsiTheme="minorEastAsia" w:cs="Times New Roman"/>
          <w:szCs w:val="21"/>
        </w:rPr>
        <w:t>¥</w:t>
      </w:r>
      <w:r w:rsidR="00FB01BC" w:rsidRPr="00F762A5">
        <w:rPr>
          <w:rFonts w:asciiTheme="minorEastAsia" w:hAnsiTheme="minorEastAsia" w:cs="Times New Roman"/>
          <w:szCs w:val="21"/>
        </w:rPr>
        <w:t>16150.00</w:t>
      </w:r>
      <w:r w:rsidRPr="00F762A5">
        <w:rPr>
          <w:rFonts w:asciiTheme="minorEastAsia" w:hAnsiTheme="minorEastAsia" w:cs="Times New Roman" w:hint="eastAsia"/>
          <w:szCs w:val="21"/>
        </w:rPr>
        <w:t>）</w:t>
      </w:r>
    </w:p>
    <w:p w14:paraId="6FFE68FB" w14:textId="6945A829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分标8人民币</w:t>
      </w:r>
      <w:r w:rsidR="00FB01BC" w:rsidRPr="00F762A5">
        <w:rPr>
          <w:rFonts w:asciiTheme="minorEastAsia" w:hAnsiTheme="minorEastAsia" w:cs="Times New Roman" w:hint="eastAsia"/>
          <w:szCs w:val="21"/>
        </w:rPr>
        <w:t>壹万陆仟壹佰伍拾元整（</w:t>
      </w:r>
      <w:r w:rsidR="00FB01BC" w:rsidRPr="00F762A5">
        <w:rPr>
          <w:rFonts w:asciiTheme="minorEastAsia" w:hAnsiTheme="minorEastAsia" w:cs="Times New Roman"/>
          <w:szCs w:val="21"/>
        </w:rPr>
        <w:t>¥16150.00</w:t>
      </w:r>
      <w:r w:rsidR="00FB01BC" w:rsidRPr="00F762A5">
        <w:rPr>
          <w:rFonts w:asciiTheme="minorEastAsia" w:hAnsiTheme="minorEastAsia" w:cs="Times New Roman" w:hint="eastAsia"/>
          <w:szCs w:val="21"/>
        </w:rPr>
        <w:t>）</w:t>
      </w:r>
    </w:p>
    <w:p w14:paraId="4B5304A2" w14:textId="2804E058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分标9人民币</w:t>
      </w:r>
      <w:r w:rsidR="00FB01BC" w:rsidRPr="00F762A5">
        <w:rPr>
          <w:rFonts w:asciiTheme="minorEastAsia" w:hAnsiTheme="minorEastAsia" w:cs="Times New Roman" w:hint="eastAsia"/>
          <w:szCs w:val="21"/>
        </w:rPr>
        <w:t>贰万零玖佰壹拾元整</w:t>
      </w:r>
      <w:r w:rsidRPr="00F762A5">
        <w:rPr>
          <w:rFonts w:asciiTheme="minorEastAsia" w:hAnsiTheme="minorEastAsia" w:cs="Times New Roman" w:hint="eastAsia"/>
          <w:szCs w:val="21"/>
        </w:rPr>
        <w:t>（</w:t>
      </w:r>
      <w:r w:rsidRPr="00F762A5">
        <w:rPr>
          <w:rFonts w:asciiTheme="minorEastAsia" w:hAnsiTheme="minorEastAsia" w:cs="Times New Roman"/>
          <w:szCs w:val="21"/>
        </w:rPr>
        <w:t>¥</w:t>
      </w:r>
      <w:r w:rsidR="00FB01BC" w:rsidRPr="00F762A5">
        <w:rPr>
          <w:rFonts w:asciiTheme="minorEastAsia" w:hAnsiTheme="minorEastAsia" w:cs="Times New Roman"/>
          <w:szCs w:val="21"/>
        </w:rPr>
        <w:t>20910.00</w:t>
      </w:r>
      <w:r w:rsidRPr="00F762A5">
        <w:rPr>
          <w:rFonts w:asciiTheme="minorEastAsia" w:hAnsiTheme="minorEastAsia" w:cs="Times New Roman" w:hint="eastAsia"/>
          <w:szCs w:val="21"/>
        </w:rPr>
        <w:t>）</w:t>
      </w:r>
    </w:p>
    <w:p w14:paraId="19D4337D" w14:textId="35A6566F" w:rsidR="009A1BC6" w:rsidRPr="00F762A5" w:rsidRDefault="009A1BC6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分标10人民币</w:t>
      </w:r>
      <w:r w:rsidR="00FB01BC" w:rsidRPr="00F762A5">
        <w:rPr>
          <w:rFonts w:asciiTheme="minorEastAsia" w:hAnsiTheme="minorEastAsia" w:cs="Times New Roman" w:hint="eastAsia"/>
          <w:szCs w:val="21"/>
        </w:rPr>
        <w:t>贰万零玖佰壹拾元整（</w:t>
      </w:r>
      <w:r w:rsidR="00FB01BC" w:rsidRPr="00F762A5">
        <w:rPr>
          <w:rFonts w:asciiTheme="minorEastAsia" w:hAnsiTheme="minorEastAsia" w:cs="Times New Roman"/>
          <w:szCs w:val="21"/>
        </w:rPr>
        <w:t>¥20910.00</w:t>
      </w:r>
      <w:r w:rsidR="00FB01BC" w:rsidRPr="00F762A5">
        <w:rPr>
          <w:rFonts w:asciiTheme="minorEastAsia" w:hAnsiTheme="minorEastAsia" w:cs="Times New Roman" w:hint="eastAsia"/>
          <w:szCs w:val="21"/>
        </w:rPr>
        <w:t>）</w:t>
      </w:r>
    </w:p>
    <w:p w14:paraId="67139B6A" w14:textId="77777777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6C3483" w14:textId="77777777" w:rsidR="002C1F88" w:rsidRPr="00F762A5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F762A5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F762A5">
        <w:rPr>
          <w:rFonts w:asciiTheme="minorEastAsia" w:hAnsiTheme="minorEastAsia" w:cs="Times New Roman" w:hint="eastAsia"/>
          <w:szCs w:val="21"/>
        </w:rPr>
        <w:t>集团有限公司</w:t>
      </w:r>
    </w:p>
    <w:p w14:paraId="6F274D5E" w14:textId="77777777" w:rsidR="002C1F88" w:rsidRPr="00F762A5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1D00FCD" w14:textId="6F039D1E" w:rsidR="002C1F88" w:rsidRPr="00F762A5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开户银行：中信银行南宁</w:t>
      </w:r>
      <w:r w:rsidR="009A1BC6" w:rsidRPr="00F762A5">
        <w:rPr>
          <w:rFonts w:asciiTheme="minorEastAsia" w:hAnsiTheme="minorEastAsia" w:cs="Times New Roman" w:hint="eastAsia"/>
          <w:szCs w:val="21"/>
        </w:rPr>
        <w:t>园湖</w:t>
      </w:r>
      <w:r w:rsidRPr="00F762A5">
        <w:rPr>
          <w:rFonts w:asciiTheme="minorEastAsia" w:hAnsiTheme="minorEastAsia" w:cs="Times New Roman" w:hint="eastAsia"/>
          <w:szCs w:val="21"/>
        </w:rPr>
        <w:t>支行</w:t>
      </w:r>
    </w:p>
    <w:p w14:paraId="1149FA3E" w14:textId="35FB00AB" w:rsidR="000C1B2B" w:rsidRPr="00F762A5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lastRenderedPageBreak/>
        <w:t>开户行行号：302611029137</w:t>
      </w:r>
    </w:p>
    <w:p w14:paraId="5E11C402" w14:textId="77777777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自本公告发布之日起</w:t>
      </w:r>
      <w:r w:rsidRPr="00F762A5">
        <w:rPr>
          <w:rFonts w:asciiTheme="minorEastAsia" w:hAnsiTheme="minorEastAsia" w:cs="Times New Roman"/>
          <w:szCs w:val="21"/>
        </w:rPr>
        <w:t>1</w:t>
      </w:r>
      <w:r w:rsidRPr="00F762A5">
        <w:rPr>
          <w:rFonts w:asciiTheme="minorEastAsia" w:hAnsiTheme="minorEastAsia" w:cs="Times New Roman" w:hint="eastAsia"/>
          <w:szCs w:val="21"/>
        </w:rPr>
        <w:t>个工作日。</w:t>
      </w:r>
    </w:p>
    <w:p w14:paraId="4C8F9841" w14:textId="785B15B1" w:rsidR="00AB3B91" w:rsidRPr="00F762A5" w:rsidRDefault="005201CD" w:rsidP="00D8726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9A1BC6" w:rsidRPr="00F762A5">
        <w:rPr>
          <w:rFonts w:asciiTheme="minorEastAsia" w:hAnsiTheme="minorEastAsia" w:cs="Times New Roman" w:hint="eastAsia"/>
          <w:szCs w:val="21"/>
        </w:rPr>
        <w:t>分标1：</w:t>
      </w:r>
      <w:r w:rsidR="00543F64" w:rsidRPr="00F762A5">
        <w:rPr>
          <w:rFonts w:asciiTheme="minorEastAsia" w:hAnsiTheme="minorEastAsia" w:cs="Times New Roman"/>
          <w:szCs w:val="21"/>
        </w:rPr>
        <w:t>95.00</w:t>
      </w:r>
      <w:r w:rsidR="009A1BC6" w:rsidRPr="00F762A5">
        <w:rPr>
          <w:rFonts w:asciiTheme="minorEastAsia" w:hAnsiTheme="minorEastAsia" w:cs="Times New Roman" w:hint="eastAsia"/>
          <w:szCs w:val="21"/>
        </w:rPr>
        <w:t>。分标2：</w:t>
      </w:r>
      <w:r w:rsidR="00543F64" w:rsidRPr="00F762A5">
        <w:rPr>
          <w:rFonts w:asciiTheme="minorEastAsia" w:hAnsiTheme="minorEastAsia" w:cs="Times New Roman"/>
          <w:szCs w:val="21"/>
        </w:rPr>
        <w:t>94.18</w:t>
      </w:r>
      <w:r w:rsidR="009A1BC6" w:rsidRPr="00F762A5">
        <w:rPr>
          <w:rFonts w:asciiTheme="minorEastAsia" w:hAnsiTheme="minorEastAsia" w:cs="Times New Roman" w:hint="eastAsia"/>
          <w:szCs w:val="21"/>
        </w:rPr>
        <w:t>。分标3：</w:t>
      </w:r>
      <w:r w:rsidR="00543F64" w:rsidRPr="00F762A5">
        <w:rPr>
          <w:rFonts w:asciiTheme="minorEastAsia" w:hAnsiTheme="minorEastAsia" w:cs="Times New Roman"/>
          <w:szCs w:val="21"/>
        </w:rPr>
        <w:t>94.49</w:t>
      </w:r>
      <w:r w:rsidR="009A1BC6" w:rsidRPr="00F762A5">
        <w:rPr>
          <w:rFonts w:asciiTheme="minorEastAsia" w:hAnsiTheme="minorEastAsia" w:cs="Times New Roman" w:hint="eastAsia"/>
          <w:szCs w:val="21"/>
        </w:rPr>
        <w:t>。分标4：</w:t>
      </w:r>
      <w:r w:rsidR="00543F64" w:rsidRPr="00F762A5">
        <w:rPr>
          <w:rFonts w:asciiTheme="minorEastAsia" w:hAnsiTheme="minorEastAsia" w:cs="Times New Roman"/>
          <w:szCs w:val="21"/>
        </w:rPr>
        <w:t>93.37</w:t>
      </w:r>
      <w:r w:rsidR="009A1BC6" w:rsidRPr="00F762A5">
        <w:rPr>
          <w:rFonts w:asciiTheme="minorEastAsia" w:hAnsiTheme="minorEastAsia" w:cs="Times New Roman" w:hint="eastAsia"/>
          <w:szCs w:val="21"/>
        </w:rPr>
        <w:t>。分标5：</w:t>
      </w:r>
      <w:r w:rsidR="00543F64" w:rsidRPr="00F762A5">
        <w:rPr>
          <w:rFonts w:asciiTheme="minorEastAsia" w:hAnsiTheme="minorEastAsia" w:cs="Times New Roman"/>
          <w:szCs w:val="21"/>
        </w:rPr>
        <w:t>94.17</w:t>
      </w:r>
      <w:r w:rsidR="009A1BC6" w:rsidRPr="00F762A5">
        <w:rPr>
          <w:rFonts w:asciiTheme="minorEastAsia" w:hAnsiTheme="minorEastAsia" w:cs="Times New Roman" w:hint="eastAsia"/>
          <w:szCs w:val="21"/>
        </w:rPr>
        <w:t>。分标6：</w:t>
      </w:r>
      <w:r w:rsidR="00543F64" w:rsidRPr="00F762A5">
        <w:rPr>
          <w:rFonts w:asciiTheme="minorEastAsia" w:hAnsiTheme="minorEastAsia" w:cs="Times New Roman"/>
          <w:szCs w:val="21"/>
        </w:rPr>
        <w:t>92.47</w:t>
      </w:r>
      <w:r w:rsidR="009A1BC6" w:rsidRPr="00F762A5">
        <w:rPr>
          <w:rFonts w:asciiTheme="minorEastAsia" w:hAnsiTheme="minorEastAsia" w:cs="Times New Roman" w:hint="eastAsia"/>
          <w:szCs w:val="21"/>
        </w:rPr>
        <w:t>。分标7：</w:t>
      </w:r>
      <w:r w:rsidR="00543F64" w:rsidRPr="00F762A5">
        <w:rPr>
          <w:rFonts w:asciiTheme="minorEastAsia" w:hAnsiTheme="minorEastAsia" w:cs="Times New Roman"/>
          <w:szCs w:val="21"/>
        </w:rPr>
        <w:t>94.18</w:t>
      </w:r>
      <w:r w:rsidR="009A1BC6" w:rsidRPr="00F762A5">
        <w:rPr>
          <w:rFonts w:asciiTheme="minorEastAsia" w:hAnsiTheme="minorEastAsia" w:cs="Times New Roman" w:hint="eastAsia"/>
          <w:szCs w:val="21"/>
        </w:rPr>
        <w:t>。分标8：</w:t>
      </w:r>
      <w:r w:rsidR="00543F64" w:rsidRPr="00F762A5">
        <w:rPr>
          <w:rFonts w:asciiTheme="minorEastAsia" w:hAnsiTheme="minorEastAsia" w:cs="Times New Roman"/>
          <w:szCs w:val="21"/>
        </w:rPr>
        <w:t>92.98</w:t>
      </w:r>
      <w:r w:rsidR="009A1BC6" w:rsidRPr="00F762A5">
        <w:rPr>
          <w:rFonts w:asciiTheme="minorEastAsia" w:hAnsiTheme="minorEastAsia" w:cs="Times New Roman" w:hint="eastAsia"/>
          <w:szCs w:val="21"/>
        </w:rPr>
        <w:t>。分标9：</w:t>
      </w:r>
      <w:r w:rsidR="00543F64" w:rsidRPr="00F762A5">
        <w:rPr>
          <w:rFonts w:asciiTheme="minorEastAsia" w:hAnsiTheme="minorEastAsia" w:cs="Times New Roman"/>
          <w:szCs w:val="21"/>
        </w:rPr>
        <w:t>95.84</w:t>
      </w:r>
      <w:r w:rsidR="009A1BC6" w:rsidRPr="00F762A5">
        <w:rPr>
          <w:rFonts w:asciiTheme="minorEastAsia" w:hAnsiTheme="minorEastAsia" w:cs="Times New Roman" w:hint="eastAsia"/>
          <w:szCs w:val="21"/>
        </w:rPr>
        <w:t>。分标10：</w:t>
      </w:r>
      <w:r w:rsidR="00543F64" w:rsidRPr="00F762A5">
        <w:rPr>
          <w:rFonts w:asciiTheme="minorEastAsia" w:hAnsiTheme="minorEastAsia" w:cs="Times New Roman"/>
          <w:szCs w:val="21"/>
        </w:rPr>
        <w:t>95.13</w:t>
      </w:r>
      <w:r w:rsidR="009A1BC6" w:rsidRPr="00F762A5">
        <w:rPr>
          <w:rFonts w:asciiTheme="minorEastAsia" w:hAnsiTheme="minorEastAsia" w:cs="Times New Roman" w:hint="eastAsia"/>
          <w:szCs w:val="21"/>
        </w:rPr>
        <w:t>。</w:t>
      </w:r>
    </w:p>
    <w:p w14:paraId="730883A8" w14:textId="77777777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2C962BE6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1.采购人信息</w:t>
      </w:r>
    </w:p>
    <w:p w14:paraId="181EE276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名称：广西卫生职业技术学院</w:t>
      </w:r>
    </w:p>
    <w:p w14:paraId="73E27C6A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地址：广西南宁市兴宁区昆仑大道8号</w:t>
      </w:r>
    </w:p>
    <w:p w14:paraId="52CBED83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联系方式：胡丹，0771-5628141</w:t>
      </w:r>
    </w:p>
    <w:p w14:paraId="74638FEE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2.采购代理机构信息</w:t>
      </w:r>
    </w:p>
    <w:p w14:paraId="2A959965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F762A5">
        <w:rPr>
          <w:rFonts w:ascii="宋体" w:eastAsia="宋体" w:hAnsi="宋体" w:cs="宋体" w:hint="eastAsia"/>
          <w:szCs w:val="21"/>
        </w:rPr>
        <w:t>龙咨询</w:t>
      </w:r>
      <w:proofErr w:type="gramEnd"/>
      <w:r w:rsidRPr="00F762A5">
        <w:rPr>
          <w:rFonts w:ascii="宋体" w:eastAsia="宋体" w:hAnsi="宋体" w:cs="宋体" w:hint="eastAsia"/>
          <w:szCs w:val="21"/>
        </w:rPr>
        <w:t>集团有限公司</w:t>
      </w:r>
    </w:p>
    <w:p w14:paraId="482A7BF3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F762A5">
        <w:rPr>
          <w:rFonts w:ascii="宋体" w:eastAsia="宋体" w:hAnsi="宋体" w:cs="宋体" w:hint="eastAsia"/>
          <w:szCs w:val="21"/>
        </w:rPr>
        <w:t>良庆区</w:t>
      </w:r>
      <w:proofErr w:type="gramEnd"/>
      <w:r w:rsidRPr="00F762A5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F762A5">
        <w:rPr>
          <w:rFonts w:ascii="宋体" w:eastAsia="宋体" w:hAnsi="宋体" w:cs="宋体" w:hint="eastAsia"/>
          <w:szCs w:val="21"/>
        </w:rPr>
        <w:t>龙咨询</w:t>
      </w:r>
      <w:proofErr w:type="gramEnd"/>
      <w:r w:rsidRPr="00F762A5">
        <w:rPr>
          <w:rFonts w:ascii="宋体" w:eastAsia="宋体" w:hAnsi="宋体" w:cs="宋体" w:hint="eastAsia"/>
          <w:szCs w:val="21"/>
        </w:rPr>
        <w:t>集团大厦6楼</w:t>
      </w:r>
    </w:p>
    <w:p w14:paraId="20E20553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联系方式：黄新强、岑昌桦、莫国华，0771-2618118、2611889、2611898</w:t>
      </w:r>
    </w:p>
    <w:p w14:paraId="19F31826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3.项目联系方式</w:t>
      </w:r>
    </w:p>
    <w:p w14:paraId="1DF218DD" w14:textId="77777777" w:rsidR="009A1BC6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项目联系人：黄新强、岑昌桦、莫国华</w:t>
      </w:r>
    </w:p>
    <w:p w14:paraId="166046F1" w14:textId="6BB08C75" w:rsidR="006D642C" w:rsidRPr="00F762A5" w:rsidRDefault="009A1BC6" w:rsidP="009A1BC6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F762A5">
        <w:rPr>
          <w:rFonts w:ascii="宋体" w:eastAsia="宋体" w:hAnsi="宋体" w:cs="宋体" w:hint="eastAsia"/>
          <w:szCs w:val="21"/>
        </w:rPr>
        <w:t>电话：0771-2618118、2611889、2611898</w:t>
      </w:r>
    </w:p>
    <w:p w14:paraId="46E16C18" w14:textId="088CA345" w:rsidR="000C1B2B" w:rsidRPr="00F762A5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2DBF7E03" w:rsidR="000C1B2B" w:rsidRPr="00F762A5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1.公开招标文件</w:t>
      </w:r>
    </w:p>
    <w:p w14:paraId="3FF038D5" w14:textId="5744C171" w:rsidR="009A1BC6" w:rsidRPr="00F762A5" w:rsidRDefault="009A1BC6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2.中标供应商《中小企业声明函》</w:t>
      </w:r>
    </w:p>
    <w:p w14:paraId="09B2EAC3" w14:textId="77777777" w:rsidR="000C1B2B" w:rsidRPr="00F762A5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C1B2B" w:rsidRPr="00F762A5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F762A5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F762A5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01978A3D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F762A5">
        <w:rPr>
          <w:rFonts w:asciiTheme="minorEastAsia" w:hAnsiTheme="minorEastAsia" w:cs="Times New Roman" w:hint="eastAsia"/>
          <w:szCs w:val="21"/>
        </w:rPr>
        <w:t>202</w:t>
      </w:r>
      <w:r w:rsidR="0056691D" w:rsidRPr="00F762A5">
        <w:rPr>
          <w:rFonts w:asciiTheme="minorEastAsia" w:hAnsiTheme="minorEastAsia" w:cs="Times New Roman"/>
          <w:szCs w:val="21"/>
        </w:rPr>
        <w:t>6</w:t>
      </w:r>
      <w:r w:rsidRPr="00F762A5">
        <w:rPr>
          <w:rFonts w:asciiTheme="minorEastAsia" w:hAnsiTheme="minorEastAsia" w:cs="Times New Roman" w:hint="eastAsia"/>
          <w:szCs w:val="21"/>
        </w:rPr>
        <w:t>年</w:t>
      </w:r>
      <w:r w:rsidR="00F762A5" w:rsidRPr="00F762A5">
        <w:rPr>
          <w:rFonts w:asciiTheme="minorEastAsia" w:hAnsiTheme="minorEastAsia" w:cs="Times New Roman" w:hint="eastAsia"/>
          <w:szCs w:val="21"/>
        </w:rPr>
        <w:t>4</w:t>
      </w:r>
      <w:r w:rsidRPr="00F762A5">
        <w:rPr>
          <w:rFonts w:asciiTheme="minorEastAsia" w:hAnsiTheme="minorEastAsia" w:cs="Times New Roman" w:hint="eastAsia"/>
          <w:szCs w:val="21"/>
        </w:rPr>
        <w:t>月</w:t>
      </w:r>
      <w:r w:rsidR="00F762A5" w:rsidRPr="00F762A5">
        <w:rPr>
          <w:rFonts w:asciiTheme="minorEastAsia" w:hAnsiTheme="minorEastAsia" w:cs="Times New Roman"/>
          <w:szCs w:val="21"/>
        </w:rPr>
        <w:t>8</w:t>
      </w:r>
      <w:r w:rsidRPr="00F762A5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F32A" w14:textId="77777777" w:rsidR="006C44FF" w:rsidRDefault="006C44FF" w:rsidP="008418F5">
      <w:r>
        <w:separator/>
      </w:r>
    </w:p>
  </w:endnote>
  <w:endnote w:type="continuationSeparator" w:id="0">
    <w:p w14:paraId="6BE4325E" w14:textId="77777777" w:rsidR="006C44FF" w:rsidRDefault="006C44FF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26F7" w14:textId="77777777" w:rsidR="006C44FF" w:rsidRDefault="006C44FF" w:rsidP="008418F5">
      <w:r>
        <w:separator/>
      </w:r>
    </w:p>
  </w:footnote>
  <w:footnote w:type="continuationSeparator" w:id="0">
    <w:p w14:paraId="5888F1C8" w14:textId="77777777" w:rsidR="006C44FF" w:rsidRDefault="006C44FF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5D3C"/>
    <w:rsid w:val="00057A18"/>
    <w:rsid w:val="00060646"/>
    <w:rsid w:val="000638FD"/>
    <w:rsid w:val="00064C16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87D1D"/>
    <w:rsid w:val="003913DA"/>
    <w:rsid w:val="0039409F"/>
    <w:rsid w:val="003A350B"/>
    <w:rsid w:val="003A5D89"/>
    <w:rsid w:val="003A6792"/>
    <w:rsid w:val="003B10FE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40BC"/>
    <w:rsid w:val="00417D73"/>
    <w:rsid w:val="004200D8"/>
    <w:rsid w:val="0042318F"/>
    <w:rsid w:val="00423E9A"/>
    <w:rsid w:val="004434E0"/>
    <w:rsid w:val="004466E4"/>
    <w:rsid w:val="00447E99"/>
    <w:rsid w:val="00450BEC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11D5"/>
    <w:rsid w:val="004B1FE3"/>
    <w:rsid w:val="004B2623"/>
    <w:rsid w:val="004B30E8"/>
    <w:rsid w:val="004B346A"/>
    <w:rsid w:val="004C0213"/>
    <w:rsid w:val="004C7DFC"/>
    <w:rsid w:val="004D5422"/>
    <w:rsid w:val="004D6A95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201CD"/>
    <w:rsid w:val="0053601C"/>
    <w:rsid w:val="00540D85"/>
    <w:rsid w:val="00543F64"/>
    <w:rsid w:val="0054571A"/>
    <w:rsid w:val="005502B4"/>
    <w:rsid w:val="005516DB"/>
    <w:rsid w:val="005561B5"/>
    <w:rsid w:val="0056113A"/>
    <w:rsid w:val="0056691D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0EA2"/>
    <w:rsid w:val="005E40CA"/>
    <w:rsid w:val="00620783"/>
    <w:rsid w:val="00622FB3"/>
    <w:rsid w:val="0063318C"/>
    <w:rsid w:val="0063523A"/>
    <w:rsid w:val="00636D58"/>
    <w:rsid w:val="00637FA1"/>
    <w:rsid w:val="00644E6B"/>
    <w:rsid w:val="00650A30"/>
    <w:rsid w:val="006635C7"/>
    <w:rsid w:val="006744D3"/>
    <w:rsid w:val="006820E6"/>
    <w:rsid w:val="006821FB"/>
    <w:rsid w:val="0068409C"/>
    <w:rsid w:val="006921B4"/>
    <w:rsid w:val="006A71D0"/>
    <w:rsid w:val="006B25FD"/>
    <w:rsid w:val="006B46C7"/>
    <w:rsid w:val="006C44FF"/>
    <w:rsid w:val="006C57DD"/>
    <w:rsid w:val="006C5A31"/>
    <w:rsid w:val="006D1EF9"/>
    <w:rsid w:val="006D642C"/>
    <w:rsid w:val="006E7ED3"/>
    <w:rsid w:val="006F20B5"/>
    <w:rsid w:val="00701D32"/>
    <w:rsid w:val="007023B2"/>
    <w:rsid w:val="007031A4"/>
    <w:rsid w:val="00705700"/>
    <w:rsid w:val="00716B09"/>
    <w:rsid w:val="00720D21"/>
    <w:rsid w:val="00722B47"/>
    <w:rsid w:val="00730F41"/>
    <w:rsid w:val="00733BFE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B3DC5"/>
    <w:rsid w:val="007C6BE2"/>
    <w:rsid w:val="007D0C71"/>
    <w:rsid w:val="007D1FB6"/>
    <w:rsid w:val="007D54E7"/>
    <w:rsid w:val="007D73C1"/>
    <w:rsid w:val="007E174B"/>
    <w:rsid w:val="007E1D3D"/>
    <w:rsid w:val="007E4052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4B66"/>
    <w:rsid w:val="00905A29"/>
    <w:rsid w:val="00906C00"/>
    <w:rsid w:val="00906E03"/>
    <w:rsid w:val="009079E4"/>
    <w:rsid w:val="00910809"/>
    <w:rsid w:val="0091606F"/>
    <w:rsid w:val="00921557"/>
    <w:rsid w:val="00921573"/>
    <w:rsid w:val="00925987"/>
    <w:rsid w:val="00932E10"/>
    <w:rsid w:val="00935E79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94503"/>
    <w:rsid w:val="009A1BC6"/>
    <w:rsid w:val="009A2E28"/>
    <w:rsid w:val="009A5FE3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66DFD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B154B"/>
    <w:rsid w:val="00AB3B91"/>
    <w:rsid w:val="00AC1814"/>
    <w:rsid w:val="00AC65B1"/>
    <w:rsid w:val="00AD0AA0"/>
    <w:rsid w:val="00AE4E0C"/>
    <w:rsid w:val="00AE55BD"/>
    <w:rsid w:val="00AF0645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B66"/>
    <w:rsid w:val="00D034BA"/>
    <w:rsid w:val="00D10A80"/>
    <w:rsid w:val="00D20892"/>
    <w:rsid w:val="00D236E4"/>
    <w:rsid w:val="00D23D98"/>
    <w:rsid w:val="00D261ED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697C"/>
    <w:rsid w:val="00D77DB4"/>
    <w:rsid w:val="00D80AF5"/>
    <w:rsid w:val="00D87260"/>
    <w:rsid w:val="00D91233"/>
    <w:rsid w:val="00D920C5"/>
    <w:rsid w:val="00D93B36"/>
    <w:rsid w:val="00DA3678"/>
    <w:rsid w:val="00DA6A06"/>
    <w:rsid w:val="00DB1620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6D0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709A"/>
    <w:rsid w:val="00F762A5"/>
    <w:rsid w:val="00F77085"/>
    <w:rsid w:val="00F80A80"/>
    <w:rsid w:val="00F85382"/>
    <w:rsid w:val="00F87ADD"/>
    <w:rsid w:val="00F96AB1"/>
    <w:rsid w:val="00FA6850"/>
    <w:rsid w:val="00FB01BC"/>
    <w:rsid w:val="00FB75F3"/>
    <w:rsid w:val="00FC079A"/>
    <w:rsid w:val="00FC6762"/>
    <w:rsid w:val="00FC77E4"/>
    <w:rsid w:val="00FD219A"/>
    <w:rsid w:val="00FD4100"/>
    <w:rsid w:val="00FE0CD3"/>
    <w:rsid w:val="00FF2B11"/>
    <w:rsid w:val="00FF6712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784529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D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372</cp:revision>
  <cp:lastPrinted>2025-11-02T01:33:00Z</cp:lastPrinted>
  <dcterms:created xsi:type="dcterms:W3CDTF">2020-08-17T03:16:00Z</dcterms:created>
  <dcterms:modified xsi:type="dcterms:W3CDTF">2026-04-08T02:43:00Z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