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216" w:name="_GoBack"/>
      <w:bookmarkEnd w:id="216"/>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9"/>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全自动生化仪等医疗设备采购项目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项目编号：QZZC2026-G1-990099-XGZX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5"/>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7"/>
            <w:tabs>
              <w:tab w:val="right" w:leader="dot" w:pos="8333"/>
            </w:tabs>
            <w:ind w:left="840"/>
            <w:rPr>
              <w:rFonts w:ascii="宋体" w:hAnsi="宋体" w:eastAsia="宋体" w:cs="宋体"/>
              <w:color w:val="auto"/>
              <w:sz w:val="21"/>
              <w:szCs w:val="21"/>
              <w:highlight w:val="none"/>
            </w:rPr>
          </w:pPr>
        </w:p>
        <w:p w14:paraId="7B6F9BCC">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5"/>
            <w:tabs>
              <w:tab w:val="right" w:leader="dot" w:pos="8333"/>
            </w:tabs>
            <w:rPr>
              <w:rFonts w:ascii="宋体" w:hAnsi="宋体" w:eastAsia="宋体" w:cs="宋体"/>
              <w:color w:val="auto"/>
              <w:sz w:val="21"/>
              <w:szCs w:val="21"/>
              <w:highlight w:val="none"/>
            </w:rPr>
          </w:pPr>
        </w:p>
        <w:p w14:paraId="55939BF6">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7"/>
            <w:tabs>
              <w:tab w:val="right" w:leader="dot" w:pos="8333"/>
            </w:tabs>
            <w:ind w:left="840"/>
            <w:rPr>
              <w:rFonts w:ascii="宋体" w:hAnsi="宋体" w:eastAsia="宋体" w:cs="宋体"/>
              <w:color w:val="auto"/>
              <w:sz w:val="21"/>
              <w:szCs w:val="21"/>
              <w:highlight w:val="none"/>
            </w:rPr>
          </w:pPr>
        </w:p>
        <w:p w14:paraId="42E82FB5">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6"/>
            <w:tabs>
              <w:tab w:val="right" w:leader="dot" w:pos="8333"/>
            </w:tabs>
            <w:ind w:left="420"/>
            <w:rPr>
              <w:rFonts w:ascii="宋体" w:hAnsi="宋体" w:eastAsia="宋体" w:cs="宋体"/>
              <w:color w:val="auto"/>
              <w:sz w:val="21"/>
              <w:szCs w:val="21"/>
              <w:highlight w:val="none"/>
            </w:rPr>
          </w:pPr>
        </w:p>
        <w:p w14:paraId="5A87E6E0">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7"/>
            <w:tabs>
              <w:tab w:val="right" w:leader="dot" w:pos="8333"/>
            </w:tabs>
            <w:ind w:left="840"/>
            <w:rPr>
              <w:rFonts w:ascii="宋体" w:hAnsi="宋体" w:eastAsia="宋体" w:cs="宋体"/>
              <w:color w:val="auto"/>
              <w:sz w:val="21"/>
              <w:szCs w:val="21"/>
              <w:highlight w:val="none"/>
            </w:rPr>
          </w:pPr>
        </w:p>
        <w:p w14:paraId="032FD69A">
          <w:pPr>
            <w:pStyle w:val="35"/>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7"/>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689B9174">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color w:val="auto"/>
          <w:sz w:val="31"/>
          <w:szCs w:val="31"/>
          <w:highlight w:val="none"/>
          <w:lang w:eastAsia="zh-CN"/>
        </w:rPr>
      </w:pPr>
      <w:bookmarkStart w:id="6" w:name="_Toc18152"/>
      <w:r>
        <w:rPr>
          <w:rFonts w:hint="eastAsia" w:ascii="华文中宋" w:hAnsi="华文中宋" w:eastAsia="华文中宋"/>
          <w:color w:val="auto"/>
          <w:sz w:val="28"/>
          <w:szCs w:val="28"/>
          <w:highlight w:val="none"/>
          <w:lang w:eastAsia="zh-CN"/>
        </w:rPr>
        <w:t>广西建设工程项目管理中心有限责任公司关于全自动生化仪等医疗设备采购项目（QZZC2026-G1-990099-XGZX）公开招标公告</w:t>
      </w:r>
      <w:bookmarkEnd w:id="6"/>
    </w:p>
    <w:tbl>
      <w:tblPr>
        <w:tblStyle w:val="28"/>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29"/>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29"/>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全自动生化仪等医疗设备采购项目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single"/>
                <w:lang w:eastAsia="zh-CN"/>
              </w:rPr>
              <w:t>2026年</w:t>
            </w:r>
            <w:r>
              <w:rPr>
                <w:rFonts w:hint="eastAsia"/>
                <w:color w:val="auto"/>
                <w:spacing w:val="-22"/>
                <w:sz w:val="21"/>
                <w:szCs w:val="21"/>
                <w:highlight w:val="none"/>
                <w:u w:val="single"/>
                <w:lang w:val="en-US" w:eastAsia="zh-CN"/>
              </w:rPr>
              <w:t xml:space="preserve">  </w:t>
            </w:r>
            <w:r>
              <w:rPr>
                <w:color w:val="auto"/>
                <w:spacing w:val="7"/>
                <w:sz w:val="21"/>
                <w:szCs w:val="21"/>
                <w:highlight w:val="none"/>
                <w:u w:val="single"/>
                <w:lang w:eastAsia="zh-CN"/>
              </w:rPr>
              <w:t>月</w:t>
            </w:r>
            <w:r>
              <w:rPr>
                <w:rFonts w:hint="eastAsia"/>
                <w:color w:val="auto"/>
                <w:spacing w:val="-19"/>
                <w:sz w:val="21"/>
                <w:szCs w:val="21"/>
                <w:highlight w:val="none"/>
                <w:u w:val="single"/>
                <w:lang w:val="en-US" w:eastAsia="zh-CN"/>
              </w:rPr>
              <w:t xml:space="preserve">  </w:t>
            </w:r>
            <w:r>
              <w:rPr>
                <w:color w:val="auto"/>
                <w:spacing w:val="7"/>
                <w:sz w:val="21"/>
                <w:szCs w:val="21"/>
                <w:highlight w:val="none"/>
                <w:u w:val="single"/>
                <w:lang w:eastAsia="zh-CN"/>
              </w:rPr>
              <w:t>日</w:t>
            </w:r>
            <w:r>
              <w:rPr>
                <w:rFonts w:hint="eastAsia"/>
                <w:color w:val="auto"/>
                <w:spacing w:val="7"/>
                <w:sz w:val="21"/>
                <w:szCs w:val="21"/>
                <w:highlight w:val="none"/>
                <w:u w:val="single"/>
                <w:lang w:val="en-US" w:eastAsia="zh-CN"/>
              </w:rPr>
              <w:t>9</w:t>
            </w:r>
            <w:r>
              <w:rPr>
                <w:color w:val="auto"/>
                <w:spacing w:val="7"/>
                <w:sz w:val="21"/>
                <w:szCs w:val="21"/>
                <w:highlight w:val="none"/>
                <w:u w:val="single"/>
                <w:lang w:eastAsia="zh-CN"/>
              </w:rPr>
              <w:t>时</w:t>
            </w:r>
            <w:r>
              <w:rPr>
                <w:rFonts w:hint="eastAsia"/>
                <w:color w:val="auto"/>
                <w:spacing w:val="7"/>
                <w:sz w:val="21"/>
                <w:szCs w:val="21"/>
                <w:highlight w:val="none"/>
                <w:u w:val="single"/>
                <w:lang w:val="en-US" w:eastAsia="zh-CN"/>
              </w:rPr>
              <w:t>30</w:t>
            </w:r>
            <w:r>
              <w:rPr>
                <w:color w:val="auto"/>
                <w:spacing w:val="7"/>
                <w:sz w:val="21"/>
                <w:szCs w:val="21"/>
                <w:highlight w:val="none"/>
                <w:u w:val="singl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项目编号：QZZC2026-G1-990099-XGZX</w:t>
      </w:r>
    </w:p>
    <w:p w14:paraId="3F76FF0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项目名称：全自动生化仪等医疗设备采购项目</w:t>
      </w:r>
    </w:p>
    <w:p w14:paraId="6D4419B4">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r>
        <w:rPr>
          <w:rFonts w:hint="eastAsia" w:ascii="宋体" w:eastAsia="宋体" w:cs="宋体"/>
          <w:color w:val="auto"/>
          <w:sz w:val="21"/>
          <w:szCs w:val="21"/>
          <w:highlight w:val="none"/>
          <w:lang w:val="en-US" w:eastAsia="zh-CN"/>
        </w:rPr>
        <w:t>300</w:t>
      </w:r>
      <w:r>
        <w:rPr>
          <w:rFonts w:hint="eastAsia" w:ascii="宋体" w:eastAsia="宋体" w:cs="宋体"/>
          <w:color w:val="auto"/>
          <w:sz w:val="21"/>
          <w:szCs w:val="21"/>
          <w:highlight w:val="none"/>
          <w:lang w:eastAsia="zh-CN"/>
        </w:rPr>
        <w:t>0000.00</w:t>
      </w:r>
    </w:p>
    <w:p w14:paraId="51325C81">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采购需求： 标项一</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标项名称:全自动生化仪等医疗设备采购项目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300</w:t>
      </w:r>
      <w:r>
        <w:rPr>
          <w:rFonts w:hint="eastAsia" w:ascii="宋体" w:eastAsia="宋体" w:cs="宋体"/>
          <w:color w:val="auto"/>
          <w:sz w:val="21"/>
          <w:szCs w:val="21"/>
          <w:highlight w:val="none"/>
          <w:lang w:eastAsia="zh-CN"/>
        </w:rPr>
        <w:t>0000</w:t>
      </w:r>
    </w:p>
    <w:p w14:paraId="54A9FBDD">
      <w:pPr>
        <w:pStyle w:val="12"/>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r>
        <w:rPr>
          <w:rFonts w:hint="eastAsia" w:ascii="宋体" w:hAnsi="宋体" w:eastAsia="宋体" w:cs="宋体"/>
          <w:color w:val="auto"/>
          <w:sz w:val="21"/>
          <w:szCs w:val="21"/>
          <w:highlight w:val="none"/>
          <w:lang w:val="en-US" w:eastAsia="zh-CN"/>
        </w:rPr>
        <w:t>全自动生化仪1套、床旁电子支气管镜系统1套、中央监护系统(1拖8)1套、婴儿辐射保暖台1套</w:t>
      </w:r>
      <w:r>
        <w:rPr>
          <w:rFonts w:hint="eastAsia" w:ascii="宋体" w:hAnsi="宋体" w:eastAsia="宋体" w:cs="宋体"/>
          <w:color w:val="auto"/>
          <w:sz w:val="21"/>
          <w:szCs w:val="21"/>
          <w:highlight w:val="none"/>
          <w:lang w:eastAsia="zh-CN"/>
        </w:rPr>
        <w:t>，详见招标文件。</w:t>
      </w:r>
    </w:p>
    <w:p w14:paraId="43199FDE">
      <w:pPr>
        <w:pStyle w:val="12"/>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8" w:name="OLE_LINK1"/>
      <w:r>
        <w:rPr>
          <w:rFonts w:hint="eastAsia" w:ascii="宋体" w:eastAsia="宋体" w:cs="宋体"/>
          <w:color w:val="auto"/>
          <w:sz w:val="21"/>
          <w:szCs w:val="21"/>
          <w:highlight w:val="none"/>
          <w:lang w:val="en-US" w:eastAsia="zh-CN"/>
        </w:rPr>
        <w:t>2265000</w:t>
      </w:r>
      <w:bookmarkEnd w:id="8"/>
    </w:p>
    <w:p w14:paraId="477B96A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合同履约期限：自签订合同之日起30日内交货安装调试完毕并验收合格。</w:t>
      </w:r>
    </w:p>
    <w:p w14:paraId="6BFBD067">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9" w:name="_Toc2543"/>
      <w:r>
        <w:rPr>
          <w:rFonts w:ascii="黑体" w:hAnsi="黑体" w:eastAsia="黑体" w:cs="黑体"/>
          <w:b/>
          <w:bCs/>
          <w:color w:val="auto"/>
          <w:spacing w:val="-3"/>
          <w:highlight w:val="none"/>
          <w:lang w:eastAsia="zh-CN"/>
        </w:rPr>
        <w:t>二、申请人的资格要求：</w:t>
      </w:r>
      <w:bookmarkEnd w:id="9"/>
    </w:p>
    <w:p w14:paraId="1C93B5A2">
      <w:pPr>
        <w:pStyle w:val="12"/>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0" w:name="_Toc9173"/>
      <w:r>
        <w:rPr>
          <w:rFonts w:hint="eastAsia" w:ascii="宋体" w:eastAsia="宋体"/>
          <w:color w:val="auto"/>
          <w:sz w:val="21"/>
          <w:szCs w:val="21"/>
          <w:highlight w:val="none"/>
          <w:lang w:eastAsia="zh-CN"/>
        </w:rPr>
        <w:t>1.满足《中华人民共和国政府采购法》第二十二条规定；</w:t>
      </w:r>
      <w:bookmarkEnd w:id="10"/>
    </w:p>
    <w:p w14:paraId="137F961F">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2"/>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1" w:name="_Toc26904"/>
      <w:r>
        <w:rPr>
          <w:rFonts w:hint="eastAsia" w:ascii="宋体" w:eastAsia="宋体" w:cs="宋体"/>
          <w:color w:val="auto"/>
          <w:sz w:val="21"/>
          <w:szCs w:val="21"/>
          <w:highlight w:val="none"/>
          <w:lang w:eastAsia="zh-CN"/>
        </w:rPr>
        <w:t>3.本项目的特定资格要求：</w:t>
      </w:r>
      <w:bookmarkEnd w:id="11"/>
    </w:p>
    <w:p w14:paraId="35993BA4">
      <w:pPr>
        <w:pStyle w:val="12"/>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 xml:space="preserve">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2" w:name="_Toc8415"/>
      <w:r>
        <w:rPr>
          <w:rFonts w:ascii="黑体" w:hAnsi="黑体" w:eastAsia="黑体" w:cs="黑体"/>
          <w:b/>
          <w:bCs/>
          <w:color w:val="auto"/>
          <w:spacing w:val="-3"/>
          <w:highlight w:val="none"/>
          <w:lang w:eastAsia="zh-CN"/>
        </w:rPr>
        <w:t>四、提交投标文件截止时间、开标时间和地点</w:t>
      </w:r>
      <w:bookmarkEnd w:id="12"/>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color w:val="auto"/>
          <w:spacing w:val="2"/>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2"/>
          <w:sz w:val="21"/>
          <w:szCs w:val="21"/>
          <w:highlight w:val="none"/>
          <w:u w:val="none"/>
          <w:lang w:eastAsia="zh-CN"/>
        </w:rPr>
        <w:t>月</w:t>
      </w:r>
      <w:r>
        <w:rPr>
          <w:rFonts w:hint="eastAsia"/>
          <w:color w:val="auto"/>
          <w:spacing w:val="-22"/>
          <w:sz w:val="21"/>
          <w:szCs w:val="21"/>
          <w:highlight w:val="none"/>
          <w:u w:val="none"/>
          <w:lang w:val="en-US" w:eastAsia="zh-CN"/>
        </w:rPr>
        <w:t xml:space="preserve">  </w:t>
      </w:r>
      <w:r>
        <w:rPr>
          <w:color w:val="auto"/>
          <w:spacing w:val="2"/>
          <w:sz w:val="21"/>
          <w:szCs w:val="21"/>
          <w:highlight w:val="none"/>
          <w:u w:val="none"/>
          <w:lang w:eastAsia="zh-CN"/>
        </w:rPr>
        <w:t>日</w:t>
      </w:r>
      <w:r>
        <w:rPr>
          <w:color w:val="auto"/>
          <w:spacing w:val="-35"/>
          <w:sz w:val="21"/>
          <w:szCs w:val="21"/>
          <w:highlight w:val="none"/>
          <w:u w:val="none"/>
          <w:lang w:eastAsia="zh-CN"/>
        </w:rPr>
        <w:t xml:space="preserve"> </w:t>
      </w:r>
      <w:r>
        <w:rPr>
          <w:rFonts w:hint="eastAsia"/>
          <w:color w:val="auto"/>
          <w:spacing w:val="2"/>
          <w:sz w:val="21"/>
          <w:szCs w:val="21"/>
          <w:highlight w:val="none"/>
          <w:u w:val="none"/>
          <w:lang w:val="en-US" w:eastAsia="zh-CN"/>
        </w:rPr>
        <w:t>9</w:t>
      </w:r>
      <w:r>
        <w:rPr>
          <w:color w:val="auto"/>
          <w:spacing w:val="-30"/>
          <w:sz w:val="21"/>
          <w:szCs w:val="21"/>
          <w:highlight w:val="none"/>
          <w:u w:val="none"/>
          <w:lang w:eastAsia="zh-CN"/>
        </w:rPr>
        <w:t xml:space="preserve"> </w:t>
      </w:r>
      <w:r>
        <w:rPr>
          <w:color w:val="auto"/>
          <w:spacing w:val="2"/>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2"/>
          <w:sz w:val="21"/>
          <w:szCs w:val="21"/>
          <w:highlight w:val="none"/>
          <w:u w:val="none"/>
          <w:lang w:eastAsia="zh-CN"/>
        </w:rPr>
        <w:t>分</w:t>
      </w:r>
      <w:r>
        <w:rPr>
          <w:color w:val="auto"/>
          <w:spacing w:val="2"/>
          <w:sz w:val="21"/>
          <w:szCs w:val="21"/>
          <w:highlight w:val="none"/>
          <w:lang w:eastAsia="zh-CN"/>
        </w:rPr>
        <w:t>（北京时间）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 xml:space="preserve">  </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w:t>
      </w:r>
    </w:p>
    <w:p w14:paraId="3E162CE2">
      <w:pPr>
        <w:spacing w:line="360" w:lineRule="auto"/>
        <w:ind w:left="9"/>
        <w:outlineLvl w:val="1"/>
        <w:rPr>
          <w:rFonts w:ascii="黑体" w:hAnsi="黑体" w:eastAsia="黑体" w:cs="黑体"/>
          <w:color w:val="auto"/>
          <w:highlight w:val="none"/>
          <w:lang w:eastAsia="zh-CN"/>
        </w:rPr>
      </w:pPr>
      <w:bookmarkStart w:id="13" w:name="_Toc24970"/>
      <w:r>
        <w:rPr>
          <w:rFonts w:ascii="黑体" w:hAnsi="黑体" w:eastAsia="黑体" w:cs="黑体"/>
          <w:b/>
          <w:bCs/>
          <w:color w:val="auto"/>
          <w:spacing w:val="-5"/>
          <w:highlight w:val="none"/>
          <w:lang w:eastAsia="zh-CN"/>
        </w:rPr>
        <w:t>五、公告期限</w:t>
      </w:r>
      <w:bookmarkEnd w:id="13"/>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4" w:name="_Toc11129"/>
      <w:r>
        <w:rPr>
          <w:rFonts w:ascii="黑体" w:hAnsi="黑体" w:eastAsia="黑体" w:cs="黑体"/>
          <w:b/>
          <w:bCs/>
          <w:color w:val="auto"/>
          <w:spacing w:val="-5"/>
          <w:highlight w:val="none"/>
          <w:lang w:eastAsia="zh-CN"/>
        </w:rPr>
        <w:t>六、其他补充事宜</w:t>
      </w:r>
      <w:bookmarkEnd w:id="14"/>
    </w:p>
    <w:p w14:paraId="0CB8D6C9">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5" w:name="_Hlk81992908"/>
      <w:r>
        <w:rPr>
          <w:rFonts w:hint="eastAsia" w:ascii="宋体" w:hAnsi="宋体" w:eastAsia="宋体"/>
          <w:color w:val="auto"/>
          <w:highlight w:val="none"/>
          <w:lang w:eastAsia="zh-CN" w:bidi="ar"/>
        </w:rPr>
        <w:t>投标文件提交截止时间前</w:t>
      </w:r>
      <w:bookmarkEnd w:id="15"/>
      <w:r>
        <w:rPr>
          <w:rFonts w:hint="eastAsia" w:ascii="宋体" w:hAnsi="宋体" w:eastAsia="宋体"/>
          <w:color w:val="auto"/>
          <w:highlight w:val="none"/>
          <w:lang w:eastAsia="zh-CN" w:bidi="ar"/>
        </w:rPr>
        <w:t>交至采购代理机构指定账户并且到账【开户银行：钦州市区农村信用合作联社政务服务中心分社，开户名称：钦州市公共资源交易中心，银行账号：</w:t>
      </w:r>
      <w:r>
        <w:rPr>
          <w:rFonts w:hint="eastAsia" w:ascii="微软雅黑" w:hAnsi="微软雅黑" w:eastAsia="微软雅黑" w:cs="微软雅黑"/>
          <w:color w:val="auto"/>
          <w:sz w:val="19"/>
          <w:szCs w:val="19"/>
          <w:lang w:val="en-US" w:eastAsia="zh-CN"/>
        </w:rPr>
        <w:t xml:space="preserve">      </w:t>
      </w:r>
      <w:r>
        <w:rPr>
          <w:rFonts w:hint="eastAsia" w:ascii="宋体" w:hAnsi="宋体" w:eastAsia="宋体"/>
          <w:color w:val="auto"/>
          <w:highlight w:val="none"/>
          <w:lang w:eastAsia="zh-CN" w:bidi="ar"/>
        </w:rPr>
        <w:t>】；采用支票、汇票、本票或者保函、保险等方式的，在投标文件提交截止时间前，供应商应当递交单独密封的支票、汇票、本票或者保函、保险原件。否则视为无效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6"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6"/>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color w:val="auto"/>
          <w:sz w:val="21"/>
          <w:szCs w:val="21"/>
          <w:highlight w:val="none"/>
          <w:lang w:eastAsia="zh-CN"/>
        </w:rPr>
      </w:pPr>
      <w:r>
        <w:rPr>
          <w:rFonts w:hint="eastAsia"/>
          <w:color w:val="auto"/>
          <w:spacing w:val="8"/>
          <w:sz w:val="21"/>
          <w:szCs w:val="21"/>
          <w:highlight w:val="none"/>
          <w:lang w:eastAsia="zh-CN"/>
        </w:rPr>
        <w:t>5</w:t>
      </w:r>
      <w:r>
        <w:rPr>
          <w:color w:val="auto"/>
          <w:spacing w:val="8"/>
          <w:sz w:val="21"/>
          <w:szCs w:val="21"/>
          <w:highlight w:val="none"/>
          <w:lang w:eastAsia="zh-CN"/>
        </w:rPr>
        <w:t>.交易服务单位：钦州市公共资源交易中心；联系电话：07</w:t>
      </w:r>
      <w:r>
        <w:rPr>
          <w:color w:val="auto"/>
          <w:spacing w:val="7"/>
          <w:sz w:val="21"/>
          <w:szCs w:val="21"/>
          <w:highlight w:val="none"/>
          <w:lang w:eastAsia="zh-CN"/>
        </w:rPr>
        <w:t>77-2558900。</w:t>
      </w:r>
    </w:p>
    <w:p w14:paraId="64B590ED">
      <w:pPr>
        <w:pStyle w:val="5"/>
        <w:spacing w:line="360" w:lineRule="auto"/>
        <w:ind w:left="425"/>
        <w:rPr>
          <w:color w:val="auto"/>
          <w:spacing w:val="7"/>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.监督部门：钦州市财政局政府采购监督管理科；联系电话：077</w:t>
      </w:r>
      <w:r>
        <w:rPr>
          <w:color w:val="auto"/>
          <w:spacing w:val="7"/>
          <w:sz w:val="21"/>
          <w:szCs w:val="21"/>
          <w:highlight w:val="none"/>
          <w:lang w:eastAsia="zh-CN"/>
        </w:rPr>
        <w:t>7-2895258。</w:t>
      </w:r>
    </w:p>
    <w:p w14:paraId="47C034D0">
      <w:pPr>
        <w:spacing w:line="360" w:lineRule="auto"/>
        <w:ind w:left="1"/>
        <w:outlineLvl w:val="1"/>
        <w:rPr>
          <w:rFonts w:ascii="黑体" w:hAnsi="黑体" w:eastAsia="黑体" w:cs="黑体"/>
          <w:color w:val="auto"/>
          <w:highlight w:val="none"/>
          <w:lang w:eastAsia="zh-CN"/>
        </w:rPr>
      </w:pPr>
      <w:bookmarkStart w:id="17" w:name="_Toc14489"/>
      <w:r>
        <w:rPr>
          <w:rFonts w:ascii="黑体" w:hAnsi="黑体" w:eastAsia="黑体" w:cs="黑体"/>
          <w:b/>
          <w:bCs/>
          <w:color w:val="auto"/>
          <w:spacing w:val="-3"/>
          <w:highlight w:val="none"/>
          <w:lang w:eastAsia="zh-CN"/>
        </w:rPr>
        <w:t>七、对本次招标提出询问，请按以下方式联系。</w:t>
      </w:r>
      <w:bookmarkEnd w:id="17"/>
    </w:p>
    <w:p w14:paraId="744DA74A">
      <w:pPr>
        <w:pStyle w:val="5"/>
        <w:spacing w:line="360" w:lineRule="auto"/>
        <w:ind w:left="436"/>
        <w:outlineLvl w:val="2"/>
        <w:rPr>
          <w:color w:val="auto"/>
          <w:sz w:val="21"/>
          <w:szCs w:val="21"/>
          <w:highlight w:val="none"/>
          <w:lang w:eastAsia="zh-CN"/>
        </w:rPr>
      </w:pPr>
      <w:bookmarkStart w:id="18" w:name="_Toc10186"/>
      <w:r>
        <w:rPr>
          <w:color w:val="auto"/>
          <w:spacing w:val="5"/>
          <w:sz w:val="21"/>
          <w:szCs w:val="21"/>
          <w:highlight w:val="none"/>
          <w:lang w:eastAsia="zh-CN"/>
        </w:rPr>
        <w:t>1.采购人信息</w:t>
      </w:r>
      <w:bookmarkEnd w:id="18"/>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称：钦州市第一人民医院</w:t>
      </w:r>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 xml:space="preserve">地 址：钦州市钦南区明阳街 8 号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19" w:name="_Toc7341"/>
      <w:r>
        <w:rPr>
          <w:color w:val="auto"/>
          <w:sz w:val="21"/>
          <w:szCs w:val="21"/>
          <w:highlight w:val="none"/>
          <w:lang w:eastAsia="zh-CN"/>
        </w:rPr>
        <w:t>2.采购代理机构信息</w:t>
      </w:r>
      <w:bookmarkEnd w:id="19"/>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r>
        <w:rPr>
          <w:rFonts w:hint="eastAsia"/>
          <w:color w:val="auto"/>
          <w:sz w:val="21"/>
          <w:szCs w:val="21"/>
          <w:highlight w:val="none"/>
          <w:lang w:eastAsia="zh-CN"/>
        </w:rPr>
        <w:t>0777-8889868</w:t>
      </w:r>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 xml:space="preserve">2026年 </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 xml:space="preserve"> </w:t>
      </w:r>
      <w:r>
        <w:rPr>
          <w:rFonts w:hint="eastAsia"/>
          <w:color w:val="auto"/>
          <w:spacing w:val="9"/>
          <w:sz w:val="21"/>
          <w:szCs w:val="21"/>
          <w:highlight w:val="none"/>
          <w:lang w:eastAsia="zh-CN"/>
        </w:rPr>
        <w:t>日</w:t>
      </w:r>
    </w:p>
    <w:p w14:paraId="255F906F">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0" w:name="bookmark3"/>
      <w:bookmarkEnd w:id="20"/>
      <w:bookmarkStart w:id="21" w:name="_Toc25979"/>
      <w:r>
        <w:rPr>
          <w:b/>
          <w:bCs/>
          <w:color w:val="auto"/>
          <w:spacing w:val="4"/>
          <w:sz w:val="43"/>
          <w:szCs w:val="43"/>
          <w:highlight w:val="none"/>
          <w:lang w:eastAsia="zh-CN"/>
        </w:rPr>
        <w:t>第二章采购需求</w:t>
      </w:r>
      <w:bookmarkEnd w:id="21"/>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2"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2"/>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3" w:name="_Toc29681"/>
      <w:r>
        <w:rPr>
          <w:color w:val="auto"/>
          <w:spacing w:val="7"/>
          <w:sz w:val="21"/>
          <w:szCs w:val="21"/>
          <w:highlight w:val="none"/>
          <w:lang w:eastAsia="zh-CN"/>
        </w:rPr>
        <w:t>46 号）的规定。</w:t>
      </w:r>
      <w:bookmarkEnd w:id="23"/>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竞标产品的节能产品认证证书复印件（加盖供应商公章），否则投标文件作无效处理。如本项目包含的配套货物属于品目清单内非标注“★”的产品时，应优先采购，具体详见“第四章 评审程序和评定成交的标准”。</w:t>
      </w:r>
    </w:p>
    <w:p w14:paraId="2A3652A7">
      <w:pPr>
        <w:pStyle w:val="5"/>
        <w:spacing w:before="162" w:line="362" w:lineRule="auto"/>
        <w:ind w:left="121" w:right="371" w:firstLine="426"/>
        <w:rPr>
          <w:color w:val="auto"/>
          <w:sz w:val="21"/>
          <w:szCs w:val="21"/>
          <w:highlight w:val="none"/>
          <w:lang w:eastAsia="zh-CN"/>
        </w:rPr>
      </w:pPr>
      <w:r>
        <w:rPr>
          <w:color w:val="auto"/>
          <w:spacing w:val="6"/>
          <w:sz w:val="21"/>
          <w:szCs w:val="21"/>
          <w:highlight w:val="none"/>
          <w:lang w:eastAsia="zh-CN"/>
        </w:rPr>
        <w:t>2.“实质性要求</w:t>
      </w:r>
      <w:r>
        <w:rPr>
          <w:color w:val="auto"/>
          <w:spacing w:val="-54"/>
          <w:sz w:val="21"/>
          <w:szCs w:val="21"/>
          <w:highlight w:val="none"/>
          <w:lang w:eastAsia="zh-CN"/>
        </w:rPr>
        <w:t xml:space="preserve"> </w:t>
      </w:r>
      <w:r>
        <w:rPr>
          <w:color w:val="auto"/>
          <w:spacing w:val="6"/>
          <w:sz w:val="21"/>
          <w:szCs w:val="21"/>
          <w:highlight w:val="none"/>
          <w:lang w:eastAsia="zh-CN"/>
        </w:rPr>
        <w:t>”是指招标文件中已经指明不满足则投标无效的条款，或者不能负偏离的条款，或者采购需求中带“</w:t>
      </w:r>
      <w:r>
        <w:rPr>
          <w:rFonts w:hint="eastAsia"/>
          <w:color w:val="auto"/>
          <w:spacing w:val="6"/>
          <w:sz w:val="21"/>
          <w:szCs w:val="21"/>
          <w:highlight w:val="none"/>
          <w:lang w:eastAsia="zh-CN"/>
        </w:rPr>
        <w:t>▲</w:t>
      </w:r>
      <w:r>
        <w:rPr>
          <w:color w:val="auto"/>
          <w:spacing w:val="-55"/>
          <w:sz w:val="21"/>
          <w:szCs w:val="21"/>
          <w:highlight w:val="none"/>
          <w:lang w:eastAsia="zh-CN"/>
        </w:rPr>
        <w:t xml:space="preserve"> </w:t>
      </w:r>
      <w:r>
        <w:rPr>
          <w:color w:val="auto"/>
          <w:spacing w:val="6"/>
          <w:sz w:val="21"/>
          <w:szCs w:val="21"/>
          <w:highlight w:val="none"/>
          <w:lang w:eastAsia="zh-CN"/>
        </w:rPr>
        <w:t>”的条款。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2265000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56CC1AC9">
      <w:pPr>
        <w:pStyle w:val="5"/>
        <w:spacing w:before="25" w:line="227" w:lineRule="auto"/>
        <w:ind w:left="431"/>
        <w:outlineLvl w:val="1"/>
        <w:rPr>
          <w:b/>
          <w:bCs/>
          <w:color w:val="auto"/>
          <w:spacing w:val="7"/>
          <w:sz w:val="21"/>
          <w:szCs w:val="21"/>
          <w:highlight w:val="none"/>
          <w:lang w:eastAsia="zh-CN"/>
        </w:rPr>
      </w:pPr>
      <w:bookmarkStart w:id="24" w:name="_Toc28142"/>
      <w:r>
        <w:rPr>
          <w:rFonts w:hint="eastAsia"/>
          <w:color w:val="auto"/>
          <w:spacing w:val="7"/>
          <w:sz w:val="21"/>
          <w:szCs w:val="21"/>
          <w:highlight w:val="none"/>
          <w:lang w:val="en-US" w:eastAsia="zh-CN"/>
        </w:rPr>
        <w:t>8</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24"/>
    </w:p>
    <w:tbl>
      <w:tblPr>
        <w:tblStyle w:val="13"/>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序号</w:t>
            </w:r>
          </w:p>
        </w:tc>
        <w:tc>
          <w:tcPr>
            <w:tcW w:w="855" w:type="dxa"/>
            <w:gridSpan w:val="2"/>
            <w:vAlign w:val="center"/>
          </w:tcPr>
          <w:p w14:paraId="38AD2C7B">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全自动生化仪</w:t>
            </w:r>
          </w:p>
        </w:tc>
        <w:tc>
          <w:tcPr>
            <w:tcW w:w="7226" w:type="dxa"/>
          </w:tcPr>
          <w:p w14:paraId="697170E0">
            <w:pPr>
              <w:spacing w:line="48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一、设备参数如下：</w:t>
            </w:r>
          </w:p>
          <w:p w14:paraId="0697CF3F">
            <w:pPr>
              <w:ind w:left="525" w:leftChars="0" w:hanging="525" w:hangingChars="25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1、可与科室在用设备进行连接，智慧化管理</w:t>
            </w:r>
          </w:p>
          <w:p w14:paraId="4800E012">
            <w:pPr>
              <w:ind w:left="17" w:leftChars="8"/>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 xml:space="preserve">▲2、测试速度：比色分析速度2000测试/小时以上 </w:t>
            </w:r>
          </w:p>
          <w:p w14:paraId="402D15DB">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▲3、双试剂同时测定项目：≥70项</w:t>
            </w:r>
          </w:p>
          <w:p w14:paraId="5B69A551">
            <w:pPr>
              <w:ind w:left="525" w:leftChars="0" w:hanging="525" w:hangingChars="25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4、最小样品量≤1.2ul（0.1ul步进），最小试剂量≤20 ul（1ul步进），最小反应液量≤80 ul</w:t>
            </w:r>
          </w:p>
          <w:p w14:paraId="285E676A">
            <w:pPr>
              <w:ind w:left="525" w:leftChars="0" w:hanging="525" w:hangingChars="25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▲5、循环恒温水浴控温系统，反应控温精度：37℃±0.1</w:t>
            </w:r>
          </w:p>
          <w:p w14:paraId="68A081CB">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6、可以提供配多种套试剂供医院选择。</w:t>
            </w:r>
          </w:p>
          <w:p w14:paraId="5ECDA86D">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7、分析方法：分析方法：1点法，二点终点法，2点速率法和速率A法等</w:t>
            </w:r>
          </w:p>
          <w:p w14:paraId="35535C64">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8、多种试剂添加方式，可开展双试剂以上的项目</w:t>
            </w:r>
          </w:p>
          <w:p w14:paraId="45170712">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 xml:space="preserve">9、反应杯：UV塑料比色杯，反应杯数400个以上 </w:t>
            </w:r>
          </w:p>
          <w:p w14:paraId="099AF2EF">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 xml:space="preserve">10、搅拌系统：非接触式超声波搅拌，避免交叉污染 </w:t>
            </w:r>
          </w:p>
          <w:p w14:paraId="55B01D19">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11、光路系统为先进长寿命的无相差蚀刻凹面光栅，后分光。</w:t>
            </w:r>
          </w:p>
          <w:p w14:paraId="2656CFC1">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单/双波长测定，吸光度线性范围0－3.0A</w:t>
            </w:r>
          </w:p>
          <w:p w14:paraId="0CE68AB2">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12、可打开试剂仓大批量装载试剂。配有试剂条码功能，都具备冷藏功能</w:t>
            </w:r>
          </w:p>
          <w:p w14:paraId="639DDC8C">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 xml:space="preserve">13、安全保证：凝块检测功能，瞬间停电保护功能，针碰撞保护功能等。 </w:t>
            </w:r>
          </w:p>
          <w:p w14:paraId="6D7FFABB">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14、具有急诊自动优先功能</w:t>
            </w:r>
          </w:p>
          <w:p w14:paraId="36BD0215">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 xml:space="preserve">15、测试波长：12种波长，340，405，450，480，505，546，570，600，660，700，750，800,必须具备405nm波长 </w:t>
            </w:r>
          </w:p>
          <w:p w14:paraId="58DDB931">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16、具有单浓度多点定标功能。</w:t>
            </w:r>
          </w:p>
          <w:p w14:paraId="483CC5EF">
            <w:pPr>
              <w:autoSpaceDE w:val="0"/>
              <w:autoSpaceDN w:val="0"/>
              <w:adjustRightIn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bidi="ar-SA"/>
              </w:rPr>
              <w:t>17、 自动再检、自动前稀释功能，可以针对标本的单项目进行增量、减量</w:t>
            </w:r>
          </w:p>
          <w:p w14:paraId="681980CB">
            <w:pPr>
              <w:ind w:left="840" w:hanging="630" w:hangingChars="300"/>
              <w:rPr>
                <w:rFonts w:hint="eastAsia" w:ascii="宋体" w:hAnsi="宋体" w:eastAsia="宋体" w:cs="宋体"/>
                <w:b w:val="0"/>
                <w:bCs w:val="0"/>
                <w:sz w:val="21"/>
                <w:szCs w:val="21"/>
              </w:rPr>
            </w:pPr>
            <w:r>
              <w:rPr>
                <w:rFonts w:hint="eastAsia" w:ascii="宋体" w:hAnsi="宋体" w:eastAsia="宋体" w:cs="宋体"/>
                <w:b w:val="0"/>
                <w:bCs w:val="0"/>
                <w:sz w:val="21"/>
                <w:szCs w:val="21"/>
              </w:rPr>
              <w:t>18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具备对异常结果标本实时或批量自动重检功能：可以高值稀释，低值加量；为消除基质效应自动样品前稀释功能只针对异常标本，正常标本不需要进行稀释处理。</w:t>
            </w:r>
          </w:p>
          <w:p w14:paraId="3FAB0710">
            <w:pPr>
              <w:autoSpaceDE w:val="0"/>
              <w:autoSpaceDN w:val="0"/>
              <w:adjustRightInd w:val="0"/>
              <w:jc w:val="left"/>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▲19、保修期≥5年，保修期内保障设备正常使用，设备故障维修、日常保养巡查、校准校验、质控等内容由供货商严格按照使用说明书的标准执行。</w:t>
            </w:r>
          </w:p>
          <w:p w14:paraId="4DA876FC">
            <w:pPr>
              <w:spacing w:line="48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bidi="ar-SA"/>
              </w:rPr>
              <w:t>二、单台设备配置清单如下、</w:t>
            </w:r>
          </w:p>
          <w:tbl>
            <w:tblPr>
              <w:tblStyle w:val="28"/>
              <w:tblpPr w:leftFromText="180" w:rightFromText="180" w:vertAnchor="text" w:horzAnchor="page" w:tblpX="1576" w:tblpY="292"/>
              <w:tblOverlap w:val="never"/>
              <w:tblW w:w="49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716"/>
              <w:gridCol w:w="1514"/>
            </w:tblGrid>
            <w:tr w14:paraId="2E45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691" w:type="dxa"/>
                  <w:vAlign w:val="center"/>
                </w:tcPr>
                <w:p w14:paraId="5F808F88">
                  <w:pPr>
                    <w:pStyle w:val="29"/>
                    <w:snapToGrid w:val="0"/>
                    <w:spacing w:before="33" w:line="240" w:lineRule="auto"/>
                    <w:ind w:left="0" w:leftChars="0" w:right="0" w:rightChars="0"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4"/>
                      <w:sz w:val="21"/>
                      <w:szCs w:val="21"/>
                      <w:lang w:val="en-US" w:eastAsia="zh-CN"/>
                    </w:rPr>
                    <w:t>序号</w:t>
                  </w:r>
                </w:p>
              </w:tc>
              <w:tc>
                <w:tcPr>
                  <w:tcW w:w="2716" w:type="dxa"/>
                  <w:vAlign w:val="center"/>
                </w:tcPr>
                <w:p w14:paraId="77332A37">
                  <w:pPr>
                    <w:pStyle w:val="29"/>
                    <w:snapToGrid w:val="0"/>
                    <w:spacing w:before="32"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零件名称</w:t>
                  </w:r>
                </w:p>
              </w:tc>
              <w:tc>
                <w:tcPr>
                  <w:tcW w:w="1514" w:type="dxa"/>
                  <w:vAlign w:val="center"/>
                </w:tcPr>
                <w:p w14:paraId="0BA4CC68">
                  <w:pPr>
                    <w:pStyle w:val="29"/>
                    <w:snapToGrid w:val="0"/>
                    <w:spacing w:before="32"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数量</w:t>
                  </w:r>
                </w:p>
              </w:tc>
            </w:tr>
            <w:tr w14:paraId="05EC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53B9F427">
                  <w:pPr>
                    <w:pStyle w:val="29"/>
                    <w:snapToGrid w:val="0"/>
                    <w:spacing w:before="49" w:line="240" w:lineRule="auto"/>
                    <w:ind w:left="0" w:leftChars="0" w:right="0" w:rightChars="0"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3"/>
                      <w:sz w:val="21"/>
                      <w:szCs w:val="21"/>
                      <w:lang w:val="en-US" w:eastAsia="zh-CN"/>
                    </w:rPr>
                    <w:t>1</w:t>
                  </w:r>
                </w:p>
              </w:tc>
              <w:tc>
                <w:tcPr>
                  <w:tcW w:w="2716" w:type="dxa"/>
                  <w:vAlign w:val="center"/>
                </w:tcPr>
                <w:p w14:paraId="2DC4F3E2">
                  <w:pPr>
                    <w:pStyle w:val="29"/>
                    <w:snapToGrid w:val="0"/>
                    <w:spacing w:before="28"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pacing w:val="1"/>
                      <w:sz w:val="21"/>
                      <w:szCs w:val="21"/>
                    </w:rPr>
                    <w:t>全自动生化分析仪</w:t>
                  </w:r>
                  <w:r>
                    <w:rPr>
                      <w:rFonts w:hint="eastAsia" w:ascii="宋体" w:hAnsi="宋体" w:eastAsia="宋体" w:cs="宋体"/>
                      <w:b w:val="0"/>
                      <w:bCs w:val="0"/>
                      <w:spacing w:val="1"/>
                      <w:sz w:val="21"/>
                      <w:szCs w:val="21"/>
                      <w:lang w:val="en-US" w:eastAsia="zh-CN"/>
                    </w:rPr>
                    <w:t xml:space="preserve"> </w:t>
                  </w:r>
                </w:p>
              </w:tc>
              <w:tc>
                <w:tcPr>
                  <w:tcW w:w="1514" w:type="dxa"/>
                  <w:vAlign w:val="center"/>
                </w:tcPr>
                <w:p w14:paraId="38AE445E">
                  <w:pPr>
                    <w:pStyle w:val="29"/>
                    <w:snapToGrid w:val="0"/>
                    <w:spacing w:before="79"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pacing w:val="-6"/>
                      <w:position w:val="-2"/>
                      <w:sz w:val="21"/>
                      <w:szCs w:val="21"/>
                    </w:rPr>
                    <w:t>1</w:t>
                  </w:r>
                  <w:r>
                    <w:rPr>
                      <w:rFonts w:hint="eastAsia" w:ascii="宋体" w:hAnsi="宋体" w:eastAsia="宋体" w:cs="宋体"/>
                      <w:b w:val="0"/>
                      <w:bCs w:val="0"/>
                      <w:spacing w:val="-6"/>
                      <w:position w:val="-2"/>
                      <w:sz w:val="21"/>
                      <w:szCs w:val="21"/>
                      <w:lang w:val="en-US" w:eastAsia="zh-CN"/>
                    </w:rPr>
                    <w:t>套</w:t>
                  </w:r>
                </w:p>
              </w:tc>
            </w:tr>
            <w:tr w14:paraId="725C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14CAF9BA">
                  <w:pPr>
                    <w:pStyle w:val="29"/>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2</w:t>
                  </w:r>
                </w:p>
              </w:tc>
              <w:tc>
                <w:tcPr>
                  <w:tcW w:w="2716" w:type="dxa"/>
                  <w:vAlign w:val="center"/>
                </w:tcPr>
                <w:p w14:paraId="548D1537">
                  <w:pPr>
                    <w:pStyle w:val="29"/>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数据工作站</w:t>
                  </w:r>
                </w:p>
              </w:tc>
              <w:tc>
                <w:tcPr>
                  <w:tcW w:w="1514" w:type="dxa"/>
                  <w:vAlign w:val="center"/>
                </w:tcPr>
                <w:p w14:paraId="7A6F56C3">
                  <w:pPr>
                    <w:pStyle w:val="29"/>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lang w:val="en-US" w:eastAsia="zh-CN"/>
                    </w:rPr>
                  </w:pPr>
                  <w:r>
                    <w:rPr>
                      <w:rFonts w:hint="eastAsia" w:ascii="宋体" w:hAnsi="宋体" w:eastAsia="宋体" w:cs="宋体"/>
                      <w:b w:val="0"/>
                      <w:bCs w:val="0"/>
                      <w:spacing w:val="-6"/>
                      <w:position w:val="-2"/>
                      <w:sz w:val="21"/>
                      <w:szCs w:val="21"/>
                      <w:lang w:val="en-US" w:eastAsia="zh-CN"/>
                    </w:rPr>
                    <w:t>1台</w:t>
                  </w:r>
                </w:p>
              </w:tc>
            </w:tr>
            <w:tr w14:paraId="1FE9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2F355FAC">
                  <w:pPr>
                    <w:pStyle w:val="29"/>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3</w:t>
                  </w:r>
                </w:p>
              </w:tc>
              <w:tc>
                <w:tcPr>
                  <w:tcW w:w="2716" w:type="dxa"/>
                  <w:vAlign w:val="center"/>
                </w:tcPr>
                <w:p w14:paraId="27EC9798">
                  <w:pPr>
                    <w:pStyle w:val="29"/>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高速离心机</w:t>
                  </w:r>
                </w:p>
              </w:tc>
              <w:tc>
                <w:tcPr>
                  <w:tcW w:w="1514" w:type="dxa"/>
                  <w:vAlign w:val="center"/>
                </w:tcPr>
                <w:p w14:paraId="0E154E8C">
                  <w:pPr>
                    <w:pStyle w:val="29"/>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lang w:val="en-US" w:eastAsia="zh-CN"/>
                    </w:rPr>
                  </w:pPr>
                  <w:r>
                    <w:rPr>
                      <w:rFonts w:hint="eastAsia" w:ascii="宋体" w:hAnsi="宋体" w:eastAsia="宋体" w:cs="宋体"/>
                      <w:b w:val="0"/>
                      <w:bCs w:val="0"/>
                      <w:spacing w:val="-6"/>
                      <w:position w:val="-2"/>
                      <w:sz w:val="21"/>
                      <w:szCs w:val="21"/>
                      <w:lang w:val="en-US" w:eastAsia="zh-CN"/>
                    </w:rPr>
                    <w:t>1台</w:t>
                  </w:r>
                </w:p>
              </w:tc>
            </w:tr>
            <w:tr w14:paraId="1FA4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0B64099D">
                  <w:pPr>
                    <w:pStyle w:val="29"/>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4</w:t>
                  </w:r>
                </w:p>
              </w:tc>
              <w:tc>
                <w:tcPr>
                  <w:tcW w:w="2716" w:type="dxa"/>
                  <w:vAlign w:val="center"/>
                </w:tcPr>
                <w:p w14:paraId="300F56C2">
                  <w:pPr>
                    <w:pStyle w:val="29"/>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低速离心机</w:t>
                  </w:r>
                </w:p>
              </w:tc>
              <w:tc>
                <w:tcPr>
                  <w:tcW w:w="1514" w:type="dxa"/>
                  <w:vAlign w:val="center"/>
                </w:tcPr>
                <w:p w14:paraId="71169CAB">
                  <w:pPr>
                    <w:pStyle w:val="29"/>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lang w:val="en-US" w:eastAsia="zh-CN"/>
                    </w:rPr>
                  </w:pPr>
                  <w:r>
                    <w:rPr>
                      <w:rFonts w:hint="eastAsia" w:ascii="宋体" w:hAnsi="宋体" w:eastAsia="宋体" w:cs="宋体"/>
                      <w:b w:val="0"/>
                      <w:bCs w:val="0"/>
                      <w:spacing w:val="-6"/>
                      <w:position w:val="-2"/>
                      <w:sz w:val="21"/>
                      <w:szCs w:val="21"/>
                      <w:lang w:val="en-US" w:eastAsia="zh-CN"/>
                    </w:rPr>
                    <w:t>1台</w:t>
                  </w:r>
                </w:p>
              </w:tc>
            </w:tr>
            <w:tr w14:paraId="24B6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75D98F9F">
                  <w:pPr>
                    <w:pStyle w:val="29"/>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5</w:t>
                  </w:r>
                </w:p>
              </w:tc>
              <w:tc>
                <w:tcPr>
                  <w:tcW w:w="2716" w:type="dxa"/>
                  <w:vAlign w:val="center"/>
                </w:tcPr>
                <w:p w14:paraId="69557C9A">
                  <w:pPr>
                    <w:pStyle w:val="29"/>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移液器</w:t>
                  </w:r>
                </w:p>
              </w:tc>
              <w:tc>
                <w:tcPr>
                  <w:tcW w:w="1514" w:type="dxa"/>
                  <w:vAlign w:val="center"/>
                </w:tcPr>
                <w:p w14:paraId="02B6CC21">
                  <w:pPr>
                    <w:pStyle w:val="29"/>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lang w:val="en-US" w:eastAsia="zh-CN"/>
                    </w:rPr>
                  </w:pPr>
                  <w:r>
                    <w:rPr>
                      <w:rFonts w:hint="eastAsia" w:ascii="宋体" w:hAnsi="宋体" w:eastAsia="宋体" w:cs="宋体"/>
                      <w:b w:val="0"/>
                      <w:bCs w:val="0"/>
                      <w:spacing w:val="-6"/>
                      <w:position w:val="-2"/>
                      <w:sz w:val="21"/>
                      <w:szCs w:val="21"/>
                      <w:lang w:val="en-US" w:eastAsia="zh-CN"/>
                    </w:rPr>
                    <w:t>30个</w:t>
                  </w:r>
                </w:p>
              </w:tc>
            </w:tr>
          </w:tbl>
          <w:p w14:paraId="4C15E308">
            <w:pPr>
              <w:pStyle w:val="5"/>
              <w:numPr>
                <w:ilvl w:val="0"/>
                <w:numId w:val="0"/>
              </w:numPr>
              <w:spacing w:before="45"/>
              <w:rPr>
                <w:rFonts w:hint="eastAsia" w:ascii="宋体" w:hAnsi="宋体" w:eastAsia="宋体" w:cs="宋体"/>
                <w:b w:val="0"/>
                <w:bCs w:val="0"/>
                <w:spacing w:val="-2"/>
                <w:sz w:val="21"/>
                <w:szCs w:val="21"/>
                <w:lang w:val="en-US" w:eastAsia="zh-CN"/>
              </w:rPr>
            </w:pPr>
          </w:p>
          <w:p w14:paraId="723148E0">
            <w:pPr>
              <w:pStyle w:val="5"/>
              <w:numPr>
                <w:ilvl w:val="0"/>
                <w:numId w:val="0"/>
              </w:numPr>
              <w:spacing w:before="45"/>
              <w:rPr>
                <w:rFonts w:hint="eastAsia" w:ascii="宋体" w:hAnsi="宋体" w:eastAsia="宋体" w:cs="宋体"/>
                <w:b w:val="0"/>
                <w:bCs w:val="0"/>
                <w:spacing w:val="-2"/>
                <w:sz w:val="21"/>
                <w:szCs w:val="21"/>
                <w:lang w:val="en-US" w:eastAsia="zh-CN"/>
              </w:rPr>
            </w:pPr>
          </w:p>
          <w:p w14:paraId="62E0068F">
            <w:pPr>
              <w:pStyle w:val="5"/>
              <w:spacing w:before="6" w:after="1"/>
              <w:ind w:left="0"/>
              <w:rPr>
                <w:rFonts w:hint="eastAsia" w:ascii="宋体" w:hAnsi="宋体" w:eastAsia="宋体" w:cs="宋体"/>
                <w:b w:val="0"/>
                <w:bCs w:val="0"/>
                <w:sz w:val="21"/>
                <w:szCs w:val="21"/>
              </w:rPr>
            </w:pPr>
          </w:p>
          <w:p w14:paraId="694B10E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126</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床旁电子支气管镜系统</w:t>
            </w:r>
          </w:p>
        </w:tc>
        <w:tc>
          <w:tcPr>
            <w:tcW w:w="7226" w:type="dxa"/>
          </w:tcPr>
          <w:p w14:paraId="7D1DAC0D">
            <w:pPr>
              <w:spacing w:line="48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一、设备参数如下：</w:t>
            </w:r>
          </w:p>
          <w:p w14:paraId="1EC2A59C">
            <w:pPr>
              <w:numPr>
                <w:ilvl w:val="0"/>
                <w:numId w:val="0"/>
              </w:numPr>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（一）、电子支气管镜</w:t>
            </w:r>
          </w:p>
          <w:p w14:paraId="0790FDC4">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适用范围：</w:t>
            </w:r>
            <w:r>
              <w:rPr>
                <w:rFonts w:hint="eastAsia" w:ascii="宋体" w:hAnsi="宋体" w:eastAsia="宋体" w:cs="宋体"/>
                <w:b w:val="0"/>
                <w:bCs w:val="0"/>
                <w:sz w:val="21"/>
                <w:szCs w:val="21"/>
                <w:lang w:val="en-US" w:eastAsia="zh-CN"/>
              </w:rPr>
              <w:t>用于成人及3个月以上儿童</w:t>
            </w:r>
            <w:r>
              <w:rPr>
                <w:rFonts w:hint="eastAsia" w:ascii="宋体" w:hAnsi="宋体" w:eastAsia="宋体" w:cs="宋体"/>
                <w:b w:val="0"/>
                <w:bCs w:val="0"/>
                <w:sz w:val="21"/>
                <w:szCs w:val="21"/>
              </w:rPr>
              <w:t>气管、支气管</w:t>
            </w:r>
            <w:r>
              <w:rPr>
                <w:rFonts w:hint="eastAsia" w:ascii="宋体" w:hAnsi="宋体" w:eastAsia="宋体" w:cs="宋体"/>
                <w:b w:val="0"/>
                <w:bCs w:val="0"/>
                <w:sz w:val="21"/>
                <w:szCs w:val="21"/>
                <w:lang w:val="en-US" w:eastAsia="zh-CN"/>
              </w:rPr>
              <w:t>部位</w:t>
            </w:r>
            <w:r>
              <w:rPr>
                <w:rFonts w:hint="eastAsia" w:ascii="宋体" w:hAnsi="宋体" w:eastAsia="宋体" w:cs="宋体"/>
                <w:b w:val="0"/>
                <w:bCs w:val="0"/>
                <w:sz w:val="21"/>
                <w:szCs w:val="21"/>
              </w:rPr>
              <w:t>的观察、诊断、摄影</w:t>
            </w:r>
            <w:r>
              <w:rPr>
                <w:rFonts w:hint="eastAsia" w:ascii="宋体" w:hAnsi="宋体" w:eastAsia="宋体" w:cs="宋体"/>
                <w:b w:val="0"/>
                <w:bCs w:val="0"/>
                <w:sz w:val="21"/>
                <w:szCs w:val="21"/>
                <w:lang w:val="en-US" w:eastAsia="zh-CN"/>
              </w:rPr>
              <w:t>和</w:t>
            </w:r>
            <w:r>
              <w:rPr>
                <w:rFonts w:hint="eastAsia" w:ascii="宋体" w:hAnsi="宋体" w:eastAsia="宋体" w:cs="宋体"/>
                <w:b w:val="0"/>
                <w:bCs w:val="0"/>
                <w:sz w:val="21"/>
                <w:szCs w:val="21"/>
              </w:rPr>
              <w:t>治疗。</w:t>
            </w:r>
          </w:p>
          <w:p w14:paraId="02A72215">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成像原理：采用高清CMOS电子成像技术，工作软管不含导像、导光纤维</w:t>
            </w:r>
            <w:r>
              <w:rPr>
                <w:rFonts w:hint="eastAsia" w:ascii="宋体" w:hAnsi="宋体" w:eastAsia="宋体" w:cs="宋体"/>
                <w:b w:val="0"/>
                <w:bCs w:val="0"/>
                <w:sz w:val="21"/>
                <w:szCs w:val="21"/>
                <w:lang w:eastAsia="zh-CN"/>
              </w:rPr>
              <w:t>；</w:t>
            </w:r>
          </w:p>
          <w:p w14:paraId="3F04CA79">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3、视向角</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视场角≥1</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p>
          <w:p w14:paraId="5E12810A">
            <w:pPr>
              <w:numPr>
                <w:ilvl w:val="0"/>
                <w:numId w:val="0"/>
              </w:numPr>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▲4、2条软镜：软镜插入部外径≤5.8mm、工作通道≥2.0mm;</w:t>
            </w:r>
          </w:p>
          <w:p w14:paraId="11295586">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景深：</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150</w:t>
            </w:r>
            <w:r>
              <w:rPr>
                <w:rFonts w:hint="eastAsia" w:ascii="宋体" w:hAnsi="宋体" w:eastAsia="宋体" w:cs="宋体"/>
                <w:b w:val="0"/>
                <w:bCs w:val="0"/>
                <w:sz w:val="21"/>
                <w:szCs w:val="21"/>
              </w:rPr>
              <w:t>mm</w:t>
            </w:r>
            <w:r>
              <w:rPr>
                <w:rFonts w:hint="eastAsia" w:ascii="宋体" w:hAnsi="宋体" w:eastAsia="宋体" w:cs="宋体"/>
                <w:b w:val="0"/>
                <w:bCs w:val="0"/>
                <w:sz w:val="21"/>
                <w:szCs w:val="21"/>
                <w:lang w:eastAsia="zh-CN"/>
              </w:rPr>
              <w:t>；</w:t>
            </w:r>
          </w:p>
          <w:p w14:paraId="240FB207">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分辨率：≥1</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lp/mm</w:t>
            </w:r>
            <w:r>
              <w:rPr>
                <w:rFonts w:hint="eastAsia" w:ascii="宋体" w:hAnsi="宋体" w:eastAsia="宋体" w:cs="宋体"/>
                <w:b w:val="0"/>
                <w:bCs w:val="0"/>
                <w:sz w:val="21"/>
                <w:szCs w:val="21"/>
                <w:lang w:eastAsia="zh-CN"/>
              </w:rPr>
              <w:t>；</w:t>
            </w:r>
          </w:p>
          <w:p w14:paraId="39DD0551">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7、光照度≥2000lux；</w:t>
            </w:r>
          </w:p>
          <w:p w14:paraId="26AAABFA">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操作部有弯角操作标记：向“U”方向旋转时，弯曲部向上弯曲；向“D”方向旋转时；插入管软管前端弯曲角度：向上弯曲≥</w:t>
            </w:r>
            <w:r>
              <w:rPr>
                <w:rFonts w:hint="eastAsia" w:ascii="宋体" w:hAnsi="宋体" w:eastAsia="宋体" w:cs="宋体"/>
                <w:b w:val="0"/>
                <w:bCs w:val="0"/>
                <w:sz w:val="21"/>
                <w:szCs w:val="21"/>
                <w:lang w:val="en-US" w:eastAsia="zh-CN"/>
              </w:rPr>
              <w:t>180</w:t>
            </w:r>
            <w:r>
              <w:rPr>
                <w:rFonts w:hint="eastAsia" w:ascii="宋体" w:hAnsi="宋体" w:eastAsia="宋体" w:cs="宋体"/>
                <w:b w:val="0"/>
                <w:bCs w:val="0"/>
                <w:sz w:val="21"/>
                <w:szCs w:val="21"/>
              </w:rPr>
              <w:t>°，向下弯曲≥</w:t>
            </w: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0°，双向弯曲≥</w:t>
            </w: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0°</w:t>
            </w:r>
            <w:r>
              <w:rPr>
                <w:rFonts w:hint="eastAsia" w:ascii="宋体" w:hAnsi="宋体" w:eastAsia="宋体" w:cs="宋体"/>
                <w:b w:val="0"/>
                <w:bCs w:val="0"/>
                <w:sz w:val="21"/>
                <w:szCs w:val="21"/>
                <w:lang w:eastAsia="zh-CN"/>
              </w:rPr>
              <w:t>；</w:t>
            </w:r>
          </w:p>
          <w:p w14:paraId="5F9E9E2B">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采用内固定式负压吸引阀防脱设计</w:t>
            </w:r>
            <w:r>
              <w:rPr>
                <w:rFonts w:hint="eastAsia" w:ascii="宋体" w:hAnsi="宋体" w:eastAsia="宋体" w:cs="宋体"/>
                <w:b w:val="0"/>
                <w:bCs w:val="0"/>
                <w:sz w:val="21"/>
                <w:szCs w:val="21"/>
                <w:lang w:eastAsia="zh-CN"/>
              </w:rPr>
              <w:t>；</w:t>
            </w:r>
          </w:p>
          <w:p w14:paraId="281016A6">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10、操作手柄具备至少2个独立电子功能按键，可自定义或实现拍摄、录像、冻结、调光等功能</w:t>
            </w:r>
            <w:r>
              <w:rPr>
                <w:rFonts w:hint="eastAsia" w:ascii="宋体" w:hAnsi="宋体" w:eastAsia="宋体" w:cs="宋体"/>
                <w:b w:val="0"/>
                <w:bCs w:val="0"/>
                <w:sz w:val="21"/>
                <w:szCs w:val="21"/>
                <w:lang w:eastAsia="zh-CN"/>
              </w:rPr>
              <w:t>；</w:t>
            </w:r>
          </w:p>
          <w:p w14:paraId="4F077FE7">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色彩</w:t>
            </w:r>
            <w:r>
              <w:rPr>
                <w:rFonts w:hint="eastAsia" w:ascii="宋体" w:hAnsi="宋体" w:eastAsia="宋体" w:cs="宋体"/>
                <w:b w:val="0"/>
                <w:bCs w:val="0"/>
                <w:sz w:val="21"/>
                <w:szCs w:val="21"/>
                <w:lang w:val="en-US" w:eastAsia="zh-CN"/>
              </w:rPr>
              <w:t>还原能力≥4级</w:t>
            </w:r>
            <w:r>
              <w:rPr>
                <w:rFonts w:hint="eastAsia" w:ascii="宋体" w:hAnsi="宋体" w:eastAsia="宋体" w:cs="宋体"/>
                <w:b w:val="0"/>
                <w:bCs w:val="0"/>
                <w:sz w:val="21"/>
                <w:szCs w:val="21"/>
                <w:lang w:eastAsia="zh-CN"/>
              </w:rPr>
              <w:t>；</w:t>
            </w:r>
          </w:p>
          <w:p w14:paraId="4A45F250">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内置LED冷光源，使用寿命≥30000小时，内镜镜头具备防雾功能，无需预热即可观察</w:t>
            </w:r>
            <w:r>
              <w:rPr>
                <w:rFonts w:hint="eastAsia" w:ascii="宋体" w:hAnsi="宋体" w:eastAsia="宋体" w:cs="宋体"/>
                <w:b w:val="0"/>
                <w:bCs w:val="0"/>
                <w:sz w:val="21"/>
                <w:szCs w:val="21"/>
                <w:lang w:eastAsia="zh-CN"/>
              </w:rPr>
              <w:t>；</w:t>
            </w:r>
          </w:p>
          <w:p w14:paraId="22AF6CDE">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光度调节功能：亮度可调节，</w:t>
            </w:r>
            <w:r>
              <w:rPr>
                <w:rFonts w:hint="eastAsia" w:ascii="宋体" w:hAnsi="宋体" w:eastAsia="宋体" w:cs="宋体"/>
                <w:b w:val="0"/>
                <w:bCs w:val="0"/>
                <w:sz w:val="21"/>
                <w:szCs w:val="21"/>
                <w:lang w:val="en-US" w:eastAsia="zh-CN"/>
              </w:rPr>
              <w:t>调节等级≥5级</w:t>
            </w:r>
          </w:p>
          <w:p w14:paraId="07C7654D">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兼容激光灼烧治疗等治疗方式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轻质化镜体：镜体总重量&lt;3</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0g，镜体轻质材料设计，减少临床医生长时间使用的疲劳度</w:t>
            </w:r>
            <w:r>
              <w:rPr>
                <w:rFonts w:hint="eastAsia" w:ascii="宋体" w:hAnsi="宋体" w:eastAsia="宋体" w:cs="宋体"/>
                <w:b w:val="0"/>
                <w:bCs w:val="0"/>
                <w:sz w:val="21"/>
                <w:szCs w:val="21"/>
                <w:lang w:eastAsia="zh-CN"/>
              </w:rPr>
              <w:t>；</w:t>
            </w:r>
          </w:p>
          <w:p w14:paraId="3D29CA54">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洗消方式≥2种，采用</w:t>
            </w:r>
            <w:r>
              <w:rPr>
                <w:rFonts w:hint="eastAsia" w:ascii="宋体" w:hAnsi="宋体" w:eastAsia="宋体" w:cs="宋体"/>
                <w:b w:val="0"/>
                <w:bCs w:val="0"/>
                <w:sz w:val="21"/>
                <w:szCs w:val="21"/>
                <w:lang w:val="en-US" w:eastAsia="zh-CN"/>
              </w:rPr>
              <w:t>ETO阀门或者</w:t>
            </w:r>
            <w:r>
              <w:rPr>
                <w:rFonts w:hint="eastAsia" w:ascii="宋体" w:hAnsi="宋体" w:eastAsia="宋体" w:cs="宋体"/>
                <w:b w:val="0"/>
                <w:bCs w:val="0"/>
                <w:sz w:val="21"/>
                <w:szCs w:val="21"/>
              </w:rPr>
              <w:t>NT阀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进行高水平洗消和灭菌；</w:t>
            </w:r>
          </w:p>
          <w:p w14:paraId="1B816EC0">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16、镜体防水等级IPX7；</w:t>
            </w:r>
          </w:p>
          <w:p w14:paraId="75860D5C">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17、设备配备无线视频传输功能，图像处理器与无线发射器应能稳定配对，无线传输距离≥10米（明视下）。</w:t>
            </w:r>
          </w:p>
          <w:p w14:paraId="76187CC1">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（二）、电子内窥镜图像处理器</w:t>
            </w:r>
          </w:p>
          <w:p w14:paraId="720429A6">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具备独立的图像处理器医疗器械注册证（产品组成部分不含内镜）；</w:t>
            </w:r>
          </w:p>
          <w:p w14:paraId="191747ED">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配备≥10.1英寸显示屏，支持电容触控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开机时间≤5秒，一键开机即能使用</w:t>
            </w:r>
            <w:r>
              <w:rPr>
                <w:rFonts w:hint="eastAsia" w:ascii="宋体" w:hAnsi="宋体" w:eastAsia="宋体" w:cs="宋体"/>
                <w:b w:val="0"/>
                <w:bCs w:val="0"/>
                <w:sz w:val="21"/>
                <w:szCs w:val="21"/>
                <w:lang w:eastAsia="zh-CN"/>
              </w:rPr>
              <w:t>；</w:t>
            </w:r>
          </w:p>
          <w:p w14:paraId="2AE5F0AA">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高清视频信号输出分辨率：≥1280×800</w:t>
            </w:r>
            <w:r>
              <w:rPr>
                <w:rFonts w:hint="eastAsia" w:ascii="宋体" w:hAnsi="宋体" w:eastAsia="宋体" w:cs="宋体"/>
                <w:b w:val="0"/>
                <w:bCs w:val="0"/>
                <w:sz w:val="21"/>
                <w:szCs w:val="21"/>
                <w:lang w:eastAsia="zh-CN"/>
              </w:rPr>
              <w:t>；</w:t>
            </w:r>
          </w:p>
          <w:p w14:paraId="1ED911D9">
            <w:pPr>
              <w:numPr>
                <w:ilvl w:val="0"/>
                <w:numId w:val="0"/>
              </w:numPr>
              <w:ind w:left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菜单模式≥</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种，日期、时间，SD卡指示符、无线网络、电池电量、主菜单按钮、设置（亮度、对比度、色调、饱和度、RGB等），回放、预览、文件管理、其他等</w:t>
            </w:r>
            <w:r>
              <w:rPr>
                <w:rFonts w:hint="eastAsia" w:ascii="宋体" w:hAnsi="宋体" w:eastAsia="宋体" w:cs="宋体"/>
                <w:b w:val="0"/>
                <w:bCs w:val="0"/>
                <w:sz w:val="21"/>
                <w:szCs w:val="21"/>
                <w:lang w:eastAsia="zh-CN"/>
              </w:rPr>
              <w:t>；</w:t>
            </w:r>
          </w:p>
          <w:p w14:paraId="5A5F88A1">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具有可实时观察、记录与回放功能</w:t>
            </w:r>
            <w:r>
              <w:rPr>
                <w:rFonts w:hint="eastAsia" w:ascii="宋体" w:hAnsi="宋体" w:eastAsia="宋体" w:cs="宋体"/>
                <w:b w:val="0"/>
                <w:bCs w:val="0"/>
                <w:sz w:val="21"/>
                <w:szCs w:val="21"/>
                <w:lang w:eastAsia="zh-CN"/>
              </w:rPr>
              <w:t>；</w:t>
            </w:r>
          </w:p>
          <w:p w14:paraId="10F1CE20">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具有图像旋转功能，可90°顺时针循环旋转</w:t>
            </w:r>
            <w:r>
              <w:rPr>
                <w:rFonts w:hint="eastAsia" w:ascii="宋体" w:hAnsi="宋体" w:eastAsia="宋体" w:cs="宋体"/>
                <w:b w:val="0"/>
                <w:bCs w:val="0"/>
                <w:sz w:val="21"/>
                <w:szCs w:val="21"/>
                <w:lang w:eastAsia="zh-CN"/>
              </w:rPr>
              <w:t>；</w:t>
            </w:r>
          </w:p>
          <w:p w14:paraId="73446395">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具有≥3种输出图像形状（正方形、八边形、圆形）可选，满足不同操作者的习惯</w:t>
            </w:r>
            <w:r>
              <w:rPr>
                <w:rFonts w:hint="eastAsia" w:ascii="宋体" w:hAnsi="宋体" w:eastAsia="宋体" w:cs="宋体"/>
                <w:b w:val="0"/>
                <w:bCs w:val="0"/>
                <w:sz w:val="21"/>
                <w:szCs w:val="21"/>
                <w:lang w:eastAsia="zh-CN"/>
              </w:rPr>
              <w:t>；</w:t>
            </w:r>
          </w:p>
          <w:p w14:paraId="5931C133">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可进行色彩参数调节，包括对比度、饱和度及亮度，轮廓增强，可调范围-10～+10</w:t>
            </w:r>
            <w:r>
              <w:rPr>
                <w:rFonts w:hint="eastAsia" w:ascii="宋体" w:hAnsi="宋体" w:eastAsia="宋体" w:cs="宋体"/>
                <w:b w:val="0"/>
                <w:bCs w:val="0"/>
                <w:sz w:val="21"/>
                <w:szCs w:val="21"/>
                <w:lang w:eastAsia="zh-CN"/>
              </w:rPr>
              <w:t>；</w:t>
            </w:r>
          </w:p>
          <w:p w14:paraId="0C22D3F6">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视频输出接口：具有高清画质的HDMI视频输出，可外接高清显示屏同屏显示和连接医用高清工作站</w:t>
            </w:r>
            <w:r>
              <w:rPr>
                <w:rFonts w:hint="eastAsia" w:ascii="宋体" w:hAnsi="宋体" w:eastAsia="宋体" w:cs="宋体"/>
                <w:b w:val="0"/>
                <w:bCs w:val="0"/>
                <w:sz w:val="21"/>
                <w:szCs w:val="21"/>
                <w:lang w:eastAsia="zh-CN"/>
              </w:rPr>
              <w:t>；</w:t>
            </w:r>
          </w:p>
          <w:p w14:paraId="6DCF04DF">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用户访问控制：可设置开机后输入管理用户的账号密码，输入正确可查看产品的实时图像及更改系统设置</w:t>
            </w:r>
            <w:r>
              <w:rPr>
                <w:rFonts w:hint="eastAsia" w:ascii="宋体" w:hAnsi="宋体" w:eastAsia="宋体" w:cs="宋体"/>
                <w:b w:val="0"/>
                <w:bCs w:val="0"/>
                <w:sz w:val="21"/>
                <w:szCs w:val="21"/>
                <w:lang w:eastAsia="zh-CN"/>
              </w:rPr>
              <w:t>；</w:t>
            </w:r>
          </w:p>
          <w:p w14:paraId="6AE4BA51">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具有文件管理功能，文件夹可重命名设置，以患者的姓名设置文件名称，方便医护人员对检查患者资料的管理</w:t>
            </w:r>
            <w:r>
              <w:rPr>
                <w:rFonts w:hint="eastAsia" w:ascii="宋体" w:hAnsi="宋体" w:eastAsia="宋体" w:cs="宋体"/>
                <w:b w:val="0"/>
                <w:bCs w:val="0"/>
                <w:sz w:val="21"/>
                <w:szCs w:val="21"/>
                <w:lang w:eastAsia="zh-CN"/>
              </w:rPr>
              <w:t>；</w:t>
            </w:r>
          </w:p>
          <w:p w14:paraId="2039519B">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具备无线传输功能，无线传输功能在明视下，可以接收≥10米距离内的视频信号；</w:t>
            </w:r>
          </w:p>
          <w:p w14:paraId="2B0CB808">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白平衡功能：具有</w:t>
            </w:r>
            <w:r>
              <w:rPr>
                <w:rFonts w:hint="eastAsia" w:ascii="宋体" w:hAnsi="宋体" w:eastAsia="宋体" w:cs="宋体"/>
                <w:b w:val="0"/>
                <w:bCs w:val="0"/>
                <w:sz w:val="21"/>
                <w:szCs w:val="21"/>
                <w:lang w:val="en-US" w:eastAsia="zh-CN"/>
              </w:rPr>
              <w:t>白平衡记忆功能，</w:t>
            </w:r>
            <w:r>
              <w:rPr>
                <w:rFonts w:hint="eastAsia" w:ascii="宋体" w:hAnsi="宋体" w:eastAsia="宋体" w:cs="宋体"/>
                <w:b w:val="0"/>
                <w:bCs w:val="0"/>
                <w:sz w:val="21"/>
                <w:szCs w:val="21"/>
              </w:rPr>
              <w:t>自动白平衡功能</w:t>
            </w:r>
          </w:p>
          <w:p w14:paraId="5851EF8E">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i w:val="0"/>
                <w:iCs w:val="0"/>
                <w:caps w:val="0"/>
                <w:color w:val="0F1115"/>
                <w:spacing w:val="0"/>
                <w:sz w:val="21"/>
                <w:szCs w:val="21"/>
                <w:shd w:val="clear" w:fill="FFFFFF"/>
              </w:rPr>
              <w:t>主机</w:t>
            </w:r>
            <w:r>
              <w:rPr>
                <w:rFonts w:hint="eastAsia" w:ascii="宋体" w:hAnsi="宋体" w:eastAsia="宋体" w:cs="宋体"/>
                <w:b w:val="0"/>
                <w:bCs w:val="0"/>
                <w:sz w:val="21"/>
                <w:szCs w:val="21"/>
              </w:rPr>
              <w:t>应具备良好的兼容性，可兼容本采购项下的所有规格操作部，并预留扩展连接其他类型内窥镜（如一次性支气管镜）的接口或能力</w:t>
            </w:r>
            <w:r>
              <w:rPr>
                <w:rFonts w:hint="eastAsia" w:ascii="宋体" w:hAnsi="宋体" w:eastAsia="宋体" w:cs="宋体"/>
                <w:b w:val="0"/>
                <w:bCs w:val="0"/>
                <w:sz w:val="21"/>
                <w:szCs w:val="21"/>
                <w:lang w:eastAsia="zh-CN"/>
              </w:rPr>
              <w:t>；</w:t>
            </w:r>
          </w:p>
          <w:p w14:paraId="74FEF092">
            <w:pPr>
              <w:numPr>
                <w:ilvl w:val="0"/>
                <w:numId w:val="0"/>
              </w:numPr>
              <w:ind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供电方式：锂离子可充电电池</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6000mAH，电池工作时间不小于</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小时</w:t>
            </w:r>
            <w:r>
              <w:rPr>
                <w:rFonts w:hint="eastAsia" w:ascii="宋体" w:hAnsi="宋体" w:eastAsia="宋体" w:cs="宋体"/>
                <w:b w:val="0"/>
                <w:bCs w:val="0"/>
                <w:sz w:val="21"/>
                <w:szCs w:val="21"/>
                <w:lang w:eastAsia="zh-CN"/>
              </w:rPr>
              <w:t>；</w:t>
            </w:r>
          </w:p>
          <w:p w14:paraId="0FCB6476">
            <w:pPr>
              <w:numPr>
                <w:ilvl w:val="0"/>
                <w:numId w:val="0"/>
              </w:numPr>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16、交流电供电：可通过接入DC适配器连接交流电使用，可通过适配器实现24小时连续工作。</w:t>
            </w:r>
          </w:p>
          <w:p w14:paraId="6B43BDAC">
            <w:pPr>
              <w:numPr>
                <w:ilvl w:val="0"/>
                <w:numId w:val="0"/>
              </w:num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二、设备</w:t>
            </w:r>
            <w:r>
              <w:rPr>
                <w:rFonts w:hint="eastAsia" w:ascii="宋体" w:hAnsi="宋体" w:eastAsia="宋体" w:cs="宋体"/>
                <w:b w:val="0"/>
                <w:bCs w:val="0"/>
                <w:color w:val="auto"/>
                <w:sz w:val="21"/>
                <w:szCs w:val="21"/>
              </w:rPr>
              <w:t>配置清单</w:t>
            </w:r>
            <w:r>
              <w:rPr>
                <w:rFonts w:hint="eastAsia" w:ascii="宋体" w:hAnsi="宋体" w:eastAsia="宋体" w:cs="宋体"/>
                <w:b w:val="0"/>
                <w:bCs w:val="0"/>
                <w:color w:val="auto"/>
                <w:sz w:val="21"/>
                <w:szCs w:val="21"/>
                <w:lang w:val="en-US" w:eastAsia="zh-CN"/>
              </w:rPr>
              <w:t>如下</w:t>
            </w:r>
            <w:r>
              <w:rPr>
                <w:rFonts w:hint="eastAsia" w:ascii="宋体" w:hAnsi="宋体" w:eastAsia="宋体" w:cs="宋体"/>
                <w:b w:val="0"/>
                <w:bCs w:val="0"/>
                <w:color w:val="auto"/>
                <w:sz w:val="21"/>
                <w:szCs w:val="21"/>
              </w:rPr>
              <w:t>：</w:t>
            </w:r>
          </w:p>
          <w:tbl>
            <w:tblPr>
              <w:tblStyle w:val="13"/>
              <w:tblW w:w="7160" w:type="dxa"/>
              <w:tblInd w:w="0" w:type="dxa"/>
              <w:tblLayout w:type="fixed"/>
              <w:tblCellMar>
                <w:top w:w="0" w:type="dxa"/>
                <w:left w:w="0" w:type="dxa"/>
                <w:bottom w:w="0" w:type="dxa"/>
                <w:right w:w="0" w:type="dxa"/>
              </w:tblCellMar>
            </w:tblPr>
            <w:tblGrid>
              <w:gridCol w:w="1027"/>
              <w:gridCol w:w="4362"/>
              <w:gridCol w:w="885"/>
              <w:gridCol w:w="886"/>
            </w:tblGrid>
            <w:tr w14:paraId="5C0E8B48">
              <w:tblPrEx>
                <w:tblCellMar>
                  <w:top w:w="0" w:type="dxa"/>
                  <w:left w:w="0" w:type="dxa"/>
                  <w:bottom w:w="0" w:type="dxa"/>
                  <w:right w:w="0" w:type="dxa"/>
                </w:tblCellMar>
              </w:tblPrEx>
              <w:trPr>
                <w:trHeight w:val="32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1852C">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序号</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2DDC1">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名    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80C7">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单位</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4B17E">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数量</w:t>
                  </w:r>
                </w:p>
              </w:tc>
            </w:tr>
            <w:tr w14:paraId="6E4FE70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32747">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DEA25">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操作部手提箱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3C446">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B5F2">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p>
              </w:tc>
            </w:tr>
            <w:tr w14:paraId="45E2B791">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0EA4">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F649E">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显示器手提箱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4852">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D735F">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r>
            <w:tr w14:paraId="513B292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80AF">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DCE8">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操作部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0A453">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DBC1">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p>
              </w:tc>
            </w:tr>
            <w:tr w14:paraId="2BFE31C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E69C7">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97661">
                  <w:pPr>
                    <w:widowControl/>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电子内窥镜处理器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EB94">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92860">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r>
            <w:tr w14:paraId="5327F956">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5BE65">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296D8">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延长线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DE29">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33F6F">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p>
              </w:tc>
            </w:tr>
            <w:tr w14:paraId="24304712">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D1378">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BB038">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U盘</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59B1">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2BC91">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r>
            <w:tr w14:paraId="32ED750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D102">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F5AD5">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USB公对公连接线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B7DA">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93C2E">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r>
            <w:tr w14:paraId="36C0C6F9">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0AD34">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62AD3">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HDMI转接线（HDMI公对公）</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D49DE">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B60E1">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r>
            <w:tr w14:paraId="04ED05B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235B">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9</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B49E4">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 xml:space="preserve">活检阀 </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54272">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E306E">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w:t>
                  </w:r>
                </w:p>
              </w:tc>
            </w:tr>
            <w:tr w14:paraId="1ED2469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F31DD">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10</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D5F4">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吸引清洗接头（适用于＞1.2通道）</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AB94">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根</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993B">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w:t>
                  </w:r>
                </w:p>
              </w:tc>
            </w:tr>
            <w:tr w14:paraId="4C9245B4">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24582">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949D">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管道开口清洗刷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EA11A">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把</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D3345">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w:t>
                  </w:r>
                </w:p>
              </w:tc>
            </w:tr>
            <w:tr w14:paraId="78D668D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88EE3">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5EB63">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手柄密封防水盖</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6CC01">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59FB0">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6</w:t>
                  </w:r>
                </w:p>
              </w:tc>
            </w:tr>
            <w:tr w14:paraId="29508713">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4218F">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E2A66">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测漏器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08CC2">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9EAA2">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p>
              </w:tc>
            </w:tr>
            <w:tr w14:paraId="323A353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2D1C">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3B19D">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多次性吸引按钮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0DAA">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0C078">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10</w:t>
                  </w:r>
                </w:p>
              </w:tc>
            </w:tr>
            <w:tr w14:paraId="28F7DC6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053C">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80356">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清洁刷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9E3C3">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套</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246E">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10</w:t>
                  </w:r>
                </w:p>
              </w:tc>
            </w:tr>
            <w:tr w14:paraId="54EFF42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BF860">
                  <w:pPr>
                    <w:widowControl/>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bidi="ar"/>
                    </w:rPr>
                    <w:t>1</w:t>
                  </w:r>
                  <w:r>
                    <w:rPr>
                      <w:rFonts w:hint="eastAsia" w:ascii="宋体" w:hAnsi="宋体" w:eastAsia="宋体" w:cs="宋体"/>
                      <w:b w:val="0"/>
                      <w:bCs w:val="0"/>
                      <w:color w:val="000000"/>
                      <w:kern w:val="0"/>
                      <w:sz w:val="21"/>
                      <w:szCs w:val="21"/>
                      <w:lang w:val="en-US" w:eastAsia="zh-CN"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FA075">
                  <w:pPr>
                    <w:widowControl/>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无线视频发射器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B7910">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95B5">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2</w:t>
                  </w:r>
                </w:p>
              </w:tc>
            </w:tr>
            <w:tr w14:paraId="0BDE3311">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1D06">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7A0BE">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高清医用监视器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CB69A">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20AAA">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r>
            <w:tr w14:paraId="0A88BF32">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7FB27">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E087F">
                  <w:pPr>
                    <w:widowControl/>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医用台车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FEB9">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031E1">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r>
          </w:tbl>
          <w:p w14:paraId="78EEE850">
            <w:pPr>
              <w:numPr>
                <w:ilvl w:val="0"/>
                <w:numId w:val="0"/>
              </w:numPr>
              <w:rPr>
                <w:rFonts w:hint="eastAsia" w:ascii="宋体" w:hAnsi="宋体" w:eastAsia="宋体" w:cs="宋体"/>
                <w:b w:val="0"/>
                <w:bCs w:val="0"/>
                <w:color w:val="auto"/>
                <w:sz w:val="21"/>
                <w:szCs w:val="21"/>
              </w:rPr>
            </w:pPr>
          </w:p>
          <w:p w14:paraId="7F4320F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47.5</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25" w:name="OLE_LINK2"/>
            <w:r>
              <w:rPr>
                <w:rFonts w:hint="eastAsia" w:ascii="宋体" w:hAnsi="宋体" w:eastAsia="宋体" w:cs="宋体"/>
                <w:b/>
                <w:bCs/>
                <w:color w:val="auto"/>
                <w:sz w:val="21"/>
                <w:szCs w:val="21"/>
                <w:highlight w:val="none"/>
                <w:lang w:val="en-US" w:eastAsia="zh-CN"/>
              </w:rPr>
              <w:t>工业</w:t>
            </w:r>
            <w:bookmarkEnd w:id="25"/>
          </w:p>
        </w:tc>
      </w:tr>
      <w:tr w14:paraId="3A25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71777FB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855" w:type="dxa"/>
            <w:gridSpan w:val="2"/>
            <w:vAlign w:val="center"/>
          </w:tcPr>
          <w:p w14:paraId="5C4B14BB">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中央监护系统(1拖8)</w:t>
            </w:r>
          </w:p>
        </w:tc>
        <w:tc>
          <w:tcPr>
            <w:tcW w:w="7226" w:type="dxa"/>
          </w:tcPr>
          <w:p w14:paraId="1084B364">
            <w:pPr>
              <w:spacing w:line="48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一、设备参数如下：</w:t>
            </w:r>
          </w:p>
          <w:p w14:paraId="0A3D1861">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（一）、中央站参数</w:t>
            </w:r>
          </w:p>
          <w:p w14:paraId="7A4BE709">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1.中心监护系统支持有线、无线、遥测多元化的组网方式，中心监护网络中支持多达1000台床旁设备互连</w:t>
            </w:r>
          </w:p>
          <w:p w14:paraId="4FD4877A">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2.中心监护系统可支持来自监护仪端监测ECG， ST, QT/QTc， RESP， SPO2， PR，TEMP，NIBP，IBP，CO2，EEG，NMT等参数的显示和数据存储</w:t>
            </w:r>
          </w:p>
          <w:p w14:paraId="240C6A36">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3.支持设备集成床旁呼吸机设备的参数监测显示</w:t>
            </w:r>
          </w:p>
          <w:p w14:paraId="52A700B6">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4.中心监护系统支持Window 7或其他更优的中文操作系统</w:t>
            </w:r>
          </w:p>
          <w:p w14:paraId="221A52A8">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5.系统应采用硬件级或软件级的数据冗余备份机制（如RAID 1/5、双硬盘自动镜像等），确保单块硬盘故障时系统不中断、数据不丢失</w:t>
            </w:r>
          </w:p>
          <w:p w14:paraId="71821EE4">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6.中心监护系统支持19寸以上液晶屏幕显示，1280×1024高分辨率彩色液晶显示</w:t>
            </w:r>
          </w:p>
          <w:p w14:paraId="474BF169">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7.可同时集中监护多达64个病人， 单个屏幕可支持16个病人的同时集中监护</w:t>
            </w:r>
          </w:p>
          <w:p w14:paraId="55958E60">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8.可升级支持多达3个显示屏显示，满足科室不同病床数量的集中监护需要，多床观察时每床支持3个参数、4道波形的观察，支持大字体显示，多床支持床标识显示，可用来区分护理组、病人组等</w:t>
            </w:r>
          </w:p>
          <w:p w14:paraId="10383E46">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9.支持重点观察某床病人，双屏和多屏时可支持固定一个辅助屏显示重点单床观察</w:t>
            </w:r>
          </w:p>
          <w:p w14:paraId="27979FE9">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10.重点观察床支持多达8道波形显示</w:t>
            </w:r>
          </w:p>
          <w:p w14:paraId="3441C595">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11.重点观察床支持多导心电、呼吸氧合图、动态短趋势、NIBP列表等多种视图显示，适用不同科室的观察习惯</w:t>
            </w:r>
          </w:p>
          <w:p w14:paraId="28DCB900">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12.提供声、光、文字多重报警提醒功能，提供高、中、低三级报警。具有报警自动记录或打印功能。保存报警时刻前后30秒的波形</w:t>
            </w:r>
          </w:p>
          <w:p w14:paraId="3960D39E">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13.支持系统报警声音关闭功能，提供全床位最近24h的报警事件浏览功能</w:t>
            </w:r>
          </w:p>
          <w:p w14:paraId="30B0084A">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14.支持至少240小时长趋势回顾和4小时短趋势回顾，至少240小时全息波形回顾，至少700条报警事件回顾，至少720条12导分析报告回顾，至少240小时的ST片段回顾，至少720条C.O. 测量结果回顾，至少100条呼吸氧合事件回顾</w:t>
            </w:r>
          </w:p>
          <w:p w14:paraId="241338C7">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15.支持至少1万个历史病人数据存储与回顾</w:t>
            </w:r>
          </w:p>
          <w:p w14:paraId="1BB52E8F">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16.支持至少70条药物计算结果回顾，至少100条血液动力学计算结果回顾，至少100条氧合计算结果回顾，至少100条通气计算结果回顾，至少100条肾功能计算结果回顾</w:t>
            </w:r>
          </w:p>
          <w:p w14:paraId="41A705BC">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▲17.支持过去24小时病人心律失常事件统计功能，包括最大心率，最小心率，平均心率和各个心律失常种类数量的统计和报告输出。</w:t>
            </w:r>
          </w:p>
          <w:p w14:paraId="585774B7">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18.支持热敏记录仪及激光打印机输出病人报告</w:t>
            </w:r>
          </w:p>
          <w:p w14:paraId="40616C8B">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19.支持报警报告、波形报告、趋势报告等</w:t>
            </w:r>
          </w:p>
          <w:p w14:paraId="62C61CF8">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20.可远程控制对床旁监护仪进行病人信息设置，解除病人，进行standby</w:t>
            </w:r>
          </w:p>
          <w:p w14:paraId="16E3F835">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21.支持远程控制床旁监护仪报警暂停、报警复位，设置报警开关、报警级别、报警上下限等。</w:t>
            </w:r>
          </w:p>
          <w:p w14:paraId="08025B3E">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22.系统支持无线连接遥测、病人监护仪。</w:t>
            </w:r>
          </w:p>
          <w:p w14:paraId="7744F4CA">
            <w:p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（二）、监护仪参数</w:t>
            </w:r>
          </w:p>
          <w:p w14:paraId="0CA6CF13">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 模块化插件式床边监护仪，主机、显示屏和插件槽一体化设计，主机插槽数≥4个.</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2. ▲≥12寸彩色电容触摸屏，支持多点触摸操作，8通道显示，显示屏亮度自动调节</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3. 设备散热设计应满足静音运行要求，在标准监护模式下，设备运行噪音≤30分贝</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4. 支持配置内置锂电池，供电时间≥4小时</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5. ▲基本功能模块支持心电，呼吸，心率，无创血压，血氧饱和度，脉搏，双通道体温</w:t>
            </w:r>
          </w:p>
          <w:p w14:paraId="4B5E7432">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 支持3/5导心电监测,可升级12导心电测量，并在监护仪上完成12导静息分析，具有QT/QTc测量功能，提供QT，QTc和ΔQTc参数值。</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7. 无创血压提供手动、自动间隔、连续、序列四种测量模式。</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8. 血氧监测提供灌注指数（PI）的监测。</w:t>
            </w:r>
            <w:r>
              <w:rPr>
                <w:rFonts w:hint="eastAsia" w:ascii="宋体" w:hAnsi="宋体" w:eastAsia="宋体" w:cs="宋体"/>
                <w:b w:val="0"/>
                <w:bCs w:val="0"/>
                <w:kern w:val="2"/>
                <w:sz w:val="21"/>
                <w:szCs w:val="21"/>
                <w:lang w:val="en-US" w:eastAsia="zh-CN" w:bidi="ar-SA"/>
              </w:rPr>
              <w:br w:type="textWrapping"/>
            </w:r>
            <w:r>
              <w:rPr>
                <w:rFonts w:hint="eastAsia" w:ascii="宋体" w:hAnsi="宋体" w:eastAsia="宋体" w:cs="宋体"/>
                <w:b w:val="0"/>
                <w:bCs w:val="0"/>
                <w:kern w:val="2"/>
                <w:sz w:val="21"/>
                <w:szCs w:val="21"/>
                <w:lang w:val="en-US" w:eastAsia="zh-CN" w:bidi="ar-SA"/>
              </w:rPr>
              <w:t>9. 配备有创压IBP监测，支持升级多达8通道有创压监测，提供肺动脉锲压（PAWP）的监测和PPV参数监测，支持多达4道IBP波形叠加显示。</w:t>
            </w:r>
          </w:p>
          <w:p w14:paraId="6F89AA2B">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 可升级BISx4监测模块或者单机，提供不少于4通道EEG，双频指数（BIS），肌电活动（EMG）,抑制比（SR），频谱边缘频率（SEF）等参数的监测，提供功率谱密度（DSA）显示界面，可以直观地显示一段时间内的双侧功率谱分布变化的情况。</w:t>
            </w:r>
          </w:p>
          <w:p w14:paraId="6CED8CBF">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 可升级微创连续心排量（CCO）监测功能，通过股动脉和中心静脉穿刺实现。</w:t>
            </w:r>
          </w:p>
          <w:p w14:paraId="0C255394">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12.大字体界面支持6个参数的设置和显示，具有图形化报警指示功能，看报警信息更容易，所有参数报警限自动设置，能够设置护理组，一个护理组能够设置6-12个病人。这些病人之间能够互相进行它床观察。</w:t>
            </w:r>
          </w:p>
          <w:p w14:paraId="342779DE">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13.具备血液动力学，药物计算，氧合计算，通气计算和肾功能计算功能。</w:t>
            </w:r>
          </w:p>
          <w:p w14:paraId="3B161302">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14. 1000条事件回顾。每条报警事件至少能够存储32秒三道相关波形，以及报警触发时所有测量参数值。事件回顾时能够提供报警事件列表。能够根据时间、报警优先级、报警类型和参数组对事件进行筛选。具备大于等于24小时全息波形的存储与回顾功能，120小时ST模板回顾。</w:t>
            </w:r>
          </w:p>
          <w:p w14:paraId="722D338E">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15.提供24小时心律失常统计，具有24小时心电综合分析概览，能够提供HR、ST、QT/QTc、心律失常、起搏的统计结果，并能够查看细节。</w:t>
            </w:r>
          </w:p>
          <w:p w14:paraId="27DF077F">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16.工作模式提供：监护模式、待机模式、体外循环模式模式、夜间模式、隐私模式、演示模式。</w:t>
            </w:r>
          </w:p>
          <w:p w14:paraId="5BEDF0A5">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17.可选专业的血流动力学辅助应用。</w:t>
            </w:r>
          </w:p>
          <w:p w14:paraId="0BD6643A">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18.具有早期预警评分功能。</w:t>
            </w:r>
          </w:p>
          <w:p w14:paraId="4966DF09">
            <w:pPr>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19.具备趋势共存界面、大字体显示界面，及标准显示界面等多种显示界面。</w:t>
            </w:r>
          </w:p>
          <w:p w14:paraId="404C64B7">
            <w:pPr>
              <w:numPr>
                <w:ilvl w:val="0"/>
                <w:numId w:val="0"/>
              </w:num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二、设备</w:t>
            </w:r>
            <w:r>
              <w:rPr>
                <w:rFonts w:hint="eastAsia" w:ascii="宋体" w:hAnsi="宋体" w:eastAsia="宋体" w:cs="宋体"/>
                <w:b w:val="0"/>
                <w:bCs w:val="0"/>
                <w:color w:val="auto"/>
                <w:sz w:val="21"/>
                <w:szCs w:val="21"/>
              </w:rPr>
              <w:t>配置清单</w:t>
            </w:r>
            <w:r>
              <w:rPr>
                <w:rFonts w:hint="eastAsia" w:ascii="宋体" w:hAnsi="宋体" w:eastAsia="宋体" w:cs="宋体"/>
                <w:b w:val="0"/>
                <w:bCs w:val="0"/>
                <w:color w:val="auto"/>
                <w:sz w:val="21"/>
                <w:szCs w:val="21"/>
                <w:lang w:val="en-US" w:eastAsia="zh-CN"/>
              </w:rPr>
              <w:t>如下</w:t>
            </w:r>
            <w:r>
              <w:rPr>
                <w:rFonts w:hint="eastAsia" w:ascii="宋体" w:hAnsi="宋体" w:eastAsia="宋体" w:cs="宋体"/>
                <w:b w:val="0"/>
                <w:bCs w:val="0"/>
                <w:color w:val="auto"/>
                <w:sz w:val="21"/>
                <w:szCs w:val="21"/>
              </w:rPr>
              <w:t>：</w:t>
            </w:r>
          </w:p>
          <w:tbl>
            <w:tblPr>
              <w:tblStyle w:val="13"/>
              <w:tblW w:w="6805" w:type="dxa"/>
              <w:tblInd w:w="0" w:type="dxa"/>
              <w:tblLayout w:type="fixed"/>
              <w:tblCellMar>
                <w:top w:w="0" w:type="dxa"/>
                <w:left w:w="0" w:type="dxa"/>
                <w:bottom w:w="0" w:type="dxa"/>
                <w:right w:w="0" w:type="dxa"/>
              </w:tblCellMar>
            </w:tblPr>
            <w:tblGrid>
              <w:gridCol w:w="709"/>
              <w:gridCol w:w="1200"/>
              <w:gridCol w:w="1159"/>
              <w:gridCol w:w="3737"/>
            </w:tblGrid>
            <w:tr w14:paraId="35829066">
              <w:trPr>
                <w:trHeight w:val="32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DBC36">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1934">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名    称</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B71FA">
                  <w:pPr>
                    <w:widowControl/>
                    <w:jc w:val="center"/>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kern w:val="0"/>
                      <w:sz w:val="21"/>
                      <w:szCs w:val="21"/>
                      <w:lang w:val="en-US" w:eastAsia="zh-CN" w:bidi="ar"/>
                    </w:rPr>
                    <w:t>数量</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F030F">
                  <w:pPr>
                    <w:widowControl/>
                    <w:jc w:val="center"/>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kern w:val="0"/>
                      <w:sz w:val="21"/>
                      <w:szCs w:val="21"/>
                      <w:lang w:val="en-US" w:eastAsia="zh-CN" w:bidi="ar"/>
                    </w:rPr>
                    <w:t>备注</w:t>
                  </w:r>
                </w:p>
              </w:tc>
            </w:tr>
            <w:tr w14:paraId="1A0542D3">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18F8">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6BC82">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val="en-US" w:eastAsia="zh-CN" w:bidi="ar"/>
                    </w:rPr>
                    <w:t>中央操作系统主机</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9DD7E">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val="en-US" w:eastAsia="zh-CN" w:bidi="ar"/>
                    </w:rPr>
                    <w:t>1台</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6A04">
                  <w:pPr>
                    <w:widowControl/>
                    <w:jc w:val="center"/>
                    <w:textAlignment w:val="center"/>
                    <w:rPr>
                      <w:rFonts w:hint="eastAsia" w:ascii="宋体" w:hAnsi="宋体" w:eastAsia="宋体" w:cs="宋体"/>
                      <w:b w:val="0"/>
                      <w:bCs w:val="0"/>
                      <w:color w:val="000000"/>
                      <w:sz w:val="21"/>
                      <w:szCs w:val="21"/>
                      <w:lang w:val="en-US" w:eastAsia="zh-CN"/>
                    </w:rPr>
                  </w:pPr>
                </w:p>
              </w:tc>
            </w:tr>
            <w:tr w14:paraId="45D666DE">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3FB1">
                  <w:pPr>
                    <w:widowControl/>
                    <w:jc w:val="center"/>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8D34">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监护仪</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47B0D">
                  <w:pPr>
                    <w:widowControl/>
                    <w:jc w:val="center"/>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kern w:val="0"/>
                      <w:sz w:val="21"/>
                      <w:szCs w:val="21"/>
                      <w:lang w:val="en-US" w:eastAsia="zh-CN" w:bidi="ar"/>
                    </w:rPr>
                    <w:t>5台</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26BD">
                  <w:pPr>
                    <w:widowControl/>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单台监护仪配置：</w:t>
                  </w:r>
                </w:p>
                <w:p w14:paraId="1C54C57C">
                  <w:pPr>
                    <w:numPr>
                      <w:ilvl w:val="0"/>
                      <w:numId w:val="0"/>
                    </w:numPr>
                    <w:tabs>
                      <w:tab w:val="left" w:pos="5870"/>
                    </w:tabs>
                    <w:spacing w:line="500" w:lineRule="exact"/>
                    <w:jc w:val="left"/>
                    <w:rPr>
                      <w:rStyle w:val="41"/>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SA"/>
                    </w:rPr>
                    <w:t>1.</w:t>
                  </w:r>
                  <w:r>
                    <w:rPr>
                      <w:rStyle w:val="41"/>
                      <w:rFonts w:hint="eastAsia" w:ascii="宋体" w:hAnsi="宋体" w:eastAsia="宋体" w:cs="宋体"/>
                      <w:b w:val="0"/>
                      <w:bCs w:val="0"/>
                      <w:kern w:val="0"/>
                      <w:sz w:val="21"/>
                      <w:szCs w:val="21"/>
                      <w:lang w:val="en-US" w:eastAsia="zh-CN"/>
                    </w:rPr>
                    <w:t xml:space="preserve"> </w:t>
                  </w:r>
                  <w:r>
                    <w:rPr>
                      <w:rStyle w:val="41"/>
                      <w:rFonts w:hint="eastAsia" w:ascii="宋体" w:hAnsi="宋体" w:eastAsia="宋体" w:cs="宋体"/>
                      <w:b w:val="0"/>
                      <w:bCs w:val="0"/>
                      <w:kern w:val="0"/>
                      <w:sz w:val="21"/>
                      <w:szCs w:val="21"/>
                    </w:rPr>
                    <w:t>3导/5导除颤型 分体式主电缆组件</w:t>
                  </w:r>
                  <w:r>
                    <w:rPr>
                      <w:rStyle w:val="41"/>
                      <w:rFonts w:hint="eastAsia" w:ascii="宋体" w:hAnsi="宋体" w:eastAsia="宋体" w:cs="宋体"/>
                      <w:b w:val="0"/>
                      <w:bCs w:val="0"/>
                      <w:kern w:val="0"/>
                      <w:sz w:val="21"/>
                      <w:szCs w:val="21"/>
                      <w:lang w:val="en-US" w:eastAsia="zh-CN"/>
                    </w:rPr>
                    <w:t xml:space="preserve">  1根；</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1根</w:t>
                  </w:r>
                </w:p>
                <w:p w14:paraId="22766644">
                  <w:pPr>
                    <w:numPr>
                      <w:ilvl w:val="0"/>
                      <w:numId w:val="0"/>
                    </w:numPr>
                    <w:tabs>
                      <w:tab w:val="left" w:pos="5870"/>
                    </w:tabs>
                    <w:spacing w:line="500" w:lineRule="exact"/>
                    <w:ind w:left="0" w:leftChars="0" w:firstLine="0" w:firstLineChars="0"/>
                    <w:jc w:val="left"/>
                    <w:rPr>
                      <w:rStyle w:val="41"/>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SA"/>
                    </w:rPr>
                    <w:t>2.</w:t>
                  </w:r>
                  <w:r>
                    <w:rPr>
                      <w:rStyle w:val="41"/>
                      <w:rFonts w:hint="eastAsia" w:ascii="宋体" w:hAnsi="宋体" w:eastAsia="宋体" w:cs="宋体"/>
                      <w:b w:val="0"/>
                      <w:bCs w:val="0"/>
                      <w:kern w:val="0"/>
                      <w:sz w:val="21"/>
                      <w:szCs w:val="21"/>
                      <w:lang w:val="en-US" w:eastAsia="zh-CN"/>
                    </w:rPr>
                    <w:t xml:space="preserve"> </w:t>
                  </w:r>
                  <w:r>
                    <w:rPr>
                      <w:rStyle w:val="41"/>
                      <w:rFonts w:hint="eastAsia" w:ascii="宋体" w:hAnsi="宋体" w:eastAsia="宋体" w:cs="宋体"/>
                      <w:b w:val="0"/>
                      <w:bCs w:val="0"/>
                      <w:kern w:val="0"/>
                      <w:sz w:val="21"/>
                      <w:szCs w:val="21"/>
                    </w:rPr>
                    <w:t>5导分体式导联线组件AHA按扣式</w:t>
                  </w:r>
                  <w:r>
                    <w:rPr>
                      <w:rStyle w:val="41"/>
                      <w:rFonts w:hint="eastAsia" w:ascii="宋体" w:hAnsi="宋体" w:eastAsia="宋体" w:cs="宋体"/>
                      <w:b w:val="0"/>
                      <w:bCs w:val="0"/>
                      <w:kern w:val="0"/>
                      <w:sz w:val="21"/>
                      <w:szCs w:val="21"/>
                      <w:lang w:val="en-US" w:eastAsia="zh-CN"/>
                    </w:rPr>
                    <w:t xml:space="preserve">    1根；</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1根</w:t>
                  </w:r>
                </w:p>
                <w:p w14:paraId="3DAB160F">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3.</w:t>
                  </w:r>
                  <w:r>
                    <w:rPr>
                      <w:rStyle w:val="41"/>
                      <w:rFonts w:hint="eastAsia" w:ascii="宋体" w:hAnsi="宋体" w:eastAsia="宋体" w:cs="宋体"/>
                      <w:b w:val="0"/>
                      <w:bCs w:val="0"/>
                      <w:kern w:val="0"/>
                      <w:sz w:val="21"/>
                      <w:szCs w:val="21"/>
                    </w:rPr>
                    <w:t>心电电极5片装</w:t>
                  </w:r>
                  <w:r>
                    <w:rPr>
                      <w:rStyle w:val="41"/>
                      <w:rFonts w:hint="eastAsia" w:ascii="宋体" w:hAnsi="宋体" w:eastAsia="宋体" w:cs="宋体"/>
                      <w:b w:val="0"/>
                      <w:bCs w:val="0"/>
                      <w:kern w:val="0"/>
                      <w:sz w:val="21"/>
                      <w:szCs w:val="21"/>
                      <w:lang w:val="en-US" w:eastAsia="zh-CN"/>
                    </w:rPr>
                    <w:t xml:space="preserve">   1套；</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1套</w:t>
                  </w:r>
                </w:p>
                <w:p w14:paraId="1FD31FC0">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 xml:space="preserve">4. </w:t>
                  </w:r>
                  <w:r>
                    <w:rPr>
                      <w:rStyle w:val="41"/>
                      <w:rFonts w:hint="eastAsia" w:ascii="宋体" w:hAnsi="宋体" w:eastAsia="宋体" w:cs="宋体"/>
                      <w:b w:val="0"/>
                      <w:bCs w:val="0"/>
                      <w:kern w:val="0"/>
                      <w:sz w:val="21"/>
                      <w:szCs w:val="21"/>
                    </w:rPr>
                    <w:t>7针血氧主电缆</w:t>
                  </w:r>
                  <w:r>
                    <w:rPr>
                      <w:rStyle w:val="41"/>
                      <w:rFonts w:hint="eastAsia" w:ascii="宋体" w:hAnsi="宋体" w:eastAsia="宋体" w:cs="宋体"/>
                      <w:b w:val="0"/>
                      <w:bCs w:val="0"/>
                      <w:kern w:val="0"/>
                      <w:sz w:val="21"/>
                      <w:szCs w:val="21"/>
                      <w:lang w:val="en-US" w:eastAsia="zh-CN"/>
                    </w:rPr>
                    <w:t xml:space="preserve">     1根；</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1根</w:t>
                  </w:r>
                </w:p>
                <w:p w14:paraId="736BF092">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 xml:space="preserve">5. </w:t>
                  </w:r>
                  <w:r>
                    <w:rPr>
                      <w:rStyle w:val="41"/>
                      <w:rFonts w:hint="eastAsia" w:ascii="宋体" w:hAnsi="宋体" w:eastAsia="宋体" w:cs="宋体"/>
                      <w:b w:val="0"/>
                      <w:bCs w:val="0"/>
                      <w:kern w:val="0"/>
                      <w:sz w:val="21"/>
                      <w:szCs w:val="21"/>
                    </w:rPr>
                    <w:t>成人指夹式血氧探头</w:t>
                  </w:r>
                  <w:r>
                    <w:rPr>
                      <w:rStyle w:val="41"/>
                      <w:rFonts w:hint="eastAsia" w:ascii="宋体" w:hAnsi="宋体" w:eastAsia="宋体" w:cs="宋体"/>
                      <w:b w:val="0"/>
                      <w:bCs w:val="0"/>
                      <w:kern w:val="0"/>
                      <w:sz w:val="21"/>
                      <w:szCs w:val="21"/>
                      <w:lang w:val="en-US" w:eastAsia="zh-CN"/>
                    </w:rPr>
                    <w:t xml:space="preserve">  1根；</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1套</w:t>
                  </w:r>
                </w:p>
                <w:p w14:paraId="040B05BD">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6.</w:t>
                  </w:r>
                  <w:r>
                    <w:rPr>
                      <w:rStyle w:val="41"/>
                      <w:rFonts w:hint="eastAsia" w:ascii="宋体" w:hAnsi="宋体" w:eastAsia="宋体" w:cs="宋体"/>
                      <w:b w:val="0"/>
                      <w:bCs w:val="0"/>
                      <w:kern w:val="0"/>
                      <w:sz w:val="21"/>
                      <w:szCs w:val="21"/>
                    </w:rPr>
                    <w:t>无创血压导气管（直插式插头）</w:t>
                  </w:r>
                  <w:r>
                    <w:rPr>
                      <w:rStyle w:val="41"/>
                      <w:rFonts w:hint="eastAsia" w:ascii="宋体" w:hAnsi="宋体" w:eastAsia="宋体" w:cs="宋体"/>
                      <w:b w:val="0"/>
                      <w:bCs w:val="0"/>
                      <w:kern w:val="0"/>
                      <w:sz w:val="21"/>
                      <w:szCs w:val="21"/>
                      <w:lang w:val="en-US" w:eastAsia="zh-CN"/>
                    </w:rPr>
                    <w:t xml:space="preserve"> 1根；</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1根</w:t>
                  </w:r>
                </w:p>
                <w:p w14:paraId="4FBF214C">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7.</w:t>
                  </w:r>
                  <w:r>
                    <w:rPr>
                      <w:rStyle w:val="41"/>
                      <w:rFonts w:hint="eastAsia" w:ascii="宋体" w:hAnsi="宋体" w:eastAsia="宋体" w:cs="宋体"/>
                      <w:b w:val="0"/>
                      <w:bCs w:val="0"/>
                      <w:kern w:val="0"/>
                      <w:sz w:val="21"/>
                      <w:szCs w:val="21"/>
                    </w:rPr>
                    <w:t>成人血压袖套</w:t>
                  </w:r>
                  <w:r>
                    <w:rPr>
                      <w:rStyle w:val="41"/>
                      <w:rFonts w:hint="eastAsia" w:ascii="宋体" w:hAnsi="宋体" w:eastAsia="宋体" w:cs="宋体"/>
                      <w:b w:val="0"/>
                      <w:bCs w:val="0"/>
                      <w:kern w:val="0"/>
                      <w:sz w:val="21"/>
                      <w:szCs w:val="21"/>
                      <w:lang w:val="en-US" w:eastAsia="zh-CN"/>
                    </w:rPr>
                    <w:t xml:space="preserve">   1套；</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1套</w:t>
                  </w:r>
                </w:p>
                <w:p w14:paraId="4604C246">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8.</w:t>
                  </w:r>
                  <w:r>
                    <w:rPr>
                      <w:rStyle w:val="41"/>
                      <w:rFonts w:hint="eastAsia" w:ascii="宋体" w:hAnsi="宋体" w:eastAsia="宋体" w:cs="宋体"/>
                      <w:b w:val="0"/>
                      <w:bCs w:val="0"/>
                      <w:kern w:val="0"/>
                      <w:sz w:val="21"/>
                      <w:szCs w:val="21"/>
                    </w:rPr>
                    <w:t>有创血压线缆</w:t>
                  </w:r>
                  <w:r>
                    <w:rPr>
                      <w:rStyle w:val="41"/>
                      <w:rFonts w:hint="eastAsia" w:ascii="宋体" w:hAnsi="宋体" w:eastAsia="宋体" w:cs="宋体"/>
                      <w:b w:val="0"/>
                      <w:bCs w:val="0"/>
                      <w:kern w:val="0"/>
                      <w:sz w:val="21"/>
                      <w:szCs w:val="21"/>
                      <w:lang w:val="en-US" w:eastAsia="zh-CN"/>
                    </w:rPr>
                    <w:t xml:space="preserve">   1套；</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1套</w:t>
                  </w:r>
                </w:p>
                <w:p w14:paraId="2014667D">
                  <w:pPr>
                    <w:tabs>
                      <w:tab w:val="left" w:pos="5870"/>
                    </w:tabs>
                    <w:spacing w:line="500" w:lineRule="exact"/>
                    <w:jc w:val="left"/>
                    <w:rPr>
                      <w:rStyle w:val="41"/>
                      <w:rFonts w:hint="eastAsia" w:ascii="宋体" w:hAnsi="宋体" w:eastAsia="宋体" w:cs="宋体"/>
                      <w:b w:val="0"/>
                      <w:bCs w:val="0"/>
                      <w:kern w:val="0"/>
                      <w:sz w:val="21"/>
                      <w:szCs w:val="21"/>
                    </w:rPr>
                  </w:pPr>
                  <w:r>
                    <w:rPr>
                      <w:rStyle w:val="41"/>
                      <w:rFonts w:hint="eastAsia" w:ascii="宋体" w:hAnsi="宋体" w:eastAsia="宋体" w:cs="宋体"/>
                      <w:b w:val="0"/>
                      <w:bCs w:val="0"/>
                      <w:kern w:val="0"/>
                      <w:sz w:val="21"/>
                      <w:szCs w:val="21"/>
                      <w:lang w:val="en-US" w:eastAsia="zh-CN"/>
                    </w:rPr>
                    <w:t>9.</w:t>
                  </w:r>
                  <w:r>
                    <w:rPr>
                      <w:rStyle w:val="41"/>
                      <w:rFonts w:hint="eastAsia" w:ascii="宋体" w:hAnsi="宋体" w:eastAsia="宋体" w:cs="宋体"/>
                      <w:b w:val="0"/>
                      <w:bCs w:val="0"/>
                      <w:kern w:val="0"/>
                      <w:sz w:val="21"/>
                      <w:szCs w:val="21"/>
                    </w:rPr>
                    <w:t>锂电池</w:t>
                  </w:r>
                  <w:r>
                    <w:rPr>
                      <w:rStyle w:val="41"/>
                      <w:rFonts w:hint="eastAsia" w:ascii="宋体" w:hAnsi="宋体" w:eastAsia="宋体" w:cs="宋体"/>
                      <w:b w:val="0"/>
                      <w:bCs w:val="0"/>
                      <w:kern w:val="0"/>
                      <w:sz w:val="21"/>
                      <w:szCs w:val="21"/>
                      <w:lang w:val="en-US" w:eastAsia="zh-CN"/>
                    </w:rPr>
                    <w:t xml:space="preserve">    1块。</w:t>
                  </w:r>
                  <w:r>
                    <w:rPr>
                      <w:rStyle w:val="41"/>
                      <w:rFonts w:hint="eastAsia" w:ascii="宋体" w:hAnsi="宋体" w:eastAsia="宋体" w:cs="宋体"/>
                      <w:b w:val="0"/>
                      <w:bCs w:val="0"/>
                      <w:kern w:val="0"/>
                      <w:sz w:val="21"/>
                      <w:szCs w:val="21"/>
                    </w:rPr>
                    <w:tab/>
                  </w:r>
                  <w:r>
                    <w:rPr>
                      <w:rStyle w:val="41"/>
                      <w:rFonts w:hint="eastAsia" w:ascii="宋体" w:hAnsi="宋体" w:eastAsia="宋体" w:cs="宋体"/>
                      <w:b w:val="0"/>
                      <w:bCs w:val="0"/>
                      <w:kern w:val="0"/>
                      <w:sz w:val="21"/>
                      <w:szCs w:val="21"/>
                    </w:rPr>
                    <w:t>1块</w:t>
                  </w:r>
                </w:p>
                <w:p w14:paraId="6F3C351F">
                  <w:pPr>
                    <w:widowControl/>
                    <w:jc w:val="center"/>
                    <w:textAlignment w:val="center"/>
                    <w:rPr>
                      <w:rFonts w:hint="eastAsia" w:ascii="宋体" w:hAnsi="宋体" w:eastAsia="宋体" w:cs="宋体"/>
                      <w:b w:val="0"/>
                      <w:bCs w:val="0"/>
                      <w:color w:val="000000"/>
                      <w:sz w:val="21"/>
                      <w:szCs w:val="21"/>
                      <w:lang w:val="en-US" w:eastAsia="zh-CN"/>
                    </w:rPr>
                  </w:pPr>
                </w:p>
              </w:tc>
            </w:tr>
          </w:tbl>
          <w:p w14:paraId="7073F5A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B66B5D2">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4A0599D9">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01C4617B">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579" w:type="dxa"/>
            <w:tcBorders>
              <w:left w:val="single" w:color="000000" w:sz="4" w:space="0"/>
            </w:tcBorders>
            <w:vAlign w:val="center"/>
          </w:tcPr>
          <w:p w14:paraId="5E58FB4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5F7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02552B58">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55" w:type="dxa"/>
            <w:gridSpan w:val="2"/>
            <w:vAlign w:val="center"/>
          </w:tcPr>
          <w:p w14:paraId="3D889E0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婴儿辐射保暖台</w:t>
            </w:r>
          </w:p>
        </w:tc>
        <w:tc>
          <w:tcPr>
            <w:tcW w:w="7226" w:type="dxa"/>
          </w:tcPr>
          <w:p w14:paraId="00B7549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一、设备参数如下：</w:t>
            </w:r>
          </w:p>
          <w:p w14:paraId="07816CE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功能和技术参数要求：</w:t>
            </w:r>
          </w:p>
          <w:p w14:paraId="53066E4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1.加热器材质：陶瓷材质或更优质材质。</w:t>
            </w:r>
          </w:p>
          <w:p w14:paraId="613FCC15">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2.温度控制模式：预热、手动、肤温三种模式。</w:t>
            </w:r>
          </w:p>
          <w:p w14:paraId="4EDD78F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3.肤温控制范围：32.0℃～38.0℃。</w:t>
            </w:r>
          </w:p>
          <w:p w14:paraId="753B267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4.肤温控制精度：≤±0.5℃ 。</w:t>
            </w:r>
          </w:p>
          <w:p w14:paraId="2283DC2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5.肤温测量范围不窄于：25.0℃～45.0℃ 。</w:t>
            </w:r>
          </w:p>
          <w:p w14:paraId="03AE711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6.肤温测量精度：±0.3℃。</w:t>
            </w:r>
          </w:p>
          <w:p w14:paraId="1C1F89B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7.辐射灯头支持水平/垂直方向旋转，方便临床护理。</w:t>
            </w:r>
          </w:p>
          <w:p w14:paraId="6F9DA68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8.内置空氧混合装置，氧浓度调节范围：21%～100%，精度：±3%。</w:t>
            </w:r>
          </w:p>
          <w:p w14:paraId="1252AC01">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9.内置T型婴儿复苏装置，具备PIP过压保护功能。</w:t>
            </w:r>
          </w:p>
          <w:p w14:paraId="6B203D8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10.流量调节范围：0～15L/min。</w:t>
            </w:r>
          </w:p>
          <w:p w14:paraId="1E90012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11.内置生命体征监护功能，提供血氧、脉率、心电等生命体征实时监测，及时发现病情变化。</w:t>
            </w:r>
          </w:p>
          <w:p w14:paraId="2D412E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12.▲主机内置黄疸治疗装置（非外挂式），高效快速退黄。</w:t>
            </w:r>
          </w:p>
          <w:p w14:paraId="0EDF255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13.床面上有效表面内的总辐照度最大值：≥1500μW/cm2。</w:t>
            </w:r>
          </w:p>
          <w:p w14:paraId="6C058C82">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14.内置称重系统，便捷测量患儿体重，可监测体重趋势变化。</w:t>
            </w:r>
          </w:p>
          <w:p w14:paraId="12732287">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15.称重范围上限≥8000g，精度±10g。</w:t>
            </w:r>
          </w:p>
          <w:p w14:paraId="7D8F193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16.▲≥10.4英寸彩色触摸屏，方便医护人员观察和操作。</w:t>
            </w:r>
          </w:p>
          <w:p w14:paraId="4DE2797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17.▲360°报警灯显示，方便临床及时发现报警信息并处理。</w:t>
            </w:r>
          </w:p>
          <w:p w14:paraId="7D0D028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18.挥手报警静音，非接触式的报警静音功能，保持清洁、安静的护理环境。</w:t>
            </w:r>
          </w:p>
          <w:p w14:paraId="434074C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19.报警功能：具有三级声光报警，报警音量可调。</w:t>
            </w:r>
          </w:p>
          <w:p w14:paraId="42755BE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20.具有APGAR评分计时功能。</w:t>
            </w:r>
          </w:p>
          <w:p w14:paraId="22055A4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21.主机内置穿刺照明灯，亮度可调，便于检查或夜间观察。</w:t>
            </w:r>
          </w:p>
          <w:p w14:paraId="25B1E8D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22.▲支持婴儿床倾斜角度电动调节功能，方便临床护理操作。</w:t>
            </w:r>
          </w:p>
          <w:p w14:paraId="2950D51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23.配备开门阻尼功能，防护门打开后无需手扶，静音落下。</w:t>
            </w:r>
          </w:p>
          <w:p w14:paraId="53F630C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24.数据存储：≥24小时趋势数据存储及查看功能，方便临床跟踪/回顾。</w:t>
            </w:r>
          </w:p>
          <w:p w14:paraId="325F53F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25.双燕尾槽立柱设计，便于安装更多临床医疗器械。</w:t>
            </w:r>
          </w:p>
          <w:p w14:paraId="49955D1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26.配备双向抽拉式储物抽屉，方便存储。</w:t>
            </w:r>
          </w:p>
          <w:p w14:paraId="22143D59">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27.具有NMPA(CFDA)认证。</w:t>
            </w:r>
          </w:p>
          <w:p w14:paraId="16142D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28.质保期：整机免费质保期不少于1年，自设备最终验收合格之日起计算。</w:t>
            </w:r>
          </w:p>
          <w:p w14:paraId="16FCF009">
            <w:pPr>
              <w:pStyle w:val="5"/>
              <w:spacing w:before="64" w:line="218" w:lineRule="auto"/>
              <w:outlineLvl w:val="0"/>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二、设备配置清单如下：</w:t>
            </w:r>
          </w:p>
          <w:tbl>
            <w:tblPr>
              <w:tblStyle w:val="28"/>
              <w:tblpPr w:leftFromText="180" w:rightFromText="180" w:vertAnchor="text" w:horzAnchor="page" w:tblpX="447" w:tblpY="358"/>
              <w:tblOverlap w:val="never"/>
              <w:tblW w:w="63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067"/>
              <w:gridCol w:w="982"/>
              <w:gridCol w:w="2454"/>
            </w:tblGrid>
            <w:tr w14:paraId="498A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40" w:type="dxa"/>
                  <w:vAlign w:val="top"/>
                </w:tcPr>
                <w:p w14:paraId="51142E93">
                  <w:pPr>
                    <w:pStyle w:val="29"/>
                    <w:spacing w:before="316" w:line="221" w:lineRule="auto"/>
                    <w:ind w:left="71"/>
                    <w:rPr>
                      <w:rFonts w:hint="eastAsia" w:ascii="宋体" w:hAnsi="宋体" w:eastAsia="宋体" w:cs="宋体"/>
                      <w:b w:val="0"/>
                      <w:bCs w:val="0"/>
                      <w:sz w:val="21"/>
                      <w:szCs w:val="21"/>
                    </w:rPr>
                  </w:pPr>
                  <w:r>
                    <w:rPr>
                      <w:rFonts w:hint="eastAsia" w:ascii="宋体" w:hAnsi="宋体" w:eastAsia="宋体" w:cs="宋体"/>
                      <w:b w:val="0"/>
                      <w:bCs w:val="0"/>
                      <w:color w:val="0F1115"/>
                      <w:spacing w:val="-7"/>
                      <w:sz w:val="21"/>
                      <w:szCs w:val="21"/>
                    </w:rPr>
                    <w:t>序号</w:t>
                  </w:r>
                </w:p>
              </w:tc>
              <w:tc>
                <w:tcPr>
                  <w:tcW w:w="2067" w:type="dxa"/>
                  <w:vAlign w:val="top"/>
                </w:tcPr>
                <w:p w14:paraId="7D78619A">
                  <w:pPr>
                    <w:pStyle w:val="29"/>
                    <w:spacing w:before="317" w:line="221" w:lineRule="auto"/>
                    <w:ind w:left="1076"/>
                    <w:rPr>
                      <w:rFonts w:hint="eastAsia" w:ascii="宋体" w:hAnsi="宋体" w:eastAsia="宋体" w:cs="宋体"/>
                      <w:b w:val="0"/>
                      <w:bCs w:val="0"/>
                      <w:sz w:val="21"/>
                      <w:szCs w:val="21"/>
                    </w:rPr>
                  </w:pPr>
                  <w:r>
                    <w:rPr>
                      <w:rFonts w:hint="eastAsia" w:ascii="宋体" w:hAnsi="宋体" w:eastAsia="宋体" w:cs="宋体"/>
                      <w:b w:val="0"/>
                      <w:bCs w:val="0"/>
                      <w:color w:val="0F1115"/>
                      <w:spacing w:val="-9"/>
                      <w:sz w:val="21"/>
                      <w:szCs w:val="21"/>
                    </w:rPr>
                    <w:t>名称</w:t>
                  </w:r>
                </w:p>
              </w:tc>
              <w:tc>
                <w:tcPr>
                  <w:tcW w:w="982" w:type="dxa"/>
                  <w:vAlign w:val="top"/>
                </w:tcPr>
                <w:p w14:paraId="5E21B8BE">
                  <w:pPr>
                    <w:pStyle w:val="29"/>
                    <w:spacing w:before="316" w:line="219" w:lineRule="auto"/>
                    <w:ind w:left="457"/>
                    <w:rPr>
                      <w:rFonts w:hint="eastAsia" w:ascii="宋体" w:hAnsi="宋体" w:eastAsia="宋体" w:cs="宋体"/>
                      <w:b w:val="0"/>
                      <w:bCs w:val="0"/>
                      <w:sz w:val="21"/>
                      <w:szCs w:val="21"/>
                    </w:rPr>
                  </w:pPr>
                  <w:r>
                    <w:rPr>
                      <w:rFonts w:hint="eastAsia" w:ascii="宋体" w:hAnsi="宋体" w:eastAsia="宋体" w:cs="宋体"/>
                      <w:b w:val="0"/>
                      <w:bCs w:val="0"/>
                      <w:color w:val="0F1115"/>
                      <w:spacing w:val="-9"/>
                      <w:sz w:val="21"/>
                      <w:szCs w:val="21"/>
                    </w:rPr>
                    <w:t>数量</w:t>
                  </w:r>
                </w:p>
              </w:tc>
              <w:tc>
                <w:tcPr>
                  <w:tcW w:w="2454" w:type="dxa"/>
                  <w:vAlign w:val="top"/>
                </w:tcPr>
                <w:p w14:paraId="71D78554">
                  <w:pPr>
                    <w:pStyle w:val="29"/>
                    <w:spacing w:before="316" w:line="221" w:lineRule="auto"/>
                    <w:ind w:left="1282"/>
                    <w:rPr>
                      <w:rFonts w:hint="eastAsia" w:ascii="宋体" w:hAnsi="宋体" w:eastAsia="宋体" w:cs="宋体"/>
                      <w:b w:val="0"/>
                      <w:bCs w:val="0"/>
                      <w:sz w:val="21"/>
                      <w:szCs w:val="21"/>
                    </w:rPr>
                  </w:pPr>
                  <w:r>
                    <w:rPr>
                      <w:rFonts w:hint="eastAsia" w:ascii="宋体" w:hAnsi="宋体" w:eastAsia="宋体" w:cs="宋体"/>
                      <w:b w:val="0"/>
                      <w:bCs w:val="0"/>
                      <w:color w:val="0F1115"/>
                      <w:spacing w:val="-9"/>
                      <w:sz w:val="21"/>
                      <w:szCs w:val="21"/>
                    </w:rPr>
                    <w:t>备注</w:t>
                  </w:r>
                </w:p>
              </w:tc>
            </w:tr>
            <w:tr w14:paraId="74C5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40" w:type="dxa"/>
                  <w:vAlign w:val="center"/>
                </w:tcPr>
                <w:p w14:paraId="243EB570">
                  <w:pPr>
                    <w:pStyle w:val="29"/>
                    <w:spacing w:before="78" w:line="241" w:lineRule="auto"/>
                    <w:ind w:left="272"/>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067" w:type="dxa"/>
                  <w:vAlign w:val="center"/>
                </w:tcPr>
                <w:p w14:paraId="60C314F0">
                  <w:pPr>
                    <w:pStyle w:val="29"/>
                    <w:spacing w:before="186"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主机</w:t>
                  </w:r>
                </w:p>
              </w:tc>
              <w:tc>
                <w:tcPr>
                  <w:tcW w:w="982" w:type="dxa"/>
                  <w:vAlign w:val="center"/>
                </w:tcPr>
                <w:p w14:paraId="502A9A95">
                  <w:pPr>
                    <w:pStyle w:val="29"/>
                    <w:spacing w:before="78" w:line="221"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1台</w:t>
                  </w:r>
                </w:p>
              </w:tc>
              <w:tc>
                <w:tcPr>
                  <w:tcW w:w="2454" w:type="dxa"/>
                  <w:vAlign w:val="center"/>
                </w:tcPr>
                <w:p w14:paraId="0AA73162">
                  <w:pPr>
                    <w:spacing w:before="78"/>
                    <w:ind w:right="81"/>
                    <w:jc w:val="both"/>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由辐射灯头、控制面板、</w:t>
                  </w:r>
                  <w:r>
                    <w:rPr>
                      <w:rFonts w:hint="eastAsia" w:ascii="宋体" w:hAnsi="宋体" w:eastAsia="宋体" w:cs="宋体"/>
                      <w:b w:val="0"/>
                      <w:bCs w:val="0"/>
                      <w:spacing w:val="-2"/>
                      <w:sz w:val="21"/>
                      <w:szCs w:val="21"/>
                    </w:rPr>
                    <w:t>婴儿床、T-型复苏装置、空氧混合装置、黄疸治疗</w:t>
                  </w:r>
                  <w:r>
                    <w:rPr>
                      <w:rFonts w:hint="eastAsia" w:ascii="宋体" w:hAnsi="宋体" w:eastAsia="宋体" w:cs="宋体"/>
                      <w:b w:val="0"/>
                      <w:bCs w:val="0"/>
                      <w:spacing w:val="9"/>
                      <w:sz w:val="21"/>
                      <w:szCs w:val="21"/>
                    </w:rPr>
                    <w:t>装置、称重装置等组成</w:t>
                  </w:r>
                </w:p>
              </w:tc>
            </w:tr>
            <w:tr w14:paraId="727E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20A2C5F">
                  <w:pPr>
                    <w:pStyle w:val="29"/>
                    <w:spacing w:before="235" w:line="241" w:lineRule="auto"/>
                    <w:ind w:left="257"/>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067" w:type="dxa"/>
                  <w:vAlign w:val="center"/>
                </w:tcPr>
                <w:p w14:paraId="0C9E99FD">
                  <w:pPr>
                    <w:spacing w:before="187"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体温探头</w:t>
                  </w:r>
                </w:p>
              </w:tc>
              <w:tc>
                <w:tcPr>
                  <w:tcW w:w="982" w:type="dxa"/>
                  <w:vAlign w:val="center"/>
                </w:tcPr>
                <w:p w14:paraId="7ED2398F">
                  <w:pPr>
                    <w:pStyle w:val="29"/>
                    <w:spacing w:before="235"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1个</w:t>
                  </w:r>
                </w:p>
              </w:tc>
              <w:tc>
                <w:tcPr>
                  <w:tcW w:w="2454" w:type="dxa"/>
                  <w:vAlign w:val="center"/>
                </w:tcPr>
                <w:p w14:paraId="63ABEEFA">
                  <w:pPr>
                    <w:jc w:val="center"/>
                    <w:rPr>
                      <w:rFonts w:hint="eastAsia" w:ascii="宋体" w:hAnsi="宋体" w:eastAsia="宋体" w:cs="宋体"/>
                      <w:b w:val="0"/>
                      <w:bCs w:val="0"/>
                      <w:sz w:val="21"/>
                      <w:szCs w:val="21"/>
                    </w:rPr>
                  </w:pPr>
                </w:p>
              </w:tc>
            </w:tr>
            <w:tr w14:paraId="5A4C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45F871F">
                  <w:pPr>
                    <w:pStyle w:val="29"/>
                    <w:spacing w:before="236"/>
                    <w:ind w:left="259"/>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067" w:type="dxa"/>
                  <w:vAlign w:val="center"/>
                </w:tcPr>
                <w:p w14:paraId="39AD3662">
                  <w:pPr>
                    <w:spacing w:before="188"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新生儿面罩（大）</w:t>
                  </w:r>
                </w:p>
              </w:tc>
              <w:tc>
                <w:tcPr>
                  <w:tcW w:w="982" w:type="dxa"/>
                  <w:vAlign w:val="center"/>
                </w:tcPr>
                <w:p w14:paraId="40CAAD29">
                  <w:pPr>
                    <w:pStyle w:val="29"/>
                    <w:spacing w:before="237"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1个</w:t>
                  </w:r>
                </w:p>
              </w:tc>
              <w:tc>
                <w:tcPr>
                  <w:tcW w:w="2454" w:type="dxa"/>
                  <w:vAlign w:val="center"/>
                </w:tcPr>
                <w:p w14:paraId="6E7F468E">
                  <w:pPr>
                    <w:jc w:val="center"/>
                    <w:rPr>
                      <w:rFonts w:hint="eastAsia" w:ascii="宋体" w:hAnsi="宋体" w:eastAsia="宋体" w:cs="宋体"/>
                      <w:b w:val="0"/>
                      <w:bCs w:val="0"/>
                      <w:sz w:val="21"/>
                      <w:szCs w:val="21"/>
                    </w:rPr>
                  </w:pPr>
                </w:p>
              </w:tc>
            </w:tr>
            <w:tr w14:paraId="3AD7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B89F734">
                  <w:pPr>
                    <w:pStyle w:val="29"/>
                    <w:spacing w:before="235" w:line="241" w:lineRule="auto"/>
                    <w:ind w:left="253"/>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067" w:type="dxa"/>
                  <w:vAlign w:val="center"/>
                </w:tcPr>
                <w:p w14:paraId="4B81A420">
                  <w:pPr>
                    <w:spacing w:before="189"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新生儿面罩（小）</w:t>
                  </w:r>
                </w:p>
              </w:tc>
              <w:tc>
                <w:tcPr>
                  <w:tcW w:w="982" w:type="dxa"/>
                  <w:vAlign w:val="center"/>
                </w:tcPr>
                <w:p w14:paraId="00711D39">
                  <w:pPr>
                    <w:pStyle w:val="29"/>
                    <w:spacing w:before="236"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1个</w:t>
                  </w:r>
                </w:p>
              </w:tc>
              <w:tc>
                <w:tcPr>
                  <w:tcW w:w="2454" w:type="dxa"/>
                  <w:vAlign w:val="center"/>
                </w:tcPr>
                <w:p w14:paraId="249CADB0">
                  <w:pPr>
                    <w:jc w:val="center"/>
                    <w:rPr>
                      <w:rFonts w:hint="eastAsia" w:ascii="宋体" w:hAnsi="宋体" w:eastAsia="宋体" w:cs="宋体"/>
                      <w:b w:val="0"/>
                      <w:bCs w:val="0"/>
                      <w:sz w:val="21"/>
                      <w:szCs w:val="21"/>
                    </w:rPr>
                  </w:pPr>
                </w:p>
              </w:tc>
            </w:tr>
            <w:tr w14:paraId="17B0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72E5EA8">
                  <w:pPr>
                    <w:pStyle w:val="29"/>
                    <w:spacing w:before="236"/>
                    <w:ind w:left="259"/>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067" w:type="dxa"/>
                  <w:vAlign w:val="center"/>
                </w:tcPr>
                <w:p w14:paraId="258C42DA">
                  <w:pPr>
                    <w:spacing w:before="189"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监护仪模块</w:t>
                  </w:r>
                </w:p>
              </w:tc>
              <w:tc>
                <w:tcPr>
                  <w:tcW w:w="982" w:type="dxa"/>
                  <w:vAlign w:val="center"/>
                </w:tcPr>
                <w:p w14:paraId="4421777C">
                  <w:pPr>
                    <w:pStyle w:val="29"/>
                    <w:spacing w:before="188"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1套</w:t>
                  </w:r>
                </w:p>
              </w:tc>
              <w:tc>
                <w:tcPr>
                  <w:tcW w:w="2454" w:type="dxa"/>
                  <w:vAlign w:val="center"/>
                </w:tcPr>
                <w:p w14:paraId="7ABC88E8">
                  <w:pPr>
                    <w:jc w:val="center"/>
                    <w:rPr>
                      <w:rFonts w:hint="eastAsia" w:ascii="宋体" w:hAnsi="宋体" w:eastAsia="宋体" w:cs="宋体"/>
                      <w:b w:val="0"/>
                      <w:bCs w:val="0"/>
                      <w:sz w:val="21"/>
                      <w:szCs w:val="21"/>
                    </w:rPr>
                  </w:pPr>
                </w:p>
              </w:tc>
            </w:tr>
            <w:tr w14:paraId="4B5C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54EFC41">
                  <w:pPr>
                    <w:pStyle w:val="29"/>
                    <w:spacing w:before="236"/>
                    <w:ind w:left="256"/>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067" w:type="dxa"/>
                  <w:vAlign w:val="center"/>
                </w:tcPr>
                <w:p w14:paraId="16FAD70D">
                  <w:pPr>
                    <w:spacing w:before="189"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新生儿电极片</w:t>
                  </w:r>
                </w:p>
              </w:tc>
              <w:tc>
                <w:tcPr>
                  <w:tcW w:w="982" w:type="dxa"/>
                  <w:vAlign w:val="center"/>
                </w:tcPr>
                <w:p w14:paraId="7C90CE37">
                  <w:pPr>
                    <w:pStyle w:val="29"/>
                    <w:spacing w:before="189"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1套</w:t>
                  </w:r>
                </w:p>
              </w:tc>
              <w:tc>
                <w:tcPr>
                  <w:tcW w:w="2454" w:type="dxa"/>
                  <w:vAlign w:val="center"/>
                </w:tcPr>
                <w:p w14:paraId="149B5BB2">
                  <w:pPr>
                    <w:jc w:val="center"/>
                    <w:rPr>
                      <w:rFonts w:hint="eastAsia" w:ascii="宋体" w:hAnsi="宋体" w:eastAsia="宋体" w:cs="宋体"/>
                      <w:b w:val="0"/>
                      <w:bCs w:val="0"/>
                      <w:sz w:val="21"/>
                      <w:szCs w:val="21"/>
                    </w:rPr>
                  </w:pPr>
                </w:p>
              </w:tc>
            </w:tr>
            <w:tr w14:paraId="645E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7F36EB0">
                  <w:pPr>
                    <w:pStyle w:val="29"/>
                    <w:spacing w:before="237"/>
                    <w:ind w:left="26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067" w:type="dxa"/>
                  <w:vAlign w:val="center"/>
                </w:tcPr>
                <w:p w14:paraId="4415E3FC">
                  <w:pPr>
                    <w:spacing w:before="189" w:line="224" w:lineRule="auto"/>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血压导管(2M)</w:t>
                  </w:r>
                </w:p>
              </w:tc>
              <w:tc>
                <w:tcPr>
                  <w:tcW w:w="982" w:type="dxa"/>
                  <w:vAlign w:val="center"/>
                </w:tcPr>
                <w:p w14:paraId="5504D67A">
                  <w:pPr>
                    <w:pStyle w:val="29"/>
                    <w:spacing w:before="189"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1根</w:t>
                  </w:r>
                </w:p>
              </w:tc>
              <w:tc>
                <w:tcPr>
                  <w:tcW w:w="2454" w:type="dxa"/>
                  <w:vAlign w:val="center"/>
                </w:tcPr>
                <w:p w14:paraId="2F43DF7E">
                  <w:pPr>
                    <w:jc w:val="center"/>
                    <w:rPr>
                      <w:rFonts w:hint="eastAsia" w:ascii="宋体" w:hAnsi="宋体" w:eastAsia="宋体" w:cs="宋体"/>
                      <w:b w:val="0"/>
                      <w:bCs w:val="0"/>
                      <w:sz w:val="21"/>
                      <w:szCs w:val="21"/>
                    </w:rPr>
                  </w:pPr>
                </w:p>
              </w:tc>
            </w:tr>
            <w:tr w14:paraId="7D31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465D9E40">
                  <w:pPr>
                    <w:pStyle w:val="29"/>
                    <w:spacing w:before="235"/>
                    <w:ind w:left="25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067" w:type="dxa"/>
                  <w:vAlign w:val="center"/>
                </w:tcPr>
                <w:p w14:paraId="48F3673F">
                  <w:pPr>
                    <w:spacing w:before="235" w:line="221" w:lineRule="auto"/>
                    <w:jc w:val="center"/>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新生儿血压袖套</w:t>
                  </w:r>
                </w:p>
              </w:tc>
              <w:tc>
                <w:tcPr>
                  <w:tcW w:w="982" w:type="dxa"/>
                  <w:vAlign w:val="center"/>
                </w:tcPr>
                <w:p w14:paraId="5E5703F9">
                  <w:pPr>
                    <w:pStyle w:val="29"/>
                    <w:spacing w:before="236"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1副</w:t>
                  </w:r>
                </w:p>
              </w:tc>
              <w:tc>
                <w:tcPr>
                  <w:tcW w:w="2454" w:type="dxa"/>
                  <w:vAlign w:val="center"/>
                </w:tcPr>
                <w:p w14:paraId="37B496D5">
                  <w:pPr>
                    <w:spacing w:before="235" w:line="224" w:lineRule="auto"/>
                    <w:jc w:val="center"/>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15"/>
                      <w:sz w:val="21"/>
                      <w:szCs w:val="21"/>
                    </w:rPr>
                    <w:t xml:space="preserve"> </w:t>
                  </w:r>
                  <w:r>
                    <w:rPr>
                      <w:rFonts w:hint="eastAsia" w:ascii="宋体" w:hAnsi="宋体" w:eastAsia="宋体" w:cs="宋体"/>
                      <w:b w:val="0"/>
                      <w:bCs w:val="0"/>
                      <w:spacing w:val="-8"/>
                      <w:sz w:val="21"/>
                      <w:szCs w:val="21"/>
                    </w:rPr>
                    <w:t>3-6CM)</w:t>
                  </w:r>
                </w:p>
              </w:tc>
            </w:tr>
            <w:tr w14:paraId="0ECC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084678D2">
                  <w:pPr>
                    <w:pStyle w:val="29"/>
                    <w:spacing w:before="237"/>
                    <w:ind w:left="25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067" w:type="dxa"/>
                  <w:vAlign w:val="center"/>
                </w:tcPr>
                <w:p w14:paraId="43D01C14">
                  <w:pPr>
                    <w:spacing w:before="237" w:line="221" w:lineRule="auto"/>
                    <w:jc w:val="center"/>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新生儿血压袖套</w:t>
                  </w:r>
                </w:p>
              </w:tc>
              <w:tc>
                <w:tcPr>
                  <w:tcW w:w="982" w:type="dxa"/>
                  <w:vAlign w:val="center"/>
                </w:tcPr>
                <w:p w14:paraId="54E41330">
                  <w:pPr>
                    <w:pStyle w:val="29"/>
                    <w:spacing w:before="238"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1副</w:t>
                  </w:r>
                </w:p>
              </w:tc>
              <w:tc>
                <w:tcPr>
                  <w:tcW w:w="2454" w:type="dxa"/>
                  <w:vAlign w:val="center"/>
                </w:tcPr>
                <w:p w14:paraId="16BD134A">
                  <w:pPr>
                    <w:spacing w:before="237" w:line="224"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(2#</w:t>
                  </w:r>
                  <w:r>
                    <w:rPr>
                      <w:rFonts w:hint="eastAsia" w:ascii="宋体" w:hAnsi="宋体" w:eastAsia="宋体" w:cs="宋体"/>
                      <w:b w:val="0"/>
                      <w:bCs w:val="0"/>
                      <w:spacing w:val="6"/>
                      <w:sz w:val="21"/>
                      <w:szCs w:val="21"/>
                    </w:rPr>
                    <w:t xml:space="preserve"> </w:t>
                  </w:r>
                  <w:r>
                    <w:rPr>
                      <w:rFonts w:hint="eastAsia" w:ascii="宋体" w:hAnsi="宋体" w:eastAsia="宋体" w:cs="宋体"/>
                      <w:b w:val="0"/>
                      <w:bCs w:val="0"/>
                      <w:spacing w:val="-7"/>
                      <w:sz w:val="21"/>
                      <w:szCs w:val="21"/>
                    </w:rPr>
                    <w:t>4-8CM)</w:t>
                  </w:r>
                </w:p>
              </w:tc>
            </w:tr>
            <w:tr w14:paraId="0479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AA906C3">
                  <w:pPr>
                    <w:pStyle w:val="29"/>
                    <w:spacing w:before="237"/>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10</w:t>
                  </w:r>
                </w:p>
              </w:tc>
              <w:tc>
                <w:tcPr>
                  <w:tcW w:w="2067" w:type="dxa"/>
                  <w:vAlign w:val="center"/>
                </w:tcPr>
                <w:p w14:paraId="6810D1C7">
                  <w:pPr>
                    <w:spacing w:before="238" w:line="221" w:lineRule="auto"/>
                    <w:jc w:val="center"/>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新生儿血压袖套</w:t>
                  </w:r>
                </w:p>
              </w:tc>
              <w:tc>
                <w:tcPr>
                  <w:tcW w:w="982" w:type="dxa"/>
                  <w:vAlign w:val="center"/>
                </w:tcPr>
                <w:p w14:paraId="2D0F2857">
                  <w:pPr>
                    <w:pStyle w:val="29"/>
                    <w:spacing w:before="238"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1副</w:t>
                  </w:r>
                </w:p>
              </w:tc>
              <w:tc>
                <w:tcPr>
                  <w:tcW w:w="2454" w:type="dxa"/>
                  <w:vAlign w:val="center"/>
                </w:tcPr>
                <w:p w14:paraId="76FABCCD">
                  <w:pPr>
                    <w:spacing w:before="237" w:line="224"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(3#</w:t>
                  </w:r>
                  <w:r>
                    <w:rPr>
                      <w:rFonts w:hint="eastAsia" w:ascii="宋体" w:hAnsi="宋体" w:eastAsia="宋体" w:cs="宋体"/>
                      <w:b w:val="0"/>
                      <w:bCs w:val="0"/>
                      <w:spacing w:val="8"/>
                      <w:sz w:val="21"/>
                      <w:szCs w:val="21"/>
                    </w:rPr>
                    <w:t xml:space="preserve"> </w:t>
                  </w:r>
                  <w:r>
                    <w:rPr>
                      <w:rFonts w:hint="eastAsia" w:ascii="宋体" w:hAnsi="宋体" w:eastAsia="宋体" w:cs="宋体"/>
                      <w:b w:val="0"/>
                      <w:bCs w:val="0"/>
                      <w:spacing w:val="-7"/>
                      <w:sz w:val="21"/>
                      <w:szCs w:val="21"/>
                    </w:rPr>
                    <w:t>6-11CM)</w:t>
                  </w:r>
                </w:p>
              </w:tc>
            </w:tr>
            <w:tr w14:paraId="0C62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66CA864">
                  <w:pPr>
                    <w:pStyle w:val="29"/>
                    <w:spacing w:before="238" w:line="241" w:lineRule="auto"/>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11</w:t>
                  </w:r>
                </w:p>
              </w:tc>
              <w:tc>
                <w:tcPr>
                  <w:tcW w:w="2067" w:type="dxa"/>
                  <w:vAlign w:val="center"/>
                </w:tcPr>
                <w:p w14:paraId="63C3821E">
                  <w:pPr>
                    <w:spacing w:before="238" w:line="221" w:lineRule="auto"/>
                    <w:jc w:val="center"/>
                    <w:rPr>
                      <w:rFonts w:hint="eastAsia" w:ascii="宋体" w:hAnsi="宋体" w:eastAsia="宋体" w:cs="宋体"/>
                      <w:b w:val="0"/>
                      <w:bCs w:val="0"/>
                      <w:sz w:val="21"/>
                      <w:szCs w:val="21"/>
                    </w:rPr>
                  </w:pPr>
                  <w:r>
                    <w:rPr>
                      <w:rFonts w:hint="eastAsia" w:ascii="宋体" w:hAnsi="宋体" w:eastAsia="宋体" w:cs="宋体"/>
                      <w:b w:val="0"/>
                      <w:bCs w:val="0"/>
                      <w:spacing w:val="-3"/>
                      <w:sz w:val="21"/>
                      <w:szCs w:val="21"/>
                    </w:rPr>
                    <w:t>新生儿血压袖套</w:t>
                  </w:r>
                </w:p>
              </w:tc>
              <w:tc>
                <w:tcPr>
                  <w:tcW w:w="982" w:type="dxa"/>
                  <w:vAlign w:val="center"/>
                </w:tcPr>
                <w:p w14:paraId="2024DCB1">
                  <w:pPr>
                    <w:pStyle w:val="29"/>
                    <w:spacing w:before="239"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1副</w:t>
                  </w:r>
                </w:p>
              </w:tc>
              <w:tc>
                <w:tcPr>
                  <w:tcW w:w="2454" w:type="dxa"/>
                  <w:vAlign w:val="center"/>
                </w:tcPr>
                <w:p w14:paraId="510B6E39">
                  <w:pPr>
                    <w:spacing w:before="238" w:line="224"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(4#</w:t>
                  </w:r>
                  <w:r>
                    <w:rPr>
                      <w:rFonts w:hint="eastAsia" w:ascii="宋体" w:hAnsi="宋体" w:eastAsia="宋体" w:cs="宋体"/>
                      <w:b w:val="0"/>
                      <w:bCs w:val="0"/>
                      <w:spacing w:val="9"/>
                      <w:sz w:val="21"/>
                      <w:szCs w:val="21"/>
                    </w:rPr>
                    <w:t xml:space="preserve"> </w:t>
                  </w:r>
                  <w:r>
                    <w:rPr>
                      <w:rFonts w:hint="eastAsia" w:ascii="宋体" w:hAnsi="宋体" w:eastAsia="宋体" w:cs="宋体"/>
                      <w:b w:val="0"/>
                      <w:bCs w:val="0"/>
                      <w:spacing w:val="-7"/>
                      <w:sz w:val="21"/>
                      <w:szCs w:val="21"/>
                    </w:rPr>
                    <w:t>7-13CM)</w:t>
                  </w:r>
                </w:p>
              </w:tc>
            </w:tr>
            <w:tr w14:paraId="39CDE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D77BD23">
                  <w:pPr>
                    <w:pStyle w:val="29"/>
                    <w:spacing w:before="236" w:line="241" w:lineRule="auto"/>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12</w:t>
                  </w:r>
                </w:p>
              </w:tc>
              <w:tc>
                <w:tcPr>
                  <w:tcW w:w="2067" w:type="dxa"/>
                  <w:vAlign w:val="center"/>
                </w:tcPr>
                <w:p w14:paraId="63209F9C">
                  <w:pPr>
                    <w:spacing w:before="192" w:line="196" w:lineRule="auto"/>
                    <w:ind w:right="290"/>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监护3导新生儿导联</w:t>
                  </w:r>
                  <w:r>
                    <w:rPr>
                      <w:rFonts w:hint="eastAsia" w:ascii="宋体" w:hAnsi="宋体" w:eastAsia="宋体" w:cs="宋体"/>
                      <w:b w:val="0"/>
                      <w:bCs w:val="0"/>
                      <w:spacing w:val="-12"/>
                      <w:sz w:val="21"/>
                      <w:szCs w:val="21"/>
                    </w:rPr>
                    <w:t>主缆</w:t>
                  </w:r>
                </w:p>
              </w:tc>
              <w:tc>
                <w:tcPr>
                  <w:tcW w:w="982" w:type="dxa"/>
                  <w:vAlign w:val="center"/>
                </w:tcPr>
                <w:p w14:paraId="4CFBDEF9">
                  <w:pPr>
                    <w:pStyle w:val="29"/>
                    <w:spacing w:before="237"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1套</w:t>
                  </w:r>
                </w:p>
              </w:tc>
              <w:tc>
                <w:tcPr>
                  <w:tcW w:w="2454" w:type="dxa"/>
                  <w:vAlign w:val="center"/>
                </w:tcPr>
                <w:p w14:paraId="342DE245">
                  <w:pPr>
                    <w:jc w:val="center"/>
                    <w:rPr>
                      <w:rFonts w:hint="eastAsia" w:ascii="宋体" w:hAnsi="宋体" w:eastAsia="宋体" w:cs="宋体"/>
                      <w:b w:val="0"/>
                      <w:bCs w:val="0"/>
                      <w:sz w:val="21"/>
                      <w:szCs w:val="21"/>
                    </w:rPr>
                  </w:pPr>
                </w:p>
              </w:tc>
            </w:tr>
            <w:tr w14:paraId="0D34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93C9DD8">
                  <w:pPr>
                    <w:pStyle w:val="29"/>
                    <w:spacing w:before="237"/>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13</w:t>
                  </w:r>
                </w:p>
              </w:tc>
              <w:tc>
                <w:tcPr>
                  <w:tcW w:w="2067" w:type="dxa"/>
                  <w:vAlign w:val="center"/>
                </w:tcPr>
                <w:p w14:paraId="551F61D4">
                  <w:pPr>
                    <w:spacing w:before="189" w:line="197" w:lineRule="auto"/>
                    <w:ind w:right="350"/>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监护3导儿童/新生儿欧标分体夹式导</w:t>
                  </w:r>
                </w:p>
              </w:tc>
              <w:tc>
                <w:tcPr>
                  <w:tcW w:w="982" w:type="dxa"/>
                  <w:vAlign w:val="center"/>
                </w:tcPr>
                <w:p w14:paraId="2EEE5E0D">
                  <w:pPr>
                    <w:pStyle w:val="29"/>
                    <w:spacing w:before="237"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1套</w:t>
                  </w:r>
                </w:p>
              </w:tc>
              <w:tc>
                <w:tcPr>
                  <w:tcW w:w="2454" w:type="dxa"/>
                  <w:vAlign w:val="center"/>
                </w:tcPr>
                <w:p w14:paraId="7D45DF61">
                  <w:pPr>
                    <w:jc w:val="center"/>
                    <w:rPr>
                      <w:rFonts w:hint="eastAsia" w:ascii="宋体" w:hAnsi="宋体" w:eastAsia="宋体" w:cs="宋体"/>
                      <w:b w:val="0"/>
                      <w:bCs w:val="0"/>
                      <w:sz w:val="21"/>
                      <w:szCs w:val="21"/>
                    </w:rPr>
                  </w:pPr>
                </w:p>
              </w:tc>
            </w:tr>
            <w:tr w14:paraId="0D29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126799C">
                  <w:pPr>
                    <w:pStyle w:val="29"/>
                    <w:spacing w:before="238" w:line="241" w:lineRule="auto"/>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14</w:t>
                  </w:r>
                </w:p>
              </w:tc>
              <w:tc>
                <w:tcPr>
                  <w:tcW w:w="2067" w:type="dxa"/>
                  <w:vAlign w:val="center"/>
                </w:tcPr>
                <w:p w14:paraId="6FCE7578">
                  <w:pPr>
                    <w:spacing w:before="238"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血氧探头延长线</w:t>
                  </w:r>
                </w:p>
              </w:tc>
              <w:tc>
                <w:tcPr>
                  <w:tcW w:w="982" w:type="dxa"/>
                  <w:vAlign w:val="center"/>
                </w:tcPr>
                <w:p w14:paraId="7519CB61">
                  <w:pPr>
                    <w:pStyle w:val="29"/>
                    <w:spacing w:before="238"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1根</w:t>
                  </w:r>
                </w:p>
              </w:tc>
              <w:tc>
                <w:tcPr>
                  <w:tcW w:w="2454" w:type="dxa"/>
                  <w:vAlign w:val="center"/>
                </w:tcPr>
                <w:p w14:paraId="668CC8B0">
                  <w:pPr>
                    <w:jc w:val="center"/>
                    <w:rPr>
                      <w:rFonts w:hint="eastAsia" w:ascii="宋体" w:hAnsi="宋体" w:eastAsia="宋体" w:cs="宋体"/>
                      <w:b w:val="0"/>
                      <w:bCs w:val="0"/>
                      <w:sz w:val="21"/>
                      <w:szCs w:val="21"/>
                    </w:rPr>
                  </w:pPr>
                </w:p>
              </w:tc>
            </w:tr>
            <w:tr w14:paraId="69A8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EF653B2">
                  <w:pPr>
                    <w:pStyle w:val="29"/>
                    <w:spacing w:before="238"/>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15</w:t>
                  </w:r>
                </w:p>
              </w:tc>
              <w:tc>
                <w:tcPr>
                  <w:tcW w:w="2067" w:type="dxa"/>
                  <w:vAlign w:val="center"/>
                </w:tcPr>
                <w:p w14:paraId="6F0526A2">
                  <w:pPr>
                    <w:spacing w:before="239" w:line="222"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血氧探头</w:t>
                  </w:r>
                </w:p>
              </w:tc>
              <w:tc>
                <w:tcPr>
                  <w:tcW w:w="982" w:type="dxa"/>
                  <w:vAlign w:val="center"/>
                </w:tcPr>
                <w:p w14:paraId="0F49410E">
                  <w:pPr>
                    <w:pStyle w:val="29"/>
                    <w:spacing w:before="239" w:line="219" w:lineRule="auto"/>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1个</w:t>
                  </w:r>
                </w:p>
              </w:tc>
              <w:tc>
                <w:tcPr>
                  <w:tcW w:w="2454" w:type="dxa"/>
                  <w:vAlign w:val="center"/>
                </w:tcPr>
                <w:p w14:paraId="75D3350F">
                  <w:pPr>
                    <w:jc w:val="center"/>
                    <w:rPr>
                      <w:rFonts w:hint="eastAsia" w:ascii="宋体" w:hAnsi="宋体" w:eastAsia="宋体" w:cs="宋体"/>
                      <w:b w:val="0"/>
                      <w:bCs w:val="0"/>
                      <w:sz w:val="21"/>
                      <w:szCs w:val="21"/>
                    </w:rPr>
                  </w:pPr>
                </w:p>
              </w:tc>
            </w:tr>
            <w:tr w14:paraId="4EDA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40" w:type="dxa"/>
                  <w:vAlign w:val="center"/>
                </w:tcPr>
                <w:p w14:paraId="2B30BD21">
                  <w:pPr>
                    <w:pStyle w:val="29"/>
                    <w:spacing w:before="236"/>
                    <w:ind w:left="212"/>
                    <w:jc w:val="center"/>
                    <w:rPr>
                      <w:rFonts w:hint="eastAsia" w:ascii="宋体" w:hAnsi="宋体" w:eastAsia="宋体" w:cs="宋体"/>
                      <w:b w:val="0"/>
                      <w:bCs w:val="0"/>
                      <w:sz w:val="21"/>
                      <w:szCs w:val="21"/>
                    </w:rPr>
                  </w:pPr>
                  <w:r>
                    <w:rPr>
                      <w:rFonts w:hint="eastAsia" w:ascii="宋体" w:hAnsi="宋体" w:eastAsia="宋体" w:cs="宋体"/>
                      <w:b w:val="0"/>
                      <w:bCs w:val="0"/>
                      <w:spacing w:val="-14"/>
                      <w:sz w:val="21"/>
                      <w:szCs w:val="21"/>
                    </w:rPr>
                    <w:t>16</w:t>
                  </w:r>
                </w:p>
              </w:tc>
              <w:tc>
                <w:tcPr>
                  <w:tcW w:w="2067" w:type="dxa"/>
                  <w:vAlign w:val="center"/>
                </w:tcPr>
                <w:p w14:paraId="0146DAA5">
                  <w:pPr>
                    <w:spacing w:before="190" w:line="208" w:lineRule="auto"/>
                    <w:ind w:right="352"/>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分体式血氧硅胶绑</w:t>
                  </w:r>
                  <w:r>
                    <w:rPr>
                      <w:rFonts w:hint="eastAsia" w:ascii="宋体" w:hAnsi="宋体" w:eastAsia="宋体" w:cs="宋体"/>
                      <w:b w:val="0"/>
                      <w:bCs w:val="0"/>
                      <w:sz w:val="21"/>
                      <w:szCs w:val="21"/>
                    </w:rPr>
                    <w:t>带</w:t>
                  </w:r>
                </w:p>
              </w:tc>
              <w:tc>
                <w:tcPr>
                  <w:tcW w:w="982" w:type="dxa"/>
                  <w:vAlign w:val="center"/>
                </w:tcPr>
                <w:p w14:paraId="35590EAE">
                  <w:pPr>
                    <w:pStyle w:val="29"/>
                    <w:spacing w:before="237" w:line="220" w:lineRule="auto"/>
                    <w:jc w:val="center"/>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2根</w:t>
                  </w:r>
                </w:p>
              </w:tc>
              <w:tc>
                <w:tcPr>
                  <w:tcW w:w="2454" w:type="dxa"/>
                  <w:vAlign w:val="center"/>
                </w:tcPr>
                <w:p w14:paraId="08268586">
                  <w:pPr>
                    <w:jc w:val="center"/>
                    <w:rPr>
                      <w:rFonts w:hint="eastAsia" w:ascii="宋体" w:hAnsi="宋体" w:eastAsia="宋体" w:cs="宋体"/>
                      <w:b w:val="0"/>
                      <w:bCs w:val="0"/>
                      <w:sz w:val="21"/>
                      <w:szCs w:val="21"/>
                    </w:rPr>
                  </w:pPr>
                </w:p>
              </w:tc>
            </w:tr>
          </w:tbl>
          <w:p w14:paraId="558ACBE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273DEA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90831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6E810F33">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579" w:type="dxa"/>
            <w:tcBorders>
              <w:left w:val="single" w:color="000000" w:sz="4" w:space="0"/>
            </w:tcBorders>
            <w:vAlign w:val="center"/>
          </w:tcPr>
          <w:p w14:paraId="3011CB9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第1项全自动生化仪</w:t>
            </w:r>
            <w:bookmarkStart w:id="26" w:name="OLE_LINK3"/>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质保5年</w:t>
            </w:r>
            <w:bookmarkEnd w:id="26"/>
            <w:r>
              <w:rPr>
                <w:rFonts w:hint="eastAsia" w:ascii="宋体" w:hAnsi="宋体" w:eastAsia="宋体" w:cs="宋体"/>
                <w:color w:val="auto"/>
                <w:sz w:val="21"/>
                <w:szCs w:val="21"/>
                <w:highlight w:val="none"/>
                <w:lang w:val="en-US" w:eastAsia="zh-CN"/>
              </w:rPr>
              <w:t>，其他货物</w:t>
            </w:r>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质保1年，质保期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1.投标报价指货物及货物运抵</w:t>
            </w:r>
            <w:r>
              <w:rPr>
                <w:rFonts w:hint="eastAsia" w:eastAsia="宋体"/>
                <w:color w:val="auto"/>
                <w:highlight w:val="none"/>
                <w:lang w:eastAsia="zh-CN"/>
              </w:rPr>
              <w:t>达</w:t>
            </w:r>
            <w:r>
              <w:rPr>
                <w:rFonts w:hint="eastAsia" w:ascii="宋体" w:hAnsi="宋体" w:eastAsia="宋体" w:cs="宋体"/>
                <w:color w:val="auto"/>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2.免费送货上门、免费安装和调试；附安装说明书和售后服务电话。</w:t>
            </w:r>
          </w:p>
          <w:p w14:paraId="5E8FE18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交货</w:t>
            </w:r>
            <w:r>
              <w:rPr>
                <w:rFonts w:hint="eastAsia" w:ascii="宋体" w:hAnsi="宋体" w:eastAsia="宋体" w:cs="宋体"/>
                <w:color w:val="auto"/>
                <w:highlight w:val="none"/>
                <w:lang w:eastAsia="zh-CN"/>
              </w:rPr>
              <w:t>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交货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highlight w:val="none"/>
              </w:rPr>
            </w:pPr>
            <w:r>
              <w:rPr>
                <w:rFonts w:hint="eastAsia" w:ascii="宋体" w:hAnsi="宋体" w:eastAsia="宋体" w:cs="宋体"/>
                <w:color w:val="auto"/>
                <w:highlight w:val="none"/>
              </w:rPr>
              <w:t>签订</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付款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余下合同金额3%质保金，每满一年质保期支付合同金额 1%给乙方，直至付清。</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b/>
                <w:bCs/>
                <w:color w:val="auto"/>
                <w:highlight w:val="none"/>
                <w:lang w:eastAsia="zh-CN"/>
              </w:rPr>
              <w:t>.</w:t>
            </w:r>
            <w:r>
              <w:rPr>
                <w:rFonts w:hint="eastAsia" w:ascii="宋体" w:hAnsi="宋体" w:eastAsia="宋体" w:cs="宋体"/>
                <w:bCs/>
                <w:color w:val="auto"/>
                <w:highlight w:val="none"/>
                <w:lang w:eastAsia="zh-CN"/>
              </w:rPr>
              <w:t>投标人必须有完善的备品备件库体系</w:t>
            </w:r>
            <w:r>
              <w:rPr>
                <w:rFonts w:hint="eastAsia" w:ascii="宋体" w:hAnsi="宋体" w:eastAsia="宋体" w:cs="宋体"/>
                <w:color w:val="auto"/>
                <w:highlight w:val="none"/>
                <w:lang w:eastAsia="zh-CN"/>
              </w:rPr>
              <w:t>，质保期内能提供相应的免费的措施和备件，保证过质保期后</w:t>
            </w:r>
            <w:r>
              <w:rPr>
                <w:rFonts w:hint="eastAsia" w:ascii="宋体" w:hAnsi="宋体" w:eastAsia="宋体" w:cs="宋体"/>
                <w:color w:val="auto"/>
                <w:highlight w:val="none"/>
                <w:u w:val="single"/>
                <w:lang w:eastAsia="zh-CN"/>
              </w:rPr>
              <w:t>五年内</w:t>
            </w:r>
            <w:r>
              <w:rPr>
                <w:rFonts w:hint="eastAsia" w:ascii="宋体" w:hAnsi="宋体" w:eastAsia="宋体" w:cs="宋体"/>
                <w:color w:val="auto"/>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highlight w:val="none"/>
                <w:lang w:eastAsia="zh-CN"/>
              </w:rPr>
            </w:pPr>
            <w:r>
              <w:rPr>
                <w:rFonts w:hint="eastAsia" w:ascii="宋体" w:hAnsi="宋体" w:eastAsia="宋体" w:cs="宋体"/>
                <w:bCs/>
                <w:color w:val="auto"/>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（一）、设备验收合格后方可交付投入使用。</w:t>
            </w:r>
          </w:p>
          <w:p w14:paraId="272531A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（五）、设备相关资料由医院档案室接收，并建立设备档案</w:t>
            </w:r>
          </w:p>
          <w:p w14:paraId="73AC5E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开箱：</w:t>
            </w:r>
          </w:p>
          <w:p w14:paraId="20E1C4C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 开箱验收：在设备科技术员、供应商人员、使用科室负责人在场的情况下，才允许开箱。</w:t>
            </w:r>
          </w:p>
          <w:p w14:paraId="58D1B34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 1 、开箱前首先查看包装是否破损，如有破损，应拍照留存或双方签字的文字记录。</w:t>
            </w:r>
          </w:p>
          <w:p w14:paraId="3781C89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 2 、开箱后，检查设备部件有否损伤，如有损伤，拍照留存，并作无条件更换处理。</w:t>
            </w:r>
          </w:p>
          <w:p w14:paraId="6D65859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二）资料接收：以下资料在验收时由供应商提交档案室查验合格后接收存档：</w:t>
            </w:r>
          </w:p>
          <w:p w14:paraId="42AED0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验收时设备科验收人员应携带纸质合同现场核验以下材料是否与合同一致</w:t>
            </w:r>
          </w:p>
          <w:p w14:paraId="7A5CE4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 设备的合法性证明材料：</w:t>
            </w:r>
          </w:p>
          <w:p w14:paraId="32141D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（1）提供设备的生产许可证明材料（适用于国产品牌） ） ：</w:t>
            </w:r>
          </w:p>
          <w:p w14:paraId="23A6851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①具有医疗器械属性的设备：医疗器械生产企业许可证复印件 1 份及 PDF 文档 1 份。</w:t>
            </w:r>
          </w:p>
          <w:p w14:paraId="25FAB1E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②具有特种设备属性的设备：特种设备生产许可复印件 1 份及 PDF 文档 1 份。</w:t>
            </w:r>
          </w:p>
          <w:p w14:paraId="49A972D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③具有计量仪器属性的设备：制造计量器具许可证复印件 1 份及 PDF 文档 1 份。</w:t>
            </w:r>
          </w:p>
          <w:p w14:paraId="3F2B4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（2）提供设备生产合格证明</w:t>
            </w:r>
          </w:p>
          <w:p w14:paraId="6918F25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①出厂合格证明：原件及 PDF 文档各 1 份</w:t>
            </w:r>
          </w:p>
          <w:p w14:paraId="4398F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②特种设备检验合格证：原件及 PDF 文档各 1 份（指特种设备整机）</w:t>
            </w:r>
          </w:p>
          <w:p w14:paraId="43D50CB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③特种设备所用材料合格证明：复印件及 PDF 文档各 1 份（指特种设备所用的配件）</w:t>
            </w:r>
          </w:p>
          <w:p w14:paraId="44C14EA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（3）医疗器械市场监管合法证明材料</w:t>
            </w:r>
          </w:p>
          <w:p w14:paraId="3ABD31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 经销商的合法性证明材料：</w:t>
            </w:r>
          </w:p>
          <w:p w14:paraId="134288E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 设备随机资料：</w:t>
            </w:r>
          </w:p>
          <w:p w14:paraId="1AC7F42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③计量仪器必须提供相关计量仪器检定合格证明材料原件及 PDF 文档各 1 份。</w:t>
            </w:r>
          </w:p>
          <w:p w14:paraId="08B2800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④设备装箱单、配置清单。</w:t>
            </w:r>
          </w:p>
          <w:p w14:paraId="360DEC3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⑤ 每台设备 1 份操作规定程序（操作规程）卡片，由厂方制作的质量好耐用纸质版 。</w:t>
            </w:r>
          </w:p>
          <w:p w14:paraId="78F4B6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⑥送货清单，清单包括设备名称、型号、单价，总金额，送货公司与合同公司一致。</w:t>
            </w:r>
          </w:p>
          <w:p w14:paraId="181778D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三） 、技术性能验收：</w:t>
            </w:r>
          </w:p>
          <w:p w14:paraId="7ACC61D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二）设备清单必须与采购参数相符合,如有出入，以招标文件参数为准。</w:t>
            </w:r>
          </w:p>
          <w:p w14:paraId="1182B7F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▲1.技术响应表与采购参数比较有漏项的，以不实质响应采购要求论处。</w:t>
            </w:r>
          </w:p>
          <w:p w14:paraId="0A57B8E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▲3.实际是负偏离的参数，在投标文件中标明是无偏离或正偏离，以虚假应标论处。</w:t>
            </w:r>
          </w:p>
          <w:p w14:paraId="14C3F8A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▲4.实际是无偏离参数，响应表中标明是正偏离，以虚假应标论处。</w:t>
            </w:r>
          </w:p>
          <w:p w14:paraId="537360E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▲5.实际是正偏离参数，但验收时并没有达到响应表中标明的正偏离幅度，以虚假应标论处。</w:t>
            </w:r>
          </w:p>
          <w:p w14:paraId="7B58A88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(六) 、设备符合下列情形的，不予接收。</w:t>
            </w:r>
          </w:p>
          <w:p w14:paraId="32177F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1.设备部件损伤，影响整机外观或性能，供应商又不愿意更换的不予接收。</w:t>
            </w:r>
          </w:p>
          <w:p w14:paraId="5CBF460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2.带▲号的参数，必须百分之百满足，验收发现是负偏离，不予接收。</w:t>
            </w:r>
          </w:p>
          <w:p w14:paraId="4132361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6. 带▲号的参数，验收中发现不实质响应采购要求，设备不予接收。</w:t>
            </w:r>
          </w:p>
          <w:p w14:paraId="6F48657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十)、验收合格生效：验收合格日期以最后验收完成项目为准，设备验收时间计算在供货期内，按合同相关规定执行，由于供应商原因造成不按时完成验收造成逾期供货事实，由供应商承担相关合同责任。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5B2A2DF">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1、本项目的投标包含全部设备的采购、运输、保管、劳务、管理、利润、税金、安装、调试直至整个项目验收合格、协调、培训、售后服务以及所有的不确定因素的风险等。</w:t>
            </w:r>
          </w:p>
          <w:p w14:paraId="17C5A3E2">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2、投标产品属于医疗设备的须提供“中华人民共和国医疗器械注册证”复印件并加盖投标单位公章，否则投标无效。</w:t>
            </w:r>
          </w:p>
          <w:p w14:paraId="64DC98F2">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3、技术及商务条款需逐条响应，商务条款不接受负偏离，否则投标无效。</w:t>
            </w:r>
          </w:p>
          <w:p w14:paraId="01311CD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bCs/>
                <w:color w:val="auto"/>
                <w:kern w:val="2"/>
                <w:highlight w:val="none"/>
                <w:lang w:eastAsia="zh-CN"/>
              </w:rPr>
              <w:t>货物一览表中带“▲”的参数为关键指标实质性技术、性能指标，每项投标产品必须满足或优于招标文件的要求，否则投标无效。每项投标产品不带“▲”的参数发生负偏离达</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lang w:eastAsia="zh-CN"/>
              </w:rPr>
              <w:t>项数（</w:t>
            </w:r>
            <w:r>
              <w:rPr>
                <w:rFonts w:hint="eastAsia" w:ascii="宋体" w:hAnsi="宋体" w:eastAsia="宋体" w:cs="宋体"/>
                <w:bCs/>
                <w:color w:val="auto"/>
                <w:kern w:val="2"/>
                <w:highlight w:val="none"/>
                <w:lang w:val="en-US" w:eastAsia="zh-CN"/>
              </w:rPr>
              <w:t>含</w:t>
            </w:r>
            <w:r>
              <w:rPr>
                <w:rFonts w:hint="eastAsia" w:ascii="宋体" w:hAnsi="宋体" w:eastAsia="宋体" w:cs="宋体"/>
                <w:bCs/>
                <w:color w:val="auto"/>
                <w:kern w:val="2"/>
                <w:highlight w:val="none"/>
                <w:lang w:eastAsia="zh-CN"/>
              </w:rPr>
              <w:t>）以上的，视为不实质性响应采购文件要求，评审时投标文件将被作为无效文件处理。</w:t>
            </w:r>
          </w:p>
          <w:p w14:paraId="4B4C5F78">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5、签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投标人在投标活动中提供任何虚假材料，以及投标产品的技术参数不如实说明，其投标无效，没收投标保证金，取消中标资格，不于签订合同，并报监管部门查处，三年内不能参于政府项目采购。</w:t>
            </w:r>
          </w:p>
          <w:p w14:paraId="101E2B33">
            <w:pPr>
              <w:pStyle w:val="9"/>
              <w:spacing w:line="360" w:lineRule="exact"/>
              <w:rPr>
                <w:rFonts w:hAnsi="宋体" w:eastAsia="宋体" w:cs="宋体"/>
                <w:color w:val="auto"/>
                <w:sz w:val="21"/>
                <w:highlight w:val="none"/>
                <w:lang w:eastAsia="zh-CN"/>
              </w:rPr>
            </w:pPr>
            <w:r>
              <w:rPr>
                <w:rFonts w:hint="eastAsia" w:hAnsi="宋体" w:eastAsia="宋体" w:cs="宋体"/>
                <w:color w:val="auto"/>
                <w:sz w:val="21"/>
                <w:highlight w:val="none"/>
                <w:lang w:eastAsia="zh-CN"/>
              </w:rPr>
              <w:t>6、设备如需接入医院HIS、LIS、PACS系统或互联互通平台，相关费用由中标人负责。</w:t>
            </w:r>
          </w:p>
          <w:p w14:paraId="5F930CE7">
            <w:pPr>
              <w:pStyle w:val="9"/>
              <w:spacing w:line="360" w:lineRule="exact"/>
              <w:rPr>
                <w:rFonts w:hAnsi="宋体" w:eastAsia="宋体" w:cs="宋体"/>
                <w:color w:val="auto"/>
                <w:sz w:val="21"/>
                <w:highlight w:val="none"/>
                <w:lang w:eastAsia="zh-CN"/>
              </w:rPr>
            </w:pPr>
            <w:r>
              <w:rPr>
                <w:rFonts w:hint="eastAsia" w:hAnsi="宋体" w:eastAsia="宋体" w:cs="宋体"/>
                <w:color w:val="auto"/>
                <w:sz w:val="21"/>
                <w:highlight w:val="none"/>
                <w:lang w:eastAsia="zh-CN"/>
              </w:rPr>
              <w:t>7、 投标人所提供的货物使用年限原则上不得少于5年，投标人应保证所提供的货物生产日期应为签订合同前8个月内生产的、是全新、未经使用过的出厂原装合格产品，如不能满足上述条件的，经与采购人协商同意后，此项不影响正常的货物验收。</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r w14:paraId="4B5A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bottom w:val="single" w:color="000000" w:sz="4" w:space="0"/>
              <w:right w:val="single" w:color="000000" w:sz="4" w:space="0"/>
            </w:tcBorders>
            <w:vAlign w:val="center"/>
          </w:tcPr>
          <w:p w14:paraId="3C175096">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核心</w:t>
            </w:r>
          </w:p>
          <w:p w14:paraId="27A96815">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bottom w:val="single" w:color="000000" w:sz="4" w:space="0"/>
              <w:right w:val="single" w:color="000000" w:sz="4" w:space="0"/>
            </w:tcBorders>
            <w:vAlign w:val="center"/>
          </w:tcPr>
          <w:p w14:paraId="36278393">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全自动生化仪</w:t>
            </w:r>
            <w:r>
              <w:rPr>
                <w:rFonts w:hint="eastAsia" w:ascii="宋体" w:hAnsi="宋体" w:eastAsia="宋体" w:cs="宋体"/>
                <w:color w:val="auto"/>
                <w:highlight w:val="none"/>
                <w:lang w:eastAsia="zh-CN"/>
              </w:rPr>
              <w:t>。</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3"/>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8"/>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3"/>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27" w:name="bookmark5"/>
      <w:bookmarkEnd w:id="27"/>
      <w:bookmarkStart w:id="28" w:name="_Toc18789"/>
      <w:r>
        <w:rPr>
          <w:b/>
          <w:bCs/>
          <w:color w:val="auto"/>
          <w:spacing w:val="4"/>
          <w:sz w:val="43"/>
          <w:szCs w:val="43"/>
          <w:highlight w:val="none"/>
          <w:lang w:eastAsia="zh-CN"/>
        </w:rPr>
        <w:t>第三章投标人须知</w:t>
      </w:r>
      <w:bookmarkEnd w:id="28"/>
    </w:p>
    <w:p w14:paraId="65704B9C">
      <w:pPr>
        <w:pStyle w:val="5"/>
        <w:spacing w:before="324" w:line="219" w:lineRule="auto"/>
        <w:ind w:left="2846"/>
        <w:outlineLvl w:val="1"/>
        <w:rPr>
          <w:color w:val="auto"/>
          <w:sz w:val="35"/>
          <w:szCs w:val="35"/>
          <w:highlight w:val="none"/>
          <w:lang w:eastAsia="zh-CN"/>
        </w:rPr>
      </w:pPr>
      <w:bookmarkStart w:id="29" w:name="_Toc6796"/>
      <w:r>
        <w:rPr>
          <w:color w:val="auto"/>
          <w:spacing w:val="7"/>
          <w:sz w:val="35"/>
          <w:szCs w:val="35"/>
          <w:highlight w:val="none"/>
          <w:lang w:eastAsia="zh-CN"/>
        </w:rPr>
        <w:t>投标人须知前附表</w:t>
      </w:r>
      <w:bookmarkEnd w:id="29"/>
    </w:p>
    <w:tbl>
      <w:tblPr>
        <w:tblStyle w:val="28"/>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tcPr>
          <w:p w14:paraId="0423D1D9">
            <w:pPr>
              <w:pStyle w:val="29"/>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29"/>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29"/>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29"/>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29"/>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29"/>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29"/>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29"/>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29"/>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29"/>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29"/>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29"/>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29"/>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29"/>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29"/>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29"/>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29"/>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29"/>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29"/>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29"/>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29"/>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29"/>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29"/>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29"/>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29"/>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29"/>
              <w:spacing w:line="360" w:lineRule="auto"/>
              <w:ind w:left="112" w:right="108" w:firstLine="14"/>
              <w:rPr>
                <w:color w:val="auto"/>
                <w:sz w:val="21"/>
                <w:szCs w:val="21"/>
                <w:highlight w:val="none"/>
                <w:lang w:eastAsia="zh-CN"/>
              </w:rPr>
            </w:pPr>
            <w:r>
              <w:rPr>
                <w:color w:val="auto"/>
                <w:spacing w:val="9"/>
                <w:sz w:val="21"/>
                <w:szCs w:val="21"/>
                <w:highlight w:val="none"/>
                <w:lang w:eastAsia="zh-CN"/>
              </w:rPr>
              <w:t>1.投标人为法人或者其他组织的，提供营业执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323C4FA1">
            <w:pPr>
              <w:snapToGrid w:val="0"/>
              <w:spacing w:line="360" w:lineRule="auto"/>
              <w:ind w:firstLine="0" w:firstLineChars="0"/>
              <w:jc w:val="left"/>
              <w:rPr>
                <w:rFonts w:hint="eastAsia" w:ascii="宋体" w:hAnsi="宋体" w:cs="宋体"/>
                <w:color w:val="auto"/>
                <w:szCs w:val="21"/>
                <w:highlight w:val="none"/>
              </w:rPr>
            </w:pPr>
            <w:r>
              <w:rPr>
                <w:color w:val="auto"/>
                <w:spacing w:val="6"/>
                <w:sz w:val="21"/>
                <w:szCs w:val="21"/>
                <w:highlight w:val="none"/>
                <w:lang w:eastAsia="zh-CN"/>
              </w:rPr>
              <w:t>2.</w:t>
            </w:r>
            <w:r>
              <w:rPr>
                <w:rFonts w:hint="eastAsia" w:ascii="宋体" w:hAnsi="宋体" w:cs="宋体"/>
                <w:color w:val="auto"/>
                <w:szCs w:val="21"/>
                <w:highlight w:val="none"/>
              </w:rPr>
              <w:t>供应商依法缴纳税收的相关材料[</w:t>
            </w:r>
            <w:r>
              <w:rPr>
                <w:rFonts w:hint="eastAsia" w:ascii="宋体" w:hAnsi="宋体" w:eastAsia="宋体" w:cs="宋体"/>
                <w:snapToGrid w:val="0"/>
                <w:color w:val="auto"/>
                <w:spacing w:val="9"/>
                <w:sz w:val="21"/>
                <w:szCs w:val="21"/>
                <w:highlight w:val="none"/>
                <w:lang w:val="en-US" w:eastAsia="zh-CN" w:bidi="ar-SA"/>
              </w:rPr>
              <w:t>2025 年 10月至 2026 年 3月</w:t>
            </w:r>
            <w:r>
              <w:rPr>
                <w:rFonts w:hint="eastAsia" w:ascii="宋体" w:hAnsi="宋体" w:cs="宋体"/>
                <w:color w:val="auto"/>
                <w:szCs w:val="21"/>
                <w:highlight w:val="none"/>
              </w:rPr>
              <w:t>]任意连续</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个月的依法缴纳税收的凭据据</w:t>
            </w:r>
            <w:r>
              <w:rPr>
                <w:rFonts w:hint="eastAsia" w:ascii="宋体" w:hAnsi="宋体" w:cs="宋体"/>
                <w:color w:val="auto"/>
                <w:szCs w:val="21"/>
                <w:highlight w:val="none"/>
                <w:lang w:val="en-US" w:eastAsia="zh-CN"/>
              </w:rPr>
              <w:t>原件扫描件或完税证明原件扫描件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s="宋体"/>
                <w:b/>
                <w:color w:val="auto"/>
                <w:szCs w:val="21"/>
                <w:highlight w:val="none"/>
                <w:lang w:val="en-US" w:eastAsia="zh-CN"/>
              </w:rPr>
              <w:t>所有税种</w:t>
            </w:r>
            <w:r>
              <w:rPr>
                <w:rFonts w:hint="eastAsia" w:ascii="宋体" w:hAnsi="宋体" w:cs="宋体"/>
                <w:b/>
                <w:color w:val="auto"/>
                <w:szCs w:val="21"/>
                <w:highlight w:val="none"/>
              </w:rPr>
              <w:t>必须提供</w:t>
            </w:r>
            <w:r>
              <w:rPr>
                <w:rFonts w:hint="eastAsia" w:ascii="宋体" w:hAnsi="宋体" w:cs="宋体"/>
                <w:b/>
                <w:color w:val="auto"/>
                <w:szCs w:val="21"/>
                <w:highlight w:val="none"/>
                <w:lang w:val="en-US" w:eastAsia="zh-CN"/>
              </w:rPr>
              <w:t>满三个月</w:t>
            </w:r>
            <w:r>
              <w:rPr>
                <w:rFonts w:hint="eastAsia" w:ascii="宋体" w:hAnsi="宋体" w:cs="宋体"/>
                <w:b/>
                <w:color w:val="auto"/>
                <w:szCs w:val="21"/>
                <w:highlight w:val="none"/>
              </w:rPr>
              <w:t>，否则</w:t>
            </w:r>
            <w:r>
              <w:rPr>
                <w:rFonts w:hint="eastAsia" w:ascii="宋体" w:hAnsi="宋体" w:eastAsia="宋体" w:cs="宋体"/>
                <w:b/>
                <w:color w:val="auto"/>
                <w:szCs w:val="21"/>
                <w:highlight w:val="none"/>
                <w:lang w:eastAsia="zh-CN"/>
              </w:rPr>
              <w:t>投标文件</w:t>
            </w:r>
            <w:r>
              <w:rPr>
                <w:rFonts w:hint="eastAsia" w:ascii="宋体" w:hAnsi="宋体" w:cs="宋体"/>
                <w:b/>
                <w:color w:val="auto"/>
                <w:szCs w:val="21"/>
                <w:highlight w:val="none"/>
              </w:rPr>
              <w:t>按无效</w:t>
            </w:r>
            <w:r>
              <w:rPr>
                <w:rFonts w:hint="eastAsia" w:ascii="宋体" w:hAnsi="宋体" w:eastAsia="宋体" w:cs="宋体"/>
                <w:b/>
                <w:color w:val="auto"/>
                <w:szCs w:val="21"/>
                <w:highlight w:val="none"/>
                <w:lang w:val="en-US" w:eastAsia="zh-CN"/>
              </w:rPr>
              <w:t>投标</w:t>
            </w:r>
            <w:r>
              <w:rPr>
                <w:rFonts w:hint="eastAsia" w:ascii="宋体" w:hAnsi="宋体" w:cs="宋体"/>
                <w:b/>
                <w:color w:val="auto"/>
                <w:szCs w:val="21"/>
                <w:highlight w:val="none"/>
              </w:rPr>
              <w:t>处理</w:t>
            </w:r>
            <w:r>
              <w:rPr>
                <w:rFonts w:hint="eastAsia" w:ascii="宋体" w:hAnsi="宋体"/>
                <w:color w:val="auto"/>
                <w:szCs w:val="21"/>
                <w:highlight w:val="none"/>
              </w:rPr>
              <w:t>）</w:t>
            </w:r>
          </w:p>
          <w:p w14:paraId="787F8689">
            <w:pPr>
              <w:pStyle w:val="29"/>
              <w:spacing w:line="360" w:lineRule="auto"/>
              <w:ind w:left="115"/>
              <w:rPr>
                <w:color w:val="auto"/>
                <w:sz w:val="21"/>
                <w:szCs w:val="21"/>
                <w:highlight w:val="none"/>
                <w:lang w:eastAsia="zh-CN"/>
              </w:rPr>
            </w:pPr>
            <w:r>
              <w:rPr>
                <w:color w:val="auto"/>
                <w:spacing w:val="7"/>
                <w:sz w:val="21"/>
                <w:szCs w:val="21"/>
                <w:highlight w:val="none"/>
                <w:lang w:eastAsia="zh-CN"/>
              </w:rPr>
              <w:t>3.投标人依法缴纳社会保障资金的相关材料</w:t>
            </w:r>
            <w:r>
              <w:rPr>
                <w:color w:val="auto"/>
                <w:spacing w:val="7"/>
                <w:sz w:val="21"/>
                <w:szCs w:val="21"/>
                <w:highlight w:val="none"/>
                <w:u w:val="none"/>
                <w:lang w:eastAsia="zh-CN"/>
              </w:rPr>
              <w:t>[</w:t>
            </w:r>
            <w:r>
              <w:rPr>
                <w:rFonts w:hint="eastAsia"/>
                <w:color w:val="auto"/>
                <w:spacing w:val="7"/>
                <w:sz w:val="21"/>
                <w:szCs w:val="21"/>
                <w:highlight w:val="none"/>
                <w:u w:val="none"/>
                <w:lang w:eastAsia="zh-CN"/>
              </w:rPr>
              <w:t>2025 年 10月至 2026 年 3月</w:t>
            </w:r>
            <w:r>
              <w:rPr>
                <w:color w:val="auto"/>
                <w:spacing w:val="6"/>
                <w:sz w:val="21"/>
                <w:szCs w:val="21"/>
                <w:highlight w:val="none"/>
                <w:lang w:eastAsia="zh-CN"/>
              </w:rPr>
              <w:t>内任意连续</w:t>
            </w:r>
            <w:r>
              <w:rPr>
                <w:color w:val="auto"/>
                <w:spacing w:val="9"/>
                <w:sz w:val="21"/>
                <w:szCs w:val="21"/>
                <w:highlight w:val="none"/>
                <w:u w:val="single"/>
                <w:lang w:eastAsia="zh-CN"/>
              </w:rPr>
              <w:t xml:space="preserve">3 </w:t>
            </w:r>
            <w:r>
              <w:rPr>
                <w:color w:val="auto"/>
                <w:spacing w:val="9"/>
                <w:sz w:val="21"/>
                <w:szCs w:val="21"/>
                <w:highlight w:val="none"/>
                <w:lang w:eastAsia="zh-CN"/>
              </w:rPr>
              <w:t>个月的依法缴纳社会保障资金的缴费证明材料（如：专用收据、社会保</w:t>
            </w:r>
            <w:r>
              <w:rPr>
                <w:color w:val="auto"/>
                <w:spacing w:val="8"/>
                <w:sz w:val="21"/>
                <w:szCs w:val="21"/>
                <w:highlight w:val="none"/>
                <w:lang w:eastAsia="zh-CN"/>
              </w:rPr>
              <w:t>险缴纳清单或</w:t>
            </w:r>
            <w:r>
              <w:rPr>
                <w:color w:val="auto"/>
                <w:sz w:val="21"/>
                <w:szCs w:val="21"/>
                <w:highlight w:val="none"/>
                <w:lang w:eastAsia="zh-CN"/>
              </w:rPr>
              <w:t xml:space="preserve"> </w:t>
            </w:r>
            <w:r>
              <w:rPr>
                <w:color w:val="auto"/>
                <w:spacing w:val="9"/>
                <w:sz w:val="21"/>
                <w:szCs w:val="21"/>
                <w:highlight w:val="none"/>
                <w:lang w:eastAsia="zh-CN"/>
              </w:rPr>
              <w:t>者社保部门的证明）复印件；依法不需要缴纳社会保障资金的供应商，必须提供相应文</w:t>
            </w:r>
            <w:r>
              <w:rPr>
                <w:color w:val="auto"/>
                <w:spacing w:val="8"/>
                <w:sz w:val="21"/>
                <w:szCs w:val="21"/>
                <w:highlight w:val="none"/>
                <w:lang w:eastAsia="zh-CN"/>
              </w:rPr>
              <w:t xml:space="preserve"> </w:t>
            </w:r>
            <w:r>
              <w:rPr>
                <w:color w:val="auto"/>
                <w:spacing w:val="9"/>
                <w:sz w:val="21"/>
                <w:szCs w:val="21"/>
                <w:highlight w:val="none"/>
                <w:lang w:eastAsia="zh-CN"/>
              </w:rPr>
              <w:t>件证明不需要缴纳社会保障资金。从成立之日起到投标文件提交截止时间止不足要求月</w:t>
            </w:r>
            <w:r>
              <w:rPr>
                <w:color w:val="auto"/>
                <w:spacing w:val="8"/>
                <w:sz w:val="21"/>
                <w:szCs w:val="21"/>
                <w:highlight w:val="none"/>
                <w:lang w:eastAsia="zh-CN"/>
              </w:rPr>
              <w:t xml:space="preserve"> </w:t>
            </w:r>
            <w:r>
              <w:rPr>
                <w:color w:val="auto"/>
                <w:spacing w:val="10"/>
                <w:sz w:val="21"/>
                <w:szCs w:val="21"/>
                <w:highlight w:val="none"/>
                <w:lang w:eastAsia="zh-CN"/>
              </w:rPr>
              <w:t>数的只需提供从成立之日起的依法缴纳社会保障资金的相应证明文件]</w:t>
            </w:r>
            <w:r>
              <w:rPr>
                <w:color w:val="auto"/>
                <w:spacing w:val="-6"/>
                <w:sz w:val="21"/>
                <w:szCs w:val="21"/>
                <w:highlight w:val="none"/>
                <w:lang w:eastAsia="zh-CN"/>
              </w:rPr>
              <w:t>；（</w:t>
            </w:r>
            <w:r>
              <w:rPr>
                <w:b/>
                <w:bCs/>
                <w:color w:val="auto"/>
                <w:spacing w:val="10"/>
                <w:sz w:val="21"/>
                <w:szCs w:val="21"/>
                <w:highlight w:val="none"/>
                <w:lang w:eastAsia="zh-CN"/>
              </w:rPr>
              <w:t>必须提供，</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580BEB9">
            <w:pPr>
              <w:pStyle w:val="29"/>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29"/>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29"/>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29"/>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51B9AE9">
            <w:pPr>
              <w:pStyle w:val="29"/>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29"/>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29"/>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29"/>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29"/>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29"/>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29"/>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29"/>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29"/>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29"/>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29"/>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29"/>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29"/>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29"/>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29"/>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29"/>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29"/>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29"/>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29"/>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29"/>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29"/>
              <w:spacing w:line="360" w:lineRule="auto"/>
              <w:ind w:left="132"/>
              <w:rPr>
                <w:color w:val="auto"/>
                <w:spacing w:val="-7"/>
                <w:sz w:val="21"/>
                <w:szCs w:val="21"/>
                <w:highlight w:val="none"/>
                <w:lang w:eastAsia="zh-CN"/>
              </w:rPr>
            </w:pPr>
          </w:p>
          <w:p w14:paraId="7FE5D6FB">
            <w:pPr>
              <w:pStyle w:val="29"/>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29"/>
              <w:spacing w:line="360" w:lineRule="auto"/>
              <w:ind w:left="132"/>
              <w:rPr>
                <w:color w:val="auto"/>
                <w:spacing w:val="-7"/>
                <w:sz w:val="21"/>
                <w:szCs w:val="21"/>
                <w:highlight w:val="none"/>
              </w:rPr>
            </w:pPr>
          </w:p>
        </w:tc>
        <w:tc>
          <w:tcPr>
            <w:tcW w:w="8175" w:type="dxa"/>
          </w:tcPr>
          <w:p w14:paraId="2984314A">
            <w:pPr>
              <w:pStyle w:val="29"/>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29"/>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29"/>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29"/>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29"/>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29"/>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29"/>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29"/>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29"/>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29"/>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29"/>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29"/>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29"/>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29"/>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29"/>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29"/>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29"/>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29"/>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29"/>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29"/>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29"/>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29"/>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29"/>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29"/>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29"/>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29"/>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29"/>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29"/>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29"/>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29"/>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29"/>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29"/>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29"/>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29"/>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235AE315">
            <w:pPr>
              <w:pStyle w:val="29"/>
              <w:spacing w:line="360" w:lineRule="auto"/>
              <w:ind w:left="110" w:right="108"/>
              <w:rPr>
                <w:color w:val="auto"/>
                <w:spacing w:val="6"/>
                <w:sz w:val="21"/>
                <w:szCs w:val="21"/>
                <w:highlight w:val="none"/>
                <w:lang w:eastAsia="zh-CN"/>
              </w:rPr>
            </w:pPr>
            <w:r>
              <w:rPr>
                <w:color w:val="auto"/>
                <w:spacing w:val="9"/>
                <w:sz w:val="21"/>
                <w:szCs w:val="21"/>
                <w:highlight w:val="none"/>
                <w:lang w:eastAsia="zh-CN"/>
              </w:rPr>
              <w:t>技术要求评审中</w:t>
            </w:r>
            <w:r>
              <w:rPr>
                <w:rFonts w:hint="eastAsia" w:ascii="宋体" w:hAnsi="宋体" w:eastAsia="宋体" w:cs="宋体"/>
                <w:bCs/>
                <w:color w:val="auto"/>
                <w:kern w:val="2"/>
                <w:highlight w:val="none"/>
                <w:lang w:eastAsia="zh-CN"/>
              </w:rPr>
              <w:t>每项投标产品</w:t>
            </w:r>
            <w:r>
              <w:rPr>
                <w:color w:val="auto"/>
                <w:spacing w:val="9"/>
                <w:sz w:val="21"/>
                <w:szCs w:val="21"/>
                <w:highlight w:val="none"/>
                <w:lang w:eastAsia="zh-CN"/>
              </w:rPr>
              <w:t>允许负偏离的条款数为</w:t>
            </w:r>
            <w:r>
              <w:rPr>
                <w:rFonts w:hint="eastAsia"/>
                <w:color w:val="auto"/>
                <w:spacing w:val="9"/>
                <w:sz w:val="21"/>
                <w:szCs w:val="21"/>
                <w:highlight w:val="none"/>
                <w:lang w:eastAsia="zh-CN"/>
              </w:rPr>
              <w:t>3</w:t>
            </w:r>
            <w:r>
              <w:rPr>
                <w:color w:val="auto"/>
                <w:spacing w:val="9"/>
                <w:sz w:val="21"/>
                <w:szCs w:val="21"/>
                <w:highlight w:val="none"/>
                <w:lang w:eastAsia="zh-CN"/>
              </w:rPr>
              <w:t>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29"/>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29"/>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29"/>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29"/>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29"/>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29"/>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29"/>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29"/>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29"/>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29"/>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29"/>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29"/>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29"/>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29"/>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29"/>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29"/>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29"/>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29"/>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29"/>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29"/>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29"/>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8"/>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ascii="宋体" w:hAnsi="宋体" w:eastAsia="宋体" w:cs="宋体"/>
                <w:color w:val="auto"/>
                <w:sz w:val="21"/>
                <w:highlight w:val="none"/>
                <w:lang w:val="en-US" w:eastAsia="zh-CN"/>
              </w:rPr>
              <w:t>成交服务费以成交金额为计费额，参照国家发展计划委员会计价格[2002]1980号《招标代理服务费管理暂行办法》收费标准（货物招标类型）下浮20%按差额定率累进法计取。</w:t>
            </w:r>
          </w:p>
          <w:p w14:paraId="23251AC7">
            <w:pPr>
              <w:pStyle w:val="8"/>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8"/>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29"/>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29"/>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29"/>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29"/>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29"/>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29"/>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29"/>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29"/>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29"/>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632EC523">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0" w:name="_Toc23206"/>
      <w:r>
        <w:rPr>
          <w:b/>
          <w:bCs/>
          <w:color w:val="auto"/>
          <w:spacing w:val="3"/>
          <w:sz w:val="21"/>
          <w:szCs w:val="21"/>
          <w:highlight w:val="none"/>
          <w:lang w:eastAsia="zh-CN"/>
        </w:rPr>
        <w:t>一、总则</w:t>
      </w:r>
      <w:bookmarkEnd w:id="30"/>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31" w:name="_Toc27672"/>
      <w:r>
        <w:rPr>
          <w:rFonts w:ascii="黑体" w:hAnsi="黑体" w:eastAsia="黑体" w:cs="黑体"/>
          <w:b/>
          <w:bCs/>
          <w:color w:val="auto"/>
          <w:spacing w:val="-6"/>
          <w:highlight w:val="none"/>
          <w:lang w:eastAsia="zh-CN"/>
        </w:rPr>
        <w:t>1.适用范围</w:t>
      </w:r>
      <w:bookmarkEnd w:id="31"/>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32" w:name="_Toc15669"/>
      <w:r>
        <w:rPr>
          <w:rFonts w:ascii="黑体" w:hAnsi="黑体" w:eastAsia="黑体" w:cs="黑体"/>
          <w:b/>
          <w:bCs/>
          <w:color w:val="auto"/>
          <w:spacing w:val="-5"/>
          <w:highlight w:val="none"/>
          <w:lang w:eastAsia="zh-CN"/>
        </w:rPr>
        <w:t>2.定义</w:t>
      </w:r>
      <w:bookmarkEnd w:id="32"/>
    </w:p>
    <w:p w14:paraId="255F4DC2">
      <w:pPr>
        <w:pStyle w:val="5"/>
        <w:spacing w:line="360" w:lineRule="auto"/>
        <w:ind w:left="442"/>
        <w:outlineLvl w:val="2"/>
        <w:rPr>
          <w:color w:val="auto"/>
          <w:spacing w:val="7"/>
          <w:sz w:val="21"/>
          <w:szCs w:val="21"/>
          <w:highlight w:val="none"/>
          <w:lang w:eastAsia="zh-CN"/>
        </w:rPr>
      </w:pPr>
      <w:bookmarkStart w:id="33"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33"/>
    </w:p>
    <w:p w14:paraId="3D8BB55B">
      <w:pPr>
        <w:pStyle w:val="5"/>
        <w:spacing w:line="360" w:lineRule="auto"/>
        <w:ind w:firstLine="440" w:firstLineChars="200"/>
        <w:outlineLvl w:val="2"/>
        <w:rPr>
          <w:color w:val="auto"/>
          <w:sz w:val="21"/>
          <w:szCs w:val="21"/>
          <w:highlight w:val="none"/>
          <w:lang w:eastAsia="zh-CN"/>
        </w:rPr>
      </w:pPr>
      <w:bookmarkStart w:id="34"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34"/>
    </w:p>
    <w:p w14:paraId="70EA1C9F">
      <w:pPr>
        <w:pStyle w:val="5"/>
        <w:spacing w:line="360" w:lineRule="auto"/>
        <w:ind w:left="442"/>
        <w:outlineLvl w:val="2"/>
        <w:rPr>
          <w:color w:val="auto"/>
          <w:sz w:val="21"/>
          <w:szCs w:val="21"/>
          <w:highlight w:val="none"/>
          <w:lang w:eastAsia="zh-CN"/>
        </w:rPr>
      </w:pPr>
      <w:bookmarkStart w:id="35"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35"/>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36"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36"/>
    </w:p>
    <w:p w14:paraId="30B89A3E">
      <w:pPr>
        <w:pStyle w:val="5"/>
        <w:spacing w:line="360" w:lineRule="auto"/>
        <w:ind w:firstLine="456" w:firstLineChars="200"/>
        <w:outlineLvl w:val="2"/>
        <w:rPr>
          <w:color w:val="auto"/>
          <w:sz w:val="21"/>
          <w:szCs w:val="21"/>
          <w:highlight w:val="none"/>
          <w:lang w:eastAsia="zh-CN"/>
        </w:rPr>
      </w:pPr>
      <w:bookmarkStart w:id="37"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37"/>
    </w:p>
    <w:p w14:paraId="1D3FF2D1">
      <w:pPr>
        <w:pStyle w:val="5"/>
        <w:spacing w:line="360" w:lineRule="auto"/>
        <w:ind w:firstLine="456" w:firstLineChars="200"/>
        <w:outlineLvl w:val="2"/>
        <w:rPr>
          <w:color w:val="auto"/>
          <w:sz w:val="21"/>
          <w:szCs w:val="21"/>
          <w:highlight w:val="none"/>
          <w:lang w:eastAsia="zh-CN"/>
        </w:rPr>
      </w:pPr>
      <w:bookmarkStart w:id="38"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38"/>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39" w:name="_Toc24456"/>
      <w:r>
        <w:rPr>
          <w:rFonts w:ascii="黑体" w:hAnsi="黑体" w:eastAsia="黑体" w:cs="黑体"/>
          <w:b/>
          <w:bCs/>
          <w:color w:val="auto"/>
          <w:spacing w:val="-3"/>
          <w:highlight w:val="none"/>
          <w:lang w:eastAsia="zh-CN"/>
        </w:rPr>
        <w:t>3.投标人的资格要求</w:t>
      </w:r>
      <w:bookmarkEnd w:id="39"/>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0" w:name="_Toc12108"/>
      <w:r>
        <w:rPr>
          <w:rFonts w:ascii="黑体" w:hAnsi="黑体" w:eastAsia="黑体" w:cs="黑体"/>
          <w:b/>
          <w:bCs/>
          <w:color w:val="auto"/>
          <w:spacing w:val="-3"/>
          <w:highlight w:val="none"/>
          <w:lang w:eastAsia="zh-CN"/>
        </w:rPr>
        <w:t>4.投标委托</w:t>
      </w:r>
      <w:bookmarkEnd w:id="40"/>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41" w:name="_Toc6771"/>
      <w:r>
        <w:rPr>
          <w:rFonts w:ascii="黑体" w:hAnsi="黑体" w:eastAsia="黑体" w:cs="黑体"/>
          <w:b/>
          <w:bCs/>
          <w:color w:val="auto"/>
          <w:spacing w:val="-3"/>
          <w:highlight w:val="none"/>
          <w:lang w:eastAsia="zh-CN"/>
        </w:rPr>
        <w:t>5.投标费用</w:t>
      </w:r>
      <w:bookmarkEnd w:id="41"/>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42" w:name="_Toc26584"/>
      <w:r>
        <w:rPr>
          <w:rFonts w:ascii="黑体" w:hAnsi="黑体" w:eastAsia="黑体" w:cs="黑体"/>
          <w:b/>
          <w:bCs/>
          <w:color w:val="auto"/>
          <w:spacing w:val="-4"/>
          <w:highlight w:val="none"/>
          <w:lang w:eastAsia="zh-CN"/>
        </w:rPr>
        <w:t>6.联合体投标</w:t>
      </w:r>
      <w:bookmarkEnd w:id="42"/>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43" w:name="_Toc14474"/>
      <w:r>
        <w:rPr>
          <w:rFonts w:ascii="黑体" w:hAnsi="黑体" w:eastAsia="黑体" w:cs="黑体"/>
          <w:b/>
          <w:bCs/>
          <w:color w:val="auto"/>
          <w:spacing w:val="-4"/>
          <w:highlight w:val="none"/>
          <w:lang w:eastAsia="zh-CN"/>
        </w:rPr>
        <w:t>7.转包与分包</w:t>
      </w:r>
      <w:bookmarkEnd w:id="43"/>
    </w:p>
    <w:p w14:paraId="4F160468">
      <w:pPr>
        <w:pStyle w:val="5"/>
        <w:spacing w:line="360" w:lineRule="auto"/>
        <w:ind w:left="444"/>
        <w:outlineLvl w:val="2"/>
        <w:rPr>
          <w:color w:val="auto"/>
          <w:sz w:val="21"/>
          <w:szCs w:val="21"/>
          <w:highlight w:val="none"/>
          <w:lang w:eastAsia="zh-CN"/>
        </w:rPr>
      </w:pPr>
      <w:bookmarkStart w:id="44"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44"/>
    </w:p>
    <w:p w14:paraId="3BFFCD5A">
      <w:pPr>
        <w:pStyle w:val="5"/>
        <w:spacing w:line="360" w:lineRule="auto"/>
        <w:ind w:firstLine="448" w:firstLineChars="200"/>
        <w:outlineLvl w:val="2"/>
        <w:rPr>
          <w:color w:val="auto"/>
          <w:sz w:val="21"/>
          <w:szCs w:val="21"/>
          <w:highlight w:val="none"/>
          <w:lang w:eastAsia="zh-CN"/>
        </w:rPr>
      </w:pPr>
      <w:bookmarkStart w:id="45"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45"/>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46"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46"/>
    </w:p>
    <w:p w14:paraId="5E9619F2">
      <w:pPr>
        <w:spacing w:line="360" w:lineRule="auto"/>
        <w:ind w:left="438"/>
        <w:outlineLvl w:val="2"/>
        <w:rPr>
          <w:rFonts w:ascii="黑体" w:hAnsi="黑体" w:eastAsia="黑体" w:cs="黑体"/>
          <w:color w:val="auto"/>
          <w:highlight w:val="none"/>
          <w:lang w:eastAsia="zh-CN"/>
        </w:rPr>
      </w:pPr>
      <w:bookmarkStart w:id="47" w:name="_Toc31318"/>
      <w:r>
        <w:rPr>
          <w:rFonts w:ascii="黑体" w:hAnsi="黑体" w:eastAsia="黑体" w:cs="黑体"/>
          <w:b/>
          <w:bCs/>
          <w:color w:val="auto"/>
          <w:spacing w:val="-4"/>
          <w:highlight w:val="none"/>
          <w:lang w:eastAsia="zh-CN"/>
        </w:rPr>
        <w:t>8.特别说明</w:t>
      </w:r>
      <w:bookmarkEnd w:id="47"/>
    </w:p>
    <w:p w14:paraId="7F28BF8B">
      <w:pPr>
        <w:pStyle w:val="5"/>
        <w:spacing w:line="360" w:lineRule="auto"/>
        <w:ind w:firstLine="456" w:firstLineChars="200"/>
        <w:outlineLvl w:val="2"/>
        <w:rPr>
          <w:color w:val="auto"/>
          <w:spacing w:val="4"/>
          <w:sz w:val="21"/>
          <w:szCs w:val="21"/>
          <w:highlight w:val="none"/>
          <w:lang w:eastAsia="zh-CN"/>
        </w:rPr>
      </w:pPr>
      <w:bookmarkStart w:id="48"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48"/>
    </w:p>
    <w:p w14:paraId="57A41CAD">
      <w:pPr>
        <w:pStyle w:val="5"/>
        <w:spacing w:line="360" w:lineRule="auto"/>
        <w:ind w:firstLine="456" w:firstLineChars="200"/>
        <w:outlineLvl w:val="2"/>
        <w:rPr>
          <w:color w:val="auto"/>
          <w:sz w:val="21"/>
          <w:szCs w:val="21"/>
          <w:highlight w:val="none"/>
          <w:lang w:eastAsia="zh-CN"/>
        </w:rPr>
      </w:pPr>
      <w:bookmarkStart w:id="49"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49"/>
    </w:p>
    <w:p w14:paraId="2CE8DF18">
      <w:pPr>
        <w:pStyle w:val="5"/>
        <w:spacing w:line="360" w:lineRule="auto"/>
        <w:ind w:firstLine="456" w:firstLineChars="200"/>
        <w:outlineLvl w:val="2"/>
        <w:rPr>
          <w:color w:val="auto"/>
          <w:sz w:val="21"/>
          <w:szCs w:val="21"/>
          <w:highlight w:val="none"/>
          <w:lang w:eastAsia="zh-CN"/>
        </w:rPr>
      </w:pPr>
      <w:bookmarkStart w:id="50"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w:t>
      </w:r>
      <w:r>
        <w:rPr>
          <w:color w:val="auto"/>
          <w:spacing w:val="7"/>
          <w:sz w:val="21"/>
          <w:szCs w:val="21"/>
          <w:highlight w:val="none"/>
          <w:lang w:eastAsia="zh-CN"/>
        </w:rPr>
        <w:t>》规定赔偿采购人，且民事赔偿并不免除违法</w:t>
      </w:r>
      <w:r>
        <w:rPr>
          <w:color w:val="auto"/>
          <w:sz w:val="21"/>
          <w:szCs w:val="21"/>
          <w:highlight w:val="none"/>
          <w:lang w:eastAsia="zh-CN"/>
        </w:rPr>
        <w:t xml:space="preserve"> </w:t>
      </w:r>
      <w:r>
        <w:rPr>
          <w:color w:val="auto"/>
          <w:spacing w:val="8"/>
          <w:sz w:val="21"/>
          <w:szCs w:val="21"/>
          <w:highlight w:val="none"/>
          <w:lang w:eastAsia="zh-CN"/>
        </w:rPr>
        <w:t>投标人的行政与刑事责任。</w:t>
      </w:r>
      <w:bookmarkEnd w:id="50"/>
    </w:p>
    <w:p w14:paraId="42A1F8EC">
      <w:pPr>
        <w:spacing w:line="360" w:lineRule="auto"/>
        <w:ind w:left="434"/>
        <w:outlineLvl w:val="2"/>
        <w:rPr>
          <w:rFonts w:ascii="黑体" w:hAnsi="黑体" w:eastAsia="黑体" w:cs="黑体"/>
          <w:color w:val="auto"/>
          <w:highlight w:val="none"/>
          <w:lang w:eastAsia="zh-CN"/>
        </w:rPr>
      </w:pPr>
      <w:bookmarkStart w:id="51" w:name="_Toc2676"/>
      <w:r>
        <w:rPr>
          <w:rFonts w:ascii="黑体" w:hAnsi="黑体" w:eastAsia="黑体" w:cs="黑体"/>
          <w:b/>
          <w:bCs/>
          <w:color w:val="auto"/>
          <w:spacing w:val="-3"/>
          <w:highlight w:val="none"/>
          <w:lang w:eastAsia="zh-CN"/>
        </w:rPr>
        <w:t>9.回避与串通投标</w:t>
      </w:r>
      <w:bookmarkEnd w:id="51"/>
    </w:p>
    <w:p w14:paraId="60AFACCA">
      <w:pPr>
        <w:pStyle w:val="5"/>
        <w:spacing w:line="360" w:lineRule="auto"/>
        <w:ind w:firstLine="460" w:firstLineChars="200"/>
        <w:outlineLvl w:val="2"/>
        <w:rPr>
          <w:color w:val="auto"/>
          <w:sz w:val="21"/>
          <w:szCs w:val="21"/>
          <w:highlight w:val="none"/>
          <w:lang w:eastAsia="zh-CN"/>
        </w:rPr>
      </w:pPr>
      <w:bookmarkStart w:id="52"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52"/>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53"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53"/>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54"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54"/>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55" w:name="_Toc11010"/>
      <w:r>
        <w:rPr>
          <w:b/>
          <w:bCs/>
          <w:color w:val="auto"/>
          <w:spacing w:val="4"/>
          <w:sz w:val="21"/>
          <w:szCs w:val="21"/>
          <w:highlight w:val="none"/>
          <w:lang w:eastAsia="zh-CN"/>
        </w:rPr>
        <w:t>二、招标文件</w:t>
      </w:r>
      <w:bookmarkEnd w:id="55"/>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56" w:name="_Toc21480"/>
      <w:r>
        <w:rPr>
          <w:rFonts w:ascii="黑体" w:hAnsi="黑体" w:eastAsia="黑体" w:cs="黑体"/>
          <w:b/>
          <w:bCs/>
          <w:color w:val="auto"/>
          <w:spacing w:val="-4"/>
          <w:highlight w:val="none"/>
          <w:lang w:eastAsia="zh-CN"/>
        </w:rPr>
        <w:t>10.招标文件的组成</w:t>
      </w:r>
      <w:bookmarkEnd w:id="56"/>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57"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57"/>
    </w:p>
    <w:p w14:paraId="62E95E3A">
      <w:pPr>
        <w:pStyle w:val="5"/>
        <w:spacing w:line="360" w:lineRule="auto"/>
        <w:ind w:right="13"/>
        <w:jc w:val="right"/>
        <w:outlineLvl w:val="2"/>
        <w:rPr>
          <w:color w:val="auto"/>
          <w:sz w:val="21"/>
          <w:szCs w:val="21"/>
          <w:highlight w:val="none"/>
          <w:lang w:eastAsia="zh-CN"/>
        </w:rPr>
      </w:pPr>
      <w:bookmarkStart w:id="58"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58"/>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59" w:name="_Toc20228"/>
      <w:r>
        <w:rPr>
          <w:b/>
          <w:bCs/>
          <w:color w:val="auto"/>
          <w:spacing w:val="6"/>
          <w:sz w:val="21"/>
          <w:szCs w:val="21"/>
          <w:highlight w:val="none"/>
          <w:lang w:eastAsia="zh-CN"/>
        </w:rPr>
        <w:t>三、投标文件的编制</w:t>
      </w:r>
      <w:bookmarkEnd w:id="59"/>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0" w:name="_Toc18704"/>
      <w:r>
        <w:rPr>
          <w:rFonts w:ascii="黑体" w:hAnsi="黑体" w:eastAsia="黑体" w:cs="黑体"/>
          <w:b/>
          <w:bCs/>
          <w:color w:val="auto"/>
          <w:spacing w:val="-4"/>
          <w:highlight w:val="none"/>
          <w:lang w:eastAsia="zh-CN"/>
        </w:rPr>
        <w:t>12.投标文件的编制原则</w:t>
      </w:r>
      <w:bookmarkEnd w:id="60"/>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61" w:name="_Toc15090"/>
      <w:r>
        <w:rPr>
          <w:rFonts w:ascii="黑体" w:hAnsi="黑体" w:eastAsia="黑体" w:cs="黑体"/>
          <w:b/>
          <w:bCs/>
          <w:color w:val="auto"/>
          <w:spacing w:val="-4"/>
          <w:highlight w:val="none"/>
          <w:lang w:eastAsia="zh-CN"/>
        </w:rPr>
        <w:t>13.投标文件的组成</w:t>
      </w:r>
      <w:bookmarkEnd w:id="61"/>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62"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62"/>
    </w:p>
    <w:p w14:paraId="56C5EF66">
      <w:pPr>
        <w:pStyle w:val="5"/>
        <w:spacing w:line="360" w:lineRule="auto"/>
        <w:ind w:left="449"/>
        <w:outlineLvl w:val="2"/>
        <w:rPr>
          <w:color w:val="auto"/>
          <w:sz w:val="21"/>
          <w:szCs w:val="21"/>
          <w:highlight w:val="none"/>
          <w:lang w:eastAsia="zh-CN"/>
        </w:rPr>
      </w:pPr>
      <w:bookmarkStart w:id="63"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63"/>
    </w:p>
    <w:p w14:paraId="7A52E282">
      <w:pPr>
        <w:pStyle w:val="5"/>
        <w:spacing w:line="360" w:lineRule="auto"/>
        <w:ind w:left="449"/>
        <w:outlineLvl w:val="2"/>
        <w:rPr>
          <w:color w:val="auto"/>
          <w:sz w:val="21"/>
          <w:szCs w:val="21"/>
          <w:highlight w:val="none"/>
          <w:lang w:eastAsia="zh-CN"/>
        </w:rPr>
      </w:pPr>
      <w:bookmarkStart w:id="64"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64"/>
    </w:p>
    <w:p w14:paraId="40339BC4">
      <w:pPr>
        <w:spacing w:line="360" w:lineRule="auto"/>
        <w:ind w:left="453"/>
        <w:outlineLvl w:val="2"/>
        <w:rPr>
          <w:rFonts w:ascii="黑体" w:hAnsi="黑体" w:eastAsia="黑体" w:cs="黑体"/>
          <w:color w:val="auto"/>
          <w:highlight w:val="none"/>
          <w:lang w:eastAsia="zh-CN"/>
        </w:rPr>
      </w:pPr>
      <w:bookmarkStart w:id="65" w:name="_Toc4162"/>
      <w:r>
        <w:rPr>
          <w:rFonts w:ascii="黑体" w:hAnsi="黑体" w:eastAsia="黑体" w:cs="黑体"/>
          <w:b/>
          <w:bCs/>
          <w:color w:val="auto"/>
          <w:spacing w:val="-4"/>
          <w:highlight w:val="none"/>
          <w:lang w:eastAsia="zh-CN"/>
        </w:rPr>
        <w:t>14.投标文件的语言及计量</w:t>
      </w:r>
      <w:bookmarkEnd w:id="65"/>
    </w:p>
    <w:p w14:paraId="761B7EFA">
      <w:pPr>
        <w:pStyle w:val="5"/>
        <w:spacing w:line="360" w:lineRule="auto"/>
        <w:ind w:left="455"/>
        <w:outlineLvl w:val="2"/>
        <w:rPr>
          <w:color w:val="auto"/>
          <w:sz w:val="21"/>
          <w:szCs w:val="21"/>
          <w:highlight w:val="none"/>
          <w:lang w:eastAsia="zh-CN"/>
        </w:rPr>
      </w:pPr>
      <w:bookmarkStart w:id="66"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66"/>
    </w:p>
    <w:p w14:paraId="5EB30474">
      <w:pPr>
        <w:pStyle w:val="5"/>
        <w:spacing w:line="360" w:lineRule="auto"/>
        <w:ind w:right="13"/>
        <w:jc w:val="right"/>
        <w:outlineLvl w:val="2"/>
        <w:rPr>
          <w:color w:val="auto"/>
          <w:sz w:val="21"/>
          <w:szCs w:val="21"/>
          <w:highlight w:val="none"/>
          <w:lang w:eastAsia="zh-CN"/>
        </w:rPr>
      </w:pPr>
      <w:bookmarkStart w:id="67" w:name="_Toc3139"/>
      <w:r>
        <w:rPr>
          <w:color w:val="auto"/>
          <w:spacing w:val="7"/>
          <w:sz w:val="21"/>
          <w:szCs w:val="21"/>
          <w:highlight w:val="none"/>
          <w:lang w:eastAsia="zh-CN"/>
        </w:rPr>
        <w:t>投标文件以及投标人与采购人就有关投标事宜的所有来往函电，均应以中文书写（除专</w:t>
      </w:r>
      <w:bookmarkEnd w:id="67"/>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68"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68"/>
    </w:p>
    <w:p w14:paraId="246232DC">
      <w:pPr>
        <w:pStyle w:val="5"/>
        <w:spacing w:line="360" w:lineRule="auto"/>
        <w:ind w:right="13"/>
        <w:jc w:val="right"/>
        <w:outlineLvl w:val="2"/>
        <w:rPr>
          <w:color w:val="auto"/>
          <w:sz w:val="21"/>
          <w:szCs w:val="21"/>
          <w:highlight w:val="none"/>
          <w:lang w:eastAsia="zh-CN"/>
        </w:rPr>
      </w:pPr>
      <w:bookmarkStart w:id="69" w:name="_Toc9115"/>
      <w:r>
        <w:rPr>
          <w:color w:val="auto"/>
          <w:spacing w:val="7"/>
          <w:sz w:val="21"/>
          <w:szCs w:val="21"/>
          <w:highlight w:val="none"/>
          <w:lang w:eastAsia="zh-CN"/>
        </w:rPr>
        <w:t>招标文件已有明确规定的，使用招标文件规定的计量单位；招标文件没有规定的，应采</w:t>
      </w:r>
      <w:bookmarkEnd w:id="69"/>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0" w:name="_Toc23109"/>
      <w:r>
        <w:rPr>
          <w:rFonts w:ascii="黑体" w:hAnsi="黑体" w:eastAsia="黑体" w:cs="黑体"/>
          <w:b/>
          <w:bCs/>
          <w:color w:val="auto"/>
          <w:spacing w:val="-5"/>
          <w:highlight w:val="none"/>
          <w:lang w:eastAsia="zh-CN"/>
        </w:rPr>
        <w:t>15.投标的风险</w:t>
      </w:r>
      <w:bookmarkEnd w:id="70"/>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71" w:name="_Toc14339"/>
      <w:r>
        <w:rPr>
          <w:rFonts w:ascii="黑体" w:hAnsi="黑体" w:eastAsia="黑体" w:cs="黑体"/>
          <w:b/>
          <w:bCs/>
          <w:color w:val="auto"/>
          <w:spacing w:val="-5"/>
          <w:highlight w:val="none"/>
          <w:lang w:eastAsia="zh-CN"/>
        </w:rPr>
        <w:t>16.投标报价</w:t>
      </w:r>
      <w:bookmarkEnd w:id="71"/>
    </w:p>
    <w:p w14:paraId="1541A3B1">
      <w:pPr>
        <w:pStyle w:val="5"/>
        <w:spacing w:line="360" w:lineRule="auto"/>
        <w:ind w:left="455"/>
        <w:outlineLvl w:val="2"/>
        <w:rPr>
          <w:color w:val="auto"/>
          <w:sz w:val="21"/>
          <w:szCs w:val="21"/>
          <w:highlight w:val="none"/>
          <w:lang w:eastAsia="zh-CN"/>
        </w:rPr>
      </w:pPr>
      <w:bookmarkStart w:id="72"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72"/>
    </w:p>
    <w:p w14:paraId="00EBC228">
      <w:pPr>
        <w:pStyle w:val="5"/>
        <w:spacing w:line="360" w:lineRule="auto"/>
        <w:ind w:left="455"/>
        <w:outlineLvl w:val="2"/>
        <w:rPr>
          <w:color w:val="auto"/>
          <w:sz w:val="21"/>
          <w:szCs w:val="21"/>
          <w:highlight w:val="none"/>
          <w:lang w:eastAsia="zh-CN"/>
        </w:rPr>
      </w:pPr>
      <w:bookmarkStart w:id="73"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73"/>
    </w:p>
    <w:p w14:paraId="68B4BBCE">
      <w:pPr>
        <w:pStyle w:val="5"/>
        <w:spacing w:line="360" w:lineRule="auto"/>
        <w:ind w:firstLine="452" w:firstLineChars="200"/>
        <w:outlineLvl w:val="2"/>
        <w:rPr>
          <w:color w:val="auto"/>
          <w:sz w:val="21"/>
          <w:szCs w:val="21"/>
          <w:highlight w:val="none"/>
          <w:lang w:eastAsia="zh-CN"/>
        </w:rPr>
      </w:pPr>
      <w:bookmarkStart w:id="74"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74"/>
    </w:p>
    <w:p w14:paraId="7007F4B4">
      <w:pPr>
        <w:spacing w:line="360" w:lineRule="auto"/>
        <w:ind w:left="453"/>
        <w:outlineLvl w:val="2"/>
        <w:rPr>
          <w:rFonts w:ascii="黑体" w:hAnsi="黑体" w:eastAsia="黑体" w:cs="黑体"/>
          <w:color w:val="auto"/>
          <w:highlight w:val="none"/>
          <w:lang w:eastAsia="zh-CN"/>
        </w:rPr>
      </w:pPr>
      <w:bookmarkStart w:id="75" w:name="_Toc31976"/>
      <w:r>
        <w:rPr>
          <w:rFonts w:ascii="黑体" w:hAnsi="黑体" w:eastAsia="黑体" w:cs="黑体"/>
          <w:b/>
          <w:bCs/>
          <w:color w:val="auto"/>
          <w:spacing w:val="-5"/>
          <w:highlight w:val="none"/>
          <w:lang w:eastAsia="zh-CN"/>
        </w:rPr>
        <w:t>17.投标有效期</w:t>
      </w:r>
      <w:bookmarkEnd w:id="75"/>
    </w:p>
    <w:p w14:paraId="3F52D23D">
      <w:pPr>
        <w:pStyle w:val="5"/>
        <w:spacing w:line="360" w:lineRule="auto"/>
        <w:ind w:firstLine="460" w:firstLineChars="200"/>
        <w:outlineLvl w:val="2"/>
        <w:rPr>
          <w:color w:val="auto"/>
          <w:spacing w:val="9"/>
          <w:sz w:val="21"/>
          <w:szCs w:val="21"/>
          <w:highlight w:val="none"/>
          <w:lang w:eastAsia="zh-CN"/>
        </w:rPr>
      </w:pPr>
      <w:bookmarkStart w:id="76"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76"/>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77"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77"/>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78"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78"/>
    </w:p>
    <w:p w14:paraId="75408EB7">
      <w:pPr>
        <w:spacing w:line="360" w:lineRule="auto"/>
        <w:ind w:left="453"/>
        <w:outlineLvl w:val="2"/>
        <w:rPr>
          <w:rFonts w:ascii="黑体" w:hAnsi="黑体" w:eastAsia="黑体" w:cs="黑体"/>
          <w:color w:val="auto"/>
          <w:highlight w:val="none"/>
          <w:lang w:eastAsia="zh-CN"/>
        </w:rPr>
      </w:pPr>
      <w:bookmarkStart w:id="79" w:name="_Toc7985"/>
      <w:r>
        <w:rPr>
          <w:rFonts w:ascii="黑体" w:hAnsi="黑体" w:eastAsia="黑体" w:cs="黑体"/>
          <w:b/>
          <w:bCs/>
          <w:color w:val="auto"/>
          <w:spacing w:val="-4"/>
          <w:highlight w:val="none"/>
          <w:lang w:eastAsia="zh-CN"/>
        </w:rPr>
        <w:t>19.投标文件的编制</w:t>
      </w:r>
      <w:bookmarkEnd w:id="79"/>
    </w:p>
    <w:p w14:paraId="04E5D397">
      <w:pPr>
        <w:pStyle w:val="5"/>
        <w:spacing w:line="360" w:lineRule="auto"/>
        <w:ind w:firstLine="460" w:firstLineChars="200"/>
        <w:outlineLvl w:val="2"/>
        <w:rPr>
          <w:color w:val="auto"/>
          <w:sz w:val="21"/>
          <w:szCs w:val="21"/>
          <w:highlight w:val="none"/>
          <w:lang w:eastAsia="zh-CN"/>
        </w:rPr>
      </w:pPr>
      <w:bookmarkStart w:id="80"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0"/>
    </w:p>
    <w:p w14:paraId="2F04A788">
      <w:pPr>
        <w:pStyle w:val="5"/>
        <w:spacing w:line="360" w:lineRule="auto"/>
        <w:ind w:firstLine="460" w:firstLineChars="200"/>
        <w:outlineLvl w:val="2"/>
        <w:rPr>
          <w:color w:val="auto"/>
          <w:sz w:val="21"/>
          <w:szCs w:val="21"/>
          <w:highlight w:val="none"/>
          <w:lang w:eastAsia="zh-CN"/>
        </w:rPr>
      </w:pPr>
      <w:bookmarkStart w:id="81"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81"/>
    </w:p>
    <w:p w14:paraId="6F93AA88">
      <w:pPr>
        <w:pStyle w:val="5"/>
        <w:spacing w:line="360" w:lineRule="auto"/>
        <w:ind w:firstLine="460" w:firstLineChars="200"/>
        <w:outlineLvl w:val="2"/>
        <w:rPr>
          <w:color w:val="auto"/>
          <w:sz w:val="21"/>
          <w:szCs w:val="21"/>
          <w:highlight w:val="none"/>
          <w:lang w:eastAsia="zh-CN"/>
        </w:rPr>
      </w:pPr>
      <w:bookmarkStart w:id="82"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82"/>
    </w:p>
    <w:p w14:paraId="672D6542">
      <w:pPr>
        <w:pStyle w:val="5"/>
        <w:spacing w:line="360" w:lineRule="auto"/>
        <w:ind w:firstLine="460" w:firstLineChars="200"/>
        <w:outlineLvl w:val="2"/>
        <w:rPr>
          <w:color w:val="auto"/>
          <w:sz w:val="21"/>
          <w:szCs w:val="21"/>
          <w:highlight w:val="none"/>
          <w:lang w:eastAsia="zh-CN"/>
        </w:rPr>
      </w:pPr>
      <w:bookmarkStart w:id="83"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83"/>
    </w:p>
    <w:p w14:paraId="4897CE2F">
      <w:pPr>
        <w:pStyle w:val="5"/>
        <w:spacing w:line="360" w:lineRule="auto"/>
        <w:ind w:firstLine="460" w:firstLineChars="200"/>
        <w:outlineLvl w:val="2"/>
        <w:rPr>
          <w:color w:val="auto"/>
          <w:sz w:val="21"/>
          <w:szCs w:val="21"/>
          <w:highlight w:val="none"/>
          <w:lang w:eastAsia="zh-CN"/>
        </w:rPr>
      </w:pPr>
      <w:bookmarkStart w:id="84"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84"/>
    </w:p>
    <w:p w14:paraId="19BD48D6">
      <w:pPr>
        <w:spacing w:line="360" w:lineRule="auto"/>
        <w:ind w:left="499"/>
        <w:outlineLvl w:val="2"/>
        <w:rPr>
          <w:rFonts w:ascii="黑体" w:hAnsi="黑体" w:eastAsia="黑体" w:cs="黑体"/>
          <w:color w:val="auto"/>
          <w:highlight w:val="none"/>
          <w:lang w:eastAsia="zh-CN"/>
        </w:rPr>
      </w:pPr>
      <w:bookmarkStart w:id="85" w:name="_Toc27252"/>
      <w:r>
        <w:rPr>
          <w:rFonts w:ascii="黑体" w:hAnsi="黑体" w:eastAsia="黑体" w:cs="黑体"/>
          <w:b/>
          <w:bCs/>
          <w:color w:val="auto"/>
          <w:spacing w:val="-3"/>
          <w:highlight w:val="none"/>
          <w:lang w:eastAsia="zh-CN"/>
        </w:rPr>
        <w:t>20.电子备份投标文件</w:t>
      </w:r>
      <w:bookmarkEnd w:id="85"/>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86" w:name="_Toc20886"/>
      <w:r>
        <w:rPr>
          <w:rFonts w:ascii="黑体" w:hAnsi="黑体" w:eastAsia="黑体" w:cs="黑体"/>
          <w:b/>
          <w:bCs/>
          <w:color w:val="auto"/>
          <w:spacing w:val="-3"/>
          <w:highlight w:val="none"/>
          <w:lang w:eastAsia="zh-CN"/>
        </w:rPr>
        <w:t>21.投标文件的提交</w:t>
      </w:r>
      <w:bookmarkEnd w:id="86"/>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87"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87"/>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88" w:name="_Toc2507"/>
      <w:r>
        <w:rPr>
          <w:b/>
          <w:bCs/>
          <w:color w:val="auto"/>
          <w:spacing w:val="-3"/>
          <w:sz w:val="21"/>
          <w:szCs w:val="21"/>
          <w:highlight w:val="none"/>
          <w:lang w:eastAsia="zh-CN"/>
        </w:rPr>
        <w:t>四、开标</w:t>
      </w:r>
      <w:bookmarkEnd w:id="88"/>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89" w:name="_Toc7426"/>
      <w:r>
        <w:rPr>
          <w:rFonts w:ascii="黑体" w:hAnsi="黑体" w:eastAsia="黑体" w:cs="黑体"/>
          <w:b/>
          <w:bCs/>
          <w:color w:val="auto"/>
          <w:spacing w:val="-3"/>
          <w:highlight w:val="none"/>
          <w:lang w:eastAsia="zh-CN"/>
        </w:rPr>
        <w:t>23.开标时间和地点</w:t>
      </w:r>
      <w:bookmarkEnd w:id="89"/>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0" w:name="_Toc17018"/>
      <w:r>
        <w:rPr>
          <w:rFonts w:ascii="黑体" w:hAnsi="黑体" w:eastAsia="黑体" w:cs="黑体"/>
          <w:b/>
          <w:bCs/>
          <w:color w:val="auto"/>
          <w:spacing w:val="-3"/>
          <w:highlight w:val="none"/>
          <w:lang w:eastAsia="zh-CN"/>
        </w:rPr>
        <w:t>24.开标程序</w:t>
      </w:r>
      <w:bookmarkEnd w:id="90"/>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91" w:name="_Toc30826"/>
      <w:r>
        <w:rPr>
          <w:b/>
          <w:bCs/>
          <w:color w:val="auto"/>
          <w:spacing w:val="4"/>
          <w:sz w:val="21"/>
          <w:szCs w:val="21"/>
          <w:highlight w:val="none"/>
          <w:lang w:eastAsia="zh-CN"/>
        </w:rPr>
        <w:t>五、资格审查</w:t>
      </w:r>
      <w:bookmarkEnd w:id="91"/>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92" w:name="_Toc22658"/>
      <w:r>
        <w:rPr>
          <w:rFonts w:ascii="黑体" w:hAnsi="黑体" w:eastAsia="黑体" w:cs="黑体"/>
          <w:b/>
          <w:bCs/>
          <w:color w:val="auto"/>
          <w:spacing w:val="-3"/>
          <w:highlight w:val="none"/>
          <w:lang w:eastAsia="zh-CN"/>
        </w:rPr>
        <w:t>25.资格审查</w:t>
      </w:r>
      <w:bookmarkEnd w:id="92"/>
    </w:p>
    <w:p w14:paraId="48DD5052">
      <w:pPr>
        <w:pStyle w:val="5"/>
        <w:spacing w:line="360" w:lineRule="auto"/>
        <w:ind w:firstLine="464" w:firstLineChars="200"/>
        <w:outlineLvl w:val="2"/>
        <w:rPr>
          <w:color w:val="auto"/>
          <w:sz w:val="21"/>
          <w:szCs w:val="21"/>
          <w:highlight w:val="none"/>
          <w:lang w:eastAsia="zh-CN"/>
        </w:rPr>
      </w:pPr>
      <w:bookmarkStart w:id="93"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93"/>
    </w:p>
    <w:p w14:paraId="420510E0">
      <w:pPr>
        <w:pStyle w:val="5"/>
        <w:spacing w:line="360" w:lineRule="auto"/>
        <w:ind w:firstLine="460" w:firstLineChars="200"/>
        <w:outlineLvl w:val="2"/>
        <w:rPr>
          <w:color w:val="auto"/>
          <w:sz w:val="21"/>
          <w:szCs w:val="21"/>
          <w:highlight w:val="none"/>
          <w:lang w:eastAsia="zh-CN"/>
        </w:rPr>
      </w:pPr>
      <w:bookmarkStart w:id="94"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94"/>
    </w:p>
    <w:p w14:paraId="2EA48283">
      <w:pPr>
        <w:pStyle w:val="5"/>
        <w:spacing w:line="360" w:lineRule="auto"/>
        <w:ind w:left="442"/>
        <w:outlineLvl w:val="2"/>
        <w:rPr>
          <w:color w:val="auto"/>
          <w:sz w:val="21"/>
          <w:szCs w:val="21"/>
          <w:highlight w:val="none"/>
          <w:lang w:eastAsia="zh-CN"/>
        </w:rPr>
      </w:pPr>
      <w:bookmarkStart w:id="95" w:name="_Toc32416"/>
      <w:r>
        <w:rPr>
          <w:color w:val="auto"/>
          <w:spacing w:val="8"/>
          <w:sz w:val="21"/>
          <w:szCs w:val="21"/>
          <w:highlight w:val="none"/>
          <w:lang w:eastAsia="zh-CN"/>
        </w:rPr>
        <w:t>25.3 投标人有下列情形之一的，资格审查不通过，作无效投标处理：</w:t>
      </w:r>
      <w:bookmarkEnd w:id="95"/>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96"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96"/>
    </w:p>
    <w:p w14:paraId="7A2E77EB">
      <w:pPr>
        <w:pStyle w:val="5"/>
        <w:spacing w:line="360" w:lineRule="auto"/>
        <w:ind w:left="3537"/>
        <w:outlineLvl w:val="1"/>
        <w:rPr>
          <w:color w:val="auto"/>
          <w:sz w:val="21"/>
          <w:szCs w:val="21"/>
          <w:highlight w:val="none"/>
          <w:lang w:eastAsia="zh-CN"/>
        </w:rPr>
      </w:pPr>
      <w:bookmarkStart w:id="97" w:name="_Toc6208"/>
      <w:r>
        <w:rPr>
          <w:b/>
          <w:bCs/>
          <w:color w:val="auto"/>
          <w:spacing w:val="3"/>
          <w:sz w:val="21"/>
          <w:szCs w:val="21"/>
          <w:highlight w:val="none"/>
          <w:lang w:eastAsia="zh-CN"/>
        </w:rPr>
        <w:t>六、评标</w:t>
      </w:r>
      <w:bookmarkEnd w:id="97"/>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98" w:name="_Toc11623"/>
      <w:r>
        <w:rPr>
          <w:rFonts w:ascii="黑体" w:hAnsi="黑体" w:eastAsia="黑体" w:cs="黑体"/>
          <w:b/>
          <w:bCs/>
          <w:color w:val="auto"/>
          <w:spacing w:val="-3"/>
          <w:highlight w:val="none"/>
          <w:lang w:eastAsia="zh-CN"/>
        </w:rPr>
        <w:t>26.组建评标委员会</w:t>
      </w:r>
      <w:bookmarkEnd w:id="98"/>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99" w:name="_Toc31518"/>
      <w:r>
        <w:rPr>
          <w:rFonts w:ascii="黑体" w:hAnsi="黑体" w:eastAsia="黑体" w:cs="黑体"/>
          <w:b/>
          <w:bCs/>
          <w:color w:val="auto"/>
          <w:spacing w:val="-3"/>
          <w:highlight w:val="none"/>
          <w:lang w:eastAsia="zh-CN"/>
        </w:rPr>
        <w:t>27.评标的依据</w:t>
      </w:r>
      <w:bookmarkEnd w:id="99"/>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0" w:name="_Toc14762"/>
      <w:r>
        <w:rPr>
          <w:rFonts w:ascii="黑体" w:hAnsi="黑体" w:eastAsia="黑体" w:cs="黑体"/>
          <w:b/>
          <w:bCs/>
          <w:color w:val="auto"/>
          <w:spacing w:val="-3"/>
          <w:highlight w:val="none"/>
          <w:lang w:eastAsia="zh-CN"/>
        </w:rPr>
        <w:t>28.评标原则</w:t>
      </w:r>
      <w:bookmarkEnd w:id="100"/>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01" w:name="_Toc22879"/>
      <w:r>
        <w:rPr>
          <w:rFonts w:ascii="黑体" w:hAnsi="黑体" w:eastAsia="黑体" w:cs="黑体"/>
          <w:b/>
          <w:bCs/>
          <w:color w:val="auto"/>
          <w:spacing w:val="-3"/>
          <w:highlight w:val="none"/>
          <w:lang w:eastAsia="zh-CN"/>
        </w:rPr>
        <w:t>29.评标方法及中标候选人推荐</w:t>
      </w:r>
      <w:bookmarkEnd w:id="101"/>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02" w:name="_Toc12512"/>
      <w:r>
        <w:rPr>
          <w:b/>
          <w:bCs/>
          <w:color w:val="auto"/>
          <w:spacing w:val="6"/>
          <w:sz w:val="21"/>
          <w:szCs w:val="21"/>
          <w:highlight w:val="none"/>
          <w:lang w:eastAsia="zh-CN"/>
        </w:rPr>
        <w:t>七、中标和合同</w:t>
      </w:r>
      <w:bookmarkEnd w:id="102"/>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03"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03"/>
    </w:p>
    <w:p w14:paraId="6A53746A">
      <w:pPr>
        <w:pStyle w:val="5"/>
        <w:spacing w:line="360" w:lineRule="auto"/>
        <w:ind w:firstLine="460" w:firstLineChars="200"/>
        <w:outlineLvl w:val="2"/>
        <w:rPr>
          <w:color w:val="auto"/>
          <w:sz w:val="21"/>
          <w:szCs w:val="21"/>
          <w:highlight w:val="none"/>
          <w:lang w:eastAsia="zh-CN"/>
        </w:rPr>
      </w:pPr>
      <w:bookmarkStart w:id="104"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04"/>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05"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05"/>
    </w:p>
    <w:p w14:paraId="155AF5CA">
      <w:pPr>
        <w:pStyle w:val="5"/>
        <w:spacing w:line="360" w:lineRule="auto"/>
        <w:ind w:firstLine="460" w:firstLineChars="200"/>
        <w:outlineLvl w:val="2"/>
        <w:rPr>
          <w:color w:val="auto"/>
          <w:sz w:val="21"/>
          <w:szCs w:val="21"/>
          <w:highlight w:val="none"/>
          <w:lang w:eastAsia="zh-CN"/>
        </w:rPr>
      </w:pPr>
      <w:bookmarkStart w:id="106"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06"/>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07"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07"/>
    </w:p>
    <w:p w14:paraId="206662C3">
      <w:pPr>
        <w:spacing w:line="360" w:lineRule="auto"/>
        <w:ind w:left="441"/>
        <w:outlineLvl w:val="2"/>
        <w:rPr>
          <w:rFonts w:ascii="黑体" w:hAnsi="黑体" w:eastAsia="黑体" w:cs="黑体"/>
          <w:color w:val="auto"/>
          <w:highlight w:val="none"/>
          <w:lang w:eastAsia="zh-CN"/>
        </w:rPr>
      </w:pPr>
      <w:bookmarkStart w:id="108" w:name="_Toc6599"/>
      <w:r>
        <w:rPr>
          <w:rFonts w:ascii="黑体" w:hAnsi="黑体" w:eastAsia="黑体" w:cs="黑体"/>
          <w:b/>
          <w:bCs/>
          <w:color w:val="auto"/>
          <w:spacing w:val="-3"/>
          <w:highlight w:val="none"/>
          <w:lang w:eastAsia="zh-CN"/>
        </w:rPr>
        <w:t>32.发出中标通知书</w:t>
      </w:r>
      <w:bookmarkEnd w:id="108"/>
    </w:p>
    <w:p w14:paraId="4387B764">
      <w:pPr>
        <w:pStyle w:val="5"/>
        <w:spacing w:line="360" w:lineRule="auto"/>
        <w:ind w:left="19" w:firstLine="452" w:firstLineChars="200"/>
        <w:outlineLvl w:val="2"/>
        <w:rPr>
          <w:color w:val="auto"/>
          <w:sz w:val="21"/>
          <w:szCs w:val="21"/>
          <w:highlight w:val="none"/>
          <w:lang w:eastAsia="zh-CN"/>
        </w:rPr>
      </w:pPr>
      <w:bookmarkStart w:id="109"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09"/>
    </w:p>
    <w:p w14:paraId="4A37E3AA">
      <w:pPr>
        <w:spacing w:line="360" w:lineRule="auto"/>
        <w:ind w:left="441"/>
        <w:outlineLvl w:val="2"/>
        <w:rPr>
          <w:rFonts w:ascii="黑体" w:hAnsi="黑体" w:eastAsia="黑体" w:cs="黑体"/>
          <w:color w:val="auto"/>
          <w:highlight w:val="none"/>
          <w:lang w:eastAsia="zh-CN"/>
        </w:rPr>
      </w:pPr>
      <w:bookmarkStart w:id="110"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0"/>
    </w:p>
    <w:p w14:paraId="1FBFAB72">
      <w:pPr>
        <w:pStyle w:val="5"/>
        <w:spacing w:line="360" w:lineRule="auto"/>
        <w:ind w:left="439"/>
        <w:outlineLvl w:val="2"/>
        <w:rPr>
          <w:color w:val="auto"/>
          <w:sz w:val="21"/>
          <w:szCs w:val="21"/>
          <w:highlight w:val="none"/>
          <w:lang w:eastAsia="zh-CN"/>
        </w:rPr>
      </w:pPr>
      <w:bookmarkStart w:id="111" w:name="_Toc2969"/>
      <w:r>
        <w:rPr>
          <w:color w:val="auto"/>
          <w:spacing w:val="9"/>
          <w:sz w:val="21"/>
          <w:szCs w:val="21"/>
          <w:highlight w:val="none"/>
          <w:lang w:eastAsia="zh-CN"/>
        </w:rPr>
        <w:t>采购代理机构无义务向未中标的投标人解释未中标原因。</w:t>
      </w:r>
      <w:bookmarkEnd w:id="111"/>
    </w:p>
    <w:p w14:paraId="724435E0">
      <w:pPr>
        <w:spacing w:line="360" w:lineRule="auto"/>
        <w:ind w:left="441"/>
        <w:outlineLvl w:val="2"/>
        <w:rPr>
          <w:rFonts w:ascii="黑体" w:hAnsi="黑体" w:eastAsia="黑体" w:cs="黑体"/>
          <w:color w:val="auto"/>
          <w:highlight w:val="none"/>
          <w:lang w:eastAsia="zh-CN"/>
        </w:rPr>
      </w:pPr>
      <w:bookmarkStart w:id="112" w:name="_Toc14095"/>
      <w:r>
        <w:rPr>
          <w:rFonts w:ascii="黑体" w:hAnsi="黑体" w:eastAsia="黑体" w:cs="黑体"/>
          <w:b/>
          <w:bCs/>
          <w:color w:val="auto"/>
          <w:spacing w:val="-3"/>
          <w:highlight w:val="none"/>
          <w:lang w:eastAsia="zh-CN"/>
        </w:rPr>
        <w:t>34.合同授予标准</w:t>
      </w:r>
      <w:bookmarkEnd w:id="112"/>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13" w:name="_Toc10095"/>
      <w:r>
        <w:rPr>
          <w:rFonts w:ascii="黑体" w:hAnsi="黑体" w:eastAsia="黑体" w:cs="黑体"/>
          <w:b/>
          <w:bCs/>
          <w:color w:val="auto"/>
          <w:spacing w:val="-3"/>
          <w:highlight w:val="none"/>
          <w:lang w:eastAsia="zh-CN"/>
        </w:rPr>
        <w:t>35.履约保证金</w:t>
      </w:r>
      <w:bookmarkEnd w:id="113"/>
    </w:p>
    <w:p w14:paraId="62367BEF">
      <w:pPr>
        <w:pStyle w:val="5"/>
        <w:spacing w:line="360" w:lineRule="auto"/>
        <w:ind w:firstLine="456" w:firstLineChars="200"/>
        <w:outlineLvl w:val="2"/>
        <w:rPr>
          <w:color w:val="auto"/>
          <w:sz w:val="21"/>
          <w:szCs w:val="21"/>
          <w:highlight w:val="none"/>
          <w:lang w:eastAsia="zh-CN"/>
        </w:rPr>
      </w:pPr>
      <w:bookmarkStart w:id="114"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14"/>
    </w:p>
    <w:p w14:paraId="64C9A7E0">
      <w:pPr>
        <w:pStyle w:val="5"/>
        <w:spacing w:line="360" w:lineRule="auto"/>
        <w:ind w:firstLine="416" w:firstLineChars="200"/>
        <w:outlineLvl w:val="2"/>
        <w:rPr>
          <w:color w:val="auto"/>
          <w:sz w:val="21"/>
          <w:szCs w:val="21"/>
          <w:highlight w:val="none"/>
          <w:lang w:eastAsia="zh-CN"/>
        </w:rPr>
      </w:pPr>
      <w:bookmarkStart w:id="115"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15"/>
    </w:p>
    <w:p w14:paraId="0D78BB54">
      <w:pPr>
        <w:spacing w:line="360" w:lineRule="auto"/>
        <w:ind w:left="441"/>
        <w:outlineLvl w:val="2"/>
        <w:rPr>
          <w:rFonts w:ascii="黑体" w:hAnsi="黑体" w:eastAsia="黑体" w:cs="黑体"/>
          <w:b/>
          <w:bCs/>
          <w:color w:val="auto"/>
          <w:spacing w:val="-4"/>
          <w:highlight w:val="none"/>
          <w:lang w:eastAsia="zh-CN"/>
        </w:rPr>
      </w:pPr>
      <w:bookmarkStart w:id="116" w:name="_Toc11970"/>
      <w:r>
        <w:rPr>
          <w:rFonts w:ascii="黑体" w:hAnsi="黑体" w:eastAsia="黑体" w:cs="黑体"/>
          <w:b/>
          <w:bCs/>
          <w:color w:val="auto"/>
          <w:spacing w:val="-4"/>
          <w:highlight w:val="none"/>
          <w:lang w:eastAsia="zh-CN"/>
        </w:rPr>
        <w:t>36.签订合同</w:t>
      </w:r>
      <w:bookmarkEnd w:id="116"/>
    </w:p>
    <w:p w14:paraId="739BA81F">
      <w:pPr>
        <w:spacing w:line="360" w:lineRule="auto"/>
        <w:ind w:firstLine="448" w:firstLineChars="200"/>
        <w:outlineLvl w:val="2"/>
        <w:rPr>
          <w:color w:val="auto"/>
          <w:highlight w:val="none"/>
          <w:lang w:eastAsia="zh-CN"/>
        </w:rPr>
      </w:pPr>
      <w:bookmarkStart w:id="117"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17"/>
    </w:p>
    <w:p w14:paraId="37C26248">
      <w:pPr>
        <w:pStyle w:val="5"/>
        <w:spacing w:line="360" w:lineRule="auto"/>
        <w:ind w:firstLine="448" w:firstLineChars="200"/>
        <w:outlineLvl w:val="2"/>
        <w:rPr>
          <w:color w:val="auto"/>
          <w:sz w:val="21"/>
          <w:szCs w:val="21"/>
          <w:highlight w:val="none"/>
          <w:lang w:eastAsia="zh-CN"/>
        </w:rPr>
      </w:pPr>
      <w:bookmarkStart w:id="118"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18"/>
    </w:p>
    <w:p w14:paraId="737AEFAB">
      <w:pPr>
        <w:pStyle w:val="5"/>
        <w:spacing w:line="360" w:lineRule="auto"/>
        <w:ind w:left="444"/>
        <w:outlineLvl w:val="2"/>
        <w:rPr>
          <w:color w:val="auto"/>
          <w:sz w:val="21"/>
          <w:szCs w:val="21"/>
          <w:highlight w:val="none"/>
          <w:lang w:eastAsia="zh-CN"/>
        </w:rPr>
      </w:pPr>
      <w:bookmarkStart w:id="119"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19"/>
    </w:p>
    <w:p w14:paraId="21425A17">
      <w:pPr>
        <w:pStyle w:val="5"/>
        <w:spacing w:line="360" w:lineRule="auto"/>
        <w:ind w:firstLine="460" w:firstLineChars="200"/>
        <w:outlineLvl w:val="2"/>
        <w:rPr>
          <w:color w:val="auto"/>
          <w:sz w:val="21"/>
          <w:szCs w:val="21"/>
          <w:highlight w:val="none"/>
          <w:lang w:eastAsia="zh-CN"/>
        </w:rPr>
      </w:pPr>
      <w:bookmarkStart w:id="120"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0"/>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21" w:name="_Toc27312"/>
      <w:r>
        <w:rPr>
          <w:rFonts w:ascii="黑体" w:hAnsi="黑体" w:eastAsia="黑体" w:cs="黑体"/>
          <w:b/>
          <w:bCs/>
          <w:color w:val="auto"/>
          <w:spacing w:val="-3"/>
          <w:highlight w:val="none"/>
          <w:lang w:eastAsia="zh-CN"/>
        </w:rPr>
        <w:t>37.政府采购合同公告</w:t>
      </w:r>
      <w:bookmarkEnd w:id="121"/>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22"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22"/>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23"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23"/>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24"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24"/>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25"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25"/>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26" w:name="_Toc11858"/>
      <w:r>
        <w:rPr>
          <w:b/>
          <w:bCs/>
          <w:color w:val="auto"/>
          <w:spacing w:val="4"/>
          <w:sz w:val="21"/>
          <w:szCs w:val="21"/>
          <w:highlight w:val="none"/>
        </w:rPr>
        <w:t>八、其他事项</w:t>
      </w:r>
      <w:bookmarkEnd w:id="126"/>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1"/>
        </w:numPr>
        <w:spacing w:before="78" w:line="221" w:lineRule="auto"/>
        <w:outlineLvl w:val="2"/>
        <w:rPr>
          <w:rFonts w:ascii="黑体" w:hAnsi="黑体" w:eastAsia="黑体" w:cs="黑体"/>
          <w:b/>
          <w:bCs/>
          <w:color w:val="auto"/>
          <w:spacing w:val="-3"/>
          <w:highlight w:val="none"/>
        </w:rPr>
      </w:pPr>
      <w:bookmarkStart w:id="127" w:name="_Toc14684"/>
      <w:r>
        <w:rPr>
          <w:rFonts w:ascii="黑体" w:hAnsi="黑体" w:eastAsia="黑体" w:cs="黑体"/>
          <w:b/>
          <w:bCs/>
          <w:color w:val="auto"/>
          <w:spacing w:val="-3"/>
          <w:highlight w:val="none"/>
        </w:rPr>
        <w:t>代理服务费</w:t>
      </w:r>
      <w:bookmarkEnd w:id="127"/>
    </w:p>
    <w:p w14:paraId="142DE78A">
      <w:pPr>
        <w:spacing w:before="78" w:line="221" w:lineRule="auto"/>
        <w:ind w:firstLine="420" w:firstLineChars="200"/>
        <w:outlineLvl w:val="2"/>
        <w:rPr>
          <w:rFonts w:ascii="宋体" w:hAnsi="宋体" w:eastAsia="宋体" w:cs="宋体"/>
          <w:color w:val="auto"/>
          <w:highlight w:val="none"/>
          <w:lang w:eastAsia="zh-CN"/>
        </w:rPr>
      </w:pPr>
      <w:bookmarkStart w:id="128"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28"/>
    </w:p>
    <w:p w14:paraId="015557E5">
      <w:pPr>
        <w:pStyle w:val="5"/>
        <w:spacing w:before="161" w:line="228" w:lineRule="auto"/>
        <w:ind w:left="444"/>
        <w:outlineLvl w:val="2"/>
        <w:rPr>
          <w:color w:val="auto"/>
          <w:sz w:val="21"/>
          <w:szCs w:val="21"/>
          <w:highlight w:val="none"/>
        </w:rPr>
      </w:pPr>
      <w:bookmarkStart w:id="129"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29"/>
    </w:p>
    <w:p w14:paraId="68F43FBC">
      <w:pPr>
        <w:spacing w:before="29"/>
        <w:rPr>
          <w:color w:val="auto"/>
          <w:highlight w:val="none"/>
        </w:rPr>
      </w:pPr>
    </w:p>
    <w:p w14:paraId="6E9870EA">
      <w:pPr>
        <w:spacing w:before="28"/>
        <w:rPr>
          <w:color w:val="auto"/>
          <w:highlight w:val="none"/>
        </w:rPr>
      </w:pPr>
    </w:p>
    <w:tbl>
      <w:tblPr>
        <w:tblStyle w:val="28"/>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869D51">
            <w:pPr>
              <w:pStyle w:val="29"/>
              <w:spacing w:before="36" w:line="228" w:lineRule="auto"/>
              <w:ind w:left="1701"/>
              <w:rPr>
                <w:color w:val="auto"/>
                <w:sz w:val="21"/>
                <w:szCs w:val="21"/>
                <w:highlight w:val="none"/>
              </w:rPr>
            </w:pPr>
            <w:r>
              <w:rPr>
                <w:color w:val="auto"/>
                <w:spacing w:val="-1"/>
                <w:sz w:val="21"/>
                <w:szCs w:val="21"/>
                <w:highlight w:val="none"/>
              </w:rPr>
              <w:t>费率</w:t>
            </w:r>
          </w:p>
          <w:p w14:paraId="7356C490">
            <w:pPr>
              <w:pStyle w:val="29"/>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29"/>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29"/>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29"/>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29"/>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29"/>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29"/>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29"/>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29"/>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29"/>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29"/>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29"/>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29"/>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29"/>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29"/>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29"/>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29"/>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29"/>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29"/>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29"/>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29"/>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29"/>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29"/>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29"/>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29"/>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29"/>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29"/>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29"/>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29"/>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29"/>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29"/>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29"/>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29"/>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29"/>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29"/>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29"/>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29"/>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29"/>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29"/>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29"/>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29"/>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29"/>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29"/>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29"/>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0"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0"/>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31"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31"/>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6B1450C2">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32" w:name="bookmark7"/>
      <w:bookmarkEnd w:id="132"/>
      <w:bookmarkStart w:id="133" w:name="_Toc15233"/>
      <w:r>
        <w:rPr>
          <w:b/>
          <w:bCs/>
          <w:color w:val="auto"/>
          <w:spacing w:val="5"/>
          <w:sz w:val="43"/>
          <w:szCs w:val="43"/>
          <w:highlight w:val="none"/>
          <w:lang w:eastAsia="zh-CN"/>
        </w:rPr>
        <w:t>第四章评标方法及评标标准</w:t>
      </w:r>
      <w:bookmarkEnd w:id="133"/>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34" w:name="_Toc2912"/>
      <w:r>
        <w:rPr>
          <w:b/>
          <w:bCs/>
          <w:color w:val="auto"/>
          <w:spacing w:val="4"/>
          <w:sz w:val="31"/>
          <w:szCs w:val="31"/>
          <w:highlight w:val="none"/>
          <w:lang w:eastAsia="zh-CN"/>
        </w:rPr>
        <w:t>一、评标方法</w:t>
      </w:r>
      <w:bookmarkEnd w:id="134"/>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35" w:name="_Toc11850"/>
      <w:r>
        <w:rPr>
          <w:b/>
          <w:bCs/>
          <w:color w:val="auto"/>
          <w:spacing w:val="4"/>
          <w:sz w:val="31"/>
          <w:szCs w:val="31"/>
          <w:highlight w:val="none"/>
          <w:lang w:eastAsia="zh-CN"/>
        </w:rPr>
        <w:t>二、评标程序</w:t>
      </w:r>
      <w:bookmarkEnd w:id="135"/>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36" w:name="_Toc3049"/>
      <w:r>
        <w:rPr>
          <w:b/>
          <w:bCs/>
          <w:color w:val="auto"/>
          <w:spacing w:val="3"/>
          <w:sz w:val="21"/>
          <w:szCs w:val="21"/>
          <w:highlight w:val="none"/>
          <w:lang w:eastAsia="zh-CN"/>
        </w:rPr>
        <w:t>1.符合性审查</w:t>
      </w:r>
      <w:bookmarkEnd w:id="136"/>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37" w:name="_Toc26151"/>
      <w:r>
        <w:rPr>
          <w:b/>
          <w:bCs/>
          <w:color w:val="auto"/>
          <w:spacing w:val="7"/>
          <w:sz w:val="21"/>
          <w:szCs w:val="21"/>
          <w:highlight w:val="none"/>
          <w:lang w:eastAsia="zh-CN"/>
        </w:rPr>
        <w:t>2.符合性审查不通过而导致投标无效的情形</w:t>
      </w:r>
      <w:bookmarkEnd w:id="137"/>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38"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38"/>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39"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39"/>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0" w:name="_Toc15312"/>
      <w:r>
        <w:rPr>
          <w:b/>
          <w:bCs/>
          <w:color w:val="auto"/>
          <w:spacing w:val="4"/>
          <w:sz w:val="21"/>
          <w:szCs w:val="21"/>
          <w:highlight w:val="none"/>
          <w:lang w:eastAsia="zh-CN"/>
        </w:rPr>
        <w:t>3.澄清补正</w:t>
      </w:r>
      <w:bookmarkEnd w:id="140"/>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41" w:name="_Toc3463"/>
      <w:r>
        <w:rPr>
          <w:b/>
          <w:bCs/>
          <w:color w:val="auto"/>
          <w:spacing w:val="6"/>
          <w:sz w:val="21"/>
          <w:szCs w:val="21"/>
          <w:highlight w:val="none"/>
          <w:lang w:eastAsia="zh-CN"/>
        </w:rPr>
        <w:t>4.投标文件修正</w:t>
      </w:r>
      <w:bookmarkEnd w:id="141"/>
    </w:p>
    <w:p w14:paraId="0DC39289">
      <w:pPr>
        <w:pStyle w:val="5"/>
        <w:spacing w:line="360" w:lineRule="auto"/>
        <w:ind w:left="439"/>
        <w:outlineLvl w:val="2"/>
        <w:rPr>
          <w:color w:val="auto"/>
          <w:sz w:val="21"/>
          <w:szCs w:val="21"/>
          <w:highlight w:val="none"/>
          <w:lang w:eastAsia="zh-CN"/>
        </w:rPr>
      </w:pPr>
      <w:bookmarkStart w:id="142"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42"/>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43"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43"/>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44" w:name="_Toc14531"/>
      <w:r>
        <w:rPr>
          <w:b/>
          <w:bCs/>
          <w:color w:val="auto"/>
          <w:spacing w:val="5"/>
          <w:sz w:val="21"/>
          <w:szCs w:val="21"/>
          <w:highlight w:val="none"/>
          <w:lang w:eastAsia="zh-CN"/>
        </w:rPr>
        <w:t>5.比较与评价</w:t>
      </w:r>
      <w:bookmarkEnd w:id="144"/>
    </w:p>
    <w:p w14:paraId="467128F1">
      <w:pPr>
        <w:pStyle w:val="5"/>
        <w:spacing w:line="360" w:lineRule="auto"/>
        <w:ind w:left="444"/>
        <w:rPr>
          <w:color w:val="auto"/>
          <w:sz w:val="21"/>
          <w:szCs w:val="21"/>
          <w:highlight w:val="none"/>
          <w:lang w:eastAsia="zh-CN"/>
        </w:rPr>
      </w:pPr>
      <w:r>
        <w:rPr>
          <w:color w:val="auto"/>
          <w:spacing w:val="6"/>
          <w:sz w:val="21"/>
          <w:szCs w:val="21"/>
          <w:highlight w:val="none"/>
          <w:lang w:eastAsia="zh-CN"/>
        </w:rPr>
        <w:t>5.1</w:t>
      </w:r>
      <w:r>
        <w:rPr>
          <w:color w:val="auto"/>
          <w:spacing w:val="-35"/>
          <w:sz w:val="21"/>
          <w:szCs w:val="21"/>
          <w:highlight w:val="none"/>
          <w:lang w:eastAsia="zh-CN"/>
        </w:rPr>
        <w:t xml:space="preserve"> </w:t>
      </w:r>
      <w:r>
        <w:rPr>
          <w:color w:val="auto"/>
          <w:spacing w:val="6"/>
          <w:sz w:val="21"/>
          <w:szCs w:val="21"/>
          <w:highlight w:val="none"/>
          <w:lang w:eastAsia="zh-CN"/>
        </w:rPr>
        <w:t>采用综合评分法的</w:t>
      </w:r>
    </w:p>
    <w:p w14:paraId="251C5A42">
      <w:pPr>
        <w:pStyle w:val="5"/>
        <w:spacing w:line="360" w:lineRule="auto"/>
        <w:ind w:left="20" w:right="13" w:firstLine="429"/>
        <w:rPr>
          <w:color w:val="auto"/>
          <w:sz w:val="21"/>
          <w:szCs w:val="21"/>
          <w:highlight w:val="none"/>
          <w:lang w:eastAsia="zh-CN"/>
        </w:rPr>
      </w:pPr>
      <w:r>
        <w:rPr>
          <w:color w:val="auto"/>
          <w:spacing w:val="10"/>
          <w:sz w:val="21"/>
          <w:szCs w:val="21"/>
          <w:highlight w:val="none"/>
          <w:lang w:eastAsia="zh-CN"/>
        </w:rPr>
        <w:t>（1）评标委员会按照招标文件中规定的评标方法及评标标准</w:t>
      </w:r>
      <w:r>
        <w:rPr>
          <w:color w:val="auto"/>
          <w:spacing w:val="9"/>
          <w:sz w:val="21"/>
          <w:szCs w:val="21"/>
          <w:highlight w:val="none"/>
          <w:lang w:eastAsia="zh-CN"/>
        </w:rPr>
        <w:t>，对符合性审查合格的投</w:t>
      </w:r>
      <w:r>
        <w:rPr>
          <w:color w:val="auto"/>
          <w:sz w:val="21"/>
          <w:szCs w:val="21"/>
          <w:highlight w:val="none"/>
          <w:lang w:eastAsia="zh-CN"/>
        </w:rPr>
        <w:t xml:space="preserve"> </w:t>
      </w:r>
      <w:r>
        <w:rPr>
          <w:color w:val="auto"/>
          <w:spacing w:val="9"/>
          <w:sz w:val="21"/>
          <w:szCs w:val="21"/>
          <w:highlight w:val="none"/>
          <w:lang w:eastAsia="zh-CN"/>
        </w:rPr>
        <w:t>标文件进行商务和技术评估，综合比较与评</w:t>
      </w:r>
      <w:r>
        <w:rPr>
          <w:color w:val="auto"/>
          <w:spacing w:val="8"/>
          <w:sz w:val="21"/>
          <w:szCs w:val="21"/>
          <w:highlight w:val="none"/>
          <w:lang w:eastAsia="zh-CN"/>
        </w:rPr>
        <w:t>价。</w:t>
      </w:r>
    </w:p>
    <w:p w14:paraId="59FC7688">
      <w:pPr>
        <w:pStyle w:val="5"/>
        <w:spacing w:line="360" w:lineRule="auto"/>
        <w:ind w:left="439" w:right="11" w:firstLine="10"/>
        <w:rPr>
          <w:color w:val="auto"/>
          <w:sz w:val="21"/>
          <w:szCs w:val="21"/>
          <w:highlight w:val="none"/>
          <w:lang w:eastAsia="zh-CN"/>
        </w:rPr>
      </w:pPr>
      <w:r>
        <w:rPr>
          <w:color w:val="auto"/>
          <w:spacing w:val="10"/>
          <w:sz w:val="21"/>
          <w:szCs w:val="21"/>
          <w:highlight w:val="none"/>
          <w:lang w:eastAsia="zh-CN"/>
        </w:rPr>
        <w:t>（2）评标委员会独立对每个投标人的投标文件进行评价，并汇总每</w:t>
      </w:r>
      <w:r>
        <w:rPr>
          <w:color w:val="auto"/>
          <w:spacing w:val="9"/>
          <w:sz w:val="21"/>
          <w:szCs w:val="21"/>
          <w:highlight w:val="none"/>
          <w:lang w:eastAsia="zh-CN"/>
        </w:rPr>
        <w:t>个投标人的得分。</w:t>
      </w:r>
      <w:r>
        <w:rPr>
          <w:color w:val="auto"/>
          <w:sz w:val="21"/>
          <w:szCs w:val="21"/>
          <w:highlight w:val="none"/>
          <w:lang w:eastAsia="zh-CN"/>
        </w:rPr>
        <w:t xml:space="preserve"> </w:t>
      </w:r>
      <w:r>
        <w:rPr>
          <w:color w:val="auto"/>
          <w:spacing w:val="7"/>
          <w:sz w:val="21"/>
          <w:szCs w:val="21"/>
          <w:highlight w:val="none"/>
          <w:lang w:eastAsia="zh-CN"/>
        </w:rPr>
        <w:t>评标委员会认为投标人的报价明显低于其他通过符合性审查投标人的报价，有可能影响</w:t>
      </w:r>
    </w:p>
    <w:p w14:paraId="0786A411">
      <w:pPr>
        <w:pStyle w:val="5"/>
        <w:spacing w:line="360" w:lineRule="auto"/>
        <w:ind w:left="19" w:right="11"/>
        <w:jc w:val="both"/>
        <w:rPr>
          <w:color w:val="auto"/>
          <w:sz w:val="21"/>
          <w:szCs w:val="21"/>
          <w:highlight w:val="none"/>
          <w:lang w:eastAsia="zh-CN"/>
        </w:rPr>
      </w:pPr>
      <w:r>
        <w:rPr>
          <w:color w:val="auto"/>
          <w:spacing w:val="8"/>
          <w:sz w:val="21"/>
          <w:szCs w:val="21"/>
          <w:highlight w:val="none"/>
          <w:lang w:eastAsia="zh-CN"/>
        </w:rPr>
        <w:t>产品质量或者不能诚信履约的，应当要求其在评标</w:t>
      </w:r>
      <w:r>
        <w:rPr>
          <w:color w:val="auto"/>
          <w:spacing w:val="7"/>
          <w:sz w:val="21"/>
          <w:szCs w:val="21"/>
          <w:highlight w:val="none"/>
          <w:lang w:eastAsia="zh-CN"/>
        </w:rPr>
        <w:t>现场合理的时间内提供书面说明，必要时</w:t>
      </w:r>
      <w:r>
        <w:rPr>
          <w:color w:val="auto"/>
          <w:sz w:val="21"/>
          <w:szCs w:val="21"/>
          <w:highlight w:val="none"/>
          <w:lang w:eastAsia="zh-CN"/>
        </w:rPr>
        <w:t xml:space="preserve"> </w:t>
      </w:r>
      <w:r>
        <w:rPr>
          <w:color w:val="auto"/>
          <w:spacing w:val="11"/>
          <w:sz w:val="21"/>
          <w:szCs w:val="21"/>
          <w:highlight w:val="none"/>
          <w:lang w:eastAsia="zh-CN"/>
        </w:rPr>
        <w:t>提交相关证明材料；</w:t>
      </w:r>
      <w:r>
        <w:rPr>
          <w:b/>
          <w:bCs/>
          <w:color w:val="auto"/>
          <w:spacing w:val="11"/>
          <w:sz w:val="21"/>
          <w:szCs w:val="21"/>
          <w:highlight w:val="none"/>
          <w:lang w:eastAsia="zh-CN"/>
        </w:rPr>
        <w:t>投标人不能证明其报价合理性的，评标委员会应当将其作为无效投标</w:t>
      </w:r>
      <w:r>
        <w:rPr>
          <w:color w:val="auto"/>
          <w:spacing w:val="4"/>
          <w:sz w:val="21"/>
          <w:szCs w:val="21"/>
          <w:highlight w:val="none"/>
          <w:lang w:eastAsia="zh-CN"/>
        </w:rPr>
        <w:t xml:space="preserve"> </w:t>
      </w:r>
      <w:r>
        <w:rPr>
          <w:b/>
          <w:bCs/>
          <w:color w:val="auto"/>
          <w:spacing w:val="1"/>
          <w:sz w:val="21"/>
          <w:szCs w:val="21"/>
          <w:highlight w:val="none"/>
          <w:lang w:eastAsia="zh-CN"/>
        </w:rPr>
        <w:t>处理。</w:t>
      </w:r>
    </w:p>
    <w:p w14:paraId="41386FCB">
      <w:pPr>
        <w:pStyle w:val="5"/>
        <w:spacing w:line="360" w:lineRule="auto"/>
        <w:ind w:left="19" w:right="13" w:firstLine="430"/>
        <w:rPr>
          <w:color w:val="auto"/>
          <w:sz w:val="21"/>
          <w:szCs w:val="21"/>
          <w:highlight w:val="none"/>
          <w:lang w:eastAsia="zh-CN"/>
        </w:rPr>
      </w:pPr>
      <w:r>
        <w:rPr>
          <w:color w:val="auto"/>
          <w:spacing w:val="10"/>
          <w:sz w:val="21"/>
          <w:szCs w:val="21"/>
          <w:highlight w:val="none"/>
          <w:lang w:eastAsia="zh-CN"/>
        </w:rPr>
        <w:t>（3）评标委员会按照招标文件中规定的评标方法和标准计算</w:t>
      </w:r>
      <w:r>
        <w:rPr>
          <w:color w:val="auto"/>
          <w:spacing w:val="9"/>
          <w:sz w:val="21"/>
          <w:szCs w:val="21"/>
          <w:highlight w:val="none"/>
          <w:lang w:eastAsia="zh-CN"/>
        </w:rPr>
        <w:t>各投标人的报价得分。在</w:t>
      </w:r>
      <w:r>
        <w:rPr>
          <w:color w:val="auto"/>
          <w:sz w:val="21"/>
          <w:szCs w:val="21"/>
          <w:highlight w:val="none"/>
          <w:lang w:eastAsia="zh-CN"/>
        </w:rPr>
        <w:t xml:space="preserve"> </w:t>
      </w:r>
      <w:r>
        <w:rPr>
          <w:color w:val="auto"/>
          <w:spacing w:val="9"/>
          <w:sz w:val="21"/>
          <w:szCs w:val="21"/>
          <w:highlight w:val="none"/>
          <w:lang w:eastAsia="zh-CN"/>
        </w:rPr>
        <w:t>计算过程中，不得去掉最高报价或者最低报价。</w:t>
      </w:r>
    </w:p>
    <w:p w14:paraId="5A9A5B19">
      <w:pPr>
        <w:pStyle w:val="5"/>
        <w:spacing w:line="360" w:lineRule="auto"/>
        <w:ind w:left="449"/>
        <w:rPr>
          <w:color w:val="auto"/>
          <w:sz w:val="21"/>
          <w:szCs w:val="21"/>
          <w:highlight w:val="none"/>
          <w:lang w:eastAsia="zh-CN"/>
        </w:rPr>
      </w:pPr>
      <w:r>
        <w:rPr>
          <w:color w:val="auto"/>
          <w:spacing w:val="8"/>
          <w:sz w:val="21"/>
          <w:szCs w:val="21"/>
          <w:highlight w:val="none"/>
          <w:lang w:eastAsia="zh-CN"/>
        </w:rPr>
        <w:t>（4）各投标人的得分为所有评委的有效评分的算术平均数。</w:t>
      </w:r>
    </w:p>
    <w:p w14:paraId="22C32843">
      <w:pPr>
        <w:pStyle w:val="5"/>
        <w:spacing w:line="360" w:lineRule="auto"/>
        <w:ind w:left="449"/>
        <w:rPr>
          <w:color w:val="auto"/>
          <w:sz w:val="21"/>
          <w:szCs w:val="21"/>
          <w:highlight w:val="none"/>
          <w:lang w:eastAsia="zh-CN"/>
        </w:rPr>
      </w:pPr>
      <w:r>
        <w:rPr>
          <w:color w:val="auto"/>
          <w:spacing w:val="8"/>
          <w:sz w:val="21"/>
          <w:szCs w:val="21"/>
          <w:highlight w:val="none"/>
          <w:lang w:eastAsia="zh-CN"/>
        </w:rPr>
        <w:t>（5）评标委员会按照招标文件中的规定推荐中标候选人。</w:t>
      </w:r>
    </w:p>
    <w:p w14:paraId="277DEA22">
      <w:pPr>
        <w:pStyle w:val="5"/>
        <w:spacing w:line="360" w:lineRule="auto"/>
        <w:ind w:left="19" w:right="11" w:firstLine="430"/>
        <w:rPr>
          <w:color w:val="auto"/>
          <w:spacing w:val="6"/>
          <w:sz w:val="21"/>
          <w:szCs w:val="21"/>
          <w:highlight w:val="none"/>
          <w:lang w:eastAsia="zh-CN"/>
        </w:rPr>
      </w:pPr>
      <w:r>
        <w:rPr>
          <w:color w:val="auto"/>
          <w:spacing w:val="10"/>
          <w:sz w:val="21"/>
          <w:szCs w:val="21"/>
          <w:highlight w:val="none"/>
          <w:lang w:eastAsia="zh-CN"/>
        </w:rPr>
        <w:t>（6）起草并签署评标报告。评标委员会根据评标委员会成员</w:t>
      </w:r>
      <w:r>
        <w:rPr>
          <w:color w:val="auto"/>
          <w:spacing w:val="9"/>
          <w:sz w:val="21"/>
          <w:szCs w:val="21"/>
          <w:highlight w:val="none"/>
          <w:lang w:eastAsia="zh-CN"/>
        </w:rPr>
        <w:t>签字的原始评标记录和评</w:t>
      </w:r>
      <w:r>
        <w:rPr>
          <w:color w:val="auto"/>
          <w:sz w:val="21"/>
          <w:szCs w:val="21"/>
          <w:highlight w:val="none"/>
          <w:lang w:eastAsia="zh-CN"/>
        </w:rPr>
        <w:t xml:space="preserve"> </w:t>
      </w:r>
      <w:r>
        <w:rPr>
          <w:color w:val="auto"/>
          <w:spacing w:val="8"/>
          <w:sz w:val="21"/>
          <w:szCs w:val="21"/>
          <w:highlight w:val="none"/>
          <w:lang w:eastAsia="zh-CN"/>
        </w:rPr>
        <w:t>标结果编写评标报告。评标委员会成员均应当在评标</w:t>
      </w:r>
      <w:r>
        <w:rPr>
          <w:color w:val="auto"/>
          <w:spacing w:val="7"/>
          <w:sz w:val="21"/>
          <w:szCs w:val="21"/>
          <w:highlight w:val="none"/>
          <w:lang w:eastAsia="zh-CN"/>
        </w:rPr>
        <w:t>报告上签字，对自己的评标意见承担法</w:t>
      </w:r>
      <w:r>
        <w:rPr>
          <w:color w:val="auto"/>
          <w:sz w:val="21"/>
          <w:szCs w:val="21"/>
          <w:highlight w:val="none"/>
          <w:lang w:eastAsia="zh-CN"/>
        </w:rPr>
        <w:t xml:space="preserve"> </w:t>
      </w:r>
      <w:r>
        <w:rPr>
          <w:color w:val="auto"/>
          <w:spacing w:val="8"/>
          <w:sz w:val="21"/>
          <w:szCs w:val="21"/>
          <w:highlight w:val="none"/>
          <w:lang w:eastAsia="zh-CN"/>
        </w:rPr>
        <w:t>律责任。对评标过程中需要共同认定的事项存在争</w:t>
      </w:r>
      <w:r>
        <w:rPr>
          <w:color w:val="auto"/>
          <w:spacing w:val="7"/>
          <w:sz w:val="21"/>
          <w:szCs w:val="21"/>
          <w:highlight w:val="none"/>
          <w:lang w:eastAsia="zh-CN"/>
        </w:rPr>
        <w:t>议的，应当按照少数服从多数的原则做出</w:t>
      </w:r>
      <w:r>
        <w:rPr>
          <w:color w:val="auto"/>
          <w:sz w:val="21"/>
          <w:szCs w:val="21"/>
          <w:highlight w:val="none"/>
          <w:lang w:eastAsia="zh-CN"/>
        </w:rPr>
        <w:t xml:space="preserve"> </w:t>
      </w:r>
      <w:r>
        <w:rPr>
          <w:color w:val="auto"/>
          <w:spacing w:val="8"/>
          <w:sz w:val="21"/>
          <w:szCs w:val="21"/>
          <w:highlight w:val="none"/>
          <w:lang w:eastAsia="zh-CN"/>
        </w:rPr>
        <w:t>结论。持不同意见的评标委员会成员应当在评</w:t>
      </w:r>
      <w:r>
        <w:rPr>
          <w:color w:val="auto"/>
          <w:spacing w:val="7"/>
          <w:sz w:val="21"/>
          <w:szCs w:val="21"/>
          <w:highlight w:val="none"/>
          <w:lang w:eastAsia="zh-CN"/>
        </w:rPr>
        <w:t>标报告上签署不同意见及理由，否则视为同意</w:t>
      </w:r>
      <w:r>
        <w:rPr>
          <w:color w:val="auto"/>
          <w:sz w:val="21"/>
          <w:szCs w:val="21"/>
          <w:highlight w:val="none"/>
          <w:lang w:eastAsia="zh-CN"/>
        </w:rPr>
        <w:t xml:space="preserve"> </w:t>
      </w:r>
      <w:r>
        <w:rPr>
          <w:color w:val="auto"/>
          <w:spacing w:val="6"/>
          <w:sz w:val="21"/>
          <w:szCs w:val="21"/>
          <w:highlight w:val="none"/>
          <w:lang w:eastAsia="zh-CN"/>
        </w:rPr>
        <w:t>评标报告。</w:t>
      </w:r>
    </w:p>
    <w:p w14:paraId="38E5E041">
      <w:pPr>
        <w:rPr>
          <w:color w:val="auto"/>
          <w:spacing w:val="6"/>
          <w:highlight w:val="none"/>
          <w:lang w:eastAsia="zh-CN"/>
        </w:rPr>
      </w:pPr>
    </w:p>
    <w:p w14:paraId="6FFE3DD9">
      <w:pPr>
        <w:pStyle w:val="5"/>
        <w:rPr>
          <w:color w:val="auto"/>
          <w:highlight w:val="none"/>
          <w:lang w:eastAsia="zh-CN"/>
        </w:rPr>
      </w:pPr>
    </w:p>
    <w:p w14:paraId="227259B6">
      <w:pPr>
        <w:rPr>
          <w:color w:val="auto"/>
          <w:highlight w:val="none"/>
          <w:lang w:eastAsia="zh-CN"/>
        </w:rPr>
      </w:pPr>
    </w:p>
    <w:p w14:paraId="07B48A1E">
      <w:pPr>
        <w:pStyle w:val="5"/>
        <w:rPr>
          <w:color w:val="auto"/>
          <w:highlight w:val="none"/>
          <w:lang w:eastAsia="zh-CN"/>
        </w:rPr>
      </w:pPr>
    </w:p>
    <w:p w14:paraId="7AA2871A">
      <w:pPr>
        <w:rPr>
          <w:color w:val="auto"/>
          <w:highlight w:val="none"/>
          <w:lang w:eastAsia="zh-CN"/>
        </w:rPr>
      </w:pPr>
    </w:p>
    <w:p w14:paraId="5BF9A8ED">
      <w:pPr>
        <w:pStyle w:val="5"/>
        <w:rPr>
          <w:color w:val="auto"/>
          <w:highlight w:val="none"/>
          <w:lang w:eastAsia="zh-CN"/>
        </w:rPr>
      </w:pPr>
    </w:p>
    <w:p w14:paraId="380B90C9">
      <w:pPr>
        <w:pStyle w:val="5"/>
        <w:spacing w:before="182" w:line="225" w:lineRule="auto"/>
        <w:ind w:left="3537"/>
        <w:outlineLvl w:val="1"/>
        <w:rPr>
          <w:color w:val="auto"/>
          <w:sz w:val="31"/>
          <w:szCs w:val="31"/>
          <w:highlight w:val="none"/>
          <w:lang w:eastAsia="zh-CN"/>
        </w:rPr>
      </w:pPr>
      <w:bookmarkStart w:id="145" w:name="_Toc24879"/>
      <w:r>
        <w:rPr>
          <w:b/>
          <w:bCs/>
          <w:color w:val="auto"/>
          <w:spacing w:val="5"/>
          <w:sz w:val="31"/>
          <w:szCs w:val="31"/>
          <w:highlight w:val="none"/>
          <w:lang w:eastAsia="zh-CN"/>
        </w:rPr>
        <w:t>三、评标标准</w:t>
      </w:r>
      <w:bookmarkEnd w:id="145"/>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46" w:name="_Toc13870"/>
      <w:r>
        <w:rPr>
          <w:b/>
          <w:bCs/>
          <w:color w:val="auto"/>
          <w:spacing w:val="4"/>
          <w:sz w:val="31"/>
          <w:szCs w:val="31"/>
          <w:highlight w:val="none"/>
          <w:lang w:eastAsia="zh-CN"/>
        </w:rPr>
        <w:t>综合评分法</w:t>
      </w:r>
      <w:bookmarkEnd w:id="146"/>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p w14:paraId="10D09A1B">
      <w:pPr>
        <w:spacing w:line="440" w:lineRule="exact"/>
        <w:ind w:firstLine="420" w:firstLineChars="200"/>
        <w:jc w:val="center"/>
        <w:rPr>
          <w:rFonts w:hint="eastAsia" w:ascii="宋体" w:hAnsi="宋体"/>
          <w:bCs/>
          <w:color w:val="auto"/>
          <w:highlight w:val="none"/>
          <w:lang w:val="en-US" w:eastAsia="zh-CN"/>
        </w:rPr>
      </w:pPr>
    </w:p>
    <w:tbl>
      <w:tblPr>
        <w:tblStyle w:val="1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283"/>
        <w:gridCol w:w="5047"/>
      </w:tblGrid>
      <w:tr w14:paraId="40D7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87" w:type="dxa"/>
            <w:gridSpan w:val="2"/>
            <w:shd w:val="clear" w:color="auto" w:fill="D7D7D7"/>
            <w:noWrap w:val="0"/>
            <w:vAlign w:val="center"/>
          </w:tcPr>
          <w:p w14:paraId="6C46ED09">
            <w:pPr>
              <w:pStyle w:val="8"/>
              <w:spacing w:line="320" w:lineRule="exact"/>
              <w:jc w:val="center"/>
              <w:outlineLvl w:val="0"/>
              <w:rPr>
                <w:rStyle w:val="33"/>
                <w:rFonts w:hAnsi="宋体" w:cs="宋体"/>
                <w:color w:val="auto"/>
                <w:szCs w:val="21"/>
                <w:highlight w:val="none"/>
              </w:rPr>
            </w:pPr>
            <w:bookmarkStart w:id="147" w:name="_Toc16923"/>
            <w:bookmarkStart w:id="148" w:name="_Toc11086"/>
            <w:bookmarkStart w:id="149" w:name="_Toc18639"/>
            <w:r>
              <w:rPr>
                <w:rStyle w:val="33"/>
                <w:rFonts w:hint="eastAsia" w:hAnsi="宋体" w:cs="宋体"/>
                <w:color w:val="auto"/>
                <w:szCs w:val="21"/>
                <w:highlight w:val="none"/>
              </w:rPr>
              <w:t>评审内容</w:t>
            </w:r>
            <w:bookmarkEnd w:id="147"/>
            <w:bookmarkEnd w:id="148"/>
            <w:bookmarkEnd w:id="149"/>
          </w:p>
        </w:tc>
        <w:tc>
          <w:tcPr>
            <w:tcW w:w="5047" w:type="dxa"/>
            <w:shd w:val="clear" w:color="auto" w:fill="D7D7D7"/>
            <w:noWrap w:val="0"/>
            <w:vAlign w:val="center"/>
          </w:tcPr>
          <w:p w14:paraId="5DC3FA0F">
            <w:pPr>
              <w:pStyle w:val="8"/>
              <w:spacing w:line="320" w:lineRule="exact"/>
              <w:jc w:val="center"/>
              <w:outlineLvl w:val="0"/>
              <w:rPr>
                <w:rStyle w:val="33"/>
                <w:rFonts w:hAnsi="宋体" w:cs="宋体"/>
                <w:color w:val="auto"/>
                <w:szCs w:val="21"/>
                <w:highlight w:val="none"/>
              </w:rPr>
            </w:pPr>
            <w:bookmarkStart w:id="150" w:name="_Toc2237"/>
            <w:bookmarkStart w:id="151" w:name="_Toc23684"/>
            <w:bookmarkStart w:id="152" w:name="_Toc24736"/>
            <w:r>
              <w:rPr>
                <w:rStyle w:val="33"/>
                <w:rFonts w:hint="eastAsia" w:hAnsi="宋体" w:cs="宋体"/>
                <w:color w:val="auto"/>
                <w:szCs w:val="21"/>
                <w:highlight w:val="none"/>
              </w:rPr>
              <w:t>评审标准</w:t>
            </w:r>
            <w:bookmarkEnd w:id="150"/>
            <w:bookmarkEnd w:id="151"/>
            <w:bookmarkEnd w:id="152"/>
          </w:p>
        </w:tc>
      </w:tr>
      <w:tr w14:paraId="332F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4" w:type="dxa"/>
            <w:vMerge w:val="restart"/>
            <w:noWrap w:val="0"/>
            <w:vAlign w:val="center"/>
          </w:tcPr>
          <w:p w14:paraId="7CC25F89">
            <w:pPr>
              <w:pStyle w:val="8"/>
              <w:spacing w:line="320" w:lineRule="exact"/>
              <w:jc w:val="center"/>
              <w:outlineLvl w:val="0"/>
              <w:rPr>
                <w:rStyle w:val="33"/>
                <w:rFonts w:hAnsi="宋体" w:cs="宋体"/>
                <w:color w:val="auto"/>
                <w:szCs w:val="21"/>
                <w:highlight w:val="none"/>
              </w:rPr>
            </w:pPr>
            <w:bookmarkStart w:id="153" w:name="_Toc4742"/>
            <w:bookmarkStart w:id="154" w:name="_Toc8577"/>
            <w:bookmarkStart w:id="155" w:name="_Toc30189"/>
            <w:r>
              <w:rPr>
                <w:rStyle w:val="33"/>
                <w:rFonts w:hint="eastAsia" w:hAnsi="宋体" w:cs="宋体"/>
                <w:color w:val="auto"/>
                <w:szCs w:val="21"/>
                <w:highlight w:val="none"/>
              </w:rPr>
              <w:t>技术</w:t>
            </w:r>
            <w:bookmarkEnd w:id="153"/>
            <w:bookmarkEnd w:id="154"/>
            <w:bookmarkStart w:id="156" w:name="_Toc17957"/>
            <w:bookmarkStart w:id="157" w:name="_Toc6430"/>
            <w:r>
              <w:rPr>
                <w:rStyle w:val="33"/>
                <w:rFonts w:hint="eastAsia" w:hAnsi="宋体" w:cs="宋体"/>
                <w:color w:val="auto"/>
                <w:szCs w:val="21"/>
                <w:highlight w:val="none"/>
              </w:rPr>
              <w:t>分</w:t>
            </w:r>
            <w:bookmarkEnd w:id="155"/>
          </w:p>
          <w:p w14:paraId="2E6DE4A5">
            <w:pPr>
              <w:pStyle w:val="8"/>
              <w:spacing w:line="320" w:lineRule="exact"/>
              <w:jc w:val="center"/>
              <w:outlineLvl w:val="0"/>
              <w:rPr>
                <w:rStyle w:val="33"/>
                <w:rFonts w:hAnsi="宋体" w:cs="宋体"/>
                <w:b w:val="0"/>
                <w:bCs w:val="0"/>
                <w:color w:val="auto"/>
                <w:szCs w:val="21"/>
                <w:highlight w:val="none"/>
              </w:rPr>
            </w:pPr>
            <w:bookmarkStart w:id="158" w:name="_Toc17978"/>
            <w:r>
              <w:rPr>
                <w:rStyle w:val="33"/>
                <w:rFonts w:hint="eastAsia" w:hAnsi="宋体" w:cs="宋体"/>
                <w:color w:val="auto"/>
                <w:szCs w:val="21"/>
                <w:highlight w:val="none"/>
              </w:rPr>
              <w:t>（满分60分）</w:t>
            </w:r>
            <w:bookmarkEnd w:id="156"/>
            <w:bookmarkEnd w:id="157"/>
            <w:bookmarkEnd w:id="158"/>
          </w:p>
        </w:tc>
        <w:tc>
          <w:tcPr>
            <w:tcW w:w="3283" w:type="dxa"/>
            <w:noWrap w:val="0"/>
            <w:vAlign w:val="center"/>
          </w:tcPr>
          <w:p w14:paraId="76E620BF">
            <w:pPr>
              <w:pStyle w:val="8"/>
              <w:spacing w:line="320" w:lineRule="exact"/>
              <w:jc w:val="center"/>
              <w:outlineLvl w:val="0"/>
              <w:rPr>
                <w:rStyle w:val="33"/>
                <w:rFonts w:hAnsi="宋体" w:cs="宋体"/>
                <w:b w:val="0"/>
                <w:bCs w:val="0"/>
                <w:color w:val="auto"/>
                <w:szCs w:val="21"/>
                <w:highlight w:val="none"/>
              </w:rPr>
            </w:pPr>
            <w:bookmarkStart w:id="159" w:name="_Toc15468"/>
            <w:r>
              <w:rPr>
                <w:rFonts w:hint="eastAsia" w:hAnsi="宋体" w:cs="宋体"/>
                <w:b/>
                <w:color w:val="auto"/>
                <w:highlight w:val="none"/>
              </w:rPr>
              <w:t>产品综合性能分（满分</w:t>
            </w:r>
            <w:r>
              <w:rPr>
                <w:rFonts w:hAnsi="宋体" w:cs="宋体"/>
                <w:b/>
                <w:color w:val="auto"/>
                <w:highlight w:val="none"/>
              </w:rPr>
              <w:t>30</w:t>
            </w:r>
            <w:r>
              <w:rPr>
                <w:rFonts w:hint="eastAsia" w:hAnsi="宋体" w:cs="宋体"/>
                <w:b/>
                <w:color w:val="auto"/>
                <w:highlight w:val="none"/>
              </w:rPr>
              <w:t>分）</w:t>
            </w:r>
            <w:bookmarkEnd w:id="159"/>
          </w:p>
        </w:tc>
        <w:tc>
          <w:tcPr>
            <w:tcW w:w="5047" w:type="dxa"/>
            <w:noWrap w:val="0"/>
            <w:vAlign w:val="center"/>
          </w:tcPr>
          <w:p w14:paraId="0FAEEC28">
            <w:pPr>
              <w:spacing w:after="60" w:line="360" w:lineRule="auto"/>
              <w:ind w:firstLine="420" w:firstLineChars="200"/>
              <w:rPr>
                <w:rFonts w:hint="default" w:ascii="宋体" w:hAnsi="宋体" w:eastAsia="宋体"/>
                <w:color w:val="auto"/>
                <w:highlight w:val="none"/>
                <w:lang w:val="en-US" w:eastAsia="zh-CN"/>
              </w:rPr>
            </w:pPr>
            <w:r>
              <w:rPr>
                <w:rFonts w:hint="eastAsia" w:ascii="宋体" w:hAnsi="宋体" w:eastAsia="宋体"/>
                <w:color w:val="auto"/>
                <w:highlight w:val="none"/>
                <w:lang w:eastAsia="zh-CN"/>
              </w:rPr>
              <w:t>一档（</w:t>
            </w:r>
            <w:r>
              <w:rPr>
                <w:rFonts w:hint="eastAsia" w:ascii="宋体" w:hAnsi="宋体" w:eastAsia="宋体"/>
                <w:color w:val="auto"/>
                <w:highlight w:val="none"/>
                <w:lang w:val="en-US" w:eastAsia="zh-CN"/>
              </w:rPr>
              <w:t>9</w:t>
            </w:r>
            <w:r>
              <w:rPr>
                <w:rFonts w:hint="eastAsia" w:ascii="宋体" w:hAnsi="宋体" w:eastAsia="宋体"/>
                <w:color w:val="auto"/>
                <w:highlight w:val="none"/>
                <w:lang w:eastAsia="zh-CN"/>
              </w:rPr>
              <w:t>分）：投标产品技术参数、性能指标及配置基本满足招标文件要求的，产品质量综合评价一般（满足技术参数响应要求，技术参数有负偏离）；标注“▲”</w:t>
            </w:r>
            <w:r>
              <w:rPr>
                <w:rFonts w:hint="eastAsia" w:ascii="宋体" w:hAnsi="宋体" w:eastAsia="宋体"/>
                <w:color w:val="auto"/>
                <w:highlight w:val="none"/>
                <w:lang w:val="en-US" w:eastAsia="zh-CN"/>
              </w:rPr>
              <w:t>参数出现负偏离为无效投标，未标注“</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”参数有4条以上（含4条）负偏离为无效投标；</w:t>
            </w:r>
          </w:p>
          <w:p w14:paraId="2EBE474E">
            <w:pPr>
              <w:spacing w:after="60" w:line="360" w:lineRule="auto"/>
              <w:ind w:firstLine="420" w:firstLineChars="200"/>
              <w:rPr>
                <w:rFonts w:hint="eastAsia" w:ascii="宋体" w:hAnsi="宋体" w:eastAsia="宋体"/>
                <w:color w:val="auto"/>
                <w:highlight w:val="none"/>
                <w:lang w:eastAsia="zh-CN"/>
              </w:rPr>
            </w:pPr>
            <w:r>
              <w:rPr>
                <w:rFonts w:hint="eastAsia" w:ascii="宋体" w:hAnsi="宋体" w:eastAsia="宋体"/>
                <w:color w:val="auto"/>
                <w:highlight w:val="none"/>
                <w:lang w:eastAsia="zh-CN"/>
              </w:rPr>
              <w:t>二档（</w:t>
            </w:r>
            <w:r>
              <w:rPr>
                <w:rFonts w:hint="eastAsia" w:ascii="宋体" w:hAnsi="宋体" w:eastAsia="宋体"/>
                <w:color w:val="auto"/>
                <w:highlight w:val="none"/>
                <w:lang w:val="en-US" w:eastAsia="zh-CN"/>
              </w:rPr>
              <w:t>18</w:t>
            </w:r>
            <w:r>
              <w:rPr>
                <w:rFonts w:hint="eastAsia" w:ascii="宋体" w:hAnsi="宋体" w:eastAsia="宋体"/>
                <w:color w:val="auto"/>
                <w:highlight w:val="none"/>
                <w:lang w:eastAsia="zh-CN"/>
              </w:rPr>
              <w:t>分）：设备技术参数、性能指标及配置完全满足招标文件要求，产品质量综合评价良好（技术参数无负偏离）；</w:t>
            </w:r>
          </w:p>
          <w:p w14:paraId="699B54EE">
            <w:pPr>
              <w:spacing w:after="60" w:line="360" w:lineRule="auto"/>
              <w:ind w:firstLine="420" w:firstLineChars="200"/>
              <w:rPr>
                <w:rStyle w:val="33"/>
                <w:rFonts w:hAnsi="宋体" w:cs="宋体"/>
                <w:b w:val="0"/>
                <w:bCs w:val="0"/>
                <w:color w:val="auto"/>
                <w:szCs w:val="21"/>
                <w:highlight w:val="none"/>
              </w:rPr>
            </w:pPr>
            <w:r>
              <w:rPr>
                <w:rFonts w:hint="eastAsia" w:ascii="宋体" w:hAnsi="宋体" w:eastAsia="宋体"/>
                <w:color w:val="auto"/>
                <w:highlight w:val="none"/>
                <w:lang w:eastAsia="zh-CN"/>
              </w:rPr>
              <w:t>三档（30分）：设备技术参数、性能指标及配置优于招标文件要求，产品质量综合评价优秀。（技术参数无负偏离，标注“▲”的技术参数正偏离1项以上（含1项）</w:t>
            </w:r>
            <w:r>
              <w:rPr>
                <w:rFonts w:hint="eastAsia" w:ascii="宋体" w:hAnsi="宋体" w:eastAsia="宋体"/>
                <w:color w:val="auto"/>
                <w:highlight w:val="none"/>
                <w:lang w:val="en-US" w:eastAsia="zh-CN"/>
              </w:rPr>
              <w:t>且</w:t>
            </w:r>
            <w:r>
              <w:rPr>
                <w:rFonts w:hint="eastAsia" w:ascii="宋体" w:hAnsi="宋体" w:eastAsia="宋体"/>
                <w:color w:val="auto"/>
                <w:highlight w:val="none"/>
                <w:lang w:eastAsia="zh-CN"/>
              </w:rPr>
              <w:t>未标注“▲”的技术参数有正偏离</w:t>
            </w:r>
            <w:r>
              <w:rPr>
                <w:rFonts w:hint="eastAsia" w:ascii="宋体" w:hAnsi="宋体" w:eastAsia="宋体"/>
                <w:color w:val="auto"/>
                <w:highlight w:val="none"/>
                <w:lang w:val="en-US" w:eastAsia="zh-CN"/>
              </w:rPr>
              <w:t>4</w:t>
            </w:r>
            <w:r>
              <w:rPr>
                <w:rFonts w:hint="eastAsia" w:ascii="宋体" w:hAnsi="宋体" w:eastAsia="宋体"/>
                <w:color w:val="auto"/>
                <w:highlight w:val="none"/>
                <w:lang w:eastAsia="zh-CN"/>
              </w:rPr>
              <w:t>项及以上）需提供证明材料。</w:t>
            </w:r>
          </w:p>
        </w:tc>
      </w:tr>
      <w:tr w14:paraId="116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04" w:type="dxa"/>
            <w:vMerge w:val="continue"/>
            <w:noWrap w:val="0"/>
            <w:vAlign w:val="center"/>
          </w:tcPr>
          <w:p w14:paraId="629D1C60">
            <w:pPr>
              <w:pStyle w:val="8"/>
              <w:spacing w:line="320" w:lineRule="exact"/>
              <w:jc w:val="center"/>
              <w:rPr>
                <w:rStyle w:val="33"/>
                <w:rFonts w:hAnsi="宋体" w:cs="宋体"/>
                <w:color w:val="auto"/>
                <w:szCs w:val="21"/>
                <w:highlight w:val="none"/>
              </w:rPr>
            </w:pPr>
          </w:p>
        </w:tc>
        <w:tc>
          <w:tcPr>
            <w:tcW w:w="3283" w:type="dxa"/>
            <w:noWrap w:val="0"/>
            <w:vAlign w:val="center"/>
          </w:tcPr>
          <w:p w14:paraId="79FC4212">
            <w:pPr>
              <w:pStyle w:val="8"/>
              <w:spacing w:line="320" w:lineRule="exact"/>
              <w:jc w:val="center"/>
              <w:outlineLvl w:val="0"/>
              <w:rPr>
                <w:rStyle w:val="33"/>
                <w:rFonts w:hAnsi="宋体" w:cs="宋体"/>
                <w:b w:val="0"/>
                <w:bCs w:val="0"/>
                <w:color w:val="auto"/>
                <w:szCs w:val="21"/>
                <w:highlight w:val="none"/>
              </w:rPr>
            </w:pPr>
            <w:bookmarkStart w:id="160" w:name="_Toc11896"/>
            <w:r>
              <w:rPr>
                <w:rFonts w:hint="eastAsia" w:hAnsi="宋体"/>
                <w:b/>
                <w:color w:val="auto"/>
                <w:highlight w:val="none"/>
              </w:rPr>
              <w:t>项目实施方案分（满分</w:t>
            </w:r>
            <w:r>
              <w:rPr>
                <w:rFonts w:hAnsi="宋体"/>
                <w:b/>
                <w:color w:val="auto"/>
                <w:highlight w:val="none"/>
              </w:rPr>
              <w:t>1</w:t>
            </w:r>
            <w:r>
              <w:rPr>
                <w:rFonts w:hint="eastAsia" w:hAnsi="宋体"/>
                <w:b/>
                <w:color w:val="auto"/>
                <w:highlight w:val="none"/>
              </w:rPr>
              <w:t>5分）</w:t>
            </w:r>
            <w:bookmarkEnd w:id="160"/>
          </w:p>
        </w:tc>
        <w:tc>
          <w:tcPr>
            <w:tcW w:w="5047" w:type="dxa"/>
            <w:noWrap w:val="0"/>
            <w:vAlign w:val="center"/>
          </w:tcPr>
          <w:p w14:paraId="01636A7F">
            <w:pPr>
              <w:spacing w:after="60"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由评委在打分前根据招标文件要求，对比各投标人投标文件中“项目实施方案”内容包括项目实施部署、项目管理机构、供货保障、供货进度计划及控制措施（考察进度的影响实操因素）、安装现场平面布置、质量管理及保证措施、安装安全管理与保证措施、技术交底及培训、设备试运行及验收等，</w:t>
            </w:r>
            <w:r>
              <w:rPr>
                <w:rFonts w:hint="eastAsia" w:ascii="宋体" w:hAnsi="宋体"/>
                <w:bCs/>
                <w:color w:val="auto"/>
                <w:highlight w:val="none"/>
                <w:lang w:eastAsia="zh-CN"/>
              </w:rPr>
              <w:t>确定各投标人所属档次，然后评委在各档次内打分</w:t>
            </w:r>
            <w:r>
              <w:rPr>
                <w:rFonts w:hint="eastAsia" w:ascii="宋体" w:hAnsi="宋体" w:eastAsia="宋体"/>
                <w:color w:val="auto"/>
                <w:highlight w:val="none"/>
                <w:lang w:eastAsia="zh-CN"/>
              </w:rPr>
              <w:t>。</w:t>
            </w:r>
          </w:p>
          <w:p w14:paraId="7F838B8A">
            <w:pPr>
              <w:spacing w:after="60"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一档（</w:t>
            </w:r>
            <w:r>
              <w:rPr>
                <w:rFonts w:ascii="宋体" w:hAnsi="宋体" w:eastAsia="宋体"/>
                <w:color w:val="auto"/>
                <w:highlight w:val="none"/>
                <w:lang w:eastAsia="zh-CN"/>
              </w:rPr>
              <w:t>5</w:t>
            </w:r>
            <w:r>
              <w:rPr>
                <w:rFonts w:hint="eastAsia" w:ascii="宋体" w:hAnsi="宋体" w:eastAsia="宋体"/>
                <w:color w:val="auto"/>
                <w:highlight w:val="none"/>
                <w:lang w:eastAsia="zh-CN"/>
              </w:rPr>
              <w:t>分）：针对本项目编写项目实施方案内容较简单或者缺项的，承诺保修期内原厂工程师培训次数少于2次。</w:t>
            </w:r>
          </w:p>
          <w:p w14:paraId="0A8162D6">
            <w:pPr>
              <w:spacing w:after="60"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二档（</w:t>
            </w:r>
            <w:r>
              <w:rPr>
                <w:rFonts w:ascii="宋体" w:hAnsi="宋体" w:eastAsia="宋体"/>
                <w:color w:val="auto"/>
                <w:highlight w:val="none"/>
                <w:lang w:eastAsia="zh-CN"/>
              </w:rPr>
              <w:t>10</w:t>
            </w:r>
            <w:r>
              <w:rPr>
                <w:rFonts w:hint="eastAsia" w:ascii="宋体" w:hAnsi="宋体" w:eastAsia="宋体"/>
                <w:color w:val="auto"/>
                <w:highlight w:val="none"/>
                <w:lang w:eastAsia="zh-CN"/>
              </w:rPr>
              <w:t>分）：针对本项目编写项目实施方案各项内容未够详尽的，承诺保修期内原厂工程师培训次数大于或等于</w:t>
            </w:r>
            <w:r>
              <w:rPr>
                <w:rFonts w:ascii="宋体" w:hAnsi="宋体" w:eastAsia="宋体"/>
                <w:color w:val="auto"/>
                <w:highlight w:val="none"/>
                <w:lang w:eastAsia="zh-CN"/>
              </w:rPr>
              <w:t>2</w:t>
            </w:r>
            <w:r>
              <w:rPr>
                <w:rFonts w:hint="eastAsia" w:ascii="宋体" w:hAnsi="宋体" w:eastAsia="宋体"/>
                <w:color w:val="auto"/>
                <w:highlight w:val="none"/>
                <w:lang w:eastAsia="zh-CN"/>
              </w:rPr>
              <w:t>次。</w:t>
            </w:r>
          </w:p>
          <w:p w14:paraId="254B2C33">
            <w:pPr>
              <w:spacing w:after="60"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三档（</w:t>
            </w:r>
            <w:r>
              <w:rPr>
                <w:rFonts w:hAnsi="宋体"/>
                <w:color w:val="auto"/>
                <w:highlight w:val="none"/>
                <w:lang w:eastAsia="zh-CN"/>
              </w:rPr>
              <w:t>15</w:t>
            </w:r>
            <w:r>
              <w:rPr>
                <w:rFonts w:hint="eastAsia" w:hAnsi="宋体"/>
                <w:color w:val="auto"/>
                <w:highlight w:val="none"/>
                <w:lang w:eastAsia="zh-CN"/>
              </w:rPr>
              <w:t>分）：针对本项目编写项目实施方案各项内容比较详细，针对性强，</w:t>
            </w:r>
            <w:r>
              <w:rPr>
                <w:rFonts w:hint="eastAsia" w:ascii="宋体" w:hAnsi="宋体" w:eastAsia="宋体"/>
                <w:color w:val="auto"/>
                <w:highlight w:val="none"/>
                <w:lang w:eastAsia="zh-CN"/>
              </w:rPr>
              <w:t>承诺保修期内原厂工程师培训次数大于或等于2次，且派临床应用工程师进行技术指导。</w:t>
            </w:r>
          </w:p>
        </w:tc>
      </w:tr>
      <w:tr w14:paraId="133D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04" w:type="dxa"/>
            <w:vMerge w:val="continue"/>
            <w:noWrap w:val="0"/>
            <w:vAlign w:val="center"/>
          </w:tcPr>
          <w:p w14:paraId="431B9022">
            <w:pPr>
              <w:pStyle w:val="8"/>
              <w:spacing w:line="320" w:lineRule="exact"/>
              <w:jc w:val="center"/>
              <w:rPr>
                <w:rStyle w:val="33"/>
                <w:rFonts w:hAnsi="宋体" w:cs="宋体"/>
                <w:color w:val="auto"/>
                <w:szCs w:val="21"/>
                <w:highlight w:val="none"/>
              </w:rPr>
            </w:pPr>
          </w:p>
        </w:tc>
        <w:tc>
          <w:tcPr>
            <w:tcW w:w="3283" w:type="dxa"/>
            <w:noWrap w:val="0"/>
            <w:vAlign w:val="center"/>
          </w:tcPr>
          <w:p w14:paraId="0E01AF82">
            <w:pPr>
              <w:pStyle w:val="8"/>
              <w:spacing w:line="320" w:lineRule="exact"/>
              <w:jc w:val="center"/>
              <w:outlineLvl w:val="0"/>
              <w:rPr>
                <w:rFonts w:hAnsi="宋体"/>
                <w:b/>
                <w:color w:val="auto"/>
                <w:highlight w:val="none"/>
              </w:rPr>
            </w:pPr>
            <w:bookmarkStart w:id="161" w:name="_Toc31900"/>
            <w:r>
              <w:rPr>
                <w:rFonts w:hint="eastAsia" w:hAnsi="宋体" w:cs="宋体"/>
                <w:b/>
                <w:color w:val="auto"/>
                <w:highlight w:val="none"/>
              </w:rPr>
              <w:t>售后服务分（满分12分）</w:t>
            </w:r>
            <w:bookmarkEnd w:id="161"/>
          </w:p>
        </w:tc>
        <w:tc>
          <w:tcPr>
            <w:tcW w:w="5047" w:type="dxa"/>
            <w:noWrap w:val="0"/>
            <w:vAlign w:val="center"/>
          </w:tcPr>
          <w:p w14:paraId="49967B79">
            <w:pPr>
              <w:pStyle w:val="8"/>
              <w:spacing w:line="460" w:lineRule="exact"/>
              <w:rPr>
                <w:rFonts w:hAnsi="宋体" w:cs="宋体"/>
                <w:bCs/>
                <w:color w:val="auto"/>
                <w:highlight w:val="none"/>
              </w:rPr>
            </w:pPr>
            <w:r>
              <w:rPr>
                <w:rFonts w:hint="eastAsia" w:hAnsi="宋体" w:cs="宋体"/>
                <w:bCs/>
                <w:color w:val="auto"/>
                <w:highlight w:val="none"/>
              </w:rPr>
              <w:t>一档（4分）：</w:t>
            </w:r>
            <w:r>
              <w:rPr>
                <w:rFonts w:hint="eastAsia" w:hAnsi="宋体" w:cs="宋体"/>
                <w:color w:val="auto"/>
                <w:highlight w:val="none"/>
              </w:rPr>
              <w:t>出现故障应在接到故障通知起30分钟内响应，4小时内到达现场处理，故障处理时限不超过24小时内解决故障；及</w:t>
            </w:r>
            <w:r>
              <w:rPr>
                <w:rFonts w:hint="eastAsia" w:hAnsi="宋体" w:cs="宋体"/>
                <w:bCs/>
                <w:color w:val="auto"/>
                <w:highlight w:val="none"/>
              </w:rPr>
              <w:t>招标文件其他售后服务要求的，进入一档；</w:t>
            </w:r>
          </w:p>
          <w:p w14:paraId="6E298410">
            <w:pPr>
              <w:pStyle w:val="8"/>
              <w:spacing w:line="460" w:lineRule="exact"/>
              <w:rPr>
                <w:rFonts w:hAnsi="宋体" w:cs="宋体"/>
                <w:color w:val="auto"/>
                <w:highlight w:val="none"/>
              </w:rPr>
            </w:pPr>
            <w:r>
              <w:rPr>
                <w:rFonts w:hint="eastAsia" w:hAnsi="宋体" w:cs="宋体"/>
                <w:bCs/>
                <w:color w:val="auto"/>
                <w:highlight w:val="none"/>
              </w:rPr>
              <w:t>二档（8分）：</w:t>
            </w:r>
            <w:r>
              <w:rPr>
                <w:rFonts w:hint="eastAsia" w:hAnsi="宋体" w:cs="宋体"/>
                <w:color w:val="auto"/>
                <w:highlight w:val="none"/>
              </w:rPr>
              <w:t>出现故障应在接到故障通知起30分钟内响应，4小时内到达现场处理，故障处理时限不超过24小时内解决故障；及招标文件其他售后服务要求，且售后服务方案完整、详细，有可靠的服务响应体系，优于招标文件售后服务要求的质保期、服务响应时间、服务响应方式。免保期后，有偿维护方式、服务范围及费用等方案比较优惠的；</w:t>
            </w:r>
          </w:p>
          <w:p w14:paraId="301DAF13">
            <w:pPr>
              <w:pStyle w:val="8"/>
              <w:spacing w:line="460" w:lineRule="exact"/>
              <w:rPr>
                <w:rFonts w:hAnsi="宋体"/>
                <w:color w:val="auto"/>
                <w:highlight w:val="none"/>
              </w:rPr>
            </w:pPr>
            <w:r>
              <w:rPr>
                <w:rFonts w:hint="eastAsia" w:hAnsi="宋体" w:cs="宋体"/>
                <w:color w:val="auto"/>
                <w:highlight w:val="none"/>
              </w:rPr>
              <w:t>三档（12分）：满足二档要求的基础上保修期大于1年的，质保期后，备品备件及易耗品、耗材更换优惠折扣率的，有偿维护方式、服务范围及费用等方案比较优惠的，有免费技术巡检方案的。</w:t>
            </w:r>
          </w:p>
        </w:tc>
      </w:tr>
      <w:tr w14:paraId="7368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404" w:type="dxa"/>
            <w:vMerge w:val="continue"/>
            <w:noWrap w:val="0"/>
            <w:vAlign w:val="center"/>
          </w:tcPr>
          <w:p w14:paraId="2ADA9DBC">
            <w:pPr>
              <w:pStyle w:val="8"/>
              <w:spacing w:line="320" w:lineRule="exact"/>
              <w:jc w:val="center"/>
              <w:rPr>
                <w:rStyle w:val="33"/>
                <w:rFonts w:hAnsi="宋体" w:cs="宋体"/>
                <w:color w:val="auto"/>
                <w:szCs w:val="21"/>
                <w:highlight w:val="none"/>
              </w:rPr>
            </w:pPr>
          </w:p>
        </w:tc>
        <w:tc>
          <w:tcPr>
            <w:tcW w:w="3283" w:type="dxa"/>
            <w:noWrap w:val="0"/>
            <w:vAlign w:val="center"/>
          </w:tcPr>
          <w:p w14:paraId="3743B006">
            <w:pPr>
              <w:pStyle w:val="8"/>
              <w:spacing w:line="320" w:lineRule="exact"/>
              <w:jc w:val="center"/>
              <w:outlineLvl w:val="0"/>
              <w:rPr>
                <w:rFonts w:hAnsi="宋体" w:cs="宋体"/>
                <w:b/>
                <w:color w:val="auto"/>
                <w:highlight w:val="none"/>
              </w:rPr>
            </w:pPr>
            <w:bookmarkStart w:id="162" w:name="_Toc32457"/>
            <w:r>
              <w:rPr>
                <w:rFonts w:hint="eastAsia" w:hAnsi="宋体"/>
                <w:b/>
                <w:bCs/>
                <w:color w:val="auto"/>
                <w:highlight w:val="none"/>
              </w:rPr>
              <w:t>厂家售后保障分（满分3分）</w:t>
            </w:r>
            <w:bookmarkEnd w:id="162"/>
          </w:p>
        </w:tc>
        <w:tc>
          <w:tcPr>
            <w:tcW w:w="5047" w:type="dxa"/>
            <w:noWrap w:val="0"/>
            <w:vAlign w:val="center"/>
          </w:tcPr>
          <w:p w14:paraId="46645FD7">
            <w:pPr>
              <w:spacing w:after="60"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为确保售后服务能及时响应，生产厂家在</w:t>
            </w:r>
            <w:r>
              <w:rPr>
                <w:rFonts w:hint="eastAsia" w:ascii="宋体" w:hAnsi="宋体" w:eastAsia="宋体"/>
                <w:color w:val="auto"/>
                <w:highlight w:val="none"/>
                <w:u w:val="none"/>
                <w:lang w:val="en-US" w:eastAsia="zh-CN"/>
              </w:rPr>
              <w:t>国内</w:t>
            </w:r>
            <w:r>
              <w:rPr>
                <w:rFonts w:hint="eastAsia" w:ascii="宋体" w:hAnsi="宋体" w:eastAsia="宋体"/>
                <w:color w:val="auto"/>
                <w:highlight w:val="none"/>
                <w:lang w:eastAsia="zh-CN"/>
              </w:rPr>
              <w:t>设有售后服务网点或专职售后服务人员，拟投入项目售后服务的技术人员不少于3人，且至少有2人为原厂认证工程师的，得3分；提供虚假材料的作无效投标并报监管部门处理。</w:t>
            </w:r>
          </w:p>
        </w:tc>
      </w:tr>
      <w:tr w14:paraId="6E9D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04" w:type="dxa"/>
            <w:vMerge w:val="restart"/>
            <w:noWrap w:val="0"/>
            <w:vAlign w:val="center"/>
          </w:tcPr>
          <w:p w14:paraId="0EDABFC2">
            <w:pPr>
              <w:pStyle w:val="8"/>
              <w:spacing w:line="320" w:lineRule="exact"/>
              <w:jc w:val="center"/>
              <w:outlineLvl w:val="0"/>
              <w:rPr>
                <w:rStyle w:val="33"/>
                <w:rFonts w:hAnsi="宋体" w:cs="宋体"/>
                <w:color w:val="auto"/>
                <w:sz w:val="32"/>
                <w:szCs w:val="32"/>
                <w:highlight w:val="none"/>
              </w:rPr>
            </w:pPr>
            <w:bookmarkStart w:id="163" w:name="_Toc2895"/>
            <w:r>
              <w:rPr>
                <w:rStyle w:val="33"/>
                <w:rFonts w:hint="eastAsia" w:hAnsi="宋体" w:cs="宋体"/>
                <w:color w:val="auto"/>
                <w:sz w:val="32"/>
                <w:szCs w:val="32"/>
                <w:highlight w:val="none"/>
              </w:rPr>
              <w:t>商务分</w:t>
            </w:r>
            <w:bookmarkEnd w:id="163"/>
          </w:p>
          <w:p w14:paraId="4639E23A">
            <w:pPr>
              <w:pStyle w:val="8"/>
              <w:spacing w:line="320" w:lineRule="exact"/>
              <w:jc w:val="center"/>
              <w:outlineLvl w:val="0"/>
              <w:rPr>
                <w:rStyle w:val="33"/>
                <w:rFonts w:hAnsi="宋体" w:cs="宋体"/>
                <w:color w:val="auto"/>
                <w:sz w:val="21"/>
                <w:szCs w:val="21"/>
                <w:highlight w:val="none"/>
              </w:rPr>
            </w:pPr>
            <w:bookmarkStart w:id="164" w:name="_Toc8592"/>
            <w:bookmarkStart w:id="165" w:name="_Toc23358"/>
            <w:bookmarkStart w:id="166" w:name="_Toc31446"/>
            <w:r>
              <w:rPr>
                <w:rStyle w:val="33"/>
                <w:rFonts w:hint="eastAsia" w:hAnsi="宋体" w:cs="宋体"/>
                <w:color w:val="auto"/>
                <w:sz w:val="32"/>
                <w:szCs w:val="32"/>
                <w:highlight w:val="none"/>
              </w:rPr>
              <w:t>（满分10分）</w:t>
            </w:r>
            <w:bookmarkEnd w:id="164"/>
            <w:bookmarkEnd w:id="165"/>
            <w:bookmarkEnd w:id="166"/>
          </w:p>
        </w:tc>
        <w:tc>
          <w:tcPr>
            <w:tcW w:w="3283" w:type="dxa"/>
            <w:noWrap w:val="0"/>
            <w:vAlign w:val="center"/>
          </w:tcPr>
          <w:p w14:paraId="0CE7881D">
            <w:pPr>
              <w:pStyle w:val="8"/>
              <w:spacing w:line="320" w:lineRule="exact"/>
              <w:jc w:val="center"/>
              <w:outlineLvl w:val="0"/>
              <w:rPr>
                <w:rFonts w:hAnsi="宋体"/>
                <w:b/>
                <w:bCs/>
                <w:color w:val="auto"/>
                <w:sz w:val="21"/>
                <w:szCs w:val="21"/>
                <w:highlight w:val="none"/>
              </w:rPr>
            </w:pPr>
            <w:bookmarkStart w:id="167" w:name="_Toc5292"/>
            <w:bookmarkStart w:id="168" w:name="_Toc10327"/>
            <w:bookmarkStart w:id="169" w:name="_Toc31146"/>
            <w:r>
              <w:rPr>
                <w:rStyle w:val="33"/>
                <w:rFonts w:hint="eastAsia" w:hAnsi="宋体" w:cs="宋体"/>
                <w:color w:val="auto"/>
                <w:sz w:val="21"/>
                <w:szCs w:val="21"/>
                <w:highlight w:val="none"/>
              </w:rPr>
              <w:t>业绩及信誉分（满分8分）</w:t>
            </w:r>
            <w:bookmarkEnd w:id="167"/>
            <w:bookmarkEnd w:id="168"/>
            <w:bookmarkEnd w:id="169"/>
          </w:p>
        </w:tc>
        <w:tc>
          <w:tcPr>
            <w:tcW w:w="5047" w:type="dxa"/>
            <w:noWrap w:val="0"/>
            <w:vAlign w:val="center"/>
          </w:tcPr>
          <w:p w14:paraId="6F41E76C">
            <w:pPr>
              <w:pStyle w:val="8"/>
              <w:spacing w:line="320" w:lineRule="exact"/>
              <w:outlineLvl w:val="0"/>
              <w:rPr>
                <w:color w:val="auto"/>
                <w:highlight w:val="none"/>
              </w:rPr>
            </w:pPr>
            <w:bookmarkStart w:id="170" w:name="_Toc20082"/>
            <w:r>
              <w:rPr>
                <w:rFonts w:hint="eastAsia"/>
                <w:color w:val="auto"/>
                <w:highlight w:val="none"/>
              </w:rPr>
              <w:t>（1）投标人或投标产品生产企业通过ISO质量管理体系认证，提供有效证书复印件得</w:t>
            </w:r>
            <w:r>
              <w:rPr>
                <w:rFonts w:hint="eastAsia"/>
                <w:color w:val="auto"/>
                <w:highlight w:val="none"/>
                <w:lang w:val="en-US" w:eastAsia="zh-CN"/>
              </w:rPr>
              <w:t>4</w:t>
            </w:r>
            <w:r>
              <w:rPr>
                <w:rFonts w:hint="eastAsia"/>
                <w:color w:val="auto"/>
                <w:highlight w:val="none"/>
              </w:rPr>
              <w:t>分（满分</w:t>
            </w:r>
            <w:r>
              <w:rPr>
                <w:rFonts w:hint="eastAsia"/>
                <w:color w:val="auto"/>
                <w:highlight w:val="none"/>
                <w:lang w:val="en-US" w:eastAsia="zh-CN"/>
              </w:rPr>
              <w:t>4分</w:t>
            </w:r>
            <w:r>
              <w:rPr>
                <w:rFonts w:hint="eastAsia"/>
                <w:color w:val="auto"/>
                <w:highlight w:val="none"/>
              </w:rPr>
              <w:t>）。</w:t>
            </w:r>
            <w:bookmarkEnd w:id="170"/>
          </w:p>
          <w:p w14:paraId="73B71205">
            <w:pPr>
              <w:pStyle w:val="8"/>
              <w:spacing w:line="320" w:lineRule="exact"/>
              <w:outlineLvl w:val="0"/>
              <w:rPr>
                <w:color w:val="auto"/>
                <w:highlight w:val="none"/>
                <w:lang w:eastAsia="zh-CN"/>
              </w:rPr>
            </w:pPr>
            <w:bookmarkStart w:id="171" w:name="_Toc28648"/>
            <w:r>
              <w:rPr>
                <w:rFonts w:hint="eastAsia"/>
                <w:color w:val="auto"/>
                <w:highlight w:val="none"/>
              </w:rPr>
              <w:t>（2）投标人或投标产品2019年以来完成的同类项目的业绩，以签订的采购合同或中标通知书为准，每份得</w:t>
            </w:r>
            <w:r>
              <w:rPr>
                <w:rFonts w:hint="eastAsia"/>
                <w:color w:val="auto"/>
                <w:highlight w:val="none"/>
                <w:lang w:val="en-US" w:eastAsia="zh-CN"/>
              </w:rPr>
              <w:t>4</w:t>
            </w:r>
            <w:r>
              <w:rPr>
                <w:rFonts w:hint="eastAsia"/>
                <w:color w:val="auto"/>
                <w:highlight w:val="none"/>
              </w:rPr>
              <w:t>分，（满分4分）。[采购合同或中标通知书必须能清晰反映所销售的货物、类别及金额，同一个编号的招标项目有2个（含2个）以上的分标中标的只算一次]。</w:t>
            </w:r>
            <w:bookmarkEnd w:id="171"/>
          </w:p>
        </w:tc>
      </w:tr>
      <w:tr w14:paraId="0C00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404" w:type="dxa"/>
            <w:vMerge w:val="continue"/>
            <w:noWrap w:val="0"/>
            <w:vAlign w:val="center"/>
          </w:tcPr>
          <w:p w14:paraId="17274FA5">
            <w:pPr>
              <w:pStyle w:val="8"/>
              <w:spacing w:line="320" w:lineRule="exact"/>
              <w:jc w:val="center"/>
              <w:rPr>
                <w:rStyle w:val="33"/>
                <w:rFonts w:hAnsi="宋体" w:cs="宋体"/>
                <w:color w:val="auto"/>
                <w:sz w:val="21"/>
                <w:szCs w:val="21"/>
                <w:highlight w:val="none"/>
              </w:rPr>
            </w:pPr>
          </w:p>
        </w:tc>
        <w:tc>
          <w:tcPr>
            <w:tcW w:w="3283" w:type="dxa"/>
            <w:noWrap w:val="0"/>
            <w:vAlign w:val="center"/>
          </w:tcPr>
          <w:p w14:paraId="64E17EF8">
            <w:pPr>
              <w:pStyle w:val="8"/>
              <w:spacing w:line="320" w:lineRule="exact"/>
              <w:jc w:val="center"/>
              <w:outlineLvl w:val="0"/>
              <w:rPr>
                <w:rStyle w:val="33"/>
                <w:rFonts w:hAnsi="宋体" w:cs="宋体"/>
                <w:color w:val="auto"/>
                <w:sz w:val="21"/>
                <w:szCs w:val="21"/>
                <w:highlight w:val="none"/>
              </w:rPr>
            </w:pPr>
            <w:bookmarkStart w:id="172" w:name="_Toc21569"/>
            <w:r>
              <w:rPr>
                <w:rStyle w:val="33"/>
                <w:rFonts w:hint="eastAsia" w:hAnsi="宋体" w:cs="宋体"/>
                <w:color w:val="auto"/>
                <w:sz w:val="21"/>
                <w:szCs w:val="21"/>
                <w:highlight w:val="none"/>
              </w:rPr>
              <w:t>政策分（满分2分）</w:t>
            </w:r>
            <w:bookmarkEnd w:id="172"/>
          </w:p>
        </w:tc>
        <w:tc>
          <w:tcPr>
            <w:tcW w:w="5047" w:type="dxa"/>
            <w:noWrap w:val="0"/>
            <w:vAlign w:val="center"/>
          </w:tcPr>
          <w:p w14:paraId="27AFC862">
            <w:pPr>
              <w:spacing w:line="360" w:lineRule="auto"/>
              <w:rPr>
                <w:rFonts w:ascii="宋体" w:hAnsi="宋体"/>
                <w:bCs/>
                <w:color w:val="auto"/>
                <w:highlight w:val="none"/>
                <w:lang w:eastAsia="zh-CN"/>
              </w:rPr>
            </w:pPr>
            <w:r>
              <w:rPr>
                <w:rFonts w:hint="eastAsia" w:ascii="宋体" w:hAnsi="宋体"/>
                <w:bCs/>
                <w:color w:val="auto"/>
                <w:highlight w:val="none"/>
                <w:lang w:eastAsia="zh-CN"/>
              </w:rPr>
              <w:t>（1）投标产品采用财政部现行节能产品，提供有效证明复印件并加盖生产厂家公章的，得1分。</w:t>
            </w:r>
          </w:p>
          <w:p w14:paraId="7DCF7C5C">
            <w:pPr>
              <w:rPr>
                <w:color w:val="auto"/>
                <w:highlight w:val="none"/>
                <w:lang w:eastAsia="zh-CN"/>
              </w:rPr>
            </w:pPr>
            <w:r>
              <w:rPr>
                <w:rFonts w:hint="eastAsia" w:ascii="宋体" w:hAnsi="宋体"/>
                <w:bCs/>
                <w:color w:val="auto"/>
                <w:highlight w:val="none"/>
                <w:lang w:eastAsia="zh-CN"/>
              </w:rPr>
              <w:t>（2）投标产品采用财政部现行环保产品，并能提供环保认证证书并加盖生产厂家公章的，得1分。</w:t>
            </w:r>
          </w:p>
        </w:tc>
      </w:tr>
      <w:tr w14:paraId="60B7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4687" w:type="dxa"/>
            <w:gridSpan w:val="2"/>
            <w:noWrap w:val="0"/>
            <w:vAlign w:val="center"/>
          </w:tcPr>
          <w:p w14:paraId="72429A01">
            <w:pPr>
              <w:pStyle w:val="8"/>
              <w:spacing w:line="320" w:lineRule="exact"/>
              <w:jc w:val="center"/>
              <w:outlineLvl w:val="0"/>
              <w:rPr>
                <w:rStyle w:val="33"/>
                <w:rFonts w:hAnsi="宋体" w:cs="宋体"/>
                <w:b w:val="0"/>
                <w:bCs w:val="0"/>
                <w:color w:val="auto"/>
                <w:szCs w:val="21"/>
                <w:highlight w:val="none"/>
              </w:rPr>
            </w:pPr>
            <w:bookmarkStart w:id="173" w:name="_Toc26285"/>
            <w:r>
              <w:rPr>
                <w:rStyle w:val="33"/>
                <w:rFonts w:hint="eastAsia" w:hAnsi="宋体" w:cs="宋体"/>
                <w:color w:val="auto"/>
                <w:szCs w:val="21"/>
                <w:highlight w:val="none"/>
              </w:rPr>
              <w:t>报价分</w:t>
            </w:r>
            <w:bookmarkEnd w:id="173"/>
          </w:p>
          <w:p w14:paraId="2F28EC3D">
            <w:pPr>
              <w:pStyle w:val="8"/>
              <w:spacing w:line="320" w:lineRule="exact"/>
              <w:jc w:val="center"/>
              <w:outlineLvl w:val="0"/>
              <w:rPr>
                <w:rStyle w:val="33"/>
                <w:rFonts w:hAnsi="宋体" w:cs="宋体"/>
                <w:b w:val="0"/>
                <w:bCs w:val="0"/>
                <w:color w:val="auto"/>
                <w:szCs w:val="21"/>
                <w:highlight w:val="none"/>
              </w:rPr>
            </w:pPr>
            <w:bookmarkStart w:id="174" w:name="_Toc27502"/>
            <w:r>
              <w:rPr>
                <w:rStyle w:val="33"/>
                <w:rFonts w:hint="eastAsia" w:hAnsi="宋体" w:cs="宋体"/>
                <w:color w:val="auto"/>
                <w:szCs w:val="21"/>
                <w:highlight w:val="none"/>
              </w:rPr>
              <w:t>（满分30分）</w:t>
            </w:r>
            <w:bookmarkEnd w:id="174"/>
          </w:p>
        </w:tc>
        <w:tc>
          <w:tcPr>
            <w:tcW w:w="5047" w:type="dxa"/>
            <w:noWrap w:val="0"/>
            <w:vAlign w:val="center"/>
          </w:tcPr>
          <w:p w14:paraId="6A619FFC">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（1）评标报价为投标人的投标报价进行政策性扣除后的价格，评标报价只是作为评标时使用。最终中标人的中标金额等于投标报价。</w:t>
            </w:r>
          </w:p>
          <w:p w14:paraId="45E5ABE0">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2）按照《政府采购促进中小企业发展管理办法》（财库〔2020〕46号）、《广西壮族自治区财政厅关于贯彻落实政府采购支持中小企业发展政策的通知》（桂财采〔2022〕31号）的规定，投标人在其投标文件中提供《中小企业声明函》，且其投标全部货物均由小微企业提供的，对其最后报价给予20%的扣除。</w:t>
            </w:r>
          </w:p>
          <w:p w14:paraId="3A55939B">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108C85C">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color w:val="auto"/>
                <w:highlight w:val="none"/>
                <w:lang w:eastAsia="zh-CN"/>
              </w:rPr>
              <w:t>（4）按照</w:t>
            </w:r>
            <w:r>
              <w:rPr>
                <w:rFonts w:hint="eastAsia" w:ascii="宋体" w:hAnsi="宋体" w:eastAsia="宋体" w:cs="宋体"/>
                <w:bCs/>
                <w:color w:val="auto"/>
                <w:highlight w:val="none"/>
                <w:lang w:eastAsia="zh-CN"/>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highlight w:val="none"/>
                <w:lang w:eastAsia="zh-CN"/>
              </w:rPr>
              <w:t>残疾人福利性单位参加政府采购活动时，应当提供该通知规定的《残疾人福利性单位声明函》，并对声明的真实性负责。</w:t>
            </w:r>
            <w:r>
              <w:rPr>
                <w:rFonts w:hint="eastAsia" w:ascii="宋体" w:hAnsi="宋体" w:eastAsia="宋体" w:cs="宋体"/>
                <w:bCs/>
                <w:color w:val="auto"/>
                <w:highlight w:val="none"/>
                <w:lang w:eastAsia="zh-CN"/>
              </w:rPr>
              <w:t>残疾人福利性单位属于小型、微型企业的，不重复享受政策。</w:t>
            </w:r>
          </w:p>
          <w:p w14:paraId="4B807962">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（5）政策性扣除计算方法。</w:t>
            </w:r>
          </w:p>
          <w:p w14:paraId="722842A4">
            <w:pPr>
              <w:spacing w:line="360" w:lineRule="auto"/>
              <w:ind w:firstLine="443" w:firstLineChars="211"/>
              <w:rPr>
                <w:rFonts w:ascii="宋体" w:hAnsi="宋体" w:eastAsia="宋体" w:cs="宋体"/>
                <w:color w:val="auto"/>
                <w:highlight w:val="none"/>
                <w:lang w:eastAsia="zh-CN"/>
              </w:rPr>
            </w:pPr>
            <w:r>
              <w:rPr>
                <w:rFonts w:hint="eastAsia" w:ascii="宋体" w:hAnsi="宋体" w:eastAsia="宋体" w:cs="宋体"/>
                <w:bCs/>
                <w:color w:val="auto"/>
                <w:highlight w:val="none"/>
                <w:lang w:eastAsia="zh-CN"/>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eastAsia="宋体" w:cs="宋体"/>
                <w:bCs/>
                <w:color w:val="auto"/>
                <w:highlight w:val="none"/>
                <w:u w:val="single"/>
                <w:lang w:eastAsia="zh-CN"/>
              </w:rPr>
              <w:t xml:space="preserve"> 6% </w:t>
            </w:r>
            <w:r>
              <w:rPr>
                <w:rFonts w:hint="eastAsia" w:ascii="宋体" w:hAnsi="宋体" w:eastAsia="宋体" w:cs="宋体"/>
                <w:bCs/>
                <w:color w:val="auto"/>
                <w:highlight w:val="none"/>
                <w:lang w:eastAsia="zh-CN"/>
              </w:rPr>
              <w:t>的扣除，用扣除后的价格参加评审，扣除后的价格为评标报价，即评标报价=投标报价×（1-</w:t>
            </w:r>
            <w:r>
              <w:rPr>
                <w:rFonts w:hint="eastAsia" w:ascii="宋体" w:hAnsi="宋体" w:eastAsia="宋体" w:cs="宋体"/>
                <w:bCs/>
                <w:color w:val="auto"/>
                <w:highlight w:val="none"/>
                <w:u w:val="single"/>
                <w:lang w:eastAsia="zh-CN"/>
              </w:rPr>
              <w:t xml:space="preserve"> 6% </w:t>
            </w:r>
            <w:r>
              <w:rPr>
                <w:rFonts w:hint="eastAsia" w:ascii="宋体" w:hAnsi="宋体" w:eastAsia="宋体" w:cs="宋体"/>
                <w:bCs/>
                <w:color w:val="auto"/>
                <w:highlight w:val="none"/>
                <w:lang w:eastAsia="zh-CN"/>
              </w:rPr>
              <w:t>）。除上述情况外，评标报价=投标报价。</w:t>
            </w:r>
          </w:p>
          <w:p w14:paraId="04F9F007">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（6）满足招标文件要求且评标报价最低的评标报价为评标基准价，其价格分为满分。</w:t>
            </w:r>
          </w:p>
          <w:p w14:paraId="6F8B1BC6">
            <w:pPr>
              <w:spacing w:line="360" w:lineRule="auto"/>
              <w:ind w:firstLine="233" w:firstLineChars="11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 xml:space="preserve">（7）价格分计算公式：        </w:t>
            </w:r>
          </w:p>
          <w:p w14:paraId="6D000D6D">
            <w:pPr>
              <w:pStyle w:val="8"/>
              <w:spacing w:line="320" w:lineRule="exact"/>
              <w:outlineLvl w:val="0"/>
              <w:rPr>
                <w:rFonts w:hAnsi="宋体"/>
                <w:bCs/>
                <w:color w:val="auto"/>
                <w:kern w:val="0"/>
                <w:szCs w:val="22"/>
                <w:highlight w:val="none"/>
              </w:rPr>
            </w:pPr>
            <w:bookmarkStart w:id="175" w:name="_Toc26697"/>
            <w:r>
              <w:rPr>
                <w:rFonts w:hint="eastAsia" w:ascii="宋体" w:hAnsi="宋体" w:eastAsia="宋体" w:cs="宋体"/>
                <w:bCs/>
                <w:color w:val="auto"/>
                <w:highlight w:val="none"/>
              </w:rPr>
              <w:t>价格分=(评标基准价／评标报价)×</w:t>
            </w:r>
            <w:r>
              <w:rPr>
                <w:rFonts w:hint="eastAsia" w:ascii="宋体" w:hAnsi="宋体" w:eastAsia="宋体" w:cs="宋体"/>
                <w:bCs/>
                <w:color w:val="auto"/>
                <w:highlight w:val="none"/>
                <w:u w:val="single"/>
              </w:rPr>
              <w:t xml:space="preserve">  30 </w:t>
            </w:r>
            <w:r>
              <w:rPr>
                <w:rFonts w:hint="eastAsia" w:ascii="宋体" w:hAnsi="宋体" w:eastAsia="宋体" w:cs="宋体"/>
                <w:bCs/>
                <w:color w:val="auto"/>
                <w:highlight w:val="none"/>
              </w:rPr>
              <w:t>分</w:t>
            </w:r>
            <w:bookmarkEnd w:id="175"/>
          </w:p>
        </w:tc>
      </w:tr>
      <w:tr w14:paraId="736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7900C8DC">
            <w:pPr>
              <w:pStyle w:val="8"/>
              <w:spacing w:line="320" w:lineRule="exact"/>
              <w:outlineLvl w:val="0"/>
              <w:rPr>
                <w:rFonts w:hAnsi="宋体" w:cs="宋体"/>
                <w:color w:val="auto"/>
                <w:highlight w:val="none"/>
              </w:rPr>
            </w:pPr>
            <w:bookmarkStart w:id="176" w:name="_Toc30242"/>
            <w:bookmarkStart w:id="177" w:name="_Toc3745"/>
            <w:bookmarkStart w:id="178" w:name="_Toc21200"/>
            <w:r>
              <w:rPr>
                <w:rFonts w:hint="eastAsia" w:hAnsi="宋体" w:cs="宋体"/>
                <w:color w:val="auto"/>
                <w:highlight w:val="none"/>
              </w:rPr>
              <w:t>投标人最终得分=技术分+商务分+</w:t>
            </w:r>
            <w:bookmarkEnd w:id="176"/>
            <w:bookmarkEnd w:id="177"/>
            <w:r>
              <w:rPr>
                <w:rFonts w:hint="eastAsia" w:hAnsi="宋体" w:cs="宋体"/>
                <w:color w:val="auto"/>
                <w:highlight w:val="none"/>
              </w:rPr>
              <w:t>报价分</w:t>
            </w:r>
            <w:bookmarkEnd w:id="178"/>
          </w:p>
        </w:tc>
      </w:tr>
    </w:tbl>
    <w:p w14:paraId="5F284C55">
      <w:pPr>
        <w:rPr>
          <w:b/>
          <w:bCs/>
          <w:color w:val="auto"/>
          <w:spacing w:val="-6"/>
          <w:sz w:val="30"/>
          <w:szCs w:val="30"/>
          <w:highlight w:val="none"/>
          <w:lang w:eastAsia="zh-CN"/>
        </w:rPr>
      </w:pPr>
      <w:bookmarkStart w:id="179"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79"/>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1D0D5689">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80" w:name="bookmark9"/>
      <w:bookmarkEnd w:id="180"/>
      <w:bookmarkStart w:id="181"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81"/>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82" w:name="_Toc32157"/>
      <w:r>
        <w:rPr>
          <w:rFonts w:hint="eastAsia" w:ascii="宋体" w:hAnsi="宋体" w:cs="宋体"/>
          <w:b w:val="0"/>
          <w:color w:val="auto"/>
          <w:kern w:val="0"/>
          <w:sz w:val="36"/>
          <w:szCs w:val="36"/>
          <w:highlight w:val="none"/>
          <w:lang w:eastAsia="zh-CN"/>
        </w:rPr>
        <w:t>政府采购合同</w:t>
      </w:r>
      <w:bookmarkEnd w:id="182"/>
    </w:p>
    <w:p w14:paraId="5D5D17F5">
      <w:pPr>
        <w:pStyle w:val="8"/>
        <w:spacing w:line="600" w:lineRule="exact"/>
        <w:rPr>
          <w:rFonts w:hAnsi="宋体" w:cs="宋体"/>
          <w:color w:val="auto"/>
          <w:highlight w:val="none"/>
        </w:rPr>
      </w:pPr>
    </w:p>
    <w:p w14:paraId="19882361">
      <w:pPr>
        <w:pStyle w:val="8"/>
        <w:spacing w:line="600" w:lineRule="exact"/>
        <w:rPr>
          <w:rFonts w:hAnsi="宋体" w:cs="宋体"/>
          <w:color w:val="auto"/>
          <w:highlight w:val="none"/>
        </w:rPr>
      </w:pPr>
    </w:p>
    <w:p w14:paraId="0D07CDE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8"/>
        <w:spacing w:line="700" w:lineRule="exact"/>
        <w:ind w:firstLine="1799" w:firstLineChars="640"/>
        <w:rPr>
          <w:rFonts w:hAnsi="宋体" w:cs="宋体"/>
          <w:b/>
          <w:color w:val="auto"/>
          <w:sz w:val="28"/>
          <w:szCs w:val="28"/>
          <w:highlight w:val="none"/>
        </w:rPr>
      </w:pPr>
    </w:p>
    <w:p w14:paraId="4695094E">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8"/>
        <w:spacing w:line="700" w:lineRule="exact"/>
        <w:ind w:firstLine="1799" w:firstLineChars="640"/>
        <w:rPr>
          <w:rFonts w:hAnsi="宋体" w:cs="宋体"/>
          <w:b/>
          <w:color w:val="auto"/>
          <w:sz w:val="28"/>
          <w:szCs w:val="28"/>
          <w:highlight w:val="none"/>
        </w:rPr>
      </w:pPr>
    </w:p>
    <w:p w14:paraId="11F7A64A">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8"/>
        <w:jc w:val="center"/>
        <w:rPr>
          <w:rFonts w:hAnsi="宋体" w:cs="宋体"/>
          <w:color w:val="auto"/>
          <w:highlight w:val="none"/>
        </w:rPr>
      </w:pPr>
      <w:r>
        <w:rPr>
          <w:rFonts w:hint="eastAsia" w:hAnsi="宋体" w:cs="宋体"/>
          <w:color w:val="auto"/>
          <w:highlight w:val="none"/>
        </w:rPr>
        <w:t xml:space="preserve"> </w:t>
      </w:r>
    </w:p>
    <w:p w14:paraId="4DC56F69">
      <w:pPr>
        <w:pStyle w:val="8"/>
        <w:rPr>
          <w:rFonts w:hAnsi="宋体" w:cs="宋体"/>
          <w:color w:val="auto"/>
          <w:highlight w:val="none"/>
        </w:rPr>
      </w:pPr>
    </w:p>
    <w:p w14:paraId="750FE0CC">
      <w:pPr>
        <w:pStyle w:val="8"/>
        <w:spacing w:line="360" w:lineRule="exact"/>
        <w:rPr>
          <w:rFonts w:hAnsi="宋体" w:cs="宋体"/>
          <w:color w:val="auto"/>
          <w:highlight w:val="none"/>
        </w:rPr>
      </w:pPr>
    </w:p>
    <w:p w14:paraId="24027FC6">
      <w:pPr>
        <w:pStyle w:val="8"/>
        <w:spacing w:line="360" w:lineRule="exact"/>
        <w:rPr>
          <w:rFonts w:hAnsi="宋体" w:cs="宋体"/>
          <w:color w:val="auto"/>
          <w:highlight w:val="none"/>
        </w:rPr>
      </w:pPr>
    </w:p>
    <w:p w14:paraId="5743850F">
      <w:pPr>
        <w:rPr>
          <w:rFonts w:hAnsi="宋体"/>
          <w:color w:val="auto"/>
          <w:highlight w:val="none"/>
          <w:lang w:eastAsia="zh-CN"/>
        </w:rPr>
      </w:pPr>
    </w:p>
    <w:p w14:paraId="6B8F6808">
      <w:pPr>
        <w:pStyle w:val="11"/>
        <w:rPr>
          <w:color w:val="auto"/>
          <w:highlight w:val="none"/>
          <w:lang w:eastAsia="zh-CN"/>
        </w:rPr>
      </w:pPr>
    </w:p>
    <w:p w14:paraId="5C3CCEBC">
      <w:pPr>
        <w:pStyle w:val="8"/>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付款方式：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余下合同金额3%质保金，每满一年质保期支付合同金额 1%给乙方，直至付清。</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1"/>
        <w:numPr>
          <w:ilvl w:val="0"/>
          <w:numId w:val="2"/>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0"/>
        <w:rPr>
          <w:color w:val="auto"/>
          <w:highlight w:val="none"/>
        </w:rPr>
      </w:pPr>
    </w:p>
    <w:p w14:paraId="5EBF1EFD">
      <w:pPr>
        <w:pStyle w:val="30"/>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0"/>
        <w:rPr>
          <w:color w:val="auto"/>
          <w:highlight w:val="none"/>
        </w:rPr>
      </w:pPr>
    </w:p>
    <w:p w14:paraId="7395FDFC">
      <w:pPr>
        <w:pStyle w:val="30"/>
        <w:rPr>
          <w:color w:val="auto"/>
          <w:highlight w:val="none"/>
        </w:rPr>
      </w:pPr>
    </w:p>
    <w:p w14:paraId="6819CD51">
      <w:pPr>
        <w:pStyle w:val="30"/>
        <w:rPr>
          <w:color w:val="auto"/>
          <w:highlight w:val="none"/>
        </w:rPr>
      </w:pPr>
    </w:p>
    <w:p w14:paraId="21D831C5">
      <w:pPr>
        <w:pStyle w:val="30"/>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83" w:name="bookmark11"/>
      <w:bookmarkEnd w:id="183"/>
      <w:bookmarkStart w:id="184"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84"/>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6C196820">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85" w:name="_Toc17973"/>
      <w:r>
        <w:rPr>
          <w:b/>
          <w:bCs/>
          <w:color w:val="auto"/>
          <w:spacing w:val="-4"/>
          <w:highlight w:val="none"/>
          <w:lang w:eastAsia="zh-CN"/>
        </w:rPr>
        <w:t>一、报价文件格式</w:t>
      </w:r>
      <w:bookmarkEnd w:id="185"/>
    </w:p>
    <w:p w14:paraId="7D4DA2FE">
      <w:pPr>
        <w:pStyle w:val="5"/>
        <w:spacing w:before="147" w:line="218" w:lineRule="auto"/>
        <w:ind w:left="180"/>
        <w:outlineLvl w:val="2"/>
        <w:rPr>
          <w:color w:val="auto"/>
          <w:sz w:val="24"/>
          <w:szCs w:val="24"/>
          <w:highlight w:val="none"/>
          <w:lang w:eastAsia="zh-CN"/>
        </w:rPr>
      </w:pPr>
      <w:bookmarkStart w:id="186"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86"/>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53B41D16">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87" w:name="_Toc18895"/>
      <w:r>
        <w:rPr>
          <w:b/>
          <w:bCs/>
          <w:color w:val="auto"/>
          <w:spacing w:val="-4"/>
          <w:sz w:val="24"/>
          <w:szCs w:val="24"/>
          <w:highlight w:val="none"/>
          <w:lang w:eastAsia="zh-CN"/>
        </w:rPr>
        <w:t>2.报价文件目录</w:t>
      </w:r>
      <w:bookmarkEnd w:id="187"/>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7A0125E6">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88"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88"/>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89"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89"/>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10B6DCA0">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90"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90"/>
    </w:p>
    <w:p w14:paraId="3076F85E">
      <w:pPr>
        <w:pStyle w:val="5"/>
        <w:spacing w:before="85" w:line="220" w:lineRule="auto"/>
        <w:ind w:left="3461"/>
        <w:outlineLvl w:val="1"/>
        <w:rPr>
          <w:color w:val="auto"/>
          <w:sz w:val="30"/>
          <w:szCs w:val="30"/>
          <w:highlight w:val="none"/>
          <w:lang w:eastAsia="zh-CN"/>
        </w:rPr>
      </w:pPr>
      <w:bookmarkStart w:id="191" w:name="_Toc7289"/>
      <w:r>
        <w:rPr>
          <w:b/>
          <w:bCs/>
          <w:color w:val="auto"/>
          <w:spacing w:val="-5"/>
          <w:sz w:val="30"/>
          <w:szCs w:val="30"/>
          <w:highlight w:val="none"/>
          <w:lang w:eastAsia="zh-CN"/>
        </w:rPr>
        <w:t>开标一览表</w:t>
      </w:r>
      <w:bookmarkEnd w:id="191"/>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8"/>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92"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92"/>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4"/>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4"/>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93"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93"/>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4C67735B">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94"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94"/>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95" w:name="_Toc22439"/>
      <w:r>
        <w:rPr>
          <w:b/>
          <w:bCs/>
          <w:color w:val="auto"/>
          <w:spacing w:val="15"/>
          <w:sz w:val="43"/>
          <w:szCs w:val="43"/>
          <w:highlight w:val="none"/>
          <w:lang w:eastAsia="zh-CN"/>
        </w:rPr>
        <w:t>残疾人福利性单位声明函</w:t>
      </w:r>
      <w:bookmarkEnd w:id="195"/>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787D6A05">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6042A13">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96"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96"/>
    </w:p>
    <w:p w14:paraId="42363127">
      <w:pPr>
        <w:pStyle w:val="5"/>
        <w:spacing w:before="280" w:line="218" w:lineRule="auto"/>
        <w:ind w:left="2765"/>
        <w:outlineLvl w:val="2"/>
        <w:rPr>
          <w:color w:val="auto"/>
          <w:sz w:val="47"/>
          <w:szCs w:val="47"/>
          <w:highlight w:val="none"/>
          <w:lang w:eastAsia="zh-CN"/>
        </w:rPr>
      </w:pPr>
      <w:bookmarkStart w:id="197" w:name="_Toc1588"/>
      <w:r>
        <w:rPr>
          <w:b/>
          <w:bCs/>
          <w:color w:val="auto"/>
          <w:spacing w:val="-2"/>
          <w:sz w:val="47"/>
          <w:szCs w:val="47"/>
          <w:highlight w:val="none"/>
          <w:lang w:eastAsia="zh-CN"/>
        </w:rPr>
        <w:t>电子投标文件</w:t>
      </w:r>
      <w:bookmarkEnd w:id="197"/>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E520E61">
      <w:pPr>
        <w:spacing w:line="219" w:lineRule="auto"/>
        <w:rPr>
          <w:color w:val="auto"/>
          <w:sz w:val="24"/>
          <w:szCs w:val="24"/>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98" w:name="_Toc51"/>
      <w:r>
        <w:rPr>
          <w:b/>
          <w:bCs/>
          <w:color w:val="auto"/>
          <w:spacing w:val="-4"/>
          <w:sz w:val="24"/>
          <w:szCs w:val="24"/>
          <w:highlight w:val="none"/>
          <w:lang w:eastAsia="zh-CN"/>
        </w:rPr>
        <w:t>2.资格证明文件目录</w:t>
      </w:r>
      <w:bookmarkEnd w:id="198"/>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1C273F80">
      <w:pPr>
        <w:spacing w:line="227" w:lineRule="auto"/>
        <w:rPr>
          <w:color w:val="auto"/>
          <w:sz w:val="20"/>
          <w:szCs w:val="20"/>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99"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99"/>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58456AAF">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200" w:name="_Toc24721"/>
      <w:r>
        <w:rPr>
          <w:b/>
          <w:bCs/>
          <w:color w:val="auto"/>
          <w:spacing w:val="-5"/>
          <w:sz w:val="24"/>
          <w:szCs w:val="24"/>
          <w:highlight w:val="none"/>
          <w:lang w:eastAsia="zh-CN"/>
        </w:rPr>
        <w:t>5.投标声明</w:t>
      </w:r>
      <w:bookmarkEnd w:id="200"/>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numId w:val="0"/>
        </w:numPr>
        <w:rPr>
          <w:rStyle w:val="16"/>
          <w:rFonts w:hint="eastAsia" w:ascii="宋体" w:hAnsi="宋体" w:eastAsia="宋体" w:cs="宋体"/>
          <w:i w:val="0"/>
          <w:iCs w:val="0"/>
          <w:caps w:val="0"/>
          <w:color w:val="333333"/>
          <w:spacing w:val="0"/>
          <w:sz w:val="36"/>
          <w:szCs w:val="36"/>
          <w:shd w:val="clear" w:color="auto" w:fill="FFFFFF"/>
        </w:rPr>
      </w:pPr>
      <w:r>
        <w:rPr>
          <w:rStyle w:val="16"/>
          <w:rFonts w:hint="eastAsia" w:cs="宋体"/>
          <w:i w:val="0"/>
          <w:iCs w:val="0"/>
          <w:caps w:val="0"/>
          <w:color w:val="333333"/>
          <w:spacing w:val="0"/>
          <w:sz w:val="36"/>
          <w:szCs w:val="36"/>
          <w:shd w:val="clear" w:color="auto" w:fill="FFFFFF"/>
          <w:lang w:val="en-US" w:eastAsia="zh-CN"/>
        </w:rPr>
        <w:t>5.</w:t>
      </w:r>
      <w:r>
        <w:rPr>
          <w:rStyle w:val="16"/>
          <w:rFonts w:hint="eastAsia" w:ascii="宋体" w:hAnsi="宋体" w:eastAsia="宋体" w:cs="宋体"/>
          <w:i w:val="0"/>
          <w:iCs w:val="0"/>
          <w:caps w:val="0"/>
          <w:color w:val="333333"/>
          <w:spacing w:val="0"/>
          <w:sz w:val="36"/>
          <w:szCs w:val="36"/>
          <w:shd w:val="clear" w:color="auto" w:fill="FFFFFF"/>
        </w:rPr>
        <w:t>关于符合本国产品标准的声明函</w:t>
      </w:r>
    </w:p>
    <w:p w14:paraId="2EA755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655063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7E72FA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pPr>
      <w:r>
        <w:rPr>
          <w:rStyle w:val="16"/>
          <w:rFonts w:hint="eastAsia" w:ascii="宋体" w:hAnsi="宋体" w:eastAsia="宋体" w:cs="宋体"/>
          <w:i w:val="0"/>
          <w:iCs w:val="0"/>
          <w:caps w:val="0"/>
          <w:color w:val="333333"/>
          <w:spacing w:val="0"/>
          <w:sz w:val="36"/>
          <w:szCs w:val="36"/>
          <w:shd w:val="clear" w:color="auto" w:fill="FFFFFF"/>
        </w:rPr>
        <w:t>关于符合本国产品标准的声明函</w:t>
      </w:r>
    </w:p>
    <w:p w14:paraId="03BB8C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2B989D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本公司（单位）郑重声明，根据《国务院办公厅关于在政府采购中实施本国产品标准及相关政策的通知》（国办发〔2025〕34号）的规定，本公司（单位）提供的以下产品属于本国产品。具体情况如下：</w:t>
      </w:r>
    </w:p>
    <w:p w14:paraId="0F5BDD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1.</w:t>
      </w:r>
      <w:r>
        <w:rPr>
          <w:rStyle w:val="18"/>
        </w:rPr>
        <w:t>（产品名称1）</w:t>
      </w:r>
      <w:r>
        <w:rPr>
          <w:rStyle w:val="18"/>
          <w:vertAlign w:val="superscript"/>
        </w:rPr>
        <w:t>1</w:t>
      </w:r>
      <w:r>
        <w:t>，生产厂为</w:t>
      </w:r>
      <w:r>
        <w:rPr>
          <w:rStyle w:val="18"/>
        </w:rPr>
        <w:t>（厂名）</w:t>
      </w:r>
      <w:r>
        <w:rPr>
          <w:rStyle w:val="18"/>
          <w:vertAlign w:val="superscript"/>
        </w:rPr>
        <w:t>2</w:t>
      </w:r>
      <w:r>
        <w:t>，厂址为</w:t>
      </w:r>
      <w:r>
        <w:rPr>
          <w:rStyle w:val="18"/>
        </w:rPr>
        <w:t>（生产厂址）</w:t>
      </w:r>
      <w:r>
        <w:t>。</w:t>
      </w:r>
      <w:r>
        <w:rPr>
          <w:rStyle w:val="18"/>
        </w:rPr>
        <w:t>（产品名称1）</w:t>
      </w:r>
      <w:r>
        <w:t>的中国境内生产的组件成本占比≥</w:t>
      </w:r>
      <w:r>
        <w:rPr>
          <w:rStyle w:val="18"/>
        </w:rPr>
        <w:t>（规定比例）</w:t>
      </w:r>
      <w:r>
        <w:rPr>
          <w:rStyle w:val="18"/>
          <w:vertAlign w:val="superscript"/>
        </w:rPr>
        <w:t>3</w:t>
      </w:r>
      <w:r>
        <w:t>。</w:t>
      </w:r>
      <w:r>
        <w:rPr>
          <w:rStyle w:val="18"/>
        </w:rPr>
        <w:t>（产品名称1）</w:t>
      </w:r>
      <w:r>
        <w:t>的</w:t>
      </w:r>
      <w:r>
        <w:rPr>
          <w:rStyle w:val="18"/>
        </w:rPr>
        <w:t>（关键组件）</w:t>
      </w:r>
      <w:r>
        <w:rPr>
          <w:rStyle w:val="18"/>
          <w:vertAlign w:val="superscript"/>
        </w:rPr>
        <w:t>4</w:t>
      </w:r>
      <w:r>
        <w:t>在中国境内生产。</w:t>
      </w:r>
      <w:r>
        <w:rPr>
          <w:rStyle w:val="18"/>
        </w:rPr>
        <w:t>（产品名称1）</w:t>
      </w:r>
      <w:r>
        <w:t>的</w:t>
      </w:r>
      <w:r>
        <w:rPr>
          <w:rStyle w:val="18"/>
        </w:rPr>
        <w:t>（关键工序）</w:t>
      </w:r>
      <w:r>
        <w:rPr>
          <w:rStyle w:val="18"/>
          <w:vertAlign w:val="superscript"/>
        </w:rPr>
        <w:t>5</w:t>
      </w:r>
      <w:r>
        <w:t>在中国境内完成。</w:t>
      </w:r>
    </w:p>
    <w:p w14:paraId="37D68F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2.</w:t>
      </w:r>
      <w:r>
        <w:rPr>
          <w:rStyle w:val="18"/>
        </w:rPr>
        <w:t>（产品名称2）</w:t>
      </w:r>
      <w:r>
        <w:t>，生产厂为</w:t>
      </w:r>
      <w:r>
        <w:rPr>
          <w:rStyle w:val="18"/>
        </w:rPr>
        <w:t>（厂名）</w:t>
      </w:r>
      <w:r>
        <w:t>，厂址为</w:t>
      </w:r>
      <w:r>
        <w:rPr>
          <w:rStyle w:val="18"/>
        </w:rPr>
        <w:t>（生产厂址）</w:t>
      </w:r>
      <w:r>
        <w:t>。</w:t>
      </w:r>
      <w:r>
        <w:rPr>
          <w:rStyle w:val="18"/>
        </w:rPr>
        <w:t>（产品名称2）</w:t>
      </w:r>
      <w:r>
        <w:t>的中国境内生产的组件成本占比≥</w:t>
      </w:r>
      <w:r>
        <w:rPr>
          <w:rStyle w:val="18"/>
        </w:rPr>
        <w:t>（规定比例）</w:t>
      </w:r>
      <w:r>
        <w:t>。</w:t>
      </w:r>
      <w:r>
        <w:rPr>
          <w:rStyle w:val="18"/>
        </w:rPr>
        <w:t>（产品名称2）</w:t>
      </w:r>
      <w:r>
        <w:t>的</w:t>
      </w:r>
      <w:r>
        <w:rPr>
          <w:rStyle w:val="18"/>
        </w:rPr>
        <w:t>（关键组件）</w:t>
      </w:r>
      <w:r>
        <w:t>在中国境内生产。</w:t>
      </w:r>
      <w:r>
        <w:rPr>
          <w:rStyle w:val="18"/>
        </w:rPr>
        <w:t>（产品名称2）</w:t>
      </w:r>
      <w:r>
        <w:t>的</w:t>
      </w:r>
      <w:r>
        <w:rPr>
          <w:rStyle w:val="18"/>
        </w:rPr>
        <w:t>（关键工序）</w:t>
      </w:r>
      <w:r>
        <w:t>在中国境内完成。</w:t>
      </w:r>
    </w:p>
    <w:p w14:paraId="4B8550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w:t>
      </w:r>
    </w:p>
    <w:p w14:paraId="0CD994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r>
        <w:t>本公司（单位）对上述声明内容的真实性负责。如有虚假，愿承担相应法律责任。</w:t>
      </w:r>
    </w:p>
    <w:p w14:paraId="35A7F0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pPr>
    </w:p>
    <w:p w14:paraId="050713B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shd w:val="clear" w:color="auto" w:fill="FFFFFF"/>
        </w:rPr>
        <w:t>1.产品如有型号，请在“产品名称”栏一并填写。</w:t>
      </w:r>
    </w:p>
    <w:p w14:paraId="016E0E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rPr>
        <w:t>2.生产厂名与厂址应与生产厂营业执照载明的相关信息保持一致。</w:t>
      </w:r>
    </w:p>
    <w:p w14:paraId="69E6EF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rPr>
        <w:t>3.该产品的中国境内生产的组件成本占比相关要求实施前，“规定比例”栏可不填，下同。</w:t>
      </w:r>
    </w:p>
    <w:p w14:paraId="48D36F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rPr>
        <w:t>4.该产品的关键组件要求实施前，“关键组件”栏可不填，下同。</w:t>
      </w:r>
    </w:p>
    <w:p w14:paraId="6621F23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rPr>
        <w:t>5.该产品的关键工序要求实施前，“关键工序”栏可不填，下同。</w:t>
      </w:r>
    </w:p>
    <w:p w14:paraId="41485DA3">
      <w:pPr>
        <w:spacing w:line="326"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201"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201"/>
    </w:p>
    <w:p w14:paraId="4223C9BB">
      <w:pPr>
        <w:pStyle w:val="5"/>
        <w:spacing w:before="282" w:line="218" w:lineRule="auto"/>
        <w:ind w:left="2765"/>
        <w:outlineLvl w:val="2"/>
        <w:rPr>
          <w:color w:val="auto"/>
          <w:sz w:val="47"/>
          <w:szCs w:val="47"/>
          <w:highlight w:val="none"/>
          <w:lang w:eastAsia="zh-CN"/>
        </w:rPr>
      </w:pPr>
      <w:bookmarkStart w:id="202" w:name="_Toc6200"/>
      <w:r>
        <w:rPr>
          <w:b/>
          <w:bCs/>
          <w:color w:val="auto"/>
          <w:spacing w:val="-2"/>
          <w:sz w:val="47"/>
          <w:szCs w:val="47"/>
          <w:highlight w:val="none"/>
          <w:lang w:eastAsia="zh-CN"/>
        </w:rPr>
        <w:t>电子投标文件</w:t>
      </w:r>
      <w:bookmarkEnd w:id="202"/>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304EB495">
      <w:pPr>
        <w:spacing w:line="219" w:lineRule="auto"/>
        <w:rPr>
          <w:color w:val="auto"/>
          <w:sz w:val="24"/>
          <w:szCs w:val="24"/>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203" w:name="_Toc27132"/>
      <w:r>
        <w:rPr>
          <w:b/>
          <w:bCs/>
          <w:color w:val="auto"/>
          <w:spacing w:val="-4"/>
          <w:highlight w:val="none"/>
          <w:lang w:eastAsia="zh-CN"/>
        </w:rPr>
        <w:t>2.商务及技术文件目录</w:t>
      </w:r>
      <w:bookmarkEnd w:id="203"/>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151A4B64">
      <w:pPr>
        <w:spacing w:line="227" w:lineRule="auto"/>
        <w:rPr>
          <w:color w:val="auto"/>
          <w:sz w:val="20"/>
          <w:szCs w:val="20"/>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204" w:name="_Toc31429"/>
      <w:r>
        <w:rPr>
          <w:b/>
          <w:bCs/>
          <w:color w:val="auto"/>
          <w:spacing w:val="-3"/>
          <w:sz w:val="24"/>
          <w:szCs w:val="24"/>
          <w:highlight w:val="none"/>
          <w:lang w:eastAsia="zh-CN"/>
        </w:rPr>
        <w:t>3.投标人参加本项目无围标串标行为的承诺</w:t>
      </w:r>
      <w:bookmarkEnd w:id="204"/>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205" w:name="_Toc23004"/>
      <w:r>
        <w:rPr>
          <w:b/>
          <w:bCs/>
          <w:color w:val="auto"/>
          <w:spacing w:val="-27"/>
          <w:position w:val="3"/>
          <w:sz w:val="43"/>
          <w:szCs w:val="43"/>
          <w:highlight w:val="none"/>
          <w:lang w:eastAsia="zh-CN"/>
        </w:rPr>
        <w:t>投标人参加本项目无围标串标行为的承诺函</w:t>
      </w:r>
      <w:bookmarkEnd w:id="205"/>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206" w:name="_Toc23860"/>
      <w:r>
        <w:rPr>
          <w:b/>
          <w:bCs/>
          <w:color w:val="auto"/>
          <w:spacing w:val="-3"/>
          <w:sz w:val="24"/>
          <w:szCs w:val="24"/>
          <w:highlight w:val="none"/>
          <w:lang w:eastAsia="zh-CN"/>
        </w:rPr>
        <w:t>一、我方承诺无下列相互串通投标的情形：</w:t>
      </w:r>
      <w:bookmarkEnd w:id="206"/>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207" w:name="_Toc12929"/>
      <w:r>
        <w:rPr>
          <w:color w:val="auto"/>
          <w:spacing w:val="-1"/>
          <w:sz w:val="24"/>
          <w:szCs w:val="24"/>
          <w:highlight w:val="none"/>
          <w:lang w:eastAsia="zh-CN"/>
        </w:rPr>
        <w:t>6.不同投标人的投标保证金从同一单位或者个人账户转出。</w:t>
      </w:r>
      <w:bookmarkEnd w:id="207"/>
    </w:p>
    <w:p w14:paraId="2713670C">
      <w:pPr>
        <w:pStyle w:val="5"/>
        <w:spacing w:before="117" w:line="219" w:lineRule="auto"/>
        <w:ind w:left="24"/>
        <w:outlineLvl w:val="1"/>
        <w:rPr>
          <w:color w:val="auto"/>
          <w:sz w:val="24"/>
          <w:szCs w:val="24"/>
          <w:highlight w:val="none"/>
          <w:lang w:eastAsia="zh-CN"/>
        </w:rPr>
      </w:pPr>
      <w:bookmarkStart w:id="208" w:name="_Toc4364"/>
      <w:r>
        <w:rPr>
          <w:b/>
          <w:bCs/>
          <w:color w:val="auto"/>
          <w:spacing w:val="-3"/>
          <w:sz w:val="24"/>
          <w:szCs w:val="24"/>
          <w:highlight w:val="none"/>
          <w:lang w:eastAsia="zh-CN"/>
        </w:rPr>
        <w:t>二、我方承诺无下列恶意串通的情形：</w:t>
      </w:r>
      <w:bookmarkEnd w:id="208"/>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2D77A675">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209" w:name="_Toc9410"/>
      <w:r>
        <w:rPr>
          <w:b/>
          <w:bCs/>
          <w:color w:val="auto"/>
          <w:spacing w:val="-3"/>
          <w:sz w:val="24"/>
          <w:szCs w:val="24"/>
          <w:highlight w:val="none"/>
          <w:lang w:eastAsia="zh-CN"/>
        </w:rPr>
        <w:t>4.法定代表人身份证明</w:t>
      </w:r>
      <w:bookmarkEnd w:id="209"/>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674B6D27">
      <w:pPr>
        <w:spacing w:line="219"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210" w:name="_Toc15243"/>
      <w:r>
        <w:rPr>
          <w:b/>
          <w:bCs/>
          <w:color w:val="auto"/>
          <w:spacing w:val="-4"/>
          <w:sz w:val="24"/>
          <w:szCs w:val="24"/>
          <w:highlight w:val="none"/>
          <w:lang w:eastAsia="zh-CN"/>
        </w:rPr>
        <w:t>5.授权委托书格式</w:t>
      </w:r>
      <w:bookmarkEnd w:id="210"/>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723BDC21">
      <w:pPr>
        <w:spacing w:line="324"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211"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211"/>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28"/>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29"/>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29"/>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29"/>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29"/>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29"/>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29"/>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29"/>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29509BE0">
      <w:pPr>
        <w:spacing w:line="220"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212" w:name="_Toc20343"/>
      <w:r>
        <w:rPr>
          <w:b/>
          <w:bCs/>
          <w:color w:val="auto"/>
          <w:spacing w:val="-4"/>
          <w:sz w:val="24"/>
          <w:szCs w:val="24"/>
          <w:highlight w:val="none"/>
          <w:lang w:eastAsia="zh-CN"/>
        </w:rPr>
        <w:t>7.投标人业绩证明材料</w:t>
      </w:r>
      <w:bookmarkEnd w:id="212"/>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2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29"/>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29"/>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29"/>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29"/>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08E2F846">
      <w:pPr>
        <w:spacing w:line="219"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213" w:name="_Toc18260"/>
      <w:r>
        <w:rPr>
          <w:b/>
          <w:bCs/>
          <w:color w:val="auto"/>
          <w:spacing w:val="-3"/>
          <w:sz w:val="24"/>
          <w:szCs w:val="24"/>
          <w:highlight w:val="none"/>
          <w:lang w:eastAsia="zh-CN"/>
        </w:rPr>
        <w:t>8.技术要求偏离表格式</w:t>
      </w:r>
      <w:bookmarkEnd w:id="213"/>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28"/>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0F538BEB">
            <w:pPr>
              <w:pStyle w:val="29"/>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29"/>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29"/>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29"/>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29"/>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0EFB908C">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214" w:name="_Toc13982"/>
      <w:r>
        <w:rPr>
          <w:b/>
          <w:bCs/>
          <w:color w:val="auto"/>
          <w:spacing w:val="-3"/>
          <w:sz w:val="24"/>
          <w:szCs w:val="24"/>
          <w:highlight w:val="none"/>
          <w:lang w:eastAsia="zh-CN"/>
        </w:rPr>
        <w:t>9.项目实施人员一览表格式</w:t>
      </w:r>
      <w:bookmarkEnd w:id="214"/>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28"/>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29"/>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29"/>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29"/>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29"/>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29"/>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29"/>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29"/>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29"/>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29"/>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29"/>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3"/>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3"/>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02293A9B">
      <w:pPr>
        <w:spacing w:line="220" w:lineRule="auto"/>
        <w:rPr>
          <w:color w:val="auto"/>
          <w:sz w:val="24"/>
          <w:szCs w:val="24"/>
          <w:highlight w:val="none"/>
          <w:lang w:eastAsia="zh-CN"/>
        </w:rPr>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215" w:name="_Toc4938"/>
      <w:r>
        <w:rPr>
          <w:b/>
          <w:bCs/>
          <w:color w:val="auto"/>
          <w:spacing w:val="-6"/>
          <w:highlight w:val="none"/>
          <w:lang w:eastAsia="zh-CN"/>
        </w:rPr>
        <w:t>四、其他文书、文件格式</w:t>
      </w:r>
      <w:bookmarkEnd w:id="215"/>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8"/>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8"/>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8"/>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8"/>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8"/>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8"/>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8"/>
        <w:spacing w:line="360" w:lineRule="auto"/>
        <w:ind w:left="25" w:leftChars="12" w:firstLine="352" w:firstLineChars="147"/>
        <w:contextualSpacing/>
        <w:rPr>
          <w:rFonts w:hAnsi="宋体"/>
          <w:color w:val="auto"/>
          <w:sz w:val="24"/>
          <w:szCs w:val="24"/>
          <w:highlight w:val="none"/>
        </w:rPr>
      </w:pPr>
    </w:p>
    <w:p w14:paraId="53EB6459">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8"/>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8"/>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8"/>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8"/>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8"/>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8"/>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8"/>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8"/>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8"/>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8"/>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8"/>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8"/>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8"/>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8"/>
        <w:spacing w:line="360" w:lineRule="auto"/>
        <w:ind w:left="25" w:leftChars="12" w:firstLine="352" w:firstLineChars="147"/>
        <w:rPr>
          <w:rFonts w:hAnsi="宋体"/>
          <w:color w:val="auto"/>
          <w:sz w:val="24"/>
          <w:szCs w:val="24"/>
          <w:highlight w:val="none"/>
        </w:rPr>
      </w:pPr>
    </w:p>
    <w:p w14:paraId="28EE5C2B">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8"/>
        <w:spacing w:line="360" w:lineRule="auto"/>
        <w:ind w:left="25" w:leftChars="12" w:firstLine="352" w:firstLineChars="147"/>
        <w:rPr>
          <w:rFonts w:hAnsi="宋体"/>
          <w:color w:val="auto"/>
          <w:sz w:val="24"/>
          <w:szCs w:val="24"/>
          <w:highlight w:val="none"/>
        </w:rPr>
      </w:pPr>
    </w:p>
    <w:p w14:paraId="6360B74F">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8"/>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8"/>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B55F00-4A96-44A2-B778-063DCB37D06B}"/>
  </w:font>
  <w:font w:name="黑体">
    <w:panose1 w:val="02010609060101010101"/>
    <w:charset w:val="86"/>
    <w:family w:val="auto"/>
    <w:pitch w:val="default"/>
    <w:sig w:usb0="800002BF" w:usb1="38CF7CFA" w:usb2="00000016" w:usb3="00000000" w:csb0="00040001" w:csb1="00000000"/>
    <w:embedRegular r:id="rId2" w:fontKey="{3E30C8DD-0FCF-481B-B7C6-1AEB496DA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CB560DF2-DFE7-4529-A694-066F73FBAF90}"/>
  </w:font>
  <w:font w:name="华文中宋">
    <w:panose1 w:val="02010600040101010101"/>
    <w:charset w:val="86"/>
    <w:family w:val="auto"/>
    <w:pitch w:val="default"/>
    <w:sig w:usb0="00000287" w:usb1="080F0000" w:usb2="00000000" w:usb3="00000000" w:csb0="0004009F" w:csb1="DFD70000"/>
    <w:embedRegular r:id="rId4" w:fontKey="{B122B752-1C7A-45F3-BAAF-C4C6D2799B5F}"/>
  </w:font>
  <w:font w:name="微软雅黑">
    <w:panose1 w:val="020B0503020204020204"/>
    <w:charset w:val="86"/>
    <w:family w:val="swiss"/>
    <w:pitch w:val="default"/>
    <w:sig w:usb0="80000287" w:usb1="2ACF3C50" w:usb2="00000016" w:usb3="00000000" w:csb0="0004001F" w:csb1="00000000"/>
    <w:embedRegular r:id="rId5" w:fontKey="{2A38C4E1-26E8-42BC-BF1F-ACBD9DB0C718}"/>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embedRegular r:id="rId6" w:fontKey="{D30EB208-6922-4CD7-BE51-765B101868C2}"/>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embedRegular r:id="rId7" w:fontKey="{1C9E2529-6B20-4E68-B6DE-A66144525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48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4F78C">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54F78C">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A14F2"/>
    <w:multiLevelType w:val="singleLevel"/>
    <w:tmpl w:val="AD4A14F2"/>
    <w:lvl w:ilvl="0" w:tentative="0">
      <w:start w:val="1"/>
      <w:numFmt w:val="decimal"/>
      <w:lvlText w:val="%1."/>
      <w:lvlJc w:val="left"/>
      <w:pPr>
        <w:tabs>
          <w:tab w:val="left" w:pos="312"/>
        </w:tabs>
      </w:pPr>
    </w:lvl>
  </w:abstractNum>
  <w:abstractNum w:abstractNumId="1">
    <w:nsid w:val="0053208E"/>
    <w:multiLevelType w:val="singleLevel"/>
    <w:tmpl w:val="0053208E"/>
    <w:lvl w:ilvl="0" w:tentative="0">
      <w:start w:val="1"/>
      <w:numFmt w:val="decimal"/>
      <w:lvlText w:val="%1."/>
      <w:lvlJc w:val="left"/>
      <w:pPr>
        <w:ind w:left="420" w:hanging="420"/>
      </w:pPr>
    </w:lvl>
  </w:abstractNum>
  <w:abstractNum w:abstractNumId="2">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CE4B54"/>
    <w:rsid w:val="00D50704"/>
    <w:rsid w:val="00EF3CE2"/>
    <w:rsid w:val="00F71D40"/>
    <w:rsid w:val="01FE0DA1"/>
    <w:rsid w:val="022B7108"/>
    <w:rsid w:val="03036FDB"/>
    <w:rsid w:val="05BD7D37"/>
    <w:rsid w:val="06AD03AB"/>
    <w:rsid w:val="06DF362F"/>
    <w:rsid w:val="07C6068D"/>
    <w:rsid w:val="08470B2C"/>
    <w:rsid w:val="089928E4"/>
    <w:rsid w:val="09C75E09"/>
    <w:rsid w:val="0A0D2B8D"/>
    <w:rsid w:val="0B62601C"/>
    <w:rsid w:val="0BE1433A"/>
    <w:rsid w:val="0C0117BC"/>
    <w:rsid w:val="0D0E11B0"/>
    <w:rsid w:val="0DD876EB"/>
    <w:rsid w:val="0F305E9F"/>
    <w:rsid w:val="0FFD3598"/>
    <w:rsid w:val="137F2DB6"/>
    <w:rsid w:val="14991C55"/>
    <w:rsid w:val="15BF7630"/>
    <w:rsid w:val="15DD699E"/>
    <w:rsid w:val="17326391"/>
    <w:rsid w:val="177420F1"/>
    <w:rsid w:val="181544C5"/>
    <w:rsid w:val="181B5161"/>
    <w:rsid w:val="183140D2"/>
    <w:rsid w:val="18664452"/>
    <w:rsid w:val="18C86C35"/>
    <w:rsid w:val="1B290E4E"/>
    <w:rsid w:val="1DE94300"/>
    <w:rsid w:val="1E57768E"/>
    <w:rsid w:val="1E985292"/>
    <w:rsid w:val="201230F1"/>
    <w:rsid w:val="21D22A9A"/>
    <w:rsid w:val="23387296"/>
    <w:rsid w:val="233A274B"/>
    <w:rsid w:val="23D27417"/>
    <w:rsid w:val="245B2815"/>
    <w:rsid w:val="248F3DDE"/>
    <w:rsid w:val="24F77853"/>
    <w:rsid w:val="25791596"/>
    <w:rsid w:val="25E72CB7"/>
    <w:rsid w:val="27BF3F2A"/>
    <w:rsid w:val="280C4A91"/>
    <w:rsid w:val="2944185D"/>
    <w:rsid w:val="297971E0"/>
    <w:rsid w:val="2A0F5C8C"/>
    <w:rsid w:val="2B651E42"/>
    <w:rsid w:val="2B936114"/>
    <w:rsid w:val="2C532F35"/>
    <w:rsid w:val="2D4921A9"/>
    <w:rsid w:val="2E08254A"/>
    <w:rsid w:val="2E75486F"/>
    <w:rsid w:val="2FD237D8"/>
    <w:rsid w:val="30100D8D"/>
    <w:rsid w:val="3015084B"/>
    <w:rsid w:val="306C14F3"/>
    <w:rsid w:val="31F02690"/>
    <w:rsid w:val="322B3CFA"/>
    <w:rsid w:val="32C2310B"/>
    <w:rsid w:val="33B71CA0"/>
    <w:rsid w:val="342121AA"/>
    <w:rsid w:val="342D56EF"/>
    <w:rsid w:val="35A72515"/>
    <w:rsid w:val="35E71C6E"/>
    <w:rsid w:val="3663129C"/>
    <w:rsid w:val="38A0046D"/>
    <w:rsid w:val="3AC744DA"/>
    <w:rsid w:val="3B210B7A"/>
    <w:rsid w:val="3BCD3EF8"/>
    <w:rsid w:val="3D0C4E0B"/>
    <w:rsid w:val="3D7C3FD5"/>
    <w:rsid w:val="3E6C6819"/>
    <w:rsid w:val="3E806EFB"/>
    <w:rsid w:val="3F7C79E0"/>
    <w:rsid w:val="40166BE1"/>
    <w:rsid w:val="40FE26E8"/>
    <w:rsid w:val="43F32C87"/>
    <w:rsid w:val="44277DD2"/>
    <w:rsid w:val="45032B49"/>
    <w:rsid w:val="458063F6"/>
    <w:rsid w:val="46AE07B4"/>
    <w:rsid w:val="473F5DDD"/>
    <w:rsid w:val="48B514BE"/>
    <w:rsid w:val="497E4969"/>
    <w:rsid w:val="4B7E3EB3"/>
    <w:rsid w:val="4D7B4075"/>
    <w:rsid w:val="4DC60596"/>
    <w:rsid w:val="4E1E4A51"/>
    <w:rsid w:val="4EB03EA5"/>
    <w:rsid w:val="4F440434"/>
    <w:rsid w:val="50373D1B"/>
    <w:rsid w:val="52532CCB"/>
    <w:rsid w:val="52536998"/>
    <w:rsid w:val="53570376"/>
    <w:rsid w:val="53D2563B"/>
    <w:rsid w:val="55160F28"/>
    <w:rsid w:val="56C94273"/>
    <w:rsid w:val="570A1740"/>
    <w:rsid w:val="59A60AFF"/>
    <w:rsid w:val="59B70FEA"/>
    <w:rsid w:val="5AA24CA4"/>
    <w:rsid w:val="5BA52E4F"/>
    <w:rsid w:val="5BB3713E"/>
    <w:rsid w:val="5BEC343D"/>
    <w:rsid w:val="5F2541DA"/>
    <w:rsid w:val="5F6F3BDE"/>
    <w:rsid w:val="601C57A4"/>
    <w:rsid w:val="6119392A"/>
    <w:rsid w:val="6169044F"/>
    <w:rsid w:val="622E0BA8"/>
    <w:rsid w:val="623E6F65"/>
    <w:rsid w:val="62882453"/>
    <w:rsid w:val="62C226AA"/>
    <w:rsid w:val="654126AC"/>
    <w:rsid w:val="65790632"/>
    <w:rsid w:val="663D12E2"/>
    <w:rsid w:val="66707909"/>
    <w:rsid w:val="6A152CA1"/>
    <w:rsid w:val="6A930BA1"/>
    <w:rsid w:val="6BB66F46"/>
    <w:rsid w:val="6E5649CB"/>
    <w:rsid w:val="6F170E8D"/>
    <w:rsid w:val="6F336287"/>
    <w:rsid w:val="6F707FC2"/>
    <w:rsid w:val="6FD9220E"/>
    <w:rsid w:val="70752604"/>
    <w:rsid w:val="70EB7A4E"/>
    <w:rsid w:val="71621E7E"/>
    <w:rsid w:val="738A5045"/>
    <w:rsid w:val="75304257"/>
    <w:rsid w:val="76350270"/>
    <w:rsid w:val="779619D8"/>
    <w:rsid w:val="794C6331"/>
    <w:rsid w:val="79F74FA8"/>
    <w:rsid w:val="7A946773"/>
    <w:rsid w:val="7B3727D0"/>
    <w:rsid w:val="7C8B22DF"/>
    <w:rsid w:val="7CA66985"/>
    <w:rsid w:val="7CF33F49"/>
    <w:rsid w:val="7DC03851"/>
    <w:rsid w:val="7E7D7B6A"/>
    <w:rsid w:val="7EB06B44"/>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2"/>
    <w:qFormat/>
    <w:uiPriority w:val="0"/>
    <w:pPr>
      <w:keepNext/>
      <w:keepLines/>
      <w:spacing w:before="260" w:after="260" w:line="413" w:lineRule="auto"/>
      <w:outlineLvl w:val="2"/>
    </w:pPr>
    <w:rPr>
      <w:rFonts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next w:val="7"/>
    <w:qFormat/>
    <w:uiPriority w:val="0"/>
    <w:pPr>
      <w:ind w:firstLine="830" w:firstLineChars="352"/>
    </w:pPr>
    <w:rPr>
      <w:rFonts w:ascii="仿宋_GB2312" w:eastAsia="仿宋_GB2312"/>
      <w:kern w:val="0"/>
      <w:sz w:val="32"/>
      <w:szCs w:val="20"/>
    </w:rPr>
  </w:style>
  <w:style w:type="paragraph" w:styleId="7">
    <w:name w:val="envelope return"/>
    <w:basedOn w:val="1"/>
    <w:unhideWhenUsed/>
    <w:qFormat/>
    <w:uiPriority w:val="0"/>
    <w:pPr>
      <w:snapToGrid w:val="0"/>
    </w:pPr>
    <w:rPr>
      <w:rFonts w:ascii="Arial" w:hAnsi="Arial"/>
    </w:rPr>
  </w:style>
  <w:style w:type="paragraph" w:styleId="8">
    <w:name w:val="Plain Text"/>
    <w:basedOn w:val="1"/>
    <w:next w:val="1"/>
    <w:qFormat/>
    <w:uiPriority w:val="0"/>
    <w:rPr>
      <w:rFonts w:ascii="宋体" w:hAnsi="Courier New" w:eastAsia="宋体" w:cs="Times New Roman"/>
      <w:kern w:val="2"/>
      <w:lang w:eastAsia="zh-CN"/>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pPr>
      <w:tabs>
        <w:tab w:val="right" w:leader="dot" w:pos="9072"/>
      </w:tabs>
    </w:pPr>
    <w:rPr>
      <w:sz w:val="24"/>
      <w:szCs w:val="24"/>
    </w:rPr>
  </w:style>
  <w:style w:type="paragraph" w:styleId="12">
    <w:name w:val="Normal (Web)"/>
    <w:basedOn w:val="1"/>
    <w:qFormat/>
    <w:uiPriority w:val="0"/>
    <w:pPr>
      <w:spacing w:before="100" w:beforeAutospacing="1" w:after="100" w:afterAutospacing="1"/>
    </w:pPr>
    <w:rPr>
      <w:rFonts w:hAnsi="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bdr w:val="single" w:color="F1F1F1" w:sz="6" w:space="0"/>
      <w:shd w:val="clear" w:color="auto" w:fill="F1F1F1"/>
    </w:rPr>
  </w:style>
  <w:style w:type="character" w:styleId="27">
    <w:name w:val="HTML Sample"/>
    <w:basedOn w:val="15"/>
    <w:qFormat/>
    <w:uiPriority w:val="0"/>
    <w:rPr>
      <w:rFonts w:hint="default" w:ascii="monospace" w:hAnsi="monospace" w:eastAsia="monospace" w:cs="monospace"/>
      <w:vanish/>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0"/>
      <w:szCs w:val="20"/>
    </w:rPr>
  </w:style>
  <w:style w:type="paragraph" w:customStyle="1" w:styleId="30">
    <w:name w:val="表格文字"/>
    <w:basedOn w:val="6"/>
    <w:qFormat/>
    <w:uiPriority w:val="0"/>
    <w:pPr>
      <w:spacing w:before="25" w:after="25"/>
    </w:pPr>
    <w:rPr>
      <w:bCs/>
      <w:spacing w:val="10"/>
      <w:sz w:val="24"/>
    </w:rPr>
  </w:style>
  <w:style w:type="paragraph" w:styleId="31">
    <w:name w:val="List Paragraph"/>
    <w:basedOn w:val="1"/>
    <w:qFormat/>
    <w:uiPriority w:val="0"/>
    <w:pPr>
      <w:ind w:firstLine="420" w:firstLineChars="200"/>
    </w:pPr>
    <w:rPr>
      <w:szCs w:val="24"/>
    </w:rPr>
  </w:style>
  <w:style w:type="paragraph" w:customStyle="1" w:styleId="32">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3">
    <w:name w:val="标题 3 Char"/>
    <w:link w:val="3"/>
    <w:qFormat/>
    <w:uiPriority w:val="0"/>
    <w:rPr>
      <w:rFonts w:eastAsia="宋体" w:cs="Times New Roman"/>
      <w:b/>
      <w:bCs/>
      <w:sz w:val="32"/>
      <w:szCs w:val="32"/>
    </w:rPr>
  </w:style>
  <w:style w:type="paragraph" w:customStyle="1" w:styleId="34">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5">
    <w:name w:val="WPSOffice手动目录 1"/>
    <w:qFormat/>
    <w:uiPriority w:val="0"/>
    <w:rPr>
      <w:rFonts w:ascii="Arial" w:hAnsi="Arial" w:eastAsia="Arial" w:cs="Arial"/>
      <w:lang w:val="en-US" w:eastAsia="zh-CN" w:bidi="ar-SA"/>
    </w:rPr>
  </w:style>
  <w:style w:type="paragraph" w:customStyle="1" w:styleId="36">
    <w:name w:val="WPSOffice手动目录 2"/>
    <w:qFormat/>
    <w:uiPriority w:val="0"/>
    <w:pPr>
      <w:ind w:left="200" w:leftChars="200"/>
    </w:pPr>
    <w:rPr>
      <w:rFonts w:ascii="Arial" w:hAnsi="Arial" w:eastAsia="Arial" w:cs="Arial"/>
      <w:lang w:val="en-US" w:eastAsia="zh-CN" w:bidi="ar-SA"/>
    </w:rPr>
  </w:style>
  <w:style w:type="paragraph" w:customStyle="1" w:styleId="37">
    <w:name w:val="WPSOffice手动目录 3"/>
    <w:qFormat/>
    <w:uiPriority w:val="0"/>
    <w:pPr>
      <w:ind w:left="400" w:leftChars="400"/>
    </w:pPr>
    <w:rPr>
      <w:rFonts w:ascii="Arial" w:hAnsi="Arial" w:eastAsia="Arial" w:cs="Arial"/>
      <w:lang w:val="en-US" w:eastAsia="zh-CN" w:bidi="ar-SA"/>
    </w:rPr>
  </w:style>
  <w:style w:type="character" w:customStyle="1" w:styleId="38">
    <w:name w:val="hover"/>
    <w:basedOn w:val="15"/>
    <w:qFormat/>
    <w:uiPriority w:val="0"/>
  </w:style>
  <w:style w:type="character" w:customStyle="1" w:styleId="39">
    <w:name w:val="hover1"/>
    <w:basedOn w:val="15"/>
    <w:qFormat/>
    <w:uiPriority w:val="0"/>
    <w:rPr>
      <w:color w:val="2590EB"/>
    </w:rPr>
  </w:style>
  <w:style w:type="character" w:customStyle="1" w:styleId="40">
    <w:name w:val="hover2"/>
    <w:basedOn w:val="15"/>
    <w:qFormat/>
    <w:uiPriority w:val="0"/>
    <w:rPr>
      <w:color w:val="2590EB"/>
    </w:rPr>
  </w:style>
  <w:style w:type="character" w:customStyle="1" w:styleId="41">
    <w:name w:val="NormalCharacter"/>
    <w:qFormat/>
    <w:uiPriority w:val="0"/>
  </w:style>
  <w:style w:type="character" w:customStyle="1" w:styleId="42">
    <w:name w:val="标题 3 字符"/>
    <w:link w:val="3"/>
    <w:qFormat/>
    <w:uiPriority w:val="0"/>
    <w:rPr>
      <w:rFonts w:eastAsia="宋体" w:cs="Times New Roman"/>
      <w:b/>
      <w:bCs/>
      <w:sz w:val="32"/>
      <w:szCs w:val="32"/>
    </w:rPr>
  </w:style>
  <w:style w:type="character" w:customStyle="1" w:styleId="43">
    <w:name w:val="hover3"/>
    <w:basedOn w:val="1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2089</Words>
  <Characters>2552</Characters>
  <Lines>487</Lines>
  <Paragraphs>137</Paragraphs>
  <TotalTime>3</TotalTime>
  <ScaleCrop>false</ScaleCrop>
  <LinksUpToDate>false</LinksUpToDate>
  <CharactersWithSpaces>2658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Administrator</cp:lastModifiedBy>
  <cp:lastPrinted>2025-05-30T08:30:00Z</cp:lastPrinted>
  <dcterms:modified xsi:type="dcterms:W3CDTF">2026-04-13T07:49:09Z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2052-12.8.2.17149</vt:lpwstr>
  </property>
  <property fmtid="{D5CDD505-2E9C-101B-9397-08002B2CF9AE}" pid="5" name="ICV">
    <vt:lpwstr>ECD6893C7D23468BA4DC56FF879B8561_13</vt:lpwstr>
  </property>
  <property fmtid="{D5CDD505-2E9C-101B-9397-08002B2CF9AE}" pid="6" name="KSOTemplateDocerSaveRecord">
    <vt:lpwstr>eyJoZGlkIjoiZTc4YmMxODcyZDY5MGQyNDJmNDI0OWMxYWQ5ZjE0ZTUiLCJ1c2VySWQiOiI1MzM5NDQyMDAifQ==</vt:lpwstr>
  </property>
</Properties>
</file>