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598D755">
      <w:pPr>
        <w:pStyle w:val="27"/>
        <w:snapToGrid w:val="0"/>
        <w:spacing w:line="360" w:lineRule="auto"/>
        <w:jc w:val="center"/>
        <w:rPr>
          <w:rFonts w:hint="eastAsia" w:ascii="宋体" w:hAnsi="宋体" w:eastAsia="宋体" w:cs="宋体"/>
          <w:b/>
          <w:bCs/>
          <w:color w:val="auto"/>
          <w:w w:val="95"/>
          <w:sz w:val="30"/>
          <w:szCs w:val="30"/>
          <w:highlight w:val="none"/>
          <w:lang w:eastAsia="zh-CN"/>
        </w:rPr>
      </w:pPr>
      <w:bookmarkStart w:id="0" w:name="_Toc217446030"/>
      <w:bookmarkStart w:id="1" w:name="_Toc183682338"/>
      <w:r>
        <w:rPr>
          <w:rFonts w:hint="eastAsia" w:ascii="宋体" w:hAnsi="宋体" w:eastAsia="宋体" w:cs="宋体"/>
          <w:b/>
          <w:bCs/>
          <w:color w:val="auto"/>
          <w:w w:val="95"/>
          <w:sz w:val="30"/>
          <w:szCs w:val="30"/>
          <w:highlight w:val="none"/>
          <w:lang w:eastAsia="zh-CN"/>
        </w:rPr>
        <w:drawing>
          <wp:inline distT="0" distB="0" distL="114300" distR="114300">
            <wp:extent cx="6117590" cy="8595995"/>
            <wp:effectExtent l="0" t="0" r="16510" b="14605"/>
            <wp:docPr id="1" name="图片 1" descr="招标文件封面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0000"/>
                    <pic:cNvPicPr>
                      <a:picLocks noChangeAspect="1"/>
                    </pic:cNvPicPr>
                  </pic:nvPicPr>
                  <pic:blipFill>
                    <a:blip r:embed="rId19"/>
                    <a:stretch>
                      <a:fillRect/>
                    </a:stretch>
                  </pic:blipFill>
                  <pic:spPr>
                    <a:xfrm>
                      <a:off x="0" y="0"/>
                      <a:ext cx="6117590" cy="8595995"/>
                    </a:xfrm>
                    <a:prstGeom prst="rect">
                      <a:avLst/>
                    </a:prstGeom>
                  </pic:spPr>
                </pic:pic>
              </a:graphicData>
            </a:graphic>
          </wp:inline>
        </w:drawing>
      </w:r>
    </w:p>
    <w:p w14:paraId="459C2FC6">
      <w:pPr>
        <w:pStyle w:val="27"/>
        <w:snapToGrid w:val="0"/>
        <w:spacing w:line="360" w:lineRule="auto"/>
        <w:jc w:val="center"/>
        <w:rPr>
          <w:rFonts w:hint="eastAsia" w:ascii="宋体" w:hAnsi="宋体" w:eastAsia="宋体" w:cs="宋体"/>
          <w:b/>
          <w:bCs/>
          <w:color w:val="auto"/>
          <w:w w:val="95"/>
          <w:sz w:val="30"/>
          <w:szCs w:val="30"/>
          <w:highlight w:val="none"/>
        </w:rPr>
        <w:sectPr>
          <w:footerReference r:id="rId5" w:type="first"/>
          <w:headerReference r:id="rId3" w:type="default"/>
          <w:footerReference r:id="rId4" w:type="even"/>
          <w:type w:val="nextColumn"/>
          <w:pgSz w:w="11906" w:h="16838"/>
          <w:pgMar w:top="1134" w:right="1134" w:bottom="1134" w:left="1134" w:header="851" w:footer="567" w:gutter="0"/>
          <w:pgBorders>
            <w:top w:val="none" w:sz="0" w:space="0"/>
            <w:left w:val="none" w:sz="0" w:space="0"/>
            <w:bottom w:val="none" w:sz="0" w:space="0"/>
            <w:right w:val="none" w:sz="0" w:space="0"/>
          </w:pgBorders>
          <w:cols w:space="720" w:num="1"/>
          <w:titlePg/>
          <w:docGrid w:linePitch="312" w:charSpace="0"/>
        </w:sectPr>
      </w:pPr>
    </w:p>
    <w:p w14:paraId="14C6919F">
      <w:pPr>
        <w:rPr>
          <w:rFonts w:hint="eastAsia" w:ascii="宋体" w:hAnsi="宋体" w:eastAsia="宋体" w:cs="宋体"/>
          <w:color w:val="auto"/>
          <w:highlight w:val="none"/>
        </w:rPr>
      </w:pPr>
    </w:p>
    <w:p w14:paraId="1AEDB345">
      <w:pPr>
        <w:pStyle w:val="27"/>
        <w:snapToGrid w:val="0"/>
        <w:spacing w:before="120" w:after="120" w:line="320" w:lineRule="exact"/>
        <w:jc w:val="center"/>
        <w:outlineLvl w:val="9"/>
        <w:rPr>
          <w:rFonts w:hint="eastAsia" w:ascii="宋体" w:hAnsi="宋体" w:eastAsia="宋体" w:cs="宋体"/>
          <w:b/>
          <w:bCs/>
          <w:color w:val="auto"/>
          <w:sz w:val="36"/>
          <w:szCs w:val="36"/>
          <w:highlight w:val="none"/>
        </w:rPr>
      </w:pPr>
      <w:bookmarkStart w:id="2" w:name="_Toc18129"/>
      <w:bookmarkStart w:id="3" w:name="_Toc18965"/>
      <w:bookmarkStart w:id="4" w:name="_Toc6931"/>
      <w:bookmarkStart w:id="5" w:name="_Toc161683948"/>
      <w:r>
        <w:rPr>
          <w:rFonts w:hint="eastAsia" w:ascii="宋体" w:hAnsi="宋体" w:eastAsia="宋体" w:cs="宋体"/>
          <w:b/>
          <w:bCs/>
          <w:color w:val="auto"/>
          <w:sz w:val="36"/>
          <w:szCs w:val="36"/>
          <w:highlight w:val="none"/>
        </w:rPr>
        <w:t>目    录</w:t>
      </w:r>
      <w:bookmarkEnd w:id="2"/>
      <w:bookmarkEnd w:id="3"/>
      <w:bookmarkEnd w:id="4"/>
      <w:bookmarkEnd w:id="5"/>
    </w:p>
    <w:sdt>
      <w:sdtPr>
        <w:rPr>
          <w:rFonts w:ascii="宋体" w:hAnsi="宋体" w:eastAsia="宋体" w:cs="Times New Roman"/>
          <w:kern w:val="2"/>
          <w:sz w:val="21"/>
          <w:szCs w:val="24"/>
          <w:lang w:val="en-US" w:eastAsia="zh-CN" w:bidi="ar-SA"/>
        </w:rPr>
        <w:id w:val="147480263"/>
        <w15:color w:val="DBDBDB"/>
        <w:docPartObj>
          <w:docPartGallery w:val="Table of Contents"/>
          <w:docPartUnique/>
        </w:docPartObj>
      </w:sdtPr>
      <w:sdtEndPr>
        <w:rPr>
          <w:rFonts w:hint="eastAsia" w:ascii="宋体" w:hAnsi="宋体" w:eastAsia="宋体" w:cs="宋体"/>
          <w:bCs/>
          <w:caps/>
          <w:color w:val="auto"/>
          <w:kern w:val="2"/>
          <w:sz w:val="24"/>
          <w:szCs w:val="24"/>
          <w:highlight w:val="none"/>
          <w:lang w:val="en-US" w:eastAsia="zh-CN" w:bidi="ar-SA"/>
        </w:rPr>
      </w:sdtEndPr>
      <w:sdtContent>
        <w:p w14:paraId="39AB845C">
          <w:pPr>
            <w:spacing w:before="0" w:beforeLines="0" w:after="0" w:afterLines="0" w:line="240" w:lineRule="auto"/>
            <w:ind w:left="0" w:leftChars="0" w:right="0" w:rightChars="0" w:firstLine="0" w:firstLineChars="0"/>
            <w:jc w:val="center"/>
          </w:pPr>
        </w:p>
        <w:p w14:paraId="05DA4FF8">
          <w:pPr>
            <w:pStyle w:val="34"/>
            <w:keepNext w:val="0"/>
            <w:keepLines w:val="0"/>
            <w:pageBreakBefore w:val="0"/>
            <w:widowControl w:val="0"/>
            <w:tabs>
              <w:tab w:val="right" w:leader="dot" w:pos="9638"/>
              <w:tab w:val="clear" w:pos="8398"/>
              <w:tab w:val="clear" w:pos="8610"/>
            </w:tabs>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color w:val="auto"/>
              <w:sz w:val="24"/>
              <w:szCs w:val="24"/>
              <w:highlight w:val="none"/>
            </w:rPr>
            <w:instrText xml:space="preserve">TOC \o "1-3" \h \u </w:instrText>
          </w:r>
          <w:r>
            <w:rPr>
              <w:rFonts w:hint="eastAsia" w:ascii="宋体" w:hAnsi="宋体" w:eastAsia="宋体" w:cs="宋体"/>
              <w:b/>
              <w:bCs w:val="0"/>
              <w:color w:val="auto"/>
              <w:sz w:val="24"/>
              <w:szCs w:val="24"/>
              <w:highlight w:val="none"/>
            </w:rPr>
            <w:fldChar w:fldCharType="separate"/>
          </w: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_Toc27915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第一章  招标公告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_Toc27915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5A74F0C8">
          <w:pPr>
            <w:pStyle w:val="34"/>
            <w:keepNext w:val="0"/>
            <w:keepLines w:val="0"/>
            <w:pageBreakBefore w:val="0"/>
            <w:widowControl w:val="0"/>
            <w:tabs>
              <w:tab w:val="right" w:leader="dot" w:pos="9638"/>
              <w:tab w:val="clear" w:pos="8398"/>
              <w:tab w:val="clear" w:pos="8610"/>
            </w:tabs>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_Toc30570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第二章  采购需求</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_Toc30570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6FFEF907">
          <w:pPr>
            <w:pStyle w:val="34"/>
            <w:keepNext w:val="0"/>
            <w:keepLines w:val="0"/>
            <w:pageBreakBefore w:val="0"/>
            <w:widowControl w:val="0"/>
            <w:tabs>
              <w:tab w:val="right" w:leader="dot" w:pos="9638"/>
              <w:tab w:val="clear" w:pos="8398"/>
              <w:tab w:val="clear" w:pos="8610"/>
            </w:tabs>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_Toc6700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第三章  供应商须知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_Toc6700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54</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27FC03C6">
          <w:pPr>
            <w:pStyle w:val="40"/>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_Toc9628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lang w:val="en-US" w:eastAsia="zh-CN"/>
            </w:rPr>
            <w:t>第一节 供应商须知前附表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_Toc9628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54</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4BA60980">
          <w:pPr>
            <w:pStyle w:val="40"/>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_Toc2130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第二节 投标人须知正文</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_Toc2130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62</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4F0E5A7B">
          <w:pPr>
            <w:pStyle w:val="26"/>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_Toc24909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一、总  则</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_Toc24909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62</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2BC42DB3">
          <w:pPr>
            <w:pStyle w:val="26"/>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_Toc25205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二、招标文件</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_Toc25205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64</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6876E505">
          <w:pPr>
            <w:pStyle w:val="26"/>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_Toc19556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三、投标文件的编制</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_Toc19556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65</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316E6531">
          <w:pPr>
            <w:pStyle w:val="26"/>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_Toc20822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四、开    标</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_Toc20822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67</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2BDA3C09">
          <w:pPr>
            <w:pStyle w:val="26"/>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_Toc6517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五、资格审查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_Toc6517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68</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56116E5C">
          <w:pPr>
            <w:pStyle w:val="26"/>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_Toc7845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六、评   标</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_Toc7845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68</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0CE97EB6">
          <w:pPr>
            <w:pStyle w:val="26"/>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_Toc3865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七、中标和合同</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_Toc3865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69</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6F1471D2">
          <w:pPr>
            <w:pStyle w:val="26"/>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_Toc13216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八、验收</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_Toc13216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73</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75F83300">
          <w:pPr>
            <w:pStyle w:val="26"/>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_Toc17046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rPr>
            <w:t>九、其他事项</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_Toc17046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74</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4B7F5A4C">
          <w:pPr>
            <w:pStyle w:val="34"/>
            <w:keepNext w:val="0"/>
            <w:keepLines w:val="0"/>
            <w:pageBreakBefore w:val="0"/>
            <w:widowControl w:val="0"/>
            <w:tabs>
              <w:tab w:val="right" w:leader="dot" w:pos="9638"/>
              <w:tab w:val="clear" w:pos="8398"/>
              <w:tab w:val="clear" w:pos="8610"/>
            </w:tabs>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_Toc17797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lang w:val="en-US" w:eastAsia="zh-CN"/>
            </w:rPr>
            <w:t>第四章</w:t>
          </w:r>
          <w:r>
            <w:rPr>
              <w:rFonts w:hint="eastAsia" w:ascii="宋体" w:hAnsi="宋体" w:eastAsia="宋体" w:cs="宋体"/>
              <w:b/>
              <w:bCs w:val="0"/>
              <w:sz w:val="24"/>
              <w:szCs w:val="24"/>
            </w:rPr>
            <w:t xml:space="preserve"> </w:t>
          </w:r>
          <w:r>
            <w:rPr>
              <w:rFonts w:hint="eastAsia" w:ascii="宋体" w:hAnsi="宋体" w:eastAsia="宋体" w:cs="宋体"/>
              <w:b/>
              <w:bCs w:val="0"/>
              <w:sz w:val="24"/>
              <w:szCs w:val="24"/>
              <w:lang w:eastAsia="zh-CN"/>
            </w:rPr>
            <w:t>评标方法及评标标准</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_Toc17797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75</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6E9EC3AC">
          <w:pPr>
            <w:pStyle w:val="40"/>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_Toc31990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lang w:val="en-US" w:eastAsia="zh-CN"/>
            </w:rPr>
            <w:t>第一节 评标方法</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_Toc31990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75</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4B94B193">
          <w:pPr>
            <w:pStyle w:val="40"/>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_Toc26326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lang w:val="en-US" w:eastAsia="zh-CN"/>
            </w:rPr>
            <w:t>第二节 评标程序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_Toc26326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75</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4F1B2EB8">
          <w:pPr>
            <w:pStyle w:val="40"/>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_Toc17872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lang w:val="en-US" w:eastAsia="zh-CN"/>
            </w:rPr>
            <w:t>第三节 评分标准</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_Toc17872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77</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141A3AE3">
          <w:pPr>
            <w:pStyle w:val="40"/>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_Toc9045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lang w:val="en-US" w:eastAsia="zh-CN"/>
            </w:rPr>
            <w:t>第四节 中标候选人推荐原则</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_Toc9045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89</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21BD03A4">
          <w:pPr>
            <w:pStyle w:val="40"/>
            <w:keepNext w:val="0"/>
            <w:keepLines w:val="0"/>
            <w:pageBreakBefore w:val="0"/>
            <w:widowControl w:val="0"/>
            <w:tabs>
              <w:tab w:val="right" w:leader="dot" w:pos="9638"/>
            </w:tabs>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_Toc25888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highlight w:val="none"/>
              <w:lang w:val="en-US" w:eastAsia="zh-CN"/>
            </w:rPr>
            <w:t>第五节 评标报告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_Toc25888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89</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26C05FF6">
          <w:pPr>
            <w:pStyle w:val="34"/>
            <w:keepNext w:val="0"/>
            <w:keepLines w:val="0"/>
            <w:pageBreakBefore w:val="0"/>
            <w:widowControl w:val="0"/>
            <w:tabs>
              <w:tab w:val="right" w:leader="dot" w:pos="9638"/>
              <w:tab w:val="clear" w:pos="8398"/>
              <w:tab w:val="clear" w:pos="8610"/>
            </w:tabs>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_Toc14508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第五章  合同主要条款格式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_Toc14508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90</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7C1E65BB">
          <w:pPr>
            <w:pStyle w:val="34"/>
            <w:keepNext w:val="0"/>
            <w:keepLines w:val="0"/>
            <w:pageBreakBefore w:val="0"/>
            <w:widowControl w:val="0"/>
            <w:tabs>
              <w:tab w:val="right" w:leader="dot" w:pos="9638"/>
              <w:tab w:val="clear" w:pos="8398"/>
              <w:tab w:val="clear" w:pos="8610"/>
            </w:tabs>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
              <w:bCs w:val="0"/>
              <w:sz w:val="24"/>
              <w:szCs w:val="24"/>
            </w:rPr>
          </w:pPr>
          <w:r>
            <w:rPr>
              <w:rFonts w:hint="eastAsia" w:ascii="宋体" w:hAnsi="宋体" w:eastAsia="宋体" w:cs="宋体"/>
              <w:b/>
              <w:bCs w:val="0"/>
              <w:color w:val="auto"/>
              <w:sz w:val="24"/>
              <w:szCs w:val="24"/>
              <w:highlight w:val="none"/>
            </w:rPr>
            <w:fldChar w:fldCharType="begin"/>
          </w:r>
          <w:r>
            <w:rPr>
              <w:rFonts w:hint="eastAsia" w:ascii="宋体" w:hAnsi="宋体" w:eastAsia="宋体" w:cs="宋体"/>
              <w:b/>
              <w:bCs w:val="0"/>
              <w:sz w:val="24"/>
              <w:szCs w:val="24"/>
              <w:highlight w:val="none"/>
            </w:rPr>
            <w:instrText xml:space="preserve"> HYPERLINK \l _Toc7401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 w:val="24"/>
              <w:szCs w:val="24"/>
            </w:rPr>
            <w:t>第六章  投标文件格式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_Toc7401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94</w:t>
          </w:r>
          <w:r>
            <w:rPr>
              <w:rFonts w:hint="eastAsia" w:ascii="宋体" w:hAnsi="宋体" w:eastAsia="宋体" w:cs="宋体"/>
              <w:b/>
              <w:bCs w:val="0"/>
              <w:sz w:val="24"/>
              <w:szCs w:val="24"/>
            </w:rPr>
            <w:fldChar w:fldCharType="end"/>
          </w:r>
          <w:r>
            <w:rPr>
              <w:rFonts w:hint="eastAsia" w:ascii="宋体" w:hAnsi="宋体" w:eastAsia="宋体" w:cs="宋体"/>
              <w:b/>
              <w:bCs w:val="0"/>
              <w:color w:val="auto"/>
              <w:sz w:val="24"/>
              <w:szCs w:val="24"/>
              <w:highlight w:val="none"/>
            </w:rPr>
            <w:fldChar w:fldCharType="end"/>
          </w:r>
        </w:p>
        <w:p w14:paraId="526C7F77">
          <w:pPr>
            <w:pStyle w:val="34"/>
            <w:keepNext w:val="0"/>
            <w:keepLines w:val="0"/>
            <w:pageBreakBefore w:val="0"/>
            <w:widowControl w:val="0"/>
            <w:tabs>
              <w:tab w:val="clear" w:pos="8610"/>
            </w:tabs>
            <w:kinsoku/>
            <w:wordWrap/>
            <w:overflowPunct/>
            <w:topLinePunct w:val="0"/>
            <w:autoSpaceDE/>
            <w:autoSpaceDN/>
            <w:bidi w:val="0"/>
            <w:adjustRightInd/>
            <w:snapToGrid/>
            <w:spacing w:before="0" w:after="0" w:line="400" w:lineRule="exact"/>
            <w:ind w:left="0" w:leftChars="0" w:firstLine="0" w:firstLineChars="0"/>
            <w:jc w:val="both"/>
            <w:textAlignment w:val="auto"/>
            <w:rPr>
              <w:rFonts w:hint="eastAsia" w:ascii="宋体" w:hAnsi="宋体" w:eastAsia="宋体" w:cs="宋体"/>
              <w:bCs/>
              <w:cap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fldChar w:fldCharType="end"/>
          </w:r>
        </w:p>
      </w:sdtContent>
    </w:sdt>
    <w:p w14:paraId="1EA3261B">
      <w:pPr>
        <w:rPr>
          <w:rFonts w:hint="eastAsia"/>
        </w:rPr>
      </w:pPr>
    </w:p>
    <w:p w14:paraId="2A48F23B">
      <w:pPr>
        <w:spacing w:before="120" w:beforeLines="50" w:line="480" w:lineRule="exact"/>
        <w:rPr>
          <w:rFonts w:hint="eastAsia" w:ascii="宋体" w:hAnsi="宋体" w:eastAsia="宋体" w:cs="宋体"/>
          <w:color w:val="auto"/>
          <w:sz w:val="28"/>
          <w:szCs w:val="28"/>
          <w:highlight w:val="none"/>
        </w:rPr>
      </w:pPr>
    </w:p>
    <w:p w14:paraId="49ED232E">
      <w:pPr>
        <w:spacing w:before="120" w:beforeLines="50" w:line="480" w:lineRule="exact"/>
        <w:rPr>
          <w:rFonts w:hint="eastAsia" w:ascii="宋体" w:hAnsi="宋体" w:eastAsia="宋体" w:cs="宋体"/>
          <w:color w:val="auto"/>
          <w:sz w:val="30"/>
          <w:highlight w:val="none"/>
        </w:rPr>
        <w:sectPr>
          <w:headerReference r:id="rId6" w:type="first"/>
          <w:footerReference r:id="rId8" w:type="first"/>
          <w:footerReference r:id="rId7" w:type="default"/>
          <w:pgSz w:w="11906" w:h="16838"/>
          <w:pgMar w:top="1134" w:right="1134" w:bottom="1134" w:left="1134" w:header="851" w:footer="992" w:gutter="0"/>
          <w:pgBorders>
            <w:top w:val="none" w:sz="0" w:space="0"/>
            <w:left w:val="none" w:sz="0" w:space="0"/>
            <w:bottom w:val="none" w:sz="0" w:space="0"/>
            <w:right w:val="none" w:sz="0" w:space="0"/>
          </w:pgBorders>
          <w:pgNumType w:start="0"/>
          <w:cols w:space="720" w:num="1"/>
          <w:titlePg/>
          <w:docGrid w:linePitch="312" w:charSpace="0"/>
        </w:sectPr>
      </w:pPr>
    </w:p>
    <w:p w14:paraId="36958467">
      <w:pPr>
        <w:pStyle w:val="2"/>
        <w:keepNext/>
        <w:keepLines/>
        <w:pageBreakBefore w:val="0"/>
        <w:widowControl w:val="0"/>
        <w:kinsoku/>
        <w:wordWrap/>
        <w:overflowPunct/>
        <w:topLinePunct w:val="0"/>
        <w:autoSpaceDE/>
        <w:autoSpaceDN/>
        <w:bidi w:val="0"/>
        <w:adjustRightInd/>
        <w:snapToGrid/>
        <w:spacing w:before="30" w:after="30" w:line="360" w:lineRule="auto"/>
        <w:ind w:left="0" w:leftChars="0" w:right="0" w:rightChars="0" w:firstLine="0" w:firstLineChars="0"/>
        <w:jc w:val="center"/>
        <w:textAlignment w:val="auto"/>
        <w:rPr>
          <w:rFonts w:hint="eastAsia" w:ascii="宋体" w:hAnsi="宋体" w:eastAsia="宋体" w:cs="宋体"/>
          <w:color w:val="auto"/>
          <w:szCs w:val="32"/>
          <w:highlight w:val="none"/>
        </w:rPr>
      </w:pPr>
      <w:bookmarkStart w:id="6" w:name="_Toc27915"/>
      <w:bookmarkStart w:id="7" w:name="_Toc136"/>
      <w:bookmarkStart w:id="8" w:name="_Toc254970489"/>
      <w:bookmarkStart w:id="9" w:name="_Toc254970630"/>
      <w:r>
        <w:rPr>
          <w:rFonts w:hint="eastAsia"/>
          <w:sz w:val="32"/>
          <w:szCs w:val="32"/>
        </w:rPr>
        <w:t>第一章  招标公告</w:t>
      </w:r>
      <w:bookmarkEnd w:id="6"/>
      <w:bookmarkEnd w:id="7"/>
    </w:p>
    <w:p w14:paraId="225E02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highlight w:val="none"/>
        </w:rPr>
      </w:pPr>
      <w:bookmarkStart w:id="10" w:name="_Hlk167289863"/>
      <w:r>
        <w:rPr>
          <w:rFonts w:hint="eastAsia" w:ascii="宋体" w:hAnsi="宋体" w:eastAsia="宋体" w:cs="宋体"/>
          <w:b/>
          <w:bCs/>
          <w:color w:val="auto"/>
          <w:kern w:val="0"/>
          <w:sz w:val="28"/>
          <w:szCs w:val="28"/>
          <w:highlight w:val="none"/>
          <w:lang w:eastAsia="zh-CN"/>
        </w:rPr>
        <w:t>广西汉昌工程咨询有限公司</w:t>
      </w:r>
      <w:r>
        <w:rPr>
          <w:rFonts w:hint="eastAsia" w:ascii="宋体" w:hAnsi="宋体" w:eastAsia="宋体" w:cs="宋体"/>
          <w:b/>
          <w:bCs/>
          <w:color w:val="auto"/>
          <w:kern w:val="0"/>
          <w:sz w:val="28"/>
          <w:szCs w:val="28"/>
          <w:highlight w:val="none"/>
        </w:rPr>
        <w:t>关于</w:t>
      </w:r>
      <w:bookmarkStart w:id="11" w:name="_Hlk36541082"/>
      <w:r>
        <w:rPr>
          <w:rFonts w:hint="eastAsia" w:ascii="宋体" w:hAnsi="宋体" w:cs="宋体"/>
          <w:b/>
          <w:bCs/>
          <w:color w:val="auto"/>
          <w:kern w:val="0"/>
          <w:sz w:val="28"/>
          <w:szCs w:val="28"/>
          <w:highlight w:val="none"/>
          <w:lang w:eastAsia="zh-CN"/>
        </w:rPr>
        <w:t>灵山县人民医院智慧医院建设一期</w:t>
      </w:r>
      <w:r>
        <w:rPr>
          <w:rFonts w:hint="eastAsia" w:ascii="宋体" w:hAnsi="宋体" w:cs="宋体"/>
          <w:b/>
          <w:bCs/>
          <w:color w:val="auto"/>
          <w:sz w:val="28"/>
          <w:szCs w:val="28"/>
          <w:highlight w:val="none"/>
          <w:lang w:eastAsia="zh-CN"/>
        </w:rPr>
        <w:t>（</w:t>
      </w:r>
      <w:bookmarkEnd w:id="11"/>
      <w:r>
        <w:rPr>
          <w:rFonts w:hint="eastAsia" w:ascii="宋体" w:hAnsi="宋体" w:cs="宋体"/>
          <w:b/>
          <w:bCs/>
          <w:color w:val="auto"/>
          <w:sz w:val="28"/>
          <w:szCs w:val="28"/>
          <w:highlight w:val="none"/>
          <w:lang w:eastAsia="zh-CN"/>
        </w:rPr>
        <w:t>QZZC2025-G3-210313-HCZX）</w:t>
      </w:r>
      <w:r>
        <w:rPr>
          <w:rFonts w:hint="eastAsia" w:ascii="宋体" w:hAnsi="宋体" w:eastAsia="宋体" w:cs="宋体"/>
          <w:b/>
          <w:bCs/>
          <w:color w:val="auto"/>
          <w:kern w:val="0"/>
          <w:sz w:val="28"/>
          <w:szCs w:val="28"/>
          <w:highlight w:val="none"/>
        </w:rPr>
        <w:t>公开招标公告</w:t>
      </w:r>
    </w:p>
    <w:p w14:paraId="4741765C">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kern w:val="0"/>
          <w:sz w:val="21"/>
          <w:szCs w:val="21"/>
          <w:highlight w:val="none"/>
        </w:rPr>
      </w:pPr>
      <w:bookmarkStart w:id="12" w:name="_Hlk132795121"/>
      <w:r>
        <w:rPr>
          <w:rFonts w:hint="eastAsia" w:ascii="宋体" w:hAnsi="宋体" w:eastAsia="宋体" w:cs="宋体"/>
          <w:color w:val="auto"/>
          <w:sz w:val="21"/>
          <w:szCs w:val="21"/>
          <w:highlight w:val="none"/>
        </w:rPr>
        <w:t>项目概况：</w:t>
      </w:r>
      <w:r>
        <w:rPr>
          <w:rFonts w:hint="eastAsia" w:ascii="宋体" w:hAnsi="宋体" w:cs="宋体"/>
          <w:color w:val="auto"/>
          <w:sz w:val="21"/>
          <w:szCs w:val="21"/>
          <w:highlight w:val="none"/>
          <w:lang w:eastAsia="zh-CN"/>
        </w:rPr>
        <w:t>灵山县人民医院智慧医院建设一期</w:t>
      </w:r>
      <w:r>
        <w:rPr>
          <w:rFonts w:hint="eastAsia" w:ascii="宋体" w:hAnsi="宋体" w:eastAsia="宋体" w:cs="宋体"/>
          <w:color w:val="auto"/>
          <w:sz w:val="21"/>
          <w:szCs w:val="21"/>
          <w:highlight w:val="none"/>
        </w:rPr>
        <w:t>招标项目的潜在投标人应在</w:t>
      </w:r>
      <w:bookmarkStart w:id="13" w:name="_Hlk160178031"/>
      <w:r>
        <w:rPr>
          <w:rFonts w:hint="eastAsia" w:ascii="宋体" w:hAnsi="宋体" w:eastAsia="宋体" w:cs="宋体"/>
          <w:color w:val="auto"/>
          <w:sz w:val="21"/>
          <w:szCs w:val="21"/>
          <w:highlight w:val="none"/>
        </w:rPr>
        <w:t>广西政府采购云平台</w:t>
      </w:r>
      <w:bookmarkStart w:id="14" w:name="_Hlk160186238"/>
      <w:r>
        <w:rPr>
          <w:rFonts w:hint="eastAsia" w:ascii="宋体" w:hAnsi="宋体" w:eastAsia="宋体" w:cs="宋体"/>
          <w:color w:val="auto"/>
          <w:sz w:val="21"/>
          <w:szCs w:val="21"/>
          <w:highlight w:val="none"/>
        </w:rPr>
        <w:t>（</w:t>
      </w:r>
      <w:bookmarkEnd w:id="13"/>
      <w:bookmarkEnd w:id="14"/>
      <w:r>
        <w:rPr>
          <w:rFonts w:hint="eastAsia" w:ascii="宋体" w:hAnsi="宋体" w:eastAsia="宋体" w:cs="宋体"/>
          <w:color w:val="auto"/>
          <w:sz w:val="21"/>
          <w:szCs w:val="21"/>
          <w:highlight w:val="none"/>
        </w:rPr>
        <w:t>https</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//www.gcy.zfcg.gxzf.gov.cn/）获取招标文件，并于</w:t>
      </w:r>
      <w:r>
        <w:rPr>
          <w:rFonts w:hint="eastAsia" w:ascii="宋体" w:hAnsi="宋体" w:cs="宋体"/>
          <w:color w:val="auto"/>
          <w:sz w:val="21"/>
          <w:szCs w:val="21"/>
          <w:highlight w:val="none"/>
          <w:lang w:eastAsia="zh-CN"/>
        </w:rPr>
        <w:t>2026年1月</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lang w:eastAsia="zh-CN"/>
        </w:rPr>
        <w:t>日</w:t>
      </w:r>
      <w:r>
        <w:rPr>
          <w:rFonts w:hint="eastAsia" w:ascii="宋体" w:hAnsi="宋体" w:eastAsia="宋体" w:cs="宋体"/>
          <w:color w:val="auto"/>
          <w:sz w:val="21"/>
          <w:szCs w:val="21"/>
          <w:highlight w:val="none"/>
        </w:rPr>
        <w:t>09</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30（北京时间）前递交投标文件。</w:t>
      </w:r>
    </w:p>
    <w:bookmarkEnd w:id="12"/>
    <w:p w14:paraId="7F54DB8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一、项目基本情况</w:t>
      </w:r>
    </w:p>
    <w:p w14:paraId="7AB1DD3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项目编号：</w:t>
      </w:r>
      <w:r>
        <w:rPr>
          <w:rFonts w:hint="eastAsia" w:ascii="宋体" w:hAnsi="宋体" w:cs="宋体"/>
          <w:color w:val="auto"/>
          <w:kern w:val="0"/>
          <w:sz w:val="21"/>
          <w:szCs w:val="21"/>
          <w:highlight w:val="none"/>
          <w:u w:val="none"/>
          <w:lang w:eastAsia="zh-CN"/>
        </w:rPr>
        <w:t>QZZC2025-G3-210313-HCZX</w:t>
      </w:r>
    </w:p>
    <w:p w14:paraId="24E1BB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项目名称：</w:t>
      </w:r>
      <w:r>
        <w:rPr>
          <w:rFonts w:hint="eastAsia" w:ascii="宋体" w:hAnsi="宋体" w:cs="宋体"/>
          <w:color w:val="auto"/>
          <w:kern w:val="0"/>
          <w:sz w:val="21"/>
          <w:szCs w:val="21"/>
          <w:highlight w:val="none"/>
          <w:u w:val="none"/>
          <w:lang w:eastAsia="zh-CN"/>
        </w:rPr>
        <w:t>灵山县人民医院智慧医院建设一期</w:t>
      </w:r>
    </w:p>
    <w:p w14:paraId="5DDD98D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bookmarkStart w:id="15" w:name="_Hlk132796123"/>
      <w:r>
        <w:rPr>
          <w:rFonts w:hint="eastAsia" w:ascii="宋体" w:hAnsi="宋体" w:eastAsia="宋体" w:cs="宋体"/>
          <w:color w:val="auto"/>
          <w:kern w:val="0"/>
          <w:sz w:val="21"/>
          <w:szCs w:val="21"/>
          <w:highlight w:val="none"/>
          <w:u w:val="none"/>
        </w:rPr>
        <w:t>预算总金额（元）：</w:t>
      </w:r>
      <w:r>
        <w:rPr>
          <w:rFonts w:hint="eastAsia" w:ascii="宋体" w:hAnsi="宋体" w:cs="宋体"/>
          <w:color w:val="auto"/>
          <w:kern w:val="0"/>
          <w:sz w:val="21"/>
          <w:szCs w:val="21"/>
          <w:highlight w:val="none"/>
          <w:u w:val="none"/>
          <w:lang w:eastAsia="zh-CN"/>
        </w:rPr>
        <w:t>3670000.00</w:t>
      </w:r>
    </w:p>
    <w:bookmarkEnd w:id="15"/>
    <w:p w14:paraId="0CDAFF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采购需求：</w:t>
      </w:r>
      <w:bookmarkStart w:id="16" w:name="_Hlk77608065"/>
    </w:p>
    <w:p w14:paraId="7F4F5F58">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color w:val="auto"/>
          <w:kern w:val="0"/>
          <w:sz w:val="21"/>
          <w:szCs w:val="21"/>
          <w:highlight w:val="none"/>
          <w:u w:val="none"/>
          <w:lang w:val="en-US" w:eastAsia="zh-CN"/>
        </w:rPr>
      </w:pPr>
      <w:r>
        <w:rPr>
          <w:rFonts w:hint="eastAsia" w:ascii="宋体" w:hAnsi="宋体" w:cs="宋体"/>
          <w:b/>
          <w:bCs/>
          <w:color w:val="auto"/>
          <w:kern w:val="0"/>
          <w:sz w:val="21"/>
          <w:szCs w:val="21"/>
          <w:highlight w:val="none"/>
          <w:u w:val="none"/>
          <w:lang w:val="en-US" w:eastAsia="zh-CN"/>
        </w:rPr>
        <w:t>分标1</w:t>
      </w:r>
    </w:p>
    <w:p w14:paraId="1082C83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标项名称</w:t>
      </w:r>
      <w:r>
        <w:rPr>
          <w:rFonts w:hint="eastAsia" w:ascii="宋体" w:hAnsi="宋体" w:eastAsia="宋体" w:cs="宋体"/>
          <w:color w:val="auto"/>
          <w:kern w:val="0"/>
          <w:sz w:val="21"/>
          <w:szCs w:val="21"/>
          <w:highlight w:val="none"/>
          <w:u w:val="none"/>
          <w:lang w:eastAsia="zh-CN"/>
        </w:rPr>
        <w:t>：</w:t>
      </w:r>
      <w:r>
        <w:rPr>
          <w:rFonts w:hint="default" w:ascii="宋体" w:hAnsi="宋体" w:cs="宋体"/>
          <w:color w:val="auto"/>
          <w:kern w:val="0"/>
          <w:sz w:val="21"/>
          <w:szCs w:val="21"/>
          <w:highlight w:val="none"/>
          <w:u w:val="none"/>
          <w:lang w:eastAsia="zh-CN"/>
        </w:rPr>
        <w:t>无纸化病历档案系统建设</w:t>
      </w:r>
    </w:p>
    <w:p w14:paraId="0175F61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数量：</w:t>
      </w:r>
      <w:r>
        <w:rPr>
          <w:rFonts w:hint="eastAsia" w:ascii="宋体" w:hAnsi="宋体" w:cs="宋体"/>
          <w:color w:val="auto"/>
          <w:kern w:val="0"/>
          <w:sz w:val="21"/>
          <w:szCs w:val="21"/>
          <w:highlight w:val="none"/>
          <w:u w:val="none"/>
          <w:lang w:val="en-US" w:eastAsia="zh-CN"/>
        </w:rPr>
        <w:t>1项</w:t>
      </w:r>
    </w:p>
    <w:p w14:paraId="35D0E25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预算金额（元）：</w:t>
      </w:r>
      <w:r>
        <w:rPr>
          <w:rFonts w:hint="eastAsia" w:ascii="宋体" w:hAnsi="宋体" w:cs="宋体"/>
          <w:color w:val="auto"/>
          <w:kern w:val="0"/>
          <w:sz w:val="21"/>
          <w:szCs w:val="21"/>
          <w:highlight w:val="none"/>
          <w:u w:val="none"/>
          <w:lang w:val="en-US" w:eastAsia="zh-CN"/>
        </w:rPr>
        <w:t>1490000.00</w:t>
      </w:r>
    </w:p>
    <w:p w14:paraId="76411D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简要规格描述或项目基本概况介绍、用途：</w:t>
      </w:r>
      <w:r>
        <w:rPr>
          <w:rFonts w:hint="eastAsia" w:ascii="宋体" w:hAnsi="宋体" w:cs="宋体"/>
          <w:color w:val="auto"/>
          <w:kern w:val="0"/>
          <w:sz w:val="21"/>
          <w:szCs w:val="21"/>
          <w:highlight w:val="none"/>
          <w:u w:val="none"/>
          <w:lang w:eastAsia="zh-CN"/>
        </w:rPr>
        <w:t>无纸化病理归档系统建设</w:t>
      </w:r>
      <w:r>
        <w:rPr>
          <w:rFonts w:hint="eastAsia" w:ascii="宋体" w:hAnsi="宋体" w:cs="宋体"/>
          <w:color w:val="auto"/>
          <w:kern w:val="0"/>
          <w:sz w:val="21"/>
          <w:szCs w:val="21"/>
          <w:highlight w:val="none"/>
          <w:u w:val="none"/>
          <w:lang w:val="en-US" w:eastAsia="zh-CN"/>
        </w:rPr>
        <w:t>1项</w:t>
      </w:r>
      <w:r>
        <w:rPr>
          <w:rFonts w:hint="eastAsia" w:ascii="宋体" w:hAnsi="宋体" w:eastAsia="宋体" w:cs="宋体"/>
          <w:color w:val="auto"/>
          <w:kern w:val="0"/>
          <w:sz w:val="21"/>
          <w:szCs w:val="21"/>
          <w:highlight w:val="none"/>
          <w:u w:val="none"/>
        </w:rPr>
        <w:t>，具体详见招标文件。</w:t>
      </w:r>
    </w:p>
    <w:p w14:paraId="5FBCF83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最高限价（如有）：</w:t>
      </w:r>
      <w:r>
        <w:rPr>
          <w:rFonts w:hint="eastAsia" w:ascii="宋体" w:hAnsi="宋体" w:cs="宋体"/>
          <w:color w:val="auto"/>
          <w:kern w:val="0"/>
          <w:sz w:val="21"/>
          <w:szCs w:val="21"/>
          <w:highlight w:val="none"/>
          <w:u w:val="none"/>
          <w:lang w:val="en-US" w:eastAsia="zh-CN"/>
        </w:rPr>
        <w:t>1490000.00</w:t>
      </w:r>
    </w:p>
    <w:p w14:paraId="6914F7B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合同履约期限：</w:t>
      </w:r>
      <w:r>
        <w:rPr>
          <w:rFonts w:hint="eastAsia" w:ascii="宋体" w:hAnsi="宋体" w:cs="宋体"/>
          <w:color w:val="auto"/>
          <w:kern w:val="0"/>
          <w:sz w:val="21"/>
          <w:szCs w:val="21"/>
          <w:highlight w:val="none"/>
          <w:u w:val="none"/>
          <w:lang w:eastAsia="zh-CN"/>
        </w:rPr>
        <w:t>自合同签订之日起</w:t>
      </w:r>
      <w:r>
        <w:rPr>
          <w:rFonts w:hint="eastAsia" w:ascii="宋体" w:hAnsi="宋体" w:cs="宋体"/>
          <w:color w:val="auto"/>
          <w:kern w:val="0"/>
          <w:sz w:val="21"/>
          <w:szCs w:val="21"/>
          <w:highlight w:val="none"/>
          <w:u w:val="none"/>
          <w:lang w:val="en-US" w:eastAsia="zh-CN"/>
        </w:rPr>
        <w:t>180</w:t>
      </w:r>
      <w:r>
        <w:rPr>
          <w:rFonts w:hint="eastAsia" w:ascii="宋体" w:hAnsi="宋体" w:cs="宋体"/>
          <w:color w:val="auto"/>
          <w:kern w:val="0"/>
          <w:sz w:val="21"/>
          <w:szCs w:val="21"/>
          <w:highlight w:val="none"/>
          <w:u w:val="none"/>
          <w:lang w:eastAsia="zh-CN"/>
        </w:rPr>
        <w:t>个日历日内安装调试完毕交付使用。</w:t>
      </w:r>
    </w:p>
    <w:p w14:paraId="40BA4D5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本标项（否）接受联合体投标</w:t>
      </w:r>
    </w:p>
    <w:p w14:paraId="71CCD589">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color w:val="auto"/>
          <w:kern w:val="0"/>
          <w:sz w:val="21"/>
          <w:szCs w:val="21"/>
          <w:highlight w:val="none"/>
          <w:u w:val="none"/>
          <w:lang w:val="en-US" w:eastAsia="zh-CN"/>
        </w:rPr>
      </w:pPr>
      <w:r>
        <w:rPr>
          <w:rFonts w:hint="eastAsia" w:ascii="宋体" w:hAnsi="宋体" w:cs="宋体"/>
          <w:b/>
          <w:bCs/>
          <w:color w:val="auto"/>
          <w:kern w:val="0"/>
          <w:sz w:val="21"/>
          <w:szCs w:val="21"/>
          <w:highlight w:val="none"/>
          <w:u w:val="none"/>
          <w:lang w:val="en-US" w:eastAsia="zh-CN"/>
        </w:rPr>
        <w:t>分标2</w:t>
      </w:r>
    </w:p>
    <w:p w14:paraId="3E270C6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标项名称</w:t>
      </w:r>
      <w:r>
        <w:rPr>
          <w:rFonts w:hint="eastAsia" w:ascii="宋体" w:hAnsi="宋体" w:eastAsia="宋体" w:cs="宋体"/>
          <w:color w:val="auto"/>
          <w:kern w:val="0"/>
          <w:sz w:val="21"/>
          <w:szCs w:val="21"/>
          <w:highlight w:val="none"/>
          <w:u w:val="none"/>
          <w:lang w:eastAsia="zh-CN"/>
        </w:rPr>
        <w:t>：</w:t>
      </w:r>
      <w:r>
        <w:rPr>
          <w:rFonts w:hint="default" w:ascii="宋体" w:hAnsi="宋体" w:cs="宋体"/>
          <w:color w:val="auto"/>
          <w:kern w:val="0"/>
          <w:sz w:val="21"/>
          <w:szCs w:val="21"/>
          <w:highlight w:val="none"/>
          <w:u w:val="none"/>
          <w:lang w:eastAsia="zh-CN"/>
        </w:rPr>
        <w:t>医务管理系统建设</w:t>
      </w:r>
    </w:p>
    <w:p w14:paraId="0211C9D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数量：</w:t>
      </w:r>
      <w:r>
        <w:rPr>
          <w:rFonts w:hint="eastAsia" w:ascii="宋体" w:hAnsi="宋体" w:cs="宋体"/>
          <w:color w:val="auto"/>
          <w:kern w:val="0"/>
          <w:sz w:val="21"/>
          <w:szCs w:val="21"/>
          <w:highlight w:val="none"/>
          <w:u w:val="none"/>
          <w:lang w:val="en-US" w:eastAsia="zh-CN"/>
        </w:rPr>
        <w:t>1项</w:t>
      </w:r>
    </w:p>
    <w:p w14:paraId="240FABF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预算金额（元）：</w:t>
      </w:r>
      <w:r>
        <w:rPr>
          <w:rFonts w:hint="eastAsia" w:ascii="宋体" w:hAnsi="宋体" w:cs="宋体"/>
          <w:color w:val="auto"/>
          <w:kern w:val="0"/>
          <w:sz w:val="21"/>
          <w:szCs w:val="21"/>
          <w:highlight w:val="none"/>
          <w:u w:val="none"/>
          <w:lang w:eastAsia="zh-CN"/>
        </w:rPr>
        <w:t>700000.00</w:t>
      </w:r>
    </w:p>
    <w:p w14:paraId="29782B1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简要规格描述或项目基本概况介绍、用途：</w:t>
      </w:r>
      <w:r>
        <w:rPr>
          <w:rFonts w:hint="eastAsia" w:ascii="宋体" w:hAnsi="宋体" w:cs="宋体"/>
          <w:color w:val="auto"/>
          <w:kern w:val="0"/>
          <w:sz w:val="21"/>
          <w:szCs w:val="21"/>
          <w:highlight w:val="none"/>
          <w:u w:val="none"/>
          <w:lang w:eastAsia="zh-CN"/>
        </w:rPr>
        <w:t>医务管理系统建设</w:t>
      </w:r>
      <w:r>
        <w:rPr>
          <w:rFonts w:hint="eastAsia" w:ascii="宋体" w:hAnsi="宋体" w:cs="宋体"/>
          <w:color w:val="auto"/>
          <w:kern w:val="0"/>
          <w:sz w:val="21"/>
          <w:szCs w:val="21"/>
          <w:highlight w:val="none"/>
          <w:u w:val="none"/>
          <w:lang w:val="en-US" w:eastAsia="zh-CN"/>
        </w:rPr>
        <w:t>1项</w:t>
      </w:r>
      <w:r>
        <w:rPr>
          <w:rFonts w:hint="eastAsia" w:ascii="宋体" w:hAnsi="宋体" w:eastAsia="宋体" w:cs="宋体"/>
          <w:color w:val="auto"/>
          <w:kern w:val="0"/>
          <w:sz w:val="21"/>
          <w:szCs w:val="21"/>
          <w:highlight w:val="none"/>
          <w:u w:val="none"/>
        </w:rPr>
        <w:t>，具体详见招标文件。</w:t>
      </w:r>
    </w:p>
    <w:p w14:paraId="3DB56A3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最高限价（如有）：</w:t>
      </w:r>
      <w:r>
        <w:rPr>
          <w:rFonts w:hint="eastAsia" w:ascii="宋体" w:hAnsi="宋体" w:cs="宋体"/>
          <w:color w:val="auto"/>
          <w:kern w:val="0"/>
          <w:sz w:val="21"/>
          <w:szCs w:val="21"/>
          <w:highlight w:val="none"/>
          <w:u w:val="none"/>
          <w:lang w:eastAsia="zh-CN"/>
        </w:rPr>
        <w:t>700000.00</w:t>
      </w:r>
    </w:p>
    <w:p w14:paraId="4EEA8D9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合同履约期限：</w:t>
      </w:r>
      <w:r>
        <w:rPr>
          <w:rFonts w:hint="eastAsia" w:ascii="宋体" w:hAnsi="宋体" w:cs="宋体"/>
          <w:color w:val="auto"/>
          <w:kern w:val="0"/>
          <w:sz w:val="21"/>
          <w:szCs w:val="21"/>
          <w:highlight w:val="none"/>
          <w:u w:val="none"/>
          <w:lang w:eastAsia="zh-CN"/>
        </w:rPr>
        <w:t>自合同签订之日起</w:t>
      </w:r>
      <w:r>
        <w:rPr>
          <w:rFonts w:hint="eastAsia" w:ascii="宋体" w:hAnsi="宋体" w:cs="宋体"/>
          <w:color w:val="auto"/>
          <w:kern w:val="0"/>
          <w:sz w:val="21"/>
          <w:szCs w:val="21"/>
          <w:highlight w:val="none"/>
          <w:u w:val="none"/>
          <w:lang w:val="en-US" w:eastAsia="zh-CN"/>
        </w:rPr>
        <w:t>180</w:t>
      </w:r>
      <w:r>
        <w:rPr>
          <w:rFonts w:hint="eastAsia" w:ascii="宋体" w:hAnsi="宋体" w:cs="宋体"/>
          <w:color w:val="auto"/>
          <w:kern w:val="0"/>
          <w:sz w:val="21"/>
          <w:szCs w:val="21"/>
          <w:highlight w:val="none"/>
          <w:u w:val="none"/>
          <w:lang w:eastAsia="zh-CN"/>
        </w:rPr>
        <w:t>个日历日内安装调试完毕交付使用。</w:t>
      </w:r>
    </w:p>
    <w:p w14:paraId="3927274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b/>
          <w:bCs/>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本标项（否）接受联合体投标</w:t>
      </w:r>
    </w:p>
    <w:p w14:paraId="0A147DB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default" w:ascii="宋体" w:hAnsi="宋体" w:eastAsia="宋体" w:cs="宋体"/>
          <w:b/>
          <w:bCs/>
          <w:color w:val="auto"/>
          <w:kern w:val="0"/>
          <w:sz w:val="21"/>
          <w:szCs w:val="21"/>
          <w:highlight w:val="none"/>
          <w:u w:val="none"/>
          <w:lang w:val="en-US" w:eastAsia="zh-CN"/>
        </w:rPr>
      </w:pPr>
      <w:r>
        <w:rPr>
          <w:rFonts w:hint="eastAsia" w:ascii="宋体" w:hAnsi="宋体" w:cs="宋体"/>
          <w:b/>
          <w:bCs/>
          <w:color w:val="auto"/>
          <w:kern w:val="0"/>
          <w:sz w:val="21"/>
          <w:szCs w:val="21"/>
          <w:highlight w:val="none"/>
          <w:u w:val="none"/>
          <w:lang w:val="en-US" w:eastAsia="zh-CN"/>
        </w:rPr>
        <w:t>分标3</w:t>
      </w:r>
    </w:p>
    <w:p w14:paraId="31485D3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标项名称</w:t>
      </w:r>
      <w:r>
        <w:rPr>
          <w:rFonts w:hint="eastAsia" w:ascii="宋体" w:hAnsi="宋体" w:eastAsia="宋体" w:cs="宋体"/>
          <w:color w:val="auto"/>
          <w:kern w:val="0"/>
          <w:sz w:val="21"/>
          <w:szCs w:val="21"/>
          <w:highlight w:val="none"/>
          <w:u w:val="none"/>
          <w:lang w:eastAsia="zh-CN"/>
        </w:rPr>
        <w:t>：</w:t>
      </w:r>
      <w:r>
        <w:rPr>
          <w:rFonts w:hint="default" w:ascii="宋体" w:hAnsi="宋体" w:cs="宋体"/>
          <w:color w:val="auto"/>
          <w:kern w:val="0"/>
          <w:sz w:val="21"/>
          <w:szCs w:val="21"/>
          <w:highlight w:val="none"/>
          <w:u w:val="none"/>
          <w:lang w:eastAsia="zh-CN"/>
        </w:rPr>
        <w:t>医保飞行检查智能监控系统建设</w:t>
      </w:r>
    </w:p>
    <w:p w14:paraId="6A8664C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数量：</w:t>
      </w:r>
      <w:r>
        <w:rPr>
          <w:rFonts w:hint="eastAsia" w:ascii="宋体" w:hAnsi="宋体" w:cs="宋体"/>
          <w:color w:val="auto"/>
          <w:kern w:val="0"/>
          <w:sz w:val="21"/>
          <w:szCs w:val="21"/>
          <w:highlight w:val="none"/>
          <w:u w:val="none"/>
          <w:lang w:val="en-US" w:eastAsia="zh-CN"/>
        </w:rPr>
        <w:t>1项</w:t>
      </w:r>
    </w:p>
    <w:p w14:paraId="07D9E0E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预算金额（元）：</w:t>
      </w:r>
      <w:r>
        <w:rPr>
          <w:rFonts w:hint="eastAsia" w:ascii="宋体" w:hAnsi="宋体" w:cs="宋体"/>
          <w:color w:val="auto"/>
          <w:kern w:val="0"/>
          <w:sz w:val="21"/>
          <w:szCs w:val="21"/>
          <w:highlight w:val="none"/>
          <w:u w:val="none"/>
          <w:lang w:eastAsia="zh-CN"/>
        </w:rPr>
        <w:t>1480000.00</w:t>
      </w:r>
    </w:p>
    <w:p w14:paraId="67BD6AD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简要规格描述或项目基本概况介绍、用途：</w:t>
      </w:r>
      <w:r>
        <w:rPr>
          <w:rFonts w:hint="eastAsia" w:ascii="宋体" w:hAnsi="宋体" w:cs="宋体"/>
          <w:color w:val="auto"/>
          <w:kern w:val="0"/>
          <w:sz w:val="21"/>
          <w:szCs w:val="21"/>
          <w:highlight w:val="none"/>
          <w:u w:val="none"/>
          <w:lang w:eastAsia="zh-CN"/>
        </w:rPr>
        <w:t>医保飞行检查智能监控系统改造建设</w:t>
      </w:r>
      <w:r>
        <w:rPr>
          <w:rFonts w:hint="eastAsia" w:ascii="宋体" w:hAnsi="宋体" w:cs="宋体"/>
          <w:color w:val="auto"/>
          <w:kern w:val="0"/>
          <w:sz w:val="21"/>
          <w:szCs w:val="21"/>
          <w:highlight w:val="none"/>
          <w:u w:val="none"/>
          <w:lang w:val="en-US" w:eastAsia="zh-CN"/>
        </w:rPr>
        <w:t>1项</w:t>
      </w:r>
      <w:r>
        <w:rPr>
          <w:rFonts w:hint="eastAsia" w:ascii="宋体" w:hAnsi="宋体" w:eastAsia="宋体" w:cs="宋体"/>
          <w:color w:val="auto"/>
          <w:kern w:val="0"/>
          <w:sz w:val="21"/>
          <w:szCs w:val="21"/>
          <w:highlight w:val="none"/>
          <w:u w:val="none"/>
        </w:rPr>
        <w:t>，具体详见招标文件。</w:t>
      </w:r>
    </w:p>
    <w:p w14:paraId="38E771D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最高限价（如有）：</w:t>
      </w:r>
      <w:r>
        <w:rPr>
          <w:rFonts w:hint="eastAsia" w:ascii="宋体" w:hAnsi="宋体" w:cs="宋体"/>
          <w:color w:val="auto"/>
          <w:kern w:val="0"/>
          <w:sz w:val="21"/>
          <w:szCs w:val="21"/>
          <w:highlight w:val="none"/>
          <w:u w:val="none"/>
          <w:lang w:eastAsia="zh-CN"/>
        </w:rPr>
        <w:t>1480000.00</w:t>
      </w:r>
    </w:p>
    <w:p w14:paraId="1D593A2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合同履约期限：</w:t>
      </w:r>
      <w:r>
        <w:rPr>
          <w:rFonts w:hint="eastAsia" w:ascii="宋体" w:hAnsi="宋体" w:cs="宋体"/>
          <w:color w:val="auto"/>
          <w:kern w:val="0"/>
          <w:sz w:val="21"/>
          <w:szCs w:val="21"/>
          <w:highlight w:val="none"/>
          <w:u w:val="none"/>
          <w:lang w:eastAsia="zh-CN"/>
        </w:rPr>
        <w:t>自合同签订之日起90个日历日内安装调试完毕交付使用。</w:t>
      </w:r>
    </w:p>
    <w:p w14:paraId="2C7716F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本标项（否）接受联合体投标</w:t>
      </w:r>
    </w:p>
    <w:bookmarkEnd w:id="16"/>
    <w:p w14:paraId="10BE212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二、申请人的资格要求</w:t>
      </w:r>
    </w:p>
    <w:p w14:paraId="3523B4D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kern w:val="0"/>
          <w:sz w:val="21"/>
          <w:szCs w:val="21"/>
          <w:highlight w:val="none"/>
          <w:u w:val="none"/>
        </w:rPr>
        <w:t>1.满足《中华人民共和国政府采购法》第二十二条规定</w:t>
      </w:r>
      <w:r>
        <w:rPr>
          <w:rFonts w:hint="eastAsia" w:ascii="宋体" w:hAnsi="宋体" w:eastAsia="宋体" w:cs="宋体"/>
          <w:color w:val="auto"/>
          <w:kern w:val="0"/>
          <w:sz w:val="21"/>
          <w:szCs w:val="21"/>
          <w:highlight w:val="none"/>
          <w:u w:val="none"/>
          <w:lang w:eastAsia="zh-CN"/>
        </w:rPr>
        <w:t>。</w:t>
      </w:r>
    </w:p>
    <w:p w14:paraId="38BD0E2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2.落实政府采购政策需满足的资格要求：</w:t>
      </w:r>
      <w:bookmarkStart w:id="17" w:name="_Hlk132732708"/>
    </w:p>
    <w:p w14:paraId="708697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cs="宋体"/>
          <w:color w:val="auto"/>
          <w:sz w:val="21"/>
          <w:szCs w:val="21"/>
          <w:highlight w:val="none"/>
          <w:u w:val="none"/>
          <w:lang w:eastAsia="zh-CN"/>
        </w:rPr>
        <w:t>分标</w:t>
      </w:r>
      <w:r>
        <w:rPr>
          <w:rFonts w:hint="eastAsia" w:ascii="宋体" w:hAnsi="宋体" w:eastAsia="宋体" w:cs="宋体"/>
          <w:color w:val="auto"/>
          <w:sz w:val="21"/>
          <w:szCs w:val="21"/>
          <w:highlight w:val="none"/>
          <w:u w:val="none"/>
        </w:rPr>
        <w:t>1</w:t>
      </w:r>
      <w:bookmarkEnd w:id="17"/>
      <w:r>
        <w:rPr>
          <w:rFonts w:hint="eastAsia" w:ascii="宋体" w:hAnsi="宋体" w:cs="宋体"/>
          <w:color w:val="auto"/>
          <w:sz w:val="21"/>
          <w:szCs w:val="21"/>
          <w:highlight w:val="none"/>
          <w:u w:val="none"/>
          <w:lang w:val="en-US" w:eastAsia="zh-CN"/>
        </w:rPr>
        <w:t>、</w:t>
      </w:r>
      <w:r>
        <w:rPr>
          <w:rFonts w:hint="eastAsia" w:ascii="宋体" w:hAnsi="宋体" w:cs="宋体"/>
          <w:color w:val="auto"/>
          <w:sz w:val="21"/>
          <w:szCs w:val="21"/>
          <w:highlight w:val="none"/>
          <w:u w:val="none"/>
          <w:lang w:eastAsia="zh-CN"/>
        </w:rPr>
        <w:t>分标</w:t>
      </w:r>
      <w:r>
        <w:rPr>
          <w:rFonts w:hint="eastAsia" w:ascii="宋体" w:hAnsi="宋体" w:cs="宋体"/>
          <w:color w:val="auto"/>
          <w:sz w:val="21"/>
          <w:szCs w:val="21"/>
          <w:highlight w:val="none"/>
          <w:u w:val="none"/>
          <w:lang w:val="en-US" w:eastAsia="zh-CN"/>
        </w:rPr>
        <w:t>2、</w:t>
      </w:r>
      <w:r>
        <w:rPr>
          <w:rFonts w:hint="eastAsia" w:ascii="宋体" w:hAnsi="宋体" w:cs="宋体"/>
          <w:color w:val="auto"/>
          <w:sz w:val="21"/>
          <w:szCs w:val="21"/>
          <w:highlight w:val="none"/>
          <w:u w:val="none"/>
          <w:lang w:eastAsia="zh-CN"/>
        </w:rPr>
        <w:t>分标</w:t>
      </w:r>
      <w:r>
        <w:rPr>
          <w:rFonts w:hint="eastAsia" w:ascii="宋体" w:hAnsi="宋体" w:cs="宋体"/>
          <w:color w:val="auto"/>
          <w:sz w:val="21"/>
          <w:szCs w:val="21"/>
          <w:highlight w:val="none"/>
          <w:u w:val="none"/>
          <w:lang w:val="en-US" w:eastAsia="zh-CN"/>
        </w:rPr>
        <w:t>3专门面向小微企业采购，监狱企业、残疾人福利性单位视同小型、微型企业。</w:t>
      </w:r>
    </w:p>
    <w:p w14:paraId="7AF2364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3.本项目的特定资格要求：</w:t>
      </w:r>
    </w:p>
    <w:p w14:paraId="42033D9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cs="宋体"/>
          <w:szCs w:val="21"/>
          <w:highlight w:val="none"/>
          <w:lang w:eastAsia="zh-CN"/>
        </w:rPr>
        <w:t>投标人</w:t>
      </w:r>
      <w:r>
        <w:rPr>
          <w:rFonts w:hint="eastAsia" w:ascii="宋体" w:hAnsi="宋体" w:cs="宋体"/>
          <w:szCs w:val="21"/>
          <w:highlight w:val="none"/>
        </w:rPr>
        <w:t>不是采购人的附属机构；不是为本次采购项目提供整体设计、规范编制或者项目管理、监理、检测等货物的供应商；与采购人聘请的为此项目提供设计、咨询、论证等服务的公司及其附属机构</w:t>
      </w:r>
      <w:r>
        <w:rPr>
          <w:rFonts w:hint="eastAsia" w:ascii="宋体" w:hAnsi="宋体" w:cs="宋体"/>
          <w:szCs w:val="21"/>
          <w:highlight w:val="none"/>
          <w:lang w:eastAsia="zh-CN"/>
        </w:rPr>
        <w:t>不存在控股关系或管理关系</w:t>
      </w:r>
      <w:r>
        <w:rPr>
          <w:rFonts w:hint="eastAsia" w:ascii="宋体" w:hAnsi="宋体" w:cs="宋体"/>
          <w:szCs w:val="21"/>
          <w:highlight w:val="none"/>
        </w:rPr>
        <w:t>。</w:t>
      </w:r>
    </w:p>
    <w:p w14:paraId="33D7051B">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三、获取招标文件</w:t>
      </w:r>
    </w:p>
    <w:p w14:paraId="50A5203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u w:val="none"/>
        </w:rPr>
      </w:pPr>
      <w:bookmarkStart w:id="18" w:name="_Hlk19048251"/>
      <w:r>
        <w:rPr>
          <w:rFonts w:hint="eastAsia" w:ascii="宋体" w:hAnsi="宋体" w:eastAsia="宋体" w:cs="宋体"/>
          <w:color w:val="auto"/>
          <w:sz w:val="21"/>
          <w:szCs w:val="21"/>
          <w:highlight w:val="none"/>
          <w:u w:val="none"/>
        </w:rPr>
        <w:t>时间：</w:t>
      </w:r>
      <w:r>
        <w:rPr>
          <w:rFonts w:hint="eastAsia" w:ascii="宋体" w:hAnsi="宋体" w:cs="宋体"/>
          <w:color w:val="auto"/>
          <w:sz w:val="21"/>
          <w:szCs w:val="21"/>
          <w:highlight w:val="none"/>
          <w:u w:val="none"/>
          <w:lang w:eastAsia="zh-CN"/>
        </w:rPr>
        <w:t>2025年1</w:t>
      </w:r>
      <w:r>
        <w:rPr>
          <w:rFonts w:hint="eastAsia" w:ascii="宋体" w:hAnsi="宋体" w:cs="宋体"/>
          <w:color w:val="auto"/>
          <w:sz w:val="21"/>
          <w:szCs w:val="21"/>
          <w:highlight w:val="none"/>
          <w:u w:val="none"/>
          <w:lang w:val="en-US" w:eastAsia="zh-CN"/>
        </w:rPr>
        <w:t>2</w:t>
      </w:r>
      <w:r>
        <w:rPr>
          <w:rFonts w:hint="eastAsia" w:ascii="宋体" w:hAnsi="宋体" w:cs="宋体"/>
          <w:color w:val="auto"/>
          <w:sz w:val="21"/>
          <w:szCs w:val="21"/>
          <w:highlight w:val="none"/>
          <w:u w:val="none"/>
          <w:lang w:eastAsia="zh-CN"/>
        </w:rPr>
        <w:t>月</w:t>
      </w:r>
      <w:r>
        <w:rPr>
          <w:rFonts w:hint="eastAsia" w:ascii="宋体" w:hAnsi="宋体" w:cs="宋体"/>
          <w:color w:val="auto"/>
          <w:sz w:val="21"/>
          <w:szCs w:val="21"/>
          <w:highlight w:val="none"/>
          <w:u w:val="none"/>
          <w:lang w:val="en-US" w:eastAsia="zh-CN"/>
        </w:rPr>
        <w:t>24</w:t>
      </w:r>
      <w:r>
        <w:rPr>
          <w:rFonts w:hint="eastAsia" w:ascii="宋体" w:hAnsi="宋体" w:cs="宋体"/>
          <w:color w:val="auto"/>
          <w:sz w:val="21"/>
          <w:szCs w:val="21"/>
          <w:highlight w:val="none"/>
          <w:u w:val="none"/>
          <w:lang w:eastAsia="zh-CN"/>
        </w:rPr>
        <w:t>日</w:t>
      </w:r>
      <w:r>
        <w:rPr>
          <w:rFonts w:hint="eastAsia" w:ascii="宋体" w:hAnsi="宋体" w:eastAsia="宋体" w:cs="宋体"/>
          <w:color w:val="auto"/>
          <w:sz w:val="21"/>
          <w:szCs w:val="21"/>
          <w:highlight w:val="none"/>
          <w:u w:val="none"/>
        </w:rPr>
        <w:t>起至</w:t>
      </w:r>
      <w:r>
        <w:rPr>
          <w:rFonts w:hint="eastAsia" w:ascii="宋体" w:hAnsi="宋体" w:eastAsia="宋体" w:cs="宋体"/>
          <w:color w:val="auto"/>
          <w:sz w:val="21"/>
          <w:szCs w:val="21"/>
          <w:highlight w:val="none"/>
          <w:u w:val="none"/>
          <w:lang w:eastAsia="zh-CN"/>
        </w:rPr>
        <w:t>2025年</w:t>
      </w:r>
      <w:r>
        <w:rPr>
          <w:rFonts w:hint="eastAsia" w:ascii="宋体" w:hAnsi="宋体" w:cs="宋体"/>
          <w:color w:val="auto"/>
          <w:sz w:val="21"/>
          <w:szCs w:val="21"/>
          <w:highlight w:val="none"/>
          <w:u w:val="none"/>
          <w:lang w:eastAsia="zh-CN"/>
        </w:rPr>
        <w:t>1</w:t>
      </w:r>
      <w:r>
        <w:rPr>
          <w:rFonts w:hint="eastAsia" w:ascii="宋体" w:hAnsi="宋体" w:cs="宋体"/>
          <w:color w:val="auto"/>
          <w:sz w:val="21"/>
          <w:szCs w:val="21"/>
          <w:highlight w:val="none"/>
          <w:u w:val="none"/>
          <w:lang w:val="en-US" w:eastAsia="zh-CN"/>
        </w:rPr>
        <w:t>2</w:t>
      </w:r>
      <w:r>
        <w:rPr>
          <w:rFonts w:hint="eastAsia" w:ascii="宋体" w:hAnsi="宋体" w:cs="宋体"/>
          <w:color w:val="auto"/>
          <w:sz w:val="21"/>
          <w:szCs w:val="21"/>
          <w:highlight w:val="none"/>
          <w:u w:val="none"/>
          <w:lang w:eastAsia="zh-CN"/>
        </w:rPr>
        <w:t>月</w:t>
      </w:r>
      <w:r>
        <w:rPr>
          <w:rFonts w:hint="eastAsia" w:ascii="宋体" w:hAnsi="宋体" w:cs="宋体"/>
          <w:color w:val="auto"/>
          <w:sz w:val="21"/>
          <w:szCs w:val="21"/>
          <w:highlight w:val="none"/>
          <w:u w:val="none"/>
          <w:lang w:val="en-US" w:eastAsia="zh-CN"/>
        </w:rPr>
        <w:t>31</w:t>
      </w:r>
      <w:r>
        <w:rPr>
          <w:rFonts w:hint="eastAsia" w:ascii="宋体" w:hAnsi="宋体" w:cs="宋体"/>
          <w:color w:val="auto"/>
          <w:sz w:val="21"/>
          <w:szCs w:val="21"/>
          <w:highlight w:val="none"/>
          <w:u w:val="none"/>
          <w:lang w:eastAsia="zh-CN"/>
        </w:rPr>
        <w:t>日</w:t>
      </w:r>
      <w:r>
        <w:rPr>
          <w:rFonts w:hint="eastAsia" w:ascii="宋体" w:hAnsi="宋体" w:eastAsia="宋体" w:cs="宋体"/>
          <w:color w:val="auto"/>
          <w:sz w:val="21"/>
          <w:szCs w:val="21"/>
          <w:highlight w:val="none"/>
          <w:u w:val="none"/>
        </w:rPr>
        <w:t>，每天上午</w:t>
      </w:r>
      <w:bookmarkStart w:id="19" w:name="_Hlk132732918"/>
      <w:r>
        <w:rPr>
          <w:rFonts w:hint="eastAsia" w:ascii="宋体" w:hAnsi="宋体" w:eastAsia="宋体" w:cs="宋体"/>
          <w:color w:val="auto"/>
          <w:sz w:val="21"/>
          <w:szCs w:val="21"/>
          <w:highlight w:val="none"/>
          <w:u w:val="none"/>
        </w:rPr>
        <w:t>0</w:t>
      </w:r>
      <w:r>
        <w:rPr>
          <w:rFonts w:hint="eastAsia" w:ascii="宋体" w:hAnsi="宋体" w:cs="宋体"/>
          <w:color w:val="auto"/>
          <w:sz w:val="21"/>
          <w:szCs w:val="21"/>
          <w:highlight w:val="none"/>
          <w:u w:val="none"/>
          <w:lang w:val="en-US" w:eastAsia="zh-CN"/>
        </w:rPr>
        <w:t>8</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00至1</w:t>
      </w:r>
      <w:r>
        <w:rPr>
          <w:rFonts w:hint="eastAsia" w:ascii="宋体" w:hAnsi="宋体" w:cs="宋体"/>
          <w:color w:val="auto"/>
          <w:sz w:val="21"/>
          <w:szCs w:val="21"/>
          <w:highlight w:val="none"/>
          <w:u w:val="none"/>
          <w:lang w:val="en-US" w:eastAsia="zh-CN"/>
        </w:rPr>
        <w:t>1</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59</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12</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eastAsia="zh-CN"/>
        </w:rPr>
        <w:t>00</w:t>
      </w:r>
      <w:r>
        <w:rPr>
          <w:rFonts w:hint="eastAsia" w:ascii="宋体" w:hAnsi="宋体" w:eastAsia="宋体" w:cs="宋体"/>
          <w:color w:val="auto"/>
          <w:sz w:val="21"/>
          <w:szCs w:val="21"/>
          <w:highlight w:val="none"/>
          <w:u w:val="none"/>
        </w:rPr>
        <w:t>至</w:t>
      </w:r>
      <w:bookmarkEnd w:id="19"/>
      <w:r>
        <w:rPr>
          <w:rFonts w:hint="eastAsia" w:ascii="宋体" w:hAnsi="宋体" w:cs="宋体"/>
          <w:color w:val="auto"/>
          <w:sz w:val="21"/>
          <w:szCs w:val="21"/>
          <w:highlight w:val="none"/>
          <w:u w:val="none"/>
          <w:lang w:val="en-US" w:eastAsia="zh-CN"/>
        </w:rPr>
        <w:t>18</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（北京时间，法定节假日除外）。</w:t>
      </w:r>
      <w:bookmarkStart w:id="111" w:name="_GoBack"/>
      <w:bookmarkEnd w:id="111"/>
    </w:p>
    <w:p w14:paraId="7002B9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地点（网址）：</w:t>
      </w:r>
      <w:bookmarkStart w:id="20" w:name="_Hlk160186293"/>
      <w:r>
        <w:rPr>
          <w:rFonts w:hint="eastAsia" w:ascii="宋体" w:hAnsi="宋体" w:eastAsia="宋体" w:cs="宋体"/>
          <w:color w:val="auto"/>
          <w:sz w:val="21"/>
          <w:szCs w:val="21"/>
          <w:highlight w:val="none"/>
          <w:u w:val="none"/>
        </w:rPr>
        <w:t>广西政府采购云平台线上获取</w:t>
      </w:r>
    </w:p>
    <w:bookmarkEnd w:id="20"/>
    <w:p w14:paraId="45FB308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方式：</w:t>
      </w:r>
      <w:bookmarkStart w:id="21" w:name="_Hlk132732941"/>
      <w:r>
        <w:rPr>
          <w:rFonts w:hint="eastAsia" w:ascii="宋体" w:hAnsi="宋体" w:eastAsia="宋体" w:cs="宋体"/>
          <w:color w:val="auto"/>
          <w:sz w:val="21"/>
          <w:szCs w:val="21"/>
          <w:highlight w:val="none"/>
          <w:u w:val="none"/>
        </w:rPr>
        <w:t>供应商登录广西政府采购云平台https://www.gcy.zfcg.gxzf.gov.cn/在线申请获取采购文件（进入“项目采购”应用，在获取采购文件菜单中选择项目，申请获取采购文件）</w:t>
      </w:r>
    </w:p>
    <w:bookmarkEnd w:id="21"/>
    <w:p w14:paraId="053597E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售价（元）：0</w:t>
      </w:r>
    </w:p>
    <w:bookmarkEnd w:id="18"/>
    <w:p w14:paraId="47BB348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四、提交投标文件截止时间、开标时间和地点</w:t>
      </w:r>
    </w:p>
    <w:p w14:paraId="1F9AAFB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提交投标文件截止时间：</w:t>
      </w:r>
      <w:r>
        <w:rPr>
          <w:rFonts w:hint="eastAsia" w:ascii="宋体" w:hAnsi="宋体" w:cs="宋体"/>
          <w:color w:val="auto"/>
          <w:sz w:val="21"/>
          <w:szCs w:val="21"/>
          <w:highlight w:val="none"/>
          <w:u w:val="none"/>
          <w:lang w:eastAsia="zh-CN"/>
        </w:rPr>
        <w:t>2026年1月</w:t>
      </w:r>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lang w:eastAsia="zh-CN"/>
        </w:rPr>
        <w:t>日</w:t>
      </w:r>
      <w:r>
        <w:rPr>
          <w:rFonts w:hint="eastAsia" w:ascii="宋体" w:hAnsi="宋体" w:eastAsia="宋体" w:cs="宋体"/>
          <w:color w:val="auto"/>
          <w:kern w:val="0"/>
          <w:sz w:val="21"/>
          <w:szCs w:val="21"/>
          <w:highlight w:val="none"/>
          <w:u w:val="none"/>
        </w:rPr>
        <w:t>9：30（北京时间）</w:t>
      </w:r>
    </w:p>
    <w:p w14:paraId="4454FD6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投标地点（网址）：</w:t>
      </w:r>
      <w:bookmarkStart w:id="22" w:name="_Hlk88997081"/>
      <w:r>
        <w:rPr>
          <w:rFonts w:hint="eastAsia" w:ascii="宋体" w:hAnsi="宋体" w:eastAsia="宋体" w:cs="宋体"/>
          <w:color w:val="auto"/>
          <w:sz w:val="21"/>
          <w:szCs w:val="21"/>
          <w:highlight w:val="none"/>
          <w:u w:val="none"/>
        </w:rPr>
        <w:t>本项目为全流程电子化项目，没有现场递交投标文件及现场开标环节，通过广西政府采购云平台</w:t>
      </w:r>
      <w:bookmarkStart w:id="23" w:name="_Hlk160186485"/>
      <w:r>
        <w:rPr>
          <w:rFonts w:hint="eastAsia" w:ascii="宋体" w:hAnsi="宋体" w:eastAsia="宋体" w:cs="宋体"/>
          <w:color w:val="auto"/>
          <w:sz w:val="21"/>
          <w:szCs w:val="21"/>
          <w:highlight w:val="none"/>
          <w:u w:val="none"/>
        </w:rPr>
        <w:t>（https</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//www.gcy.zfcg.gxzf.gov.cn/）</w:t>
      </w:r>
      <w:bookmarkEnd w:id="23"/>
      <w:r>
        <w:rPr>
          <w:rFonts w:hint="eastAsia" w:ascii="宋体" w:hAnsi="宋体" w:eastAsia="宋体" w:cs="宋体"/>
          <w:color w:val="auto"/>
          <w:sz w:val="21"/>
          <w:szCs w:val="21"/>
          <w:highlight w:val="none"/>
          <w:u w:val="none"/>
        </w:rPr>
        <w:t>实行在线电子投标，供应商应先安装</w:t>
      </w:r>
      <w:bookmarkStart w:id="24" w:name="_Hlk160186504"/>
      <w:r>
        <w:rPr>
          <w:rFonts w:hint="eastAsia" w:ascii="宋体" w:hAnsi="宋体" w:eastAsia="宋体" w:cs="宋体"/>
          <w:color w:val="auto"/>
          <w:sz w:val="21"/>
          <w:szCs w:val="21"/>
          <w:highlight w:val="none"/>
          <w:u w:val="none"/>
        </w:rPr>
        <w:t>广西政府采购云平台新版客户端（请自行前往广西政府采购网-办事服务-下载专区进行下载）</w:t>
      </w:r>
      <w:bookmarkEnd w:id="24"/>
      <w:r>
        <w:rPr>
          <w:rFonts w:hint="eastAsia" w:ascii="宋体" w:hAnsi="宋体" w:eastAsia="宋体" w:cs="宋体"/>
          <w:color w:val="auto"/>
          <w:sz w:val="21"/>
          <w:szCs w:val="21"/>
          <w:highlight w:val="none"/>
          <w:u w:val="none"/>
        </w:rPr>
        <w:t>，并按照本项目招标文件和广西政府采购云平台的要求使用CA认证编制、加密投标文件后在投标截止时间前上传至广西政府采购云平台，供应商在广西政府采购云平台提交电子版投标文件时，请填写参加远程开标活动经办人联系方式。</w:t>
      </w:r>
    </w:p>
    <w:bookmarkEnd w:id="22"/>
    <w:p w14:paraId="6894CD5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开标时间：</w:t>
      </w:r>
      <w:r>
        <w:rPr>
          <w:rFonts w:hint="eastAsia" w:ascii="宋体" w:hAnsi="宋体" w:cs="宋体"/>
          <w:color w:val="auto"/>
          <w:sz w:val="21"/>
          <w:szCs w:val="21"/>
          <w:highlight w:val="none"/>
          <w:u w:val="none"/>
          <w:lang w:eastAsia="zh-CN"/>
        </w:rPr>
        <w:t>2026年1月</w:t>
      </w:r>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lang w:eastAsia="zh-CN"/>
        </w:rPr>
        <w:t>日</w:t>
      </w:r>
      <w:r>
        <w:rPr>
          <w:rFonts w:hint="eastAsia" w:ascii="宋体" w:hAnsi="宋体" w:eastAsia="宋体" w:cs="宋体"/>
          <w:color w:val="auto"/>
          <w:kern w:val="0"/>
          <w:sz w:val="21"/>
          <w:szCs w:val="21"/>
          <w:highlight w:val="none"/>
          <w:u w:val="none"/>
        </w:rPr>
        <w:t>9：30（北京时间）</w:t>
      </w:r>
    </w:p>
    <w:p w14:paraId="6C3CB82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rPr>
        <w:t>开标地点：</w:t>
      </w:r>
      <w:r>
        <w:rPr>
          <w:rFonts w:hint="eastAsia" w:ascii="宋体" w:hAnsi="宋体" w:eastAsia="宋体" w:cs="宋体"/>
          <w:szCs w:val="21"/>
          <w:highlight w:val="none"/>
          <w:lang w:bidi="ar"/>
        </w:rPr>
        <w:t>本项目将在广西政府采购云平台电子开标大厅解密、开标。</w:t>
      </w:r>
    </w:p>
    <w:p w14:paraId="0FBE88FA">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五、公告期限</w:t>
      </w:r>
    </w:p>
    <w:p w14:paraId="616E9B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自本公告发布之日起5个工作日。</w:t>
      </w:r>
    </w:p>
    <w:p w14:paraId="0E7038E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六、其他补充事宜</w:t>
      </w:r>
    </w:p>
    <w:p w14:paraId="363B020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1.投标保证金：本项目收取投标保证金，详见招标文件。</w:t>
      </w:r>
    </w:p>
    <w:p w14:paraId="3662459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2.意向公示链接：</w:t>
      </w:r>
    </w:p>
    <w:p w14:paraId="6837488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https://zfcg.gxzf.gov.cn/site/detail?parentId=66485&amp;articleId=KmJr6mJU5dU/BSHMTZBKug==</w:t>
      </w:r>
    </w:p>
    <w:p w14:paraId="06AF1F3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cs="宋体"/>
          <w:color w:val="auto"/>
          <w:kern w:val="0"/>
          <w:sz w:val="21"/>
          <w:szCs w:val="21"/>
          <w:highlight w:val="none"/>
          <w:u w:val="none"/>
          <w:lang w:val="en-US" w:eastAsia="zh-CN"/>
        </w:rPr>
        <w:t>3</w:t>
      </w:r>
      <w:r>
        <w:rPr>
          <w:rFonts w:hint="eastAsia" w:ascii="宋体" w:hAnsi="宋体" w:eastAsia="宋体" w:cs="宋体"/>
          <w:color w:val="auto"/>
          <w:kern w:val="0"/>
          <w:sz w:val="21"/>
          <w:szCs w:val="21"/>
          <w:highlight w:val="none"/>
          <w:u w:val="none"/>
        </w:rPr>
        <w:t>.公告发布媒体：中国政府采购网、广西壮族自治区政府采购网、</w:t>
      </w:r>
      <w:bookmarkStart w:id="25" w:name="_Hlk162032373"/>
      <w:bookmarkStart w:id="26" w:name="_Hlk162031727"/>
      <w:r>
        <w:rPr>
          <w:rFonts w:hint="eastAsia" w:ascii="宋体" w:hAnsi="宋体" w:cs="宋体"/>
          <w:color w:val="auto"/>
          <w:kern w:val="0"/>
          <w:sz w:val="21"/>
          <w:szCs w:val="21"/>
          <w:highlight w:val="none"/>
          <w:u w:val="none"/>
          <w:lang w:eastAsia="zh-CN"/>
        </w:rPr>
        <w:t>全国公共资源交易平台（广西·钦州）</w:t>
      </w:r>
      <w:r>
        <w:rPr>
          <w:rFonts w:hint="eastAsia" w:ascii="宋体" w:hAnsi="宋体" w:eastAsia="宋体" w:cs="宋体"/>
          <w:color w:val="auto"/>
          <w:kern w:val="0"/>
          <w:sz w:val="21"/>
          <w:szCs w:val="21"/>
          <w:highlight w:val="none"/>
          <w:u w:val="none"/>
        </w:rPr>
        <w:t>。</w:t>
      </w:r>
      <w:bookmarkEnd w:id="25"/>
      <w:bookmarkEnd w:id="26"/>
    </w:p>
    <w:p w14:paraId="4FA4C92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cs="宋体"/>
          <w:color w:val="auto"/>
          <w:kern w:val="0"/>
          <w:sz w:val="21"/>
          <w:szCs w:val="21"/>
          <w:highlight w:val="none"/>
          <w:u w:val="none"/>
          <w:lang w:val="en-US" w:eastAsia="zh-CN"/>
        </w:rPr>
        <w:t>4</w:t>
      </w:r>
      <w:r>
        <w:rPr>
          <w:rFonts w:hint="eastAsia" w:ascii="宋体" w:hAnsi="宋体" w:eastAsia="宋体" w:cs="宋体"/>
          <w:color w:val="auto"/>
          <w:kern w:val="0"/>
          <w:sz w:val="21"/>
          <w:szCs w:val="21"/>
          <w:highlight w:val="none"/>
          <w:u w:val="none"/>
        </w:rPr>
        <w:t>.本项目需要落实的政府采购政策：</w:t>
      </w:r>
    </w:p>
    <w:p w14:paraId="696EB67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（1）政府采购促进中小企业发展。</w:t>
      </w:r>
    </w:p>
    <w:p w14:paraId="349BCFA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（2）政府采购支持采用本国产品的政策。</w:t>
      </w:r>
    </w:p>
    <w:p w14:paraId="57BF669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（3）强制采购节能产品；优先采购节能产品、环境标志产品。</w:t>
      </w:r>
    </w:p>
    <w:p w14:paraId="0898EC8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（4）政府采购促进残疾人就业政策。</w:t>
      </w:r>
    </w:p>
    <w:p w14:paraId="254BD69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（5）政府采购支持监狱企业发展。</w:t>
      </w:r>
    </w:p>
    <w:p w14:paraId="2EA398C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（6）扶持不发达地区和少数民族地区政策。</w:t>
      </w:r>
    </w:p>
    <w:p w14:paraId="6332AE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u w:val="none"/>
        </w:rPr>
      </w:pPr>
      <w:bookmarkStart w:id="27" w:name="_Hlk88997182"/>
      <w:r>
        <w:rPr>
          <w:rFonts w:hint="eastAsia" w:ascii="宋体" w:hAnsi="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u w:val="none"/>
        </w:rPr>
        <w:t>.注意事项：</w:t>
      </w:r>
    </w:p>
    <w:p w14:paraId="59E6160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kern w:val="0"/>
          <w:sz w:val="21"/>
          <w:szCs w:val="21"/>
          <w:highlight w:val="none"/>
          <w:u w:val="none"/>
        </w:rPr>
        <w:t>（1）</w:t>
      </w:r>
      <w:r>
        <w:rPr>
          <w:rFonts w:hint="eastAsia" w:ascii="宋体" w:hAnsi="宋体" w:eastAsia="宋体" w:cs="宋体"/>
          <w:color w:val="auto"/>
          <w:sz w:val="21"/>
          <w:szCs w:val="21"/>
          <w:highlight w:val="none"/>
          <w:u w:val="none"/>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129FA9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（2）为确保网上操作合法、有效和安全，请供应商确保在电子投标过程中能够对相关数据电文进行加密和使用电子签章，妥善保管CA数字证书并使用有效的CA数字证书参与整个招标活动。</w:t>
      </w:r>
    </w:p>
    <w:p w14:paraId="69EBF1A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kern w:val="0"/>
          <w:sz w:val="21"/>
          <w:szCs w:val="21"/>
          <w:highlight w:val="none"/>
          <w:u w:val="none"/>
        </w:rPr>
      </w:pPr>
      <w:r>
        <w:rPr>
          <w:rFonts w:hint="eastAsia" w:ascii="宋体" w:hAnsi="宋体" w:eastAsia="宋体" w:cs="宋体"/>
          <w:color w:val="auto"/>
          <w:sz w:val="21"/>
          <w:szCs w:val="21"/>
          <w:highlight w:val="none"/>
          <w:u w:val="none"/>
        </w:rPr>
        <w:t>（3）</w:t>
      </w:r>
      <w:bookmarkStart w:id="28" w:name="_Hlk160186592"/>
      <w:r>
        <w:rPr>
          <w:rFonts w:hint="eastAsia" w:ascii="宋体" w:hAnsi="宋体" w:eastAsia="宋体" w:cs="宋体"/>
          <w:color w:val="auto"/>
          <w:sz w:val="21"/>
          <w:szCs w:val="21"/>
          <w:highlight w:val="none"/>
          <w:u w:val="none"/>
        </w:rPr>
        <w:t>若</w:t>
      </w:r>
      <w:r>
        <w:rPr>
          <w:rFonts w:hint="eastAsia" w:ascii="宋体" w:hAnsi="宋体" w:eastAsia="宋体" w:cs="宋体"/>
          <w:color w:val="auto"/>
          <w:kern w:val="0"/>
          <w:sz w:val="21"/>
          <w:szCs w:val="21"/>
          <w:highlight w:val="none"/>
          <w:u w:val="none"/>
        </w:rPr>
        <w:t>对项目采购电子交易系统操作有疑问，可登录</w:t>
      </w:r>
      <w:r>
        <w:rPr>
          <w:rFonts w:hint="eastAsia" w:ascii="宋体" w:hAnsi="宋体" w:eastAsia="宋体" w:cs="宋体"/>
          <w:color w:val="auto"/>
          <w:sz w:val="21"/>
          <w:szCs w:val="21"/>
          <w:highlight w:val="none"/>
          <w:u w:val="none"/>
        </w:rPr>
        <w:t>广西政府采购云平台（https</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//www.gcy.zfcg.gxzf.gov.cn/）</w:t>
      </w:r>
      <w:r>
        <w:rPr>
          <w:rFonts w:hint="eastAsia" w:ascii="宋体" w:hAnsi="宋体" w:eastAsia="宋体" w:cs="宋体"/>
          <w:color w:val="auto"/>
          <w:kern w:val="0"/>
          <w:sz w:val="21"/>
          <w:szCs w:val="21"/>
          <w:highlight w:val="none"/>
          <w:u w:val="none"/>
        </w:rPr>
        <w:t>，点击右侧咨询小采或帮助文档或拨打客服热线95763</w:t>
      </w:r>
      <w:r>
        <w:rPr>
          <w:rFonts w:hint="default" w:ascii="宋体" w:hAnsi="宋体" w:cs="宋体"/>
          <w:color w:val="auto"/>
          <w:kern w:val="0"/>
          <w:sz w:val="21"/>
          <w:szCs w:val="21"/>
          <w:highlight w:val="none"/>
          <w:u w:val="none"/>
        </w:rPr>
        <w:t>。</w:t>
      </w:r>
    </w:p>
    <w:bookmarkEnd w:id="27"/>
    <w:bookmarkEnd w:id="28"/>
    <w:p w14:paraId="1668D25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olor w:val="auto"/>
          <w:kern w:val="0"/>
          <w:sz w:val="21"/>
          <w:szCs w:val="21"/>
          <w:highlight w:val="none"/>
          <w:u w:val="none"/>
        </w:rPr>
      </w:pPr>
      <w:r>
        <w:rPr>
          <w:rFonts w:hint="eastAsia" w:ascii="宋体" w:hAnsi="宋体" w:cs="宋体"/>
          <w:b w:val="0"/>
          <w:bCs w:val="0"/>
          <w:color w:val="auto"/>
          <w:kern w:val="0"/>
          <w:sz w:val="21"/>
          <w:szCs w:val="21"/>
          <w:highlight w:val="none"/>
          <w:u w:val="none"/>
          <w:lang w:val="en-US" w:eastAsia="zh-CN"/>
        </w:rPr>
        <w:t>6</w:t>
      </w:r>
      <w:r>
        <w:rPr>
          <w:rFonts w:hint="eastAsia" w:ascii="宋体" w:hAnsi="宋体" w:eastAsia="宋体" w:cs="宋体"/>
          <w:b w:val="0"/>
          <w:bCs w:val="0"/>
          <w:color w:val="auto"/>
          <w:kern w:val="0"/>
          <w:sz w:val="21"/>
          <w:szCs w:val="21"/>
          <w:highlight w:val="none"/>
          <w:u w:val="none"/>
        </w:rPr>
        <w:t>.政府监督部门：灵山县财政局政府采购监督管理股；联系方式：0777-6428581。</w:t>
      </w:r>
    </w:p>
    <w:p w14:paraId="5A86774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bCs/>
          <w:color w:val="auto"/>
          <w:kern w:val="0"/>
          <w:sz w:val="21"/>
          <w:szCs w:val="21"/>
          <w:highlight w:val="none"/>
          <w:u w:val="none"/>
        </w:rPr>
      </w:pPr>
      <w:r>
        <w:rPr>
          <w:rFonts w:hint="eastAsia" w:ascii="宋体" w:hAnsi="宋体" w:cs="宋体"/>
          <w:b w:val="0"/>
          <w:bCs w:val="0"/>
          <w:color w:val="auto"/>
          <w:kern w:val="0"/>
          <w:sz w:val="21"/>
          <w:szCs w:val="21"/>
          <w:highlight w:val="none"/>
          <w:u w:val="none"/>
          <w:lang w:val="en-US" w:eastAsia="zh-CN"/>
        </w:rPr>
        <w:t>7</w:t>
      </w:r>
      <w:r>
        <w:rPr>
          <w:rFonts w:hint="eastAsia" w:ascii="宋体" w:hAnsi="宋体" w:eastAsia="宋体" w:cs="宋体"/>
          <w:b w:val="0"/>
          <w:bCs w:val="0"/>
          <w:color w:val="auto"/>
          <w:kern w:val="0"/>
          <w:sz w:val="21"/>
          <w:szCs w:val="21"/>
          <w:highlight w:val="none"/>
          <w:u w:val="none"/>
        </w:rPr>
        <w:t>.交易服务单位：钦州市公共资源交易中心；联系方式：0777-2558900。</w:t>
      </w:r>
    </w:p>
    <w:p w14:paraId="61262C0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bCs/>
          <w:color w:val="auto"/>
          <w:kern w:val="0"/>
          <w:sz w:val="21"/>
          <w:szCs w:val="21"/>
          <w:highlight w:val="none"/>
          <w:u w:val="none"/>
        </w:rPr>
      </w:pPr>
      <w:r>
        <w:rPr>
          <w:rFonts w:hint="eastAsia" w:ascii="宋体" w:hAnsi="宋体" w:eastAsia="宋体" w:cs="宋体"/>
          <w:b/>
          <w:bCs/>
          <w:color w:val="auto"/>
          <w:kern w:val="0"/>
          <w:sz w:val="21"/>
          <w:szCs w:val="21"/>
          <w:highlight w:val="none"/>
          <w:u w:val="none"/>
        </w:rPr>
        <w:t>七、对本次招标提出询问，请按以下方式联系</w:t>
      </w:r>
    </w:p>
    <w:p w14:paraId="15C4ECF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1.采购人信息</w:t>
      </w:r>
    </w:p>
    <w:p w14:paraId="2BAEC5E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bookmarkStart w:id="29" w:name="_Hlk19048373"/>
      <w:r>
        <w:rPr>
          <w:rFonts w:hint="eastAsia" w:ascii="宋体" w:hAnsi="宋体" w:eastAsia="宋体" w:cs="宋体"/>
          <w:color w:val="auto"/>
          <w:kern w:val="0"/>
          <w:sz w:val="21"/>
          <w:szCs w:val="21"/>
          <w:highlight w:val="none"/>
          <w:u w:val="none"/>
        </w:rPr>
        <w:t>名称：</w:t>
      </w:r>
      <w:r>
        <w:rPr>
          <w:rFonts w:hint="eastAsia" w:ascii="宋体" w:hAnsi="宋体" w:cs="宋体"/>
          <w:color w:val="auto"/>
          <w:kern w:val="0"/>
          <w:sz w:val="21"/>
          <w:szCs w:val="21"/>
          <w:highlight w:val="none"/>
          <w:u w:val="none"/>
          <w:lang w:eastAsia="zh-CN"/>
        </w:rPr>
        <w:t>灵山县人民医院</w:t>
      </w:r>
    </w:p>
    <w:p w14:paraId="7A50F34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地址：</w:t>
      </w:r>
      <w:r>
        <w:rPr>
          <w:rFonts w:hint="eastAsia" w:ascii="宋体" w:hAnsi="宋体" w:cs="宋体"/>
          <w:color w:val="auto"/>
          <w:kern w:val="0"/>
          <w:sz w:val="21"/>
          <w:szCs w:val="21"/>
          <w:highlight w:val="none"/>
          <w:u w:val="none"/>
          <w:lang w:eastAsia="zh-CN"/>
        </w:rPr>
        <w:t>广西灵山县灵城街道钟秀路1号</w:t>
      </w:r>
    </w:p>
    <w:p w14:paraId="0D058A7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val="en-US" w:eastAsia="zh-CN"/>
        </w:rPr>
      </w:pPr>
      <w:bookmarkStart w:id="30" w:name="_Hlk162032382"/>
      <w:r>
        <w:rPr>
          <w:rFonts w:hint="eastAsia" w:ascii="宋体" w:hAnsi="宋体" w:eastAsia="宋体" w:cs="宋体"/>
          <w:color w:val="auto"/>
          <w:kern w:val="0"/>
          <w:sz w:val="21"/>
          <w:szCs w:val="21"/>
          <w:highlight w:val="none"/>
          <w:u w:val="none"/>
        </w:rPr>
        <w:t>项目联系人：</w:t>
      </w:r>
      <w:r>
        <w:rPr>
          <w:rFonts w:hint="eastAsia" w:ascii="宋体" w:hAnsi="宋体" w:cs="宋体"/>
          <w:color w:val="auto"/>
          <w:kern w:val="0"/>
          <w:sz w:val="21"/>
          <w:szCs w:val="21"/>
          <w:highlight w:val="none"/>
          <w:u w:val="none"/>
          <w:lang w:val="en-US" w:eastAsia="zh-CN"/>
        </w:rPr>
        <w:t>陆建华</w:t>
      </w:r>
    </w:p>
    <w:p w14:paraId="71EB3C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项目联系方式：</w:t>
      </w:r>
      <w:bookmarkEnd w:id="30"/>
      <w:r>
        <w:rPr>
          <w:rFonts w:hint="eastAsia" w:ascii="宋体" w:hAnsi="宋体" w:cs="宋体"/>
          <w:color w:val="auto"/>
          <w:kern w:val="0"/>
          <w:sz w:val="21"/>
          <w:szCs w:val="21"/>
          <w:highlight w:val="none"/>
          <w:u w:val="none"/>
          <w:lang w:eastAsia="zh-CN"/>
        </w:rPr>
        <w:t>0777-6218786</w:t>
      </w:r>
    </w:p>
    <w:p w14:paraId="69A0AB6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2.采购代理机构信息</w:t>
      </w:r>
    </w:p>
    <w:p w14:paraId="7F7705F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名称：</w:t>
      </w:r>
      <w:r>
        <w:rPr>
          <w:rFonts w:hint="eastAsia" w:ascii="宋体" w:hAnsi="宋体" w:eastAsia="宋体" w:cs="宋体"/>
          <w:color w:val="auto"/>
          <w:kern w:val="0"/>
          <w:sz w:val="21"/>
          <w:szCs w:val="21"/>
          <w:highlight w:val="none"/>
          <w:u w:val="none"/>
          <w:lang w:eastAsia="zh-CN"/>
        </w:rPr>
        <w:t>广西汉昌工程咨询有限公司</w:t>
      </w:r>
    </w:p>
    <w:p w14:paraId="307F1A3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地址：</w:t>
      </w:r>
      <w:r>
        <w:rPr>
          <w:rFonts w:hint="eastAsia" w:ascii="宋体" w:hAnsi="宋体" w:cs="宋体"/>
          <w:color w:val="auto"/>
          <w:kern w:val="0"/>
          <w:sz w:val="21"/>
          <w:szCs w:val="21"/>
          <w:highlight w:val="none"/>
          <w:u w:val="none"/>
          <w:lang w:eastAsia="zh-CN"/>
        </w:rPr>
        <w:t>广西</w:t>
      </w:r>
      <w:r>
        <w:rPr>
          <w:rFonts w:hint="eastAsia" w:ascii="宋体" w:hAnsi="宋体" w:eastAsia="宋体" w:cs="宋体"/>
          <w:color w:val="auto"/>
          <w:sz w:val="21"/>
          <w:szCs w:val="21"/>
          <w:highlight w:val="none"/>
          <w:u w:val="none"/>
          <w:lang w:eastAsia="zh-CN"/>
        </w:rPr>
        <w:t>南宁市青秀区仙葫大道西16号鼎丰国际美食广场A栋11楼HC区域</w:t>
      </w:r>
    </w:p>
    <w:p w14:paraId="5B67808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 w:val="21"/>
          <w:szCs w:val="21"/>
          <w:highlight w:val="none"/>
          <w:u w:val="none"/>
          <w:lang w:eastAsia="zh-CN"/>
        </w:rPr>
      </w:pPr>
      <w:r>
        <w:rPr>
          <w:rFonts w:hint="eastAsia" w:ascii="宋体" w:hAnsi="宋体" w:eastAsia="宋体" w:cs="宋体"/>
          <w:color w:val="auto"/>
          <w:kern w:val="0"/>
          <w:sz w:val="21"/>
          <w:szCs w:val="21"/>
          <w:highlight w:val="none"/>
          <w:u w:val="none"/>
        </w:rPr>
        <w:t>项目联系人：</w:t>
      </w:r>
      <w:r>
        <w:rPr>
          <w:rFonts w:hint="eastAsia" w:ascii="宋体" w:hAnsi="宋体" w:cs="宋体"/>
          <w:color w:val="auto"/>
          <w:kern w:val="0"/>
          <w:sz w:val="21"/>
          <w:szCs w:val="21"/>
          <w:highlight w:val="none"/>
          <w:u w:val="none"/>
          <w:lang w:eastAsia="zh-CN"/>
        </w:rPr>
        <w:t>黄健、唐华林</w:t>
      </w:r>
    </w:p>
    <w:p w14:paraId="19B01E5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u w:val="none"/>
        </w:rPr>
        <w:t>项目联系方式：</w:t>
      </w:r>
      <w:bookmarkEnd w:id="10"/>
      <w:r>
        <w:rPr>
          <w:rFonts w:hint="eastAsia" w:ascii="宋体" w:hAnsi="宋体" w:eastAsia="宋体" w:cs="宋体"/>
          <w:color w:val="auto"/>
          <w:kern w:val="0"/>
          <w:sz w:val="21"/>
          <w:szCs w:val="21"/>
          <w:highlight w:val="none"/>
          <w:u w:val="none"/>
          <w:lang w:eastAsia="zh-CN"/>
        </w:rPr>
        <w:t>0771-5718293转6027</w:t>
      </w:r>
    </w:p>
    <w:bookmarkEnd w:id="8"/>
    <w:bookmarkEnd w:id="9"/>
    <w:bookmarkEnd w:id="29"/>
    <w:p w14:paraId="44B91DC0">
      <w:pPr>
        <w:pStyle w:val="2"/>
        <w:keepNext/>
        <w:keepLines/>
        <w:pageBreakBefore w:val="0"/>
        <w:widowControl w:val="0"/>
        <w:kinsoku/>
        <w:wordWrap/>
        <w:overflowPunct/>
        <w:topLinePunct w:val="0"/>
        <w:autoSpaceDE/>
        <w:autoSpaceDN/>
        <w:bidi w:val="0"/>
        <w:adjustRightInd/>
        <w:snapToGrid/>
        <w:spacing w:before="30" w:after="30" w:line="360" w:lineRule="auto"/>
        <w:ind w:left="0" w:leftChars="0" w:right="0" w:rightChars="0" w:firstLine="0" w:firstLineChars="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bookmarkStart w:id="31" w:name="_Toc20899"/>
      <w:bookmarkStart w:id="32" w:name="_Toc30570"/>
      <w:r>
        <w:rPr>
          <w:rFonts w:hint="eastAsia"/>
          <w:sz w:val="32"/>
          <w:szCs w:val="32"/>
        </w:rPr>
        <w:t>第二章  采购需求</w:t>
      </w:r>
      <w:bookmarkEnd w:id="31"/>
      <w:bookmarkEnd w:id="32"/>
    </w:p>
    <w:p w14:paraId="03F2E96B">
      <w:pPr>
        <w:spacing w:line="360" w:lineRule="auto"/>
        <w:jc w:val="left"/>
        <w:rPr>
          <w:rFonts w:hint="eastAsia" w:ascii="宋体" w:hAnsi="宋体" w:eastAsia="宋体" w:cs="宋体"/>
          <w:b/>
          <w:szCs w:val="21"/>
          <w:highlight w:val="none"/>
        </w:rPr>
      </w:pPr>
      <w:bookmarkStart w:id="33" w:name="_Hlk77608362"/>
      <w:r>
        <w:rPr>
          <w:rFonts w:hint="eastAsia" w:ascii="宋体" w:hAnsi="宋体" w:eastAsia="宋体" w:cs="宋体"/>
          <w:b/>
          <w:szCs w:val="21"/>
          <w:highlight w:val="none"/>
        </w:rPr>
        <w:t>说明：</w:t>
      </w:r>
    </w:p>
    <w:p w14:paraId="09EF1B2A">
      <w:pPr>
        <w:keepNext w:val="0"/>
        <w:keepLines w:val="0"/>
        <w:pageBreakBefore w:val="0"/>
        <w:widowControl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highlight w:val="none"/>
        </w:rPr>
        <w:t>1.为落实政府采购政策需满足的要求（根据项目实际情况填写内容）</w:t>
      </w:r>
    </w:p>
    <w:p w14:paraId="04B2E6CC">
      <w:pPr>
        <w:keepNext w:val="0"/>
        <w:keepLines w:val="0"/>
        <w:pageBreakBefore w:val="0"/>
        <w:widowControl w:val="0"/>
        <w:kinsoku/>
        <w:wordWrap/>
        <w:overflowPunct/>
        <w:topLinePunct w:val="0"/>
        <w:autoSpaceDE/>
        <w:autoSpaceDN/>
        <w:bidi w:val="0"/>
        <w:snapToGrid/>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（1）本招标文件所称中小企业必须符合《政府采购促进中小企业发展管理办法》（财库〔2020〕46号）的规定。</w:t>
      </w:r>
    </w:p>
    <w:p w14:paraId="29F17163">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（2）根据《财政部 发展改革委 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公章），</w:t>
      </w:r>
      <w:r>
        <w:rPr>
          <w:rFonts w:hint="eastAsia" w:ascii="宋体" w:hAnsi="宋体" w:eastAsia="宋体" w:cs="宋体"/>
          <w:b/>
          <w:bCs/>
          <w:szCs w:val="21"/>
          <w:highlight w:val="none"/>
        </w:rPr>
        <w:t>否则投标文件作无效处理</w:t>
      </w:r>
      <w:r>
        <w:rPr>
          <w:rFonts w:hint="eastAsia" w:ascii="宋体" w:hAnsi="宋体" w:eastAsia="宋体" w:cs="宋体"/>
          <w:szCs w:val="21"/>
          <w:highlight w:val="none"/>
        </w:rPr>
        <w:t>。如本项目包含的货物属于品目清单内非标注“</w:t>
      </w:r>
      <w:r>
        <w:rPr>
          <w:rFonts w:hint="eastAsia" w:ascii="宋体" w:hAnsi="宋体" w:eastAsia="宋体" w:cs="宋体"/>
          <w:szCs w:val="21"/>
          <w:highlight w:val="none"/>
          <w:lang w:eastAsia="zh-CN"/>
        </w:rPr>
        <w:t>★</w:t>
      </w:r>
      <w:r>
        <w:rPr>
          <w:rFonts w:hint="eastAsia" w:ascii="宋体" w:hAnsi="宋体" w:eastAsia="宋体" w:cs="宋体"/>
          <w:szCs w:val="21"/>
          <w:highlight w:val="none"/>
        </w:rPr>
        <w:t>”的产品时，应优先采购，具体详见“第四章 评标方法及评标标准”。</w:t>
      </w:r>
    </w:p>
    <w:p w14:paraId="44E7EC03">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b/>
          <w:szCs w:val="21"/>
          <w:highlight w:val="none"/>
        </w:rPr>
        <w:t>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14:paraId="2F8AAA46">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bidi="ar"/>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1A8D934">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2.“实质性要求”是指招标文件中已经指明不满足则投标无效的条款，或者不能负偏离的条款，或者采购需求中带“▲”的条款。</w:t>
      </w:r>
    </w:p>
    <w:p w14:paraId="3E53B401">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3.“重要参数”是指</w:t>
      </w:r>
      <w:r>
        <w:rPr>
          <w:rFonts w:hint="eastAsia" w:ascii="宋体" w:hAnsi="宋体" w:eastAsia="宋体" w:cs="宋体"/>
          <w:szCs w:val="21"/>
          <w:highlight w:val="none"/>
        </w:rPr>
        <w:t>采购需求中带“</w:t>
      </w:r>
      <w:r>
        <w:rPr>
          <w:rFonts w:hint="eastAsia" w:ascii="宋体" w:hAnsi="宋体" w:eastAsia="宋体" w:cs="宋体"/>
          <w:sz w:val="21"/>
          <w:szCs w:val="21"/>
          <w:highlight w:val="none"/>
          <w:vertAlign w:val="baseline"/>
          <w:lang w:eastAsia="zh-CN"/>
        </w:rPr>
        <w:t>◆</w:t>
      </w:r>
      <w:r>
        <w:rPr>
          <w:rFonts w:hint="eastAsia" w:ascii="宋体" w:hAnsi="宋体" w:eastAsia="宋体" w:cs="宋体"/>
          <w:szCs w:val="21"/>
          <w:highlight w:val="none"/>
        </w:rPr>
        <w:t>”的条款</w:t>
      </w:r>
      <w:r>
        <w:rPr>
          <w:rFonts w:hint="eastAsia" w:ascii="宋体" w:hAnsi="宋体" w:eastAsia="宋体" w:cs="宋体"/>
          <w:szCs w:val="21"/>
          <w:highlight w:val="none"/>
          <w:lang w:eastAsia="zh-CN"/>
        </w:rPr>
        <w:t>，作为评审的依据。</w:t>
      </w:r>
    </w:p>
    <w:p w14:paraId="0C347653">
      <w:pPr>
        <w:keepNext w:val="0"/>
        <w:keepLines w:val="0"/>
        <w:pageBreakBefore w:val="0"/>
        <w:widowControl w:val="0"/>
        <w:kinsoku/>
        <w:wordWrap/>
        <w:overflowPunct/>
        <w:topLinePunct w:val="0"/>
        <w:autoSpaceDE/>
        <w:autoSpaceDN/>
        <w:bidi w:val="0"/>
        <w:snapToGrid/>
        <w:spacing w:line="400" w:lineRule="exact"/>
        <w:ind w:firstLine="424" w:firstLineChars="202"/>
        <w:jc w:val="left"/>
        <w:textAlignment w:val="auto"/>
        <w:rPr>
          <w:rFonts w:hint="eastAsia" w:ascii="宋体" w:hAnsi="宋体" w:eastAsia="宋体" w:cs="宋体"/>
          <w:szCs w:val="21"/>
          <w:highlight w:val="none"/>
          <w:lang w:val="en-US" w:eastAsia="zh-CN"/>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szCs w:val="21"/>
          <w:highlight w:val="none"/>
          <w:lang w:val="en-US" w:eastAsia="zh-CN"/>
        </w:rPr>
        <w:t>.投标人应根据自身实际情况如实响应招标文件，不得仅将招标文件中“</w:t>
      </w:r>
      <w:r>
        <w:rPr>
          <w:rFonts w:hint="eastAsia" w:ascii="宋体" w:hAnsi="宋体" w:cs="宋体"/>
          <w:sz w:val="21"/>
          <w:szCs w:val="21"/>
          <w:highlight w:val="none"/>
          <w:lang w:eastAsia="zh-CN"/>
        </w:rPr>
        <w:t>技术服务要求</w:t>
      </w:r>
      <w:r>
        <w:rPr>
          <w:rFonts w:hint="eastAsia" w:ascii="宋体" w:hAnsi="宋体" w:eastAsia="宋体" w:cs="宋体"/>
          <w:szCs w:val="21"/>
          <w:highlight w:val="none"/>
          <w:lang w:val="en-US" w:eastAsia="zh-CN"/>
        </w:rPr>
        <w:t>”或“商务要求”内容简单复制粘贴作为投标响应</w:t>
      </w:r>
      <w:r>
        <w:rPr>
          <w:rFonts w:hint="eastAsia" w:ascii="宋体" w:hAnsi="宋体" w:eastAsia="宋体" w:cs="宋体"/>
          <w:b/>
          <w:bCs/>
          <w:szCs w:val="21"/>
          <w:highlight w:val="none"/>
          <w:lang w:val="en-US" w:eastAsia="zh-CN"/>
        </w:rPr>
        <w:t>，否则将按无效响应处理。</w:t>
      </w:r>
      <w:r>
        <w:rPr>
          <w:rFonts w:hint="eastAsia" w:ascii="宋体" w:hAnsi="宋体" w:eastAsia="宋体" w:cs="宋体"/>
          <w:szCs w:val="21"/>
          <w:highlight w:val="none"/>
          <w:lang w:val="en-US" w:eastAsia="zh-CN"/>
        </w:rPr>
        <w:t>对于重要技术条款或技术参数应当在投标文件中提供技术支持资料（如有），技术支持资料以投标文件中规定的形式为准</w:t>
      </w:r>
      <w:r>
        <w:rPr>
          <w:rFonts w:hint="eastAsia" w:ascii="宋体" w:hAnsi="宋体" w:eastAsia="宋体" w:cs="宋体"/>
          <w:b/>
          <w:bCs/>
          <w:szCs w:val="21"/>
          <w:highlight w:val="none"/>
          <w:lang w:val="en-US" w:eastAsia="zh-CN"/>
        </w:rPr>
        <w:t>，否则将视为无效技术支持资料。</w:t>
      </w:r>
    </w:p>
    <w:p w14:paraId="1D44F64C">
      <w:pPr>
        <w:spacing w:line="360" w:lineRule="exact"/>
        <w:ind w:left="420" w:leftChars="200" w:right="2" w:rightChars="1" w:firstLine="0" w:firstLineChars="0"/>
        <w:rPr>
          <w:rFonts w:hint="eastAsia" w:ascii="宋体" w:hAnsi="宋体" w:eastAsia="宋体" w:cs="宋体"/>
          <w:b/>
          <w:szCs w:val="21"/>
          <w:highlight w:val="none"/>
        </w:rPr>
      </w:pPr>
      <w:r>
        <w:rPr>
          <w:rFonts w:hint="eastAsia" w:ascii="宋体" w:hAnsi="宋体" w:cs="宋体"/>
          <w:szCs w:val="21"/>
          <w:highlight w:val="none"/>
          <w:lang w:val="en-US" w:eastAsia="zh-CN"/>
        </w:rPr>
        <w:t>5.</w:t>
      </w:r>
      <w:r>
        <w:rPr>
          <w:rFonts w:hint="eastAsia" w:ascii="宋体" w:hAnsi="宋体" w:eastAsia="宋体" w:cs="宋体"/>
          <w:highlight w:val="none"/>
        </w:rPr>
        <w:t>如投标人投标产品存在侵犯他人的知识产权或者专利成果行为的，应承担相应法律责任。</w:t>
      </w:r>
    </w:p>
    <w:p w14:paraId="13ED2B98">
      <w:pP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br w:type="page"/>
      </w:r>
    </w:p>
    <w:p w14:paraId="3C80317F">
      <w:pPr>
        <w:pStyle w:val="3"/>
        <w:keepNext/>
        <w:keepLines/>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sz w:val="28"/>
          <w:szCs w:val="28"/>
          <w:highlight w:val="none"/>
          <w:lang w:val="en-US" w:eastAsia="zh-CN"/>
        </w:rPr>
      </w:pPr>
      <w:bookmarkStart w:id="34" w:name="_Toc14119"/>
      <w:r>
        <w:rPr>
          <w:rFonts w:hint="eastAsia" w:ascii="宋体" w:hAnsi="宋体" w:eastAsia="宋体" w:cs="宋体"/>
          <w:sz w:val="28"/>
          <w:szCs w:val="28"/>
          <w:highlight w:val="none"/>
          <w:lang w:val="en-US" w:eastAsia="zh-CN"/>
        </w:rPr>
        <w:t>分标1（</w:t>
      </w:r>
      <w:r>
        <w:rPr>
          <w:rFonts w:hint="default" w:ascii="宋体" w:hAnsi="宋体" w:eastAsia="宋体" w:cs="宋体"/>
          <w:sz w:val="28"/>
          <w:szCs w:val="28"/>
          <w:highlight w:val="none"/>
          <w:lang w:eastAsia="zh-CN"/>
        </w:rPr>
        <w:t>无纸化病历档案系统建设</w:t>
      </w:r>
      <w:r>
        <w:rPr>
          <w:rFonts w:hint="eastAsia" w:ascii="宋体" w:hAnsi="宋体" w:eastAsia="宋体" w:cs="宋体"/>
          <w:sz w:val="28"/>
          <w:szCs w:val="28"/>
          <w:highlight w:val="none"/>
          <w:lang w:val="en-US" w:eastAsia="zh-CN"/>
        </w:rPr>
        <w:t>）</w:t>
      </w:r>
      <w:bookmarkEnd w:id="34"/>
    </w:p>
    <w:tbl>
      <w:tblPr>
        <w:tblStyle w:val="52"/>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83"/>
        <w:gridCol w:w="25"/>
        <w:gridCol w:w="900"/>
        <w:gridCol w:w="720"/>
        <w:gridCol w:w="7038"/>
      </w:tblGrid>
      <w:tr w14:paraId="771D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14:paraId="50130316">
            <w:pPr>
              <w:spacing w:line="400" w:lineRule="exact"/>
              <w:jc w:val="center"/>
              <w:rPr>
                <w:rFonts w:ascii="宋体" w:hAnsi="宋体" w:cs="宋体"/>
                <w:szCs w:val="21"/>
              </w:rPr>
            </w:pPr>
            <w:r>
              <w:rPr>
                <w:rFonts w:hint="eastAsia" w:ascii="宋体" w:hAnsi="宋体" w:cs="宋体"/>
                <w:szCs w:val="21"/>
              </w:rPr>
              <w:t>序号</w:t>
            </w:r>
          </w:p>
        </w:tc>
        <w:tc>
          <w:tcPr>
            <w:tcW w:w="1108" w:type="dxa"/>
            <w:gridSpan w:val="2"/>
            <w:tcBorders>
              <w:top w:val="single" w:color="auto" w:sz="4" w:space="0"/>
              <w:left w:val="single" w:color="auto" w:sz="4" w:space="0"/>
              <w:bottom w:val="single" w:color="auto" w:sz="4" w:space="0"/>
              <w:right w:val="single" w:color="auto" w:sz="4" w:space="0"/>
            </w:tcBorders>
            <w:vAlign w:val="center"/>
          </w:tcPr>
          <w:p w14:paraId="046A412E">
            <w:pPr>
              <w:spacing w:line="400" w:lineRule="exact"/>
              <w:jc w:val="center"/>
              <w:rPr>
                <w:rFonts w:ascii="宋体" w:hAnsi="宋体" w:cs="宋体"/>
                <w:szCs w:val="21"/>
              </w:rPr>
            </w:pPr>
            <w:r>
              <w:rPr>
                <w:rFonts w:hint="eastAsia" w:ascii="宋体" w:hAnsi="宋体" w:cs="宋体"/>
                <w:szCs w:val="21"/>
              </w:rPr>
              <w:t>标的名称</w:t>
            </w:r>
          </w:p>
        </w:tc>
        <w:tc>
          <w:tcPr>
            <w:tcW w:w="900" w:type="dxa"/>
            <w:tcBorders>
              <w:top w:val="single" w:color="auto" w:sz="4" w:space="0"/>
              <w:left w:val="single" w:color="auto" w:sz="4" w:space="0"/>
              <w:bottom w:val="single" w:color="auto" w:sz="4" w:space="0"/>
              <w:right w:val="single" w:color="auto" w:sz="4" w:space="0"/>
            </w:tcBorders>
            <w:vAlign w:val="center"/>
          </w:tcPr>
          <w:p w14:paraId="7B53418C">
            <w:pPr>
              <w:spacing w:line="400" w:lineRule="exact"/>
              <w:jc w:val="center"/>
              <w:rPr>
                <w:rFonts w:ascii="宋体" w:hAnsi="宋体" w:cs="宋体"/>
                <w:kern w:val="0"/>
                <w:szCs w:val="21"/>
              </w:rPr>
            </w:pPr>
            <w:r>
              <w:rPr>
                <w:rFonts w:hint="eastAsia" w:ascii="宋体" w:hAnsi="宋体" w:cs="宋体"/>
                <w:kern w:val="0"/>
                <w:szCs w:val="21"/>
              </w:rPr>
              <w:t>数量及单位</w:t>
            </w:r>
          </w:p>
        </w:tc>
        <w:tc>
          <w:tcPr>
            <w:tcW w:w="720" w:type="dxa"/>
            <w:tcBorders>
              <w:top w:val="single" w:color="auto" w:sz="4" w:space="0"/>
              <w:left w:val="single" w:color="auto" w:sz="4" w:space="0"/>
              <w:bottom w:val="single" w:color="auto" w:sz="4" w:space="0"/>
              <w:right w:val="single" w:color="auto" w:sz="4" w:space="0"/>
            </w:tcBorders>
            <w:vAlign w:val="center"/>
          </w:tcPr>
          <w:p w14:paraId="44068EC5">
            <w:pPr>
              <w:spacing w:line="400" w:lineRule="exact"/>
              <w:jc w:val="center"/>
              <w:rPr>
                <w:rFonts w:ascii="宋体" w:hAnsi="宋体" w:cs="宋体"/>
                <w:szCs w:val="21"/>
              </w:rPr>
            </w:pPr>
            <w:r>
              <w:rPr>
                <w:rFonts w:hint="eastAsia" w:ascii="宋体" w:hAnsi="宋体" w:cs="宋体"/>
                <w:szCs w:val="21"/>
              </w:rPr>
              <w:t>所属行业</w:t>
            </w:r>
          </w:p>
        </w:tc>
        <w:tc>
          <w:tcPr>
            <w:tcW w:w="7038" w:type="dxa"/>
            <w:tcBorders>
              <w:top w:val="single" w:color="auto" w:sz="4" w:space="0"/>
              <w:left w:val="single" w:color="auto" w:sz="4" w:space="0"/>
              <w:bottom w:val="single" w:color="auto" w:sz="4" w:space="0"/>
              <w:right w:val="single" w:color="auto" w:sz="4" w:space="0"/>
            </w:tcBorders>
            <w:vAlign w:val="center"/>
          </w:tcPr>
          <w:p w14:paraId="4A9FFF98">
            <w:pPr>
              <w:spacing w:line="400" w:lineRule="exact"/>
              <w:jc w:val="center"/>
              <w:rPr>
                <w:rFonts w:ascii="宋体" w:hAnsi="宋体" w:cs="宋体"/>
                <w:szCs w:val="21"/>
              </w:rPr>
            </w:pPr>
            <w:r>
              <w:rPr>
                <w:rFonts w:hint="eastAsia" w:ascii="宋体" w:hAnsi="宋体" w:cs="宋体"/>
                <w:szCs w:val="21"/>
              </w:rPr>
              <w:t>技术服务要求</w:t>
            </w:r>
          </w:p>
        </w:tc>
      </w:tr>
      <w:tr w14:paraId="2848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9" w:type="dxa"/>
            <w:gridSpan w:val="6"/>
            <w:tcBorders>
              <w:top w:val="single" w:color="auto" w:sz="4" w:space="0"/>
              <w:left w:val="single" w:color="auto" w:sz="4" w:space="0"/>
              <w:bottom w:val="single" w:color="auto" w:sz="4" w:space="0"/>
              <w:right w:val="single" w:color="auto" w:sz="4" w:space="0"/>
            </w:tcBorders>
            <w:vAlign w:val="center"/>
          </w:tcPr>
          <w:p w14:paraId="3B9A44A9">
            <w:pPr>
              <w:spacing w:line="400" w:lineRule="exact"/>
              <w:jc w:val="left"/>
              <w:rPr>
                <w:rFonts w:ascii="宋体" w:hAnsi="宋体" w:cs="宋体"/>
                <w:b/>
                <w:bCs/>
                <w:szCs w:val="21"/>
              </w:rPr>
            </w:pPr>
            <w:r>
              <w:rPr>
                <w:rFonts w:hint="eastAsia" w:ascii="宋体" w:hAnsi="宋体" w:cs="宋体"/>
                <w:b/>
                <w:bCs/>
                <w:szCs w:val="21"/>
              </w:rPr>
              <w:t>技术要求</w:t>
            </w:r>
          </w:p>
        </w:tc>
      </w:tr>
      <w:tr w14:paraId="0970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3" w:type="dxa"/>
            <w:tcBorders>
              <w:top w:val="single" w:color="auto" w:sz="4" w:space="0"/>
              <w:left w:val="single" w:color="auto" w:sz="4" w:space="0"/>
              <w:right w:val="single" w:color="auto" w:sz="4" w:space="0"/>
            </w:tcBorders>
            <w:vAlign w:val="center"/>
          </w:tcPr>
          <w:p w14:paraId="0F1DCAA9">
            <w:pPr>
              <w:spacing w:line="400" w:lineRule="exact"/>
              <w:jc w:val="center"/>
              <w:rPr>
                <w:rFonts w:ascii="宋体" w:hAnsi="宋体" w:cs="宋体"/>
                <w:szCs w:val="21"/>
              </w:rPr>
            </w:pPr>
            <w:r>
              <w:rPr>
                <w:rFonts w:hint="eastAsia" w:ascii="宋体" w:hAnsi="宋体" w:cs="宋体"/>
                <w:szCs w:val="21"/>
              </w:rPr>
              <w:t>1</w:t>
            </w:r>
          </w:p>
        </w:tc>
        <w:tc>
          <w:tcPr>
            <w:tcW w:w="1108" w:type="dxa"/>
            <w:gridSpan w:val="2"/>
            <w:tcBorders>
              <w:top w:val="single" w:color="auto" w:sz="4" w:space="0"/>
              <w:left w:val="single" w:color="auto" w:sz="4" w:space="0"/>
              <w:right w:val="single" w:color="auto" w:sz="4" w:space="0"/>
            </w:tcBorders>
            <w:vAlign w:val="center"/>
          </w:tcPr>
          <w:p w14:paraId="04F47B75">
            <w:pPr>
              <w:spacing w:line="400" w:lineRule="exact"/>
              <w:jc w:val="center"/>
              <w:rPr>
                <w:rFonts w:ascii="宋体" w:hAnsi="宋体" w:cs="宋体"/>
                <w:szCs w:val="21"/>
              </w:rPr>
            </w:pPr>
            <w:r>
              <w:rPr>
                <w:rFonts w:hint="eastAsia" w:ascii="宋体" w:hAnsi="宋体" w:cs="宋体"/>
                <w:szCs w:val="21"/>
              </w:rPr>
              <w:t>无纸化病理归档系统建设</w:t>
            </w:r>
          </w:p>
        </w:tc>
        <w:tc>
          <w:tcPr>
            <w:tcW w:w="900" w:type="dxa"/>
            <w:tcBorders>
              <w:top w:val="single" w:color="auto" w:sz="4" w:space="0"/>
              <w:left w:val="single" w:color="auto" w:sz="4" w:space="0"/>
              <w:right w:val="single" w:color="auto" w:sz="4" w:space="0"/>
            </w:tcBorders>
            <w:vAlign w:val="center"/>
          </w:tcPr>
          <w:p w14:paraId="3230E49D">
            <w:pPr>
              <w:spacing w:line="400" w:lineRule="exact"/>
              <w:jc w:val="center"/>
              <w:rPr>
                <w:rFonts w:ascii="宋体" w:hAnsi="宋体" w:cs="宋体"/>
                <w:szCs w:val="21"/>
              </w:rPr>
            </w:pPr>
            <w:r>
              <w:rPr>
                <w:rFonts w:hint="eastAsia" w:ascii="宋体" w:hAnsi="宋体" w:cs="宋体"/>
                <w:szCs w:val="21"/>
              </w:rPr>
              <w:t>1项</w:t>
            </w:r>
          </w:p>
        </w:tc>
        <w:tc>
          <w:tcPr>
            <w:tcW w:w="720" w:type="dxa"/>
            <w:tcBorders>
              <w:top w:val="single" w:color="auto" w:sz="4" w:space="0"/>
              <w:left w:val="single" w:color="auto" w:sz="4" w:space="0"/>
              <w:bottom w:val="single" w:color="auto" w:sz="4" w:space="0"/>
              <w:right w:val="single" w:color="auto" w:sz="4" w:space="0"/>
            </w:tcBorders>
            <w:vAlign w:val="center"/>
          </w:tcPr>
          <w:p w14:paraId="18BF1BDA">
            <w:pPr>
              <w:spacing w:line="400" w:lineRule="exact"/>
              <w:jc w:val="center"/>
              <w:rPr>
                <w:rFonts w:ascii="宋体" w:hAnsi="宋体" w:cs="宋体"/>
                <w:szCs w:val="21"/>
              </w:rPr>
            </w:pPr>
            <w:r>
              <w:rPr>
                <w:rFonts w:hint="eastAsia" w:ascii="宋体" w:hAnsi="宋体" w:cs="宋体"/>
                <w:szCs w:val="21"/>
              </w:rPr>
              <w:t>软件和信息技术服务业</w:t>
            </w:r>
          </w:p>
        </w:tc>
        <w:tc>
          <w:tcPr>
            <w:tcW w:w="7038" w:type="dxa"/>
            <w:tcBorders>
              <w:top w:val="single" w:color="auto" w:sz="4" w:space="0"/>
              <w:left w:val="single" w:color="auto" w:sz="4" w:space="0"/>
              <w:bottom w:val="single" w:color="auto" w:sz="4" w:space="0"/>
              <w:right w:val="single" w:color="auto" w:sz="4" w:space="0"/>
            </w:tcBorders>
            <w:vAlign w:val="center"/>
          </w:tcPr>
          <w:p w14:paraId="769C323D">
            <w:pPr>
              <w:spacing w:line="400" w:lineRule="exact"/>
              <w:rPr>
                <w:rFonts w:ascii="宋体" w:hAnsi="宋体" w:cs="宋体"/>
              </w:rPr>
            </w:pPr>
            <w:r>
              <w:rPr>
                <w:rFonts w:hint="eastAsia" w:ascii="宋体" w:hAnsi="宋体" w:cs="宋体"/>
              </w:rPr>
              <w:t>一、项目建设要求</w:t>
            </w:r>
          </w:p>
          <w:p w14:paraId="61404944">
            <w:pPr>
              <w:widowControl/>
              <w:spacing w:line="400" w:lineRule="exact"/>
              <w:textAlignment w:val="center"/>
              <w:rPr>
                <w:rFonts w:ascii="宋体" w:hAnsi="宋体" w:cs="宋体"/>
                <w:kern w:val="0"/>
                <w:szCs w:val="21"/>
              </w:rPr>
            </w:pPr>
            <w:r>
              <w:rPr>
                <w:rFonts w:hint="eastAsia" w:ascii="宋体" w:hAnsi="宋体" w:cs="宋体"/>
                <w:kern w:val="0"/>
                <w:szCs w:val="21"/>
              </w:rPr>
              <w:t>随着推进医院信息化建设，根据国家卫健委《电子病历系统功能应用水平分级评价方法及标准（试行）》等政策法规统一规划部署，建立我院病案无纸化管理应用，通过电子病历归档管理模式取代传统纸质病案管理模式。实现将医院现有各大信息系统当中的电子病案PDF统一通用格式集中整合归档，为确保电子病案的完整性、合法性，实现在统一系统平台进行管理、应用，使病案借阅、病案浏览、病案窗口打印、病案上传等一系列操作可通过统一平台得以实现。在实际建设中，以保证病案信息安全、病案合法性、完整性、私密性为前提，以服务临床科室、病案室，提高工作效率、节约医院成本为项目目标。建立一套针对门急诊、住院部及历史纸质病案数字化翻拍后能统一管理应用的病案无纸化管理系统及满足医院实际需求的定制化服务。</w:t>
            </w:r>
          </w:p>
          <w:p w14:paraId="7A47A053">
            <w:pPr>
              <w:widowControl/>
              <w:spacing w:line="400" w:lineRule="exact"/>
              <w:textAlignment w:val="center"/>
              <w:rPr>
                <w:rFonts w:ascii="宋体" w:hAnsi="宋体" w:cs="宋体"/>
                <w:kern w:val="0"/>
                <w:szCs w:val="21"/>
              </w:rPr>
            </w:pPr>
            <w:r>
              <w:rPr>
                <w:rFonts w:hint="eastAsia" w:ascii="宋体" w:hAnsi="宋体" w:cs="宋体"/>
                <w:kern w:val="0"/>
                <w:szCs w:val="21"/>
              </w:rPr>
              <w:t>二、拟投入本项目建设技术要求</w:t>
            </w:r>
          </w:p>
          <w:p w14:paraId="28DE7C33">
            <w:pPr>
              <w:widowControl/>
              <w:spacing w:line="400" w:lineRule="exact"/>
              <w:textAlignment w:val="center"/>
              <w:rPr>
                <w:rFonts w:ascii="宋体" w:hAnsi="宋体" w:cs="宋体"/>
                <w:kern w:val="0"/>
                <w:szCs w:val="21"/>
              </w:rPr>
            </w:pPr>
            <w:r>
              <w:rPr>
                <w:rFonts w:hint="eastAsia" w:ascii="宋体" w:hAnsi="宋体" w:cs="宋体"/>
                <w:kern w:val="0"/>
                <w:szCs w:val="21"/>
              </w:rPr>
              <w:t>（一）住院病案归档系统1套</w:t>
            </w:r>
          </w:p>
          <w:p w14:paraId="7A4F87AA">
            <w:pPr>
              <w:widowControl/>
              <w:spacing w:line="400" w:lineRule="exact"/>
              <w:textAlignment w:val="center"/>
              <w:rPr>
                <w:rFonts w:ascii="宋体" w:hAnsi="宋体" w:cs="宋体"/>
                <w:kern w:val="0"/>
                <w:szCs w:val="21"/>
              </w:rPr>
            </w:pPr>
            <w:r>
              <w:rPr>
                <w:rFonts w:hint="eastAsia" w:ascii="宋体" w:hAnsi="宋体" w:cs="宋体"/>
                <w:kern w:val="0"/>
                <w:szCs w:val="21"/>
              </w:rPr>
              <w:t>1.采集模块</w:t>
            </w:r>
          </w:p>
          <w:p w14:paraId="58148E7A">
            <w:pPr>
              <w:widowControl/>
              <w:spacing w:line="400" w:lineRule="exact"/>
              <w:textAlignment w:val="center"/>
              <w:rPr>
                <w:rFonts w:ascii="宋体" w:hAnsi="宋体" w:cs="宋体"/>
                <w:kern w:val="0"/>
                <w:szCs w:val="21"/>
              </w:rPr>
            </w:pPr>
            <w:r>
              <w:rPr>
                <w:rFonts w:hint="eastAsia" w:ascii="宋体" w:hAnsi="宋体" w:cs="宋体"/>
                <w:kern w:val="0"/>
                <w:szCs w:val="21"/>
              </w:rPr>
              <w:t>1.1支持对接医院常见业务系统，如HIS、LIS、PACS、EMR、手麻、心电、院感、病理等，自动同步系统运行的基础数据，如：医生、护士基本信息、科室基本信息、医院在用ICD编码、住院病案首页等。</w:t>
            </w:r>
          </w:p>
          <w:p w14:paraId="27AAB2C4">
            <w:pPr>
              <w:widowControl/>
              <w:spacing w:line="400" w:lineRule="exact"/>
              <w:textAlignment w:val="center"/>
              <w:rPr>
                <w:rFonts w:ascii="宋体" w:hAnsi="宋体" w:cs="宋体"/>
                <w:kern w:val="0"/>
                <w:szCs w:val="21"/>
              </w:rPr>
            </w:pPr>
            <w:r>
              <w:rPr>
                <w:rFonts w:hint="eastAsia" w:ascii="宋体" w:hAnsi="宋体" w:cs="宋体"/>
                <w:kern w:val="0"/>
                <w:szCs w:val="21"/>
              </w:rPr>
              <w:t>1.2支持与业务系统对接，进行后台自动采集，具备数据采集监控功能，可设置定时服务机制，将保存在各医疗信息系统中的医疗数据脱离业务系统数据库，将数据转化为版式文件存储。</w:t>
            </w:r>
          </w:p>
          <w:p w14:paraId="5A98D7E0">
            <w:pPr>
              <w:widowControl/>
              <w:spacing w:line="400" w:lineRule="exact"/>
              <w:textAlignment w:val="center"/>
              <w:rPr>
                <w:rFonts w:ascii="宋体" w:hAnsi="宋体" w:cs="宋体"/>
                <w:kern w:val="0"/>
                <w:szCs w:val="21"/>
              </w:rPr>
            </w:pPr>
            <w:r>
              <w:rPr>
                <w:rFonts w:hint="eastAsia" w:ascii="宋体" w:hAnsi="宋体" w:cs="宋体"/>
                <w:kern w:val="0"/>
                <w:szCs w:val="21"/>
              </w:rPr>
              <w:t>1.3系统支持与CA对接，能够调阅电子病历的电子签名和时间戳信息进行查看和验证，并且支持验签结果可视化展现。</w:t>
            </w:r>
          </w:p>
          <w:p w14:paraId="349EA1F0">
            <w:pPr>
              <w:widowControl/>
              <w:spacing w:line="400" w:lineRule="exact"/>
              <w:textAlignment w:val="center"/>
              <w:rPr>
                <w:rFonts w:ascii="宋体" w:hAnsi="宋体" w:cs="宋体"/>
                <w:kern w:val="0"/>
                <w:szCs w:val="21"/>
              </w:rPr>
            </w:pPr>
            <w:r>
              <w:rPr>
                <w:rFonts w:hint="eastAsia" w:ascii="宋体" w:hAnsi="宋体" w:cs="宋体"/>
                <w:kern w:val="0"/>
                <w:szCs w:val="21"/>
              </w:rPr>
              <w:t>1.4支持无纸化病案采集服务，高并发接受院内系统传输文件，保证文件传输的时效性和完整性，若系统数据丢失，提供数据恢复服务。</w:t>
            </w:r>
          </w:p>
          <w:p w14:paraId="44B74DCD">
            <w:pPr>
              <w:widowControl/>
              <w:spacing w:line="400" w:lineRule="exact"/>
              <w:textAlignment w:val="center"/>
              <w:rPr>
                <w:rFonts w:ascii="宋体" w:hAnsi="宋体" w:cs="宋体"/>
                <w:kern w:val="0"/>
                <w:szCs w:val="21"/>
              </w:rPr>
            </w:pPr>
            <w:r>
              <w:rPr>
                <w:rFonts w:hint="eastAsia" w:ascii="宋体" w:hAnsi="宋体" w:cs="宋体"/>
                <w:kern w:val="0"/>
                <w:szCs w:val="21"/>
              </w:rPr>
              <w:t>1.5对于未开放数据接口的临床系统，在不影响医护人员使用的情况下，可以自动通过虚拟打印技术进行采集。</w:t>
            </w:r>
          </w:p>
          <w:p w14:paraId="4730949A">
            <w:pPr>
              <w:widowControl/>
              <w:spacing w:line="400" w:lineRule="exact"/>
              <w:textAlignment w:val="center"/>
              <w:rPr>
                <w:rFonts w:ascii="宋体" w:hAnsi="宋体" w:cs="宋体"/>
                <w:kern w:val="0"/>
                <w:szCs w:val="21"/>
              </w:rPr>
            </w:pPr>
            <w:r>
              <w:rPr>
                <w:rFonts w:hint="eastAsia" w:ascii="宋体" w:hAnsi="宋体" w:cs="宋体"/>
                <w:szCs w:val="21"/>
              </w:rPr>
              <w:t>◆</w:t>
            </w:r>
            <w:r>
              <w:rPr>
                <w:rFonts w:hint="eastAsia" w:ascii="宋体" w:hAnsi="宋体" w:cs="宋体"/>
                <w:kern w:val="0"/>
                <w:szCs w:val="21"/>
              </w:rPr>
              <w:t>1.6可收集信息孤岛设备所产生的报告，可对报告进行电子签名，并在报告上添加诊断信息。</w:t>
            </w:r>
          </w:p>
          <w:p w14:paraId="2DC1BDB3">
            <w:pPr>
              <w:widowControl/>
              <w:spacing w:line="400" w:lineRule="exact"/>
              <w:textAlignment w:val="center"/>
              <w:rPr>
                <w:rFonts w:ascii="宋体" w:hAnsi="宋体" w:cs="宋体"/>
                <w:kern w:val="0"/>
                <w:szCs w:val="21"/>
              </w:rPr>
            </w:pPr>
            <w:r>
              <w:rPr>
                <w:rFonts w:hint="eastAsia" w:ascii="宋体" w:hAnsi="宋体" w:cs="宋体"/>
                <w:kern w:val="0"/>
                <w:szCs w:val="21"/>
              </w:rPr>
              <w:t>1.7针对未实现无纸化的病历提供数字化加工功能，通过高拍仪将纸质病案加工成数字化病案，与自动采集后的数据自动整合，并在系统中能明显区分数据来源。</w:t>
            </w:r>
          </w:p>
          <w:p w14:paraId="7C974920">
            <w:pPr>
              <w:widowControl/>
              <w:spacing w:line="400" w:lineRule="exact"/>
              <w:textAlignment w:val="center"/>
              <w:rPr>
                <w:rFonts w:ascii="宋体" w:hAnsi="宋体" w:cs="宋体"/>
                <w:kern w:val="0"/>
                <w:szCs w:val="21"/>
              </w:rPr>
            </w:pPr>
            <w:r>
              <w:rPr>
                <w:rFonts w:hint="eastAsia" w:ascii="宋体" w:hAnsi="宋体" w:cs="宋体"/>
                <w:kern w:val="0"/>
                <w:szCs w:val="21"/>
              </w:rPr>
              <w:t>1.8系统采用开放性设计，能根据医院实际需求进行应用系统的功能重组、二次开发。</w:t>
            </w:r>
          </w:p>
          <w:p w14:paraId="52DD4D4E">
            <w:pPr>
              <w:widowControl/>
              <w:spacing w:line="400" w:lineRule="exact"/>
              <w:textAlignment w:val="center"/>
              <w:rPr>
                <w:rFonts w:ascii="宋体" w:hAnsi="宋体" w:cs="宋体"/>
                <w:kern w:val="0"/>
                <w:szCs w:val="21"/>
              </w:rPr>
            </w:pPr>
            <w:r>
              <w:rPr>
                <w:rFonts w:hint="eastAsia" w:ascii="宋体" w:hAnsi="宋体" w:cs="宋体"/>
                <w:kern w:val="0"/>
                <w:szCs w:val="21"/>
              </w:rPr>
              <w:t>1.9系统具备完善的数据备份机制，支持增量备份。</w:t>
            </w:r>
          </w:p>
          <w:p w14:paraId="0EEB8CC5">
            <w:pPr>
              <w:widowControl/>
              <w:spacing w:line="400" w:lineRule="exact"/>
              <w:textAlignment w:val="center"/>
              <w:rPr>
                <w:rFonts w:ascii="宋体" w:hAnsi="宋体" w:cs="宋体"/>
                <w:kern w:val="0"/>
                <w:szCs w:val="21"/>
              </w:rPr>
            </w:pPr>
            <w:r>
              <w:rPr>
                <w:rFonts w:hint="eastAsia" w:ascii="宋体" w:hAnsi="宋体" w:cs="宋体"/>
                <w:kern w:val="0"/>
                <w:szCs w:val="21"/>
              </w:rPr>
              <w:t>1.10系统安全登录：支持使用用户名和密码校验的方式登录系统，并对登录的工作站进行权限管理。</w:t>
            </w:r>
          </w:p>
          <w:p w14:paraId="7D841676">
            <w:pPr>
              <w:widowControl/>
              <w:spacing w:line="400" w:lineRule="exact"/>
              <w:textAlignment w:val="center"/>
              <w:rPr>
                <w:rFonts w:ascii="宋体" w:hAnsi="宋体" w:cs="宋体"/>
                <w:kern w:val="0"/>
                <w:szCs w:val="21"/>
              </w:rPr>
            </w:pPr>
            <w:r>
              <w:rPr>
                <w:rFonts w:hint="eastAsia" w:ascii="宋体" w:hAnsi="宋体" w:cs="宋体"/>
                <w:kern w:val="0"/>
                <w:szCs w:val="21"/>
              </w:rPr>
              <w:t>1.11首页可自动提示各种审批通知、逾期通知、退回通知、借阅到期通知等。</w:t>
            </w:r>
          </w:p>
          <w:p w14:paraId="4F5EB636">
            <w:pPr>
              <w:widowControl/>
              <w:spacing w:line="400" w:lineRule="exact"/>
              <w:textAlignment w:val="center"/>
              <w:rPr>
                <w:rFonts w:ascii="宋体" w:hAnsi="宋体" w:cs="宋体"/>
                <w:kern w:val="0"/>
                <w:szCs w:val="21"/>
              </w:rPr>
            </w:pPr>
            <w:r>
              <w:rPr>
                <w:rFonts w:hint="eastAsia" w:ascii="宋体" w:hAnsi="宋体" w:cs="宋体"/>
                <w:kern w:val="0"/>
                <w:szCs w:val="21"/>
              </w:rPr>
              <w:t>2.智能预审核模块</w:t>
            </w:r>
          </w:p>
          <w:p w14:paraId="7F810D81">
            <w:pPr>
              <w:widowControl/>
              <w:spacing w:line="400" w:lineRule="exact"/>
              <w:textAlignment w:val="center"/>
              <w:rPr>
                <w:rFonts w:ascii="宋体" w:hAnsi="宋体" w:cs="宋体"/>
                <w:kern w:val="0"/>
                <w:szCs w:val="21"/>
              </w:rPr>
            </w:pPr>
            <w:r>
              <w:rPr>
                <w:rFonts w:hint="eastAsia" w:ascii="宋体" w:hAnsi="宋体" w:cs="宋体"/>
                <w:kern w:val="0"/>
                <w:szCs w:val="21"/>
              </w:rPr>
              <w:t>2.1支持医生/护士/病案室对无纸化病历核查，审核时能综合浏览病历，能够直观的展示待核查、待提交等待处理任务。</w:t>
            </w:r>
          </w:p>
          <w:p w14:paraId="14F0108B">
            <w:pPr>
              <w:widowControl/>
              <w:spacing w:line="400" w:lineRule="exact"/>
              <w:textAlignment w:val="center"/>
              <w:rPr>
                <w:rFonts w:ascii="宋体" w:hAnsi="宋体" w:cs="宋体"/>
                <w:kern w:val="0"/>
                <w:szCs w:val="21"/>
              </w:rPr>
            </w:pPr>
            <w:r>
              <w:rPr>
                <w:rFonts w:hint="eastAsia" w:ascii="宋体" w:hAnsi="宋体" w:cs="宋体"/>
                <w:kern w:val="0"/>
                <w:szCs w:val="21"/>
              </w:rPr>
              <w:t>2.2支持医生/护士对本人已提交病案在上级未审核的情况下，自行撤回修改，并再次提交。</w:t>
            </w:r>
          </w:p>
          <w:p w14:paraId="58B74F94">
            <w:pPr>
              <w:widowControl/>
              <w:spacing w:line="400" w:lineRule="exact"/>
              <w:textAlignment w:val="center"/>
              <w:rPr>
                <w:rFonts w:ascii="宋体" w:hAnsi="宋体" w:cs="宋体"/>
                <w:kern w:val="0"/>
                <w:szCs w:val="21"/>
              </w:rPr>
            </w:pPr>
            <w:r>
              <w:rPr>
                <w:rFonts w:hint="eastAsia" w:ascii="宋体" w:hAnsi="宋体" w:cs="宋体"/>
                <w:kern w:val="0"/>
                <w:szCs w:val="21"/>
              </w:rPr>
              <w:t>2.3支持医生/护士对需修改的病案，发起申请（召回文书、修改期限），病案室对于召回申请进行审批，支持对退回/召回文书进行主动回收。</w:t>
            </w:r>
          </w:p>
          <w:p w14:paraId="0B74CB9E">
            <w:pPr>
              <w:widowControl/>
              <w:spacing w:line="400" w:lineRule="exact"/>
              <w:textAlignment w:val="center"/>
              <w:rPr>
                <w:rFonts w:ascii="宋体" w:hAnsi="宋体" w:cs="宋体"/>
                <w:kern w:val="0"/>
                <w:szCs w:val="21"/>
              </w:rPr>
            </w:pPr>
            <w:r>
              <w:rPr>
                <w:rFonts w:hint="eastAsia" w:ascii="宋体" w:hAnsi="宋体" w:cs="宋体"/>
                <w:kern w:val="0"/>
                <w:szCs w:val="21"/>
              </w:rPr>
              <w:t>2.4支持病案室对有问题的归档病案进行退回到业务系统进行修改，并说明退回原因，退回后，向对应业务系统发送解锁通知。</w:t>
            </w:r>
          </w:p>
          <w:p w14:paraId="1AB420A0">
            <w:pPr>
              <w:widowControl/>
              <w:spacing w:line="400" w:lineRule="exact"/>
              <w:textAlignment w:val="center"/>
              <w:rPr>
                <w:rFonts w:ascii="宋体" w:hAnsi="宋体" w:cs="宋体"/>
                <w:kern w:val="0"/>
                <w:szCs w:val="21"/>
              </w:rPr>
            </w:pPr>
            <w:r>
              <w:rPr>
                <w:rFonts w:hint="eastAsia" w:ascii="宋体" w:hAnsi="宋体" w:cs="宋体"/>
                <w:kern w:val="0"/>
                <w:szCs w:val="21"/>
              </w:rPr>
              <w:t>2.5支持病案室查看病案核查进度，支持对文书催缴，支持自动对退回/召回/催缴等病案进行标注。</w:t>
            </w:r>
          </w:p>
          <w:p w14:paraId="0B5464C2">
            <w:pPr>
              <w:widowControl/>
              <w:spacing w:line="400" w:lineRule="exact"/>
              <w:textAlignment w:val="center"/>
              <w:rPr>
                <w:rFonts w:ascii="宋体" w:hAnsi="宋体" w:cs="宋体"/>
                <w:b/>
                <w:bCs/>
                <w:kern w:val="0"/>
                <w:szCs w:val="21"/>
              </w:rPr>
            </w:pPr>
            <w:r>
              <w:rPr>
                <w:rFonts w:hint="eastAsia" w:ascii="宋体" w:hAnsi="宋体" w:cs="宋体"/>
                <w:szCs w:val="21"/>
              </w:rPr>
              <w:t>◆</w:t>
            </w:r>
            <w:r>
              <w:rPr>
                <w:rFonts w:hint="eastAsia" w:ascii="宋体" w:hAnsi="宋体" w:cs="宋体"/>
                <w:kern w:val="0"/>
                <w:szCs w:val="21"/>
              </w:rPr>
              <w:t>2.6支持提供可视化页面对各临床业务系统病案文书上传的完整性进行校验，如文书上传校验，支持显示各系统的文书上传情况，如上传进度、通知时间、最后获取文书时间、上传文书名称，直观显示每个系统是否上传完整；若发现病案不完整，支持手动触发重传操作。</w:t>
            </w:r>
          </w:p>
          <w:p w14:paraId="3FAA16A8">
            <w:pPr>
              <w:widowControl/>
              <w:spacing w:line="400" w:lineRule="exact"/>
              <w:textAlignment w:val="center"/>
              <w:rPr>
                <w:rFonts w:ascii="宋体" w:hAnsi="宋体" w:cs="宋体"/>
                <w:kern w:val="0"/>
                <w:szCs w:val="21"/>
              </w:rPr>
            </w:pPr>
            <w:r>
              <w:rPr>
                <w:rFonts w:hint="eastAsia" w:ascii="宋体" w:hAnsi="宋体" w:cs="宋体"/>
                <w:kern w:val="0"/>
                <w:szCs w:val="21"/>
              </w:rPr>
              <w:t>3.归档模块</w:t>
            </w:r>
          </w:p>
          <w:p w14:paraId="7B33FD00">
            <w:pPr>
              <w:widowControl/>
              <w:spacing w:line="400" w:lineRule="exact"/>
              <w:textAlignment w:val="center"/>
              <w:rPr>
                <w:rFonts w:ascii="宋体" w:hAnsi="宋体" w:cs="宋体"/>
                <w:kern w:val="0"/>
                <w:szCs w:val="21"/>
              </w:rPr>
            </w:pPr>
            <w:r>
              <w:rPr>
                <w:rFonts w:hint="eastAsia" w:ascii="宋体" w:hAnsi="宋体" w:cs="宋体"/>
                <w:kern w:val="0"/>
                <w:szCs w:val="21"/>
              </w:rPr>
              <w:t>3.1缺失文书的病案，支持医生通过一键重传接口发布补缺消息给各临床系统，实现病案文书的再次获取。</w:t>
            </w:r>
          </w:p>
          <w:p w14:paraId="147DDE44">
            <w:pPr>
              <w:widowControl/>
              <w:spacing w:line="400" w:lineRule="exact"/>
              <w:textAlignment w:val="center"/>
              <w:rPr>
                <w:rFonts w:ascii="宋体" w:hAnsi="宋体" w:cs="宋体"/>
                <w:kern w:val="0"/>
                <w:szCs w:val="21"/>
              </w:rPr>
            </w:pPr>
            <w:r>
              <w:rPr>
                <w:rFonts w:hint="eastAsia" w:ascii="宋体" w:hAnsi="宋体" w:cs="宋体"/>
                <w:kern w:val="0"/>
                <w:szCs w:val="21"/>
              </w:rPr>
              <w:t>3.2支持在病案统计科归档时进行再次电子签名，能够对归档的病案进行认证处理。</w:t>
            </w:r>
          </w:p>
          <w:p w14:paraId="3BC49485">
            <w:pPr>
              <w:widowControl/>
              <w:spacing w:line="400" w:lineRule="exact"/>
              <w:textAlignment w:val="center"/>
              <w:rPr>
                <w:rFonts w:ascii="宋体" w:hAnsi="宋体" w:cs="宋体"/>
                <w:kern w:val="0"/>
                <w:szCs w:val="21"/>
              </w:rPr>
            </w:pPr>
            <w:r>
              <w:rPr>
                <w:rFonts w:hint="eastAsia" w:ascii="宋体" w:hAnsi="宋体" w:cs="宋体"/>
                <w:kern w:val="0"/>
                <w:szCs w:val="21"/>
              </w:rPr>
              <w:t>3.3支持对已归档病案，进行补充归档，归档后院内业务系统若重新传输的文件，则显示到延迟补录列表中，延迟补录文件核查通过后自动更新归档文件。</w:t>
            </w:r>
          </w:p>
          <w:p w14:paraId="7F828688">
            <w:pPr>
              <w:widowControl/>
              <w:spacing w:line="400" w:lineRule="exact"/>
              <w:textAlignment w:val="center"/>
              <w:rPr>
                <w:rFonts w:ascii="宋体" w:hAnsi="宋体" w:cs="宋体"/>
                <w:kern w:val="0"/>
                <w:szCs w:val="21"/>
              </w:rPr>
            </w:pPr>
            <w:r>
              <w:rPr>
                <w:rFonts w:hint="eastAsia" w:ascii="宋体" w:hAnsi="宋体" w:cs="宋体"/>
                <w:kern w:val="0"/>
                <w:szCs w:val="21"/>
              </w:rPr>
              <w:t>3.4对于在病案回收时间节点由于非人为原因无法进行回收的病案，如外送检验检查、病理等，支持在系统中标注迟归项，支持手动回收或系统主动回收迟归文书，并且系统支持在特定时间自动向业务系统发送迟归通知提醒。</w:t>
            </w:r>
          </w:p>
          <w:p w14:paraId="4D7015E7">
            <w:pPr>
              <w:widowControl/>
              <w:spacing w:line="400" w:lineRule="exact"/>
              <w:textAlignment w:val="center"/>
              <w:rPr>
                <w:rFonts w:ascii="宋体" w:hAnsi="宋体" w:cs="宋体"/>
                <w:kern w:val="0"/>
                <w:szCs w:val="21"/>
              </w:rPr>
            </w:pPr>
            <w:r>
              <w:rPr>
                <w:rFonts w:hint="eastAsia" w:ascii="宋体" w:hAnsi="宋体" w:cs="宋体"/>
                <w:kern w:val="0"/>
                <w:szCs w:val="21"/>
              </w:rPr>
              <w:t>4.检索模块</w:t>
            </w:r>
          </w:p>
          <w:p w14:paraId="60051A8E">
            <w:pPr>
              <w:widowControl/>
              <w:spacing w:line="400" w:lineRule="exact"/>
              <w:textAlignment w:val="center"/>
              <w:rPr>
                <w:rFonts w:ascii="宋体" w:hAnsi="宋体" w:cs="宋体"/>
                <w:kern w:val="0"/>
                <w:szCs w:val="21"/>
              </w:rPr>
            </w:pPr>
            <w:r>
              <w:rPr>
                <w:rFonts w:hint="eastAsia" w:ascii="宋体" w:hAnsi="宋体" w:cs="宋体"/>
                <w:kern w:val="0"/>
                <w:szCs w:val="21"/>
              </w:rPr>
              <w:t>4.1支持基于全首页数据的精确检索与模糊检索。</w:t>
            </w:r>
          </w:p>
          <w:p w14:paraId="3ED8990C">
            <w:pPr>
              <w:widowControl/>
              <w:spacing w:line="400" w:lineRule="exact"/>
              <w:textAlignment w:val="center"/>
              <w:rPr>
                <w:rFonts w:ascii="宋体" w:hAnsi="宋体" w:cs="宋体"/>
                <w:kern w:val="0"/>
                <w:szCs w:val="21"/>
              </w:rPr>
            </w:pPr>
            <w:r>
              <w:rPr>
                <w:rFonts w:hint="eastAsia" w:ascii="宋体" w:hAnsi="宋体" w:cs="宋体"/>
                <w:kern w:val="0"/>
                <w:szCs w:val="21"/>
              </w:rPr>
              <w:t>4.2提供复合查询模式，支持多条件组合检索查询和自定义公式查询，通过基于病案首页信息的复合条件进行病案查询。</w:t>
            </w:r>
          </w:p>
          <w:p w14:paraId="16742493">
            <w:pPr>
              <w:widowControl/>
              <w:spacing w:line="400" w:lineRule="exact"/>
              <w:textAlignment w:val="center"/>
              <w:rPr>
                <w:rFonts w:ascii="宋体" w:hAnsi="宋体" w:cs="宋体"/>
                <w:kern w:val="0"/>
                <w:szCs w:val="21"/>
              </w:rPr>
            </w:pPr>
            <w:r>
              <w:rPr>
                <w:rFonts w:hint="eastAsia" w:ascii="宋体" w:hAnsi="宋体" w:cs="宋体"/>
                <w:kern w:val="0"/>
                <w:szCs w:val="21"/>
              </w:rPr>
              <w:t>4.3支持对病案文书名称进行检索查询。</w:t>
            </w:r>
          </w:p>
          <w:p w14:paraId="00ABCC43">
            <w:pPr>
              <w:widowControl/>
              <w:spacing w:line="400" w:lineRule="exact"/>
              <w:textAlignment w:val="center"/>
              <w:rPr>
                <w:rFonts w:ascii="宋体" w:hAnsi="宋体" w:cs="宋体"/>
                <w:kern w:val="0"/>
                <w:szCs w:val="21"/>
              </w:rPr>
            </w:pPr>
            <w:r>
              <w:rPr>
                <w:rFonts w:hint="eastAsia" w:ascii="宋体" w:hAnsi="宋体" w:cs="宋体"/>
                <w:kern w:val="0"/>
                <w:szCs w:val="21"/>
              </w:rPr>
              <w:t>5.借阅模块</w:t>
            </w:r>
          </w:p>
          <w:p w14:paraId="59C7C3EF">
            <w:pPr>
              <w:widowControl/>
              <w:spacing w:line="400" w:lineRule="exact"/>
              <w:textAlignment w:val="center"/>
              <w:rPr>
                <w:rFonts w:ascii="宋体" w:hAnsi="宋体" w:cs="宋体"/>
                <w:kern w:val="0"/>
                <w:szCs w:val="21"/>
              </w:rPr>
            </w:pPr>
            <w:r>
              <w:rPr>
                <w:rFonts w:hint="eastAsia" w:ascii="宋体" w:hAnsi="宋体" w:cs="宋体"/>
                <w:kern w:val="0"/>
                <w:szCs w:val="21"/>
              </w:rPr>
              <w:t>5.1病案查阅采用B/S架构，支持患者病案全文书查看与单文书查看。</w:t>
            </w:r>
          </w:p>
          <w:p w14:paraId="5FB49E5C">
            <w:pPr>
              <w:widowControl/>
              <w:spacing w:line="400" w:lineRule="exact"/>
              <w:textAlignment w:val="center"/>
              <w:rPr>
                <w:rFonts w:ascii="宋体" w:hAnsi="宋体" w:cs="宋体"/>
                <w:kern w:val="0"/>
                <w:szCs w:val="21"/>
              </w:rPr>
            </w:pPr>
            <w:r>
              <w:rPr>
                <w:rFonts w:hint="eastAsia" w:ascii="宋体" w:hAnsi="宋体" w:cs="宋体"/>
                <w:kern w:val="0"/>
                <w:szCs w:val="21"/>
              </w:rPr>
              <w:t>5.2支持点击目录和快捷键切换等多种查看方式，同时可根据使用者情况，手动调整查看页面，如适应页面、自动缩放、实际大小、适合页宽等多种方式，便于使用者查看。</w:t>
            </w:r>
          </w:p>
          <w:p w14:paraId="2F2C225D">
            <w:pPr>
              <w:widowControl/>
              <w:spacing w:line="400" w:lineRule="exact"/>
              <w:textAlignment w:val="center"/>
              <w:rPr>
                <w:rFonts w:ascii="宋体" w:hAnsi="宋体" w:cs="宋体"/>
                <w:kern w:val="0"/>
                <w:szCs w:val="21"/>
              </w:rPr>
            </w:pPr>
            <w:r>
              <w:rPr>
                <w:rFonts w:hint="eastAsia" w:ascii="宋体" w:hAnsi="宋体" w:cs="宋体"/>
                <w:kern w:val="0"/>
                <w:szCs w:val="21"/>
              </w:rPr>
              <w:t>5.3支持设置特殊病案，限制特殊病案的查看和借阅权限。</w:t>
            </w:r>
          </w:p>
          <w:p w14:paraId="4B2F15B0">
            <w:pPr>
              <w:widowControl/>
              <w:spacing w:line="400" w:lineRule="exact"/>
              <w:textAlignment w:val="center"/>
              <w:rPr>
                <w:rFonts w:ascii="宋体" w:hAnsi="宋体" w:cs="宋体"/>
                <w:kern w:val="0"/>
                <w:szCs w:val="21"/>
              </w:rPr>
            </w:pPr>
            <w:r>
              <w:rPr>
                <w:rFonts w:hint="eastAsia" w:ascii="宋体" w:hAnsi="宋体" w:cs="宋体"/>
                <w:kern w:val="0"/>
                <w:szCs w:val="21"/>
              </w:rPr>
              <w:t>5.4支持病案借阅功能，支持全院医生根据相应的权限申请借阅病案，病案借阅需要有审批流程。</w:t>
            </w:r>
          </w:p>
          <w:p w14:paraId="685FDAD9">
            <w:pPr>
              <w:widowControl/>
              <w:spacing w:line="400" w:lineRule="exact"/>
              <w:textAlignment w:val="center"/>
              <w:rPr>
                <w:rFonts w:ascii="宋体" w:hAnsi="宋体" w:cs="宋体"/>
                <w:kern w:val="0"/>
                <w:szCs w:val="21"/>
              </w:rPr>
            </w:pPr>
            <w:r>
              <w:rPr>
                <w:rFonts w:hint="eastAsia" w:ascii="宋体" w:hAnsi="宋体" w:cs="宋体"/>
                <w:kern w:val="0"/>
                <w:szCs w:val="21"/>
              </w:rPr>
              <w:t>5.5支持借阅时限控制，借阅到期前职能科室有权限强制回收借阅病案；借阅到期后系统自动收回借阅病案。</w:t>
            </w:r>
          </w:p>
          <w:p w14:paraId="405BB5D6">
            <w:pPr>
              <w:widowControl/>
              <w:spacing w:line="400" w:lineRule="exact"/>
              <w:textAlignment w:val="center"/>
              <w:rPr>
                <w:rFonts w:ascii="宋体" w:hAnsi="宋体" w:cs="宋体"/>
                <w:kern w:val="0"/>
                <w:szCs w:val="21"/>
              </w:rPr>
            </w:pPr>
            <w:r>
              <w:rPr>
                <w:rFonts w:hint="eastAsia" w:ascii="宋体" w:hAnsi="宋体" w:cs="宋体"/>
                <w:kern w:val="0"/>
                <w:szCs w:val="21"/>
              </w:rPr>
              <w:t>5.6支持配置借阅规则，如可以借阅病案的数量，最长借阅时间、可借阅的病案种类等。</w:t>
            </w:r>
          </w:p>
          <w:p w14:paraId="195BA803">
            <w:pPr>
              <w:widowControl/>
              <w:spacing w:line="400" w:lineRule="exact"/>
              <w:textAlignment w:val="center"/>
              <w:rPr>
                <w:rFonts w:ascii="宋体" w:hAnsi="宋体" w:cs="宋体"/>
                <w:kern w:val="0"/>
                <w:szCs w:val="21"/>
              </w:rPr>
            </w:pPr>
            <w:r>
              <w:rPr>
                <w:rFonts w:hint="eastAsia" w:ascii="宋体" w:hAnsi="宋体" w:cs="宋体"/>
                <w:szCs w:val="21"/>
              </w:rPr>
              <w:t>◆</w:t>
            </w:r>
            <w:r>
              <w:rPr>
                <w:rFonts w:hint="eastAsia" w:ascii="宋体" w:hAnsi="宋体" w:cs="宋体"/>
                <w:kern w:val="0"/>
                <w:szCs w:val="21"/>
              </w:rPr>
              <w:t>5.7支持病案以网址的形式实现共享，便于其他院内系统查询患者已归档病案。</w:t>
            </w:r>
          </w:p>
          <w:p w14:paraId="6C4949B0">
            <w:pPr>
              <w:widowControl/>
              <w:spacing w:line="400" w:lineRule="exact"/>
              <w:textAlignment w:val="center"/>
              <w:rPr>
                <w:rFonts w:ascii="宋体" w:hAnsi="宋体" w:cs="宋体"/>
                <w:kern w:val="0"/>
                <w:szCs w:val="21"/>
              </w:rPr>
            </w:pPr>
            <w:r>
              <w:rPr>
                <w:rFonts w:hint="eastAsia" w:ascii="宋体" w:hAnsi="宋体" w:cs="宋体"/>
                <w:kern w:val="0"/>
                <w:szCs w:val="21"/>
              </w:rPr>
              <w:t>6.导出模块</w:t>
            </w:r>
          </w:p>
          <w:p w14:paraId="529CD388">
            <w:pPr>
              <w:widowControl/>
              <w:spacing w:line="400" w:lineRule="exact"/>
              <w:textAlignment w:val="center"/>
              <w:rPr>
                <w:rFonts w:ascii="宋体" w:hAnsi="宋体" w:cs="宋体"/>
                <w:kern w:val="0"/>
                <w:szCs w:val="21"/>
              </w:rPr>
            </w:pPr>
            <w:r>
              <w:rPr>
                <w:rFonts w:hint="eastAsia" w:ascii="宋体" w:hAnsi="宋体" w:cs="宋体"/>
                <w:kern w:val="0"/>
                <w:szCs w:val="21"/>
              </w:rPr>
              <w:t>6.1支持对电子病案信息以PDF格式导出，所导出的PDF文件包含病案分类目录。</w:t>
            </w:r>
          </w:p>
          <w:p w14:paraId="656BE624">
            <w:pPr>
              <w:widowControl/>
              <w:spacing w:line="400" w:lineRule="exact"/>
              <w:textAlignment w:val="center"/>
              <w:rPr>
                <w:rFonts w:ascii="宋体" w:hAnsi="宋体" w:cs="宋体"/>
                <w:kern w:val="0"/>
                <w:szCs w:val="21"/>
              </w:rPr>
            </w:pPr>
            <w:r>
              <w:rPr>
                <w:rFonts w:hint="eastAsia" w:ascii="宋体" w:hAnsi="宋体" w:cs="宋体"/>
                <w:kern w:val="0"/>
                <w:szCs w:val="21"/>
              </w:rPr>
              <w:t>6.2支持批量查询后，批量导出功能，导出时添加数字水印。</w:t>
            </w:r>
          </w:p>
          <w:p w14:paraId="7768D5D5">
            <w:pPr>
              <w:widowControl/>
              <w:spacing w:line="400" w:lineRule="exact"/>
              <w:textAlignment w:val="center"/>
              <w:rPr>
                <w:rFonts w:ascii="宋体" w:hAnsi="宋体" w:cs="宋体"/>
                <w:kern w:val="0"/>
                <w:szCs w:val="21"/>
              </w:rPr>
            </w:pPr>
            <w:r>
              <w:rPr>
                <w:rFonts w:hint="eastAsia" w:ascii="宋体" w:hAnsi="宋体" w:cs="宋体"/>
                <w:kern w:val="0"/>
                <w:szCs w:val="21"/>
              </w:rPr>
              <w:t>6.3支持自定义导出目录，以适配各种导出病案场景，如死亡和非医嘱病案上报、单病种病案上报等；</w:t>
            </w:r>
          </w:p>
          <w:p w14:paraId="0BE035A8">
            <w:pPr>
              <w:widowControl/>
              <w:spacing w:line="400" w:lineRule="exact"/>
              <w:textAlignment w:val="center"/>
              <w:rPr>
                <w:rFonts w:ascii="宋体" w:hAnsi="宋体" w:cs="宋体"/>
                <w:kern w:val="0"/>
                <w:szCs w:val="21"/>
              </w:rPr>
            </w:pPr>
            <w:r>
              <w:rPr>
                <w:rFonts w:hint="eastAsia" w:ascii="宋体" w:hAnsi="宋体" w:cs="宋体"/>
                <w:kern w:val="0"/>
                <w:szCs w:val="21"/>
              </w:rPr>
              <w:t>7.打印模块</w:t>
            </w:r>
          </w:p>
          <w:p w14:paraId="33772973">
            <w:pPr>
              <w:widowControl/>
              <w:spacing w:line="400" w:lineRule="exact"/>
              <w:textAlignment w:val="center"/>
              <w:rPr>
                <w:rFonts w:ascii="宋体" w:hAnsi="宋体" w:cs="宋体"/>
                <w:kern w:val="0"/>
                <w:szCs w:val="21"/>
              </w:rPr>
            </w:pPr>
            <w:r>
              <w:rPr>
                <w:rFonts w:hint="eastAsia" w:ascii="宋体" w:hAnsi="宋体" w:cs="宋体"/>
                <w:kern w:val="0"/>
                <w:szCs w:val="21"/>
              </w:rPr>
              <w:t>7.1支持病案科通过系统对病案进行打印，支持填写打印登记单、拍照留存身份信息。</w:t>
            </w:r>
          </w:p>
          <w:p w14:paraId="7D7DFC30">
            <w:pPr>
              <w:widowControl/>
              <w:spacing w:line="400" w:lineRule="exact"/>
              <w:textAlignment w:val="center"/>
              <w:rPr>
                <w:rFonts w:ascii="宋体" w:hAnsi="宋体" w:cs="宋体"/>
                <w:kern w:val="0"/>
                <w:szCs w:val="21"/>
              </w:rPr>
            </w:pPr>
            <w:r>
              <w:rPr>
                <w:rFonts w:hint="eastAsia" w:ascii="宋体" w:hAnsi="宋体" w:cs="宋体"/>
                <w:kern w:val="0"/>
                <w:szCs w:val="21"/>
              </w:rPr>
              <w:t>7.2支持根据患者申请进行病案打印，自动计算打印费、查询费、打印电子申请单归档等，支持如微信等多种支付方式。</w:t>
            </w:r>
          </w:p>
          <w:p w14:paraId="6540AE5A">
            <w:pPr>
              <w:widowControl/>
              <w:spacing w:line="400" w:lineRule="exact"/>
              <w:textAlignment w:val="center"/>
              <w:rPr>
                <w:rFonts w:ascii="宋体" w:hAnsi="宋体" w:cs="宋体"/>
                <w:kern w:val="0"/>
                <w:szCs w:val="21"/>
              </w:rPr>
            </w:pPr>
            <w:r>
              <w:rPr>
                <w:rFonts w:hint="eastAsia" w:ascii="宋体" w:hAnsi="宋体" w:cs="宋体"/>
                <w:kern w:val="0"/>
                <w:szCs w:val="21"/>
              </w:rPr>
              <w:t>7.3支持按照患者打印病案用途自定义配置打印套餐，打印出的纸质病案可选择添加水印。</w:t>
            </w:r>
          </w:p>
          <w:p w14:paraId="7D6DA8B4">
            <w:pPr>
              <w:widowControl/>
              <w:spacing w:line="400" w:lineRule="exact"/>
              <w:textAlignment w:val="center"/>
              <w:rPr>
                <w:rFonts w:ascii="宋体" w:hAnsi="宋体" w:cs="宋体"/>
                <w:kern w:val="0"/>
                <w:szCs w:val="21"/>
              </w:rPr>
            </w:pPr>
            <w:r>
              <w:rPr>
                <w:rFonts w:hint="eastAsia" w:ascii="宋体" w:hAnsi="宋体" w:cs="宋体"/>
                <w:kern w:val="0"/>
                <w:szCs w:val="21"/>
              </w:rPr>
              <w:t>7.4支持患者打印病案操作具有可追溯性，并可与病案召回联动。</w:t>
            </w:r>
          </w:p>
          <w:p w14:paraId="72EE04D0">
            <w:pPr>
              <w:widowControl/>
              <w:spacing w:line="400" w:lineRule="exact"/>
              <w:textAlignment w:val="center"/>
              <w:rPr>
                <w:rFonts w:ascii="宋体" w:hAnsi="宋体" w:cs="宋体"/>
                <w:kern w:val="0"/>
                <w:szCs w:val="21"/>
              </w:rPr>
            </w:pPr>
            <w:r>
              <w:rPr>
                <w:rFonts w:hint="eastAsia" w:ascii="宋体" w:hAnsi="宋体" w:cs="宋体"/>
                <w:kern w:val="0"/>
                <w:szCs w:val="21"/>
              </w:rPr>
              <w:t>7.5支持对接病案自助打印机，实现患者自助打印服务，可通过自助机自行申请、支付、打印病案。</w:t>
            </w:r>
          </w:p>
          <w:p w14:paraId="303B907B">
            <w:pPr>
              <w:widowControl/>
              <w:spacing w:line="400" w:lineRule="exact"/>
              <w:textAlignment w:val="center"/>
              <w:rPr>
                <w:rFonts w:ascii="宋体" w:hAnsi="宋体" w:cs="宋体"/>
                <w:kern w:val="0"/>
                <w:szCs w:val="21"/>
              </w:rPr>
            </w:pPr>
            <w:r>
              <w:rPr>
                <w:rFonts w:hint="eastAsia" w:ascii="宋体" w:hAnsi="宋体" w:cs="宋体"/>
                <w:kern w:val="0"/>
                <w:szCs w:val="21"/>
              </w:rPr>
              <w:t>8.封存/解封模块</w:t>
            </w:r>
          </w:p>
          <w:p w14:paraId="78228E54">
            <w:pPr>
              <w:widowControl/>
              <w:spacing w:line="400" w:lineRule="exact"/>
              <w:textAlignment w:val="center"/>
              <w:rPr>
                <w:rFonts w:ascii="宋体" w:hAnsi="宋体" w:cs="宋体"/>
                <w:kern w:val="0"/>
                <w:szCs w:val="21"/>
              </w:rPr>
            </w:pPr>
            <w:r>
              <w:rPr>
                <w:rFonts w:hint="eastAsia" w:ascii="宋体" w:hAnsi="宋体" w:cs="宋体"/>
                <w:kern w:val="0"/>
                <w:szCs w:val="21"/>
              </w:rPr>
              <w:t>8.1对于发生法律纠纷的病案，支持对病案进行封存/解封，并保存封存历史，支持多次封存，封存后病案不可修改、借阅、打印等操作。</w:t>
            </w:r>
          </w:p>
          <w:p w14:paraId="60BB2FF0">
            <w:pPr>
              <w:widowControl/>
              <w:spacing w:line="400" w:lineRule="exact"/>
              <w:textAlignment w:val="center"/>
              <w:rPr>
                <w:rFonts w:ascii="宋体" w:hAnsi="宋体" w:cs="宋体"/>
                <w:kern w:val="0"/>
                <w:szCs w:val="21"/>
              </w:rPr>
            </w:pPr>
            <w:r>
              <w:rPr>
                <w:rFonts w:hint="eastAsia" w:ascii="宋体" w:hAnsi="宋体" w:cs="宋体"/>
                <w:kern w:val="0"/>
                <w:szCs w:val="21"/>
              </w:rPr>
              <w:t>8.2支持封存病案历史版本存储与打印。</w:t>
            </w:r>
          </w:p>
          <w:p w14:paraId="082AFB1C">
            <w:pPr>
              <w:widowControl/>
              <w:spacing w:line="400" w:lineRule="exact"/>
              <w:textAlignment w:val="center"/>
              <w:rPr>
                <w:rFonts w:ascii="宋体" w:hAnsi="宋体" w:cs="宋体"/>
                <w:kern w:val="0"/>
                <w:szCs w:val="21"/>
              </w:rPr>
            </w:pPr>
            <w:r>
              <w:rPr>
                <w:rFonts w:hint="eastAsia" w:ascii="宋体" w:hAnsi="宋体" w:cs="宋体"/>
                <w:kern w:val="0"/>
                <w:szCs w:val="21"/>
              </w:rPr>
              <w:t>9.示踪模块</w:t>
            </w:r>
          </w:p>
          <w:p w14:paraId="73F00A61">
            <w:pPr>
              <w:widowControl/>
              <w:spacing w:line="400" w:lineRule="exact"/>
              <w:textAlignment w:val="center"/>
              <w:rPr>
                <w:rFonts w:ascii="宋体" w:hAnsi="宋体" w:cs="宋体"/>
                <w:kern w:val="0"/>
                <w:szCs w:val="21"/>
              </w:rPr>
            </w:pPr>
            <w:r>
              <w:rPr>
                <w:rFonts w:hint="eastAsia" w:ascii="宋体" w:hAnsi="宋体" w:cs="宋体"/>
                <w:kern w:val="0"/>
                <w:szCs w:val="21"/>
              </w:rPr>
              <w:t>9.1支持病案示踪功能，可以将病案的状态和利用同时在时间轴上展示，并提供事件信息钻取功能。</w:t>
            </w:r>
          </w:p>
          <w:p w14:paraId="5ACB27B1">
            <w:pPr>
              <w:widowControl/>
              <w:spacing w:line="400" w:lineRule="exact"/>
              <w:textAlignment w:val="center"/>
              <w:rPr>
                <w:rFonts w:ascii="宋体" w:hAnsi="宋体" w:cs="宋体"/>
                <w:kern w:val="0"/>
                <w:szCs w:val="21"/>
              </w:rPr>
            </w:pPr>
            <w:r>
              <w:rPr>
                <w:rFonts w:hint="eastAsia" w:ascii="宋体" w:hAnsi="宋体" w:cs="宋体"/>
                <w:kern w:val="0"/>
                <w:szCs w:val="21"/>
              </w:rPr>
              <w:t>9.2支持对病案资料的全流程追溯、示踪。</w:t>
            </w:r>
          </w:p>
          <w:p w14:paraId="3EBEA644">
            <w:pPr>
              <w:widowControl/>
              <w:spacing w:line="400" w:lineRule="exact"/>
              <w:textAlignment w:val="center"/>
              <w:rPr>
                <w:rFonts w:ascii="宋体" w:hAnsi="宋体" w:cs="宋体"/>
                <w:kern w:val="0"/>
                <w:szCs w:val="21"/>
              </w:rPr>
            </w:pPr>
            <w:r>
              <w:rPr>
                <w:rFonts w:hint="eastAsia" w:ascii="宋体" w:hAnsi="宋体" w:cs="宋体"/>
                <w:kern w:val="0"/>
                <w:szCs w:val="21"/>
              </w:rPr>
              <w:t>10.保密与验证模块</w:t>
            </w:r>
          </w:p>
          <w:p w14:paraId="32FD46EF">
            <w:pPr>
              <w:widowControl/>
              <w:spacing w:line="400" w:lineRule="exact"/>
              <w:textAlignment w:val="center"/>
              <w:rPr>
                <w:rFonts w:ascii="宋体" w:hAnsi="宋体" w:cs="宋体"/>
                <w:kern w:val="0"/>
                <w:szCs w:val="21"/>
              </w:rPr>
            </w:pPr>
            <w:r>
              <w:rPr>
                <w:rFonts w:hint="eastAsia" w:ascii="宋体" w:hAnsi="宋体" w:cs="宋体"/>
                <w:kern w:val="0"/>
                <w:szCs w:val="21"/>
              </w:rPr>
              <w:t>10.1提供归档病案的凭证效力验证、完整性验证。</w:t>
            </w:r>
          </w:p>
          <w:p w14:paraId="39971C8F">
            <w:pPr>
              <w:widowControl/>
              <w:spacing w:line="400" w:lineRule="exact"/>
              <w:textAlignment w:val="center"/>
              <w:rPr>
                <w:rFonts w:ascii="宋体" w:hAnsi="宋体" w:cs="宋体"/>
                <w:kern w:val="0"/>
                <w:szCs w:val="21"/>
              </w:rPr>
            </w:pPr>
            <w:r>
              <w:rPr>
                <w:rFonts w:hint="eastAsia" w:ascii="宋体" w:hAnsi="宋体" w:cs="宋体"/>
                <w:kern w:val="0"/>
                <w:szCs w:val="21"/>
              </w:rPr>
              <w:t>10.2支持病案操作日志记录，在打印、借阅、查看、登录、锁定、导出等业务留痕处理，操作可追溯。</w:t>
            </w:r>
          </w:p>
          <w:p w14:paraId="752F7CB4">
            <w:pPr>
              <w:widowControl/>
              <w:spacing w:line="400" w:lineRule="exact"/>
              <w:textAlignment w:val="center"/>
              <w:rPr>
                <w:rFonts w:ascii="宋体" w:hAnsi="宋体" w:cs="宋体"/>
                <w:kern w:val="0"/>
                <w:szCs w:val="21"/>
              </w:rPr>
            </w:pPr>
            <w:r>
              <w:rPr>
                <w:rFonts w:hint="eastAsia" w:ascii="宋体" w:hAnsi="宋体" w:cs="宋体"/>
                <w:kern w:val="0"/>
                <w:szCs w:val="21"/>
              </w:rPr>
              <w:t>10.3支持电子病案数据加盖动态数字水印，电子借阅具备自动添加水印的功能，包括以下信息：登录人、登录工号、时间、IP地址，也可以自定义设置格式；病案借阅浏览显示呈现医院信息和使用人信息的动态水印。</w:t>
            </w:r>
          </w:p>
          <w:p w14:paraId="39CFEEAA">
            <w:pPr>
              <w:widowControl/>
              <w:spacing w:line="400" w:lineRule="exact"/>
              <w:textAlignment w:val="center"/>
              <w:rPr>
                <w:rFonts w:ascii="宋体" w:hAnsi="宋体" w:cs="宋体"/>
                <w:kern w:val="0"/>
                <w:szCs w:val="21"/>
              </w:rPr>
            </w:pPr>
            <w:r>
              <w:rPr>
                <w:rFonts w:hint="eastAsia" w:ascii="宋体" w:hAnsi="宋体" w:cs="宋体"/>
                <w:szCs w:val="21"/>
              </w:rPr>
              <w:t>◆</w:t>
            </w:r>
            <w:r>
              <w:rPr>
                <w:rFonts w:hint="eastAsia" w:ascii="宋体" w:hAnsi="宋体" w:cs="宋体"/>
                <w:kern w:val="0"/>
                <w:szCs w:val="21"/>
              </w:rPr>
              <w:t>10.4支持病案加盖科室电子签章，并且可自定义配置签章。</w:t>
            </w:r>
          </w:p>
          <w:p w14:paraId="7903D189">
            <w:pPr>
              <w:widowControl/>
              <w:spacing w:line="400" w:lineRule="exact"/>
              <w:textAlignment w:val="center"/>
              <w:rPr>
                <w:rFonts w:ascii="宋体" w:hAnsi="宋体" w:cs="宋体"/>
                <w:kern w:val="0"/>
                <w:szCs w:val="21"/>
              </w:rPr>
            </w:pPr>
            <w:r>
              <w:rPr>
                <w:rFonts w:hint="eastAsia" w:ascii="宋体" w:hAnsi="宋体" w:cs="宋体"/>
                <w:kern w:val="0"/>
                <w:szCs w:val="21"/>
              </w:rPr>
              <w:t>11.数据统计与分析模块</w:t>
            </w:r>
          </w:p>
          <w:p w14:paraId="228A768C">
            <w:pPr>
              <w:widowControl/>
              <w:spacing w:line="400" w:lineRule="exact"/>
              <w:textAlignment w:val="center"/>
              <w:rPr>
                <w:rFonts w:ascii="宋体" w:hAnsi="宋体" w:cs="宋体"/>
                <w:kern w:val="0"/>
                <w:szCs w:val="21"/>
              </w:rPr>
            </w:pPr>
            <w:r>
              <w:rPr>
                <w:rFonts w:hint="eastAsia" w:ascii="宋体" w:hAnsi="宋体" w:cs="宋体"/>
                <w:kern w:val="0"/>
                <w:szCs w:val="21"/>
              </w:rPr>
              <w:t>11.1对病案归档信息进行全方位、多维度统计，包括已出院、已采集、回收、归档、借阅、打印；科室、全院等维度统计。</w:t>
            </w:r>
          </w:p>
          <w:p w14:paraId="34F2A36A">
            <w:pPr>
              <w:widowControl/>
              <w:spacing w:line="400" w:lineRule="exact"/>
              <w:textAlignment w:val="center"/>
              <w:rPr>
                <w:rFonts w:ascii="宋体" w:hAnsi="宋体" w:cs="宋体"/>
                <w:kern w:val="0"/>
                <w:szCs w:val="21"/>
              </w:rPr>
            </w:pPr>
            <w:r>
              <w:rPr>
                <w:rFonts w:hint="eastAsia" w:ascii="宋体" w:hAnsi="宋体" w:cs="宋体"/>
                <w:kern w:val="0"/>
                <w:szCs w:val="21"/>
              </w:rPr>
              <w:t>11.2支持医院自定义数据报表，根据医院实际需求，制作相关报表供查询分析，如周报表、月报表等，并支持查询、导出等基本功能，满足业务的多方面统计分析。</w:t>
            </w:r>
          </w:p>
          <w:p w14:paraId="5B73E915">
            <w:pPr>
              <w:widowControl/>
              <w:spacing w:line="400" w:lineRule="exact"/>
              <w:textAlignment w:val="center"/>
              <w:rPr>
                <w:rFonts w:ascii="宋体" w:hAnsi="宋体" w:cs="宋体"/>
                <w:kern w:val="0"/>
                <w:szCs w:val="21"/>
              </w:rPr>
            </w:pPr>
            <w:r>
              <w:rPr>
                <w:rFonts w:hint="eastAsia" w:ascii="宋体" w:hAnsi="宋体" w:cs="宋体"/>
                <w:kern w:val="0"/>
                <w:szCs w:val="21"/>
              </w:rPr>
              <w:t>11.3支持统计病案归档率，包括实时归档率、24小时归档率、48小时归档率、72小时归档率、5日归档率、7日归档率等；支持配置节假日，以确保节假日不对归档率统计造成影响。</w:t>
            </w:r>
          </w:p>
          <w:p w14:paraId="08C1A0BA">
            <w:pPr>
              <w:widowControl/>
              <w:spacing w:line="400" w:lineRule="exact"/>
              <w:textAlignment w:val="center"/>
              <w:rPr>
                <w:rFonts w:ascii="宋体" w:hAnsi="宋体" w:cs="宋体"/>
                <w:kern w:val="0"/>
                <w:szCs w:val="21"/>
              </w:rPr>
            </w:pPr>
            <w:r>
              <w:rPr>
                <w:rFonts w:hint="eastAsia" w:ascii="宋体" w:hAnsi="宋体" w:cs="宋体"/>
                <w:kern w:val="0"/>
                <w:szCs w:val="21"/>
              </w:rPr>
              <w:t>12.单机设备数据采集模块</w:t>
            </w:r>
          </w:p>
          <w:p w14:paraId="073FA7BC">
            <w:pPr>
              <w:widowControl/>
              <w:spacing w:line="400" w:lineRule="exact"/>
              <w:textAlignment w:val="center"/>
              <w:rPr>
                <w:rFonts w:ascii="宋体" w:hAnsi="宋体" w:cs="宋体"/>
                <w:kern w:val="0"/>
                <w:szCs w:val="21"/>
              </w:rPr>
            </w:pPr>
            <w:r>
              <w:rPr>
                <w:rFonts w:hint="eastAsia" w:ascii="宋体" w:hAnsi="宋体" w:cs="宋体"/>
                <w:kern w:val="0"/>
                <w:szCs w:val="21"/>
              </w:rPr>
              <w:t>12.1支持通过虚拟打印输出电子化PDF报告单，并根据具体设备类型及对应的文件类型，自动生成文件路径，自动命名报告单。</w:t>
            </w:r>
          </w:p>
          <w:p w14:paraId="30129890">
            <w:pPr>
              <w:widowControl/>
              <w:spacing w:line="400" w:lineRule="exact"/>
              <w:textAlignment w:val="center"/>
              <w:rPr>
                <w:rFonts w:ascii="宋体" w:hAnsi="宋体" w:cs="宋体"/>
                <w:kern w:val="0"/>
                <w:szCs w:val="21"/>
              </w:rPr>
            </w:pPr>
            <w:r>
              <w:rPr>
                <w:rFonts w:hint="eastAsia" w:ascii="宋体" w:hAnsi="宋体" w:cs="宋体"/>
                <w:kern w:val="0"/>
                <w:szCs w:val="21"/>
              </w:rPr>
              <w:t>12.2支持一键同步病人信息，如申请单信息、在院患者信息、出院患者信息等。</w:t>
            </w:r>
          </w:p>
          <w:p w14:paraId="547387CE">
            <w:pPr>
              <w:widowControl/>
              <w:spacing w:line="400" w:lineRule="exact"/>
              <w:textAlignment w:val="center"/>
              <w:rPr>
                <w:rFonts w:ascii="宋体" w:hAnsi="宋体" w:cs="宋体"/>
                <w:kern w:val="0"/>
                <w:szCs w:val="21"/>
              </w:rPr>
            </w:pPr>
            <w:r>
              <w:rPr>
                <w:rFonts w:hint="eastAsia" w:ascii="宋体" w:hAnsi="宋体" w:cs="宋体"/>
                <w:kern w:val="0"/>
                <w:szCs w:val="21"/>
              </w:rPr>
              <w:t>12.3支持根据病人列表选择，导入报告单文件，依据报告产生的先后顺序及报到单名称自动生成单机设备报告单文件集。</w:t>
            </w:r>
          </w:p>
          <w:p w14:paraId="6F2DCC37">
            <w:pPr>
              <w:widowControl/>
              <w:spacing w:line="400" w:lineRule="exact"/>
              <w:textAlignment w:val="center"/>
              <w:rPr>
                <w:rFonts w:ascii="宋体" w:hAnsi="宋体" w:cs="宋体"/>
                <w:kern w:val="0"/>
                <w:szCs w:val="21"/>
              </w:rPr>
            </w:pPr>
            <w:r>
              <w:rPr>
                <w:rFonts w:hint="eastAsia" w:ascii="宋体" w:hAnsi="宋体" w:cs="宋体"/>
                <w:kern w:val="0"/>
                <w:szCs w:val="21"/>
              </w:rPr>
              <w:t>12.4支持手动录入病人基本信息。</w:t>
            </w:r>
          </w:p>
          <w:p w14:paraId="4B0046C7">
            <w:pPr>
              <w:widowControl/>
              <w:spacing w:line="400" w:lineRule="exact"/>
              <w:textAlignment w:val="center"/>
              <w:rPr>
                <w:rFonts w:ascii="宋体" w:hAnsi="宋体" w:cs="宋体"/>
                <w:kern w:val="0"/>
                <w:szCs w:val="21"/>
              </w:rPr>
            </w:pPr>
            <w:r>
              <w:rPr>
                <w:rFonts w:hint="eastAsia" w:ascii="宋体" w:hAnsi="宋体" w:cs="宋体"/>
                <w:kern w:val="0"/>
                <w:szCs w:val="21"/>
              </w:rPr>
              <w:t>13.系统设置模块</w:t>
            </w:r>
          </w:p>
          <w:p w14:paraId="64A8103D">
            <w:pPr>
              <w:widowControl/>
              <w:spacing w:line="400" w:lineRule="exact"/>
              <w:textAlignment w:val="center"/>
              <w:rPr>
                <w:rFonts w:ascii="宋体" w:hAnsi="宋体" w:cs="宋体"/>
                <w:kern w:val="0"/>
                <w:szCs w:val="21"/>
              </w:rPr>
            </w:pPr>
            <w:r>
              <w:rPr>
                <w:rFonts w:hint="eastAsia" w:ascii="宋体" w:hAnsi="宋体" w:cs="宋体"/>
                <w:kern w:val="0"/>
                <w:szCs w:val="21"/>
              </w:rPr>
              <w:t>13.1支持权限管理和基本信息设置体系，具备用户信息维护功能，包括基本信息、用户权限的维护和设置等。</w:t>
            </w:r>
          </w:p>
          <w:p w14:paraId="1E83ED19">
            <w:pPr>
              <w:widowControl/>
              <w:spacing w:line="400" w:lineRule="exact"/>
              <w:textAlignment w:val="center"/>
              <w:rPr>
                <w:rFonts w:ascii="宋体" w:hAnsi="宋体" w:cs="宋体"/>
                <w:kern w:val="0"/>
                <w:szCs w:val="21"/>
              </w:rPr>
            </w:pPr>
            <w:r>
              <w:rPr>
                <w:rFonts w:hint="eastAsia" w:ascii="宋体" w:hAnsi="宋体" w:cs="宋体"/>
                <w:kern w:val="0"/>
                <w:szCs w:val="21"/>
              </w:rPr>
              <w:t>13.2可实现用户基本信息注册、所属机构、对应角色授权等信息的定义和维护，可实现系统使用的不同角色并分配不同的角色权限的操作。</w:t>
            </w:r>
          </w:p>
          <w:p w14:paraId="462B9200">
            <w:pPr>
              <w:widowControl/>
              <w:spacing w:line="400" w:lineRule="exact"/>
              <w:textAlignment w:val="center"/>
              <w:rPr>
                <w:rFonts w:ascii="宋体" w:hAnsi="宋体" w:cs="宋体"/>
                <w:kern w:val="0"/>
                <w:szCs w:val="21"/>
              </w:rPr>
            </w:pPr>
            <w:r>
              <w:rPr>
                <w:rFonts w:hint="eastAsia" w:ascii="宋体" w:hAnsi="宋体" w:cs="宋体"/>
                <w:kern w:val="0"/>
                <w:szCs w:val="21"/>
              </w:rPr>
              <w:t>13.3对系统的使用科室定义和设置，可实现用户不同层次组织架构设置以及定义数据查询范围，根据科室进行授权。</w:t>
            </w:r>
          </w:p>
          <w:p w14:paraId="108CF381">
            <w:pPr>
              <w:widowControl/>
              <w:spacing w:line="400" w:lineRule="exact"/>
              <w:textAlignment w:val="center"/>
              <w:rPr>
                <w:rFonts w:ascii="宋体" w:hAnsi="宋体" w:cs="宋体"/>
                <w:kern w:val="0"/>
                <w:szCs w:val="21"/>
              </w:rPr>
            </w:pPr>
            <w:r>
              <w:rPr>
                <w:rFonts w:hint="eastAsia" w:ascii="宋体" w:hAnsi="宋体" w:cs="宋体"/>
                <w:kern w:val="0"/>
                <w:szCs w:val="21"/>
              </w:rPr>
              <w:t>13.4支持系统自定义设置规则，如借阅规则、借阅审批流程、召回规则、召回审批流程、打印套餐、打印金额配置等，设置后立即生效。</w:t>
            </w:r>
          </w:p>
          <w:p w14:paraId="0A6645C0">
            <w:pPr>
              <w:widowControl/>
              <w:spacing w:line="400" w:lineRule="exact"/>
              <w:textAlignment w:val="center"/>
              <w:rPr>
                <w:rFonts w:ascii="宋体" w:hAnsi="宋体" w:cs="宋体"/>
                <w:kern w:val="0"/>
                <w:szCs w:val="21"/>
              </w:rPr>
            </w:pPr>
            <w:r>
              <w:rPr>
                <w:rFonts w:hint="eastAsia" w:ascii="宋体" w:hAnsi="宋体" w:cs="宋体"/>
                <w:kern w:val="0"/>
                <w:szCs w:val="21"/>
              </w:rPr>
              <w:t>13.5支持对住院病案目录进行调整，支持多级目录，并支持针对未分目病案补充分目规则后重新进行分目。</w:t>
            </w:r>
          </w:p>
          <w:p w14:paraId="108E9ED6">
            <w:pPr>
              <w:widowControl/>
              <w:spacing w:line="400" w:lineRule="exact"/>
              <w:textAlignment w:val="center"/>
              <w:rPr>
                <w:rFonts w:ascii="宋体" w:hAnsi="宋体" w:cs="宋体"/>
                <w:kern w:val="0"/>
                <w:szCs w:val="21"/>
              </w:rPr>
            </w:pPr>
            <w:r>
              <w:rPr>
                <w:rFonts w:hint="eastAsia" w:ascii="宋体" w:hAnsi="宋体" w:cs="宋体"/>
                <w:kern w:val="0"/>
                <w:szCs w:val="21"/>
              </w:rPr>
              <w:t>13.6支持对病案信息的查阅、打印、借阅、召回、封存等操作具有留痕；系统后台操作日志，可以追溯到病案相关操作详细的操作人、操作时间等信息。</w:t>
            </w:r>
          </w:p>
          <w:p w14:paraId="4A70212D">
            <w:pPr>
              <w:widowControl/>
              <w:spacing w:line="400" w:lineRule="exact"/>
              <w:textAlignment w:val="center"/>
              <w:rPr>
                <w:rFonts w:ascii="宋体" w:hAnsi="宋体" w:cs="宋体"/>
                <w:kern w:val="0"/>
                <w:szCs w:val="21"/>
              </w:rPr>
            </w:pPr>
            <w:r>
              <w:rPr>
                <w:rFonts w:hint="eastAsia" w:ascii="宋体" w:hAnsi="宋体" w:cs="宋体"/>
                <w:szCs w:val="21"/>
              </w:rPr>
              <w:t>◆</w:t>
            </w:r>
            <w:r>
              <w:rPr>
                <w:rFonts w:hint="eastAsia" w:ascii="宋体" w:hAnsi="宋体" w:cs="宋体"/>
                <w:kern w:val="0"/>
                <w:szCs w:val="21"/>
              </w:rPr>
              <w:t>13.7根据验签配置，对每一份病案进行验签，存储验签数据和结果，供查看追溯使用。</w:t>
            </w:r>
          </w:p>
          <w:p w14:paraId="4AB5A658">
            <w:pPr>
              <w:widowControl/>
              <w:spacing w:line="400" w:lineRule="exact"/>
              <w:textAlignment w:val="center"/>
              <w:rPr>
                <w:rFonts w:ascii="宋体" w:hAnsi="宋体" w:cs="宋体"/>
                <w:kern w:val="0"/>
                <w:szCs w:val="21"/>
              </w:rPr>
            </w:pPr>
            <w:r>
              <w:rPr>
                <w:rFonts w:hint="eastAsia" w:ascii="宋体" w:hAnsi="宋体" w:cs="宋体"/>
                <w:kern w:val="0"/>
                <w:szCs w:val="21"/>
              </w:rPr>
              <w:t>13.8支持疾病编码、病理编码、手术编码、科室编码、病区编码等字典配置与维护。</w:t>
            </w:r>
          </w:p>
          <w:p w14:paraId="35BB667F">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（二）门急诊病案归档系统1套</w:t>
            </w:r>
          </w:p>
          <w:p w14:paraId="7157D885">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门急诊病案归档模块</w:t>
            </w:r>
          </w:p>
          <w:p w14:paraId="521A63F8">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1.病案查看</w:t>
            </w:r>
          </w:p>
          <w:p w14:paraId="597A1276">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1.1支持通过系统查看门诊、急诊、急诊留观等病案信息。</w:t>
            </w:r>
          </w:p>
          <w:p w14:paraId="3B230BE3">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1.2支持根据患者ID、就诊日期、门诊号、就诊科室、就诊医师等条件进行病案查询查看。</w:t>
            </w:r>
          </w:p>
          <w:p w14:paraId="4A8BE732">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2.病案归档</w:t>
            </w:r>
          </w:p>
          <w:p w14:paraId="743139EF">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2.1支持根据系统设置的时间对门诊、急诊病案进行自动归档。</w:t>
            </w:r>
          </w:p>
          <w:p w14:paraId="1F887EB0">
            <w:pPr>
              <w:pStyle w:val="51"/>
              <w:spacing w:after="0" w:line="400" w:lineRule="exact"/>
              <w:ind w:left="0" w:leftChars="0" w:firstLine="0" w:firstLineChars="0"/>
              <w:rPr>
                <w:rFonts w:ascii="宋体" w:hAnsi="宋体" w:cs="宋体"/>
                <w:kern w:val="0"/>
                <w:szCs w:val="21"/>
              </w:rPr>
            </w:pPr>
            <w:r>
              <w:rPr>
                <w:rFonts w:hint="eastAsia" w:ascii="宋体" w:hAnsi="宋体" w:cs="宋体"/>
                <w:szCs w:val="21"/>
              </w:rPr>
              <w:t>◆</w:t>
            </w:r>
            <w:r>
              <w:rPr>
                <w:rFonts w:hint="eastAsia" w:ascii="宋体" w:hAnsi="宋体" w:cs="宋体"/>
                <w:kern w:val="0"/>
                <w:szCs w:val="21"/>
              </w:rPr>
              <w:t>2.2支持对超时未归档的病案进行上传，可根据流水号、临床系统名称、创建日期等条件进行查询，支持查看病案上传状态。</w:t>
            </w:r>
          </w:p>
          <w:p w14:paraId="5270D8F6">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2.3支持对上传后的病案进行手动归档。</w:t>
            </w:r>
          </w:p>
          <w:p w14:paraId="4E4049F4">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3.病案打印</w:t>
            </w:r>
          </w:p>
          <w:p w14:paraId="136207C2">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3.1支持通过系统对门、急诊病历进行打印，支持根据患者ID、患者姓名、身份证号、就诊日期等条件进行病案查询。</w:t>
            </w:r>
          </w:p>
          <w:p w14:paraId="32D06974">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3.2支持查询打印日志，可通过打印日期、科室、打印者、患者姓名等条件实现对病案打印的查询；</w:t>
            </w:r>
          </w:p>
          <w:p w14:paraId="006A6807">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3.3支持按照患者打印病案用途自定义配置打印套餐，支持对打印费用进行配置，自动计算打印费。</w:t>
            </w:r>
          </w:p>
          <w:p w14:paraId="0D2582B4">
            <w:pPr>
              <w:pStyle w:val="51"/>
              <w:spacing w:after="0" w:line="400" w:lineRule="exact"/>
              <w:ind w:left="0" w:leftChars="0" w:firstLine="0" w:firstLineChars="0"/>
              <w:rPr>
                <w:rFonts w:ascii="宋体" w:hAnsi="宋体" w:cs="宋体"/>
                <w:kern w:val="0"/>
                <w:szCs w:val="21"/>
              </w:rPr>
            </w:pPr>
            <w:r>
              <w:rPr>
                <w:rFonts w:hint="eastAsia" w:ascii="宋体" w:hAnsi="宋体" w:cs="宋体"/>
                <w:kern w:val="0"/>
                <w:szCs w:val="21"/>
              </w:rPr>
              <w:t>（三）病案数字化翻拍系统1套</w:t>
            </w:r>
          </w:p>
          <w:p w14:paraId="7313E2AB">
            <w:pPr>
              <w:spacing w:line="400" w:lineRule="exact"/>
              <w:rPr>
                <w:rFonts w:ascii="宋体" w:hAnsi="宋体" w:cs="宋体"/>
              </w:rPr>
            </w:pPr>
            <w:r>
              <w:rPr>
                <w:rFonts w:hint="eastAsia" w:ascii="宋体" w:hAnsi="宋体" w:cs="宋体"/>
              </w:rPr>
              <w:t>1.病案管理模块</w:t>
            </w:r>
          </w:p>
          <w:p w14:paraId="5CEBB710">
            <w:pPr>
              <w:spacing w:line="400" w:lineRule="exact"/>
              <w:rPr>
                <w:rFonts w:ascii="宋体" w:hAnsi="宋体" w:cs="宋体"/>
              </w:rPr>
            </w:pPr>
            <w:r>
              <w:rPr>
                <w:rFonts w:hint="eastAsia" w:ascii="宋体" w:hAnsi="宋体" w:cs="宋体"/>
              </w:rPr>
              <w:t>1.1用户管理：管理内部及外部用户的信息，可以对系统登录用户的信息进行查询/添加/修改/删除。</w:t>
            </w:r>
          </w:p>
          <w:p w14:paraId="59DAC97C">
            <w:pPr>
              <w:spacing w:line="400" w:lineRule="exact"/>
              <w:rPr>
                <w:rFonts w:ascii="宋体" w:hAnsi="宋体" w:cs="宋体"/>
              </w:rPr>
            </w:pPr>
            <w:r>
              <w:rPr>
                <w:rFonts w:hint="eastAsia" w:ascii="宋体" w:hAnsi="宋体" w:cs="宋体"/>
              </w:rPr>
              <w:t>1.2用户组管理：查询/添加/修改/删除用户组，并可设置人员所属的用户组。</w:t>
            </w:r>
          </w:p>
          <w:p w14:paraId="397090BC">
            <w:pPr>
              <w:spacing w:line="400" w:lineRule="exact"/>
              <w:rPr>
                <w:rFonts w:ascii="宋体" w:hAnsi="宋体" w:cs="宋体"/>
              </w:rPr>
            </w:pPr>
            <w:r>
              <w:rPr>
                <w:rFonts w:hint="eastAsia" w:ascii="宋体" w:hAnsi="宋体" w:cs="宋体"/>
              </w:rPr>
              <w:t>1.3用户组权限：设置用户组所拥有的系统功能的权限。</w:t>
            </w:r>
          </w:p>
          <w:p w14:paraId="2E6D4B59">
            <w:pPr>
              <w:spacing w:line="400" w:lineRule="exact"/>
              <w:rPr>
                <w:rFonts w:ascii="宋体" w:hAnsi="宋体" w:cs="宋体"/>
              </w:rPr>
            </w:pPr>
            <w:r>
              <w:rPr>
                <w:rFonts w:hint="eastAsia" w:ascii="宋体" w:hAnsi="宋体" w:cs="宋体"/>
              </w:rPr>
              <w:t>1.4科室管理：查询/添加/修改/删除科室信息，并可维护科室下包含的人员。</w:t>
            </w:r>
          </w:p>
          <w:p w14:paraId="31F06103">
            <w:pPr>
              <w:spacing w:line="400" w:lineRule="exact"/>
              <w:rPr>
                <w:rFonts w:ascii="宋体" w:hAnsi="宋体" w:cs="宋体"/>
              </w:rPr>
            </w:pPr>
            <w:r>
              <w:rPr>
                <w:rFonts w:hint="eastAsia" w:ascii="宋体" w:hAnsi="宋体" w:cs="宋体"/>
              </w:rPr>
              <w:t>1.5病案权限配置：配置病案浏览的权限（按用户及按用户组），可以按照用户的方式一个个地进行病案权限的配置，也可以按照用户组的方式进行整体分配（如直接将某个科室的病案分配给用户组），同时可以分别设置病案的阅读，打印及导出的权限。</w:t>
            </w:r>
          </w:p>
          <w:p w14:paraId="6DC67519">
            <w:pPr>
              <w:spacing w:line="400" w:lineRule="exact"/>
              <w:rPr>
                <w:rFonts w:ascii="宋体" w:hAnsi="宋体" w:cs="宋体"/>
              </w:rPr>
            </w:pPr>
            <w:r>
              <w:rPr>
                <w:rFonts w:hint="eastAsia" w:ascii="宋体" w:hAnsi="宋体" w:cs="宋体"/>
              </w:rPr>
              <w:t>1.6访问权限控制：可以设置禁止访问的用户，被禁止访问的用户就无法使用本系统。</w:t>
            </w:r>
          </w:p>
          <w:p w14:paraId="71872515">
            <w:pPr>
              <w:spacing w:line="400" w:lineRule="exact"/>
              <w:rPr>
                <w:rFonts w:ascii="宋体" w:hAnsi="宋体" w:cs="宋体"/>
              </w:rPr>
            </w:pPr>
            <w:r>
              <w:rPr>
                <w:rFonts w:hint="eastAsia" w:ascii="宋体" w:hAnsi="宋体" w:cs="宋体"/>
              </w:rPr>
              <w:t>1.7显示字段控制：可以设置在浏览器中浏览病案时列表中所显示的字段。可以在用户级别上进行显示权限的控制。</w:t>
            </w:r>
          </w:p>
          <w:p w14:paraId="68A69122">
            <w:pPr>
              <w:spacing w:line="400" w:lineRule="exact"/>
              <w:rPr>
                <w:rFonts w:ascii="宋体" w:hAnsi="宋体" w:cs="宋体"/>
              </w:rPr>
            </w:pPr>
            <w:r>
              <w:rPr>
                <w:rFonts w:hint="eastAsia" w:ascii="宋体" w:hAnsi="宋体" w:cs="宋体"/>
              </w:rPr>
              <w:t>1.8病案封存：提供病案封存/解封功能，封存后不可打印，封存版本将被永久保存。</w:t>
            </w:r>
          </w:p>
          <w:p w14:paraId="591AC4F4">
            <w:pPr>
              <w:spacing w:line="400" w:lineRule="exact"/>
              <w:rPr>
                <w:rFonts w:ascii="宋体" w:hAnsi="宋体" w:cs="宋体"/>
              </w:rPr>
            </w:pPr>
            <w:r>
              <w:rPr>
                <w:rFonts w:hint="eastAsia" w:ascii="宋体" w:hAnsi="宋体" w:cs="宋体"/>
              </w:rPr>
              <w:t>1.9监控中心：查看各个系统的用户的使用的情况，包括：用户有申请需要审批，用户的浏览病案的历史情况，用户权限等。</w:t>
            </w:r>
          </w:p>
          <w:p w14:paraId="7302AB4A">
            <w:pPr>
              <w:spacing w:line="400" w:lineRule="exact"/>
              <w:rPr>
                <w:rFonts w:ascii="宋体" w:hAnsi="宋体" w:cs="宋体"/>
              </w:rPr>
            </w:pPr>
            <w:r>
              <w:rPr>
                <w:rFonts w:hint="eastAsia" w:ascii="宋体" w:hAnsi="宋体" w:cs="宋体"/>
              </w:rPr>
              <w:t>1.10病案错误报告：处理病案浏览器上用户反馈上来的病案错误（如：图片缺页/分类错误等）。</w:t>
            </w:r>
          </w:p>
          <w:p w14:paraId="4872303E">
            <w:pPr>
              <w:spacing w:line="400" w:lineRule="exact"/>
              <w:rPr>
                <w:rFonts w:ascii="宋体" w:hAnsi="宋体" w:cs="宋体"/>
              </w:rPr>
            </w:pPr>
            <w:r>
              <w:rPr>
                <w:rFonts w:hint="eastAsia" w:ascii="宋体" w:hAnsi="宋体" w:cs="宋体"/>
              </w:rPr>
              <w:t>1.11病案浏览统计：可查询用户、科室在某一时间段内数字化病案使用情况，并生成统计报表。</w:t>
            </w:r>
          </w:p>
          <w:p w14:paraId="5FB185D3">
            <w:pPr>
              <w:spacing w:line="400" w:lineRule="exact"/>
              <w:rPr>
                <w:rFonts w:ascii="宋体" w:hAnsi="宋体" w:cs="宋体"/>
              </w:rPr>
            </w:pPr>
            <w:r>
              <w:rPr>
                <w:rFonts w:hint="eastAsia" w:ascii="宋体" w:hAnsi="宋体" w:cs="宋体"/>
                <w:szCs w:val="21"/>
              </w:rPr>
              <w:t>◆</w:t>
            </w:r>
            <w:r>
              <w:rPr>
                <w:rFonts w:hint="eastAsia" w:ascii="宋体" w:hAnsi="宋体" w:cs="宋体"/>
              </w:rPr>
              <w:t>1.12上架示踪：提供病案装箱上架示踪功能，可对纸质病案的实际存放位置进行记录，通过系统可查询病案装箱信息，便于需要时快速查询定位纸质病案所在位置。</w:t>
            </w:r>
          </w:p>
          <w:p w14:paraId="3867DE8C">
            <w:pPr>
              <w:spacing w:line="400" w:lineRule="exact"/>
              <w:rPr>
                <w:rFonts w:ascii="宋体" w:hAnsi="宋体" w:cs="宋体"/>
              </w:rPr>
            </w:pPr>
            <w:r>
              <w:rPr>
                <w:rFonts w:hint="eastAsia" w:ascii="宋体" w:hAnsi="宋体" w:cs="宋体"/>
              </w:rPr>
              <w:t>2.检索模块</w:t>
            </w:r>
          </w:p>
          <w:p w14:paraId="03D1741C">
            <w:pPr>
              <w:spacing w:line="400" w:lineRule="exact"/>
              <w:rPr>
                <w:rFonts w:ascii="宋体" w:hAnsi="宋体" w:cs="宋体"/>
              </w:rPr>
            </w:pPr>
            <w:r>
              <w:rPr>
                <w:rFonts w:hint="eastAsia" w:ascii="宋体" w:hAnsi="宋体" w:cs="宋体"/>
              </w:rPr>
              <w:t>2.1关键词搜索：可以选择搜索分类（病案号/疾病/手术/科室/病人姓名/医生），多关键词搜索（可以填写多个搜索关键词及指定关键词之间的关系）。</w:t>
            </w:r>
          </w:p>
          <w:p w14:paraId="15600215">
            <w:pPr>
              <w:spacing w:line="400" w:lineRule="exact"/>
              <w:rPr>
                <w:rFonts w:ascii="宋体" w:hAnsi="宋体" w:cs="宋体"/>
              </w:rPr>
            </w:pPr>
            <w:r>
              <w:rPr>
                <w:rFonts w:hint="eastAsia" w:ascii="宋体" w:hAnsi="宋体" w:cs="宋体"/>
              </w:rPr>
              <w:t>2.2自定义搜索：可以自定义组织查询条件的组合进行搜索。这种检索方式常用于需检索的条件比较复杂的情况下。</w:t>
            </w:r>
          </w:p>
          <w:p w14:paraId="1F3CA40A">
            <w:pPr>
              <w:spacing w:line="400" w:lineRule="exact"/>
              <w:rPr>
                <w:rFonts w:ascii="宋体" w:hAnsi="宋体" w:cs="宋体"/>
              </w:rPr>
            </w:pPr>
            <w:r>
              <w:rPr>
                <w:rFonts w:hint="eastAsia" w:ascii="宋体" w:hAnsi="宋体" w:cs="宋体"/>
              </w:rPr>
              <w:t>2.3病案图片浏览：对病案图片的浏览进行了严格的权限控制（阅读/打印/导出）。可以设置需要过滤的图片分类，查看病案图片的同时可对图片进行一系列的处理（如放大/缩小/黑白彩色切换/裁剪/打印等等）。</w:t>
            </w:r>
          </w:p>
          <w:p w14:paraId="746DE740">
            <w:pPr>
              <w:spacing w:line="400" w:lineRule="exact"/>
              <w:rPr>
                <w:rFonts w:ascii="宋体" w:hAnsi="宋体" w:cs="宋体"/>
              </w:rPr>
            </w:pPr>
            <w:r>
              <w:rPr>
                <w:rFonts w:hint="eastAsia" w:ascii="宋体" w:hAnsi="宋体" w:cs="宋体"/>
              </w:rPr>
              <w:t>2.4申请历史查看：可以查询用户曾经申请查阅过的病案记录，类似IE浏览器的历史记录，可以方便用户了解审批情况和查看以往浏览过的病案，无须再一次搜索。</w:t>
            </w:r>
          </w:p>
          <w:p w14:paraId="374D775D">
            <w:pPr>
              <w:spacing w:line="400" w:lineRule="exact"/>
              <w:rPr>
                <w:rFonts w:ascii="宋体" w:hAnsi="宋体" w:cs="宋体"/>
              </w:rPr>
            </w:pPr>
            <w:r>
              <w:rPr>
                <w:rFonts w:hint="eastAsia" w:ascii="宋体" w:hAnsi="宋体" w:cs="宋体"/>
              </w:rPr>
              <w:t>3.图像加工模块</w:t>
            </w:r>
          </w:p>
          <w:p w14:paraId="31E90107">
            <w:pPr>
              <w:spacing w:line="400" w:lineRule="exact"/>
              <w:rPr>
                <w:rFonts w:ascii="宋体" w:hAnsi="宋体" w:cs="宋体"/>
              </w:rPr>
            </w:pPr>
            <w:r>
              <w:rPr>
                <w:rFonts w:hint="eastAsia" w:ascii="宋体" w:hAnsi="宋体" w:cs="宋体"/>
              </w:rPr>
              <w:t>3.1加工预览：扫描预览提供扫描图片预览功能，扫描病案实时显示。</w:t>
            </w:r>
          </w:p>
          <w:p w14:paraId="52D94601">
            <w:pPr>
              <w:spacing w:line="400" w:lineRule="exact"/>
              <w:rPr>
                <w:rFonts w:ascii="宋体" w:hAnsi="宋体" w:cs="宋体"/>
              </w:rPr>
            </w:pPr>
            <w:r>
              <w:rPr>
                <w:rFonts w:hint="eastAsia" w:ascii="宋体" w:hAnsi="宋体" w:cs="宋体"/>
              </w:rPr>
              <w:t>3.2扫描方式：支持高扫、高拍两种翻拍模式。</w:t>
            </w:r>
          </w:p>
          <w:p w14:paraId="745F73BE">
            <w:pPr>
              <w:spacing w:line="400" w:lineRule="exact"/>
              <w:rPr>
                <w:rFonts w:ascii="宋体" w:hAnsi="宋体" w:cs="宋体"/>
              </w:rPr>
            </w:pPr>
            <w:r>
              <w:rPr>
                <w:rFonts w:hint="eastAsia" w:ascii="宋体" w:hAnsi="宋体" w:cs="宋体"/>
              </w:rPr>
              <w:t>3.3拍摄模式：提供翻拍模式选择功能，提供黑白与彩色两种拍摄模式。</w:t>
            </w:r>
          </w:p>
          <w:p w14:paraId="0CE848FF">
            <w:pPr>
              <w:spacing w:line="400" w:lineRule="exact"/>
              <w:rPr>
                <w:rFonts w:ascii="宋体" w:hAnsi="宋体" w:cs="宋体"/>
              </w:rPr>
            </w:pPr>
            <w:r>
              <w:rPr>
                <w:rFonts w:hint="eastAsia" w:ascii="宋体" w:hAnsi="宋体" w:cs="宋体"/>
              </w:rPr>
              <w:t>3.4图像处理：提供翻拍图像处理功能，支持图像旋转、纠偏、对比度调整等，有效保证加工后的图像效果。</w:t>
            </w:r>
          </w:p>
          <w:p w14:paraId="4645139C">
            <w:pPr>
              <w:spacing w:line="400" w:lineRule="exact"/>
              <w:rPr>
                <w:rFonts w:ascii="宋体" w:hAnsi="宋体" w:cs="宋体"/>
              </w:rPr>
            </w:pPr>
            <w:r>
              <w:rPr>
                <w:rFonts w:hint="eastAsia" w:ascii="宋体" w:hAnsi="宋体" w:cs="宋体"/>
              </w:rPr>
              <w:t>3.5病历基本信息同步：提供扫描病案条码识别自动加载病历基本信息。</w:t>
            </w:r>
          </w:p>
          <w:p w14:paraId="630E319E">
            <w:pPr>
              <w:spacing w:line="400" w:lineRule="exact"/>
              <w:rPr>
                <w:rFonts w:ascii="宋体" w:hAnsi="宋体" w:cs="宋体"/>
              </w:rPr>
            </w:pPr>
            <w:r>
              <w:rPr>
                <w:rFonts w:hint="eastAsia" w:ascii="宋体" w:hAnsi="宋体" w:cs="宋体"/>
              </w:rPr>
              <w:t>3.6本地导入：提供图片的本地导入功能。</w:t>
            </w:r>
          </w:p>
          <w:p w14:paraId="32927475">
            <w:pPr>
              <w:spacing w:line="400" w:lineRule="exact"/>
              <w:rPr>
                <w:rFonts w:ascii="宋体" w:hAnsi="宋体" w:cs="宋体"/>
              </w:rPr>
            </w:pPr>
            <w:r>
              <w:rPr>
                <w:rFonts w:hint="eastAsia" w:ascii="宋体" w:hAnsi="宋体" w:cs="宋体"/>
              </w:rPr>
              <w:t>3.7病案分目：提供病案分目功能，可自定义分类排序。</w:t>
            </w:r>
          </w:p>
          <w:p w14:paraId="378A8239">
            <w:pPr>
              <w:spacing w:line="400" w:lineRule="exact"/>
              <w:rPr>
                <w:rFonts w:ascii="宋体" w:hAnsi="宋体" w:cs="宋体"/>
                <w:b/>
                <w:bCs/>
              </w:rPr>
            </w:pPr>
            <w:r>
              <w:rPr>
                <w:rFonts w:hint="eastAsia" w:ascii="宋体" w:hAnsi="宋体" w:cs="宋体"/>
                <w:szCs w:val="21"/>
              </w:rPr>
              <w:t>◆</w:t>
            </w:r>
            <w:r>
              <w:rPr>
                <w:rFonts w:hint="eastAsia" w:ascii="宋体" w:hAnsi="宋体" w:cs="宋体"/>
              </w:rPr>
              <w:t>3.8 AI智能分目：系统需提供基于人工智能算法的自动分目功能。将扫描的数字化病案进行识别和结构分析，将其自动的分类进入对应的病案目录。通过自动化分目后，病案可以直接归档，也可以进行人工核查后再归档。</w:t>
            </w:r>
          </w:p>
          <w:p w14:paraId="57B296C1">
            <w:pPr>
              <w:spacing w:line="400" w:lineRule="exact"/>
              <w:rPr>
                <w:rFonts w:ascii="宋体" w:hAnsi="宋体" w:cs="宋体"/>
              </w:rPr>
            </w:pPr>
            <w:r>
              <w:rPr>
                <w:rFonts w:hint="eastAsia" w:ascii="宋体" w:hAnsi="宋体" w:cs="宋体"/>
              </w:rPr>
              <w:t>3.9图像清晰度：图像高清，数字化病案的图像完整、清晰程度能真实反映原件，图像分辨率不小于300DPI，数字化病案的图像不低于200万像素，支持提供黑白或彩色或灰度图片。</w:t>
            </w:r>
          </w:p>
          <w:p w14:paraId="794E3FFA">
            <w:pPr>
              <w:spacing w:line="400" w:lineRule="exact"/>
              <w:rPr>
                <w:rFonts w:ascii="宋体" w:hAnsi="宋体" w:cs="宋体"/>
              </w:rPr>
            </w:pPr>
            <w:r>
              <w:rPr>
                <w:rFonts w:hint="eastAsia" w:ascii="宋体" w:hAnsi="宋体" w:cs="宋体"/>
              </w:rPr>
              <w:t>3.10病案审核：支持扫描病案审核功能，可对漏扫、扫描质量不合格标准、编目错误等进行审核。</w:t>
            </w:r>
          </w:p>
          <w:p w14:paraId="49F9602B">
            <w:pPr>
              <w:spacing w:line="400" w:lineRule="exact"/>
              <w:rPr>
                <w:rFonts w:ascii="宋体" w:hAnsi="宋体" w:cs="宋体"/>
              </w:rPr>
            </w:pPr>
            <w:r>
              <w:rPr>
                <w:rFonts w:hint="eastAsia" w:ascii="宋体" w:hAnsi="宋体" w:cs="宋体"/>
                <w:szCs w:val="21"/>
              </w:rPr>
              <w:t>◆</w:t>
            </w:r>
            <w:r>
              <w:rPr>
                <w:rFonts w:hint="eastAsia" w:ascii="宋体" w:hAnsi="宋体" w:cs="宋体"/>
              </w:rPr>
              <w:t>3.11核查退回：提供核查退回功能，备注退回原因，并标记为异常病案；并支持插入、替换等操作。</w:t>
            </w:r>
          </w:p>
          <w:p w14:paraId="7EEB1F51">
            <w:pPr>
              <w:spacing w:line="400" w:lineRule="exact"/>
              <w:rPr>
                <w:rFonts w:ascii="宋体" w:hAnsi="宋体" w:cs="宋体"/>
              </w:rPr>
            </w:pPr>
            <w:r>
              <w:rPr>
                <w:rFonts w:hint="eastAsia" w:ascii="宋体" w:hAnsi="宋体" w:cs="宋体"/>
              </w:rPr>
              <w:t>4.病案借阅模块</w:t>
            </w:r>
          </w:p>
          <w:p w14:paraId="1D1D747E">
            <w:pPr>
              <w:spacing w:line="400" w:lineRule="exact"/>
              <w:rPr>
                <w:rFonts w:ascii="宋体" w:hAnsi="宋体" w:cs="宋体"/>
              </w:rPr>
            </w:pPr>
            <w:r>
              <w:rPr>
                <w:rFonts w:hint="eastAsia" w:ascii="宋体" w:hAnsi="宋体" w:cs="宋体"/>
              </w:rPr>
              <w:t>4.1病案借阅：提供全院用户的电子病案借阅功能，通过填写借阅内容、借阅时限、借阅用途等信息发起病案线上借阅申请。</w:t>
            </w:r>
          </w:p>
          <w:p w14:paraId="0E0AC83D">
            <w:pPr>
              <w:spacing w:line="400" w:lineRule="exact"/>
              <w:rPr>
                <w:rFonts w:ascii="宋体" w:hAnsi="宋体" w:cs="宋体"/>
              </w:rPr>
            </w:pPr>
            <w:r>
              <w:rPr>
                <w:rFonts w:hint="eastAsia" w:ascii="宋体" w:hAnsi="宋体" w:cs="宋体"/>
              </w:rPr>
              <w:t>4.2特殊病案设置：提供设置特殊病案功能，设置后病案不可进行借阅、打印、导出。</w:t>
            </w:r>
          </w:p>
          <w:p w14:paraId="4EB0840E">
            <w:pPr>
              <w:spacing w:line="400" w:lineRule="exact"/>
              <w:rPr>
                <w:rFonts w:ascii="宋体" w:hAnsi="宋体" w:cs="宋体"/>
              </w:rPr>
            </w:pPr>
            <w:r>
              <w:rPr>
                <w:rFonts w:hint="eastAsia" w:ascii="宋体" w:hAnsi="宋体" w:cs="宋体"/>
              </w:rPr>
              <w:t>4.3查阅水印：查看病案时显示阅读水印。</w:t>
            </w:r>
          </w:p>
          <w:p w14:paraId="64C6FA41">
            <w:pPr>
              <w:spacing w:line="400" w:lineRule="exact"/>
              <w:rPr>
                <w:rFonts w:ascii="宋体" w:hAnsi="宋体" w:cs="宋体"/>
              </w:rPr>
            </w:pPr>
            <w:r>
              <w:rPr>
                <w:rFonts w:hint="eastAsia" w:ascii="宋体" w:hAnsi="宋体" w:cs="宋体"/>
              </w:rPr>
              <w:t>4.4借阅审批：提供线上借阅审批功能，支持批量审批功能；</w:t>
            </w:r>
          </w:p>
          <w:p w14:paraId="407B8267">
            <w:pPr>
              <w:spacing w:line="400" w:lineRule="exact"/>
              <w:rPr>
                <w:rFonts w:ascii="宋体" w:hAnsi="宋体" w:cs="宋体"/>
              </w:rPr>
            </w:pPr>
            <w:r>
              <w:rPr>
                <w:rFonts w:hint="eastAsia" w:ascii="宋体" w:hAnsi="宋体" w:cs="宋体"/>
              </w:rPr>
              <w:t>4.5借阅回收：提供借阅病案提前回收功能；</w:t>
            </w:r>
          </w:p>
          <w:p w14:paraId="5D468DBF">
            <w:pPr>
              <w:spacing w:line="400" w:lineRule="exact"/>
              <w:rPr>
                <w:rFonts w:ascii="宋体" w:hAnsi="宋体" w:cs="宋体"/>
              </w:rPr>
            </w:pPr>
            <w:r>
              <w:rPr>
                <w:rFonts w:hint="eastAsia" w:ascii="宋体" w:hAnsi="宋体" w:cs="宋体"/>
              </w:rPr>
              <w:t>4.6借阅记录：可以浏览并查询用户曾经申请过的病案借阅记录，及时了解审批情况。</w:t>
            </w:r>
          </w:p>
          <w:p w14:paraId="76B8BA8A">
            <w:pPr>
              <w:spacing w:line="400" w:lineRule="exact"/>
              <w:rPr>
                <w:rFonts w:ascii="宋体" w:hAnsi="宋体" w:cs="宋体"/>
              </w:rPr>
            </w:pPr>
            <w:r>
              <w:rPr>
                <w:rFonts w:hint="eastAsia" w:ascii="宋体" w:hAnsi="宋体" w:cs="宋体"/>
              </w:rPr>
              <w:t>4.7借阅信息统计：可基于科室、医务人员、病案资料进行借阅信息统计。</w:t>
            </w:r>
          </w:p>
          <w:p w14:paraId="27D93E64">
            <w:pPr>
              <w:spacing w:line="400" w:lineRule="exact"/>
              <w:rPr>
                <w:rFonts w:ascii="宋体" w:hAnsi="宋体" w:cs="宋体"/>
              </w:rPr>
            </w:pPr>
            <w:r>
              <w:rPr>
                <w:rFonts w:hint="eastAsia" w:ascii="宋体" w:hAnsi="宋体" w:cs="宋体"/>
              </w:rPr>
              <w:t>5.病案导出模块</w:t>
            </w:r>
          </w:p>
          <w:p w14:paraId="543B385A">
            <w:pPr>
              <w:spacing w:line="400" w:lineRule="exact"/>
              <w:rPr>
                <w:rFonts w:ascii="宋体" w:hAnsi="宋体" w:cs="宋体"/>
              </w:rPr>
            </w:pPr>
            <w:r>
              <w:rPr>
                <w:rFonts w:hint="eastAsia" w:ascii="宋体" w:hAnsi="宋体" w:cs="宋体"/>
              </w:rPr>
              <w:t>5.1病案导出：可以将选择好病案进行打包压缩导出，导出方式可以选择单页导出与合并正本导出，支持按套餐导出。</w:t>
            </w:r>
          </w:p>
          <w:p w14:paraId="7EEDAD1B">
            <w:pPr>
              <w:spacing w:line="400" w:lineRule="exact"/>
              <w:rPr>
                <w:rFonts w:ascii="宋体" w:hAnsi="宋体" w:cs="宋体"/>
              </w:rPr>
            </w:pPr>
            <w:r>
              <w:rPr>
                <w:rFonts w:hint="eastAsia" w:ascii="宋体" w:hAnsi="宋体" w:cs="宋体"/>
              </w:rPr>
              <w:t>5.2导出格式：导出格式支持选择PDF/OFD格式。</w:t>
            </w:r>
          </w:p>
          <w:p w14:paraId="7F16F1E5">
            <w:pPr>
              <w:spacing w:line="400" w:lineRule="exact"/>
              <w:rPr>
                <w:rFonts w:ascii="宋体" w:hAnsi="宋体" w:cs="宋体"/>
              </w:rPr>
            </w:pPr>
            <w:r>
              <w:rPr>
                <w:rFonts w:hint="eastAsia" w:ascii="宋体" w:hAnsi="宋体" w:cs="宋体"/>
              </w:rPr>
              <w:t>5.3导出套餐：支持自定义配置导出套餐，方便按用途一键导出相应病案内容。</w:t>
            </w:r>
          </w:p>
          <w:p w14:paraId="2E4ADF98">
            <w:pPr>
              <w:spacing w:line="400" w:lineRule="exact"/>
              <w:rPr>
                <w:rFonts w:hint="eastAsia" w:ascii="宋体" w:hAnsi="宋体" w:cs="宋体"/>
              </w:rPr>
            </w:pPr>
            <w:r>
              <w:rPr>
                <w:rFonts w:hint="eastAsia" w:ascii="宋体" w:hAnsi="宋体" w:cs="宋体"/>
                <w:szCs w:val="21"/>
              </w:rPr>
              <w:t>◆</w:t>
            </w:r>
            <w:r>
              <w:rPr>
                <w:rFonts w:hint="eastAsia" w:ascii="宋体" w:hAnsi="宋体" w:cs="宋体"/>
              </w:rPr>
              <w:t>5.4 HQMS死亡上报目录导出：系统可按照HQMS目录要求自动识别病案内容类别并导出，例：导出目录规则可满足《国家卫健委办公厅关于开展死亡和非医嘱离院病案报告工作的通知》中提出的全病案上传内容及要求。</w:t>
            </w:r>
          </w:p>
          <w:p w14:paraId="4672B679">
            <w:pPr>
              <w:spacing w:line="400" w:lineRule="exact"/>
              <w:rPr>
                <w:rFonts w:hint="eastAsia" w:ascii="宋体" w:hAnsi="宋体" w:cs="宋体"/>
                <w:lang w:val="en-US" w:eastAsia="zh-CN"/>
              </w:rPr>
            </w:pPr>
            <w:r>
              <w:rPr>
                <w:rFonts w:hint="eastAsia" w:ascii="宋体" w:hAnsi="宋体" w:cs="宋体"/>
                <w:lang w:eastAsia="zh-CN"/>
              </w:rPr>
              <w:t>（四）系统集成服务</w:t>
            </w:r>
            <w:r>
              <w:rPr>
                <w:rFonts w:hint="eastAsia" w:ascii="宋体" w:hAnsi="宋体" w:cs="宋体"/>
                <w:lang w:val="en-US" w:eastAsia="zh-CN"/>
              </w:rPr>
              <w:t>1项</w:t>
            </w:r>
          </w:p>
          <w:p w14:paraId="689F2D62">
            <w:pPr>
              <w:spacing w:line="400" w:lineRule="exact"/>
              <w:rPr>
                <w:rFonts w:hint="default" w:ascii="宋体" w:hAnsi="宋体" w:cs="宋体"/>
                <w:lang w:val="en-US" w:eastAsia="zh-CN"/>
              </w:rPr>
            </w:pPr>
            <w:r>
              <w:rPr>
                <w:rFonts w:hint="eastAsia" w:ascii="宋体" w:hAnsi="宋体" w:cs="宋体"/>
                <w:lang w:val="en-US" w:eastAsia="zh-CN"/>
              </w:rPr>
              <w:t>提供与医院各医疗信息系统（如HIS、LIS、PACS、EMR）等厂商集成协助服务，包括但不限于接口文档、接口对接、联调测试等。</w:t>
            </w:r>
          </w:p>
        </w:tc>
      </w:tr>
      <w:tr w14:paraId="67AC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9" w:type="dxa"/>
            <w:gridSpan w:val="6"/>
            <w:tcBorders>
              <w:top w:val="single" w:color="auto" w:sz="4" w:space="0"/>
              <w:left w:val="single" w:color="auto" w:sz="4" w:space="0"/>
              <w:bottom w:val="single" w:color="auto" w:sz="4" w:space="0"/>
              <w:right w:val="single" w:color="auto" w:sz="4" w:space="0"/>
            </w:tcBorders>
            <w:vAlign w:val="center"/>
          </w:tcPr>
          <w:p w14:paraId="3F92394C">
            <w:pPr>
              <w:spacing w:line="400" w:lineRule="exact"/>
              <w:jc w:val="left"/>
              <w:rPr>
                <w:rFonts w:ascii="宋体" w:hAnsi="宋体" w:cs="宋体"/>
                <w:b/>
                <w:szCs w:val="21"/>
              </w:rPr>
            </w:pPr>
            <w:r>
              <w:rPr>
                <w:rFonts w:hint="eastAsia" w:ascii="宋体" w:hAnsi="宋体" w:cs="宋体"/>
                <w:b/>
                <w:szCs w:val="21"/>
              </w:rPr>
              <w:t>商务要求</w:t>
            </w:r>
          </w:p>
        </w:tc>
      </w:tr>
      <w:tr w14:paraId="6D35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6F684842">
            <w:pPr>
              <w:spacing w:line="400" w:lineRule="exact"/>
              <w:jc w:val="center"/>
              <w:rPr>
                <w:rFonts w:ascii="宋体" w:hAnsi="宋体" w:cs="宋体"/>
                <w:b/>
                <w:bCs/>
                <w:szCs w:val="21"/>
              </w:rPr>
            </w:pPr>
            <w:r>
              <w:rPr>
                <w:rFonts w:hint="eastAsia" w:ascii="宋体" w:hAnsi="宋体" w:cs="宋体"/>
                <w:b/>
                <w:bCs/>
                <w:szCs w:val="21"/>
              </w:rPr>
              <w:t>▲投标报价要求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0EA90A62">
            <w:pPr>
              <w:spacing w:line="400" w:lineRule="exact"/>
              <w:jc w:val="left"/>
              <w:rPr>
                <w:rFonts w:ascii="宋体" w:hAnsi="宋体" w:cs="宋体"/>
                <w:b/>
                <w:bCs/>
                <w:szCs w:val="21"/>
              </w:rPr>
            </w:pPr>
            <w:r>
              <w:rPr>
                <w:rFonts w:hint="eastAsia" w:ascii="宋体" w:hAnsi="宋体" w:cs="宋体"/>
                <w:b/>
                <w:bCs/>
                <w:szCs w:val="21"/>
              </w:rPr>
              <w:t>投标报价指完成本分标的所有费用，包括拟投入本项目产品采购、运输、劳务、管理、利润、税金、保险、协调、安装、调试、培训、验收、集成、售后服务、后续升级服务以及所有的不定因素的风险等所有成本费用的总和。</w:t>
            </w:r>
          </w:p>
          <w:p w14:paraId="06001591">
            <w:pPr>
              <w:spacing w:line="400" w:lineRule="exact"/>
              <w:jc w:val="left"/>
              <w:rPr>
                <w:rFonts w:ascii="宋体" w:hAnsi="宋体" w:cs="宋体"/>
                <w:b/>
                <w:bCs/>
                <w:szCs w:val="21"/>
              </w:rPr>
            </w:pPr>
            <w:r>
              <w:rPr>
                <w:rFonts w:hint="eastAsia" w:ascii="宋体" w:hAnsi="宋体" w:cs="宋体"/>
                <w:b/>
                <w:bCs/>
                <w:szCs w:val="21"/>
              </w:rPr>
              <w:t>注：</w:t>
            </w:r>
          </w:p>
          <w:p w14:paraId="4C48057C">
            <w:pPr>
              <w:spacing w:line="400" w:lineRule="exact"/>
              <w:jc w:val="left"/>
              <w:rPr>
                <w:rFonts w:ascii="宋体" w:hAnsi="宋体" w:cs="宋体"/>
                <w:b/>
                <w:bCs/>
                <w:szCs w:val="21"/>
              </w:rPr>
            </w:pPr>
            <w:r>
              <w:rPr>
                <w:rFonts w:hint="eastAsia" w:ascii="宋体" w:hAnsi="宋体" w:cs="宋体"/>
                <w:b/>
                <w:bCs/>
                <w:szCs w:val="21"/>
              </w:rPr>
              <w:t>1.投标人自行考虑完成项目所需的辅材、杂配件等数量，投标报价中应包含全部内容，中标后采购人不再另行支付额外费用；投标人根据项目所需自行配备的所有辅助材料必须符合国家有关规定的合格产品。</w:t>
            </w:r>
          </w:p>
          <w:p w14:paraId="02074D87">
            <w:pPr>
              <w:spacing w:line="400" w:lineRule="exact"/>
              <w:jc w:val="left"/>
              <w:rPr>
                <w:rFonts w:ascii="宋体" w:hAnsi="宋体" w:cs="宋体"/>
                <w:b/>
                <w:bCs/>
                <w:szCs w:val="21"/>
              </w:rPr>
            </w:pPr>
            <w:r>
              <w:rPr>
                <w:rFonts w:hint="eastAsia" w:ascii="宋体" w:hAnsi="宋体" w:cs="宋体"/>
                <w:b/>
                <w:bCs/>
                <w:szCs w:val="21"/>
              </w:rPr>
              <w:t>2.投标人的本分标投标总报价≤本分标采购预算。</w:t>
            </w:r>
          </w:p>
        </w:tc>
      </w:tr>
      <w:tr w14:paraId="4CA4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71C9535">
            <w:pPr>
              <w:spacing w:line="400" w:lineRule="exact"/>
              <w:jc w:val="center"/>
              <w:rPr>
                <w:rFonts w:ascii="宋体" w:hAnsi="宋体" w:cs="宋体"/>
                <w:b/>
                <w:bCs/>
                <w:szCs w:val="21"/>
              </w:rPr>
            </w:pPr>
            <w:r>
              <w:rPr>
                <w:rFonts w:hint="eastAsia" w:ascii="宋体" w:hAnsi="宋体" w:cs="宋体"/>
                <w:b/>
                <w:bCs/>
                <w:szCs w:val="21"/>
              </w:rPr>
              <w:t>▲质保期</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2E94EEF1">
            <w:pPr>
              <w:shd w:val="clear" w:color="auto" w:fill="FFFFFF"/>
              <w:spacing w:line="400" w:lineRule="exact"/>
              <w:rPr>
                <w:rFonts w:ascii="宋体" w:hAnsi="宋体" w:cs="宋体"/>
                <w:b/>
                <w:bCs/>
                <w:color w:val="000000"/>
                <w:szCs w:val="21"/>
              </w:rPr>
            </w:pPr>
            <w:r>
              <w:rPr>
                <w:rFonts w:hint="eastAsia" w:ascii="宋体" w:hAnsi="宋体" w:cs="宋体"/>
                <w:b/>
                <w:bCs/>
                <w:color w:val="000000"/>
                <w:szCs w:val="21"/>
              </w:rPr>
              <w:t>1.整体项目内容从验收合格之日起提供不少于1年的免费维保服务</w:t>
            </w:r>
            <w:r>
              <w:rPr>
                <w:rFonts w:hint="eastAsia" w:ascii="宋体" w:hAnsi="宋体" w:cs="宋体"/>
                <w:b/>
                <w:bCs/>
                <w:szCs w:val="21"/>
              </w:rPr>
              <w:t>（“技术服务要求”中特殊要求的，按特殊要求执行）</w:t>
            </w:r>
            <w:r>
              <w:rPr>
                <w:rFonts w:hint="eastAsia" w:ascii="宋体" w:hAnsi="宋体" w:cs="宋体"/>
                <w:b/>
                <w:bCs/>
                <w:color w:val="000000"/>
                <w:szCs w:val="21"/>
              </w:rPr>
              <w:t>。</w:t>
            </w:r>
          </w:p>
          <w:p w14:paraId="229F617A">
            <w:pPr>
              <w:shd w:val="clear" w:color="auto" w:fill="FFFFFF"/>
              <w:spacing w:line="400" w:lineRule="exact"/>
              <w:rPr>
                <w:rFonts w:ascii="宋体" w:hAnsi="宋体" w:cs="宋体"/>
                <w:b/>
                <w:bCs/>
                <w:color w:val="000000"/>
                <w:szCs w:val="21"/>
              </w:rPr>
            </w:pPr>
            <w:r>
              <w:rPr>
                <w:rFonts w:hint="eastAsia" w:ascii="宋体" w:hAnsi="宋体" w:cs="宋体"/>
                <w:b/>
                <w:bCs/>
                <w:color w:val="000000"/>
                <w:szCs w:val="21"/>
              </w:rPr>
              <w:t>2.质保期内，如发生系统运行故障，供应商需作出响应提供维护服务。</w:t>
            </w:r>
          </w:p>
          <w:p w14:paraId="576B5B90">
            <w:pPr>
              <w:shd w:val="clear" w:color="auto" w:fill="FFFFFF"/>
              <w:spacing w:line="400" w:lineRule="exact"/>
              <w:rPr>
                <w:rFonts w:ascii="宋体" w:hAnsi="宋体" w:cs="宋体"/>
                <w:b/>
                <w:bCs/>
                <w:szCs w:val="21"/>
              </w:rPr>
            </w:pPr>
            <w:r>
              <w:rPr>
                <w:rFonts w:hint="eastAsia" w:ascii="宋体" w:hAnsi="宋体" w:cs="宋体"/>
                <w:b/>
                <w:bCs/>
                <w:color w:val="000000"/>
                <w:szCs w:val="21"/>
              </w:rPr>
              <w:t>3.质保期内系统出现故障，需远程解决或者派出技术工程师到达现场处理故障的，供应商承担一切费用（因人为或自然因素导致的故障除外）。</w:t>
            </w:r>
          </w:p>
        </w:tc>
      </w:tr>
      <w:tr w14:paraId="7B19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5DC6AE50">
            <w:pPr>
              <w:spacing w:line="400" w:lineRule="exact"/>
              <w:jc w:val="center"/>
              <w:rPr>
                <w:rFonts w:ascii="宋体" w:hAnsi="宋体" w:cs="宋体"/>
                <w:szCs w:val="21"/>
              </w:rPr>
            </w:pPr>
            <w:r>
              <w:rPr>
                <w:rFonts w:hint="eastAsia" w:ascii="宋体" w:hAnsi="宋体" w:cs="宋体"/>
                <w:szCs w:val="21"/>
              </w:rPr>
              <w:t>售后服务及其他服务要求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2A1A15AB">
            <w:pPr>
              <w:spacing w:line="400" w:lineRule="exact"/>
              <w:rPr>
                <w:rFonts w:ascii="宋体" w:hAnsi="宋体" w:cs="宋体"/>
                <w:b/>
                <w:bCs/>
                <w:szCs w:val="21"/>
              </w:rPr>
            </w:pPr>
            <w:r>
              <w:rPr>
                <w:rFonts w:hint="eastAsia" w:ascii="宋体" w:hAnsi="宋体" w:cs="宋体"/>
                <w:b/>
                <w:bCs/>
                <w:szCs w:val="21"/>
              </w:rPr>
              <w:t>▲</w:t>
            </w:r>
            <w:r>
              <w:rPr>
                <w:rFonts w:ascii="宋体" w:hAnsi="宋体" w:cs="宋体"/>
                <w:b/>
                <w:bCs/>
                <w:szCs w:val="21"/>
              </w:rPr>
              <w:t>1</w:t>
            </w:r>
            <w:r>
              <w:rPr>
                <w:rFonts w:hint="eastAsia" w:ascii="宋体" w:hAnsi="宋体" w:cs="宋体"/>
                <w:b/>
                <w:bCs/>
                <w:szCs w:val="21"/>
              </w:rPr>
              <w:t>.技术支持：质保期内，供应商必须向采购人承诺技术支持。</w:t>
            </w:r>
          </w:p>
          <w:p w14:paraId="45BE1C75">
            <w:pPr>
              <w:spacing w:line="400" w:lineRule="exact"/>
              <w:rPr>
                <w:rFonts w:ascii="宋体" w:hAnsi="宋体" w:cs="宋体"/>
                <w:b/>
                <w:bCs/>
                <w:szCs w:val="21"/>
              </w:rPr>
            </w:pPr>
            <w:r>
              <w:rPr>
                <w:rFonts w:hint="eastAsia" w:ascii="宋体" w:hAnsi="宋体" w:cs="宋体"/>
                <w:b/>
                <w:bCs/>
                <w:szCs w:val="21"/>
              </w:rPr>
              <w:t>▲</w:t>
            </w:r>
            <w:r>
              <w:rPr>
                <w:rFonts w:ascii="宋体" w:hAnsi="宋体" w:cs="宋体"/>
                <w:b/>
                <w:bCs/>
                <w:szCs w:val="21"/>
              </w:rPr>
              <w:t>2</w:t>
            </w:r>
            <w:r>
              <w:rPr>
                <w:rFonts w:hint="eastAsia" w:ascii="宋体" w:hAnsi="宋体" w:cs="宋体"/>
                <w:b/>
                <w:bCs/>
                <w:szCs w:val="21"/>
              </w:rPr>
              <w:t>.系统维护：质保期内，产品必须提供免费升级服务，保证产品可随时升级到最新版本，供应商必须在适时提供最新版本的软件和升级操作手册，升级后的系统除升级修改部分外，其它完全与旧版本兼容，并保证所有数据是连续的。</w:t>
            </w:r>
          </w:p>
          <w:p w14:paraId="29569E74">
            <w:pPr>
              <w:spacing w:line="400" w:lineRule="exact"/>
              <w:rPr>
                <w:rFonts w:ascii="宋体" w:hAnsi="宋体" w:cs="宋体"/>
                <w:szCs w:val="21"/>
              </w:rPr>
            </w:pPr>
            <w:r>
              <w:rPr>
                <w:rFonts w:ascii="宋体" w:hAnsi="宋体" w:cs="宋体"/>
                <w:szCs w:val="21"/>
              </w:rPr>
              <w:t>3</w:t>
            </w:r>
            <w:r>
              <w:rPr>
                <w:rFonts w:hint="eastAsia" w:ascii="宋体" w:hAnsi="宋体" w:cs="宋体"/>
                <w:szCs w:val="21"/>
              </w:rPr>
              <w:t>.服务响应时间：质保期内，供应商在5分钟内对用户所提出的故障维修要求作出响应，重大故障须2小时内到现场解决，8小时内恢复系统正常运行。</w:t>
            </w:r>
          </w:p>
          <w:p w14:paraId="7B099BD5">
            <w:pPr>
              <w:spacing w:line="400" w:lineRule="exact"/>
              <w:rPr>
                <w:rFonts w:ascii="宋体" w:hAnsi="宋体" w:cs="宋体"/>
                <w:b/>
                <w:bCs/>
                <w:szCs w:val="21"/>
              </w:rPr>
            </w:pPr>
            <w:r>
              <w:rPr>
                <w:rFonts w:hint="eastAsia" w:ascii="宋体" w:hAnsi="宋体" w:cs="宋体"/>
                <w:b/>
                <w:bCs/>
                <w:szCs w:val="21"/>
              </w:rPr>
              <w:t>▲</w:t>
            </w:r>
            <w:r>
              <w:rPr>
                <w:rFonts w:ascii="宋体" w:hAnsi="宋体" w:cs="宋体"/>
                <w:b/>
                <w:bCs/>
                <w:szCs w:val="21"/>
              </w:rPr>
              <w:t>4</w:t>
            </w:r>
            <w:r>
              <w:rPr>
                <w:rFonts w:hint="eastAsia" w:ascii="宋体" w:hAnsi="宋体" w:cs="宋体"/>
                <w:b/>
                <w:bCs/>
                <w:szCs w:val="21"/>
              </w:rPr>
              <w:t>.在不涉及到现有功能框架改动的情况下，质保期内供应商应该根据采购人的业务需求、政策性要求等，对项目内的软件产品进行相应的客户化修改，如上级部门要求的报表等。</w:t>
            </w:r>
          </w:p>
          <w:p w14:paraId="3AAC3676">
            <w:pPr>
              <w:spacing w:line="400" w:lineRule="exact"/>
              <w:rPr>
                <w:rFonts w:ascii="宋体" w:hAnsi="宋体" w:cs="宋体"/>
                <w:szCs w:val="21"/>
              </w:rPr>
            </w:pPr>
            <w:r>
              <w:rPr>
                <w:rFonts w:ascii="宋体" w:hAnsi="宋体" w:cs="宋体"/>
                <w:szCs w:val="21"/>
              </w:rPr>
              <w:t>5</w:t>
            </w:r>
            <w:r>
              <w:rPr>
                <w:rFonts w:hint="eastAsia" w:ascii="宋体" w:hAnsi="宋体" w:cs="宋体"/>
                <w:szCs w:val="21"/>
              </w:rPr>
              <w:t>.培训：</w:t>
            </w:r>
          </w:p>
          <w:p w14:paraId="7BB21EE9">
            <w:pPr>
              <w:spacing w:line="400" w:lineRule="exact"/>
              <w:rPr>
                <w:rFonts w:ascii="宋体" w:hAnsi="宋体" w:cs="宋体"/>
                <w:szCs w:val="21"/>
              </w:rPr>
            </w:pPr>
            <w:r>
              <w:rPr>
                <w:rFonts w:hint="eastAsia" w:ascii="宋体" w:hAnsi="宋体" w:cs="宋体"/>
                <w:szCs w:val="21"/>
              </w:rPr>
              <w:t>（1）对采购人所有相关操作人员进行相关软件应用免费培训，形式、频次不限，直至所有操作人员均可熟练操作；</w:t>
            </w:r>
          </w:p>
          <w:p w14:paraId="7B58CCDF">
            <w:pPr>
              <w:spacing w:line="400" w:lineRule="exact"/>
              <w:rPr>
                <w:rFonts w:ascii="宋体" w:hAnsi="宋体" w:cs="宋体"/>
                <w:szCs w:val="21"/>
              </w:rPr>
            </w:pPr>
            <w:r>
              <w:rPr>
                <w:rFonts w:hint="eastAsia" w:ascii="宋体" w:hAnsi="宋体" w:cs="宋体"/>
                <w:szCs w:val="21"/>
              </w:rPr>
              <w:t>（2）对采购人网络系统管理员进行系统相关技术培训，形式、频次不限，直至网络系统管理均可熟练操作；</w:t>
            </w:r>
          </w:p>
          <w:p w14:paraId="18B88D83">
            <w:pPr>
              <w:spacing w:line="400" w:lineRule="exact"/>
              <w:rPr>
                <w:rFonts w:ascii="宋体" w:hAnsi="宋体" w:cs="宋体"/>
                <w:szCs w:val="21"/>
              </w:rPr>
            </w:pPr>
            <w:r>
              <w:rPr>
                <w:rFonts w:hint="eastAsia" w:ascii="宋体" w:hAnsi="宋体" w:cs="宋体"/>
                <w:szCs w:val="21"/>
              </w:rPr>
              <w:t>（3）自进场实施开始，供应商应允许采购人的相关人员一起参与系统的安装、测试、诊断及相关问题的解释等各项工作，并接受采购人的监督。</w:t>
            </w:r>
          </w:p>
        </w:tc>
      </w:tr>
      <w:tr w14:paraId="469B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1EB0F0BF">
            <w:pPr>
              <w:spacing w:line="400" w:lineRule="exact"/>
              <w:jc w:val="center"/>
              <w:rPr>
                <w:rFonts w:ascii="宋体" w:hAnsi="宋体" w:cs="宋体"/>
                <w:b/>
                <w:bCs/>
                <w:szCs w:val="21"/>
              </w:rPr>
            </w:pPr>
            <w:r>
              <w:rPr>
                <w:rFonts w:hint="eastAsia" w:ascii="宋体" w:hAnsi="宋体" w:cs="宋体"/>
                <w:b/>
                <w:bCs/>
                <w:szCs w:val="21"/>
              </w:rPr>
              <w:t>▲交付使用期及交货地点</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051092C0">
            <w:pPr>
              <w:spacing w:line="400" w:lineRule="exact"/>
              <w:jc w:val="left"/>
              <w:rPr>
                <w:rFonts w:ascii="宋体" w:hAnsi="宋体" w:cs="宋体"/>
                <w:b/>
                <w:bCs/>
                <w:szCs w:val="21"/>
              </w:rPr>
            </w:pPr>
            <w:r>
              <w:rPr>
                <w:rFonts w:hint="eastAsia" w:ascii="宋体" w:hAnsi="宋体" w:cs="宋体"/>
                <w:b/>
                <w:bCs/>
                <w:szCs w:val="21"/>
              </w:rPr>
              <w:t>1.交付使用期：自合同签订之日起</w:t>
            </w:r>
            <w:r>
              <w:rPr>
                <w:rFonts w:hint="eastAsia" w:ascii="宋体" w:hAnsi="宋体" w:cs="宋体"/>
                <w:b/>
                <w:bCs/>
                <w:szCs w:val="21"/>
                <w:lang w:val="en-US" w:eastAsia="zh-CN"/>
              </w:rPr>
              <w:t>180</w:t>
            </w:r>
            <w:r>
              <w:rPr>
                <w:rFonts w:hint="eastAsia" w:ascii="宋体" w:hAnsi="宋体" w:cs="宋体"/>
                <w:b/>
                <w:bCs/>
                <w:szCs w:val="21"/>
              </w:rPr>
              <w:t>个日历日内安装调试完毕交付使用。</w:t>
            </w:r>
          </w:p>
          <w:p w14:paraId="67DA8E8A">
            <w:pPr>
              <w:spacing w:line="400" w:lineRule="exact"/>
              <w:jc w:val="left"/>
              <w:rPr>
                <w:rFonts w:ascii="宋体" w:hAnsi="宋体" w:cs="宋体"/>
                <w:b/>
                <w:bCs/>
                <w:szCs w:val="21"/>
              </w:rPr>
            </w:pPr>
            <w:r>
              <w:rPr>
                <w:rFonts w:hint="eastAsia" w:ascii="宋体" w:hAnsi="宋体" w:cs="宋体"/>
                <w:b/>
                <w:bCs/>
                <w:szCs w:val="21"/>
              </w:rPr>
              <w:t>2.交货地点：</w:t>
            </w:r>
            <w:r>
              <w:rPr>
                <w:rFonts w:hint="eastAsia" w:ascii="宋体" w:hAnsi="宋体" w:cs="宋体"/>
                <w:b/>
                <w:bCs/>
                <w:szCs w:val="21"/>
                <w:lang w:eastAsia="zh-CN"/>
              </w:rPr>
              <w:t>灵山县</w:t>
            </w:r>
            <w:r>
              <w:rPr>
                <w:rFonts w:hint="eastAsia" w:ascii="宋体" w:hAnsi="宋体" w:cs="宋体"/>
                <w:b/>
                <w:bCs/>
                <w:szCs w:val="21"/>
              </w:rPr>
              <w:t>内采购人指定地点。</w:t>
            </w:r>
          </w:p>
        </w:tc>
      </w:tr>
      <w:tr w14:paraId="31A4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915DCE7">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▲付款方式</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66C86A59">
            <w:pPr>
              <w:spacing w:line="400" w:lineRule="exact"/>
              <w:jc w:val="left"/>
              <w:rPr>
                <w:rFonts w:ascii="宋体" w:hAnsi="宋体" w:cs="宋体"/>
                <w:b/>
                <w:bCs/>
                <w:color w:val="auto"/>
                <w:szCs w:val="21"/>
                <w:highlight w:val="none"/>
              </w:rPr>
            </w:pPr>
            <w:r>
              <w:rPr>
                <w:rFonts w:hint="eastAsia" w:ascii="宋体" w:hAnsi="宋体" w:cs="宋体"/>
                <w:b/>
                <w:bCs/>
                <w:color w:val="auto"/>
                <w:sz w:val="21"/>
                <w:szCs w:val="21"/>
                <w:highlight w:val="none"/>
                <w:lang w:eastAsia="zh-CN"/>
              </w:rPr>
              <w:t>在项目验收合格正常使用后，中标人开具有效的全额发票给采购人，采购人收到发票后自通过验收之日起12个月内支付中标金额的100%。</w:t>
            </w:r>
          </w:p>
        </w:tc>
      </w:tr>
      <w:tr w14:paraId="2710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1AC38093">
            <w:pPr>
              <w:shd w:val="clear" w:color="auto" w:fill="FFFFFF"/>
              <w:spacing w:line="400" w:lineRule="exact"/>
              <w:jc w:val="center"/>
              <w:rPr>
                <w:rFonts w:ascii="宋体" w:hAnsi="宋体" w:cs="宋体"/>
                <w:szCs w:val="21"/>
              </w:rPr>
            </w:pPr>
            <w:r>
              <w:rPr>
                <w:rFonts w:hint="eastAsia" w:ascii="宋体" w:hAnsi="宋体" w:cs="宋体"/>
                <w:color w:val="000000"/>
                <w:szCs w:val="21"/>
              </w:rPr>
              <w:t>验收要求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5928503B">
            <w:pPr>
              <w:spacing w:line="400" w:lineRule="exact"/>
              <w:rPr>
                <w:rFonts w:ascii="宋体" w:hAnsi="宋体" w:cs="宋体"/>
                <w:szCs w:val="21"/>
              </w:rPr>
            </w:pPr>
            <w:r>
              <w:rPr>
                <w:rFonts w:hint="eastAsia" w:ascii="宋体" w:hAnsi="宋体" w:cs="宋体"/>
                <w:szCs w:val="21"/>
              </w:rPr>
              <w:t>1.软件系统安装完工后由供应商和采购人共同验收，供应商须为验收提供必需的设备、工具及其他便利条件。若验收合格则出具验收合格报告。</w:t>
            </w:r>
          </w:p>
          <w:p w14:paraId="7A9AD68D">
            <w:pPr>
              <w:spacing w:line="400" w:lineRule="exact"/>
              <w:rPr>
                <w:rFonts w:ascii="宋体" w:hAnsi="宋体" w:cs="宋体"/>
                <w:szCs w:val="21"/>
              </w:rPr>
            </w:pPr>
            <w:r>
              <w:rPr>
                <w:rFonts w:hint="eastAsia" w:ascii="宋体" w:hAnsi="宋体" w:cs="宋体"/>
                <w:szCs w:val="21"/>
              </w:rPr>
              <w:t>2.软件系统调试期间，在采购人的监督下进行调试。测试软件及相关设备是否正常运行，能否达到招标文件中所要求的标准。</w:t>
            </w:r>
          </w:p>
          <w:p w14:paraId="2125C760">
            <w:pPr>
              <w:spacing w:line="400" w:lineRule="exact"/>
              <w:rPr>
                <w:rFonts w:ascii="宋体" w:hAnsi="宋体" w:cs="宋体"/>
                <w:szCs w:val="21"/>
              </w:rPr>
            </w:pPr>
            <w:r>
              <w:rPr>
                <w:rFonts w:hint="eastAsia" w:ascii="宋体" w:hAnsi="宋体" w:cs="宋体"/>
                <w:szCs w:val="21"/>
              </w:rPr>
              <w:t>3.软件系统调试期间，按采购人要求对操作人员提供免费培训和培训考核。</w:t>
            </w:r>
          </w:p>
          <w:p w14:paraId="415E73EF">
            <w:pPr>
              <w:spacing w:line="400" w:lineRule="exact"/>
              <w:rPr>
                <w:rFonts w:ascii="宋体" w:hAnsi="宋体" w:cs="宋体"/>
                <w:szCs w:val="21"/>
              </w:rPr>
            </w:pPr>
            <w:r>
              <w:rPr>
                <w:rFonts w:hint="eastAsia" w:ascii="宋体" w:hAnsi="宋体" w:cs="宋体"/>
                <w:szCs w:val="21"/>
              </w:rPr>
              <w:t>4.验收标准以本次招投标文件及合同中所规定的相关要求为准。</w:t>
            </w:r>
          </w:p>
          <w:p w14:paraId="5F926B4B">
            <w:pPr>
              <w:spacing w:line="400" w:lineRule="exact"/>
              <w:rPr>
                <w:rFonts w:ascii="宋体" w:hAnsi="宋体" w:cs="宋体"/>
                <w:szCs w:val="21"/>
              </w:rPr>
            </w:pPr>
            <w:r>
              <w:rPr>
                <w:rFonts w:hint="eastAsia" w:ascii="宋体" w:hAnsi="宋体" w:cs="宋体"/>
                <w:szCs w:val="21"/>
              </w:rPr>
              <w:t>5.符合合同要求及国家相关标准。</w:t>
            </w:r>
          </w:p>
          <w:p w14:paraId="0F2B036D">
            <w:pPr>
              <w:spacing w:line="400" w:lineRule="exact"/>
              <w:rPr>
                <w:rFonts w:ascii="宋体" w:hAnsi="宋体" w:cs="宋体"/>
                <w:szCs w:val="21"/>
              </w:rPr>
            </w:pPr>
            <w:r>
              <w:rPr>
                <w:rFonts w:hint="eastAsia" w:ascii="宋体" w:hAnsi="宋体" w:cs="宋体"/>
                <w:szCs w:val="21"/>
              </w:rPr>
              <w:t>6.服务内容符合或优于合同要求。</w:t>
            </w:r>
          </w:p>
          <w:p w14:paraId="002F24A6">
            <w:pPr>
              <w:spacing w:line="400" w:lineRule="exact"/>
              <w:rPr>
                <w:rFonts w:ascii="宋体" w:hAnsi="宋体" w:cs="宋体"/>
                <w:szCs w:val="21"/>
              </w:rPr>
            </w:pPr>
            <w:r>
              <w:rPr>
                <w:rFonts w:hint="eastAsia" w:ascii="宋体" w:hAnsi="宋体" w:cs="宋体"/>
                <w:szCs w:val="21"/>
              </w:rPr>
              <w:t>7.验收过程中所产生的一切费用均由中标人承担，中标人报价时应考虑相关费用。</w:t>
            </w:r>
          </w:p>
          <w:p w14:paraId="2B9DA2B0">
            <w:pPr>
              <w:spacing w:line="400" w:lineRule="exact"/>
              <w:rPr>
                <w:rFonts w:ascii="宋体" w:hAnsi="宋体" w:cs="宋体"/>
                <w:szCs w:val="21"/>
              </w:rPr>
            </w:pPr>
            <w:r>
              <w:rPr>
                <w:rFonts w:hint="eastAsia" w:ascii="宋体" w:hAnsi="宋体" w:cs="宋体"/>
                <w:szCs w:val="21"/>
              </w:rPr>
              <w:t>8.中标人在服务成果验收时由采购单位对照招标文件的服务参数全面核对检验，对所有要求出具的证明文件的原件进行核查，如不符合招标文件的服务需求以及提供虚假承诺的，按相关规定作违约处理，中标人承担所有责任和费用，采购人保留进一步追究责任的权利。</w:t>
            </w:r>
          </w:p>
          <w:p w14:paraId="5976FE1F">
            <w:pPr>
              <w:spacing w:line="400" w:lineRule="exact"/>
              <w:rPr>
                <w:rFonts w:ascii="宋体" w:hAnsi="宋体" w:cs="宋体"/>
                <w:szCs w:val="21"/>
              </w:rPr>
            </w:pPr>
            <w:r>
              <w:rPr>
                <w:rFonts w:hint="eastAsia" w:ascii="宋体" w:hAnsi="宋体" w:cs="宋体"/>
                <w:szCs w:val="21"/>
              </w:rPr>
              <w:t>9.采购标的需执行国家标准、行业标准、地方标准或者其他标准、规范，如有最新的按最新的执行。</w:t>
            </w:r>
          </w:p>
          <w:p w14:paraId="44FFDEBA">
            <w:pPr>
              <w:spacing w:line="400" w:lineRule="exact"/>
              <w:rPr>
                <w:rFonts w:ascii="宋体" w:hAnsi="宋体" w:cs="宋体"/>
                <w:szCs w:val="21"/>
              </w:rPr>
            </w:pPr>
            <w:r>
              <w:rPr>
                <w:rFonts w:hint="eastAsia" w:ascii="宋体" w:hAnsi="宋体" w:cs="宋体"/>
                <w:szCs w:val="21"/>
              </w:rPr>
              <w:t>10.验收不通过的，根据采购人意见进行整改，直到验收通过为止，期间产生相关费用由中标人承担。</w:t>
            </w:r>
          </w:p>
        </w:tc>
      </w:tr>
      <w:tr w14:paraId="7997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A1F6E5">
            <w:pPr>
              <w:pStyle w:val="202"/>
              <w:spacing w:line="400" w:lineRule="exact"/>
              <w:ind w:firstLine="0" w:firstLineChars="0"/>
              <w:jc w:val="center"/>
              <w:rPr>
                <w:rFonts w:ascii="宋体" w:hAnsi="宋体" w:cs="宋体"/>
                <w:b/>
                <w:color w:val="000000"/>
                <w:szCs w:val="21"/>
              </w:rPr>
            </w:pPr>
            <w:r>
              <w:rPr>
                <w:rFonts w:hint="eastAsia" w:ascii="宋体" w:hAnsi="宋体" w:cs="宋体"/>
                <w:bCs/>
                <w:szCs w:val="21"/>
              </w:rPr>
              <w:t>其他要求</w:t>
            </w:r>
          </w:p>
        </w:tc>
        <w:tc>
          <w:tcPr>
            <w:tcW w:w="86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898A75">
            <w:pPr>
              <w:spacing w:line="400" w:lineRule="exact"/>
              <w:rPr>
                <w:rFonts w:ascii="宋体" w:hAnsi="宋体" w:cs="宋体"/>
                <w:bCs/>
                <w:szCs w:val="21"/>
              </w:rPr>
            </w:pPr>
            <w:r>
              <w:rPr>
                <w:rFonts w:hint="eastAsia" w:ascii="宋体" w:hAnsi="宋体" w:cs="宋体"/>
                <w:b/>
                <w:szCs w:val="21"/>
              </w:rPr>
              <w:t>▲</w:t>
            </w:r>
            <w:r>
              <w:rPr>
                <w:rFonts w:ascii="宋体" w:hAnsi="宋体" w:cs="宋体"/>
                <w:b/>
                <w:szCs w:val="21"/>
              </w:rPr>
              <w:t>1</w:t>
            </w:r>
            <w:r>
              <w:rPr>
                <w:rFonts w:hint="eastAsia" w:ascii="宋体" w:hAnsi="宋体" w:cs="宋体"/>
                <w:b/>
                <w:szCs w:val="21"/>
              </w:rPr>
              <w:t>.知识产权保护要求：供应商应对投标文件内容所涉及的专利承担责任，并负责保护业主的利益不受任何损害。一切由于文字、商标、技术和软件专利授权引起的法律裁决、诉讼和赔偿费用均由中标人负责。所使用的设备、材料须符合国家有关标准要求。</w:t>
            </w:r>
          </w:p>
          <w:p w14:paraId="5891671F">
            <w:pPr>
              <w:spacing w:line="400" w:lineRule="exact"/>
              <w:rPr>
                <w:rFonts w:ascii="宋体" w:hAnsi="宋体" w:cs="宋体"/>
                <w:b/>
                <w:szCs w:val="21"/>
              </w:rPr>
            </w:pPr>
            <w:r>
              <w:rPr>
                <w:rFonts w:hint="eastAsia" w:ascii="宋体" w:hAnsi="宋体" w:cs="宋体"/>
                <w:b/>
                <w:szCs w:val="21"/>
              </w:rPr>
              <w:t>▲</w:t>
            </w:r>
            <w:r>
              <w:rPr>
                <w:rFonts w:ascii="宋体" w:hAnsi="宋体" w:cs="宋体"/>
                <w:b/>
                <w:szCs w:val="21"/>
              </w:rPr>
              <w:t>2</w:t>
            </w:r>
            <w:r>
              <w:rPr>
                <w:rFonts w:hint="eastAsia" w:ascii="宋体" w:hAnsi="宋体" w:cs="宋体"/>
                <w:b/>
                <w:szCs w:val="21"/>
              </w:rPr>
              <w:t>.交付时，中标产品均严格按照签订的政府采购合同、供应商响应和承诺的技术参数及性能和国家有关标准进行验收，达不到要求的不予验收，视为产品验收不合格，采购人可解除双方的供货合同。</w:t>
            </w:r>
          </w:p>
          <w:p w14:paraId="5D2DE814">
            <w:pPr>
              <w:spacing w:line="400" w:lineRule="exact"/>
              <w:rPr>
                <w:rFonts w:ascii="宋体" w:hAnsi="宋体" w:cs="宋体"/>
                <w:b/>
                <w:szCs w:val="21"/>
              </w:rPr>
            </w:pPr>
            <w:r>
              <w:rPr>
                <w:rFonts w:hint="eastAsia" w:ascii="宋体" w:hAnsi="宋体" w:cs="宋体"/>
                <w:b/>
                <w:szCs w:val="21"/>
              </w:rPr>
              <w:t>▲</w:t>
            </w:r>
            <w:r>
              <w:rPr>
                <w:rFonts w:ascii="宋体" w:hAnsi="宋体" w:cs="宋体"/>
                <w:b/>
                <w:szCs w:val="21"/>
              </w:rPr>
              <w:t>3</w:t>
            </w:r>
            <w:r>
              <w:rPr>
                <w:rFonts w:hint="eastAsia" w:ascii="宋体" w:hAnsi="宋体" w:cs="宋体"/>
                <w:b/>
                <w:szCs w:val="21"/>
              </w:rPr>
              <w:t>供应商所使用产品，在质保期如有质量监督部门要求对产品进行检测、检验时，必须派出所使用产品生产厂家代表协助检查，无论产品有无质量问题，供应商均应承担全部费用及相应的责任。</w:t>
            </w:r>
          </w:p>
          <w:p w14:paraId="452D1C9C">
            <w:pPr>
              <w:spacing w:line="400" w:lineRule="exact"/>
              <w:rPr>
                <w:rFonts w:ascii="宋体" w:hAnsi="宋体" w:cs="宋体"/>
                <w:b/>
                <w:szCs w:val="21"/>
              </w:rPr>
            </w:pPr>
            <w:r>
              <w:rPr>
                <w:rFonts w:hint="eastAsia" w:ascii="宋体" w:hAnsi="宋体" w:cs="宋体"/>
                <w:b/>
                <w:szCs w:val="21"/>
              </w:rPr>
              <w:t>▲</w:t>
            </w:r>
            <w:r>
              <w:rPr>
                <w:rFonts w:ascii="宋体" w:hAnsi="宋体" w:cs="宋体"/>
                <w:b/>
                <w:szCs w:val="21"/>
              </w:rPr>
              <w:t>4</w:t>
            </w:r>
            <w:r>
              <w:rPr>
                <w:rFonts w:hint="eastAsia" w:ascii="宋体" w:hAnsi="宋体" w:cs="宋体"/>
                <w:b/>
                <w:szCs w:val="21"/>
              </w:rPr>
              <w:t>.系统在实施过程及完成后，所产生的运行数据的所有权属采购方。中标人对这些运行数据有保密义务，不经采购人同意，不得使用、引用任何运行数据。</w:t>
            </w:r>
          </w:p>
          <w:p w14:paraId="6EAF623D">
            <w:pPr>
              <w:spacing w:line="400" w:lineRule="exact"/>
              <w:rPr>
                <w:rFonts w:ascii="宋体" w:hAnsi="宋体" w:cs="宋体"/>
                <w:b/>
                <w:szCs w:val="21"/>
              </w:rPr>
            </w:pPr>
            <w:r>
              <w:rPr>
                <w:rFonts w:hint="eastAsia" w:ascii="宋体" w:hAnsi="宋体" w:cs="宋体"/>
                <w:b/>
                <w:szCs w:val="21"/>
              </w:rPr>
              <w:t>▲</w:t>
            </w:r>
            <w:r>
              <w:rPr>
                <w:rFonts w:ascii="宋体" w:hAnsi="宋体" w:cs="宋体"/>
                <w:b/>
                <w:szCs w:val="21"/>
              </w:rPr>
              <w:t>5</w:t>
            </w:r>
            <w:r>
              <w:rPr>
                <w:rFonts w:hint="eastAsia" w:ascii="宋体" w:hAnsi="宋体" w:cs="宋体"/>
                <w:b/>
                <w:szCs w:val="21"/>
              </w:rPr>
              <w:t>.系统的数据库所有权属采购人，系统正常运行后，中标人应向采购人移交数据库管理权。</w:t>
            </w:r>
          </w:p>
          <w:p w14:paraId="5958A8A2">
            <w:pPr>
              <w:spacing w:line="400" w:lineRule="exact"/>
              <w:rPr>
                <w:rFonts w:ascii="宋体" w:hAnsi="宋体" w:cs="宋体"/>
                <w:b/>
                <w:szCs w:val="21"/>
              </w:rPr>
            </w:pPr>
            <w:r>
              <w:rPr>
                <w:rFonts w:hint="eastAsia" w:ascii="宋体" w:hAnsi="宋体" w:cs="宋体"/>
                <w:b/>
                <w:szCs w:val="21"/>
              </w:rPr>
              <w:t>▲</w:t>
            </w:r>
            <w:r>
              <w:rPr>
                <w:rFonts w:ascii="宋体" w:hAnsi="宋体" w:cs="宋体"/>
                <w:b/>
                <w:szCs w:val="21"/>
              </w:rPr>
              <w:t>6</w:t>
            </w:r>
            <w:r>
              <w:rPr>
                <w:rFonts w:hint="eastAsia" w:ascii="宋体" w:hAnsi="宋体" w:cs="宋体"/>
                <w:b/>
                <w:szCs w:val="21"/>
              </w:rPr>
              <w:t>.采购人或经采购人允许的第三方需要提取运行数据时，中标人应无条件支持、配合，向采购人提供相关技术文档，如数据库表结构说明等。如果运行数据是专有格式的文件，中标人必须向采购人提供解析工具或技术，如果运行数据是加密的，中标人必须向采购人提供解密工具、技术。</w:t>
            </w:r>
          </w:p>
          <w:p w14:paraId="394A2D0A">
            <w:pPr>
              <w:spacing w:line="400" w:lineRule="exact"/>
              <w:rPr>
                <w:rFonts w:ascii="宋体" w:hAnsi="宋体" w:cs="宋体"/>
                <w:bCs/>
                <w:szCs w:val="21"/>
              </w:rPr>
            </w:pPr>
            <w:r>
              <w:rPr>
                <w:rFonts w:ascii="宋体" w:hAnsi="宋体" w:cs="宋体"/>
                <w:bCs/>
                <w:szCs w:val="21"/>
              </w:rPr>
              <w:t>7</w:t>
            </w:r>
            <w:r>
              <w:rPr>
                <w:rFonts w:hint="eastAsia" w:ascii="宋体" w:hAnsi="宋体" w:cs="宋体"/>
                <w:bCs/>
                <w:szCs w:val="21"/>
              </w:rPr>
              <w:t>.上述第</w:t>
            </w:r>
            <w:r>
              <w:rPr>
                <w:rFonts w:ascii="宋体" w:hAnsi="宋体" w:cs="宋体"/>
                <w:bCs/>
                <w:szCs w:val="21"/>
              </w:rPr>
              <w:t>4</w:t>
            </w:r>
            <w:r>
              <w:rPr>
                <w:rFonts w:hint="eastAsia" w:ascii="宋体" w:hAnsi="宋体" w:cs="宋体"/>
                <w:bCs/>
                <w:szCs w:val="21"/>
              </w:rPr>
              <w:t>、</w:t>
            </w:r>
            <w:r>
              <w:rPr>
                <w:rFonts w:ascii="宋体" w:hAnsi="宋体" w:cs="宋体"/>
                <w:bCs/>
                <w:szCs w:val="21"/>
              </w:rPr>
              <w:t>6</w:t>
            </w:r>
            <w:r>
              <w:rPr>
                <w:rFonts w:hint="eastAsia" w:ascii="宋体" w:hAnsi="宋体" w:cs="宋体"/>
                <w:bCs/>
                <w:szCs w:val="21"/>
              </w:rPr>
              <w:t>条款中的“运行数据”，是指系统在实施或运行过程中所产生的人员信息数据、医疗数据及与其它相关的数据（如字典数据等），包括但不限于文本、图片及某种格式的文件。运行数据一般存放于系统内的服务器上、数据库内，不包括中标人为了版权保护而设置的数据。中标人的版权保护措施不得影响上述第</w:t>
            </w:r>
            <w:r>
              <w:rPr>
                <w:rFonts w:ascii="宋体" w:hAnsi="宋体" w:cs="宋体"/>
                <w:bCs/>
                <w:szCs w:val="21"/>
              </w:rPr>
              <w:t>4</w:t>
            </w:r>
            <w:r>
              <w:rPr>
                <w:rFonts w:hint="eastAsia" w:ascii="宋体" w:hAnsi="宋体" w:cs="宋体"/>
                <w:bCs/>
                <w:szCs w:val="21"/>
              </w:rPr>
              <w:t>、</w:t>
            </w:r>
            <w:r>
              <w:rPr>
                <w:rFonts w:ascii="宋体" w:hAnsi="宋体" w:cs="宋体"/>
                <w:bCs/>
                <w:szCs w:val="21"/>
              </w:rPr>
              <w:t>6</w:t>
            </w:r>
            <w:r>
              <w:rPr>
                <w:rFonts w:hint="eastAsia" w:ascii="宋体" w:hAnsi="宋体" w:cs="宋体"/>
                <w:bCs/>
                <w:szCs w:val="21"/>
              </w:rPr>
              <w:t>条款。</w:t>
            </w:r>
          </w:p>
          <w:p w14:paraId="6DAE9878">
            <w:pPr>
              <w:spacing w:line="400" w:lineRule="exact"/>
              <w:rPr>
                <w:rFonts w:ascii="宋体" w:hAnsi="宋体" w:cs="宋体"/>
                <w:b/>
                <w:szCs w:val="21"/>
              </w:rPr>
            </w:pPr>
            <w:r>
              <w:rPr>
                <w:rFonts w:hint="eastAsia" w:ascii="宋体" w:hAnsi="宋体" w:cs="宋体"/>
                <w:b/>
                <w:szCs w:val="21"/>
              </w:rPr>
              <w:t>▲</w:t>
            </w:r>
            <w:r>
              <w:rPr>
                <w:rFonts w:ascii="宋体" w:hAnsi="宋体" w:cs="宋体"/>
                <w:b/>
                <w:szCs w:val="21"/>
              </w:rPr>
              <w:t>8</w:t>
            </w:r>
            <w:r>
              <w:rPr>
                <w:rFonts w:hint="eastAsia" w:ascii="宋体" w:hAnsi="宋体" w:cs="宋体"/>
                <w:b/>
                <w:szCs w:val="21"/>
              </w:rPr>
              <w:t>.本项目中的所使用各种产品必须符合国家关于网络信息安全的相关政策、法规等要求，并严格按照采购方关于网络信息安全的具体要求，合理安装、配置服务器操作系统、数据库、应用服务软件等。采购人可能因为网络信息安全的要求需要对服务器、数据库或其它设备进行配置变更，如果配置变更影响到系统运行，双方应友好协商解决，优先考虑安全。采购人由于安全或其它原因进行网络调整时，如果系统服务器需要进行硬件升级或者系统软件（或服务）要迁移到另外服务器上时，中标人必须无条件配合（质保期内，中标人无偿提供服务；质保期外，中标人如需派出人员到采购人现场的，服务所需的旅差费、住宿费、伙食费、劳务费等合理费用由中标人与采购人自行协商）。</w:t>
            </w:r>
          </w:p>
          <w:p w14:paraId="5E1C2A81">
            <w:pPr>
              <w:spacing w:line="400" w:lineRule="exact"/>
              <w:rPr>
                <w:rFonts w:ascii="宋体" w:hAnsi="宋体" w:cs="宋体"/>
                <w:b/>
                <w:bCs/>
                <w:color w:val="000000"/>
                <w:szCs w:val="21"/>
              </w:rPr>
            </w:pPr>
            <w:r>
              <w:rPr>
                <w:rFonts w:hint="eastAsia" w:ascii="宋体" w:hAnsi="宋体" w:cs="宋体"/>
                <w:b/>
                <w:szCs w:val="21"/>
              </w:rPr>
              <w:t>▲</w:t>
            </w:r>
            <w:r>
              <w:rPr>
                <w:rFonts w:ascii="宋体" w:hAnsi="宋体" w:cs="宋体"/>
                <w:b/>
                <w:szCs w:val="21"/>
              </w:rPr>
              <w:t>9</w:t>
            </w:r>
            <w:r>
              <w:rPr>
                <w:rFonts w:hint="eastAsia" w:ascii="宋体" w:hAnsi="宋体" w:cs="宋体"/>
                <w:b/>
                <w:szCs w:val="21"/>
              </w:rPr>
              <w:t>.本政府采购项目现执行的有关政策、法律及法规，如有与国家最新发布的政策、法律及法规相抵触时，中标人必须无条件按照最新规定执行，且造成的损失均由中标人自行承担。</w:t>
            </w:r>
          </w:p>
        </w:tc>
      </w:tr>
      <w:tr w14:paraId="3EF9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3526979">
            <w:pPr>
              <w:spacing w:line="400" w:lineRule="exact"/>
              <w:jc w:val="center"/>
              <w:rPr>
                <w:rFonts w:ascii="宋体" w:hAnsi="宋体" w:cs="宋体"/>
                <w:b/>
                <w:bCs/>
                <w:szCs w:val="21"/>
              </w:rPr>
            </w:pPr>
            <w:r>
              <w:rPr>
                <w:rFonts w:hint="eastAsia" w:ascii="宋体" w:hAnsi="宋体" w:cs="宋体"/>
                <w:b/>
                <w:bCs/>
                <w:color w:val="000000"/>
                <w:szCs w:val="21"/>
              </w:rPr>
              <w:t>▲保密要求</w:t>
            </w:r>
          </w:p>
        </w:tc>
        <w:tc>
          <w:tcPr>
            <w:tcW w:w="8683" w:type="dxa"/>
            <w:gridSpan w:val="4"/>
            <w:tcBorders>
              <w:top w:val="single" w:color="auto" w:sz="4" w:space="0"/>
              <w:left w:val="single" w:color="auto" w:sz="4" w:space="0"/>
              <w:bottom w:val="single" w:color="auto" w:sz="4" w:space="0"/>
              <w:right w:val="single" w:color="auto" w:sz="4" w:space="0"/>
            </w:tcBorders>
            <w:vAlign w:val="center"/>
          </w:tcPr>
          <w:p w14:paraId="4BA52F7B">
            <w:pPr>
              <w:pStyle w:val="27"/>
              <w:spacing w:line="400" w:lineRule="exact"/>
              <w:jc w:val="left"/>
              <w:rPr>
                <w:rFonts w:hAnsi="宋体" w:cs="宋体"/>
                <w:b/>
                <w:bCs/>
              </w:rPr>
            </w:pPr>
            <w:r>
              <w:rPr>
                <w:rFonts w:hint="eastAsia" w:hAnsi="宋体" w:cs="宋体"/>
                <w:b/>
                <w:bCs/>
              </w:rPr>
              <w:t>1.信息安全保密要求</w:t>
            </w:r>
          </w:p>
          <w:p w14:paraId="1B1B6A70">
            <w:pPr>
              <w:pStyle w:val="27"/>
              <w:spacing w:line="400" w:lineRule="exact"/>
              <w:jc w:val="left"/>
              <w:rPr>
                <w:rFonts w:hAnsi="宋体" w:cs="宋体"/>
                <w:b/>
                <w:bCs/>
              </w:rPr>
            </w:pPr>
            <w:r>
              <w:rPr>
                <w:rFonts w:hint="eastAsia" w:hAnsi="宋体" w:cs="宋体"/>
                <w:b/>
                <w:bCs/>
              </w:rPr>
              <w:t>（1）必须严格遵守采购人的安全保密制度；</w:t>
            </w:r>
          </w:p>
          <w:p w14:paraId="05CEFB9F">
            <w:pPr>
              <w:pStyle w:val="27"/>
              <w:spacing w:line="400" w:lineRule="exact"/>
              <w:jc w:val="left"/>
              <w:rPr>
                <w:rFonts w:hAnsi="宋体" w:cs="宋体"/>
                <w:b/>
                <w:bCs/>
              </w:rPr>
            </w:pPr>
            <w:r>
              <w:rPr>
                <w:rFonts w:hint="eastAsia" w:hAnsi="宋体" w:cs="宋体"/>
                <w:b/>
                <w:bCs/>
              </w:rPr>
              <w:t>（2）项目人员需保证遵守国家有关版权和知识产权保护的政策、法律、法规和制度。</w:t>
            </w:r>
          </w:p>
          <w:p w14:paraId="7097A753">
            <w:pPr>
              <w:pStyle w:val="27"/>
              <w:spacing w:line="400" w:lineRule="exact"/>
              <w:jc w:val="left"/>
              <w:rPr>
                <w:rFonts w:hAnsi="宋体" w:cs="宋体"/>
                <w:b/>
                <w:bCs/>
              </w:rPr>
            </w:pPr>
            <w:r>
              <w:rPr>
                <w:rFonts w:hint="eastAsia" w:hAnsi="宋体" w:cs="宋体"/>
                <w:b/>
                <w:bCs/>
              </w:rPr>
              <w:t>（3）项目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泄漏任何相关数据，不向外泄漏任何保密的技术资料。如出现支持人员泄密事件，中标人应负有连带责任。</w:t>
            </w:r>
          </w:p>
          <w:p w14:paraId="04FB0D92">
            <w:pPr>
              <w:pStyle w:val="27"/>
              <w:spacing w:line="400" w:lineRule="exact"/>
              <w:jc w:val="left"/>
              <w:rPr>
                <w:rFonts w:hAnsi="宋体" w:cs="宋体"/>
                <w:b/>
                <w:bCs/>
              </w:rPr>
            </w:pPr>
            <w:r>
              <w:rPr>
                <w:rFonts w:hint="eastAsia" w:hAnsi="宋体" w:cs="宋体"/>
                <w:b/>
                <w:bCs/>
              </w:rPr>
              <w:t>（4）中标人须与采购人签署合同项目实施期间的信息保密协议（格式由采购人提供）。</w:t>
            </w:r>
          </w:p>
          <w:p w14:paraId="2E445B9A">
            <w:pPr>
              <w:pStyle w:val="27"/>
              <w:spacing w:line="400" w:lineRule="exact"/>
              <w:jc w:val="left"/>
              <w:rPr>
                <w:rFonts w:hAnsi="宋体" w:cs="宋体"/>
                <w:b/>
                <w:bCs/>
              </w:rPr>
            </w:pPr>
            <w:r>
              <w:rPr>
                <w:rFonts w:hint="eastAsia" w:hAnsi="宋体" w:cs="宋体"/>
                <w:b/>
                <w:bCs/>
              </w:rPr>
              <w:t>2.中标人技术人员在合同期间应严格按采购人的网络安全和数据安全相关规定开展工作，由于中标人技术人员网络安全工作落实不到位引发安全事件的，中标人应承担有关法律责任。此外，由此造成甲方损失的，还应赔偿采购人一切经济损失（包括但不限于采购人的直接损失、可得利益等间接损失、因主张权利所产生的交通费、住宿费、诉讼费用、执行费、律师费等一切费用）。</w:t>
            </w:r>
          </w:p>
          <w:p w14:paraId="0F7AFA51">
            <w:pPr>
              <w:pStyle w:val="27"/>
              <w:spacing w:line="400" w:lineRule="exact"/>
              <w:jc w:val="left"/>
              <w:rPr>
                <w:rFonts w:hAnsi="宋体" w:cs="宋体"/>
                <w:b/>
                <w:bCs/>
              </w:rPr>
            </w:pPr>
            <w:r>
              <w:rPr>
                <w:rFonts w:hint="eastAsia" w:hAnsi="宋体" w:cs="宋体"/>
                <w:b/>
                <w:bCs/>
              </w:rPr>
              <w:t>安全事件具体内容主要包括（但不限于）以下内容：</w:t>
            </w:r>
          </w:p>
          <w:p w14:paraId="7BE1A0F5">
            <w:pPr>
              <w:pStyle w:val="27"/>
              <w:spacing w:line="400" w:lineRule="exact"/>
              <w:jc w:val="left"/>
              <w:rPr>
                <w:rFonts w:hAnsi="宋体" w:cs="宋体"/>
                <w:b/>
                <w:bCs/>
              </w:rPr>
            </w:pPr>
            <w:r>
              <w:rPr>
                <w:rFonts w:hint="eastAsia" w:hAnsi="宋体" w:cs="宋体"/>
                <w:b/>
                <w:bCs/>
              </w:rPr>
              <w:t>（1）因补丁升级、漏洞修复、系统杀毒、数据备份、应用监控、网络监控等工作未落实到位，发生服务器被控制和应用系统被攻破的安全事件，被主管部门通报的。</w:t>
            </w:r>
          </w:p>
          <w:p w14:paraId="19E8C54D">
            <w:pPr>
              <w:pStyle w:val="27"/>
              <w:spacing w:line="400" w:lineRule="exact"/>
              <w:jc w:val="left"/>
              <w:rPr>
                <w:rFonts w:hAnsi="宋体" w:cs="宋体"/>
                <w:b/>
                <w:bCs/>
              </w:rPr>
            </w:pPr>
            <w:r>
              <w:rPr>
                <w:rFonts w:hint="eastAsia" w:hAnsi="宋体" w:cs="宋体"/>
                <w:b/>
                <w:bCs/>
              </w:rPr>
              <w:t>（2）因违规进行数据查询、导出和拷出等操作造成敏感数据泄漏，以及发生非法窃取数据行为。</w:t>
            </w:r>
          </w:p>
          <w:p w14:paraId="11E5DCD6">
            <w:pPr>
              <w:pStyle w:val="27"/>
              <w:spacing w:line="400" w:lineRule="exact"/>
              <w:jc w:val="left"/>
              <w:rPr>
                <w:rFonts w:hAnsi="宋体" w:cs="宋体"/>
                <w:b/>
                <w:bCs/>
              </w:rPr>
            </w:pPr>
            <w:r>
              <w:rPr>
                <w:rFonts w:hint="eastAsia" w:hAnsi="宋体" w:cs="宋体"/>
                <w:b/>
                <w:bCs/>
              </w:rPr>
              <w:t>（3）因运维操作处置不当导致重要应用系统发生严重卡顿、停用的重大事件。</w:t>
            </w:r>
          </w:p>
          <w:p w14:paraId="3A55CA9F">
            <w:pPr>
              <w:pStyle w:val="27"/>
              <w:spacing w:line="400" w:lineRule="exact"/>
              <w:jc w:val="left"/>
              <w:rPr>
                <w:rFonts w:hAnsi="宋体" w:cs="宋体"/>
                <w:b/>
                <w:bCs/>
              </w:rPr>
            </w:pPr>
            <w:r>
              <w:rPr>
                <w:rFonts w:hint="eastAsia" w:hAnsi="宋体" w:cs="宋体"/>
                <w:b/>
                <w:bCs/>
              </w:rPr>
              <w:t>3.罚责条款：项目建设和运维过程中，因系统在对接、运行等服务中，导致其他系统受到影响的，由中标人负责组织相关服务厂商共同排查，明确问题根源、责任并报告采购人。中标人无法判定问题根源的，由中标人承担全部责任。采购人将根据问题的轻重、中标人责任的大小，扣除不高于合同款5%服务金额。</w:t>
            </w:r>
          </w:p>
          <w:p w14:paraId="084AF72E">
            <w:pPr>
              <w:pStyle w:val="27"/>
              <w:spacing w:line="400" w:lineRule="exact"/>
              <w:jc w:val="left"/>
              <w:rPr>
                <w:rFonts w:hAnsi="宋体" w:cs="宋体"/>
                <w:b/>
                <w:bCs/>
              </w:rPr>
            </w:pPr>
            <w:r>
              <w:rPr>
                <w:rFonts w:hint="eastAsia" w:hAnsi="宋体" w:cs="宋体"/>
                <w:b/>
                <w:bCs/>
              </w:rPr>
              <w:t>4.中标人不得将项目非法分包或转包给任何单位和个人，否则采购人有权即刻终止合同，并要求中标人赔偿相应损失。</w:t>
            </w:r>
          </w:p>
        </w:tc>
      </w:tr>
    </w:tbl>
    <w:p w14:paraId="254AA68B">
      <w:pPr>
        <w:spacing w:line="360" w:lineRule="auto"/>
        <w:rPr>
          <w:rFonts w:hint="eastAsia" w:ascii="宋体" w:hAnsi="宋体" w:eastAsia="宋体" w:cs="宋体"/>
          <w:b/>
          <w:bCs/>
          <w:color w:val="auto"/>
          <w:kern w:val="0"/>
          <w:sz w:val="28"/>
          <w:szCs w:val="28"/>
          <w:highlight w:val="none"/>
        </w:rPr>
      </w:pPr>
    </w:p>
    <w:p w14:paraId="6816924C">
      <w:pPr>
        <w:rPr>
          <w:rFonts w:hint="eastAsia" w:ascii="宋体" w:hAnsi="宋体" w:eastAsia="宋体" w:cs="宋体"/>
          <w:color w:val="auto"/>
          <w:sz w:val="28"/>
          <w:szCs w:val="28"/>
          <w:highlight w:val="none"/>
        </w:rPr>
      </w:pPr>
      <w:bookmarkStart w:id="35" w:name="_Hlk132788223"/>
      <w:r>
        <w:rPr>
          <w:rFonts w:hint="eastAsia" w:ascii="宋体" w:hAnsi="宋体" w:eastAsia="宋体" w:cs="宋体"/>
          <w:color w:val="auto"/>
          <w:sz w:val="28"/>
          <w:szCs w:val="28"/>
          <w:highlight w:val="none"/>
        </w:rPr>
        <w:br w:type="page"/>
      </w:r>
    </w:p>
    <w:p w14:paraId="4A6D6315">
      <w:pPr>
        <w:pStyle w:val="3"/>
        <w:keepNext/>
        <w:keepLines/>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sz w:val="28"/>
          <w:szCs w:val="28"/>
          <w:highlight w:val="none"/>
          <w:lang w:val="en-US" w:eastAsia="zh-CN"/>
        </w:rPr>
      </w:pPr>
      <w:bookmarkStart w:id="36" w:name="_Toc23953"/>
      <w:r>
        <w:rPr>
          <w:rFonts w:hint="eastAsia" w:ascii="宋体" w:hAnsi="宋体" w:eastAsia="宋体" w:cs="宋体"/>
          <w:sz w:val="28"/>
          <w:szCs w:val="28"/>
          <w:highlight w:val="none"/>
          <w:lang w:val="en-US" w:eastAsia="zh-CN"/>
        </w:rPr>
        <w:t>分标2（</w:t>
      </w:r>
      <w:r>
        <w:rPr>
          <w:rFonts w:hint="default" w:ascii="宋体" w:hAnsi="宋体" w:eastAsia="宋体" w:cs="宋体"/>
          <w:sz w:val="28"/>
          <w:szCs w:val="28"/>
          <w:highlight w:val="none"/>
          <w:lang w:eastAsia="zh-CN"/>
        </w:rPr>
        <w:t>医务管理系统建设</w:t>
      </w:r>
      <w:r>
        <w:rPr>
          <w:rFonts w:hint="eastAsia" w:ascii="宋体" w:hAnsi="宋体" w:eastAsia="宋体" w:cs="宋体"/>
          <w:sz w:val="28"/>
          <w:szCs w:val="28"/>
          <w:highlight w:val="none"/>
          <w:lang w:val="en-US" w:eastAsia="zh-CN"/>
        </w:rPr>
        <w:t>）</w:t>
      </w:r>
      <w:bookmarkEnd w:id="36"/>
    </w:p>
    <w:tbl>
      <w:tblPr>
        <w:tblStyle w:val="52"/>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83"/>
        <w:gridCol w:w="25"/>
        <w:gridCol w:w="900"/>
        <w:gridCol w:w="720"/>
        <w:gridCol w:w="7038"/>
      </w:tblGrid>
      <w:tr w14:paraId="67D0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2FD661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14:paraId="42E8FC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A293DB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数量及单位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1F65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7038" w:type="dxa"/>
            <w:tcBorders>
              <w:top w:val="single" w:color="auto" w:sz="4" w:space="0"/>
              <w:left w:val="single" w:color="auto" w:sz="4" w:space="0"/>
              <w:bottom w:val="single" w:color="auto" w:sz="4" w:space="0"/>
              <w:right w:val="single" w:color="auto" w:sz="4" w:space="0"/>
            </w:tcBorders>
            <w:noWrap w:val="0"/>
            <w:vAlign w:val="center"/>
          </w:tcPr>
          <w:p w14:paraId="58BE90E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技术服务要求</w:t>
            </w:r>
          </w:p>
        </w:tc>
      </w:tr>
      <w:tr w14:paraId="13E8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9" w:type="dxa"/>
            <w:gridSpan w:val="6"/>
            <w:tcBorders>
              <w:top w:val="single" w:color="auto" w:sz="4" w:space="0"/>
              <w:left w:val="single" w:color="auto" w:sz="4" w:space="0"/>
              <w:bottom w:val="single" w:color="auto" w:sz="4" w:space="0"/>
              <w:right w:val="single" w:color="auto" w:sz="4" w:space="0"/>
            </w:tcBorders>
            <w:noWrap w:val="0"/>
            <w:vAlign w:val="center"/>
          </w:tcPr>
          <w:p w14:paraId="362ED2E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技术要求</w:t>
            </w:r>
          </w:p>
        </w:tc>
      </w:tr>
      <w:tr w14:paraId="44DF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3" w:type="dxa"/>
            <w:tcBorders>
              <w:top w:val="single" w:color="auto" w:sz="4" w:space="0"/>
              <w:left w:val="single" w:color="auto" w:sz="4" w:space="0"/>
              <w:right w:val="single" w:color="auto" w:sz="4" w:space="0"/>
            </w:tcBorders>
            <w:noWrap w:val="0"/>
            <w:vAlign w:val="center"/>
          </w:tcPr>
          <w:p w14:paraId="79F1C3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8" w:type="dxa"/>
            <w:gridSpan w:val="2"/>
            <w:tcBorders>
              <w:top w:val="single" w:color="auto" w:sz="4" w:space="0"/>
              <w:left w:val="single" w:color="auto" w:sz="4" w:space="0"/>
              <w:right w:val="single" w:color="auto" w:sz="4" w:space="0"/>
            </w:tcBorders>
            <w:noWrap w:val="0"/>
            <w:vAlign w:val="center"/>
          </w:tcPr>
          <w:p w14:paraId="38FBA97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医务管理系统建设</w:t>
            </w:r>
          </w:p>
        </w:tc>
        <w:tc>
          <w:tcPr>
            <w:tcW w:w="900" w:type="dxa"/>
            <w:tcBorders>
              <w:top w:val="single" w:color="auto" w:sz="4" w:space="0"/>
              <w:left w:val="single" w:color="auto" w:sz="4" w:space="0"/>
              <w:right w:val="single" w:color="auto" w:sz="4" w:space="0"/>
            </w:tcBorders>
            <w:noWrap w:val="0"/>
            <w:vAlign w:val="center"/>
          </w:tcPr>
          <w:p w14:paraId="0482FA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1项</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03120D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软件和信息技术服务业</w:t>
            </w:r>
          </w:p>
        </w:tc>
        <w:tc>
          <w:tcPr>
            <w:tcW w:w="7038" w:type="dxa"/>
            <w:tcBorders>
              <w:top w:val="single" w:color="auto" w:sz="4" w:space="0"/>
              <w:left w:val="single" w:color="auto" w:sz="4" w:space="0"/>
              <w:bottom w:val="single" w:color="auto" w:sz="4" w:space="0"/>
              <w:right w:val="single" w:color="auto" w:sz="4" w:space="0"/>
            </w:tcBorders>
            <w:noWrap w:val="0"/>
            <w:vAlign w:val="center"/>
          </w:tcPr>
          <w:p w14:paraId="3AA6689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一、项目建设要求</w:t>
            </w:r>
          </w:p>
          <w:p w14:paraId="375A323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在当今医疗行业快速发展的背景下，医院面临着日益繁重的工作任务和复杂多变的医务管理需求。为了有效应对这些挑战，医院积极引入信息化技术，对管理流程进行全面优化。</w:t>
            </w:r>
          </w:p>
          <w:p w14:paraId="0DAFF12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医务管理系统需适配医务科核心职能，依托成熟系统架构基础，结合科室职能特点，实现对医疗核心要素的系统化、规范化管控。系统需支持医师档案集中化建档管理，全面整合医师个人信息、执业经历等关键数据，确保数据完整、更新及时且全生命周期可追溯；同时针对医疗资质与权限实施全流程闭环管理，覆盖申请、多层级审核、信息变更等关键环节，保障医师执业资质合法合规，从源头规避资质相关医疗风险，为医疗质量与安全管理提供坚实技术支撑。建立一套满足医院实际需求的定制化服务。</w:t>
            </w:r>
          </w:p>
          <w:p w14:paraId="1F42BEA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color w:val="auto"/>
                <w:kern w:val="0"/>
                <w:sz w:val="21"/>
                <w:szCs w:val="21"/>
                <w:highlight w:val="none"/>
                <w:lang w:val="en-US" w:eastAsia="zh-CN"/>
              </w:rPr>
              <w:t>二、本项目建设技术要求</w:t>
            </w:r>
          </w:p>
          <w:p w14:paraId="1BFBB9D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网上办事大厅</w:t>
            </w:r>
          </w:p>
          <w:p w14:paraId="2C85C1A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1.1待办审批</w:t>
            </w:r>
          </w:p>
          <w:p w14:paraId="4E4C4B7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对医师的各种申请，包括医师档案更改、手术权限、麻醉权限、处方权限、新项目新技术、转常规、延期处理、终止处理进行审核。提供快捷方便的批量审批功能，支持审核人进行审批、回退、协助、改派和更新流程操作，支持审核人对未审核通过的申请进行取回。支持左右切换快速查看、审批表单。支持申请表单详情导出PDF、Word文件。支持按按申请类型模式查看待审数量并选择对应的类型待审列表。</w:t>
            </w:r>
          </w:p>
          <w:p w14:paraId="034A6AD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1.2申请查阅</w:t>
            </w:r>
          </w:p>
          <w:p w14:paraId="31F0C1E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查看医师的各种申请，包括医师档案更改、手术权限、麻醉权限、处方权限、新项目新技术、转常规、延期处理、终止处理详情。申请人可取回在审的申请。支持左右切换审批表单。支持申请表单详情导出PDF、Word文件。对具有权限的管理人员可将需要特殊处理的申请回退到需要回退的节点，给予相关人员补充完善。支持按申请类型模式查看申请数量并选择对应的类型申请列表。</w:t>
            </w:r>
          </w:p>
          <w:p w14:paraId="15BB759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1.3协助：可查看需要我协助处理的各种申请。支持申请表单详情导出PDF、Word文件。</w:t>
            </w:r>
          </w:p>
          <w:p w14:paraId="5B2B458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2.医务通知公告</w:t>
            </w:r>
          </w:p>
          <w:p w14:paraId="1BE179C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2.1公告管理</w:t>
            </w:r>
          </w:p>
          <w:p w14:paraId="077D0D7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可实现红头文件、医管信息发布、医院最新动态发布和通知发布等多种类型管理，列表页面包括新增、修改、删除、搜索功能。列表展示公告类别、主题、公告内容、置顶日期、发布科室、发布日期、点击量；</w:t>
            </w:r>
          </w:p>
          <w:p w14:paraId="0A13BE9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（2）可根据主题与发布科室查询公告。</w:t>
            </w:r>
          </w:p>
          <w:p w14:paraId="5FF2930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3.日常行政办公</w:t>
            </w:r>
          </w:p>
          <w:p w14:paraId="787A971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3.1文件管理</w:t>
            </w:r>
          </w:p>
          <w:p w14:paraId="7526CF4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（1）医师个人文件分类管理，支持文件夹、文档、图片、其他类型分类；</w:t>
            </w:r>
          </w:p>
          <w:p w14:paraId="7EC2A4B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（2）支持重命名、移动、上传、删除、关注文件功能；</w:t>
            </w:r>
          </w:p>
          <w:p w14:paraId="3EDD4F2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（3）可将医师个人文件进行分享（科室间、院级）。</w:t>
            </w:r>
          </w:p>
          <w:p w14:paraId="6D698AF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4.规章制度文件管理</w:t>
            </w:r>
          </w:p>
          <w:p w14:paraId="41ACDA3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4.1公文分类：对医疗公文进行分类，包括国家级、省级、市级、院内，实现医院规章制度、医院管理规章制度、诊疗规范管理、操作指南与流程管理。</w:t>
            </w:r>
          </w:p>
          <w:p w14:paraId="5C0E698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4.2医疗公文：可管理发布公文内容，并对公文进行分类。支持全院公开、部分科室、指定人员公开范围，并可设置置顶。对发布后的公文，医师可在工作台中进行查阅、下载相关附件。</w:t>
            </w:r>
          </w:p>
          <w:p w14:paraId="48FECA2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5.个人医务管理</w:t>
            </w:r>
          </w:p>
          <w:p w14:paraId="40DF7CB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5.1个人医务内容：</w:t>
            </w:r>
          </w:p>
          <w:p w14:paraId="799D5AC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办事大厅、代办事宜、个人基本情况、个人技术档案、个人新技术新项目、重大手术申请、个人医疗资质申请、手术权限申请、医务数据上报、个人考试学习、个人医德医风上报、个人科教等。</w:t>
            </w:r>
          </w:p>
          <w:p w14:paraId="1A98370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6.科室医务管理</w:t>
            </w:r>
          </w:p>
          <w:p w14:paraId="6AE980D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6.1日常管理的内容：</w:t>
            </w:r>
          </w:p>
          <w:p w14:paraId="1D6C0264">
            <w:pPr>
              <w:keepNext w:val="0"/>
              <w:keepLines w:val="0"/>
              <w:pageBreakBefore w:val="0"/>
              <w:kinsoku/>
              <w:wordWrap/>
              <w:overflowPunct/>
              <w:topLinePunct w:val="0"/>
              <w:autoSpaceDE/>
              <w:autoSpaceDN/>
              <w:bidi w:val="0"/>
              <w:adjustRightInd/>
              <w:snapToGrid/>
              <w:spacing w:line="400" w:lineRule="exact"/>
              <w:jc w:val="both"/>
              <w:rPr>
                <w:rFonts w:hint="default" w:ascii="宋体" w:hAnsi="宋体" w:eastAsia="宋体" w:cs="宋体"/>
                <w:lang w:val="en-US" w:eastAsia="zh-CN"/>
              </w:rPr>
            </w:pPr>
            <w:r>
              <w:rPr>
                <w:rFonts w:hint="eastAsia" w:ascii="宋体" w:hAnsi="宋体" w:eastAsia="宋体" w:cs="宋体"/>
                <w:lang w:val="en-US" w:eastAsia="zh-CN"/>
              </w:rPr>
              <w:t>人员技术档案管理、新技术授权管理、医疗资质分类管理、手术分级管理、限制类技术闭环管理、医务上报管理、医务数据上报管理、医务考试学习管理、排班管理、会诊管理等。</w:t>
            </w:r>
          </w:p>
          <w:p w14:paraId="5184E07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7.院部医务管理</w:t>
            </w:r>
          </w:p>
          <w:p w14:paraId="34C8281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◆7.1医务监控大屏</w:t>
            </w:r>
          </w:p>
          <w:p w14:paraId="02E2766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以BI形式对医务工作进行监控，包含医师职称构成、综合运营情况、人员类别分析、医师年龄构成、重点患者情况、授权技术架构、督导检查概览、资质情况。</w:t>
            </w:r>
          </w:p>
          <w:p w14:paraId="178445F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7.2数据统计</w:t>
            </w:r>
            <w:r>
              <w:rPr>
                <w:rFonts w:hint="eastAsia" w:ascii="宋体" w:hAnsi="宋体" w:eastAsia="宋体" w:cs="宋体"/>
                <w:lang w:val="en-US" w:eastAsia="zh-CN"/>
              </w:rPr>
              <w:tab/>
            </w:r>
          </w:p>
          <w:p w14:paraId="69378F4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（1）授权统计：根据全院、科室、日期查看手术、麻醉、处方的授权数量。</w:t>
            </w:r>
          </w:p>
          <w:p w14:paraId="6C394C7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（2）新技术新项目统计：按全院各科室维度对新技术新项目分析，按时间、项目科室、项目类型等综合分析。</w:t>
            </w:r>
          </w:p>
          <w:p w14:paraId="23DFB41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工作量统计：对医务人员工作量进行统计分析。包括接诊人数、管理床位数、住院患者数、查房次数、病例书写数、手术次数、手术时长、急诊接诊人术、抢救次数、会诊次数、带教次数、论文发表、值班次数；</w:t>
            </w:r>
          </w:p>
          <w:p w14:paraId="67A50B5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（4）负面统计：对个人言行不当、医德医风、医疗事故、违法行为等负面情况进行统计分析。可按科室和个人维度统计查看；</w:t>
            </w:r>
          </w:p>
          <w:p w14:paraId="6C26EF5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（5）荣誉统计：对医务人员获得的荣誉奖项进行统计管理。可按科室和个人两个维度统计分析。</w:t>
            </w:r>
          </w:p>
          <w:p w14:paraId="30FB377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7.3数据分析</w:t>
            </w:r>
          </w:p>
          <w:p w14:paraId="3A646EF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（1）人力资源分析：以科室为单位，以统计图的形式展示科室的医师人数、副高级以上医师人数、论文数量、外出进修人数、人员性质分布、职称构成、年龄构成、证照情况；</w:t>
            </w:r>
          </w:p>
          <w:p w14:paraId="529540C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（2）科室手术目录分析：根据科室、手术名称、手术等级统计科室拥有的手术技术目录情况；</w:t>
            </w:r>
          </w:p>
          <w:p w14:paraId="48FF013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（3）会诊分析：对会诊工作进行统计分析；</w:t>
            </w:r>
          </w:p>
          <w:p w14:paraId="72EBB2E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（4）会诊量分析：以科室为单位，以图表的方式展示院内/外会诊年度同比、院内/外会诊量年度前十医师排名、科室各医师的年度会诊概览；</w:t>
            </w:r>
          </w:p>
          <w:p w14:paraId="13053DE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（5）排班整体分析：提供全院排班概览。包括排班统计、排班明细、人员在岗统计以及上班时长统计。</w:t>
            </w:r>
          </w:p>
          <w:p w14:paraId="58BD788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8.医师管理</w:t>
            </w:r>
          </w:p>
          <w:p w14:paraId="65D6056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8.1档案管理</w:t>
            </w:r>
          </w:p>
          <w:p w14:paraId="6FFA465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实现灵活定义医师档案的内容，支持为每个医务人员建立完整的档案，实现医师、技师、药师档案的电子化、信息化和规范化管理，主要包括但不限于：基本信息、现任职称、教育经历、工作经历、继续教育情况、进修经历、论文著作专利情况、职称晋升经历、医德医风、我的证件、异动情况、技术授权、用户资质、处方积分管理、新技术新项目、多点执业、工作量统计、荣誉事迹、医师负面、档案审批和操作记录；</w:t>
            </w:r>
          </w:p>
          <w:p w14:paraId="6E7A809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（2）可实现医师业务类别的管理，包括人员类别、专家类型、在职状态、执业类别、职称级别，所有类别可根据医院管理需要灵活自定义；</w:t>
            </w:r>
          </w:p>
          <w:p w14:paraId="730F965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（3）支持档案表单信息填写进度百分比显示；</w:t>
            </w:r>
          </w:p>
          <w:p w14:paraId="6DC495A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（4）档案的浏览具有严格的权限控制，系统用户可查看本人的档案提供多样化的数据录入方式，包括个人录入、科室录入、管理员录入、批量导入；</w:t>
            </w:r>
          </w:p>
          <w:p w14:paraId="51B28D8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支持医师自助修改、更新个人档案数据、上传（身份证、学历证明、各类证书等）PDF或图片。表单提交后，由医务部门审核人员进行审核，审核通过后自动归档到相关医务人员信息项目下。支持高亮显示档案修改信息，审批时可查看修改前后数据对照。</w:t>
            </w:r>
            <w:r>
              <w:rPr>
                <w:rFonts w:hint="eastAsia" w:ascii="宋体" w:hAnsi="宋体" w:cs="宋体"/>
                <w:lang w:val="en-US" w:eastAsia="zh-CN"/>
              </w:rPr>
              <w:t>可</w:t>
            </w:r>
            <w:r>
              <w:rPr>
                <w:rFonts w:hint="eastAsia" w:ascii="宋体" w:hAnsi="宋体" w:eastAsia="宋体" w:cs="宋体"/>
                <w:lang w:val="en-US" w:eastAsia="zh-CN"/>
              </w:rPr>
              <w:t>实现医师业务类别的管理，包括人员类别、专家类型、在职状态、执业类别、职称级别。所有类别可根据医院管理需要灵活自定义；</w:t>
            </w:r>
          </w:p>
          <w:p w14:paraId="7A38A97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（6）批量导入：支持通过下载模板，实现医师档案、手术权限、处方权限和麻醉权限Excel批量导入；</w:t>
            </w:r>
          </w:p>
          <w:p w14:paraId="746AE58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（7）医师离职：可控制离职后人员的操作权限、人员信息的查阅权限；</w:t>
            </w:r>
          </w:p>
          <w:p w14:paraId="07D3B83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（8）医师转科：支持选择需要转科室的医师，进行批量转科；</w:t>
            </w:r>
          </w:p>
          <w:p w14:paraId="71E5D85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8.2个人信息</w:t>
            </w:r>
          </w:p>
          <w:p w14:paraId="7967FFB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涵盖医师基本信息、现任职称、教育经历、工作经历、继续教育情况、进修经历、论文著作专利情况、职称晋升经历、医德医风、异动情况、我的证件、技术授权、用户资质、处方积分管理、新技术新项目、多点执业、工作量统计、荣誉事迹、医师负面、档案审批、操作记录，并支持以word文档形式进行导出。</w:t>
            </w:r>
          </w:p>
          <w:p w14:paraId="69CB0FA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（1）基本信息</w:t>
            </w:r>
          </w:p>
          <w:p w14:paraId="525E345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可实现个人基本信息录入；</w:t>
            </w:r>
          </w:p>
          <w:p w14:paraId="35CA065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可实现自动生成出生日期、自动计算年龄；</w:t>
            </w:r>
          </w:p>
          <w:p w14:paraId="4A613AC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可实现医师身份管理，包括人员类别、执业类别、执业范围。</w:t>
            </w:r>
          </w:p>
          <w:p w14:paraId="55CB2F7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（2）现任职称</w:t>
            </w:r>
          </w:p>
          <w:p w14:paraId="5D060EB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可实现个人录入现任职称；</w:t>
            </w:r>
          </w:p>
          <w:p w14:paraId="4490522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可实现自动计算现任职称取得年限。</w:t>
            </w:r>
          </w:p>
          <w:p w14:paraId="35072FB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（3）教育经历</w:t>
            </w:r>
          </w:p>
          <w:p w14:paraId="0899CD9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可实现个人录入教育经历；</w:t>
            </w:r>
          </w:p>
          <w:p w14:paraId="710C511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可实现全部教育经历管理；</w:t>
            </w:r>
          </w:p>
          <w:p w14:paraId="5EF9193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可实现教育佐证、学历证明记录管理。</w:t>
            </w:r>
          </w:p>
          <w:p w14:paraId="1A50170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（4）工作经历</w:t>
            </w:r>
          </w:p>
          <w:p w14:paraId="0C18D73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可实现个人录入工作经历；</w:t>
            </w:r>
          </w:p>
          <w:p w14:paraId="1B6FA80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可实现工作经历记录。</w:t>
            </w:r>
          </w:p>
          <w:p w14:paraId="5ABACE1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（5）继续教育情况</w:t>
            </w:r>
          </w:p>
          <w:p w14:paraId="63F3550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可实现个人录入继续教育情况；</w:t>
            </w:r>
          </w:p>
          <w:p w14:paraId="7E376FF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可实现继续教育学时/学分记录；</w:t>
            </w:r>
          </w:p>
          <w:p w14:paraId="0ED55BD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可实现继续教育证书、学时学分证明记录管理。</w:t>
            </w:r>
          </w:p>
          <w:p w14:paraId="160046F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（6）进修经历</w:t>
            </w:r>
          </w:p>
          <w:p w14:paraId="264E90E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可实现个人录入进修情况；</w:t>
            </w:r>
          </w:p>
          <w:p w14:paraId="0088C69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可实现进修考核结果记录；</w:t>
            </w:r>
          </w:p>
          <w:p w14:paraId="198F343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可实现进修佐证、考核成绩单记录管理。</w:t>
            </w:r>
          </w:p>
          <w:p w14:paraId="353D32F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（7）论文著作专利情况</w:t>
            </w:r>
          </w:p>
          <w:p w14:paraId="7F64809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可实现个人录入论文著作专利情况；</w:t>
            </w:r>
          </w:p>
          <w:p w14:paraId="6FC5D0F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可实现论文存档管理。</w:t>
            </w:r>
          </w:p>
          <w:p w14:paraId="166E109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（8）职称晋升经历</w:t>
            </w:r>
          </w:p>
          <w:p w14:paraId="2CA0181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可实现个人录入职称晋升经历；</w:t>
            </w:r>
          </w:p>
          <w:p w14:paraId="0BE0113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可实现职称晋升经历记录。</w:t>
            </w:r>
          </w:p>
          <w:p w14:paraId="26C2C43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（9）我的证件</w:t>
            </w:r>
          </w:p>
          <w:p w14:paraId="29D2A3B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可实现个人上传证件；</w:t>
            </w:r>
          </w:p>
          <w:p w14:paraId="0013554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可实现所有证件图片管理功能；</w:t>
            </w:r>
          </w:p>
          <w:p w14:paraId="511506E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可实现证件与人员类别关联。</w:t>
            </w:r>
          </w:p>
          <w:p w14:paraId="7EB3DBA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（10）医德医风</w:t>
            </w:r>
          </w:p>
          <w:p w14:paraId="33B4167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记录医师的医德医风考评记录；</w:t>
            </w:r>
          </w:p>
          <w:p w14:paraId="195FD49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支持按名称进行查询，支持查看详情、自评和导出考评结果。</w:t>
            </w:r>
          </w:p>
          <w:p w14:paraId="412F360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（11）异动情况</w:t>
            </w:r>
          </w:p>
          <w:p w14:paraId="48171C3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记录医师档案生成、科室变更、离职、用户启用、现任职称变更、科研职称变更和技术职称变更情况；</w:t>
            </w:r>
          </w:p>
          <w:p w14:paraId="5A11F70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支持列表查看和时间轴查看。</w:t>
            </w:r>
          </w:p>
          <w:p w14:paraId="5C7FF1F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（12）技术授权</w:t>
            </w:r>
          </w:p>
          <w:p w14:paraId="2092153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可实现与手术权、麻醉权、处方权模块关联，获取授权数据；</w:t>
            </w:r>
          </w:p>
          <w:p w14:paraId="7EADC4C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支持医务科手动授权或停权。</w:t>
            </w:r>
          </w:p>
          <w:p w14:paraId="7D5C80F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（13）用户资质</w:t>
            </w:r>
          </w:p>
          <w:p w14:paraId="55E12EB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可实现与资质管理模块关联，获取医师获得的资质情况与状态；</w:t>
            </w:r>
          </w:p>
          <w:p w14:paraId="1C6EAF2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支持查看资质详情。</w:t>
            </w:r>
          </w:p>
          <w:p w14:paraId="40BCD5B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（14）处方积分管理</w:t>
            </w:r>
          </w:p>
          <w:p w14:paraId="5A11934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可实现搜索与查看医师处方积分记录，支持导出。</w:t>
            </w:r>
          </w:p>
          <w:p w14:paraId="46A214A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（15）新技术新项目</w:t>
            </w:r>
          </w:p>
          <w:p w14:paraId="3A0DDEC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可实现与新技术新项目模块关联，获取医师参与项目开展数据。</w:t>
            </w:r>
          </w:p>
          <w:p w14:paraId="27441D9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（16）多点执业</w:t>
            </w:r>
          </w:p>
          <w:p w14:paraId="2B2D38F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支持医师自行填写多点执业申请、上传附件；</w:t>
            </w:r>
          </w:p>
          <w:p w14:paraId="3017D3E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系统支持审批医师提交的多点执业信息；</w:t>
            </w:r>
          </w:p>
          <w:p w14:paraId="3831D50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支持关联医师档案，医务科实时查看和下载附件。</w:t>
            </w:r>
          </w:p>
          <w:p w14:paraId="43EA8B2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（17）工作量统计</w:t>
            </w:r>
          </w:p>
          <w:p w14:paraId="208CC19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统计医师工作量，包括接诊人数、管理床位数、住院患者数、查房次数、病例书写数、手术次数、手术时长、急诊接诊人术、抢救次数、会诊次数、带教次数、论文发表、值班次数。</w:t>
            </w:r>
          </w:p>
          <w:p w14:paraId="15EF5F1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（18）荣誉事迹</w:t>
            </w:r>
          </w:p>
          <w:p w14:paraId="5F8F098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支持医务科录入医师的荣誉事迹记录。</w:t>
            </w:r>
          </w:p>
          <w:p w14:paraId="34C0F4B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（19）医师负面</w:t>
            </w:r>
          </w:p>
          <w:p w14:paraId="6320DF2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支持医务科录入负面信息；</w:t>
            </w:r>
          </w:p>
          <w:p w14:paraId="78063CD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可实现短消息推送通知；</w:t>
            </w:r>
          </w:p>
          <w:p w14:paraId="35E269B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支持医师个人针对负面提出申诉。</w:t>
            </w:r>
          </w:p>
          <w:p w14:paraId="528D5DE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（20）档案审批</w:t>
            </w:r>
          </w:p>
          <w:p w14:paraId="4D07D96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支持查看档案审批流程与记录查询。</w:t>
            </w:r>
          </w:p>
          <w:p w14:paraId="555B8D1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（21）操作记录</w:t>
            </w:r>
          </w:p>
          <w:p w14:paraId="6269EC8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支持医师档案相关记录；</w:t>
            </w:r>
          </w:p>
          <w:p w14:paraId="6F6B88B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查看表单修改前后对比记录。</w:t>
            </w:r>
          </w:p>
          <w:p w14:paraId="6F12762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8.3多点执业</w:t>
            </w:r>
          </w:p>
          <w:p w14:paraId="37989B3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（1）支持医师自行填写多点执业申请、上传附件；</w:t>
            </w:r>
          </w:p>
          <w:p w14:paraId="17A2D2D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（2）系统支持审批医师提交的多点执业信息；</w:t>
            </w:r>
          </w:p>
          <w:p w14:paraId="1BBA779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（3）支持关联医师档案，医务科实时查看和下载附件。</w:t>
            </w:r>
          </w:p>
          <w:p w14:paraId="381BD11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8.4放射人员</w:t>
            </w:r>
          </w:p>
          <w:p w14:paraId="0B02B8A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（1）放射人员管理</w:t>
            </w:r>
          </w:p>
          <w:p w14:paraId="01F37AA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对接医生档案的基本信息，由医务科通过Excel导入，若系统判断已存在相同数据，不予导入。显示列表的数据字段加上放射培训、健康档案、个人剂量计、放射工作证的最新一条记录。实现查看、编辑、删除操作；</w:t>
            </w:r>
          </w:p>
          <w:p w14:paraId="646F636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（2）健康档案</w:t>
            </w:r>
          </w:p>
          <w:p w14:paraId="58B92BF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显示个人剂量计数据，由医务科通过Excel导入健康档案以及补充附件，若系统判断已存在相同数据，不予导入。健康档案中显示最近一条健康档案的记录，当天距离其结束日期天数剩余60天，到期提醒管理医务科。实现新增、查看、编辑、删除操作；</w:t>
            </w:r>
          </w:p>
          <w:p w14:paraId="7C3EC7C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（3）放射培训</w:t>
            </w:r>
          </w:p>
          <w:p w14:paraId="0DEFE6F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显示放射工作者的培训记录，由医务科通过Excel导入放射培训结果以及补充附件，若系统判断已存在相同数据，不予导入。放射培训记录中存在到期剩余时间≤60天的数据，到期提醒管理医务科。实现新增、查看、编辑、删除操作；</w:t>
            </w:r>
          </w:p>
          <w:p w14:paraId="515AE61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（4）放射工作证</w:t>
            </w:r>
          </w:p>
          <w:p w14:paraId="037B232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显示放射工作证列表数据，由医务科通过Excel导入放射工作证数据，若系统判断已存在相同数据，不予导入。实现新增、查看、编辑、删除操作；</w:t>
            </w:r>
          </w:p>
          <w:p w14:paraId="2AEB865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（5）个人剂量统计</w:t>
            </w:r>
          </w:p>
          <w:p w14:paraId="293DEFB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显示个人剂量计数据，由医务科通过Excel导入个人剂量监测以及补充附件，若系统判断已存在相同数据，不予导入。个人剂量记录中存在到期剩余时间≤30天的数据，到期提醒管理医务科。实现新增、查看、编辑、删除操作。</w:t>
            </w:r>
          </w:p>
          <w:p w14:paraId="0A64FC2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8.5证件管理</w:t>
            </w:r>
          </w:p>
          <w:p w14:paraId="2ABAC08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（1）证件对照：支持医师分类管理和证件分类管理，现实医师类型与证件进行对照关联，规定该类型的医师必须上传相关证件。</w:t>
            </w:r>
          </w:p>
          <w:p w14:paraId="097D8CD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证件上传：对已存在档案的医师进行证件批量导入，提升证件导入工作效率。支持按工号导入和按类型导入两种方式，自动根据规则进行证件导入生成到医师档案中，对无法匹配规则的证件支持手动匹配。支持按用户和科室批量导出证件内容。</w:t>
            </w:r>
          </w:p>
          <w:p w14:paraId="45B548D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（3）电子签名：支持医师录入个性签名，一键生成电子签名图片，上传关联到医师档案。</w:t>
            </w:r>
          </w:p>
          <w:p w14:paraId="5921D82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（4）证件一览：证件按科室人员或按医师证照查看。</w:t>
            </w:r>
          </w:p>
          <w:p w14:paraId="6672F54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（5）证件一览汇总：查看与搜索全院医师的证件支持在线预览支持导出带图的Excel文件。</w:t>
            </w:r>
          </w:p>
          <w:p w14:paraId="6B7324B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8.6档案填写情况</w:t>
            </w:r>
          </w:p>
          <w:p w14:paraId="74B2708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按科室汇总医师档案字段未填写人数，可钻取查看未填写人员信息，支持查询和批量导出。</w:t>
            </w:r>
          </w:p>
          <w:p w14:paraId="7B59CC3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8.7科室概览</w:t>
            </w:r>
          </w:p>
          <w:p w14:paraId="3459AFE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以科室为单位管理各科室人员的档案信息，查看科室简介，支持按科室、工号、姓名进行搜索。</w:t>
            </w:r>
          </w:p>
          <w:p w14:paraId="2F439FE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（1）支持按个人查看医师档案；</w:t>
            </w:r>
          </w:p>
          <w:p w14:paraId="35F4370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（2）支持按卡片查看医师档案；</w:t>
            </w:r>
          </w:p>
          <w:p w14:paraId="6AB3325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（3）支持按列表查看医师档案。</w:t>
            </w:r>
          </w:p>
          <w:p w14:paraId="4394D4B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9.医务上报管理</w:t>
            </w:r>
          </w:p>
          <w:p w14:paraId="4E9D935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9.1医务台账：管理和查看入院患者、出院患者、住院超30天患者、出院10天内再次入院患者、重大手术报告患者和非计划再次手术患者信息。</w:t>
            </w:r>
          </w:p>
          <w:p w14:paraId="58B8236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9.2重大手术申请：对院内发生的重大手术，实现一例一报。支持个人申请或协助申请两种方式，审批通过后可以填写追踪情况。支持过滤查询与导出申请记录。</w:t>
            </w:r>
          </w:p>
          <w:p w14:paraId="0415FB4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9.3三级查房登记：住院医师、主治医师和主任医师实现三级查房过程信息登记。支持过滤查询与导出申请记录。</w:t>
            </w:r>
          </w:p>
          <w:p w14:paraId="29FCB48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9.4 30天高风险申报：医师进行30天高风险申报、并可查看申请记录。</w:t>
            </w:r>
          </w:p>
          <w:p w14:paraId="38CFFBA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9.5非医学指征引产：医师进行非医学指征引产申请，并且可以查看完整的申请记录。</w:t>
            </w:r>
          </w:p>
          <w:p w14:paraId="08A6ECC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9.6非医学需要剖宫产：医师进行非医学剖宫产申请，并且可以查看完整的申请记录。</w:t>
            </w:r>
          </w:p>
          <w:p w14:paraId="5184B44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9.7医疗欠费管理：支持应急救助基金申请，记录申请信息、患者信息、诊疗信息、落实情况。支持过滤查询与导出申请记录。</w:t>
            </w:r>
          </w:p>
          <w:p w14:paraId="3D4890C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9.8疾病应急救助：医师进行疾病应急救助申请，并且可以查看完整的申请记录。</w:t>
            </w:r>
          </w:p>
          <w:p w14:paraId="1493319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9.9高风险谈话：医师进行高风险患者谈话申报，记录谈话详细内容，并可查看申请记录。</w:t>
            </w:r>
          </w:p>
          <w:p w14:paraId="4A6359B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9.10风险隐患排查：上报风险隐患排查情况和落实改进内容。</w:t>
            </w:r>
          </w:p>
          <w:p w14:paraId="74EFDFB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10.医德医风</w:t>
            </w:r>
          </w:p>
          <w:p w14:paraId="31E3CA46">
            <w:pPr>
              <w:keepNext w:val="0"/>
              <w:keepLines w:val="0"/>
              <w:pageBreakBefore w:val="0"/>
              <w:kinsoku/>
              <w:wordWrap/>
              <w:overflowPunct/>
              <w:topLinePunct w:val="0"/>
              <w:autoSpaceDE/>
              <w:autoSpaceDN/>
              <w:bidi w:val="0"/>
              <w:adjustRightInd/>
              <w:snapToGrid/>
              <w:spacing w:line="400" w:lineRule="exact"/>
              <w:jc w:val="both"/>
              <w:rPr>
                <w:rFonts w:hint="default" w:ascii="宋体" w:hAnsi="宋体" w:eastAsia="宋体" w:cs="宋体"/>
                <w:lang w:val="en-US" w:eastAsia="zh-CN"/>
              </w:rPr>
            </w:pPr>
            <w:r>
              <w:rPr>
                <w:rFonts w:hint="eastAsia" w:ascii="宋体" w:hAnsi="宋体" w:eastAsia="宋体" w:cs="宋体"/>
                <w:lang w:val="en-US" w:eastAsia="zh-CN"/>
              </w:rPr>
              <w:t>10.1加减分项目：支持维护针对不同人员类型和适用科室的加减分项目。</w:t>
            </w:r>
          </w:p>
          <w:p w14:paraId="3BFE082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10.2医师加减分：支持职能科室根据医师日常行为表现，给相应医师登记加减分，并支持上传相关证明材料。</w:t>
            </w:r>
          </w:p>
          <w:p w14:paraId="1E55118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10.3加减分查阅：提供医师查阅个人加减分获得情况。</w:t>
            </w:r>
          </w:p>
          <w:p w14:paraId="0AAD62D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10.4项目库：可维护不同类型的考评项目，支持制定考评内容、扣分标准、项目分数等。</w:t>
            </w:r>
          </w:p>
          <w:p w14:paraId="74E4E9A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10.5模板库：制定不同频次（月、季、年）、考评范围（全院、多科室、多医师）、考评时间、相关分值的考评计划模板。</w:t>
            </w:r>
          </w:p>
          <w:p w14:paraId="119CD70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w:t>
            </w:r>
            <w:r>
              <w:rPr>
                <w:rFonts w:hint="eastAsia" w:ascii="宋体" w:hAnsi="宋体" w:cs="宋体"/>
                <w:lang w:val="en-US" w:eastAsia="zh-CN"/>
              </w:rPr>
              <w:t>6</w:t>
            </w:r>
            <w:r>
              <w:rPr>
                <w:rFonts w:hint="eastAsia" w:ascii="宋体" w:hAnsi="宋体" w:eastAsia="宋体" w:cs="宋体"/>
                <w:lang w:val="en-US" w:eastAsia="zh-CN"/>
              </w:rPr>
              <w:t>医德医风管理</w:t>
            </w:r>
          </w:p>
          <w:p w14:paraId="3684AA4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（1）制定不同频次（月、季、年）、考评范围（全院、多科室、多医师）、考评时间、相关分值的考评计划；</w:t>
            </w:r>
          </w:p>
          <w:p w14:paraId="06847BA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（2）发布后可看到自评进度和科评进度；</w:t>
            </w:r>
          </w:p>
          <w:p w14:paraId="316AFDC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（3）考评期间，支持调整考评人员和考评时间，并能一键发起补考。</w:t>
            </w:r>
          </w:p>
          <w:p w14:paraId="734A130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10.7医师自评</w:t>
            </w:r>
          </w:p>
          <w:p w14:paraId="75AB1C0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（1）支持对考评内容进行自评打分，记录自评说明内容；</w:t>
            </w:r>
          </w:p>
          <w:p w14:paraId="7BDCC3D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（2）当考评任务完成后，提供查询和导出考评报告的功能。</w:t>
            </w:r>
          </w:p>
          <w:p w14:paraId="6FC44BA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10.8科评：支持对考评内容进行科室考评打分，记录科评说明内容。</w:t>
            </w:r>
          </w:p>
          <w:p w14:paraId="5AFE6D1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10.9定稿调整：医务科对已评分的人员进行最终定稿前的调整，定稿后出最终的医德医风结果。</w:t>
            </w:r>
          </w:p>
          <w:p w14:paraId="313FD3F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10.10医德医风记录</w:t>
            </w:r>
          </w:p>
          <w:p w14:paraId="62D8971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（1）记录每份考评计划中医师个人自评与科室考评记录。结合加减分情况，计算综合得分，得出考核结果，生成考评报告；</w:t>
            </w:r>
          </w:p>
          <w:p w14:paraId="092BB5C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（2）考评记录支持过滤与导出。</w:t>
            </w:r>
          </w:p>
          <w:p w14:paraId="346D527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11.督导自查管理</w:t>
            </w:r>
          </w:p>
          <w:p w14:paraId="02E0564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11.1督查分类</w:t>
            </w:r>
          </w:p>
          <w:p w14:paraId="02F8BF7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支持一级督查分类管理，包括十八项核心制度、科室自查、专科检查等分类。</w:t>
            </w:r>
          </w:p>
          <w:p w14:paraId="72C6D7B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11.2督查类型</w:t>
            </w:r>
          </w:p>
          <w:p w14:paraId="543A7A6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对不同督查分类进行二级督查类型管理，包含新技术准入管理、危急值报告制度、患者麻醉前访视、评估及麻醉前讨论制度落实情况、麻醉意外及并发症、医疗技术应用管理、急危重患者抢救制度、手术室外安全管理、患者随访、疑难病例讨论制度、图像质量与诊断报告评价、首诊负责制、三级查房制度、会诊制度、临床用血审核制度、VTE管理、抗菌药物分级管理制度、死亡病例讨论制度、交接班制度。</w:t>
            </w:r>
          </w:p>
          <w:p w14:paraId="50F553E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11.3督查项目</w:t>
            </w:r>
          </w:p>
          <w:p w14:paraId="45AEFF7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维护不同督查类型下需要开展的项目和考核要点，督查对象支持病历、设备、人、手术、其他，可以按符合程度、落实情况、满足情况、知晓情况、完善情况进行评判。</w:t>
            </w:r>
          </w:p>
          <w:p w14:paraId="2EFAE5D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11.4督查模板</w:t>
            </w:r>
          </w:p>
          <w:p w14:paraId="699542D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督查管理员可根据医院实际情况进行选择使用或维护个性化模板。</w:t>
            </w:r>
          </w:p>
          <w:p w14:paraId="0A9B7F8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11.5督导检查</w:t>
            </w:r>
          </w:p>
          <w:p w14:paraId="77AB82D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（1）建立医院督查计划，选择需要督查的项目、科室、人员；</w:t>
            </w:r>
          </w:p>
          <w:p w14:paraId="43501DF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（2）可对需要督查的计划进行项目的登记，记录督查的情况是否符合、存在问题、改进措施，支持佐证图片上传。通过手麻接口对接，实现手术记录关联抽查；</w:t>
            </w:r>
          </w:p>
          <w:p w14:paraId="5852423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（3）以进度条形式直观呈现督查进度、核实进度、改进进度、确认进度。支持科室提交改进情况；</w:t>
            </w:r>
          </w:p>
          <w:p w14:paraId="14EB39E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（4）支持导出督查项目Excel；</w:t>
            </w:r>
          </w:p>
          <w:p w14:paraId="5A46CE6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（5）支持按督导检查转化为督查模板，后续可使用该模板。</w:t>
            </w:r>
          </w:p>
          <w:p w14:paraId="040A8BF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11.6督查统计</w:t>
            </w:r>
          </w:p>
          <w:p w14:paraId="6976E09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（1）多维度查看督查情况；</w:t>
            </w:r>
          </w:p>
          <w:p w14:paraId="72A28D7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（2）可查看督查抽查情况、督查完成情况、督查项目问题跟进统计和督查人员情况。</w:t>
            </w:r>
          </w:p>
          <w:p w14:paraId="685A8CD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12.新技术新项目管理</w:t>
            </w:r>
          </w:p>
          <w:p w14:paraId="67DDD1D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12.1申请</w:t>
            </w:r>
          </w:p>
          <w:p w14:paraId="6E58DAB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支持新技术、新项目两类的申请，按照手术操作和收费项目两种方式进行划分管理。手术操作是选择手术编码库中状态为未开展的数据。支持项目成员的档案信息自动关联显示证书。支持表单配置、流程管理。</w:t>
            </w:r>
          </w:p>
          <w:p w14:paraId="30BACCD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12.2开展</w:t>
            </w:r>
          </w:p>
          <w:p w14:paraId="6AF0FA8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每隔一段时间对该技术进行科室自查登记开展过程中的临床应用记录和阶段评价。支持根据需要修改项目申请单内容信息。审批通过后，手术编码库中状态从未开展变为试用，项目成员该权限自动授权。</w:t>
            </w:r>
          </w:p>
          <w:p w14:paraId="1396361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12.3转常规</w:t>
            </w:r>
          </w:p>
          <w:p w14:paraId="2D36472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记录成熟或稳定的新技术新项目开展的实际情况、效果评价，以及上传或导出相关附件。实现将新技术新项目增加到手术目录或形成一个新的手术提供给医师申请授权。</w:t>
            </w:r>
          </w:p>
          <w:p w14:paraId="121AC27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12.4延期</w:t>
            </w:r>
          </w:p>
          <w:p w14:paraId="0D7200E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对未在规定时间内完成的新技术新项目，登记延期申请，审批通过后将其定位为延期。可多次申请。</w:t>
            </w:r>
          </w:p>
          <w:p w14:paraId="2131632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12.5终止</w:t>
            </w:r>
          </w:p>
          <w:p w14:paraId="4413919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对未成熟或稳定的项目、技术，记录相关终止条件与原因，经审批后终止该新技术新项目。</w:t>
            </w:r>
          </w:p>
          <w:p w14:paraId="78BF674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13.手术分级及其他权限管理</w:t>
            </w:r>
          </w:p>
          <w:p w14:paraId="6076EA2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13.1技术目录</w:t>
            </w:r>
          </w:p>
          <w:p w14:paraId="6065E4C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（1）院级手术编码库：支持国临3.0标准和ICD编码，根据分类查看现有的术及其编码、名称信息。支持导出Excel列表；</w:t>
            </w:r>
          </w:p>
          <w:p w14:paraId="702F103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（2）科室手术编码库：以科室为单位管理各科室的手术技术类别；</w:t>
            </w:r>
          </w:p>
          <w:p w14:paraId="40723B0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（3）处方字典：配置处方权申请选项。支持查阅处方权申请选项。支持导出Excel列表；</w:t>
            </w:r>
          </w:p>
          <w:p w14:paraId="087BCBC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（4）麻醉分级：配置麻醉权申请选项。支持查阅麻醉权申请选项。支持导出Excel列表；</w:t>
            </w:r>
          </w:p>
          <w:p w14:paraId="3269366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（5）输血维护：维护输血权申请选项，包括检验类别、编码、名称、状态、注意实现，支持查询和导出；</w:t>
            </w:r>
          </w:p>
          <w:p w14:paraId="2112813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（6）特殊手术分类：维护手术类别信息，维护以后手术编码库绑定此类手术类别；</w:t>
            </w:r>
          </w:p>
          <w:p w14:paraId="6466192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（7）超声维护：维护超声权申请选项，包括类别、编码、名称、状态、注意事项，支持查询和导出；</w:t>
            </w:r>
          </w:p>
          <w:p w14:paraId="6D52EA6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（8）影像维护：维护影像权申请选项，包括类别、编码、名称、状态、注意事项，支持查询和导出；</w:t>
            </w:r>
          </w:p>
          <w:p w14:paraId="3C88646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（9）设备操作：维护设备操作权申请选项，包括类别、编码、名称、状态、注意事项，支持查询和导出；</w:t>
            </w:r>
          </w:p>
          <w:p w14:paraId="4A40BEB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13.2手术分级</w:t>
            </w:r>
          </w:p>
          <w:p w14:paraId="0D0AA6B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（1）申请</w:t>
            </w:r>
          </w:p>
          <w:p w14:paraId="2B0BF6D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根据国临3.0标准结合院内技术目录，符合三甲评审与手术分级管理的要求，实现技术权限（包括普通手术类、治疗性操作类、诊断性操作类、创伤手术类、重大手术类、非限制类技、特殊手术类、高风险手术操作类、介入手术类、创新技术类、专科技术类、中医项目类、辅助生殖相关技术类。支持过滤筛选技术，导出Excel列表，查阅我的申请记录和停权列表；</w:t>
            </w:r>
          </w:p>
          <w:p w14:paraId="4545997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支持对已授权的技术进行年度总结报告，医务科根据年度医师的整体医疗技术情况进行审核，审批通过对延长相关技术期限；</w:t>
            </w:r>
          </w:p>
          <w:p w14:paraId="50C0B63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支持权限独立授权、暂停、恢复、回收相关管理操作；</w:t>
            </w:r>
          </w:p>
          <w:p w14:paraId="730EF70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（2）急诊临时授权</w:t>
            </w:r>
          </w:p>
          <w:p w14:paraId="007D193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医师在HIS系统开单时，HIS系统会与医务管理系统联动进行权限校验。若医生无权限，可通过获取医务部口头授权，完成补充信息后继续操作，相关数据会生成临时授权记录单供医务部查验；</w:t>
            </w:r>
          </w:p>
          <w:p w14:paraId="2F11373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（3）临时授权监管</w:t>
            </w:r>
          </w:p>
          <w:p w14:paraId="724637F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通过对接HIS系统或手麻系统获取医师的开单数据，利用算法和规则引擎，对医师的手术开单行为进行智能分析，识别违规手术记录，此外，系统支持自动触发通知，将相关记录发送至医务科进行登记安全行为记录与处理授权；</w:t>
            </w:r>
          </w:p>
          <w:p w14:paraId="07C2735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◆（4）授权智能卡控</w:t>
            </w:r>
          </w:p>
          <w:p w14:paraId="28534D7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系统</w:t>
            </w:r>
            <w:r>
              <w:rPr>
                <w:rFonts w:hint="eastAsia" w:ascii="宋体" w:hAnsi="宋体" w:cs="宋体"/>
                <w:lang w:val="en-US" w:eastAsia="zh-CN"/>
              </w:rPr>
              <w:t>可</w:t>
            </w:r>
            <w:r>
              <w:rPr>
                <w:rFonts w:hint="eastAsia" w:ascii="宋体" w:hAnsi="宋体" w:eastAsia="宋体" w:cs="宋体"/>
                <w:lang w:val="en-US" w:eastAsia="zh-CN"/>
              </w:rPr>
              <w:t>通过资质匹配引擎与动态规则库，将手术权限与医师资质、工作经验等条件深度绑定，系统自动校验医师是否具备权限申请资格，所有预设条件达成，申请通道才会智能开启。</w:t>
            </w:r>
          </w:p>
          <w:p w14:paraId="003BFCC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13.3限制技术手术权</w:t>
            </w:r>
          </w:p>
          <w:p w14:paraId="54B948F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（1）支持过滤筛选技术，导出Excel列表，查阅我的申请记录和停权列表；</w:t>
            </w:r>
          </w:p>
          <w:p w14:paraId="0B9B318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（2）支持对已授权的技术进行年度总结报告，医务科根据年度医师的整体医疗技术情况进行审核，审批通过对延长相关技术期限；</w:t>
            </w:r>
          </w:p>
          <w:p w14:paraId="4821C2C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（3）支持权限独立授权、暂停、恢复、回收相关管理操作。</w:t>
            </w:r>
          </w:p>
          <w:p w14:paraId="543AA55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13.4处方权</w:t>
            </w:r>
          </w:p>
          <w:p w14:paraId="615B534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（1）可实现处方权限包括：普通处方权、抗菌药物处方权、精神/麻醉/毒性药品处方权、抗肿瘤药物处方权（临床试验用药物、一般管理药物、特殊管理药物）的申请、查阅我的申请记录，可导出Excel列表；</w:t>
            </w:r>
          </w:p>
          <w:p w14:paraId="6083836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（2）支持权限独立授权、暂停、恢复、回收相关管理操作。</w:t>
            </w:r>
          </w:p>
          <w:p w14:paraId="2ED04DD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13.5麻醉权</w:t>
            </w:r>
          </w:p>
          <w:p w14:paraId="19F50E5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（1）可实现麻醉分级权限的申请、查阅我的申请记录，可导出Excel列表；</w:t>
            </w:r>
          </w:p>
          <w:p w14:paraId="4A83B3D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（2）支持对已授权的麻醉权限进行年度总结报告，医务科根据年度医师的整体情况进行审核，审批通过延长麻醉授权期限；</w:t>
            </w:r>
          </w:p>
          <w:p w14:paraId="1A197BB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（3）支持权限独立授权、暂停、恢复、回收相关管理操作。</w:t>
            </w:r>
          </w:p>
          <w:p w14:paraId="7E9D09B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13.6输血权申请</w:t>
            </w:r>
          </w:p>
          <w:p w14:paraId="232E546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（1）支持输血授权进行申请、查阅我的申请记录，可导出Excel列表；</w:t>
            </w:r>
          </w:p>
          <w:p w14:paraId="5833492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（2）支持权限独立授权、暂停、恢复、回收相关管理操作。</w:t>
            </w:r>
          </w:p>
          <w:p w14:paraId="73D0097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13.7超声权申请</w:t>
            </w:r>
          </w:p>
          <w:p w14:paraId="1EBF377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（1）支持超声授权进行申请、查阅我的申请记录，可导出Excel列表；</w:t>
            </w:r>
          </w:p>
          <w:p w14:paraId="09E7FFB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（2）支持权限独立授权、暂停、恢复、回收相关管理操作。</w:t>
            </w:r>
          </w:p>
          <w:p w14:paraId="22D40E8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13.8影像权申请</w:t>
            </w:r>
          </w:p>
          <w:p w14:paraId="7105E44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（1）支持影像授权进行申请、查阅我的申请记录，可导出Excel列表；</w:t>
            </w:r>
          </w:p>
          <w:p w14:paraId="3947D53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（2）支持权限独立授权、暂停、恢复、回收相关管理操作。</w:t>
            </w:r>
          </w:p>
          <w:p w14:paraId="423EB40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13.9 POCT授权申请</w:t>
            </w:r>
          </w:p>
          <w:p w14:paraId="305B68D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（1）支持POCT授权进行申请、查阅我的申请记录，可导出Excel列表；</w:t>
            </w:r>
          </w:p>
          <w:p w14:paraId="2C75B04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（2）支持权限独立授权、暂停、恢复、回收相关管理操作。</w:t>
            </w:r>
          </w:p>
          <w:p w14:paraId="318D1BD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13.10设备操作申请</w:t>
            </w:r>
          </w:p>
          <w:p w14:paraId="34E50ED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（1）支持设备操作授权进行申请、查阅我的申请记录，可导出Excel列表；</w:t>
            </w:r>
          </w:p>
          <w:p w14:paraId="3475DC9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（2）支持权限独立授权、暂停、恢复、回收相关管理操作。</w:t>
            </w:r>
          </w:p>
          <w:p w14:paraId="519DBF9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13.11互联网门诊授权申请</w:t>
            </w:r>
          </w:p>
          <w:p w14:paraId="5E683E2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对于需要互联网看诊的医师提供申请、审批。</w:t>
            </w:r>
          </w:p>
          <w:p w14:paraId="2C60497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13.12日间手术</w:t>
            </w:r>
          </w:p>
          <w:p w14:paraId="5272D8E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（1）目录库：与科室日间手术目录库相同；</w:t>
            </w:r>
          </w:p>
          <w:p w14:paraId="08692E2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（2）申请：支持日间手术目录库中的手术进行授权申请，支持过滤筛选技术，导出Excel列表，查阅我的申请记录；</w:t>
            </w:r>
          </w:p>
          <w:p w14:paraId="681FDD0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（3）统计分析</w:t>
            </w:r>
          </w:p>
          <w:p w14:paraId="0F24A5C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可实现对日间手术申请明细统计，支持多条件查询与导出统计结果；</w:t>
            </w:r>
          </w:p>
          <w:p w14:paraId="74AA3D9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支持按等级统计日间手术申请，支持多条件查询与导出统计结果。</w:t>
            </w:r>
          </w:p>
          <w:p w14:paraId="5B6AF78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13.13授权即将到期</w:t>
            </w:r>
          </w:p>
          <w:p w14:paraId="7F350CB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支持设置警示天数，获取即将到时的授权列表。科室管理员可根据相关即将到时的授权进行筛选、导出Excel，可对授权进行延期处理。</w:t>
            </w:r>
          </w:p>
          <w:p w14:paraId="6DC9E8A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13.14定期评估</w:t>
            </w:r>
          </w:p>
          <w:p w14:paraId="4385DEE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（1）个人申请：支持根据授权结束时间配置，系统自动生成手术授权、麻醉授权再授权申请，医师录入手术情况统计与各项手术的工作量，审批通过后可延长授权期限。支持查看申请中的授权列表；</w:t>
            </w:r>
          </w:p>
          <w:p w14:paraId="3161020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（2）授权查询：对申请再授权记录进行查阅，根据科室、授权类型、状态、年份、工号姓名进行筛选。支持查看各级别的授权列表。</w:t>
            </w:r>
          </w:p>
          <w:p w14:paraId="3ED67CD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13.15权限一览</w:t>
            </w:r>
          </w:p>
          <w:p w14:paraId="1F942E0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手术权一览：以科室为单位浏览各科室人员的手术授权情况（可按科室人员和按手术权限两种方式预览）。支持三/四级授权向下统一授权本科室下所有一、二级手术。支持批量导出个人/科室/全院授权明细；</w:t>
            </w:r>
          </w:p>
          <w:p w14:paraId="23DA566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（2）处方权一览：以科室为单位浏览各科室人员的处方授权情况（可按科室人员和按处方权限两种方式预览）；</w:t>
            </w:r>
          </w:p>
          <w:p w14:paraId="4AFD262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（3）麻醉权一览：以科室为单位浏览各科室人员的麻醉授权情况（可按科室人员和按麻醉权限两种方式预览）；</w:t>
            </w:r>
          </w:p>
          <w:p w14:paraId="7A646D8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（4）会诊权一览：根据职称，从副主任开始自动授权，其他医师升副主任是自动授权，无需申请。</w:t>
            </w:r>
          </w:p>
          <w:p w14:paraId="0907443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14.医疗资质管理</w:t>
            </w:r>
          </w:p>
          <w:p w14:paraId="5FDF78C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14.1门诊资质</w:t>
            </w:r>
          </w:p>
          <w:p w14:paraId="7C3662B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具备门诊资质分类管理功能，涵盖普通门诊、专家门诊、特需门诊，实现医师门诊资质的申请和查阅个人申请记录，支持导出Excel列表。</w:t>
            </w:r>
          </w:p>
          <w:p w14:paraId="32ABC8B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14.2主诊医师遴选申请</w:t>
            </w:r>
          </w:p>
          <w:p w14:paraId="51AEDE6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医师进行主诊医师遴选申请，包括医师个人信息、学习/进修经历、工作经历、取得业绩等信息维护，实现主诊医师资质的申请和查阅个人申请记录，支持导出Excel列表。</w:t>
            </w:r>
          </w:p>
          <w:p w14:paraId="3D64484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14.3医疗主任申请</w:t>
            </w:r>
          </w:p>
          <w:p w14:paraId="13E6882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可实现医疗主任资质申请、查阅功能，支持导出Excel列表。</w:t>
            </w:r>
          </w:p>
          <w:p w14:paraId="51CEC29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14.4带组资质</w:t>
            </w:r>
          </w:p>
          <w:p w14:paraId="1C73708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医师进行带组资质申请，包括医师职称信息、资质申请信息、相关带组经历等，实现带组资质的申请和查阅个人申请记录，支持导出Excel列表。</w:t>
            </w:r>
          </w:p>
          <w:p w14:paraId="4B81F2D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14.5住院总资质</w:t>
            </w:r>
          </w:p>
          <w:p w14:paraId="2F2C43B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可实现总住院资质的申请、查阅功能，支持导出Excel列表。</w:t>
            </w:r>
          </w:p>
          <w:p w14:paraId="5C563A6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14.6独立诊疗资质</w:t>
            </w:r>
          </w:p>
          <w:p w14:paraId="03B6B66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可实现独立诊疗资质申请、查阅功能，支持导出Excel列表。</w:t>
            </w:r>
          </w:p>
          <w:p w14:paraId="6817777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14.7质控员资质</w:t>
            </w:r>
          </w:p>
          <w:p w14:paraId="3F96770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可实现质控员资质申请、查阅功能，支持导出Excel列表。</w:t>
            </w:r>
          </w:p>
          <w:p w14:paraId="766A58C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14.8二线值班资质</w:t>
            </w:r>
          </w:p>
          <w:p w14:paraId="4245B0A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可实现医师二线值班资质的申请、查阅功能，支持导出Excel列表。</w:t>
            </w:r>
          </w:p>
          <w:p w14:paraId="799219C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14.9值班资质</w:t>
            </w:r>
          </w:p>
          <w:p w14:paraId="66119DD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可实现值班资质的申请、查阅功能，支持导出Excel列表。</w:t>
            </w:r>
          </w:p>
          <w:p w14:paraId="767CB7B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14.10会诊资质</w:t>
            </w:r>
          </w:p>
          <w:p w14:paraId="4A89115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可实现会诊资质（院内普通会诊、院内专家会诊、院内急会诊、院外会诊）的申请、查阅功能，支持导出Excel列表。</w:t>
            </w:r>
          </w:p>
          <w:p w14:paraId="615B68D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15.排班管理</w:t>
            </w:r>
          </w:p>
          <w:p w14:paraId="4DDB3F4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15.1班次设置</w:t>
            </w:r>
          </w:p>
          <w:p w14:paraId="764E20A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系统提供个性化的班次设置，支持科室灵活设置班次，提供类型管理对班次进行分组查看设置，班次信息包括班次的起止时间，上班时长，班次颜色，固定加扣班，责任护士班等信息。允许增加统计属性，对考勤及夜班设置统计入口，方便直观统计人员的考勤统计；</w:t>
            </w:r>
          </w:p>
          <w:p w14:paraId="13615A9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（2）支持全院班次设置；</w:t>
            </w:r>
          </w:p>
          <w:p w14:paraId="4FF9A79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（3）支持科室班次审批开关。</w:t>
            </w:r>
          </w:p>
          <w:p w14:paraId="76CDE68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15.2假期设置</w:t>
            </w:r>
          </w:p>
          <w:p w14:paraId="4C822D7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提供假期设置，针对国家法定节假日或区域特色节假日进行设置，假期信息在排班表标注显示，提供排班参考。</w:t>
            </w:r>
          </w:p>
          <w:p w14:paraId="270C943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15.3科室排班</w:t>
            </w:r>
          </w:p>
          <w:p w14:paraId="6D8DCD1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（1）对科室医护人员进行排班，各科室可按需灵活制定本科室的班次，灵活排班，发布后负责人可查看具体排班信息；</w:t>
            </w:r>
          </w:p>
          <w:p w14:paraId="7722400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（2）支持排班人员分组管理，分组展示，按人员职能、岗位灵活划分；可以灵活调整人员在排班排班表的展示顺序，通过开关，设置科室排班表是否按分组展示；</w:t>
            </w:r>
          </w:p>
          <w:p w14:paraId="40E9DE6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（3）支持人员借调，允许排班员在排班时从其它科室借入人员到本科室，并对该人员进行排班，优化科室间资源配置；</w:t>
            </w:r>
          </w:p>
          <w:p w14:paraId="1A1B5C7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（4）对于常规的排班，支持一键复制上周的排班，操作便捷；</w:t>
            </w:r>
          </w:p>
          <w:p w14:paraId="41A56A6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（5）提供排班区域操作，提高科室排班效率。</w:t>
            </w:r>
          </w:p>
          <w:p w14:paraId="48EFF89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（6）可按每个人所排班次的数量、按班次统计总排班数量、夜班排班数量三个维度提供科室排班统计报表，方便排班员分析排班合理性；以人看班，分析是否均衡；以班看人，查看是否漏岗。</w:t>
            </w:r>
          </w:p>
          <w:p w14:paraId="56F99C2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15.4排班查看</w:t>
            </w:r>
          </w:p>
          <w:p w14:paraId="1D76EC7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（1）排班员发布排班计划，科室医护人员可随时查看。对于需要协调的班次，可及时发起沟通，或提前通过排班申请的方式提交意愿；</w:t>
            </w:r>
          </w:p>
          <w:p w14:paraId="7BE50A4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（2）支持月排班视图，一页查看科室本月的排班概况，直观方便排班管理员分析排班合理性。</w:t>
            </w:r>
          </w:p>
          <w:p w14:paraId="5477020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15.5值班管理</w:t>
            </w:r>
          </w:p>
          <w:p w14:paraId="119052B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（1）支持医院总值班管理，用户可根据医院实际建立值班分类，默认支持医疗、行政以及护理总值类型。提供值班人员、值班小组自定义管理功能，支持医院指定院区、值班分类以及月份进行人员值班；</w:t>
            </w:r>
          </w:p>
          <w:p w14:paraId="112AB75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（2）提供值班月视图和值班备注功能，值班编辑员可直观、快捷地在一个页面编排整月的人员值班。</w:t>
            </w:r>
          </w:p>
          <w:p w14:paraId="7A4D409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15.6班次审批：对设置的班次进行审批，只有审批通过的班次才能被使用。</w:t>
            </w:r>
          </w:p>
          <w:p w14:paraId="33623F3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15.7年假管理：可查看科室人员的最新当年年假，系统清晰展示人员的年假明细流水。人员年假可根据医院实际情况选择手工发放，灵活调整。</w:t>
            </w:r>
          </w:p>
          <w:p w14:paraId="6B5C701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15.8存假管理：可查看科室人员的最新当年存假，系统清晰展示人员的存假明细流水。允许存假管理员进行存假清零。</w:t>
            </w:r>
          </w:p>
          <w:p w14:paraId="74410E5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15.9请假登记：医护人员请假登记，支持销假，年存假自动更新。</w:t>
            </w:r>
          </w:p>
          <w:p w14:paraId="52BE3BC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15.10调班申请：支持人员按意愿提出调班申请，人性化操作。审批通过后，就可以与对调人班次交换。</w:t>
            </w:r>
          </w:p>
          <w:p w14:paraId="169A272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15.11调班审批：自定义审批流程，可指定科室或具体审批人对医务人员的调班意愿进行审批。</w:t>
            </w:r>
          </w:p>
          <w:p w14:paraId="1F8997B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15.12加班申请：支持人员按意愿发起加班申请，存假自动更新。</w:t>
            </w:r>
          </w:p>
          <w:p w14:paraId="142BF86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15.13加班审批：自定义审批流程，可指定科室或具体审批人对医务人员的加班意愿进行审批。</w:t>
            </w:r>
          </w:p>
          <w:p w14:paraId="7E6AC65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15.14排班申请：支持人员按需发起排班申请，审批通过后，排班表自动更新。</w:t>
            </w:r>
          </w:p>
          <w:p w14:paraId="5B98A9C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15.15排班审批：自定义审批流程，可指定科室或具体审批人对医务人员的排班意愿进行审批。</w:t>
            </w:r>
          </w:p>
          <w:p w14:paraId="1C4ED54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15.16排班统计：对科室排班班次进行统计分析。</w:t>
            </w:r>
          </w:p>
          <w:p w14:paraId="57DB91A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15.17考勤统计：对医务人员排班考勤情况进行统计分析。</w:t>
            </w:r>
          </w:p>
          <w:p w14:paraId="2E54C69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16.医务考试学习管理</w:t>
            </w:r>
          </w:p>
          <w:p w14:paraId="78E0A52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16.1课程培训</w:t>
            </w:r>
          </w:p>
          <w:p w14:paraId="31E6953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（1）素材管理</w:t>
            </w:r>
          </w:p>
          <w:p w14:paraId="6E6AA4F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支持不限目录层级设置素材分类，方便管理课程素材；</w:t>
            </w:r>
          </w:p>
          <w:p w14:paraId="4197976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提供课程素材的便捷管理功能，支持视频、文档（WORD、EXCEL、PPT、PDF）等素材类型，方便快捷发起在线课程；</w:t>
            </w:r>
          </w:p>
          <w:p w14:paraId="7C019C8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（2）课程管理</w:t>
            </w:r>
          </w:p>
          <w:p w14:paraId="79679B4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支持不限目录层级设置课程分类，方便课程在线管理；</w:t>
            </w:r>
          </w:p>
          <w:p w14:paraId="19DE8F3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包括课程的新增、修改、删除，根据选择的课程学习人员，即时同步到学员端，随时随地进行学习。管理后台可以随时查看学员学习情况，及时跟踪。支持学员学习情况统计并导出；</w:t>
            </w:r>
          </w:p>
          <w:p w14:paraId="43396F9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（3）在线课程：医师可以在线浏览、学习，方便医生随时随地的进行培训；</w:t>
            </w:r>
          </w:p>
          <w:p w14:paraId="51FC75F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（4）培训计划管理：支持培训、会议、团建等类型，内容包含：培训的课程、参与人员、负责人员、培训地点、培训讲师，培训内容记录等；</w:t>
            </w:r>
          </w:p>
          <w:p w14:paraId="38E7A73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（5）培训计划查看</w:t>
            </w:r>
          </w:p>
          <w:p w14:paraId="00817FD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活动计划建立，相关的参与人可以在活动计划列表查看，并参与培训活动；</w:t>
            </w:r>
          </w:p>
          <w:p w14:paraId="0E5DECC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支持活动报名，并可查看报名学员；</w:t>
            </w:r>
          </w:p>
          <w:p w14:paraId="7579CE1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（6）培训统计：线上、线下培训统计分析。线上培训统计各状态学员分布以及完成率情况。线下培训统计签到、签退情况。支持数据钻取查看明细。支持统计数据导出。</w:t>
            </w:r>
          </w:p>
          <w:p w14:paraId="5377A40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16.2考试管理</w:t>
            </w:r>
          </w:p>
          <w:p w14:paraId="6F8103E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（1）题库管理</w:t>
            </w:r>
          </w:p>
          <w:p w14:paraId="5755934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包括题库元数据新增、修改、删除等，一个题库下可以按需添加题目。包括单选题、多选题、判断题、填空题以及问答题。系统支持题目分数自定义，自动评分；</w:t>
            </w:r>
          </w:p>
          <w:p w14:paraId="619208D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支持通过EXCEL的方式批量导入题目；</w:t>
            </w:r>
          </w:p>
          <w:p w14:paraId="0DBF8C4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支持文本方式，智能识别题干、答案以及解释等题目相关信息，快速录入题目，识别异常时系统反馈异常信息，快速定位错误位置；</w:t>
            </w:r>
          </w:p>
          <w:p w14:paraId="428E0E1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（2）试卷管理</w:t>
            </w:r>
          </w:p>
          <w:p w14:paraId="128777C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按不同的维度对试卷进行分类，方便管理；</w:t>
            </w:r>
          </w:p>
          <w:p w14:paraId="7F414DE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对试卷进行管理，包括试卷的新增、修改、删除等。通过题目类型、难度、分类自由组合，提供便捷的操作流程，从题库选择题目，快速生成考试试卷；</w:t>
            </w:r>
          </w:p>
          <w:p w14:paraId="096E4E4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支持两种组卷方式：选题组卷：直接通过搜索手动添加题目，组成固定的试卷；随机组卷：设置组卷规则，题目不固定，考试时候随机生成，实现千人千卷的效果；</w:t>
            </w:r>
          </w:p>
          <w:p w14:paraId="2B8AE66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4 \* GB3 \* MERGEFORMAT </w:instrText>
            </w:r>
            <w:r>
              <w:rPr>
                <w:rFonts w:hint="eastAsia" w:ascii="宋体" w:hAnsi="宋体" w:eastAsia="宋体" w:cs="宋体"/>
                <w:lang w:val="en-US" w:eastAsia="zh-CN"/>
              </w:rPr>
              <w:fldChar w:fldCharType="separate"/>
            </w:r>
            <w:r>
              <w:t>④</w:t>
            </w:r>
            <w:r>
              <w:rPr>
                <w:rFonts w:hint="eastAsia" w:ascii="宋体" w:hAnsi="宋体" w:eastAsia="宋体" w:cs="宋体"/>
                <w:lang w:val="en-US" w:eastAsia="zh-CN"/>
              </w:rPr>
              <w:fldChar w:fldCharType="end"/>
            </w:r>
            <w:r>
              <w:rPr>
                <w:rFonts w:hint="eastAsia" w:ascii="宋体" w:hAnsi="宋体" w:eastAsia="宋体" w:cs="宋体"/>
                <w:lang w:val="en-US" w:eastAsia="zh-CN"/>
              </w:rPr>
              <w:t>试卷创建完成，支持预览操作；</w:t>
            </w:r>
          </w:p>
          <w:p w14:paraId="79BD404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（3）考试管理</w:t>
            </w:r>
          </w:p>
          <w:p w14:paraId="05D4E37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支持不限目录层级设置考试分类，方便管理考试；</w:t>
            </w:r>
          </w:p>
          <w:p w14:paraId="2B36E92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包括考试名称、说明、关联的试卷等；</w:t>
            </w:r>
          </w:p>
          <w:p w14:paraId="4435154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可按科室、人员类别等发布在线考试，考试信息包括考试时间、考试限时、合格分数、考试次数等，支持高级设置功能，包括考试暂存、防切屏设置等；</w:t>
            </w:r>
          </w:p>
          <w:p w14:paraId="7226E01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4 \* GB3 \* MERGEFORMAT </w:instrText>
            </w:r>
            <w:r>
              <w:rPr>
                <w:rFonts w:hint="eastAsia" w:ascii="宋体" w:hAnsi="宋体" w:eastAsia="宋体" w:cs="宋体"/>
                <w:lang w:val="en-US" w:eastAsia="zh-CN"/>
              </w:rPr>
              <w:fldChar w:fldCharType="separate"/>
            </w:r>
            <w:r>
              <w:t>④</w:t>
            </w:r>
            <w:r>
              <w:rPr>
                <w:rFonts w:hint="eastAsia" w:ascii="宋体" w:hAnsi="宋体" w:eastAsia="宋体" w:cs="宋体"/>
                <w:lang w:val="en-US" w:eastAsia="zh-CN"/>
              </w:rPr>
              <w:fldChar w:fldCharType="end"/>
            </w:r>
            <w:r>
              <w:rPr>
                <w:rFonts w:hint="eastAsia" w:ascii="宋体" w:hAnsi="宋体" w:eastAsia="宋体" w:cs="宋体"/>
                <w:lang w:val="en-US" w:eastAsia="zh-CN"/>
              </w:rPr>
              <w:t>包括考试统计和试题分析，直观清晰呈现考生的考试状态、分数、考试用时等；同时提供考题分析，统计考题的答题情况、正确率等；</w:t>
            </w:r>
          </w:p>
          <w:p w14:paraId="4F81FE5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5 \* GB3 \* MERGEFORMAT </w:instrText>
            </w:r>
            <w:r>
              <w:rPr>
                <w:rFonts w:hint="eastAsia" w:ascii="宋体" w:hAnsi="宋体" w:eastAsia="宋体" w:cs="宋体"/>
                <w:lang w:val="en-US" w:eastAsia="zh-CN"/>
              </w:rPr>
              <w:fldChar w:fldCharType="separate"/>
            </w:r>
            <w:r>
              <w:t>⑤</w:t>
            </w:r>
            <w:r>
              <w:rPr>
                <w:rFonts w:hint="eastAsia" w:ascii="宋体" w:hAnsi="宋体" w:eastAsia="宋体" w:cs="宋体"/>
                <w:lang w:val="en-US" w:eastAsia="zh-CN"/>
              </w:rPr>
              <w:fldChar w:fldCharType="end"/>
            </w:r>
            <w:r>
              <w:rPr>
                <w:rFonts w:hint="eastAsia" w:ascii="宋体" w:hAnsi="宋体" w:eastAsia="宋体" w:cs="宋体"/>
                <w:lang w:val="en-US" w:eastAsia="zh-CN"/>
              </w:rPr>
              <w:t>支持考试记录导出，针对没通过的考生可以一键发起补考；</w:t>
            </w:r>
          </w:p>
          <w:p w14:paraId="6235D04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6 \* GB3 \* MERGEFORMAT </w:instrText>
            </w:r>
            <w:r>
              <w:rPr>
                <w:rFonts w:hint="eastAsia" w:ascii="宋体" w:hAnsi="宋体" w:eastAsia="宋体" w:cs="宋体"/>
                <w:lang w:val="en-US" w:eastAsia="zh-CN"/>
              </w:rPr>
              <w:fldChar w:fldCharType="separate"/>
            </w:r>
            <w:r>
              <w:t>⑥</w:t>
            </w:r>
            <w:r>
              <w:rPr>
                <w:rFonts w:hint="eastAsia" w:ascii="宋体" w:hAnsi="宋体" w:eastAsia="宋体" w:cs="宋体"/>
                <w:lang w:val="en-US" w:eastAsia="zh-CN"/>
              </w:rPr>
              <w:fldChar w:fldCharType="end"/>
            </w:r>
            <w:r>
              <w:rPr>
                <w:rFonts w:hint="eastAsia" w:ascii="宋体" w:hAnsi="宋体" w:eastAsia="宋体" w:cs="宋体"/>
                <w:lang w:val="en-US" w:eastAsia="zh-CN"/>
              </w:rPr>
              <w:t>包括自动批改和手工批改。对于单选、多选、判断题等客观题型，根据设定的评分规则，自动评分汇总；对于问答题等主观题型，支持阅卷人手工批改；</w:t>
            </w:r>
          </w:p>
          <w:p w14:paraId="1D6EB18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7 \* GB3 \* MERGEFORMAT </w:instrText>
            </w:r>
            <w:r>
              <w:rPr>
                <w:rFonts w:hint="eastAsia" w:ascii="宋体" w:hAnsi="宋体" w:eastAsia="宋体" w:cs="宋体"/>
                <w:lang w:val="en-US" w:eastAsia="zh-CN"/>
              </w:rPr>
              <w:fldChar w:fldCharType="separate"/>
            </w:r>
            <w:r>
              <w:t>⑦</w:t>
            </w:r>
            <w:r>
              <w:rPr>
                <w:rFonts w:hint="eastAsia" w:ascii="宋体" w:hAnsi="宋体" w:eastAsia="宋体" w:cs="宋体"/>
                <w:lang w:val="en-US" w:eastAsia="zh-CN"/>
              </w:rPr>
              <w:fldChar w:fldCharType="end"/>
            </w:r>
            <w:r>
              <w:rPr>
                <w:rFonts w:hint="eastAsia" w:ascii="宋体" w:hAnsi="宋体" w:eastAsia="宋体" w:cs="宋体"/>
                <w:lang w:val="en-US" w:eastAsia="zh-CN"/>
              </w:rPr>
              <w:t>考试设置：包括考试时间、考试限时、合格分数；</w:t>
            </w:r>
          </w:p>
          <w:p w14:paraId="2AF60AE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8 \* GB3 \* MERGEFORMAT </w:instrText>
            </w:r>
            <w:r>
              <w:rPr>
                <w:rFonts w:hint="eastAsia" w:ascii="宋体" w:hAnsi="宋体" w:eastAsia="宋体" w:cs="宋体"/>
                <w:lang w:val="en-US" w:eastAsia="zh-CN"/>
              </w:rPr>
              <w:fldChar w:fldCharType="separate"/>
            </w:r>
            <w:r>
              <w:t>⑧</w:t>
            </w:r>
            <w:r>
              <w:rPr>
                <w:rFonts w:hint="eastAsia" w:ascii="宋体" w:hAnsi="宋体" w:eastAsia="宋体" w:cs="宋体"/>
                <w:lang w:val="en-US" w:eastAsia="zh-CN"/>
              </w:rPr>
              <w:fldChar w:fldCharType="end"/>
            </w:r>
            <w:r>
              <w:rPr>
                <w:rFonts w:hint="eastAsia" w:ascii="宋体" w:hAnsi="宋体" w:eastAsia="宋体" w:cs="宋体"/>
                <w:lang w:val="en-US" w:eastAsia="zh-CN"/>
              </w:rPr>
              <w:t>考试明细分析：考试统计，呈现考生的考试状态、分数、考试用时。考题分析，统计考题的答题情况、正确率；</w:t>
            </w:r>
          </w:p>
          <w:p w14:paraId="3A09059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9 \* GB3 \* MERGEFORMAT </w:instrText>
            </w:r>
            <w:r>
              <w:rPr>
                <w:rFonts w:hint="eastAsia" w:ascii="宋体" w:hAnsi="宋体" w:eastAsia="宋体" w:cs="宋体"/>
                <w:lang w:val="en-US" w:eastAsia="zh-CN"/>
              </w:rPr>
              <w:fldChar w:fldCharType="separate"/>
            </w:r>
            <w:r>
              <w:t>⑨</w:t>
            </w:r>
            <w:r>
              <w:rPr>
                <w:rFonts w:hint="eastAsia" w:ascii="宋体" w:hAnsi="宋体" w:eastAsia="宋体" w:cs="宋体"/>
                <w:lang w:val="en-US" w:eastAsia="zh-CN"/>
              </w:rPr>
              <w:fldChar w:fldCharType="end"/>
            </w:r>
            <w:r>
              <w:rPr>
                <w:rFonts w:hint="eastAsia" w:ascii="宋体" w:hAnsi="宋体" w:eastAsia="宋体" w:cs="宋体"/>
                <w:lang w:val="en-US" w:eastAsia="zh-CN"/>
              </w:rPr>
              <w:t>试卷批阅：自动批改和手工批改，自动评分汇总；对于问答题主观题型，支持阅卷人手工批改，分数即时同步到考生端；</w:t>
            </w:r>
          </w:p>
          <w:p w14:paraId="271A948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（4）在线考试</w:t>
            </w:r>
          </w:p>
          <w:p w14:paraId="081C1AB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考试发布，考生可以通过在线考试界面，领取试卷，答题和提交试卷；</w:t>
            </w:r>
          </w:p>
          <w:p w14:paraId="7BB6986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考试提交后成绩结果即时统计公布，考生可查看结果明细，包括答题得分情况，答案解释等；</w:t>
            </w:r>
          </w:p>
          <w:p w14:paraId="1398767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（5）考试统计：考试统计分析，包括完成率、通过率等。支持数据钻取查看明细。支持统计数据导出。</w:t>
            </w:r>
          </w:p>
          <w:p w14:paraId="44A5196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16.3实操考试管理</w:t>
            </w:r>
          </w:p>
          <w:p w14:paraId="20B24C6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（1）评分标准</w:t>
            </w:r>
          </w:p>
          <w:p w14:paraId="72E0BE1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实操评分表设置：添加、引用评分表，包括常规评分表和带有扣分点的快捷评分表；</w:t>
            </w:r>
          </w:p>
          <w:p w14:paraId="2FFEC89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覆盖多种标准常用的护理实操标准；</w:t>
            </w:r>
          </w:p>
          <w:p w14:paraId="754CAA9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多人评分管理：支持多人同时进行操作评分，自动汇总评分结果，取平均分作为考核成绩；</w:t>
            </w:r>
          </w:p>
          <w:p w14:paraId="09B977D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4 \* GB3 \* MERGEFORMAT </w:instrText>
            </w:r>
            <w:r>
              <w:rPr>
                <w:rFonts w:hint="eastAsia" w:ascii="宋体" w:hAnsi="宋体" w:eastAsia="宋体" w:cs="宋体"/>
                <w:lang w:val="en-US" w:eastAsia="zh-CN"/>
              </w:rPr>
              <w:fldChar w:fldCharType="separate"/>
            </w:r>
            <w:r>
              <w:t>④</w:t>
            </w:r>
            <w:r>
              <w:rPr>
                <w:rFonts w:hint="eastAsia" w:ascii="宋体" w:hAnsi="宋体" w:eastAsia="宋体" w:cs="宋体"/>
                <w:lang w:val="en-US" w:eastAsia="zh-CN"/>
              </w:rPr>
              <w:fldChar w:fldCharType="end"/>
            </w:r>
            <w:r>
              <w:rPr>
                <w:rFonts w:hint="eastAsia" w:ascii="宋体" w:hAnsi="宋体" w:eastAsia="宋体" w:cs="宋体"/>
                <w:lang w:val="en-US" w:eastAsia="zh-CN"/>
              </w:rPr>
              <w:t>评分标准复制：评分标准一键复制，快速微调；</w:t>
            </w:r>
          </w:p>
          <w:p w14:paraId="648E2CC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◆（2）实操考试管理</w:t>
            </w:r>
          </w:p>
          <w:p w14:paraId="134BC30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实操考试创建，包括考试基本信息、学分、主办科室等。支持多人考评、多场次设置。考试场次发布后，考生可以通过扫码自主报名；</w:t>
            </w:r>
          </w:p>
          <w:p w14:paraId="708148E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批次统计：查看各场次考试的地点、起止时间、考试完成情况等；</w:t>
            </w:r>
          </w:p>
          <w:p w14:paraId="5FD7EDB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（3）实操考试：实操考试创建后，考生可查看当时未开始、进行中以及结束的考试，自主选择报名参考；</w:t>
            </w:r>
          </w:p>
          <w:p w14:paraId="2CDDD51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（4）三基考试</w:t>
            </w:r>
          </w:p>
          <w:p w14:paraId="7B8CBEA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1 \* GB3 \* MERGEFORMAT </w:instrText>
            </w:r>
            <w:r>
              <w:rPr>
                <w:rFonts w:hint="eastAsia" w:ascii="宋体" w:hAnsi="宋体" w:eastAsia="宋体" w:cs="宋体"/>
                <w:lang w:val="en-US" w:eastAsia="zh-CN"/>
              </w:rPr>
              <w:fldChar w:fldCharType="separate"/>
            </w:r>
            <w:r>
              <w:t>①</w:t>
            </w:r>
            <w:r>
              <w:rPr>
                <w:rFonts w:hint="eastAsia" w:ascii="宋体" w:hAnsi="宋体" w:eastAsia="宋体" w:cs="宋体"/>
                <w:lang w:val="en-US" w:eastAsia="zh-CN"/>
              </w:rPr>
              <w:fldChar w:fldCharType="end"/>
            </w:r>
            <w:r>
              <w:rPr>
                <w:rFonts w:hint="eastAsia" w:ascii="宋体" w:hAnsi="宋体" w:eastAsia="宋体" w:cs="宋体"/>
                <w:lang w:val="en-US" w:eastAsia="zh-CN"/>
              </w:rPr>
              <w:t>支持下载模版填写三基考试的数据，导入到系统中；</w:t>
            </w:r>
          </w:p>
          <w:p w14:paraId="6FB54F4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2 \* GB3 \* MERGEFORMAT </w:instrText>
            </w:r>
            <w:r>
              <w:rPr>
                <w:rFonts w:hint="eastAsia" w:ascii="宋体" w:hAnsi="宋体" w:eastAsia="宋体" w:cs="宋体"/>
                <w:lang w:val="en-US" w:eastAsia="zh-CN"/>
              </w:rPr>
              <w:fldChar w:fldCharType="separate"/>
            </w:r>
            <w:r>
              <w:t>②</w:t>
            </w:r>
            <w:r>
              <w:rPr>
                <w:rFonts w:hint="eastAsia" w:ascii="宋体" w:hAnsi="宋体" w:eastAsia="宋体" w:cs="宋体"/>
                <w:lang w:val="en-US" w:eastAsia="zh-CN"/>
              </w:rPr>
              <w:fldChar w:fldCharType="end"/>
            </w:r>
            <w:r>
              <w:rPr>
                <w:rFonts w:hint="eastAsia" w:ascii="宋体" w:hAnsi="宋体" w:eastAsia="宋体" w:cs="宋体"/>
                <w:lang w:val="en-US" w:eastAsia="zh-CN"/>
              </w:rPr>
              <w:t>系统根据成绩自动判断是否合格；</w:t>
            </w:r>
          </w:p>
          <w:p w14:paraId="235D22B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 3 \* GB3 \* MERGEFORMAT </w:instrText>
            </w:r>
            <w:r>
              <w:rPr>
                <w:rFonts w:hint="eastAsia" w:ascii="宋体" w:hAnsi="宋体" w:eastAsia="宋体" w:cs="宋体"/>
                <w:lang w:val="en-US" w:eastAsia="zh-CN"/>
              </w:rPr>
              <w:fldChar w:fldCharType="separate"/>
            </w:r>
            <w:r>
              <w:t>③</w:t>
            </w:r>
            <w:r>
              <w:rPr>
                <w:rFonts w:hint="eastAsia" w:ascii="宋体" w:hAnsi="宋体" w:eastAsia="宋体" w:cs="宋体"/>
                <w:lang w:val="en-US" w:eastAsia="zh-CN"/>
              </w:rPr>
              <w:fldChar w:fldCharType="end"/>
            </w:r>
            <w:r>
              <w:rPr>
                <w:rFonts w:hint="eastAsia" w:ascii="宋体" w:hAnsi="宋体" w:eastAsia="宋体" w:cs="宋体"/>
                <w:lang w:val="en-US" w:eastAsia="zh-CN"/>
              </w:rPr>
              <w:t>支持对单项数据进行手动修改成绩、删除和导出操作。</w:t>
            </w:r>
          </w:p>
          <w:p w14:paraId="24D87B9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17.会诊管理</w:t>
            </w:r>
          </w:p>
          <w:p w14:paraId="7ABEA26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17.1院内会诊</w:t>
            </w:r>
          </w:p>
          <w:p w14:paraId="4654478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（1）根据院内会诊（多学科、单学科、科间会诊）规范，录入相关会诊信息；</w:t>
            </w:r>
          </w:p>
          <w:p w14:paraId="09ED962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（2）对会诊缓急危重程度进行归类；</w:t>
            </w:r>
          </w:p>
          <w:p w14:paraId="612F8F0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（3）非紧急情况需要按流程上传医院的函书，紧急情况时事后补；</w:t>
            </w:r>
          </w:p>
          <w:p w14:paraId="65720FC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（4）显示会诊的及时性（能选择会诊实际的时间及完成会诊的时间）；</w:t>
            </w:r>
          </w:p>
          <w:p w14:paraId="5EB05EC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（5）可实现医务科对各专家会诊记录打分，评分后可通过短信息通知各会诊专家得分情况；</w:t>
            </w:r>
          </w:p>
          <w:p w14:paraId="55B7764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（6）多学科会诊的医生从系统里选择出最少3个需要参加的科室，录入会诊意见、会议记录，最后导出会诊word报告。</w:t>
            </w:r>
          </w:p>
          <w:p w14:paraId="135E6A3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7.2院外会诊：管理邀请外院专家来院会诊的申请、审批及费用结算流程。</w:t>
            </w:r>
          </w:p>
          <w:p w14:paraId="55853DE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7.3转诊申请：实现向上级医院转诊或医联体内双向转诊的电子化流。</w:t>
            </w:r>
          </w:p>
        </w:tc>
      </w:tr>
      <w:tr w14:paraId="0A06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9" w:type="dxa"/>
            <w:gridSpan w:val="6"/>
            <w:tcBorders>
              <w:top w:val="single" w:color="auto" w:sz="4" w:space="0"/>
              <w:left w:val="single" w:color="auto" w:sz="4" w:space="0"/>
              <w:bottom w:val="single" w:color="auto" w:sz="4" w:space="0"/>
              <w:right w:val="single" w:color="auto" w:sz="4" w:space="0"/>
            </w:tcBorders>
            <w:noWrap w:val="0"/>
            <w:vAlign w:val="center"/>
          </w:tcPr>
          <w:p w14:paraId="3ED0595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w:t>
            </w:r>
          </w:p>
        </w:tc>
      </w:tr>
      <w:tr w14:paraId="4CAA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1424020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▲投标报价要求</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5484731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投标报价指完成本分标的所有费用，包括拟投入本项目产品采购、运输、劳务、管理、利润、税金、保险、协调、安装、调试、培训、验收、集成、售后服务、后续升级服务以及所有的不定因素的风险等所有成本费用的总和。</w:t>
            </w:r>
          </w:p>
          <w:p w14:paraId="602C91B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4A4B912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投标人自行考虑完成项目所需的辅材、杂配件等数量，投标报价中应包含全部内容，中标后采购人不再另行支付额外费用；投标人根据项目所需自行配备的所有辅助材料必须符合国家有关规定的合格产品。</w:t>
            </w:r>
          </w:p>
          <w:p w14:paraId="0CE827C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投标人的</w:t>
            </w:r>
            <w:r>
              <w:rPr>
                <w:rFonts w:hint="eastAsia" w:ascii="宋体" w:hAnsi="宋体" w:cs="宋体"/>
                <w:b/>
                <w:bCs/>
                <w:color w:val="auto"/>
                <w:sz w:val="21"/>
                <w:szCs w:val="21"/>
                <w:highlight w:val="none"/>
                <w:lang w:eastAsia="zh-CN"/>
              </w:rPr>
              <w:t>本分标</w:t>
            </w:r>
            <w:r>
              <w:rPr>
                <w:rFonts w:hint="eastAsia" w:ascii="宋体" w:hAnsi="宋体" w:eastAsia="宋体" w:cs="宋体"/>
                <w:b/>
                <w:bCs/>
                <w:color w:val="auto"/>
                <w:sz w:val="21"/>
                <w:szCs w:val="21"/>
                <w:highlight w:val="none"/>
              </w:rPr>
              <w:t>投标总报价≤</w:t>
            </w:r>
            <w:r>
              <w:rPr>
                <w:rFonts w:hint="eastAsia" w:ascii="宋体" w:hAnsi="宋体" w:cs="宋体"/>
                <w:b/>
                <w:bCs/>
                <w:color w:val="auto"/>
                <w:sz w:val="21"/>
                <w:szCs w:val="21"/>
                <w:highlight w:val="none"/>
                <w:lang w:eastAsia="zh-CN"/>
              </w:rPr>
              <w:t>本分标</w:t>
            </w:r>
            <w:r>
              <w:rPr>
                <w:rFonts w:hint="eastAsia" w:ascii="宋体" w:hAnsi="宋体" w:eastAsia="宋体" w:cs="宋体"/>
                <w:b/>
                <w:bCs/>
                <w:color w:val="auto"/>
                <w:sz w:val="21"/>
                <w:szCs w:val="21"/>
                <w:highlight w:val="none"/>
              </w:rPr>
              <w:t>采购预算。</w:t>
            </w:r>
          </w:p>
        </w:tc>
      </w:tr>
      <w:tr w14:paraId="5224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6E3F06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rPr>
              <w:t>▲质保期</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12CA32FF">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1.</w:t>
            </w:r>
            <w:r>
              <w:rPr>
                <w:rFonts w:hint="eastAsia" w:ascii="宋体" w:hAnsi="宋体" w:eastAsia="宋体" w:cs="宋体"/>
                <w:b/>
                <w:bCs/>
                <w:color w:val="000000"/>
                <w:sz w:val="21"/>
                <w:szCs w:val="21"/>
                <w:highlight w:val="none"/>
                <w:lang w:eastAsia="zh-CN"/>
              </w:rPr>
              <w:t>整体</w:t>
            </w:r>
            <w:r>
              <w:rPr>
                <w:rFonts w:hint="eastAsia" w:ascii="宋体" w:hAnsi="宋体" w:eastAsia="宋体" w:cs="宋体"/>
                <w:b/>
                <w:bCs/>
                <w:color w:val="000000"/>
                <w:sz w:val="21"/>
                <w:szCs w:val="21"/>
                <w:highlight w:val="none"/>
              </w:rPr>
              <w:t>项目内容从验收合格之日起提供</w:t>
            </w:r>
            <w:r>
              <w:rPr>
                <w:rFonts w:hint="eastAsia" w:ascii="宋体" w:hAnsi="宋体" w:eastAsia="宋体" w:cs="宋体"/>
                <w:b/>
                <w:bCs/>
                <w:color w:val="000000"/>
                <w:sz w:val="21"/>
                <w:szCs w:val="21"/>
                <w:highlight w:val="none"/>
                <w:lang w:eastAsia="zh-CN"/>
              </w:rPr>
              <w:t>不少于</w:t>
            </w:r>
            <w:r>
              <w:rPr>
                <w:rFonts w:hint="eastAsia" w:ascii="宋体" w:hAnsi="宋体" w:eastAsia="宋体" w:cs="宋体"/>
                <w:b/>
                <w:bCs/>
                <w:color w:val="000000"/>
                <w:sz w:val="21"/>
                <w:szCs w:val="21"/>
                <w:highlight w:val="none"/>
              </w:rPr>
              <w:t>1年的免费维保服务</w:t>
            </w:r>
            <w:r>
              <w:rPr>
                <w:rFonts w:hint="eastAsia" w:ascii="宋体" w:hAnsi="宋体" w:eastAsia="宋体" w:cs="宋体"/>
                <w:b/>
                <w:bCs/>
                <w:sz w:val="21"/>
                <w:szCs w:val="21"/>
                <w:lang w:eastAsia="zh-CN"/>
              </w:rPr>
              <w:t>（“技术服务要求”中特殊要求的，按特殊要求执行）</w:t>
            </w:r>
            <w:r>
              <w:rPr>
                <w:rFonts w:hint="eastAsia" w:ascii="宋体" w:hAnsi="宋体" w:eastAsia="宋体" w:cs="宋体"/>
                <w:b/>
                <w:bCs/>
                <w:color w:val="000000"/>
                <w:sz w:val="21"/>
                <w:szCs w:val="21"/>
                <w:highlight w:val="none"/>
                <w:lang w:eastAsia="zh-CN"/>
              </w:rPr>
              <w:t>。</w:t>
            </w:r>
          </w:p>
          <w:p w14:paraId="3CB25A36">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2.质保期内，如发生系统运行故障，供应商需作出响应提供维护服务。</w:t>
            </w:r>
          </w:p>
          <w:p w14:paraId="6A537621">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.质保期内系统出现故障，需远程解决或者派出技术工程师到达现场处理故障的，供应商承担一切费用（因人为或自然因素导致的故障除外）。</w:t>
            </w:r>
          </w:p>
        </w:tc>
      </w:tr>
      <w:tr w14:paraId="5BBD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5D5381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售后服务及其他服务要求</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166C0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default" w:ascii="宋体" w:hAnsi="宋体" w:eastAsia="宋体" w:cs="宋体"/>
                <w:b/>
                <w:bCs/>
                <w:sz w:val="21"/>
                <w:szCs w:val="21"/>
              </w:rPr>
              <w:t>1</w:t>
            </w:r>
            <w:r>
              <w:rPr>
                <w:rFonts w:hint="eastAsia" w:ascii="宋体" w:hAnsi="宋体" w:eastAsia="宋体" w:cs="宋体"/>
                <w:b/>
                <w:bCs/>
                <w:sz w:val="21"/>
                <w:szCs w:val="21"/>
              </w:rPr>
              <w:t>.技术支持：质保期内，供应商必须向采购人承诺技术支持。</w:t>
            </w:r>
          </w:p>
          <w:p w14:paraId="1B0DEB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default" w:ascii="宋体" w:hAnsi="宋体" w:eastAsia="宋体" w:cs="宋体"/>
                <w:b/>
                <w:bCs/>
                <w:sz w:val="21"/>
                <w:szCs w:val="21"/>
              </w:rPr>
              <w:t>2</w:t>
            </w:r>
            <w:r>
              <w:rPr>
                <w:rFonts w:hint="eastAsia" w:ascii="宋体" w:hAnsi="宋体" w:eastAsia="宋体" w:cs="宋体"/>
                <w:b/>
                <w:bCs/>
                <w:sz w:val="21"/>
                <w:szCs w:val="21"/>
              </w:rPr>
              <w:t>.系统维护：质保期内，产品必须提供免费升级服务，保证产品可随时升级到最新版本，供应商必须在适时提供最新版本的软件和升级操作手册，升级后的系统除升级修改部分外，其它完全与旧版本兼容，并保证所有数据是连续的。</w:t>
            </w:r>
          </w:p>
          <w:p w14:paraId="622B42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default" w:ascii="宋体" w:hAnsi="宋体" w:eastAsia="宋体" w:cs="宋体"/>
                <w:b w:val="0"/>
                <w:bCs w:val="0"/>
                <w:sz w:val="21"/>
                <w:szCs w:val="21"/>
                <w:lang w:eastAsia="zh-CN"/>
              </w:rPr>
              <w:t>3</w:t>
            </w:r>
            <w:r>
              <w:rPr>
                <w:rFonts w:hint="eastAsia" w:ascii="宋体" w:hAnsi="宋体" w:eastAsia="宋体" w:cs="宋体"/>
                <w:b w:val="0"/>
                <w:bCs w:val="0"/>
                <w:sz w:val="21"/>
                <w:szCs w:val="21"/>
              </w:rPr>
              <w:t>.</w:t>
            </w:r>
            <w:r>
              <w:rPr>
                <w:rFonts w:hint="eastAsia" w:ascii="宋体" w:hAnsi="宋体" w:eastAsia="宋体" w:cs="宋体"/>
                <w:sz w:val="21"/>
                <w:szCs w:val="21"/>
              </w:rPr>
              <w:t>服务响应时间：质保期内，供应商在5分钟内对用户所提出的故障维修要求作出响应，重大故障须2小时内到现场解决，8小时内恢复系统正常运行。</w:t>
            </w:r>
          </w:p>
          <w:p w14:paraId="1D32D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default" w:ascii="宋体" w:hAnsi="宋体" w:eastAsia="宋体" w:cs="宋体"/>
                <w:b/>
                <w:bCs/>
                <w:sz w:val="21"/>
                <w:szCs w:val="21"/>
                <w:lang w:eastAsia="zh-CN"/>
              </w:rPr>
              <w:t>4</w:t>
            </w:r>
            <w:r>
              <w:rPr>
                <w:rFonts w:hint="eastAsia" w:ascii="宋体" w:hAnsi="宋体" w:eastAsia="宋体" w:cs="宋体"/>
                <w:b/>
                <w:bCs/>
                <w:sz w:val="21"/>
                <w:szCs w:val="21"/>
              </w:rPr>
              <w:t>.在不涉及到现有功能框架改动的情况下，质保期内供应商应该根据采购人的业务需求、政策性要求等，对项目内的软件产品进行相应的客户化修改，如上级部门要求的报表等。</w:t>
            </w:r>
          </w:p>
          <w:p w14:paraId="0C0589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default" w:ascii="宋体" w:hAnsi="宋体" w:eastAsia="宋体" w:cs="宋体"/>
                <w:sz w:val="21"/>
                <w:szCs w:val="21"/>
                <w:lang w:eastAsia="zh-CN"/>
              </w:rPr>
              <w:t>5</w:t>
            </w:r>
            <w:r>
              <w:rPr>
                <w:rFonts w:hint="eastAsia" w:ascii="宋体" w:hAnsi="宋体" w:eastAsia="宋体" w:cs="宋体"/>
                <w:sz w:val="21"/>
                <w:szCs w:val="21"/>
              </w:rPr>
              <w:t>.培训：</w:t>
            </w:r>
          </w:p>
          <w:p w14:paraId="56B8AC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（1）对采购人所有相关操作人员进行</w:t>
            </w:r>
            <w:r>
              <w:rPr>
                <w:rFonts w:hint="eastAsia" w:ascii="宋体" w:hAnsi="宋体" w:eastAsia="宋体" w:cs="宋体"/>
                <w:sz w:val="21"/>
                <w:szCs w:val="21"/>
                <w:lang w:eastAsia="zh-CN"/>
              </w:rPr>
              <w:t>相关</w:t>
            </w:r>
            <w:r>
              <w:rPr>
                <w:rFonts w:hint="eastAsia" w:ascii="宋体" w:hAnsi="宋体" w:eastAsia="宋体" w:cs="宋体"/>
                <w:sz w:val="21"/>
                <w:szCs w:val="21"/>
              </w:rPr>
              <w:t>软件应用免费培训，形式、频次不限，直至所有操作人员均可熟练操作；</w:t>
            </w:r>
          </w:p>
          <w:p w14:paraId="3E498C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（2）对采购人网络系统管理员进行系统相关技术培训，形式、频次不限，直至网络系统管理均可熟练操作；</w:t>
            </w:r>
          </w:p>
          <w:p w14:paraId="50CC1DA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（3）自进场实施开始，供应商应允许采购人的相关人员一起参与系统的安装、测试、诊断及相关问题的解释等各项工作，并接受采购人的监督。</w:t>
            </w:r>
          </w:p>
        </w:tc>
      </w:tr>
      <w:tr w14:paraId="79BE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5A8E520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▲交付使用期及交货地点</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51CF904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交付使用期：</w:t>
            </w:r>
            <w:r>
              <w:rPr>
                <w:rFonts w:hint="eastAsia" w:ascii="宋体" w:hAnsi="宋体" w:cs="宋体"/>
                <w:b/>
                <w:bCs/>
                <w:color w:val="auto"/>
                <w:sz w:val="21"/>
                <w:szCs w:val="21"/>
                <w:highlight w:val="none"/>
                <w:lang w:eastAsia="zh-CN"/>
              </w:rPr>
              <w:t>自合同签订之日起</w:t>
            </w:r>
            <w:r>
              <w:rPr>
                <w:rFonts w:hint="eastAsia" w:ascii="宋体" w:hAnsi="宋体" w:cs="宋体"/>
                <w:b/>
                <w:bCs/>
                <w:color w:val="auto"/>
                <w:sz w:val="21"/>
                <w:szCs w:val="21"/>
                <w:highlight w:val="none"/>
                <w:lang w:val="en-US" w:eastAsia="zh-CN"/>
              </w:rPr>
              <w:t>180</w:t>
            </w:r>
            <w:r>
              <w:rPr>
                <w:rFonts w:hint="eastAsia" w:ascii="宋体" w:hAnsi="宋体" w:cs="宋体"/>
                <w:b/>
                <w:bCs/>
                <w:color w:val="auto"/>
                <w:sz w:val="21"/>
                <w:szCs w:val="21"/>
                <w:highlight w:val="none"/>
                <w:lang w:eastAsia="zh-CN"/>
              </w:rPr>
              <w:t>个日历日内安装调试完毕交付使用。</w:t>
            </w:r>
          </w:p>
          <w:p w14:paraId="3491B5E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交货地点：</w:t>
            </w:r>
            <w:r>
              <w:rPr>
                <w:rFonts w:hint="eastAsia" w:ascii="宋体" w:hAnsi="宋体" w:cs="宋体"/>
                <w:b/>
                <w:bCs/>
                <w:color w:val="auto"/>
                <w:sz w:val="21"/>
                <w:szCs w:val="21"/>
                <w:highlight w:val="none"/>
                <w:lang w:eastAsia="zh-CN"/>
              </w:rPr>
              <w:t>灵山县内</w:t>
            </w:r>
            <w:r>
              <w:rPr>
                <w:rFonts w:hint="eastAsia" w:ascii="宋体" w:hAnsi="宋体" w:eastAsia="宋体" w:cs="宋体"/>
                <w:b/>
                <w:bCs/>
                <w:color w:val="auto"/>
                <w:sz w:val="21"/>
                <w:szCs w:val="21"/>
                <w:highlight w:val="none"/>
              </w:rPr>
              <w:t>采购人指定地点。</w:t>
            </w:r>
          </w:p>
        </w:tc>
      </w:tr>
      <w:tr w14:paraId="5F14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7FDC03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559FD83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在项目验收合格正常使用后，中标人开具有效的全额发票给采购人，采购人收到发票后自通过验收之日起12个月内支付中标金额的100%。</w:t>
            </w:r>
          </w:p>
        </w:tc>
      </w:tr>
      <w:tr w14:paraId="7FCA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512CD37D">
            <w:pPr>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000000"/>
                <w:kern w:val="2"/>
                <w:sz w:val="21"/>
                <w:szCs w:val="21"/>
                <w:highlight w:val="none"/>
                <w:lang w:val="en-US" w:eastAsia="zh-CN" w:bidi="ar-SA"/>
              </w:rPr>
              <w:t>验收要求</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56F1FE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1.软件系统安装完工后由供应商和采购人共同验收，供应商须为验收提供必需的设备、工具及其他便利条件。若验收合格则出具验收合格报告。</w:t>
            </w:r>
          </w:p>
          <w:p w14:paraId="68CD921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2.软件系统调试期间，在采购人的监督下进行调试。测试软件及相关设备是否正常运行，能否达到</w:t>
            </w:r>
            <w:r>
              <w:rPr>
                <w:rFonts w:hint="eastAsia" w:ascii="宋体" w:hAnsi="宋体" w:eastAsia="宋体" w:cs="宋体"/>
                <w:sz w:val="21"/>
                <w:szCs w:val="21"/>
                <w:lang w:eastAsia="zh-CN"/>
              </w:rPr>
              <w:t>招标文件</w:t>
            </w:r>
            <w:r>
              <w:rPr>
                <w:rFonts w:hint="eastAsia" w:ascii="宋体" w:hAnsi="宋体" w:eastAsia="宋体" w:cs="宋体"/>
                <w:sz w:val="21"/>
                <w:szCs w:val="21"/>
              </w:rPr>
              <w:t>中所要求的标准。</w:t>
            </w:r>
          </w:p>
          <w:p w14:paraId="5D9F53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3.软件系统调试期间，按采购人要求对操作人员提供免费培训和培训考核。</w:t>
            </w:r>
          </w:p>
          <w:p w14:paraId="035431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4.验收标准以本次招投标文件及合同中所规定的相关要求为准。</w:t>
            </w:r>
          </w:p>
          <w:p w14:paraId="2F9C13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5.符合合同要求及国家相关标准。</w:t>
            </w:r>
          </w:p>
          <w:p w14:paraId="7490F4B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6.服务内容符合或优于合同要求。</w:t>
            </w:r>
          </w:p>
          <w:p w14:paraId="132782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7.验收过程中所产生的一切费用均由</w:t>
            </w:r>
            <w:r>
              <w:rPr>
                <w:rFonts w:hint="eastAsia" w:ascii="宋体" w:hAnsi="宋体" w:eastAsia="宋体" w:cs="宋体"/>
                <w:sz w:val="21"/>
                <w:szCs w:val="21"/>
                <w:lang w:eastAsia="zh-CN"/>
              </w:rPr>
              <w:t>中标人</w:t>
            </w:r>
            <w:r>
              <w:rPr>
                <w:rFonts w:hint="eastAsia" w:ascii="宋体" w:hAnsi="宋体" w:eastAsia="宋体" w:cs="宋体"/>
                <w:sz w:val="21"/>
                <w:szCs w:val="21"/>
              </w:rPr>
              <w:t>承担，</w:t>
            </w:r>
            <w:r>
              <w:rPr>
                <w:rFonts w:hint="eastAsia" w:ascii="宋体" w:hAnsi="宋体" w:eastAsia="宋体" w:cs="宋体"/>
                <w:sz w:val="21"/>
                <w:szCs w:val="21"/>
                <w:lang w:eastAsia="zh-CN"/>
              </w:rPr>
              <w:t>中标人</w:t>
            </w:r>
            <w:r>
              <w:rPr>
                <w:rFonts w:hint="eastAsia" w:ascii="宋体" w:hAnsi="宋体" w:eastAsia="宋体" w:cs="宋体"/>
                <w:sz w:val="21"/>
                <w:szCs w:val="21"/>
              </w:rPr>
              <w:t>报价时应考虑相关费用。</w:t>
            </w:r>
          </w:p>
          <w:p w14:paraId="3AC8E1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sz w:val="21"/>
                <w:szCs w:val="21"/>
                <w:lang w:eastAsia="zh-CN"/>
              </w:rPr>
              <w:t>中标人</w:t>
            </w:r>
            <w:r>
              <w:rPr>
                <w:rFonts w:hint="eastAsia" w:ascii="宋体" w:hAnsi="宋体" w:eastAsia="宋体" w:cs="宋体"/>
                <w:sz w:val="21"/>
                <w:szCs w:val="21"/>
              </w:rPr>
              <w:t>在服务成果验收时由采购单位对照</w:t>
            </w:r>
            <w:r>
              <w:rPr>
                <w:rFonts w:hint="eastAsia" w:ascii="宋体" w:hAnsi="宋体" w:eastAsia="宋体" w:cs="宋体"/>
                <w:sz w:val="21"/>
                <w:szCs w:val="21"/>
                <w:lang w:eastAsia="zh-CN"/>
              </w:rPr>
              <w:t>招标文件</w:t>
            </w:r>
            <w:r>
              <w:rPr>
                <w:rFonts w:hint="eastAsia" w:ascii="宋体" w:hAnsi="宋体" w:eastAsia="宋体" w:cs="宋体"/>
                <w:sz w:val="21"/>
                <w:szCs w:val="21"/>
              </w:rPr>
              <w:t>的服务参数全面核对检验，对所有要求出具的证明文件的原件进行核查，如不符合</w:t>
            </w:r>
            <w:r>
              <w:rPr>
                <w:rFonts w:hint="eastAsia" w:ascii="宋体" w:hAnsi="宋体" w:eastAsia="宋体" w:cs="宋体"/>
                <w:sz w:val="21"/>
                <w:szCs w:val="21"/>
                <w:lang w:eastAsia="zh-CN"/>
              </w:rPr>
              <w:t>招标文件</w:t>
            </w:r>
            <w:r>
              <w:rPr>
                <w:rFonts w:hint="eastAsia" w:ascii="宋体" w:hAnsi="宋体" w:eastAsia="宋体" w:cs="宋体"/>
                <w:sz w:val="21"/>
                <w:szCs w:val="21"/>
              </w:rPr>
              <w:t>的服务需求以及提供虚假承诺的，按相关规定作违约处理，</w:t>
            </w:r>
            <w:r>
              <w:rPr>
                <w:rFonts w:hint="eastAsia" w:ascii="宋体" w:hAnsi="宋体" w:eastAsia="宋体" w:cs="宋体"/>
                <w:sz w:val="21"/>
                <w:szCs w:val="21"/>
                <w:lang w:eastAsia="zh-CN"/>
              </w:rPr>
              <w:t>中标人</w:t>
            </w:r>
            <w:r>
              <w:rPr>
                <w:rFonts w:hint="eastAsia" w:ascii="宋体" w:hAnsi="宋体" w:eastAsia="宋体" w:cs="宋体"/>
                <w:sz w:val="21"/>
                <w:szCs w:val="21"/>
              </w:rPr>
              <w:t>承担所有责任和费用，采购人保留进一步追究责任的权利。</w:t>
            </w:r>
          </w:p>
          <w:p w14:paraId="14AC29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9.采购标的需执行国家标准、行业标准、地方标准或者其他标准、规范，如有最新的按最新的执行。</w:t>
            </w:r>
          </w:p>
          <w:p w14:paraId="7A9C22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rPr>
              <w:t>10.验收不通过的，根据采购人意见进行整改，直到验收通过为止，期间产生相关费用由</w:t>
            </w:r>
            <w:r>
              <w:rPr>
                <w:rFonts w:hint="eastAsia" w:ascii="宋体" w:hAnsi="宋体" w:eastAsia="宋体" w:cs="宋体"/>
                <w:sz w:val="21"/>
                <w:szCs w:val="21"/>
                <w:lang w:eastAsia="zh-CN"/>
              </w:rPr>
              <w:t>中标人</w:t>
            </w:r>
            <w:r>
              <w:rPr>
                <w:rFonts w:hint="eastAsia" w:ascii="宋体" w:hAnsi="宋体" w:eastAsia="宋体" w:cs="宋体"/>
                <w:sz w:val="21"/>
                <w:szCs w:val="21"/>
              </w:rPr>
              <w:t>承担。</w:t>
            </w:r>
          </w:p>
        </w:tc>
      </w:tr>
      <w:tr w14:paraId="4D9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E177566">
            <w:pPr>
              <w:pStyle w:val="14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000000"/>
                <w:kern w:val="2"/>
                <w:sz w:val="21"/>
                <w:szCs w:val="21"/>
                <w:lang w:val="en-US" w:eastAsia="zh-CN" w:bidi="ar-SA"/>
              </w:rPr>
            </w:pPr>
            <w:r>
              <w:rPr>
                <w:rFonts w:hint="eastAsia" w:ascii="宋体" w:hAnsi="宋体" w:eastAsia="宋体" w:cs="宋体"/>
                <w:bCs/>
                <w:sz w:val="21"/>
                <w:szCs w:val="21"/>
              </w:rPr>
              <w:t>其他要求</w:t>
            </w:r>
          </w:p>
        </w:tc>
        <w:tc>
          <w:tcPr>
            <w:tcW w:w="868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12EF0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szCs w:val="21"/>
              </w:rPr>
            </w:pPr>
            <w:r>
              <w:rPr>
                <w:rFonts w:hint="eastAsia" w:ascii="宋体" w:hAnsi="宋体" w:eastAsia="宋体" w:cs="宋体"/>
                <w:b/>
                <w:sz w:val="21"/>
                <w:szCs w:val="21"/>
              </w:rPr>
              <w:t>▲</w:t>
            </w:r>
            <w:r>
              <w:rPr>
                <w:rFonts w:hint="default" w:ascii="宋体" w:hAnsi="宋体" w:eastAsia="宋体" w:cs="宋体"/>
                <w:b/>
                <w:sz w:val="21"/>
                <w:szCs w:val="21"/>
              </w:rPr>
              <w:t>1</w:t>
            </w:r>
            <w:r>
              <w:rPr>
                <w:rFonts w:hint="eastAsia" w:ascii="宋体" w:hAnsi="宋体" w:eastAsia="宋体" w:cs="宋体"/>
                <w:b/>
                <w:sz w:val="21"/>
                <w:szCs w:val="21"/>
              </w:rPr>
              <w:t>.知识产权保护要求：供应商应对</w:t>
            </w:r>
            <w:r>
              <w:rPr>
                <w:rFonts w:hint="eastAsia" w:ascii="宋体" w:hAnsi="宋体" w:eastAsia="宋体" w:cs="宋体"/>
                <w:b/>
                <w:sz w:val="21"/>
                <w:szCs w:val="21"/>
                <w:lang w:eastAsia="zh-CN"/>
              </w:rPr>
              <w:t>投标文件</w:t>
            </w:r>
            <w:r>
              <w:rPr>
                <w:rFonts w:hint="eastAsia" w:ascii="宋体" w:hAnsi="宋体" w:eastAsia="宋体" w:cs="宋体"/>
                <w:b/>
                <w:sz w:val="21"/>
                <w:szCs w:val="21"/>
              </w:rPr>
              <w:t>内容所涉及的专利承担责任，并负责保护业主的利益不受任何损害。一切由于文字、商标、技术和软件专利授权引起的法律裁决、诉讼和赔偿费用均由中标人负责。所使用的设备、材料须符合国家有关标准要求。</w:t>
            </w:r>
          </w:p>
          <w:p w14:paraId="3ED39D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2</w:t>
            </w:r>
            <w:r>
              <w:rPr>
                <w:rFonts w:hint="eastAsia" w:ascii="宋体" w:hAnsi="宋体" w:eastAsia="宋体" w:cs="宋体"/>
                <w:b/>
                <w:sz w:val="21"/>
                <w:szCs w:val="21"/>
              </w:rPr>
              <w:t>.交付时，</w:t>
            </w:r>
            <w:r>
              <w:rPr>
                <w:rFonts w:hint="eastAsia" w:ascii="宋体" w:hAnsi="宋体" w:eastAsia="宋体" w:cs="宋体"/>
                <w:b/>
                <w:sz w:val="21"/>
                <w:szCs w:val="21"/>
                <w:lang w:eastAsia="zh-CN"/>
              </w:rPr>
              <w:t>中标产品</w:t>
            </w:r>
            <w:r>
              <w:rPr>
                <w:rFonts w:hint="eastAsia" w:ascii="宋体" w:hAnsi="宋体" w:eastAsia="宋体" w:cs="宋体"/>
                <w:b/>
                <w:sz w:val="21"/>
                <w:szCs w:val="21"/>
              </w:rPr>
              <w:t>均严格按照签订的政府采购合同、供应商响应和承诺的技术参数及性能和国家有关标准进行验收，达不到要求的不予验收，视为产品验收不合格，采购人可解除双方的供货合同。</w:t>
            </w:r>
          </w:p>
          <w:p w14:paraId="13CFFB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3</w:t>
            </w:r>
            <w:r>
              <w:rPr>
                <w:rFonts w:hint="eastAsia" w:ascii="宋体" w:hAnsi="宋体" w:eastAsia="宋体" w:cs="宋体"/>
                <w:b/>
                <w:sz w:val="21"/>
                <w:szCs w:val="21"/>
              </w:rPr>
              <w:t>供应商所使用产品，在质保期如有质量监督部门要求对产品进行检测、检验时，必须派出所使用产品生产厂家代表协助检查，无论产品有无质量问题，供应商均应承担全部费用及相应的责任。</w:t>
            </w:r>
          </w:p>
          <w:p w14:paraId="1D1C0F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4</w:t>
            </w:r>
            <w:r>
              <w:rPr>
                <w:rFonts w:hint="eastAsia" w:ascii="宋体" w:hAnsi="宋体" w:eastAsia="宋体" w:cs="宋体"/>
                <w:b/>
                <w:sz w:val="21"/>
                <w:szCs w:val="21"/>
              </w:rPr>
              <w:t>.系统在实施过程及完成后，所产生的运行数据的所有权属采购方。</w:t>
            </w:r>
            <w:r>
              <w:rPr>
                <w:rFonts w:hint="eastAsia" w:ascii="宋体" w:hAnsi="宋体" w:eastAsia="宋体" w:cs="宋体"/>
                <w:b/>
                <w:sz w:val="21"/>
                <w:szCs w:val="21"/>
                <w:lang w:eastAsia="zh-CN"/>
              </w:rPr>
              <w:t>中标人</w:t>
            </w:r>
            <w:r>
              <w:rPr>
                <w:rFonts w:hint="eastAsia" w:ascii="宋体" w:hAnsi="宋体" w:eastAsia="宋体" w:cs="宋体"/>
                <w:b/>
                <w:sz w:val="21"/>
                <w:szCs w:val="21"/>
              </w:rPr>
              <w:t>对这些运行数据有保密义务，不经采购人同意，不得使用、引用任何运行数据。</w:t>
            </w:r>
          </w:p>
          <w:p w14:paraId="50D548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5</w:t>
            </w:r>
            <w:r>
              <w:rPr>
                <w:rFonts w:hint="eastAsia" w:ascii="宋体" w:hAnsi="宋体" w:eastAsia="宋体" w:cs="宋体"/>
                <w:b/>
                <w:sz w:val="21"/>
                <w:szCs w:val="21"/>
              </w:rPr>
              <w:t>.系统的数据库所有权属采购人，系统正常运行后，</w:t>
            </w:r>
            <w:r>
              <w:rPr>
                <w:rFonts w:hint="eastAsia" w:ascii="宋体" w:hAnsi="宋体" w:eastAsia="宋体" w:cs="宋体"/>
                <w:b/>
                <w:sz w:val="21"/>
                <w:szCs w:val="21"/>
                <w:lang w:eastAsia="zh-CN"/>
              </w:rPr>
              <w:t>中标人</w:t>
            </w:r>
            <w:r>
              <w:rPr>
                <w:rFonts w:hint="eastAsia" w:ascii="宋体" w:hAnsi="宋体" w:eastAsia="宋体" w:cs="宋体"/>
                <w:b/>
                <w:sz w:val="21"/>
                <w:szCs w:val="21"/>
              </w:rPr>
              <w:t>应向采购人移交数据库管理权。</w:t>
            </w:r>
          </w:p>
          <w:p w14:paraId="1258AD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6</w:t>
            </w:r>
            <w:r>
              <w:rPr>
                <w:rFonts w:hint="eastAsia" w:ascii="宋体" w:hAnsi="宋体" w:eastAsia="宋体" w:cs="宋体"/>
                <w:b/>
                <w:sz w:val="21"/>
                <w:szCs w:val="21"/>
              </w:rPr>
              <w:t>.采购人或经采购人允许的第三方需要提取运行数据时，</w:t>
            </w:r>
            <w:r>
              <w:rPr>
                <w:rFonts w:hint="eastAsia" w:ascii="宋体" w:hAnsi="宋体" w:eastAsia="宋体" w:cs="宋体"/>
                <w:b/>
                <w:sz w:val="21"/>
                <w:szCs w:val="21"/>
                <w:lang w:eastAsia="zh-CN"/>
              </w:rPr>
              <w:t>中标人</w:t>
            </w:r>
            <w:r>
              <w:rPr>
                <w:rFonts w:hint="eastAsia" w:ascii="宋体" w:hAnsi="宋体" w:eastAsia="宋体" w:cs="宋体"/>
                <w:b/>
                <w:sz w:val="21"/>
                <w:szCs w:val="21"/>
              </w:rPr>
              <w:t>应无条件支持、配合，向采购人提供相关技术文档，如数据库表结构说明等。如果运行数据是专有格式的文件，</w:t>
            </w:r>
            <w:r>
              <w:rPr>
                <w:rFonts w:hint="eastAsia" w:ascii="宋体" w:hAnsi="宋体" w:eastAsia="宋体" w:cs="宋体"/>
                <w:b/>
                <w:sz w:val="21"/>
                <w:szCs w:val="21"/>
                <w:lang w:eastAsia="zh-CN"/>
              </w:rPr>
              <w:t>中标人</w:t>
            </w:r>
            <w:r>
              <w:rPr>
                <w:rFonts w:hint="eastAsia" w:ascii="宋体" w:hAnsi="宋体" w:eastAsia="宋体" w:cs="宋体"/>
                <w:b/>
                <w:sz w:val="21"/>
                <w:szCs w:val="21"/>
              </w:rPr>
              <w:t>必须向采购人提供解析工具或技术，如果运行数据是加密的，</w:t>
            </w:r>
            <w:r>
              <w:rPr>
                <w:rFonts w:hint="eastAsia" w:ascii="宋体" w:hAnsi="宋体" w:eastAsia="宋体" w:cs="宋体"/>
                <w:b/>
                <w:sz w:val="21"/>
                <w:szCs w:val="21"/>
                <w:lang w:eastAsia="zh-CN"/>
              </w:rPr>
              <w:t>中标人</w:t>
            </w:r>
            <w:r>
              <w:rPr>
                <w:rFonts w:hint="eastAsia" w:ascii="宋体" w:hAnsi="宋体" w:eastAsia="宋体" w:cs="宋体"/>
                <w:b/>
                <w:sz w:val="21"/>
                <w:szCs w:val="21"/>
              </w:rPr>
              <w:t>必须向采购人提供解密工具、技术。</w:t>
            </w:r>
          </w:p>
          <w:p w14:paraId="271CBC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szCs w:val="21"/>
              </w:rPr>
            </w:pPr>
            <w:r>
              <w:rPr>
                <w:rFonts w:hint="default" w:ascii="宋体" w:hAnsi="宋体" w:eastAsia="宋体" w:cs="宋体"/>
                <w:bCs/>
                <w:sz w:val="21"/>
                <w:szCs w:val="21"/>
              </w:rPr>
              <w:t>7</w:t>
            </w:r>
            <w:r>
              <w:rPr>
                <w:rFonts w:hint="eastAsia" w:ascii="宋体" w:hAnsi="宋体" w:eastAsia="宋体" w:cs="宋体"/>
                <w:bCs/>
                <w:sz w:val="21"/>
                <w:szCs w:val="21"/>
              </w:rPr>
              <w:t>.上述第</w:t>
            </w:r>
            <w:r>
              <w:rPr>
                <w:rFonts w:hint="default" w:ascii="宋体" w:hAnsi="宋体" w:eastAsia="宋体" w:cs="宋体"/>
                <w:bCs/>
                <w:sz w:val="21"/>
                <w:szCs w:val="21"/>
              </w:rPr>
              <w:t>4</w:t>
            </w:r>
            <w:r>
              <w:rPr>
                <w:rFonts w:hint="eastAsia" w:ascii="宋体" w:hAnsi="宋体" w:eastAsia="宋体" w:cs="宋体"/>
                <w:bCs/>
                <w:sz w:val="21"/>
                <w:szCs w:val="21"/>
              </w:rPr>
              <w:t>、</w:t>
            </w:r>
            <w:r>
              <w:rPr>
                <w:rFonts w:hint="default" w:ascii="宋体" w:hAnsi="宋体" w:eastAsia="宋体" w:cs="宋体"/>
                <w:bCs/>
                <w:sz w:val="21"/>
                <w:szCs w:val="21"/>
              </w:rPr>
              <w:t>6</w:t>
            </w:r>
            <w:r>
              <w:rPr>
                <w:rFonts w:hint="eastAsia" w:ascii="宋体" w:hAnsi="宋体" w:eastAsia="宋体" w:cs="宋体"/>
                <w:bCs/>
                <w:sz w:val="21"/>
                <w:szCs w:val="21"/>
              </w:rPr>
              <w:t>条款中的“运行数据”，是指系统在实施或运行过程中所产生的人员信息数据、医疗数据及与其它相关的数据（如字典数据等），包括但不限于文本、图片及某种格式的文件。运行数据一般存放于系统内的服务器上、数据库内，不包括</w:t>
            </w:r>
            <w:r>
              <w:rPr>
                <w:rFonts w:hint="eastAsia" w:ascii="宋体" w:hAnsi="宋体" w:eastAsia="宋体" w:cs="宋体"/>
                <w:bCs/>
                <w:sz w:val="21"/>
                <w:szCs w:val="21"/>
                <w:lang w:eastAsia="zh-CN"/>
              </w:rPr>
              <w:t>中标人</w:t>
            </w:r>
            <w:r>
              <w:rPr>
                <w:rFonts w:hint="eastAsia" w:ascii="宋体" w:hAnsi="宋体" w:eastAsia="宋体" w:cs="宋体"/>
                <w:bCs/>
                <w:sz w:val="21"/>
                <w:szCs w:val="21"/>
              </w:rPr>
              <w:t>为了版权保护而设置的数据。</w:t>
            </w:r>
            <w:r>
              <w:rPr>
                <w:rFonts w:hint="eastAsia" w:ascii="宋体" w:hAnsi="宋体" w:eastAsia="宋体" w:cs="宋体"/>
                <w:bCs/>
                <w:sz w:val="21"/>
                <w:szCs w:val="21"/>
                <w:lang w:eastAsia="zh-CN"/>
              </w:rPr>
              <w:t>中标人</w:t>
            </w:r>
            <w:r>
              <w:rPr>
                <w:rFonts w:hint="eastAsia" w:ascii="宋体" w:hAnsi="宋体" w:eastAsia="宋体" w:cs="宋体"/>
                <w:bCs/>
                <w:sz w:val="21"/>
                <w:szCs w:val="21"/>
              </w:rPr>
              <w:t>的版权保护措施不得影响上述第</w:t>
            </w:r>
            <w:r>
              <w:rPr>
                <w:rFonts w:hint="default" w:ascii="宋体" w:hAnsi="宋体" w:eastAsia="宋体" w:cs="宋体"/>
                <w:bCs/>
                <w:sz w:val="21"/>
                <w:szCs w:val="21"/>
              </w:rPr>
              <w:t>4</w:t>
            </w:r>
            <w:r>
              <w:rPr>
                <w:rFonts w:hint="eastAsia" w:ascii="宋体" w:hAnsi="宋体" w:eastAsia="宋体" w:cs="宋体"/>
                <w:bCs/>
                <w:sz w:val="21"/>
                <w:szCs w:val="21"/>
              </w:rPr>
              <w:t>、</w:t>
            </w:r>
            <w:r>
              <w:rPr>
                <w:rFonts w:hint="default" w:ascii="宋体" w:hAnsi="宋体" w:eastAsia="宋体" w:cs="宋体"/>
                <w:bCs/>
                <w:sz w:val="21"/>
                <w:szCs w:val="21"/>
              </w:rPr>
              <w:t>6</w:t>
            </w:r>
            <w:r>
              <w:rPr>
                <w:rFonts w:hint="eastAsia" w:ascii="宋体" w:hAnsi="宋体" w:eastAsia="宋体" w:cs="宋体"/>
                <w:bCs/>
                <w:sz w:val="21"/>
                <w:szCs w:val="21"/>
              </w:rPr>
              <w:t>条款。</w:t>
            </w:r>
          </w:p>
          <w:p w14:paraId="70CEF2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8</w:t>
            </w:r>
            <w:r>
              <w:rPr>
                <w:rFonts w:hint="eastAsia" w:ascii="宋体" w:hAnsi="宋体" w:eastAsia="宋体" w:cs="宋体"/>
                <w:b/>
                <w:sz w:val="21"/>
                <w:szCs w:val="21"/>
              </w:rPr>
              <w:t>.本项目中的所使用各种产品必须符合国家关于网络信息安全的相关政策、法规等要求，并严格按照采购方关于网络信息安全的具体要求，合理安装、配置服务器操作系统、数据库、应用服务软件等。采购人可能因为网络信息安全的要求需要对服务器、数据库或其它设备进行配置变更，如果配置变更影响到系统运行，双方应友好协商解决，优先考虑安全。采购人由于安全或其它原因进行网络调整时，如果系统服务器需要进行硬件升级或者系统软件（或服务）要迁移到另外服务器上时，</w:t>
            </w:r>
            <w:r>
              <w:rPr>
                <w:rFonts w:hint="eastAsia" w:ascii="宋体" w:hAnsi="宋体" w:eastAsia="宋体" w:cs="宋体"/>
                <w:b/>
                <w:sz w:val="21"/>
                <w:szCs w:val="21"/>
                <w:lang w:eastAsia="zh-CN"/>
              </w:rPr>
              <w:t>中标人</w:t>
            </w:r>
            <w:r>
              <w:rPr>
                <w:rFonts w:hint="eastAsia" w:ascii="宋体" w:hAnsi="宋体" w:eastAsia="宋体" w:cs="宋体"/>
                <w:b/>
                <w:sz w:val="21"/>
                <w:szCs w:val="21"/>
              </w:rPr>
              <w:t>必须无条件配合（质保期内，</w:t>
            </w:r>
            <w:r>
              <w:rPr>
                <w:rFonts w:hint="eastAsia" w:ascii="宋体" w:hAnsi="宋体" w:eastAsia="宋体" w:cs="宋体"/>
                <w:b/>
                <w:sz w:val="21"/>
                <w:szCs w:val="21"/>
                <w:lang w:eastAsia="zh-CN"/>
              </w:rPr>
              <w:t>中标人</w:t>
            </w:r>
            <w:r>
              <w:rPr>
                <w:rFonts w:hint="eastAsia" w:ascii="宋体" w:hAnsi="宋体" w:eastAsia="宋体" w:cs="宋体"/>
                <w:b/>
                <w:sz w:val="21"/>
                <w:szCs w:val="21"/>
              </w:rPr>
              <w:t>无偿提供服务；质保期外，</w:t>
            </w:r>
            <w:r>
              <w:rPr>
                <w:rFonts w:hint="eastAsia" w:ascii="宋体" w:hAnsi="宋体" w:eastAsia="宋体" w:cs="宋体"/>
                <w:b/>
                <w:sz w:val="21"/>
                <w:szCs w:val="21"/>
                <w:lang w:eastAsia="zh-CN"/>
              </w:rPr>
              <w:t>中标人</w:t>
            </w:r>
            <w:r>
              <w:rPr>
                <w:rFonts w:hint="eastAsia" w:ascii="宋体" w:hAnsi="宋体" w:eastAsia="宋体" w:cs="宋体"/>
                <w:b/>
                <w:sz w:val="21"/>
                <w:szCs w:val="21"/>
              </w:rPr>
              <w:t>如需派出人员到采购人现场的，</w:t>
            </w:r>
            <w:r>
              <w:rPr>
                <w:rFonts w:hint="eastAsia" w:ascii="宋体" w:hAnsi="宋体" w:eastAsia="宋体" w:cs="宋体"/>
                <w:b/>
                <w:sz w:val="21"/>
                <w:szCs w:val="21"/>
                <w:lang w:eastAsia="zh-CN"/>
              </w:rPr>
              <w:t>服务所需的</w:t>
            </w:r>
            <w:r>
              <w:rPr>
                <w:rFonts w:hint="eastAsia" w:ascii="宋体" w:hAnsi="宋体" w:eastAsia="宋体" w:cs="宋体"/>
                <w:b/>
                <w:sz w:val="21"/>
                <w:szCs w:val="21"/>
              </w:rPr>
              <w:t>旅差费、住宿费、伙食费、劳务费等合理费用</w:t>
            </w:r>
            <w:r>
              <w:rPr>
                <w:rFonts w:hint="eastAsia" w:ascii="宋体" w:hAnsi="宋体" w:eastAsia="宋体" w:cs="宋体"/>
                <w:b/>
                <w:sz w:val="21"/>
                <w:szCs w:val="21"/>
                <w:lang w:eastAsia="zh-CN"/>
              </w:rPr>
              <w:t>由中标人与采购人自行协商</w:t>
            </w:r>
            <w:r>
              <w:rPr>
                <w:rFonts w:hint="eastAsia" w:ascii="宋体" w:hAnsi="宋体" w:eastAsia="宋体" w:cs="宋体"/>
                <w:b/>
                <w:sz w:val="21"/>
                <w:szCs w:val="21"/>
              </w:rPr>
              <w:t>）。</w:t>
            </w:r>
          </w:p>
          <w:p w14:paraId="7E5F9C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sz w:val="21"/>
                <w:szCs w:val="21"/>
              </w:rPr>
              <w:t>▲</w:t>
            </w:r>
            <w:r>
              <w:rPr>
                <w:rFonts w:hint="default" w:ascii="宋体" w:hAnsi="宋体" w:eastAsia="宋体" w:cs="宋体"/>
                <w:b/>
                <w:sz w:val="21"/>
                <w:szCs w:val="21"/>
              </w:rPr>
              <w:t>9</w:t>
            </w:r>
            <w:r>
              <w:rPr>
                <w:rFonts w:hint="eastAsia" w:ascii="宋体" w:hAnsi="宋体" w:eastAsia="宋体" w:cs="宋体"/>
                <w:b/>
                <w:sz w:val="21"/>
                <w:szCs w:val="21"/>
              </w:rPr>
              <w:t>.本政府采购项目现执行的有关政策、法律及法规，如有与国家最新发布的政策、法律及法规相抵触时，</w:t>
            </w:r>
            <w:r>
              <w:rPr>
                <w:rFonts w:hint="eastAsia" w:ascii="宋体" w:hAnsi="宋体" w:eastAsia="宋体" w:cs="宋体"/>
                <w:b/>
                <w:sz w:val="21"/>
                <w:szCs w:val="21"/>
                <w:lang w:eastAsia="zh-CN"/>
              </w:rPr>
              <w:t>中标人</w:t>
            </w:r>
            <w:r>
              <w:rPr>
                <w:rFonts w:hint="eastAsia" w:ascii="宋体" w:hAnsi="宋体" w:eastAsia="宋体" w:cs="宋体"/>
                <w:b/>
                <w:sz w:val="21"/>
                <w:szCs w:val="21"/>
              </w:rPr>
              <w:t>必须无条件按照最新规定执行，且造成的损失均由</w:t>
            </w:r>
            <w:r>
              <w:rPr>
                <w:rFonts w:hint="eastAsia" w:ascii="宋体" w:hAnsi="宋体" w:eastAsia="宋体" w:cs="宋体"/>
                <w:b/>
                <w:sz w:val="21"/>
                <w:szCs w:val="21"/>
                <w:lang w:eastAsia="zh-CN"/>
              </w:rPr>
              <w:t>中标人</w:t>
            </w:r>
            <w:r>
              <w:rPr>
                <w:rFonts w:hint="eastAsia" w:ascii="宋体" w:hAnsi="宋体" w:eastAsia="宋体" w:cs="宋体"/>
                <w:b/>
                <w:sz w:val="21"/>
                <w:szCs w:val="21"/>
              </w:rPr>
              <w:t>自行承担。</w:t>
            </w:r>
          </w:p>
        </w:tc>
      </w:tr>
      <w:tr w14:paraId="47A2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039993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rPr>
              <w:t>▲保密要求</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26CECFCF">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1.信息安全保密要求</w:t>
            </w:r>
          </w:p>
          <w:p w14:paraId="7B15A312">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（1）必须严格遵守采购人的安全保密制度；</w:t>
            </w:r>
          </w:p>
          <w:p w14:paraId="03357363">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（2）项目人员需保证遵守国家有关版权和知识产权保护的政策、法律、法规和制度。</w:t>
            </w:r>
          </w:p>
          <w:p w14:paraId="455D3BA9">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3）项目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泄漏任何相关数据，不向外泄漏任何保密的技术资料。如出现支持人员泄密事件，</w:t>
            </w:r>
            <w:r>
              <w:rPr>
                <w:rFonts w:hint="eastAsia" w:hAnsi="宋体" w:eastAsia="宋体" w:cs="宋体"/>
                <w:b/>
                <w:bCs/>
                <w:sz w:val="21"/>
                <w:szCs w:val="21"/>
                <w:lang w:eastAsia="zh-CN"/>
              </w:rPr>
              <w:t>中标人</w:t>
            </w:r>
            <w:r>
              <w:rPr>
                <w:rFonts w:hint="eastAsia" w:ascii="宋体" w:hAnsi="宋体" w:eastAsia="宋体" w:cs="宋体"/>
                <w:b/>
                <w:bCs/>
                <w:sz w:val="21"/>
                <w:szCs w:val="21"/>
              </w:rPr>
              <w:t>应负有连带责任。</w:t>
            </w:r>
          </w:p>
          <w:p w14:paraId="0A11F56B">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（4）</w:t>
            </w:r>
            <w:r>
              <w:rPr>
                <w:rFonts w:hint="eastAsia" w:hAnsi="宋体" w:eastAsia="宋体" w:cs="宋体"/>
                <w:b/>
                <w:bCs/>
                <w:sz w:val="21"/>
                <w:szCs w:val="21"/>
                <w:lang w:eastAsia="zh-CN"/>
              </w:rPr>
              <w:t>中标人</w:t>
            </w:r>
            <w:r>
              <w:rPr>
                <w:rFonts w:hint="eastAsia" w:ascii="宋体" w:hAnsi="宋体" w:eastAsia="宋体" w:cs="宋体"/>
                <w:b/>
                <w:bCs/>
                <w:sz w:val="21"/>
                <w:szCs w:val="21"/>
              </w:rPr>
              <w:t>须与采购人签署合同项目实施期间的信息保密协议（格式由采购人提供）。</w:t>
            </w:r>
          </w:p>
          <w:p w14:paraId="44D16225">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hAnsi="宋体" w:eastAsia="宋体" w:cs="宋体"/>
                <w:b/>
                <w:bCs/>
                <w:sz w:val="21"/>
                <w:szCs w:val="21"/>
                <w:lang w:eastAsia="zh-CN"/>
              </w:rPr>
              <w:t>中标人</w:t>
            </w:r>
            <w:r>
              <w:rPr>
                <w:rFonts w:hint="eastAsia" w:ascii="宋体" w:hAnsi="宋体" w:eastAsia="宋体" w:cs="宋体"/>
                <w:b/>
                <w:bCs/>
                <w:sz w:val="21"/>
                <w:szCs w:val="21"/>
              </w:rPr>
              <w:t>技术人员在合同期间应严格按采购人的网络安全和数据安全相关规定开展工作，由于</w:t>
            </w:r>
            <w:r>
              <w:rPr>
                <w:rFonts w:hint="eastAsia" w:hAnsi="宋体" w:eastAsia="宋体" w:cs="宋体"/>
                <w:b/>
                <w:bCs/>
                <w:sz w:val="21"/>
                <w:szCs w:val="21"/>
                <w:lang w:eastAsia="zh-CN"/>
              </w:rPr>
              <w:t>中标人</w:t>
            </w:r>
            <w:r>
              <w:rPr>
                <w:rFonts w:hint="eastAsia" w:ascii="宋体" w:hAnsi="宋体" w:eastAsia="宋体" w:cs="宋体"/>
                <w:b/>
                <w:bCs/>
                <w:sz w:val="21"/>
                <w:szCs w:val="21"/>
              </w:rPr>
              <w:t>技术人员网络安全工作落实不到位引发安全事件的，</w:t>
            </w:r>
            <w:r>
              <w:rPr>
                <w:rFonts w:hint="eastAsia" w:hAnsi="宋体" w:eastAsia="宋体" w:cs="宋体"/>
                <w:b/>
                <w:bCs/>
                <w:sz w:val="21"/>
                <w:szCs w:val="21"/>
                <w:lang w:eastAsia="zh-CN"/>
              </w:rPr>
              <w:t>中标人</w:t>
            </w:r>
            <w:r>
              <w:rPr>
                <w:rFonts w:hint="eastAsia" w:ascii="宋体" w:hAnsi="宋体" w:eastAsia="宋体" w:cs="宋体"/>
                <w:b/>
                <w:bCs/>
                <w:sz w:val="21"/>
                <w:szCs w:val="21"/>
              </w:rPr>
              <w:t>应承担有关法律责任。此外，由此造成甲方损失的，还应赔偿采购人一切经济损失（包括但不限于采购人的直接损失、可得利益等间接损失、因主张权利所产生的交通费、住宿费、诉讼费用、执行费、律师费等一切费用）。</w:t>
            </w:r>
          </w:p>
          <w:p w14:paraId="02998692">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安全事件具体内容主要包括（但不限于）以下内容：</w:t>
            </w:r>
          </w:p>
          <w:p w14:paraId="3A1D598A">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（1）因补丁升级、漏洞修复、系统杀毒、数据备份、应用监控、网络监控等工作未落实到位，发生服务器被控制和应用系统被攻破的安全事件，被主管部门通报的。</w:t>
            </w:r>
          </w:p>
          <w:p w14:paraId="249CB42E">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（2）因违规进行数据查询、导出和拷出等操作造成敏感数据泄漏，以及发生非法窃取数据行为。</w:t>
            </w:r>
          </w:p>
          <w:p w14:paraId="341B134B">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（3）因运维操作处置不当导致重要应用系统发生严重卡顿、停用的重大事件。</w:t>
            </w:r>
          </w:p>
          <w:p w14:paraId="2FEF9BE5">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3.罚责条款：项目建设和运维过程中，因系统在对接、运行等服务中，导致其他系统受到影响的，由</w:t>
            </w:r>
            <w:r>
              <w:rPr>
                <w:rFonts w:hint="eastAsia" w:hAnsi="宋体" w:eastAsia="宋体" w:cs="宋体"/>
                <w:b/>
                <w:bCs/>
                <w:sz w:val="21"/>
                <w:szCs w:val="21"/>
                <w:lang w:eastAsia="zh-CN"/>
              </w:rPr>
              <w:t>中标人</w:t>
            </w:r>
            <w:r>
              <w:rPr>
                <w:rFonts w:hint="eastAsia" w:ascii="宋体" w:hAnsi="宋体" w:eastAsia="宋体" w:cs="宋体"/>
                <w:b/>
                <w:bCs/>
                <w:sz w:val="21"/>
                <w:szCs w:val="21"/>
              </w:rPr>
              <w:t>负责组织相关服务厂商共同排查，明确问题根源、责任并报告采购人。</w:t>
            </w:r>
            <w:r>
              <w:rPr>
                <w:rFonts w:hint="eastAsia" w:hAnsi="宋体" w:eastAsia="宋体" w:cs="宋体"/>
                <w:b/>
                <w:bCs/>
                <w:sz w:val="21"/>
                <w:szCs w:val="21"/>
                <w:lang w:eastAsia="zh-CN"/>
              </w:rPr>
              <w:t>中标人</w:t>
            </w:r>
            <w:r>
              <w:rPr>
                <w:rFonts w:hint="eastAsia" w:ascii="宋体" w:hAnsi="宋体" w:eastAsia="宋体" w:cs="宋体"/>
                <w:b/>
                <w:bCs/>
                <w:sz w:val="21"/>
                <w:szCs w:val="21"/>
              </w:rPr>
              <w:t>无法判定问题根源的，由</w:t>
            </w:r>
            <w:r>
              <w:rPr>
                <w:rFonts w:hint="eastAsia" w:hAnsi="宋体" w:eastAsia="宋体" w:cs="宋体"/>
                <w:b/>
                <w:bCs/>
                <w:sz w:val="21"/>
                <w:szCs w:val="21"/>
                <w:lang w:eastAsia="zh-CN"/>
              </w:rPr>
              <w:t>中标人</w:t>
            </w:r>
            <w:r>
              <w:rPr>
                <w:rFonts w:hint="eastAsia" w:ascii="宋体" w:hAnsi="宋体" w:eastAsia="宋体" w:cs="宋体"/>
                <w:b/>
                <w:bCs/>
                <w:sz w:val="21"/>
                <w:szCs w:val="21"/>
              </w:rPr>
              <w:t>承担全部责任。采购人将根据问题的轻重、</w:t>
            </w:r>
            <w:r>
              <w:rPr>
                <w:rFonts w:hint="eastAsia" w:hAnsi="宋体" w:eastAsia="宋体" w:cs="宋体"/>
                <w:b/>
                <w:bCs/>
                <w:sz w:val="21"/>
                <w:szCs w:val="21"/>
                <w:lang w:eastAsia="zh-CN"/>
              </w:rPr>
              <w:t>中标人</w:t>
            </w:r>
            <w:r>
              <w:rPr>
                <w:rFonts w:hint="eastAsia" w:ascii="宋体" w:hAnsi="宋体" w:eastAsia="宋体" w:cs="宋体"/>
                <w:b/>
                <w:bCs/>
                <w:sz w:val="21"/>
                <w:szCs w:val="21"/>
              </w:rPr>
              <w:t>责任的大小，扣除不高于合同款5%服务金额。</w:t>
            </w:r>
          </w:p>
          <w:p w14:paraId="292B264F">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rPr>
              <w:t>4.</w:t>
            </w:r>
            <w:r>
              <w:rPr>
                <w:rFonts w:hint="eastAsia" w:hAnsi="宋体" w:eastAsia="宋体" w:cs="宋体"/>
                <w:b/>
                <w:bCs/>
                <w:sz w:val="21"/>
                <w:szCs w:val="21"/>
                <w:lang w:eastAsia="zh-CN"/>
              </w:rPr>
              <w:t>中标人</w:t>
            </w:r>
            <w:r>
              <w:rPr>
                <w:rFonts w:hint="eastAsia" w:ascii="宋体" w:hAnsi="宋体" w:eastAsia="宋体" w:cs="宋体"/>
                <w:b/>
                <w:bCs/>
                <w:sz w:val="21"/>
                <w:szCs w:val="21"/>
              </w:rPr>
              <w:t>不得将项目非法分包或转包给任何单位和个人，否则采购人有权即刻终止合同，并要求</w:t>
            </w:r>
            <w:r>
              <w:rPr>
                <w:rFonts w:hint="eastAsia" w:hAnsi="宋体" w:eastAsia="宋体" w:cs="宋体"/>
                <w:b/>
                <w:bCs/>
                <w:sz w:val="21"/>
                <w:szCs w:val="21"/>
                <w:lang w:eastAsia="zh-CN"/>
              </w:rPr>
              <w:t>中标人</w:t>
            </w:r>
            <w:r>
              <w:rPr>
                <w:rFonts w:hint="eastAsia" w:ascii="宋体" w:hAnsi="宋体" w:eastAsia="宋体" w:cs="宋体"/>
                <w:b/>
                <w:bCs/>
                <w:sz w:val="21"/>
                <w:szCs w:val="21"/>
              </w:rPr>
              <w:t>赔偿相应损失。</w:t>
            </w:r>
          </w:p>
        </w:tc>
      </w:tr>
    </w:tbl>
    <w:p w14:paraId="2020D900">
      <w:pPr>
        <w:rPr>
          <w:rFonts w:hint="eastAsia"/>
          <w:lang w:val="en-US" w:eastAsia="zh-CN"/>
        </w:rPr>
      </w:pPr>
    </w:p>
    <w:p w14:paraId="30D6792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8975E06">
      <w:pPr>
        <w:pStyle w:val="3"/>
        <w:keepNext/>
        <w:keepLines/>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sz w:val="28"/>
          <w:szCs w:val="28"/>
          <w:highlight w:val="none"/>
          <w:lang w:val="en-US" w:eastAsia="zh-CN"/>
        </w:rPr>
      </w:pPr>
      <w:bookmarkStart w:id="37" w:name="_Toc29410"/>
      <w:r>
        <w:rPr>
          <w:rFonts w:hint="eastAsia" w:ascii="宋体" w:hAnsi="宋体" w:eastAsia="宋体" w:cs="宋体"/>
          <w:sz w:val="28"/>
          <w:szCs w:val="28"/>
          <w:highlight w:val="none"/>
          <w:lang w:val="en-US" w:eastAsia="zh-CN"/>
        </w:rPr>
        <w:t>分标3（</w:t>
      </w:r>
      <w:r>
        <w:rPr>
          <w:rFonts w:hint="default" w:ascii="宋体" w:hAnsi="宋体" w:eastAsia="宋体" w:cs="宋体"/>
          <w:sz w:val="28"/>
          <w:szCs w:val="28"/>
          <w:highlight w:val="none"/>
          <w:lang w:eastAsia="zh-CN"/>
        </w:rPr>
        <w:t>医保飞行检查智能监控系统建设</w:t>
      </w:r>
      <w:r>
        <w:rPr>
          <w:rFonts w:hint="eastAsia" w:ascii="宋体" w:hAnsi="宋体" w:eastAsia="宋体" w:cs="宋体"/>
          <w:sz w:val="28"/>
          <w:szCs w:val="28"/>
          <w:highlight w:val="none"/>
          <w:lang w:val="en-US" w:eastAsia="zh-CN"/>
        </w:rPr>
        <w:t>）</w:t>
      </w:r>
      <w:bookmarkEnd w:id="37"/>
    </w:p>
    <w:tbl>
      <w:tblPr>
        <w:tblStyle w:val="52"/>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83"/>
        <w:gridCol w:w="25"/>
        <w:gridCol w:w="900"/>
        <w:gridCol w:w="720"/>
        <w:gridCol w:w="7038"/>
      </w:tblGrid>
      <w:tr w14:paraId="0F00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DBBEA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08" w:type="dxa"/>
            <w:gridSpan w:val="2"/>
            <w:tcBorders>
              <w:top w:val="single" w:color="auto" w:sz="4" w:space="0"/>
              <w:left w:val="single" w:color="auto" w:sz="4" w:space="0"/>
              <w:bottom w:val="single" w:color="auto" w:sz="4" w:space="0"/>
              <w:right w:val="single" w:color="auto" w:sz="4" w:space="0"/>
            </w:tcBorders>
            <w:noWrap w:val="0"/>
            <w:vAlign w:val="center"/>
          </w:tcPr>
          <w:p w14:paraId="70C8AF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8D1D9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数量及单位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C53CB4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所属行业</w:t>
            </w:r>
          </w:p>
        </w:tc>
        <w:tc>
          <w:tcPr>
            <w:tcW w:w="7038" w:type="dxa"/>
            <w:tcBorders>
              <w:top w:val="single" w:color="auto" w:sz="4" w:space="0"/>
              <w:left w:val="single" w:color="auto" w:sz="4" w:space="0"/>
              <w:bottom w:val="single" w:color="auto" w:sz="4" w:space="0"/>
              <w:right w:val="single" w:color="auto" w:sz="4" w:space="0"/>
            </w:tcBorders>
            <w:noWrap w:val="0"/>
            <w:vAlign w:val="center"/>
          </w:tcPr>
          <w:p w14:paraId="6CACF3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技术服务要求</w:t>
            </w:r>
          </w:p>
        </w:tc>
      </w:tr>
      <w:tr w14:paraId="72FD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9" w:type="dxa"/>
            <w:gridSpan w:val="6"/>
            <w:tcBorders>
              <w:top w:val="single" w:color="auto" w:sz="4" w:space="0"/>
              <w:left w:val="single" w:color="auto" w:sz="4" w:space="0"/>
              <w:bottom w:val="single" w:color="auto" w:sz="4" w:space="0"/>
              <w:right w:val="single" w:color="auto" w:sz="4" w:space="0"/>
            </w:tcBorders>
            <w:noWrap w:val="0"/>
            <w:vAlign w:val="center"/>
          </w:tcPr>
          <w:p w14:paraId="74AA1F3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技术要求</w:t>
            </w:r>
          </w:p>
        </w:tc>
      </w:tr>
      <w:tr w14:paraId="7026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3" w:type="dxa"/>
            <w:tcBorders>
              <w:top w:val="single" w:color="auto" w:sz="4" w:space="0"/>
              <w:left w:val="single" w:color="auto" w:sz="4" w:space="0"/>
              <w:right w:val="single" w:color="auto" w:sz="4" w:space="0"/>
            </w:tcBorders>
            <w:noWrap w:val="0"/>
            <w:vAlign w:val="center"/>
          </w:tcPr>
          <w:p w14:paraId="6039FE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08" w:type="dxa"/>
            <w:gridSpan w:val="2"/>
            <w:tcBorders>
              <w:top w:val="single" w:color="auto" w:sz="4" w:space="0"/>
              <w:left w:val="single" w:color="auto" w:sz="4" w:space="0"/>
              <w:right w:val="single" w:color="auto" w:sz="4" w:space="0"/>
            </w:tcBorders>
            <w:noWrap w:val="0"/>
            <w:vAlign w:val="center"/>
          </w:tcPr>
          <w:p w14:paraId="3803A5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医保飞行检查智能监控系统改造建设</w:t>
            </w:r>
          </w:p>
        </w:tc>
        <w:tc>
          <w:tcPr>
            <w:tcW w:w="900" w:type="dxa"/>
            <w:tcBorders>
              <w:top w:val="single" w:color="auto" w:sz="4" w:space="0"/>
              <w:left w:val="single" w:color="auto" w:sz="4" w:space="0"/>
              <w:right w:val="single" w:color="auto" w:sz="4" w:space="0"/>
            </w:tcBorders>
            <w:noWrap w:val="0"/>
            <w:vAlign w:val="center"/>
          </w:tcPr>
          <w:p w14:paraId="2BE43EF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9F1B72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软件和信息技术服务业</w:t>
            </w:r>
          </w:p>
        </w:tc>
        <w:tc>
          <w:tcPr>
            <w:tcW w:w="7038" w:type="dxa"/>
            <w:tcBorders>
              <w:top w:val="single" w:color="auto" w:sz="4" w:space="0"/>
              <w:left w:val="single" w:color="auto" w:sz="4" w:space="0"/>
              <w:bottom w:val="single" w:color="auto" w:sz="4" w:space="0"/>
              <w:right w:val="single" w:color="auto" w:sz="4" w:space="0"/>
            </w:tcBorders>
            <w:noWrap w:val="0"/>
            <w:vAlign w:val="center"/>
          </w:tcPr>
          <w:p w14:paraId="5B14C68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一、项目建设要求</w:t>
            </w:r>
          </w:p>
          <w:p w14:paraId="41B73EB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建设一套能实现对住院病案实现全样本全流程监测的信息化软件，通过监测结果的实时分析，将违规统计聚焦到科室、诊疗组、执行医生以及重点问题，协助医院应对日益严格的医保基金监管和DRG结算改革形势，开展精细化的医保结算合规化管理工作。</w:t>
            </w:r>
          </w:p>
          <w:p w14:paraId="511B868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color w:val="auto"/>
                <w:kern w:val="0"/>
                <w:sz w:val="21"/>
                <w:szCs w:val="21"/>
                <w:highlight w:val="none"/>
                <w:lang w:val="en-US" w:eastAsia="zh-CN"/>
              </w:rPr>
              <w:t>二、本项目建设技术要求</w:t>
            </w:r>
          </w:p>
          <w:p w14:paraId="13716FB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cs="宋体"/>
                <w:lang w:val="en-US" w:eastAsia="zh-CN"/>
              </w:rPr>
            </w:pPr>
            <w:r>
              <w:rPr>
                <w:rFonts w:hint="eastAsia" w:ascii="宋体" w:hAnsi="宋体" w:eastAsia="宋体" w:cs="宋体"/>
                <w:b/>
                <w:bCs/>
                <w:lang w:val="en-US" w:eastAsia="zh-CN"/>
              </w:rPr>
              <w:t>▲</w:t>
            </w:r>
            <w:r>
              <w:rPr>
                <w:rFonts w:hint="eastAsia" w:ascii="宋体" w:hAnsi="宋体" w:cs="宋体"/>
                <w:b/>
                <w:bCs/>
                <w:lang w:val="en-US" w:eastAsia="zh-CN"/>
              </w:rPr>
              <w:t>注：</w:t>
            </w:r>
            <w:r>
              <w:rPr>
                <w:rFonts w:hint="eastAsia" w:ascii="宋体" w:hAnsi="宋体" w:eastAsia="宋体" w:cs="宋体"/>
                <w:b/>
                <w:bCs/>
                <w:highlight w:val="none"/>
                <w:lang w:val="en-US" w:eastAsia="zh-CN"/>
              </w:rPr>
              <w:t>“详细、清晰、直观”是指通过</w:t>
            </w:r>
            <w:r>
              <w:rPr>
                <w:rFonts w:hint="eastAsia" w:ascii="宋体" w:hAnsi="宋体" w:cs="宋体"/>
                <w:b/>
                <w:bCs/>
                <w:lang w:val="en-US" w:eastAsia="zh-CN"/>
              </w:rPr>
              <w:t>系统功能截图能</w:t>
            </w:r>
            <w:r>
              <w:rPr>
                <w:rFonts w:hint="eastAsia" w:ascii="宋体" w:hAnsi="宋体" w:eastAsia="宋体" w:cs="宋体"/>
                <w:b/>
                <w:bCs/>
                <w:highlight w:val="none"/>
                <w:lang w:val="en-US" w:eastAsia="zh-CN"/>
              </w:rPr>
              <w:t>反映整项功能参数要求，截图数量不限，但应能通过多张截图反映所对应的功能参数内容及操作过程，否则</w:t>
            </w:r>
            <w:r>
              <w:rPr>
                <w:rFonts w:hint="eastAsia" w:ascii="宋体" w:hAnsi="宋体" w:eastAsia="宋体" w:cs="宋体"/>
                <w:b/>
                <w:bCs/>
                <w:color w:val="auto"/>
                <w:kern w:val="0"/>
                <w:sz w:val="21"/>
                <w:szCs w:val="21"/>
                <w:highlight w:val="none"/>
                <w:lang w:val="en-US" w:eastAsia="zh-CN"/>
              </w:rPr>
              <w:t>不予认可。</w:t>
            </w:r>
          </w:p>
          <w:p w14:paraId="0A1AB6C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（一）</w:t>
            </w:r>
            <w:r>
              <w:rPr>
                <w:rFonts w:hint="eastAsia" w:ascii="宋体" w:hAnsi="宋体" w:eastAsia="宋体" w:cs="宋体"/>
                <w:lang w:val="en-US" w:eastAsia="zh-CN"/>
              </w:rPr>
              <w:t>医疗保障基金结算审核子系统</w:t>
            </w:r>
          </w:p>
          <w:p w14:paraId="42CD9E5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w:t>
            </w:r>
            <w:r>
              <w:rPr>
                <w:rFonts w:hint="eastAsia" w:ascii="宋体" w:hAnsi="宋体" w:eastAsia="宋体" w:cs="宋体"/>
                <w:lang w:val="en-US" w:eastAsia="zh-CN"/>
              </w:rPr>
              <w:t>医保违规审核规则库</w:t>
            </w:r>
          </w:p>
          <w:p w14:paraId="3D2FF7F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医保违规审核规则库</w:t>
            </w:r>
            <w:r>
              <w:rPr>
                <w:rFonts w:hint="eastAsia" w:ascii="宋体" w:hAnsi="宋体" w:cs="宋体"/>
                <w:b/>
                <w:bCs/>
                <w:lang w:val="en-US" w:eastAsia="zh-CN"/>
              </w:rPr>
              <w:t>（</w:t>
            </w:r>
            <w:r>
              <w:rPr>
                <w:rFonts w:hint="eastAsia" w:ascii="宋体" w:hAnsi="宋体" w:eastAsia="宋体" w:cs="宋体"/>
                <w:b/>
                <w:bCs/>
                <w:lang w:val="en-US" w:eastAsia="zh-CN"/>
              </w:rPr>
              <w:t>支持不合理收费、超标准收费、超时间收费、超限用药、超限制范围、串换收费、串换项目、多收费、分解收费、分解住院、过度检查、过度诊疗、虚记收费、虚假收费、用药违规和重复收费等医保审核规则</w:t>
            </w:r>
            <w:r>
              <w:rPr>
                <w:rFonts w:hint="eastAsia" w:ascii="宋体" w:hAnsi="宋体" w:cs="宋体"/>
                <w:b/>
                <w:bCs/>
                <w:lang w:val="en-US" w:eastAsia="zh-CN"/>
              </w:rPr>
              <w:t>）（投标时必须在投标文件中提供详细、清晰、直观体现以上各功能参数的有效系统功能截图并加盖投标人公章）</w:t>
            </w:r>
            <w:r>
              <w:rPr>
                <w:rFonts w:hint="eastAsia" w:ascii="宋体" w:hAnsi="宋体" w:eastAsia="宋体" w:cs="宋体"/>
                <w:b/>
                <w:bCs/>
                <w:lang w:val="en-US" w:eastAsia="zh-CN"/>
              </w:rPr>
              <w:t>。</w:t>
            </w:r>
          </w:p>
          <w:p w14:paraId="2E02910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w:t>
            </w:r>
            <w:r>
              <w:rPr>
                <w:rFonts w:hint="eastAsia" w:ascii="宋体" w:hAnsi="宋体" w:eastAsia="宋体" w:cs="宋体"/>
                <w:lang w:val="en-US" w:eastAsia="zh-CN"/>
              </w:rPr>
              <w:t>归档病案审核功能</w:t>
            </w:r>
          </w:p>
          <w:p w14:paraId="7DAFD1C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通过数据接口或数据导入的方式，将医院一段时间、某医生、某科室或全院的住院医保结算数据进行智能审核分析，</w:t>
            </w:r>
            <w:r>
              <w:rPr>
                <w:rFonts w:hint="eastAsia" w:ascii="宋体" w:hAnsi="宋体" w:cs="宋体"/>
                <w:lang w:val="en-US" w:eastAsia="zh-CN"/>
              </w:rPr>
              <w:t>应包含以下功能</w:t>
            </w:r>
            <w:r>
              <w:rPr>
                <w:rFonts w:hint="eastAsia" w:ascii="宋体" w:hAnsi="宋体" w:eastAsia="宋体" w:cs="宋体"/>
                <w:lang w:val="en-US" w:eastAsia="zh-CN"/>
              </w:rPr>
              <w:t>：</w:t>
            </w:r>
          </w:p>
          <w:p w14:paraId="498162E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2.1临床医生可对所属病案审核医保违规疑点问题提出申诉</w:t>
            </w:r>
            <w:r>
              <w:rPr>
                <w:rFonts w:hint="eastAsia" w:ascii="宋体" w:hAnsi="宋体" w:cs="宋体"/>
                <w:lang w:val="en-US" w:eastAsia="zh-CN"/>
              </w:rPr>
              <w:t>。</w:t>
            </w:r>
          </w:p>
          <w:p w14:paraId="790C304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2.2以列表形式按指定时段和指定临床科室，统计该时段内汇总病案数、存在违规疑点问题病案数、汇总病案金额、违规疑点问题总金额、违规疑点问题金额占比，并列表展示违规类别、违规疑点问题病例数、违规疑点问题清单数、违规疑点问题金额以及违规判定的政策依据，支持导出</w:t>
            </w:r>
            <w:r>
              <w:rPr>
                <w:rFonts w:hint="eastAsia" w:ascii="宋体" w:hAnsi="宋体" w:cs="宋体"/>
                <w:b/>
                <w:bCs/>
                <w:lang w:val="en-US" w:eastAsia="zh-CN"/>
              </w:rPr>
              <w:t>（投标时必须在投标文件中提供详细、清晰、直观体现以上各功能参数的有效系统功能截图并加盖投标人公章）。</w:t>
            </w:r>
          </w:p>
          <w:p w14:paraId="23BB35C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2.3可通过医保违规疑点问题类别名称搜索相应违规类别</w:t>
            </w:r>
            <w:r>
              <w:rPr>
                <w:rFonts w:hint="eastAsia" w:ascii="宋体" w:hAnsi="宋体" w:cs="宋体"/>
                <w:lang w:val="en-US" w:eastAsia="zh-CN"/>
              </w:rPr>
              <w:t>。</w:t>
            </w:r>
          </w:p>
          <w:p w14:paraId="188248B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2.4以列表形式展示每个医保违规疑点问题类别关联收费清单的费用科室、开单医生、病案号、病人姓名、入院诊断、出院诊断、项目金额、项目数量、费用项目、费别、病人费别、入院时间、出院时间、住院天数、年龄并支持导出</w:t>
            </w:r>
            <w:r>
              <w:rPr>
                <w:rFonts w:hint="eastAsia" w:ascii="宋体" w:hAnsi="宋体" w:cs="宋体"/>
                <w:b/>
                <w:bCs/>
                <w:lang w:val="en-US" w:eastAsia="zh-CN"/>
              </w:rPr>
              <w:t>（投标时必须在投标文件中提供详细、清晰、直观体现以上各功能参数的有效系统功能截图并加盖投标人公章）。</w:t>
            </w:r>
          </w:p>
          <w:p w14:paraId="55FB38C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2.5以列表形式展示每个医保违规疑点问题类别关联病案的住院号、病患姓名、病患年龄、病患性别、主诊医生姓名、主诊医生编码、入院科别、出院科别、入院日期、出院日期、住院天数</w:t>
            </w:r>
            <w:r>
              <w:rPr>
                <w:rFonts w:hint="eastAsia" w:ascii="宋体" w:hAnsi="宋体" w:cs="宋体"/>
                <w:lang w:val="en-US" w:eastAsia="zh-CN"/>
              </w:rPr>
              <w:t>。</w:t>
            </w:r>
          </w:p>
          <w:p w14:paraId="2981537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2.6可通过病案号/病人姓名搜索查询相应关联收费清单</w:t>
            </w:r>
            <w:r>
              <w:rPr>
                <w:rFonts w:hint="eastAsia" w:ascii="宋体" w:hAnsi="宋体" w:cs="宋体"/>
                <w:lang w:val="en-US" w:eastAsia="zh-CN"/>
              </w:rPr>
              <w:t>。</w:t>
            </w:r>
          </w:p>
          <w:p w14:paraId="668A56D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2.7可通过关联病案和收费清单下钻至病案信息页面</w:t>
            </w:r>
            <w:r>
              <w:rPr>
                <w:rFonts w:hint="eastAsia" w:ascii="宋体" w:hAnsi="宋体" w:cs="宋体"/>
                <w:lang w:val="en-US" w:eastAsia="zh-CN"/>
              </w:rPr>
              <w:t>。</w:t>
            </w:r>
          </w:p>
          <w:p w14:paraId="4C7B3E2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2.8不同用户根据权限分配仅能看到本用户权限范畴内病案信息。</w:t>
            </w:r>
          </w:p>
          <w:p w14:paraId="45E4012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w:t>
            </w:r>
            <w:r>
              <w:rPr>
                <w:rFonts w:hint="eastAsia" w:ascii="宋体" w:hAnsi="宋体" w:eastAsia="宋体" w:cs="宋体"/>
                <w:lang w:val="en-US" w:eastAsia="zh-CN"/>
              </w:rPr>
              <w:t>在院患者定时审核功能</w:t>
            </w:r>
          </w:p>
          <w:p w14:paraId="06CBE75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建立数据接口，定时从医院HIS系统获取在院患者费用信息并智能审核分析，可以查看在院患者的结算医保合规情况，</w:t>
            </w:r>
            <w:r>
              <w:rPr>
                <w:rFonts w:hint="eastAsia" w:ascii="宋体" w:hAnsi="宋体" w:cs="宋体"/>
                <w:lang w:val="en-US" w:eastAsia="zh-CN"/>
              </w:rPr>
              <w:t>应包含以下功能</w:t>
            </w:r>
            <w:r>
              <w:rPr>
                <w:rFonts w:hint="eastAsia" w:ascii="宋体" w:hAnsi="宋体" w:eastAsia="宋体" w:cs="宋体"/>
                <w:lang w:val="en-US" w:eastAsia="zh-CN"/>
              </w:rPr>
              <w:t>：</w:t>
            </w:r>
          </w:p>
          <w:p w14:paraId="6BB4AF4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3.1通过数据接口，定时从医院HIS系统获取在院患者费用信息并进行全方位审核，帮助医生定期复查所属在院患者的结算合规情况</w:t>
            </w:r>
            <w:r>
              <w:rPr>
                <w:rFonts w:hint="eastAsia" w:ascii="宋体" w:hAnsi="宋体" w:cs="宋体"/>
                <w:lang w:val="en-US" w:eastAsia="zh-CN"/>
              </w:rPr>
              <w:t>。</w:t>
            </w:r>
          </w:p>
          <w:p w14:paraId="1DB4DA3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3.2以列表形式按指定临床科室，统计当前院内汇总病案数、存在违规疑点问题病案数、汇总病案金额、违规疑点问题总金额、违规疑点问题金额占比，并列表展示违规类别、违规疑点问题病例数、违规疑点问题清单数、违规疑点问题金额以及违规判定的政策依据，支持导出</w:t>
            </w:r>
            <w:r>
              <w:rPr>
                <w:rFonts w:hint="eastAsia" w:ascii="宋体" w:hAnsi="宋体" w:cs="宋体"/>
                <w:b w:val="0"/>
                <w:bCs w:val="0"/>
                <w:lang w:val="en-US" w:eastAsia="zh-CN"/>
              </w:rPr>
              <w:t>。</w:t>
            </w:r>
          </w:p>
          <w:p w14:paraId="4037092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3.3可通过医保违规疑点问题类别名称搜索相应违规类别</w:t>
            </w:r>
            <w:r>
              <w:rPr>
                <w:rFonts w:hint="eastAsia" w:ascii="宋体" w:hAnsi="宋体" w:cs="宋体"/>
                <w:lang w:val="en-US" w:eastAsia="zh-CN"/>
              </w:rPr>
              <w:t>。</w:t>
            </w:r>
          </w:p>
          <w:p w14:paraId="7DD6F42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3.4以列表形式展示每个医保违规疑点问题类别关联收费清单的费用科室、开单医生、病案号、病人姓名、入院诊断、出院诊断、项目金额、项目数量、费用项目、费别、病人费别、入院时间、出院时间、住院天数、年龄并支持导出</w:t>
            </w:r>
            <w:r>
              <w:rPr>
                <w:rFonts w:hint="eastAsia" w:ascii="宋体" w:hAnsi="宋体" w:cs="宋体"/>
                <w:b/>
                <w:bCs/>
                <w:lang w:val="en-US" w:eastAsia="zh-CN"/>
              </w:rPr>
              <w:t>（投标时必须在投标文件中提供详细、清晰、直观体现以上各功能参数的有效系统功能截图并加盖投标人公章）。</w:t>
            </w:r>
          </w:p>
          <w:p w14:paraId="6599911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3.5以列表形式展示每个医保违规疑点问题类别关联病案的住院号、病患姓名、病患年龄、病患性别、主诊医生姓名、主诊医生编码、入院科别、出院科别、入院日期、出院日期、住院天数</w:t>
            </w:r>
            <w:r>
              <w:rPr>
                <w:rFonts w:hint="eastAsia" w:ascii="宋体" w:hAnsi="宋体" w:cs="宋体"/>
                <w:lang w:val="en-US" w:eastAsia="zh-CN"/>
              </w:rPr>
              <w:t>。</w:t>
            </w:r>
          </w:p>
          <w:p w14:paraId="76A6544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3.6可通过病案号/病人姓名搜索查询相应关联收费清单</w:t>
            </w:r>
            <w:r>
              <w:rPr>
                <w:rFonts w:hint="eastAsia" w:ascii="宋体" w:hAnsi="宋体" w:cs="宋体"/>
                <w:lang w:val="en-US" w:eastAsia="zh-CN"/>
              </w:rPr>
              <w:t>。</w:t>
            </w:r>
          </w:p>
          <w:p w14:paraId="75801A2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3.7可通过关联病案和收费清单下钻至病案信息页面</w:t>
            </w:r>
            <w:r>
              <w:rPr>
                <w:rFonts w:hint="eastAsia" w:ascii="宋体" w:hAnsi="宋体" w:cs="宋体"/>
                <w:lang w:val="en-US" w:eastAsia="zh-CN"/>
              </w:rPr>
              <w:t>。</w:t>
            </w:r>
          </w:p>
          <w:p w14:paraId="25EFDF6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3.8不同用户根据权限分配仅能看到本用户权限范畴内病案信息。</w:t>
            </w:r>
          </w:p>
          <w:p w14:paraId="584CCFA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▲4</w:t>
            </w:r>
            <w:r>
              <w:rPr>
                <w:rFonts w:hint="eastAsia" w:ascii="宋体" w:hAnsi="宋体" w:cs="宋体"/>
                <w:b/>
                <w:bCs/>
                <w:lang w:val="en-US" w:eastAsia="zh-CN"/>
              </w:rPr>
              <w:t>.</w:t>
            </w:r>
            <w:r>
              <w:rPr>
                <w:rFonts w:hint="eastAsia" w:ascii="宋体" w:hAnsi="宋体" w:eastAsia="宋体" w:cs="宋体"/>
                <w:b/>
                <w:bCs/>
                <w:lang w:val="en-US" w:eastAsia="zh-CN"/>
              </w:rPr>
              <w:t>结算违规统计分析功能</w:t>
            </w:r>
            <w:r>
              <w:rPr>
                <w:rFonts w:hint="eastAsia" w:ascii="宋体" w:hAnsi="宋体" w:cs="宋体"/>
                <w:b/>
                <w:bCs/>
                <w:lang w:val="en-US" w:eastAsia="zh-CN"/>
              </w:rPr>
              <w:t>（投标时必须在投标文件中提供详细、清晰、直观体现以下各功能参数的有效系统功能截图并加盖投标人公章）</w:t>
            </w:r>
          </w:p>
          <w:p w14:paraId="2901C24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对全院医保违规智能审核结果进行统计分析，</w:t>
            </w:r>
            <w:r>
              <w:rPr>
                <w:rFonts w:hint="eastAsia" w:ascii="宋体" w:hAnsi="宋体" w:cs="宋体"/>
                <w:b/>
                <w:bCs/>
                <w:lang w:val="en-US" w:eastAsia="zh-CN"/>
              </w:rPr>
              <w:t>须</w:t>
            </w:r>
            <w:r>
              <w:rPr>
                <w:rFonts w:hint="eastAsia" w:ascii="宋体" w:hAnsi="宋体" w:eastAsia="宋体" w:cs="宋体"/>
                <w:b/>
                <w:bCs/>
                <w:lang w:val="en-US" w:eastAsia="zh-CN"/>
              </w:rPr>
              <w:t>包含以下功能：</w:t>
            </w:r>
          </w:p>
          <w:p w14:paraId="28F0990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4.1提供按收费项目违规金额排名，并以图表形式展示</w:t>
            </w:r>
            <w:r>
              <w:rPr>
                <w:rFonts w:hint="eastAsia" w:ascii="宋体" w:hAnsi="宋体" w:cs="宋体"/>
                <w:b/>
                <w:bCs/>
                <w:lang w:val="en-US" w:eastAsia="zh-CN"/>
              </w:rPr>
              <w:t>。</w:t>
            </w:r>
          </w:p>
          <w:p w14:paraId="3DEF5EE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4.2提供按收费项目金额占比统计，并以图表形式展示。</w:t>
            </w:r>
          </w:p>
          <w:p w14:paraId="325FAA2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（二）</w:t>
            </w:r>
            <w:r>
              <w:rPr>
                <w:rFonts w:hint="eastAsia" w:ascii="宋体" w:hAnsi="宋体" w:eastAsia="宋体" w:cs="宋体"/>
                <w:lang w:val="en-US" w:eastAsia="zh-CN"/>
              </w:rPr>
              <w:t>DRG运营管理分析子系统</w:t>
            </w:r>
          </w:p>
          <w:p w14:paraId="30B0D8A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r>
              <w:rPr>
                <w:rFonts w:hint="eastAsia" w:ascii="宋体" w:hAnsi="宋体" w:cs="宋体"/>
                <w:b w:val="0"/>
                <w:bCs w:val="0"/>
                <w:lang w:val="en-US" w:eastAsia="zh-CN"/>
              </w:rPr>
              <w:t>.</w:t>
            </w:r>
            <w:r>
              <w:rPr>
                <w:rFonts w:hint="eastAsia" w:ascii="宋体" w:hAnsi="宋体" w:eastAsia="宋体" w:cs="宋体"/>
                <w:b w:val="0"/>
                <w:bCs w:val="0"/>
                <w:lang w:val="en-US" w:eastAsia="zh-CN"/>
              </w:rPr>
              <w:t>DRG分组规则库</w:t>
            </w:r>
          </w:p>
          <w:p w14:paraId="43F8F6A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val="0"/>
                <w:bCs w:val="0"/>
                <w:lang w:val="en-US" w:eastAsia="zh-CN"/>
              </w:rPr>
              <w:t>基于CHS-DRG分组规则2.0版本及广西本地分组规则</w:t>
            </w:r>
            <w:r>
              <w:rPr>
                <w:rFonts w:hint="eastAsia" w:ascii="宋体" w:hAnsi="宋体" w:cs="宋体"/>
                <w:b w:val="0"/>
                <w:bCs w:val="0"/>
                <w:lang w:val="en-US" w:eastAsia="zh-CN"/>
              </w:rPr>
              <w:t>。</w:t>
            </w:r>
          </w:p>
          <w:p w14:paraId="6F91613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w:t>
            </w:r>
            <w:r>
              <w:rPr>
                <w:rFonts w:hint="eastAsia" w:ascii="宋体" w:hAnsi="宋体" w:eastAsia="宋体" w:cs="宋体"/>
                <w:lang w:val="en-US" w:eastAsia="zh-CN"/>
              </w:rPr>
              <w:t>在院病案预分组功能</w:t>
            </w:r>
          </w:p>
          <w:p w14:paraId="73D729F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跟据DRG分组规则，基于在院病例主诊断、主手术、基本信息和治疗方式大数据知识积累，展示可能入组，需包含以下内容：</w:t>
            </w:r>
          </w:p>
          <w:p w14:paraId="4A10F43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2.1所有诊断编码、名称</w:t>
            </w:r>
            <w:r>
              <w:rPr>
                <w:rFonts w:hint="eastAsia" w:ascii="宋体" w:hAnsi="宋体" w:cs="宋体"/>
                <w:lang w:val="en-US" w:eastAsia="zh-CN"/>
              </w:rPr>
              <w:t>。</w:t>
            </w:r>
          </w:p>
          <w:p w14:paraId="5BCB20E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2.2所有手术编码、名称</w:t>
            </w:r>
            <w:r>
              <w:rPr>
                <w:rFonts w:hint="eastAsia" w:ascii="宋体" w:hAnsi="宋体" w:cs="宋体"/>
                <w:lang w:val="en-US" w:eastAsia="zh-CN"/>
              </w:rPr>
              <w:t>。</w:t>
            </w:r>
          </w:p>
          <w:p w14:paraId="5007E17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▲2.3所有诊断/手术作为主诊断时的可能的分组预测、病例类型、并发症</w:t>
            </w:r>
            <w:r>
              <w:rPr>
                <w:rFonts w:hint="eastAsia" w:ascii="宋体" w:hAnsi="宋体" w:cs="宋体"/>
                <w:b/>
                <w:bCs/>
                <w:lang w:val="en-US" w:eastAsia="zh-CN"/>
              </w:rPr>
              <w:t>（投标时必须在投标文件中提供详细、清晰、直观体现以下各功能参数的有效系统功能截图并加盖投标人公章）</w:t>
            </w:r>
            <w:r>
              <w:rPr>
                <w:rFonts w:hint="eastAsia" w:ascii="宋体" w:hAnsi="宋体" w:eastAsia="宋体" w:cs="宋体"/>
                <w:b/>
                <w:bCs/>
                <w:lang w:val="en-US" w:eastAsia="zh-CN"/>
              </w:rPr>
              <w:t>。</w:t>
            </w:r>
          </w:p>
          <w:p w14:paraId="46FF729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▲2.4预分组时可以参考历史月份类似诊断分组的权重、差异系数、参考点值、参考DRG价值等信息</w:t>
            </w:r>
            <w:r>
              <w:rPr>
                <w:rFonts w:hint="eastAsia" w:ascii="宋体" w:hAnsi="宋体" w:cs="宋体"/>
                <w:b/>
                <w:bCs/>
                <w:lang w:val="en-US" w:eastAsia="zh-CN"/>
              </w:rPr>
              <w:t>（投标时必须在投标文件中提供详细、清晰、直观体现以下各功能参数的有效系统功能截图并加盖投标人公章）</w:t>
            </w:r>
            <w:r>
              <w:rPr>
                <w:rFonts w:hint="eastAsia" w:ascii="宋体" w:hAnsi="宋体" w:eastAsia="宋体" w:cs="宋体"/>
                <w:b/>
                <w:bCs/>
                <w:lang w:val="en-US" w:eastAsia="zh-CN"/>
              </w:rPr>
              <w:t>。</w:t>
            </w:r>
          </w:p>
          <w:p w14:paraId="4D5ACF1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2.5可以根据科室、住院号、日期等条件查询病案及其预分组信息。</w:t>
            </w:r>
          </w:p>
          <w:p w14:paraId="625632E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2.6可以与HIS系统同步单个病案，并重新进行预分组。</w:t>
            </w:r>
          </w:p>
          <w:p w14:paraId="4BBD559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2.7科室主任（或具备科室管理员权限的角色）可以管理本部门DRG预分组。</w:t>
            </w:r>
          </w:p>
          <w:p w14:paraId="366BC53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2.8医生可以管理自己病人的预分组信息</w:t>
            </w:r>
            <w:r>
              <w:rPr>
                <w:rFonts w:hint="eastAsia" w:ascii="宋体" w:hAnsi="宋体" w:cs="宋体"/>
                <w:lang w:val="en-US" w:eastAsia="zh-CN"/>
              </w:rPr>
              <w:t>。</w:t>
            </w:r>
          </w:p>
          <w:p w14:paraId="10FF7A4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w:t>
            </w:r>
            <w:r>
              <w:rPr>
                <w:rFonts w:hint="eastAsia" w:ascii="宋体" w:hAnsi="宋体" w:eastAsia="宋体" w:cs="宋体"/>
                <w:lang w:val="en-US" w:eastAsia="zh-CN"/>
              </w:rPr>
              <w:t>在院病案费用预评估功能</w:t>
            </w:r>
          </w:p>
          <w:p w14:paraId="621431C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根据在院病案预分组结果，结合分组权重、差异系数、历史点值，进行费用预评估，展示内容需包含所有诊断/手术作为主诊断时的分组权重、差异系数、DRG价值、预计结余的预分析。</w:t>
            </w:r>
          </w:p>
          <w:p w14:paraId="09A0E74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4</w:t>
            </w:r>
            <w:r>
              <w:rPr>
                <w:rFonts w:hint="eastAsia" w:ascii="宋体" w:hAnsi="宋体" w:cs="宋体"/>
                <w:b w:val="0"/>
                <w:bCs w:val="0"/>
                <w:lang w:val="en-US" w:eastAsia="zh-CN"/>
              </w:rPr>
              <w:t>.</w:t>
            </w:r>
            <w:r>
              <w:rPr>
                <w:rFonts w:hint="eastAsia" w:ascii="宋体" w:hAnsi="宋体" w:eastAsia="宋体" w:cs="宋体"/>
                <w:b w:val="0"/>
                <w:bCs w:val="0"/>
                <w:lang w:val="en-US" w:eastAsia="zh-CN"/>
              </w:rPr>
              <w:t>在院病案分组模拟功能</w:t>
            </w:r>
          </w:p>
          <w:p w14:paraId="17D6FED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4.1提供调整主诊断、调整主手术、增加主诊断、增加主手术功能</w:t>
            </w:r>
            <w:r>
              <w:rPr>
                <w:rFonts w:hint="eastAsia" w:ascii="宋体" w:hAnsi="宋体" w:cs="宋体"/>
                <w:b w:val="0"/>
                <w:bCs w:val="0"/>
                <w:lang w:val="en-US" w:eastAsia="zh-CN"/>
              </w:rPr>
              <w:t>。</w:t>
            </w:r>
          </w:p>
          <w:p w14:paraId="720C978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4.2提供调整后分组参考，包括分组编码、分组名称、权重、差异系数、DRG价值、预计结余、病例类型、主诊断、主手术、一般并发症、严重并发症同原分组情况的对比。</w:t>
            </w:r>
          </w:p>
          <w:p w14:paraId="79DBBB6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cs="宋体"/>
                <w:lang w:val="en-US" w:eastAsia="zh-CN"/>
              </w:rPr>
              <w:t>.</w:t>
            </w:r>
            <w:r>
              <w:rPr>
                <w:rFonts w:hint="eastAsia" w:ascii="宋体" w:hAnsi="宋体" w:eastAsia="宋体" w:cs="宋体"/>
                <w:lang w:val="en-US" w:eastAsia="zh-CN"/>
              </w:rPr>
              <w:t>出院病案分组预估功能</w:t>
            </w:r>
          </w:p>
          <w:p w14:paraId="08B5537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根据DRG分组规则，基于出院病例病案首页主诊断、主手术、基本信息和治疗方式大数据知识积累，展示可能入组，需包含以下内容：</w:t>
            </w:r>
          </w:p>
          <w:p w14:paraId="10D51C4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5.1所有诊断编码、名称</w:t>
            </w:r>
            <w:r>
              <w:rPr>
                <w:rFonts w:hint="eastAsia" w:ascii="宋体" w:hAnsi="宋体" w:cs="宋体"/>
                <w:lang w:val="en-US" w:eastAsia="zh-CN"/>
              </w:rPr>
              <w:t>。</w:t>
            </w:r>
          </w:p>
          <w:p w14:paraId="681C3CA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5.2所有手术编码、名称</w:t>
            </w:r>
            <w:r>
              <w:rPr>
                <w:rFonts w:hint="eastAsia" w:ascii="宋体" w:hAnsi="宋体" w:cs="宋体"/>
                <w:lang w:val="en-US" w:eastAsia="zh-CN"/>
              </w:rPr>
              <w:t>。</w:t>
            </w:r>
          </w:p>
          <w:p w14:paraId="4CC1070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5.3所有诊断/手术作为主诊断时的可能的分组预测、病例类型、并发症。</w:t>
            </w:r>
          </w:p>
          <w:p w14:paraId="4225B83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cs="宋体"/>
                <w:lang w:val="en-US" w:eastAsia="zh-CN"/>
              </w:rPr>
              <w:t>.</w:t>
            </w:r>
            <w:r>
              <w:rPr>
                <w:rFonts w:hint="eastAsia" w:ascii="宋体" w:hAnsi="宋体" w:eastAsia="宋体" w:cs="宋体"/>
                <w:lang w:val="en-US" w:eastAsia="zh-CN"/>
              </w:rPr>
              <w:t>分组预估反馈功能</w:t>
            </w:r>
          </w:p>
          <w:p w14:paraId="1153F92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6.1临床反馈辅助</w:t>
            </w:r>
          </w:p>
          <w:p w14:paraId="75E885F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部门或医生可以通过日期、病例类型（正常病例、不稳定或歧义组、高倍病例、低倍病例）、反馈状态（已反馈、待反馈、审核通过、审核失败）、盈亏状态（盈利、亏损）等条件组合查询</w:t>
            </w:r>
            <w:r>
              <w:rPr>
                <w:rFonts w:hint="eastAsia" w:ascii="宋体" w:hAnsi="宋体" w:cs="宋体"/>
                <w:lang w:val="en-US" w:eastAsia="zh-CN"/>
              </w:rPr>
              <w:t>；</w:t>
            </w:r>
          </w:p>
          <w:p w14:paraId="4C7EDBD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可以通过电子流程进行反馈。</w:t>
            </w:r>
          </w:p>
          <w:p w14:paraId="50066C5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6.2反馈预分组</w:t>
            </w:r>
          </w:p>
          <w:p w14:paraId="751EAD1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（1）</w:t>
            </w:r>
            <w:r>
              <w:rPr>
                <w:rFonts w:hint="eastAsia" w:ascii="宋体" w:hAnsi="宋体" w:eastAsia="宋体" w:cs="宋体"/>
                <w:lang w:val="en-US" w:eastAsia="zh-CN"/>
              </w:rPr>
              <w:t>提供调整主诊断、调整主手术、增加主诊断、增加主手术、期望分组、分组反馈意见的填报汇总功能；</w:t>
            </w:r>
          </w:p>
          <w:p w14:paraId="65BE58E4">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提供调整后分组参考，包括分组编码、分组名称、权重、差异系数、DRG价值、预计结余、病例类型、主诊断、主手术、一般并发症、严重并发症同原分组情况的对比。</w:t>
            </w:r>
          </w:p>
          <w:p w14:paraId="6027233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6.3预估反馈审核</w:t>
            </w:r>
          </w:p>
          <w:p w14:paraId="253A68E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（1）需提供调整主诊断、调整主手术、增加主诊断、增加主手术、期望分组、分组反馈意见的查阅、审核功能；</w:t>
            </w:r>
          </w:p>
          <w:p w14:paraId="26C5ABE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（2）需提供调整后分组参考，包括分组编码、分组名称、权重、差异系数、DRG价值、预计结余、病例类型、主诊断、主手术、一般并发症、严重并发症同原分组情况的对比</w:t>
            </w:r>
            <w:r>
              <w:rPr>
                <w:rFonts w:hint="eastAsia" w:ascii="宋体" w:hAnsi="宋体" w:cs="宋体"/>
                <w:lang w:val="en-US" w:eastAsia="zh-CN"/>
              </w:rPr>
              <w:t>；</w:t>
            </w:r>
          </w:p>
          <w:p w14:paraId="531A3B0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（3）需提供病案反馈操作记录查询，包含操作类型、操作时间、操作者、调整主诊断、调整主手术、期望分组和备注信息等内容</w:t>
            </w:r>
            <w:r>
              <w:rPr>
                <w:rFonts w:hint="eastAsia" w:ascii="宋体" w:hAnsi="宋体" w:cs="宋体"/>
                <w:lang w:val="en-US" w:eastAsia="zh-CN"/>
              </w:rPr>
              <w:t>；</w:t>
            </w:r>
          </w:p>
          <w:p w14:paraId="3208FC9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（4）需提供修改反馈信息、退回反馈功能</w:t>
            </w:r>
          </w:p>
          <w:p w14:paraId="2CB827C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cs="宋体"/>
                <w:lang w:val="en-US" w:eastAsia="zh-CN"/>
              </w:rPr>
              <w:t>.</w:t>
            </w:r>
            <w:r>
              <w:rPr>
                <w:rFonts w:hint="eastAsia" w:ascii="宋体" w:hAnsi="宋体" w:eastAsia="宋体" w:cs="宋体"/>
                <w:lang w:val="en-US" w:eastAsia="zh-CN"/>
              </w:rPr>
              <w:t>分组预估病例费用构成分析功能</w:t>
            </w:r>
          </w:p>
          <w:p w14:paraId="42758D8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从DRG分组、医保类型、病例类型等维度对全院DRG分组预估病例费用构成进行挖掘分析，</w:t>
            </w:r>
            <w:r>
              <w:rPr>
                <w:rFonts w:hint="eastAsia" w:ascii="宋体" w:hAnsi="宋体" w:cs="宋体"/>
                <w:lang w:val="en-US" w:eastAsia="zh-CN"/>
              </w:rPr>
              <w:t>应包含以下功能</w:t>
            </w:r>
            <w:r>
              <w:rPr>
                <w:rFonts w:hint="eastAsia" w:ascii="宋体" w:hAnsi="宋体" w:eastAsia="宋体" w:cs="宋体"/>
                <w:lang w:val="en-US" w:eastAsia="zh-CN"/>
              </w:rPr>
              <w:t>：</w:t>
            </w:r>
          </w:p>
          <w:p w14:paraId="2F036C3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7.1分月份分析全院/各科室所有病例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r>
              <w:rPr>
                <w:rFonts w:hint="eastAsia" w:ascii="宋体" w:hAnsi="宋体" w:cs="宋体"/>
                <w:b/>
                <w:bCs/>
                <w:lang w:val="en-US" w:eastAsia="zh-CN"/>
              </w:rPr>
              <w:t>（投标时必须在投标文件中提供详细、清晰、直观体现以下各功能参数的有效系统功能截图并加盖投标人公章）。</w:t>
            </w:r>
          </w:p>
          <w:p w14:paraId="2FA0075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7.2分月份分析全院/各科室各医保类型分组预估病例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r>
              <w:rPr>
                <w:rFonts w:hint="eastAsia" w:ascii="宋体" w:hAnsi="宋体" w:cs="宋体"/>
                <w:lang w:val="en-US" w:eastAsia="zh-CN"/>
              </w:rPr>
              <w:t>。</w:t>
            </w:r>
          </w:p>
          <w:p w14:paraId="3CDB13D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7.3分月份分析全院/各科室各DRG病组分组预估病例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r>
              <w:rPr>
                <w:rFonts w:hint="eastAsia" w:ascii="宋体" w:hAnsi="宋体" w:cs="宋体"/>
                <w:lang w:val="en-US" w:eastAsia="zh-CN"/>
              </w:rPr>
              <w:t>。</w:t>
            </w:r>
          </w:p>
          <w:p w14:paraId="382EAD7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7.4分月份分析全院/各科室各类分组预估病例（高倍率病例、低倍率病例、正常病例以及不稳定或歧义病组）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p>
          <w:p w14:paraId="102DF9C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7.5各维度费用分析需能自全院级别层层下钻至对科室费用、医生费用以及具体病案费用的分析。</w:t>
            </w:r>
          </w:p>
          <w:p w14:paraId="4E1B2F1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w:t>
            </w:r>
            <w:r>
              <w:rPr>
                <w:rFonts w:hint="eastAsia" w:ascii="宋体" w:hAnsi="宋体" w:cs="宋体"/>
                <w:lang w:val="en-US" w:eastAsia="zh-CN"/>
              </w:rPr>
              <w:t>.</w:t>
            </w:r>
            <w:r>
              <w:rPr>
                <w:rFonts w:hint="eastAsia" w:ascii="宋体" w:hAnsi="宋体" w:eastAsia="宋体" w:cs="宋体"/>
                <w:lang w:val="en-US" w:eastAsia="zh-CN"/>
              </w:rPr>
              <w:t>确认分组病例费用构成分析功能</w:t>
            </w:r>
          </w:p>
          <w:p w14:paraId="7A96E8C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从DRG分组、医保类型、病例类型等维度对全院DRG确认分组病例费用构成进行挖掘分析，</w:t>
            </w:r>
            <w:r>
              <w:rPr>
                <w:rFonts w:hint="eastAsia" w:ascii="宋体" w:hAnsi="宋体" w:cs="宋体"/>
                <w:lang w:val="en-US" w:eastAsia="zh-CN"/>
              </w:rPr>
              <w:t>应包含以下功能</w:t>
            </w:r>
            <w:r>
              <w:rPr>
                <w:rFonts w:hint="eastAsia" w:ascii="宋体" w:hAnsi="宋体" w:eastAsia="宋体" w:cs="宋体"/>
                <w:lang w:val="en-US" w:eastAsia="zh-CN"/>
              </w:rPr>
              <w:t>：</w:t>
            </w:r>
          </w:p>
          <w:p w14:paraId="192EECB9">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8.1分月份分析全院/各科室所有确认分组病例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r>
              <w:rPr>
                <w:rFonts w:hint="eastAsia" w:ascii="宋体" w:hAnsi="宋体" w:cs="宋体"/>
                <w:lang w:val="en-US" w:eastAsia="zh-CN"/>
              </w:rPr>
              <w:t>。</w:t>
            </w:r>
          </w:p>
          <w:p w14:paraId="746445E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8.2分月份分析全院/各科室各医保类型确认分组病例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r>
              <w:rPr>
                <w:rFonts w:hint="eastAsia" w:ascii="宋体" w:hAnsi="宋体" w:cs="宋体"/>
                <w:lang w:val="en-US" w:eastAsia="zh-CN"/>
              </w:rPr>
              <w:t>。</w:t>
            </w:r>
          </w:p>
          <w:p w14:paraId="2125511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8.3分月份分析全院/各科室各DRG病组确认分组病例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r>
              <w:rPr>
                <w:rFonts w:hint="eastAsia"/>
                <w:lang w:eastAsia="zh-CN"/>
              </w:rPr>
              <w:t>。</w:t>
            </w:r>
          </w:p>
          <w:p w14:paraId="65DA2B1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8.4分月份分析全院/各科室各类确认分组病例（高倍率病例、低倍率病例、正常病例以及不稳定或歧义病组）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p>
          <w:p w14:paraId="0266FF2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8.5各维度费用分析需能自全院级别层层下钻至对科室费用、医生费用以及具体病案费用的分析。</w:t>
            </w:r>
          </w:p>
          <w:p w14:paraId="66EC7E0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w:t>
            </w:r>
            <w:r>
              <w:rPr>
                <w:rFonts w:hint="eastAsia" w:ascii="宋体" w:hAnsi="宋体" w:cs="宋体"/>
                <w:lang w:val="en-US" w:eastAsia="zh-CN"/>
              </w:rPr>
              <w:t>.</w:t>
            </w:r>
            <w:r>
              <w:rPr>
                <w:rFonts w:hint="eastAsia" w:ascii="宋体" w:hAnsi="宋体" w:eastAsia="宋体" w:cs="宋体"/>
                <w:lang w:val="en-US" w:eastAsia="zh-CN"/>
              </w:rPr>
              <w:t>追加拨付病例费用构成分析功能</w:t>
            </w:r>
          </w:p>
          <w:p w14:paraId="4746DEE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从DRG分组、医保类型、病例类型等维度对全院DRG追加拨付病例费用构成进行挖掘分析，</w:t>
            </w:r>
            <w:r>
              <w:rPr>
                <w:rFonts w:hint="eastAsia" w:ascii="宋体" w:hAnsi="宋体" w:cs="宋体"/>
                <w:lang w:val="en-US" w:eastAsia="zh-CN"/>
              </w:rPr>
              <w:t>应包含以下功能</w:t>
            </w:r>
            <w:r>
              <w:rPr>
                <w:rFonts w:hint="eastAsia" w:ascii="宋体" w:hAnsi="宋体" w:eastAsia="宋体" w:cs="宋体"/>
                <w:lang w:val="en-US" w:eastAsia="zh-CN"/>
              </w:rPr>
              <w:t>：</w:t>
            </w:r>
          </w:p>
          <w:p w14:paraId="122BBFC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9.1分月份分析全院/各科室所有确认分组病例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r>
              <w:rPr>
                <w:rFonts w:hint="eastAsia" w:ascii="宋体" w:hAnsi="宋体" w:cs="宋体"/>
                <w:lang w:val="en-US" w:eastAsia="zh-CN"/>
              </w:rPr>
              <w:t>。</w:t>
            </w:r>
          </w:p>
          <w:p w14:paraId="021806B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9.2分月份分析全院/各科室各医保类型追加拨付病例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r>
              <w:rPr>
                <w:rFonts w:hint="eastAsia" w:ascii="宋体" w:hAnsi="宋体" w:cs="宋体"/>
                <w:lang w:val="en-US" w:eastAsia="zh-CN"/>
              </w:rPr>
              <w:t>。</w:t>
            </w:r>
          </w:p>
          <w:p w14:paraId="2857564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9.3分月份分析全院/各科室各DRG病组追加拨付病例的总点数、病例价值、医疗总费用、总结余、结余率、住院人数、次均费用、次均结余、平均住院日、DRG组数、CMI、TEI、CEI、药占比、材料占比、服务占比、检查检验占比等关键指标，与历史某月份的同类病例进行对比，计算并展示各类费用的用量及排序</w:t>
            </w:r>
            <w:r>
              <w:rPr>
                <w:rFonts w:hint="eastAsia" w:ascii="宋体" w:hAnsi="宋体" w:cs="宋体"/>
                <w:lang w:val="en-US" w:eastAsia="zh-CN"/>
              </w:rPr>
              <w:t>。</w:t>
            </w:r>
          </w:p>
          <w:p w14:paraId="7F88745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9.4各维度费用分析需能自全院级别层层下钻至对科室费用、医生费用以及具体病案费用的分析。</w:t>
            </w:r>
          </w:p>
          <w:p w14:paraId="075C687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w:t>
            </w:r>
            <w:r>
              <w:rPr>
                <w:rFonts w:hint="eastAsia" w:ascii="宋体" w:hAnsi="宋体" w:cs="宋体"/>
                <w:lang w:val="en-US" w:eastAsia="zh-CN"/>
              </w:rPr>
              <w:t>.</w:t>
            </w:r>
            <w:r>
              <w:rPr>
                <w:rFonts w:hint="eastAsia" w:ascii="宋体" w:hAnsi="宋体" w:eastAsia="宋体" w:cs="宋体"/>
                <w:lang w:val="en-US" w:eastAsia="zh-CN"/>
              </w:rPr>
              <w:t>DRG知识库</w:t>
            </w:r>
          </w:p>
          <w:p w14:paraId="0E24EC9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10.1并发症编码查询</w:t>
            </w:r>
          </w:p>
          <w:p w14:paraId="21F8B42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可通过编码、名称或表编号查询并发症或合并症表，查询结果包括疾病编码、疾病名称以及对应的排除表编号</w:t>
            </w:r>
            <w:r>
              <w:rPr>
                <w:rFonts w:hint="eastAsia" w:ascii="宋体" w:hAnsi="宋体" w:cs="宋体"/>
                <w:lang w:val="en-US" w:eastAsia="zh-CN"/>
              </w:rPr>
              <w:t>。</w:t>
            </w:r>
          </w:p>
          <w:p w14:paraId="6BDE7BB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10.2严重并发症编码查询</w:t>
            </w:r>
          </w:p>
          <w:p w14:paraId="1A8F629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可通过编码、名称或表编号查询严重并发症或合并症表，查询结果包括疾病编码、疾病名称以及对应的排除表编号；</w:t>
            </w:r>
          </w:p>
          <w:p w14:paraId="42465B1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10.3并发症排除表查询</w:t>
            </w:r>
          </w:p>
          <w:p w14:paraId="77639D6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可通过编码、名称或表编号查询并发症或合并症排除表，查询结果包括疾病编码、疾病名称以及对应的排除表编号</w:t>
            </w:r>
            <w:r>
              <w:rPr>
                <w:rFonts w:hint="eastAsia" w:ascii="宋体" w:hAnsi="宋体" w:cs="宋体"/>
                <w:lang w:val="en-US" w:eastAsia="zh-CN"/>
              </w:rPr>
              <w:t>。</w:t>
            </w:r>
          </w:p>
          <w:p w14:paraId="37AEF30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10.4国临码与医保码对照查询</w:t>
            </w:r>
          </w:p>
          <w:p w14:paraId="149B16F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可通过编码或名称查询某诊断的国临码和医保码对应转换关系。</w:t>
            </w:r>
          </w:p>
          <w:p w14:paraId="08C11E7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w:t>
            </w:r>
            <w:r>
              <w:rPr>
                <w:rFonts w:hint="eastAsia" w:ascii="宋体" w:hAnsi="宋体" w:eastAsia="宋体" w:cs="宋体"/>
                <w:lang w:val="en-US" w:eastAsia="zh-CN"/>
              </w:rPr>
              <w:t>DRG分组查询功能</w:t>
            </w:r>
          </w:p>
          <w:p w14:paraId="759DBC1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bCs/>
                <w:lang w:val="en-US" w:eastAsia="zh-CN"/>
              </w:rPr>
            </w:pPr>
            <w:r>
              <w:rPr>
                <w:rFonts w:hint="eastAsia" w:ascii="宋体" w:hAnsi="宋体" w:eastAsia="宋体" w:cs="宋体"/>
                <w:b/>
                <w:bCs/>
                <w:lang w:val="en-US" w:eastAsia="zh-CN"/>
              </w:rPr>
              <w:t>▲11.1可输入主诊断、其他诊断、主手术、其他手术、是否新生儿、新生儿年龄、新生儿体重查询DRG分组</w:t>
            </w:r>
            <w:r>
              <w:rPr>
                <w:rFonts w:hint="eastAsia" w:ascii="宋体" w:hAnsi="宋体" w:cs="宋体"/>
                <w:b/>
                <w:bCs/>
                <w:lang w:val="en-US" w:eastAsia="zh-CN"/>
              </w:rPr>
              <w:t>（投标时必须在投标文件中提供详细、清晰、直观体现以下各功能参数的有效系统功能截图并加盖投标人公章）</w:t>
            </w:r>
            <w:r>
              <w:rPr>
                <w:rFonts w:hint="eastAsia"/>
                <w:b/>
                <w:bCs/>
                <w:lang w:eastAsia="zh-CN"/>
              </w:rPr>
              <w:t>。</w:t>
            </w:r>
          </w:p>
          <w:p w14:paraId="0736235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11.2分组结果包含分组编码、分组名称、权重、主诊断、主手术（如有）、并发症（如有）以及参考历史DRG分组信息。</w:t>
            </w:r>
          </w:p>
          <w:p w14:paraId="6929E92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（三）</w:t>
            </w:r>
            <w:r>
              <w:rPr>
                <w:rFonts w:hint="eastAsia" w:ascii="宋体" w:hAnsi="宋体" w:eastAsia="宋体" w:cs="宋体"/>
                <w:lang w:val="en-US" w:eastAsia="zh-CN"/>
              </w:rPr>
              <w:t>系统基础功能</w:t>
            </w:r>
          </w:p>
          <w:p w14:paraId="0172AF9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w:t>
            </w:r>
            <w:r>
              <w:rPr>
                <w:rFonts w:hint="eastAsia" w:ascii="宋体" w:hAnsi="宋体" w:eastAsia="宋体" w:cs="宋体"/>
                <w:lang w:val="en-US" w:eastAsia="zh-CN"/>
              </w:rPr>
              <w:t>用户管理</w:t>
            </w:r>
          </w:p>
          <w:p w14:paraId="149429B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系统用户资料管理。</w:t>
            </w:r>
          </w:p>
          <w:p w14:paraId="1CCCB51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w:t>
            </w:r>
            <w:r>
              <w:rPr>
                <w:rFonts w:hint="eastAsia" w:ascii="宋体" w:hAnsi="宋体" w:eastAsia="宋体" w:cs="宋体"/>
                <w:lang w:val="en-US" w:eastAsia="zh-CN"/>
              </w:rPr>
              <w:t>权限管理</w:t>
            </w:r>
          </w:p>
          <w:p w14:paraId="074D040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系统各级用户权限自定义管理。</w:t>
            </w:r>
          </w:p>
          <w:p w14:paraId="7D87DD1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w:t>
            </w:r>
            <w:r>
              <w:rPr>
                <w:rFonts w:hint="eastAsia" w:ascii="宋体" w:hAnsi="宋体" w:eastAsia="宋体" w:cs="宋体"/>
                <w:lang w:val="en-US" w:eastAsia="zh-CN"/>
              </w:rPr>
              <w:t>菜单管理</w:t>
            </w:r>
          </w:p>
          <w:p w14:paraId="1922658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系统菜单自定义管理。</w:t>
            </w:r>
          </w:p>
          <w:p w14:paraId="6E516EC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cs="宋体"/>
                <w:lang w:val="en-US" w:eastAsia="zh-CN"/>
              </w:rPr>
              <w:t>.</w:t>
            </w:r>
            <w:r>
              <w:rPr>
                <w:rFonts w:hint="eastAsia" w:ascii="宋体" w:hAnsi="宋体" w:eastAsia="宋体" w:cs="宋体"/>
                <w:lang w:val="en-US" w:eastAsia="zh-CN"/>
              </w:rPr>
              <w:t>系统首页</w:t>
            </w:r>
          </w:p>
          <w:p w14:paraId="3C9DDE2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可在系统首页展示各系统模块分析结果。</w:t>
            </w:r>
          </w:p>
          <w:p w14:paraId="2AAA207F">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w:t>
            </w:r>
            <w:r>
              <w:rPr>
                <w:rFonts w:hint="eastAsia" w:ascii="宋体" w:hAnsi="宋体" w:cs="宋体"/>
                <w:lang w:val="en-US" w:eastAsia="zh-CN"/>
              </w:rPr>
              <w:t>.</w:t>
            </w:r>
            <w:r>
              <w:rPr>
                <w:rFonts w:hint="eastAsia" w:ascii="宋体" w:hAnsi="宋体" w:eastAsia="宋体" w:cs="宋体"/>
                <w:lang w:val="en-US" w:eastAsia="zh-CN"/>
              </w:rPr>
              <w:t>医保病案信息管理</w:t>
            </w:r>
          </w:p>
          <w:p w14:paraId="6DA3506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对医保结算病案数据的管理、展示，</w:t>
            </w:r>
            <w:r>
              <w:rPr>
                <w:rFonts w:hint="eastAsia" w:ascii="宋体" w:hAnsi="宋体" w:cs="宋体"/>
                <w:lang w:val="en-US" w:eastAsia="zh-CN"/>
              </w:rPr>
              <w:t>应包含以下功能</w:t>
            </w:r>
            <w:r>
              <w:rPr>
                <w:rFonts w:hint="eastAsia" w:ascii="宋体" w:hAnsi="宋体" w:eastAsia="宋体" w:cs="宋体"/>
                <w:lang w:val="en-US" w:eastAsia="zh-CN"/>
              </w:rPr>
              <w:t>：</w:t>
            </w:r>
          </w:p>
          <w:p w14:paraId="0B13013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5.1病案信息列表</w:t>
            </w:r>
          </w:p>
          <w:p w14:paraId="299B575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通过列表的方式展示系统获取的所有病案的病案号、病患姓名、病患性别、病患年龄、医疗类别、入院科室、出院科室、入院日期、出院日期、住院天数、入院诊断、出院诊断</w:t>
            </w:r>
            <w:r>
              <w:rPr>
                <w:rFonts w:hint="eastAsia" w:ascii="宋体" w:hAnsi="宋体" w:cs="宋体"/>
                <w:b w:val="0"/>
                <w:bCs w:val="0"/>
                <w:lang w:val="en-US" w:eastAsia="zh-CN"/>
              </w:rPr>
              <w:t>。</w:t>
            </w:r>
          </w:p>
          <w:p w14:paraId="05B992CA">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5.2病案基本信息</w:t>
            </w:r>
          </w:p>
          <w:p w14:paraId="0C237C5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可以根据病案号、出院科室、主诊医生、医疗类别、住院号、病患姓名、病患性别、入院/出院/结算时间搜索相应病案</w:t>
            </w:r>
            <w:r>
              <w:rPr>
                <w:rFonts w:hint="eastAsia" w:ascii="宋体" w:hAnsi="宋体" w:cs="宋体"/>
                <w:lang w:val="en-US" w:eastAsia="zh-CN"/>
              </w:rPr>
              <w:t>。</w:t>
            </w:r>
          </w:p>
          <w:p w14:paraId="5D92B7B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5.3收费清单管理</w:t>
            </w:r>
          </w:p>
          <w:p w14:paraId="7CB02BD0">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展示该病案所有收费清单</w:t>
            </w:r>
            <w:r>
              <w:rPr>
                <w:rFonts w:hint="eastAsia" w:ascii="宋体" w:hAnsi="宋体" w:cs="宋体"/>
                <w:lang w:val="en-US" w:eastAsia="zh-CN"/>
              </w:rPr>
              <w:t>。</w:t>
            </w:r>
          </w:p>
          <w:p w14:paraId="624FC32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5.4病案违规审核报告</w:t>
            </w:r>
          </w:p>
          <w:p w14:paraId="2C33192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b w:val="0"/>
                <w:bCs w:val="0"/>
                <w:lang w:val="en-US" w:eastAsia="zh-CN"/>
              </w:rPr>
            </w:pPr>
            <w:r>
              <w:rPr>
                <w:rFonts w:hint="eastAsia" w:ascii="宋体" w:hAnsi="宋体" w:eastAsia="宋体" w:cs="宋体"/>
                <w:b w:val="0"/>
                <w:bCs w:val="0"/>
                <w:lang w:val="en-US" w:eastAsia="zh-CN"/>
              </w:rPr>
              <w:t>展示该病案所有违规类别以及所关联的收费项目清单。</w:t>
            </w:r>
          </w:p>
          <w:p w14:paraId="4657D1B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5.5 DRG分组组合预分析</w:t>
            </w:r>
          </w:p>
          <w:p w14:paraId="0744620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展示该病案DRG结算预分组分析及费用预测结果</w:t>
            </w:r>
            <w:r>
              <w:rPr>
                <w:rFonts w:hint="eastAsia" w:ascii="宋体" w:hAnsi="宋体" w:cs="宋体"/>
                <w:lang w:val="en-US" w:eastAsia="zh-CN"/>
              </w:rPr>
              <w:t>。</w:t>
            </w:r>
          </w:p>
          <w:p w14:paraId="02B88533">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5.6病案费用分析</w:t>
            </w:r>
          </w:p>
          <w:p w14:paraId="6688CE36">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展示该病案DRG费用组成及各类费用排序。</w:t>
            </w:r>
          </w:p>
          <w:p w14:paraId="1D070745">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（四）</w:t>
            </w:r>
            <w:r>
              <w:rPr>
                <w:rFonts w:hint="eastAsia" w:ascii="宋体" w:hAnsi="宋体" w:eastAsia="宋体" w:cs="宋体"/>
                <w:lang w:val="en-US" w:eastAsia="zh-CN"/>
              </w:rPr>
              <w:t>数据接口</w:t>
            </w:r>
          </w:p>
          <w:p w14:paraId="5C65E3AD">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w:t>
            </w:r>
            <w:r>
              <w:rPr>
                <w:rFonts w:hint="eastAsia" w:ascii="宋体" w:hAnsi="宋体" w:eastAsia="宋体" w:cs="宋体"/>
                <w:lang w:val="en-US" w:eastAsia="zh-CN"/>
              </w:rPr>
              <w:t>结算历史数据接口</w:t>
            </w:r>
          </w:p>
          <w:p w14:paraId="2DCDD95B">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同HIS系统建立的数据接口，可根据入院时间、出院时间、病案号、科室、医生、病种等筛选数据批量获取HIS结算历史数据，用于归档病案审核（时效性以数据接口为准）。</w:t>
            </w:r>
          </w:p>
          <w:p w14:paraId="37FB23AC">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lang w:val="en-US" w:eastAsia="zh-CN"/>
              </w:rPr>
              <w:t>.</w:t>
            </w:r>
            <w:r>
              <w:rPr>
                <w:rFonts w:hint="eastAsia" w:ascii="宋体" w:hAnsi="宋体" w:eastAsia="宋体" w:cs="宋体"/>
                <w:lang w:val="en-US" w:eastAsia="zh-CN"/>
              </w:rPr>
              <w:t>结算定时数据接口</w:t>
            </w:r>
          </w:p>
          <w:p w14:paraId="593353B1">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同HIS系统建立的数据接口，可定时调取在院、归档病案数据，用于在院病例定时审核（时效性以数据接口为准）。</w:t>
            </w:r>
          </w:p>
          <w:p w14:paraId="70B05707">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3.</w:t>
            </w:r>
            <w:r>
              <w:rPr>
                <w:rFonts w:hint="eastAsia" w:ascii="宋体" w:hAnsi="宋体" w:eastAsia="宋体" w:cs="宋体"/>
                <w:lang w:val="en-US" w:eastAsia="zh-CN"/>
              </w:rPr>
              <w:t>结算实时数据接口</w:t>
            </w:r>
          </w:p>
          <w:p w14:paraId="479214C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同HIS系统建立的数据接口，可实时调取医嘱数据、待结算病案数据（时效性以数据接口为准）。</w:t>
            </w:r>
          </w:p>
          <w:p w14:paraId="3BED0E0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lang w:val="en-US" w:eastAsia="zh-CN"/>
              </w:rPr>
              <w:t>DRG结算历史数据接口</w:t>
            </w:r>
          </w:p>
          <w:p w14:paraId="1DDCBADE">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同HIS系统建立的数据接口，可根据入院时间、出院时间、病案号、科室、医生、病种等筛选数据批量获取HIS结算历史数据，用于DRG费用构成分析（时效性以数据接口为准）。</w:t>
            </w:r>
          </w:p>
          <w:p w14:paraId="60DF285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5.</w:t>
            </w:r>
            <w:r>
              <w:rPr>
                <w:rFonts w:hint="eastAsia" w:ascii="宋体" w:hAnsi="宋体" w:eastAsia="宋体" w:cs="宋体"/>
                <w:lang w:val="en-US" w:eastAsia="zh-CN"/>
              </w:rPr>
              <w:t>DRG结算定时数据接口</w:t>
            </w:r>
          </w:p>
          <w:p w14:paraId="274B0AE2">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eastAsia="宋体" w:cs="宋体"/>
                <w:lang w:val="en-US" w:eastAsia="zh-CN"/>
              </w:rPr>
              <w:t>同HIS系统建立的数据接口，可定时调取在院、归档病案数据，用于DRG费用构成分析（时效性以数据接口为准）。</w:t>
            </w:r>
          </w:p>
          <w:p w14:paraId="63CDC1D8">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lang w:val="en-US" w:eastAsia="zh-CN"/>
              </w:rPr>
            </w:pPr>
            <w:r>
              <w:rPr>
                <w:rFonts w:hint="eastAsia" w:ascii="宋体" w:hAnsi="宋体" w:cs="宋体"/>
                <w:lang w:val="en-US" w:eastAsia="zh-CN"/>
              </w:rPr>
              <w:t>6.</w:t>
            </w:r>
            <w:r>
              <w:rPr>
                <w:rFonts w:hint="eastAsia" w:ascii="宋体" w:hAnsi="宋体" w:eastAsia="宋体" w:cs="宋体"/>
                <w:lang w:val="en-US" w:eastAsia="zh-CN"/>
              </w:rPr>
              <w:t>DRG结算实时数据接口</w:t>
            </w:r>
          </w:p>
          <w:p w14:paraId="4108CCE5">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ascii="宋体" w:hAnsi="宋体" w:eastAsia="宋体" w:cs="宋体"/>
                <w:lang w:val="en-US" w:eastAsia="zh-CN"/>
              </w:rPr>
              <w:t>同HIS系统建立的数据接口，可实时调取医嘱数据、待结算病案数据，用于DRG费用构成分析、DRG分组器、DRG结算预评估以及在院病例实时费用构成分析（时效性以数据接口为准）。</w:t>
            </w:r>
          </w:p>
        </w:tc>
      </w:tr>
      <w:tr w14:paraId="0120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79" w:type="dxa"/>
            <w:gridSpan w:val="6"/>
            <w:tcBorders>
              <w:top w:val="single" w:color="auto" w:sz="4" w:space="0"/>
              <w:left w:val="single" w:color="auto" w:sz="4" w:space="0"/>
              <w:bottom w:val="single" w:color="auto" w:sz="4" w:space="0"/>
              <w:right w:val="single" w:color="auto" w:sz="4" w:space="0"/>
            </w:tcBorders>
            <w:noWrap w:val="0"/>
            <w:vAlign w:val="center"/>
          </w:tcPr>
          <w:p w14:paraId="07C9A65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w:t>
            </w:r>
          </w:p>
        </w:tc>
      </w:tr>
      <w:tr w14:paraId="04E9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0F1000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▲投标报价要求</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386346D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投标报价指完成本分标的所有费用，包括拟投入本项目产品采购、运输、劳务、管理、利润、税金、保险、协调、安装、调试、培训、验收、集成、售后服务、后续升级服务以及所有的不定因素的风险等所有成本费用的总和。</w:t>
            </w:r>
          </w:p>
          <w:p w14:paraId="3C1A330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355B88C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投标人自行考虑完成项目所需的辅材、杂配件等数量，投标报价中应包含全部内容，中标后采购人不再另行支付额外费用；投标人根据项目所需自行配备的所有辅助材料必须符合国家有关规定的合格产品。</w:t>
            </w:r>
          </w:p>
          <w:p w14:paraId="494DF94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投标人的</w:t>
            </w:r>
            <w:r>
              <w:rPr>
                <w:rFonts w:hint="eastAsia" w:ascii="宋体" w:hAnsi="宋体" w:cs="宋体"/>
                <w:b/>
                <w:bCs/>
                <w:color w:val="auto"/>
                <w:sz w:val="21"/>
                <w:szCs w:val="21"/>
                <w:highlight w:val="none"/>
                <w:lang w:eastAsia="zh-CN"/>
              </w:rPr>
              <w:t>本分标</w:t>
            </w:r>
            <w:r>
              <w:rPr>
                <w:rFonts w:hint="eastAsia" w:ascii="宋体" w:hAnsi="宋体" w:eastAsia="宋体" w:cs="宋体"/>
                <w:b/>
                <w:bCs/>
                <w:color w:val="auto"/>
                <w:sz w:val="21"/>
                <w:szCs w:val="21"/>
                <w:highlight w:val="none"/>
              </w:rPr>
              <w:t>投标总报价≤</w:t>
            </w:r>
            <w:r>
              <w:rPr>
                <w:rFonts w:hint="eastAsia" w:ascii="宋体" w:hAnsi="宋体" w:cs="宋体"/>
                <w:b/>
                <w:bCs/>
                <w:color w:val="auto"/>
                <w:sz w:val="21"/>
                <w:szCs w:val="21"/>
                <w:highlight w:val="none"/>
                <w:lang w:eastAsia="zh-CN"/>
              </w:rPr>
              <w:t>本分标</w:t>
            </w:r>
            <w:r>
              <w:rPr>
                <w:rFonts w:hint="eastAsia" w:ascii="宋体" w:hAnsi="宋体" w:eastAsia="宋体" w:cs="宋体"/>
                <w:b/>
                <w:bCs/>
                <w:color w:val="auto"/>
                <w:sz w:val="21"/>
                <w:szCs w:val="21"/>
                <w:highlight w:val="none"/>
              </w:rPr>
              <w:t>采购预算。</w:t>
            </w:r>
          </w:p>
        </w:tc>
      </w:tr>
      <w:tr w14:paraId="4E3E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4128EF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rPr>
              <w:t>▲质保期</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062FC4BF">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1.</w:t>
            </w:r>
            <w:r>
              <w:rPr>
                <w:rFonts w:hint="eastAsia" w:ascii="宋体" w:hAnsi="宋体" w:eastAsia="宋体" w:cs="宋体"/>
                <w:b/>
                <w:bCs/>
                <w:color w:val="000000"/>
                <w:sz w:val="21"/>
                <w:szCs w:val="21"/>
                <w:highlight w:val="none"/>
                <w:lang w:eastAsia="zh-CN"/>
              </w:rPr>
              <w:t>整体</w:t>
            </w:r>
            <w:r>
              <w:rPr>
                <w:rFonts w:hint="eastAsia" w:ascii="宋体" w:hAnsi="宋体" w:eastAsia="宋体" w:cs="宋体"/>
                <w:b/>
                <w:bCs/>
                <w:color w:val="000000"/>
                <w:sz w:val="21"/>
                <w:szCs w:val="21"/>
                <w:highlight w:val="none"/>
              </w:rPr>
              <w:t>项目内容从验收合格之日起提供</w:t>
            </w:r>
            <w:r>
              <w:rPr>
                <w:rFonts w:hint="eastAsia" w:ascii="宋体" w:hAnsi="宋体" w:eastAsia="宋体" w:cs="宋体"/>
                <w:b/>
                <w:bCs/>
                <w:color w:val="000000"/>
                <w:sz w:val="21"/>
                <w:szCs w:val="21"/>
                <w:highlight w:val="none"/>
                <w:lang w:eastAsia="zh-CN"/>
              </w:rPr>
              <w:t>不少于</w:t>
            </w:r>
            <w:r>
              <w:rPr>
                <w:rFonts w:hint="eastAsia" w:ascii="宋体" w:hAnsi="宋体" w:eastAsia="宋体" w:cs="宋体"/>
                <w:b/>
                <w:bCs/>
                <w:color w:val="000000"/>
                <w:sz w:val="21"/>
                <w:szCs w:val="21"/>
                <w:highlight w:val="none"/>
              </w:rPr>
              <w:t>1年的免费维保服务</w:t>
            </w:r>
            <w:r>
              <w:rPr>
                <w:rFonts w:hint="eastAsia" w:ascii="宋体" w:hAnsi="宋体" w:eastAsia="宋体" w:cs="宋体"/>
                <w:b/>
                <w:bCs/>
                <w:sz w:val="21"/>
                <w:szCs w:val="21"/>
                <w:lang w:eastAsia="zh-CN"/>
              </w:rPr>
              <w:t>（“技术服务要求”中特殊要求的，按特殊要求执行）</w:t>
            </w:r>
            <w:r>
              <w:rPr>
                <w:rFonts w:hint="eastAsia" w:ascii="宋体" w:hAnsi="宋体" w:eastAsia="宋体" w:cs="宋体"/>
                <w:b/>
                <w:bCs/>
                <w:color w:val="000000"/>
                <w:sz w:val="21"/>
                <w:szCs w:val="21"/>
                <w:highlight w:val="none"/>
                <w:lang w:eastAsia="zh-CN"/>
              </w:rPr>
              <w:t>。</w:t>
            </w:r>
          </w:p>
          <w:p w14:paraId="352A5769">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2.质保期内，如发生系统运行故障，供应商需作出响应提供维护服务。</w:t>
            </w:r>
          </w:p>
          <w:p w14:paraId="2387FB1C">
            <w:pPr>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highlight w:val="none"/>
                <w:lang w:val="en-US" w:eastAsia="zh-CN"/>
              </w:rPr>
              <w:t>3</w:t>
            </w:r>
            <w:r>
              <w:rPr>
                <w:rFonts w:hint="eastAsia" w:ascii="宋体" w:hAnsi="宋体" w:eastAsia="宋体" w:cs="宋体"/>
                <w:b/>
                <w:bCs/>
                <w:color w:val="000000"/>
                <w:sz w:val="21"/>
                <w:szCs w:val="21"/>
                <w:highlight w:val="none"/>
              </w:rPr>
              <w:t>.质保期内系统出现故障，需远程解决或者派出技术工程师到达现场处理故障的，供应商承担一切费用（因人为或自然因素导致的故障除外）。</w:t>
            </w:r>
          </w:p>
        </w:tc>
      </w:tr>
      <w:tr w14:paraId="14A1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7E4D45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售后服务及其他服务要求</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58476A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default" w:ascii="宋体" w:hAnsi="宋体" w:eastAsia="宋体" w:cs="宋体"/>
                <w:b/>
                <w:bCs/>
                <w:sz w:val="21"/>
                <w:szCs w:val="21"/>
              </w:rPr>
              <w:t>1</w:t>
            </w:r>
            <w:r>
              <w:rPr>
                <w:rFonts w:hint="eastAsia" w:ascii="宋体" w:hAnsi="宋体" w:eastAsia="宋体" w:cs="宋体"/>
                <w:b/>
                <w:bCs/>
                <w:sz w:val="21"/>
                <w:szCs w:val="21"/>
              </w:rPr>
              <w:t>.技术支持：质保期内，供应商必须向采购人承诺技术支持。</w:t>
            </w:r>
          </w:p>
          <w:p w14:paraId="7FDF7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default" w:ascii="宋体" w:hAnsi="宋体" w:eastAsia="宋体" w:cs="宋体"/>
                <w:b/>
                <w:bCs/>
                <w:sz w:val="21"/>
                <w:szCs w:val="21"/>
              </w:rPr>
              <w:t>2</w:t>
            </w:r>
            <w:r>
              <w:rPr>
                <w:rFonts w:hint="eastAsia" w:ascii="宋体" w:hAnsi="宋体" w:eastAsia="宋体" w:cs="宋体"/>
                <w:b/>
                <w:bCs/>
                <w:sz w:val="21"/>
                <w:szCs w:val="21"/>
              </w:rPr>
              <w:t>.系统维护：质保期内，产品必须提供免费升级服务，保证产品可随时升级到最新版本，供应商必须在适时提供最新版本的软件和升级操作手册，升级后的系统除升级修改部分外，其它完全与旧版本兼容，并保证所有数据是连续的。</w:t>
            </w:r>
          </w:p>
          <w:p w14:paraId="5F31AB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default" w:ascii="宋体" w:hAnsi="宋体" w:eastAsia="宋体" w:cs="宋体"/>
                <w:b w:val="0"/>
                <w:bCs w:val="0"/>
                <w:sz w:val="21"/>
                <w:szCs w:val="21"/>
                <w:lang w:eastAsia="zh-CN"/>
              </w:rPr>
              <w:t>3</w:t>
            </w:r>
            <w:r>
              <w:rPr>
                <w:rFonts w:hint="eastAsia" w:ascii="宋体" w:hAnsi="宋体" w:eastAsia="宋体" w:cs="宋体"/>
                <w:b w:val="0"/>
                <w:bCs w:val="0"/>
                <w:sz w:val="21"/>
                <w:szCs w:val="21"/>
              </w:rPr>
              <w:t>.</w:t>
            </w:r>
            <w:r>
              <w:rPr>
                <w:rFonts w:hint="eastAsia" w:ascii="宋体" w:hAnsi="宋体" w:eastAsia="宋体" w:cs="宋体"/>
                <w:sz w:val="21"/>
                <w:szCs w:val="21"/>
              </w:rPr>
              <w:t>服务响应时间：质保期内，供应商在5分钟内对用户所提出的故障维修要求作出响应，重大故障须2小时内到现场解决，8小时内恢复系统正常运行。</w:t>
            </w:r>
          </w:p>
          <w:p w14:paraId="331E43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w:t>
            </w:r>
            <w:r>
              <w:rPr>
                <w:rFonts w:hint="default" w:ascii="宋体" w:hAnsi="宋体" w:eastAsia="宋体" w:cs="宋体"/>
                <w:b/>
                <w:bCs/>
                <w:sz w:val="21"/>
                <w:szCs w:val="21"/>
                <w:lang w:eastAsia="zh-CN"/>
              </w:rPr>
              <w:t>4</w:t>
            </w:r>
            <w:r>
              <w:rPr>
                <w:rFonts w:hint="eastAsia" w:ascii="宋体" w:hAnsi="宋体" w:eastAsia="宋体" w:cs="宋体"/>
                <w:b/>
                <w:bCs/>
                <w:sz w:val="21"/>
                <w:szCs w:val="21"/>
              </w:rPr>
              <w:t>.在不涉及到现有功能框架改动的情况下，质保期内供应商应该根据采购人的业务需求、政策性要求等，对项目内的软件产品进行相应的客户化修改，如上级部门要求的报表等。</w:t>
            </w:r>
          </w:p>
          <w:p w14:paraId="6E4278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default" w:ascii="宋体" w:hAnsi="宋体" w:eastAsia="宋体" w:cs="宋体"/>
                <w:sz w:val="21"/>
                <w:szCs w:val="21"/>
                <w:lang w:eastAsia="zh-CN"/>
              </w:rPr>
              <w:t>5</w:t>
            </w:r>
            <w:r>
              <w:rPr>
                <w:rFonts w:hint="eastAsia" w:ascii="宋体" w:hAnsi="宋体" w:eastAsia="宋体" w:cs="宋体"/>
                <w:sz w:val="21"/>
                <w:szCs w:val="21"/>
              </w:rPr>
              <w:t>.培训：</w:t>
            </w:r>
          </w:p>
          <w:p w14:paraId="5B810C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（1）对采购人所有相关操作人员进行</w:t>
            </w:r>
            <w:r>
              <w:rPr>
                <w:rFonts w:hint="eastAsia" w:ascii="宋体" w:hAnsi="宋体" w:eastAsia="宋体" w:cs="宋体"/>
                <w:sz w:val="21"/>
                <w:szCs w:val="21"/>
                <w:lang w:eastAsia="zh-CN"/>
              </w:rPr>
              <w:t>相关</w:t>
            </w:r>
            <w:r>
              <w:rPr>
                <w:rFonts w:hint="eastAsia" w:ascii="宋体" w:hAnsi="宋体" w:eastAsia="宋体" w:cs="宋体"/>
                <w:sz w:val="21"/>
                <w:szCs w:val="21"/>
              </w:rPr>
              <w:t>软件应用免费培训，形式、频次不限，直至所有操作人员均可熟练操作；</w:t>
            </w:r>
          </w:p>
          <w:p w14:paraId="1D9481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（2）对采购人网络系统管理员进行系统相关技术培训，形式、频次不限，直至网络系统管理均可熟练操作；</w:t>
            </w:r>
          </w:p>
          <w:p w14:paraId="2CEF33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rPr>
              <w:t>（3）自进场实施开始，供应商应允许采购人的相关人员一起参与系统的安装、测试、诊断及相关问题的解释等各项工作，并接受采购人的监督。</w:t>
            </w:r>
          </w:p>
        </w:tc>
      </w:tr>
      <w:tr w14:paraId="3FC6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456892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▲交付使用期及交货地点</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126B843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交付使用期：</w:t>
            </w:r>
            <w:r>
              <w:rPr>
                <w:rFonts w:hint="eastAsia" w:ascii="宋体" w:hAnsi="宋体" w:cs="宋体"/>
                <w:b/>
                <w:bCs/>
                <w:color w:val="auto"/>
                <w:sz w:val="21"/>
                <w:szCs w:val="21"/>
                <w:highlight w:val="none"/>
                <w:lang w:eastAsia="zh-CN"/>
              </w:rPr>
              <w:t>自合同签订之日起</w:t>
            </w:r>
            <w:r>
              <w:rPr>
                <w:rFonts w:hint="eastAsia" w:ascii="宋体" w:hAnsi="宋体" w:cs="宋体"/>
                <w:b/>
                <w:bCs/>
                <w:color w:val="auto"/>
                <w:sz w:val="21"/>
                <w:szCs w:val="21"/>
                <w:highlight w:val="none"/>
                <w:lang w:val="en-US" w:eastAsia="zh-CN"/>
              </w:rPr>
              <w:t>180</w:t>
            </w:r>
            <w:r>
              <w:rPr>
                <w:rFonts w:hint="eastAsia" w:ascii="宋体" w:hAnsi="宋体" w:cs="宋体"/>
                <w:b/>
                <w:bCs/>
                <w:color w:val="auto"/>
                <w:sz w:val="21"/>
                <w:szCs w:val="21"/>
                <w:highlight w:val="none"/>
                <w:lang w:eastAsia="zh-CN"/>
              </w:rPr>
              <w:t>个日历日内安装调试完毕交付使用。</w:t>
            </w:r>
          </w:p>
          <w:p w14:paraId="2BC2CF8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交货地点：</w:t>
            </w:r>
            <w:r>
              <w:rPr>
                <w:rFonts w:hint="eastAsia" w:ascii="宋体" w:hAnsi="宋体" w:cs="宋体"/>
                <w:b/>
                <w:bCs/>
                <w:color w:val="auto"/>
                <w:sz w:val="21"/>
                <w:szCs w:val="21"/>
                <w:highlight w:val="none"/>
                <w:lang w:eastAsia="zh-CN"/>
              </w:rPr>
              <w:t>灵山县内</w:t>
            </w:r>
            <w:r>
              <w:rPr>
                <w:rFonts w:hint="eastAsia" w:ascii="宋体" w:hAnsi="宋体" w:eastAsia="宋体" w:cs="宋体"/>
                <w:b/>
                <w:bCs/>
                <w:color w:val="auto"/>
                <w:sz w:val="21"/>
                <w:szCs w:val="21"/>
                <w:highlight w:val="none"/>
              </w:rPr>
              <w:t>采购人指定地点。</w:t>
            </w:r>
          </w:p>
        </w:tc>
      </w:tr>
      <w:tr w14:paraId="3D6D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17881B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085BD36E">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eastAsia="zh-CN"/>
              </w:rPr>
              <w:t>在项目验收合格正常使用后，中标人开具有效的全额发票给采购人，采购人收到发票后自通过验收之日起12个月内支付中标金额的100%。</w:t>
            </w:r>
          </w:p>
        </w:tc>
      </w:tr>
      <w:tr w14:paraId="293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605E535C">
            <w:pPr>
              <w:pageBreakBefore w:val="0"/>
              <w:widowControl w:val="0"/>
              <w:shd w:val="clear" w:color="auto" w:fill="FFFFFF"/>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000000"/>
                <w:kern w:val="2"/>
                <w:sz w:val="21"/>
                <w:szCs w:val="21"/>
                <w:highlight w:val="none"/>
                <w:lang w:val="en-US" w:eastAsia="zh-CN" w:bidi="ar-SA"/>
              </w:rPr>
              <w:t>验收要求</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742E05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采购人对</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lang w:eastAsia="zh-CN"/>
              </w:rPr>
              <w:t>提供的系统在使用前进行测试，供应商负责安装并培训采购人的使用操作人员，并协助采购人测试，直到符合要求，采购人做最终验收</w:t>
            </w:r>
            <w:r>
              <w:rPr>
                <w:rFonts w:hint="eastAsia" w:ascii="宋体" w:hAnsi="宋体" w:cs="宋体"/>
                <w:color w:val="auto"/>
                <w:sz w:val="21"/>
                <w:szCs w:val="21"/>
                <w:highlight w:val="none"/>
                <w:lang w:val="en-US" w:eastAsia="zh-CN"/>
              </w:rPr>
              <w:t>。</w:t>
            </w:r>
          </w:p>
          <w:p w14:paraId="3B20A3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验收时采购人、</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lang w:eastAsia="zh-CN"/>
              </w:rPr>
              <w:t>等项目相关方都必须在现场（必要时邀请第三方权威机构进行验收），由采购人对照</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lang w:eastAsia="zh-CN"/>
              </w:rPr>
              <w:t>文件的功能目标及服务指标全面核对检验，验收完毕后，作出验收结果报告；如不符合</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lang w:eastAsia="zh-CN"/>
              </w:rPr>
              <w:t>文件的服务需求及要求以及提供虚假承诺的，按相关规定做不接受服务处理及违约处理，</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lang w:eastAsia="zh-CN"/>
              </w:rPr>
              <w:t>承担所有责任和费用，采购人保留进一步追究责任的权利。</w:t>
            </w:r>
          </w:p>
          <w:p w14:paraId="185455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lang w:eastAsia="zh-CN"/>
              </w:rPr>
              <w:t>需提供验收文档资料，包含但不限于：系统体系架构与描述、业务流程说明、接口程序与数据结构文档、服务器部署与维护手册、数据库管理员账户及密码、采购人操作手册、系统日常故障维护手册、系统培训文档、系统实施确认书。</w:t>
            </w:r>
          </w:p>
        </w:tc>
      </w:tr>
      <w:tr w14:paraId="6F89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30F9E32">
            <w:pPr>
              <w:pStyle w:val="149"/>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000000"/>
                <w:kern w:val="2"/>
                <w:sz w:val="21"/>
                <w:szCs w:val="21"/>
                <w:lang w:val="en-US" w:eastAsia="zh-CN" w:bidi="ar-SA"/>
              </w:rPr>
            </w:pPr>
            <w:r>
              <w:rPr>
                <w:rFonts w:hint="eastAsia" w:ascii="宋体" w:hAnsi="宋体" w:eastAsia="宋体" w:cs="宋体"/>
                <w:bCs/>
                <w:sz w:val="21"/>
                <w:szCs w:val="21"/>
              </w:rPr>
              <w:t>其他要求</w:t>
            </w:r>
          </w:p>
        </w:tc>
        <w:tc>
          <w:tcPr>
            <w:tcW w:w="8683"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7B1B1C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szCs w:val="21"/>
              </w:rPr>
            </w:pPr>
            <w:r>
              <w:rPr>
                <w:rFonts w:hint="eastAsia" w:ascii="宋体" w:hAnsi="宋体" w:eastAsia="宋体" w:cs="宋体"/>
                <w:b/>
                <w:sz w:val="21"/>
                <w:szCs w:val="21"/>
              </w:rPr>
              <w:t>▲</w:t>
            </w:r>
            <w:r>
              <w:rPr>
                <w:rFonts w:hint="default" w:ascii="宋体" w:hAnsi="宋体" w:eastAsia="宋体" w:cs="宋体"/>
                <w:b/>
                <w:sz w:val="21"/>
                <w:szCs w:val="21"/>
              </w:rPr>
              <w:t>1</w:t>
            </w:r>
            <w:r>
              <w:rPr>
                <w:rFonts w:hint="eastAsia" w:ascii="宋体" w:hAnsi="宋体" w:eastAsia="宋体" w:cs="宋体"/>
                <w:b/>
                <w:sz w:val="21"/>
                <w:szCs w:val="21"/>
              </w:rPr>
              <w:t>.知识产权保护要求：供应商应对</w:t>
            </w:r>
            <w:r>
              <w:rPr>
                <w:rFonts w:hint="eastAsia" w:ascii="宋体" w:hAnsi="宋体" w:eastAsia="宋体" w:cs="宋体"/>
                <w:b/>
                <w:sz w:val="21"/>
                <w:szCs w:val="21"/>
                <w:lang w:eastAsia="zh-CN"/>
              </w:rPr>
              <w:t>投标文件</w:t>
            </w:r>
            <w:r>
              <w:rPr>
                <w:rFonts w:hint="eastAsia" w:ascii="宋体" w:hAnsi="宋体" w:eastAsia="宋体" w:cs="宋体"/>
                <w:b/>
                <w:sz w:val="21"/>
                <w:szCs w:val="21"/>
              </w:rPr>
              <w:t>内容所涉及的专利承担责任，并负责保护业主的利益不受任何损害。一切由于文字、商标、技术和软件专利授权引起的法律裁决、诉讼和赔偿费用均由中标人负责。所使用的设备、材料须符合国家有关标准要求。</w:t>
            </w:r>
          </w:p>
          <w:p w14:paraId="6A6782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2</w:t>
            </w:r>
            <w:r>
              <w:rPr>
                <w:rFonts w:hint="eastAsia" w:ascii="宋体" w:hAnsi="宋体" w:eastAsia="宋体" w:cs="宋体"/>
                <w:b/>
                <w:sz w:val="21"/>
                <w:szCs w:val="21"/>
              </w:rPr>
              <w:t>.交付时，</w:t>
            </w:r>
            <w:r>
              <w:rPr>
                <w:rFonts w:hint="eastAsia" w:ascii="宋体" w:hAnsi="宋体" w:eastAsia="宋体" w:cs="宋体"/>
                <w:b/>
                <w:sz w:val="21"/>
                <w:szCs w:val="21"/>
                <w:lang w:eastAsia="zh-CN"/>
              </w:rPr>
              <w:t>中标产品</w:t>
            </w:r>
            <w:r>
              <w:rPr>
                <w:rFonts w:hint="eastAsia" w:ascii="宋体" w:hAnsi="宋体" w:eastAsia="宋体" w:cs="宋体"/>
                <w:b/>
                <w:sz w:val="21"/>
                <w:szCs w:val="21"/>
              </w:rPr>
              <w:t>均严格按照签订的政府采购合同、供应商响应和承诺的技术参数及性能和国家有关标准进行验收，达不到要求的不予验收，视为产品验收不合格，采购人可解除双方的供货合同。</w:t>
            </w:r>
          </w:p>
          <w:p w14:paraId="64BB9A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3</w:t>
            </w:r>
            <w:r>
              <w:rPr>
                <w:rFonts w:hint="eastAsia" w:ascii="宋体" w:hAnsi="宋体" w:eastAsia="宋体" w:cs="宋体"/>
                <w:b/>
                <w:sz w:val="21"/>
                <w:szCs w:val="21"/>
              </w:rPr>
              <w:t>供应商所使用产品，在质保期如有质量监督部门要求对产品进行检测、检验时，必须派出所使用产品生产厂家代表协助检查，无论产品有无质量问题，供应商均应承担全部费用及相应的责任。</w:t>
            </w:r>
          </w:p>
          <w:p w14:paraId="379838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4</w:t>
            </w:r>
            <w:r>
              <w:rPr>
                <w:rFonts w:hint="eastAsia" w:ascii="宋体" w:hAnsi="宋体" w:eastAsia="宋体" w:cs="宋体"/>
                <w:b/>
                <w:sz w:val="21"/>
                <w:szCs w:val="21"/>
              </w:rPr>
              <w:t>.系统在实施过程及完成后，所产生的运行数据的所有权属采购方。</w:t>
            </w:r>
            <w:r>
              <w:rPr>
                <w:rFonts w:hint="eastAsia" w:ascii="宋体" w:hAnsi="宋体" w:eastAsia="宋体" w:cs="宋体"/>
                <w:b/>
                <w:sz w:val="21"/>
                <w:szCs w:val="21"/>
                <w:lang w:eastAsia="zh-CN"/>
              </w:rPr>
              <w:t>中标人</w:t>
            </w:r>
            <w:r>
              <w:rPr>
                <w:rFonts w:hint="eastAsia" w:ascii="宋体" w:hAnsi="宋体" w:eastAsia="宋体" w:cs="宋体"/>
                <w:b/>
                <w:sz w:val="21"/>
                <w:szCs w:val="21"/>
              </w:rPr>
              <w:t>对这些运行数据有保密义务，不经采购人同意，不得使用、引用任何运行数据。</w:t>
            </w:r>
          </w:p>
          <w:p w14:paraId="68F95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5</w:t>
            </w:r>
            <w:r>
              <w:rPr>
                <w:rFonts w:hint="eastAsia" w:ascii="宋体" w:hAnsi="宋体" w:eastAsia="宋体" w:cs="宋体"/>
                <w:b/>
                <w:sz w:val="21"/>
                <w:szCs w:val="21"/>
              </w:rPr>
              <w:t>.系统的数据库所有权属采购人，系统正常运行后，</w:t>
            </w:r>
            <w:r>
              <w:rPr>
                <w:rFonts w:hint="eastAsia" w:ascii="宋体" w:hAnsi="宋体" w:eastAsia="宋体" w:cs="宋体"/>
                <w:b/>
                <w:sz w:val="21"/>
                <w:szCs w:val="21"/>
                <w:lang w:eastAsia="zh-CN"/>
              </w:rPr>
              <w:t>中标人</w:t>
            </w:r>
            <w:r>
              <w:rPr>
                <w:rFonts w:hint="eastAsia" w:ascii="宋体" w:hAnsi="宋体" w:eastAsia="宋体" w:cs="宋体"/>
                <w:b/>
                <w:sz w:val="21"/>
                <w:szCs w:val="21"/>
              </w:rPr>
              <w:t>应向采购人移交数据库管理权。</w:t>
            </w:r>
          </w:p>
          <w:p w14:paraId="76AB5D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6</w:t>
            </w:r>
            <w:r>
              <w:rPr>
                <w:rFonts w:hint="eastAsia" w:ascii="宋体" w:hAnsi="宋体" w:eastAsia="宋体" w:cs="宋体"/>
                <w:b/>
                <w:sz w:val="21"/>
                <w:szCs w:val="21"/>
              </w:rPr>
              <w:t>.采购人或经采购人允许的第三方需要提取运行数据时，</w:t>
            </w:r>
            <w:r>
              <w:rPr>
                <w:rFonts w:hint="eastAsia" w:ascii="宋体" w:hAnsi="宋体" w:eastAsia="宋体" w:cs="宋体"/>
                <w:b/>
                <w:sz w:val="21"/>
                <w:szCs w:val="21"/>
                <w:lang w:eastAsia="zh-CN"/>
              </w:rPr>
              <w:t>中标人</w:t>
            </w:r>
            <w:r>
              <w:rPr>
                <w:rFonts w:hint="eastAsia" w:ascii="宋体" w:hAnsi="宋体" w:eastAsia="宋体" w:cs="宋体"/>
                <w:b/>
                <w:sz w:val="21"/>
                <w:szCs w:val="21"/>
              </w:rPr>
              <w:t>应无条件支持、配合，向采购人提供相关技术文档，如数据库表结构说明等。如果运行数据是专有格式的文件，</w:t>
            </w:r>
            <w:r>
              <w:rPr>
                <w:rFonts w:hint="eastAsia" w:ascii="宋体" w:hAnsi="宋体" w:eastAsia="宋体" w:cs="宋体"/>
                <w:b/>
                <w:sz w:val="21"/>
                <w:szCs w:val="21"/>
                <w:lang w:eastAsia="zh-CN"/>
              </w:rPr>
              <w:t>中标人</w:t>
            </w:r>
            <w:r>
              <w:rPr>
                <w:rFonts w:hint="eastAsia" w:ascii="宋体" w:hAnsi="宋体" w:eastAsia="宋体" w:cs="宋体"/>
                <w:b/>
                <w:sz w:val="21"/>
                <w:szCs w:val="21"/>
              </w:rPr>
              <w:t>必须向采购人提供解析工具或技术，如果运行数据是加密的，</w:t>
            </w:r>
            <w:r>
              <w:rPr>
                <w:rFonts w:hint="eastAsia" w:ascii="宋体" w:hAnsi="宋体" w:eastAsia="宋体" w:cs="宋体"/>
                <w:b/>
                <w:sz w:val="21"/>
                <w:szCs w:val="21"/>
                <w:lang w:eastAsia="zh-CN"/>
              </w:rPr>
              <w:t>中标人</w:t>
            </w:r>
            <w:r>
              <w:rPr>
                <w:rFonts w:hint="eastAsia" w:ascii="宋体" w:hAnsi="宋体" w:eastAsia="宋体" w:cs="宋体"/>
                <w:b/>
                <w:sz w:val="21"/>
                <w:szCs w:val="21"/>
              </w:rPr>
              <w:t>必须向采购人提供解密工具、技术。</w:t>
            </w:r>
          </w:p>
          <w:p w14:paraId="634FE4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szCs w:val="21"/>
              </w:rPr>
            </w:pPr>
            <w:r>
              <w:rPr>
                <w:rFonts w:hint="default" w:ascii="宋体" w:hAnsi="宋体" w:eastAsia="宋体" w:cs="宋体"/>
                <w:bCs/>
                <w:sz w:val="21"/>
                <w:szCs w:val="21"/>
              </w:rPr>
              <w:t>7</w:t>
            </w:r>
            <w:r>
              <w:rPr>
                <w:rFonts w:hint="eastAsia" w:ascii="宋体" w:hAnsi="宋体" w:eastAsia="宋体" w:cs="宋体"/>
                <w:bCs/>
                <w:sz w:val="21"/>
                <w:szCs w:val="21"/>
              </w:rPr>
              <w:t>.上述第</w:t>
            </w:r>
            <w:r>
              <w:rPr>
                <w:rFonts w:hint="default" w:ascii="宋体" w:hAnsi="宋体" w:eastAsia="宋体" w:cs="宋体"/>
                <w:bCs/>
                <w:sz w:val="21"/>
                <w:szCs w:val="21"/>
              </w:rPr>
              <w:t>4</w:t>
            </w:r>
            <w:r>
              <w:rPr>
                <w:rFonts w:hint="eastAsia" w:ascii="宋体" w:hAnsi="宋体" w:eastAsia="宋体" w:cs="宋体"/>
                <w:bCs/>
                <w:sz w:val="21"/>
                <w:szCs w:val="21"/>
              </w:rPr>
              <w:t>、</w:t>
            </w:r>
            <w:r>
              <w:rPr>
                <w:rFonts w:hint="default" w:ascii="宋体" w:hAnsi="宋体" w:eastAsia="宋体" w:cs="宋体"/>
                <w:bCs/>
                <w:sz w:val="21"/>
                <w:szCs w:val="21"/>
              </w:rPr>
              <w:t>6</w:t>
            </w:r>
            <w:r>
              <w:rPr>
                <w:rFonts w:hint="eastAsia" w:ascii="宋体" w:hAnsi="宋体" w:eastAsia="宋体" w:cs="宋体"/>
                <w:bCs/>
                <w:sz w:val="21"/>
                <w:szCs w:val="21"/>
              </w:rPr>
              <w:t>条款中的“运行数据”，是指系统在实施或运行过程中所产生的人员信息数据、医疗数据及与其它相关的数据（如字典数据等），包括但不限于文本、图片及某种格式的文件。运行数据一般存放于系统内的服务器上、数据库内，不包括</w:t>
            </w:r>
            <w:r>
              <w:rPr>
                <w:rFonts w:hint="eastAsia" w:ascii="宋体" w:hAnsi="宋体" w:eastAsia="宋体" w:cs="宋体"/>
                <w:bCs/>
                <w:sz w:val="21"/>
                <w:szCs w:val="21"/>
                <w:lang w:eastAsia="zh-CN"/>
              </w:rPr>
              <w:t>中标人</w:t>
            </w:r>
            <w:r>
              <w:rPr>
                <w:rFonts w:hint="eastAsia" w:ascii="宋体" w:hAnsi="宋体" w:eastAsia="宋体" w:cs="宋体"/>
                <w:bCs/>
                <w:sz w:val="21"/>
                <w:szCs w:val="21"/>
              </w:rPr>
              <w:t>为了版权保护而设置的数据。</w:t>
            </w:r>
            <w:r>
              <w:rPr>
                <w:rFonts w:hint="eastAsia" w:ascii="宋体" w:hAnsi="宋体" w:eastAsia="宋体" w:cs="宋体"/>
                <w:bCs/>
                <w:sz w:val="21"/>
                <w:szCs w:val="21"/>
                <w:lang w:eastAsia="zh-CN"/>
              </w:rPr>
              <w:t>中标人</w:t>
            </w:r>
            <w:r>
              <w:rPr>
                <w:rFonts w:hint="eastAsia" w:ascii="宋体" w:hAnsi="宋体" w:eastAsia="宋体" w:cs="宋体"/>
                <w:bCs/>
                <w:sz w:val="21"/>
                <w:szCs w:val="21"/>
              </w:rPr>
              <w:t>的版权保护措施不得影响上述第</w:t>
            </w:r>
            <w:r>
              <w:rPr>
                <w:rFonts w:hint="default" w:ascii="宋体" w:hAnsi="宋体" w:eastAsia="宋体" w:cs="宋体"/>
                <w:bCs/>
                <w:sz w:val="21"/>
                <w:szCs w:val="21"/>
              </w:rPr>
              <w:t>4</w:t>
            </w:r>
            <w:r>
              <w:rPr>
                <w:rFonts w:hint="eastAsia" w:ascii="宋体" w:hAnsi="宋体" w:eastAsia="宋体" w:cs="宋体"/>
                <w:bCs/>
                <w:sz w:val="21"/>
                <w:szCs w:val="21"/>
              </w:rPr>
              <w:t>、</w:t>
            </w:r>
            <w:r>
              <w:rPr>
                <w:rFonts w:hint="default" w:ascii="宋体" w:hAnsi="宋体" w:eastAsia="宋体" w:cs="宋体"/>
                <w:bCs/>
                <w:sz w:val="21"/>
                <w:szCs w:val="21"/>
              </w:rPr>
              <w:t>6</w:t>
            </w:r>
            <w:r>
              <w:rPr>
                <w:rFonts w:hint="eastAsia" w:ascii="宋体" w:hAnsi="宋体" w:eastAsia="宋体" w:cs="宋体"/>
                <w:bCs/>
                <w:sz w:val="21"/>
                <w:szCs w:val="21"/>
              </w:rPr>
              <w:t>条款。</w:t>
            </w:r>
          </w:p>
          <w:p w14:paraId="7DE9E0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rPr>
              <w:t>▲</w:t>
            </w:r>
            <w:r>
              <w:rPr>
                <w:rFonts w:hint="default" w:ascii="宋体" w:hAnsi="宋体" w:eastAsia="宋体" w:cs="宋体"/>
                <w:b/>
                <w:sz w:val="21"/>
                <w:szCs w:val="21"/>
              </w:rPr>
              <w:t>8</w:t>
            </w:r>
            <w:r>
              <w:rPr>
                <w:rFonts w:hint="eastAsia" w:ascii="宋体" w:hAnsi="宋体" w:eastAsia="宋体" w:cs="宋体"/>
                <w:b/>
                <w:sz w:val="21"/>
                <w:szCs w:val="21"/>
              </w:rPr>
              <w:t>.本项目中的所使用各种产品必须符合国家关于网络信息安全的相关政策、法规等要求，并严格按照采购方关于网络信息安全的具体要求，合理安装、配置服务器操作系统、数据库、应用服务软件等。采购人可能因为网络信息安全的要求需要对服务器、数据库或其它设备进行配置变更，如果配置变更影响到系统运行，双方应友好协商解决，优先考虑安全。采购人由于安全或其它原因进行网络调整时，如果系统服务器需要进行硬件升级或者系统软件（或服务）要迁移到另外服务器上时，</w:t>
            </w:r>
            <w:r>
              <w:rPr>
                <w:rFonts w:hint="eastAsia" w:ascii="宋体" w:hAnsi="宋体" w:eastAsia="宋体" w:cs="宋体"/>
                <w:b/>
                <w:sz w:val="21"/>
                <w:szCs w:val="21"/>
                <w:lang w:eastAsia="zh-CN"/>
              </w:rPr>
              <w:t>中标人</w:t>
            </w:r>
            <w:r>
              <w:rPr>
                <w:rFonts w:hint="eastAsia" w:ascii="宋体" w:hAnsi="宋体" w:eastAsia="宋体" w:cs="宋体"/>
                <w:b/>
                <w:sz w:val="21"/>
                <w:szCs w:val="21"/>
              </w:rPr>
              <w:t>必须无条件配合（质保期内，</w:t>
            </w:r>
            <w:r>
              <w:rPr>
                <w:rFonts w:hint="eastAsia" w:ascii="宋体" w:hAnsi="宋体" w:eastAsia="宋体" w:cs="宋体"/>
                <w:b/>
                <w:sz w:val="21"/>
                <w:szCs w:val="21"/>
                <w:lang w:eastAsia="zh-CN"/>
              </w:rPr>
              <w:t>中标人</w:t>
            </w:r>
            <w:r>
              <w:rPr>
                <w:rFonts w:hint="eastAsia" w:ascii="宋体" w:hAnsi="宋体" w:eastAsia="宋体" w:cs="宋体"/>
                <w:b/>
                <w:sz w:val="21"/>
                <w:szCs w:val="21"/>
              </w:rPr>
              <w:t>无偿提供服务；质保期外，</w:t>
            </w:r>
            <w:r>
              <w:rPr>
                <w:rFonts w:hint="eastAsia" w:ascii="宋体" w:hAnsi="宋体" w:eastAsia="宋体" w:cs="宋体"/>
                <w:b/>
                <w:sz w:val="21"/>
                <w:szCs w:val="21"/>
                <w:lang w:eastAsia="zh-CN"/>
              </w:rPr>
              <w:t>中标人</w:t>
            </w:r>
            <w:r>
              <w:rPr>
                <w:rFonts w:hint="eastAsia" w:ascii="宋体" w:hAnsi="宋体" w:eastAsia="宋体" w:cs="宋体"/>
                <w:b/>
                <w:sz w:val="21"/>
                <w:szCs w:val="21"/>
              </w:rPr>
              <w:t>如需派出人员到采购人现场的，</w:t>
            </w:r>
            <w:r>
              <w:rPr>
                <w:rFonts w:hint="eastAsia" w:ascii="宋体" w:hAnsi="宋体" w:eastAsia="宋体" w:cs="宋体"/>
                <w:b/>
                <w:sz w:val="21"/>
                <w:szCs w:val="21"/>
                <w:lang w:eastAsia="zh-CN"/>
              </w:rPr>
              <w:t>服务所需的</w:t>
            </w:r>
            <w:r>
              <w:rPr>
                <w:rFonts w:hint="eastAsia" w:ascii="宋体" w:hAnsi="宋体" w:eastAsia="宋体" w:cs="宋体"/>
                <w:b/>
                <w:sz w:val="21"/>
                <w:szCs w:val="21"/>
              </w:rPr>
              <w:t>旅差费、住宿费、伙食费、劳务费等合理费用</w:t>
            </w:r>
            <w:r>
              <w:rPr>
                <w:rFonts w:hint="eastAsia" w:ascii="宋体" w:hAnsi="宋体" w:eastAsia="宋体" w:cs="宋体"/>
                <w:b/>
                <w:sz w:val="21"/>
                <w:szCs w:val="21"/>
                <w:lang w:eastAsia="zh-CN"/>
              </w:rPr>
              <w:t>由中标人与采购人自行协商</w:t>
            </w:r>
            <w:r>
              <w:rPr>
                <w:rFonts w:hint="eastAsia" w:ascii="宋体" w:hAnsi="宋体" w:eastAsia="宋体" w:cs="宋体"/>
                <w:b/>
                <w:sz w:val="21"/>
                <w:szCs w:val="21"/>
              </w:rPr>
              <w:t>）。</w:t>
            </w:r>
          </w:p>
          <w:p w14:paraId="0FB2DD2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sz w:val="21"/>
                <w:szCs w:val="21"/>
              </w:rPr>
              <w:t>▲</w:t>
            </w:r>
            <w:r>
              <w:rPr>
                <w:rFonts w:hint="default" w:ascii="宋体" w:hAnsi="宋体" w:eastAsia="宋体" w:cs="宋体"/>
                <w:b/>
                <w:sz w:val="21"/>
                <w:szCs w:val="21"/>
              </w:rPr>
              <w:t>9</w:t>
            </w:r>
            <w:r>
              <w:rPr>
                <w:rFonts w:hint="eastAsia" w:ascii="宋体" w:hAnsi="宋体" w:eastAsia="宋体" w:cs="宋体"/>
                <w:b/>
                <w:sz w:val="21"/>
                <w:szCs w:val="21"/>
              </w:rPr>
              <w:t>.本政府采购项目现执行的有关政策、法律及法规，如有与国家最新发布的政策、法律及法规相抵触时，</w:t>
            </w:r>
            <w:r>
              <w:rPr>
                <w:rFonts w:hint="eastAsia" w:ascii="宋体" w:hAnsi="宋体" w:eastAsia="宋体" w:cs="宋体"/>
                <w:b/>
                <w:sz w:val="21"/>
                <w:szCs w:val="21"/>
                <w:lang w:eastAsia="zh-CN"/>
              </w:rPr>
              <w:t>中标人</w:t>
            </w:r>
            <w:r>
              <w:rPr>
                <w:rFonts w:hint="eastAsia" w:ascii="宋体" w:hAnsi="宋体" w:eastAsia="宋体" w:cs="宋体"/>
                <w:b/>
                <w:sz w:val="21"/>
                <w:szCs w:val="21"/>
              </w:rPr>
              <w:t>必须无条件按照最新规定执行，且造成的损失均由</w:t>
            </w:r>
            <w:r>
              <w:rPr>
                <w:rFonts w:hint="eastAsia" w:ascii="宋体" w:hAnsi="宋体" w:eastAsia="宋体" w:cs="宋体"/>
                <w:b/>
                <w:sz w:val="21"/>
                <w:szCs w:val="21"/>
                <w:lang w:eastAsia="zh-CN"/>
              </w:rPr>
              <w:t>中标人</w:t>
            </w:r>
            <w:r>
              <w:rPr>
                <w:rFonts w:hint="eastAsia" w:ascii="宋体" w:hAnsi="宋体" w:eastAsia="宋体" w:cs="宋体"/>
                <w:b/>
                <w:sz w:val="21"/>
                <w:szCs w:val="21"/>
              </w:rPr>
              <w:t>自行承担。</w:t>
            </w:r>
          </w:p>
        </w:tc>
      </w:tr>
      <w:tr w14:paraId="7138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761D9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rPr>
              <w:t>▲保密要求</w:t>
            </w:r>
          </w:p>
        </w:tc>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08D59000">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1.信息安全保密要求</w:t>
            </w:r>
          </w:p>
          <w:p w14:paraId="5ABF3667">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（1）必须严格遵守采购人的安全保密制度；</w:t>
            </w:r>
          </w:p>
          <w:p w14:paraId="53CBEFB4">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（2）项目人员需保证遵守国家有关版权和知识产权保护的政策、法律、法规和制度。</w:t>
            </w:r>
          </w:p>
          <w:p w14:paraId="2B5BF04B">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3）项目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泄漏任何相关数据，不向外泄漏任何保密的技术资料。如出现支持人员泄密事件，</w:t>
            </w:r>
            <w:r>
              <w:rPr>
                <w:rFonts w:hint="eastAsia" w:hAnsi="宋体" w:eastAsia="宋体" w:cs="宋体"/>
                <w:b/>
                <w:bCs/>
                <w:sz w:val="21"/>
                <w:szCs w:val="21"/>
                <w:lang w:eastAsia="zh-CN"/>
              </w:rPr>
              <w:t>中标人</w:t>
            </w:r>
            <w:r>
              <w:rPr>
                <w:rFonts w:hint="eastAsia" w:ascii="宋体" w:hAnsi="宋体" w:eastAsia="宋体" w:cs="宋体"/>
                <w:b/>
                <w:bCs/>
                <w:sz w:val="21"/>
                <w:szCs w:val="21"/>
              </w:rPr>
              <w:t>应负有连带责任。</w:t>
            </w:r>
          </w:p>
          <w:p w14:paraId="08A4FEA0">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（4）</w:t>
            </w:r>
            <w:r>
              <w:rPr>
                <w:rFonts w:hint="eastAsia" w:hAnsi="宋体" w:eastAsia="宋体" w:cs="宋体"/>
                <w:b/>
                <w:bCs/>
                <w:sz w:val="21"/>
                <w:szCs w:val="21"/>
                <w:lang w:eastAsia="zh-CN"/>
              </w:rPr>
              <w:t>中标人</w:t>
            </w:r>
            <w:r>
              <w:rPr>
                <w:rFonts w:hint="eastAsia" w:ascii="宋体" w:hAnsi="宋体" w:eastAsia="宋体" w:cs="宋体"/>
                <w:b/>
                <w:bCs/>
                <w:sz w:val="21"/>
                <w:szCs w:val="21"/>
              </w:rPr>
              <w:t>须与采购人签署合同项目实施期间的信息保密协议（格式由采购人提供）。</w:t>
            </w:r>
          </w:p>
          <w:p w14:paraId="277CC94E">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w:t>
            </w:r>
            <w:r>
              <w:rPr>
                <w:rFonts w:hint="eastAsia" w:hAnsi="宋体" w:eastAsia="宋体" w:cs="宋体"/>
                <w:b/>
                <w:bCs/>
                <w:sz w:val="21"/>
                <w:szCs w:val="21"/>
                <w:lang w:eastAsia="zh-CN"/>
              </w:rPr>
              <w:t>中标人</w:t>
            </w:r>
            <w:r>
              <w:rPr>
                <w:rFonts w:hint="eastAsia" w:ascii="宋体" w:hAnsi="宋体" w:eastAsia="宋体" w:cs="宋体"/>
                <w:b/>
                <w:bCs/>
                <w:sz w:val="21"/>
                <w:szCs w:val="21"/>
              </w:rPr>
              <w:t>技术人员在合同期间应严格按采购人的网络安全和数据安全相关规定开展工作，由于</w:t>
            </w:r>
            <w:r>
              <w:rPr>
                <w:rFonts w:hint="eastAsia" w:hAnsi="宋体" w:eastAsia="宋体" w:cs="宋体"/>
                <w:b/>
                <w:bCs/>
                <w:sz w:val="21"/>
                <w:szCs w:val="21"/>
                <w:lang w:eastAsia="zh-CN"/>
              </w:rPr>
              <w:t>中标人</w:t>
            </w:r>
            <w:r>
              <w:rPr>
                <w:rFonts w:hint="eastAsia" w:ascii="宋体" w:hAnsi="宋体" w:eastAsia="宋体" w:cs="宋体"/>
                <w:b/>
                <w:bCs/>
                <w:sz w:val="21"/>
                <w:szCs w:val="21"/>
              </w:rPr>
              <w:t>技术人员网络安全工作落实不到位引发安全事件的，</w:t>
            </w:r>
            <w:r>
              <w:rPr>
                <w:rFonts w:hint="eastAsia" w:hAnsi="宋体" w:eastAsia="宋体" w:cs="宋体"/>
                <w:b/>
                <w:bCs/>
                <w:sz w:val="21"/>
                <w:szCs w:val="21"/>
                <w:lang w:eastAsia="zh-CN"/>
              </w:rPr>
              <w:t>中标人</w:t>
            </w:r>
            <w:r>
              <w:rPr>
                <w:rFonts w:hint="eastAsia" w:ascii="宋体" w:hAnsi="宋体" w:eastAsia="宋体" w:cs="宋体"/>
                <w:b/>
                <w:bCs/>
                <w:sz w:val="21"/>
                <w:szCs w:val="21"/>
              </w:rPr>
              <w:t>应承担有关法律责任。此外，由此造成甲方损失的，还应赔偿采购人一切经济损失（包括但不限于采购人的直接损失、可得利益等间接损失、因主张权利所产生的交通费、住宿费、诉讼费用、执行费、律师费等一切费用）。</w:t>
            </w:r>
          </w:p>
          <w:p w14:paraId="69CAC730">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安全事件具体内容主要包括（但不限于）以下内容：</w:t>
            </w:r>
          </w:p>
          <w:p w14:paraId="570E73C4">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（1）因补丁升级、漏洞修复、系统杀毒、数据备份、应用监控、网络监控等工作未落实到位，发生服务器被控制和应用系统被攻破的安全事件，被主管部门通报的。</w:t>
            </w:r>
          </w:p>
          <w:p w14:paraId="09803284">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（2）因违规进行数据查询、导出和拷出等操作造成敏感数据泄漏，以及发生非法窃取数据行为。</w:t>
            </w:r>
          </w:p>
          <w:p w14:paraId="19E5AF4B">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（3）因运维操作处置不当导致重要应用系统发生严重卡顿、停用的重大事件。</w:t>
            </w:r>
          </w:p>
          <w:p w14:paraId="5B9A9187">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3.罚责条款：项目建设和运维过程中，因系统在对接、运行等服务中，导致其他系统受到影响的，由</w:t>
            </w:r>
            <w:r>
              <w:rPr>
                <w:rFonts w:hint="eastAsia" w:hAnsi="宋体" w:eastAsia="宋体" w:cs="宋体"/>
                <w:b/>
                <w:bCs/>
                <w:sz w:val="21"/>
                <w:szCs w:val="21"/>
                <w:lang w:eastAsia="zh-CN"/>
              </w:rPr>
              <w:t>中标人</w:t>
            </w:r>
            <w:r>
              <w:rPr>
                <w:rFonts w:hint="eastAsia" w:ascii="宋体" w:hAnsi="宋体" w:eastAsia="宋体" w:cs="宋体"/>
                <w:b/>
                <w:bCs/>
                <w:sz w:val="21"/>
                <w:szCs w:val="21"/>
              </w:rPr>
              <w:t>负责组织相关服务厂商共同排查，明确问题根源、责任并报告采购人。</w:t>
            </w:r>
            <w:r>
              <w:rPr>
                <w:rFonts w:hint="eastAsia" w:hAnsi="宋体" w:eastAsia="宋体" w:cs="宋体"/>
                <w:b/>
                <w:bCs/>
                <w:sz w:val="21"/>
                <w:szCs w:val="21"/>
                <w:lang w:eastAsia="zh-CN"/>
              </w:rPr>
              <w:t>中标人</w:t>
            </w:r>
            <w:r>
              <w:rPr>
                <w:rFonts w:hint="eastAsia" w:ascii="宋体" w:hAnsi="宋体" w:eastAsia="宋体" w:cs="宋体"/>
                <w:b/>
                <w:bCs/>
                <w:sz w:val="21"/>
                <w:szCs w:val="21"/>
              </w:rPr>
              <w:t>无法判定问题根源的，由</w:t>
            </w:r>
            <w:r>
              <w:rPr>
                <w:rFonts w:hint="eastAsia" w:hAnsi="宋体" w:eastAsia="宋体" w:cs="宋体"/>
                <w:b/>
                <w:bCs/>
                <w:sz w:val="21"/>
                <w:szCs w:val="21"/>
                <w:lang w:eastAsia="zh-CN"/>
              </w:rPr>
              <w:t>中标人</w:t>
            </w:r>
            <w:r>
              <w:rPr>
                <w:rFonts w:hint="eastAsia" w:ascii="宋体" w:hAnsi="宋体" w:eastAsia="宋体" w:cs="宋体"/>
                <w:b/>
                <w:bCs/>
                <w:sz w:val="21"/>
                <w:szCs w:val="21"/>
              </w:rPr>
              <w:t>承担全部责任。采购人将根据问题的轻重、</w:t>
            </w:r>
            <w:r>
              <w:rPr>
                <w:rFonts w:hint="eastAsia" w:hAnsi="宋体" w:eastAsia="宋体" w:cs="宋体"/>
                <w:b/>
                <w:bCs/>
                <w:sz w:val="21"/>
                <w:szCs w:val="21"/>
                <w:lang w:eastAsia="zh-CN"/>
              </w:rPr>
              <w:t>中标人</w:t>
            </w:r>
            <w:r>
              <w:rPr>
                <w:rFonts w:hint="eastAsia" w:ascii="宋体" w:hAnsi="宋体" w:eastAsia="宋体" w:cs="宋体"/>
                <w:b/>
                <w:bCs/>
                <w:sz w:val="21"/>
                <w:szCs w:val="21"/>
              </w:rPr>
              <w:t>责任的大小，扣除不高于合同款5%服务金额。</w:t>
            </w:r>
          </w:p>
          <w:p w14:paraId="6256840C">
            <w:pPr>
              <w:pStyle w:val="27"/>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sz w:val="21"/>
                <w:szCs w:val="21"/>
              </w:rPr>
              <w:t>4.</w:t>
            </w:r>
            <w:r>
              <w:rPr>
                <w:rFonts w:hint="eastAsia" w:hAnsi="宋体" w:eastAsia="宋体" w:cs="宋体"/>
                <w:b/>
                <w:bCs/>
                <w:sz w:val="21"/>
                <w:szCs w:val="21"/>
                <w:lang w:eastAsia="zh-CN"/>
              </w:rPr>
              <w:t>中标人</w:t>
            </w:r>
            <w:r>
              <w:rPr>
                <w:rFonts w:hint="eastAsia" w:ascii="宋体" w:hAnsi="宋体" w:eastAsia="宋体" w:cs="宋体"/>
                <w:b/>
                <w:bCs/>
                <w:sz w:val="21"/>
                <w:szCs w:val="21"/>
              </w:rPr>
              <w:t>不得将项目非法分包或转包给任何单位和个人，否则采购人有权即刻终止合同，并要求</w:t>
            </w:r>
            <w:r>
              <w:rPr>
                <w:rFonts w:hint="eastAsia" w:hAnsi="宋体" w:eastAsia="宋体" w:cs="宋体"/>
                <w:b/>
                <w:bCs/>
                <w:sz w:val="21"/>
                <w:szCs w:val="21"/>
                <w:lang w:eastAsia="zh-CN"/>
              </w:rPr>
              <w:t>中标人</w:t>
            </w:r>
            <w:r>
              <w:rPr>
                <w:rFonts w:hint="eastAsia" w:ascii="宋体" w:hAnsi="宋体" w:eastAsia="宋体" w:cs="宋体"/>
                <w:b/>
                <w:bCs/>
                <w:sz w:val="21"/>
                <w:szCs w:val="21"/>
              </w:rPr>
              <w:t>赔偿相应损失。</w:t>
            </w:r>
          </w:p>
        </w:tc>
      </w:tr>
    </w:tbl>
    <w:p w14:paraId="1C23FEF4">
      <w:pPr>
        <w:rPr>
          <w:rFonts w:hint="eastAsia"/>
          <w:lang w:val="en-US" w:eastAsia="zh-CN"/>
        </w:rPr>
      </w:pPr>
    </w:p>
    <w:p w14:paraId="79D02C67">
      <w:pPr>
        <w:rPr>
          <w:rFonts w:hint="eastAsia"/>
          <w:lang w:val="en-US" w:eastAsia="zh-CN"/>
        </w:rPr>
      </w:pPr>
    </w:p>
    <w:p w14:paraId="0F44867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E5D4114">
      <w:pPr>
        <w:pStyle w:val="3"/>
        <w:keepNext/>
        <w:keepLines/>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sz w:val="28"/>
          <w:szCs w:val="28"/>
          <w:highlight w:val="none"/>
          <w:lang w:val="en-US" w:eastAsia="zh-CN"/>
        </w:rPr>
      </w:pPr>
      <w:bookmarkStart w:id="38" w:name="_Toc5578"/>
      <w:r>
        <w:rPr>
          <w:rFonts w:hint="eastAsia" w:ascii="宋体" w:hAnsi="宋体" w:eastAsia="宋体" w:cs="宋体"/>
          <w:sz w:val="28"/>
          <w:szCs w:val="28"/>
          <w:highlight w:val="none"/>
          <w:lang w:val="en-US" w:eastAsia="zh-CN"/>
        </w:rPr>
        <w:t>附件1：</w:t>
      </w:r>
      <w:bookmarkEnd w:id="38"/>
    </w:p>
    <w:p w14:paraId="3DA10F24">
      <w:pPr>
        <w:snapToGrid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节能产品政府采购品目清单</w:t>
      </w:r>
    </w:p>
    <w:tbl>
      <w:tblPr>
        <w:tblStyle w:val="53"/>
        <w:tblW w:w="0" w:type="auto"/>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956"/>
        <w:gridCol w:w="1770"/>
        <w:gridCol w:w="1886"/>
        <w:gridCol w:w="4293"/>
      </w:tblGrid>
      <w:tr w14:paraId="1680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442667D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b/>
                <w:bCs/>
                <w:kern w:val="0"/>
                <w:szCs w:val="21"/>
                <w:highlight w:val="none"/>
              </w:rPr>
              <w:t>品目序号</w:t>
            </w:r>
          </w:p>
        </w:tc>
        <w:tc>
          <w:tcPr>
            <w:tcW w:w="4612" w:type="dxa"/>
            <w:gridSpan w:val="3"/>
            <w:shd w:val="clear" w:color="auto" w:fill="auto"/>
            <w:vAlign w:val="center"/>
          </w:tcPr>
          <w:p w14:paraId="7F64EAB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b/>
                <w:bCs/>
                <w:kern w:val="0"/>
                <w:szCs w:val="21"/>
                <w:highlight w:val="none"/>
              </w:rPr>
              <w:t>名称</w:t>
            </w:r>
          </w:p>
        </w:tc>
        <w:tc>
          <w:tcPr>
            <w:tcW w:w="4293" w:type="dxa"/>
            <w:vAlign w:val="center"/>
          </w:tcPr>
          <w:p w14:paraId="4C793967">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b/>
                <w:bCs/>
                <w:kern w:val="0"/>
                <w:szCs w:val="21"/>
                <w:highlight w:val="none"/>
              </w:rPr>
              <w:t>依据的标准</w:t>
            </w:r>
          </w:p>
        </w:tc>
      </w:tr>
      <w:tr w14:paraId="6633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shd w:val="clear" w:color="auto" w:fill="auto"/>
            <w:vAlign w:val="center"/>
          </w:tcPr>
          <w:p w14:paraId="405387C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w:t>
            </w:r>
          </w:p>
        </w:tc>
        <w:tc>
          <w:tcPr>
            <w:tcW w:w="956" w:type="dxa"/>
            <w:vMerge w:val="restart"/>
            <w:shd w:val="clear" w:color="auto" w:fill="auto"/>
            <w:vAlign w:val="center"/>
          </w:tcPr>
          <w:p w14:paraId="5E31177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A020101计算机设备</w:t>
            </w:r>
          </w:p>
        </w:tc>
        <w:tc>
          <w:tcPr>
            <w:tcW w:w="1770" w:type="dxa"/>
            <w:shd w:val="clear" w:color="auto" w:fill="auto"/>
            <w:vAlign w:val="center"/>
          </w:tcPr>
          <w:p w14:paraId="7E66857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A02010104台式计算机</w:t>
            </w:r>
          </w:p>
        </w:tc>
        <w:tc>
          <w:tcPr>
            <w:tcW w:w="1886" w:type="dxa"/>
            <w:shd w:val="clear" w:color="auto" w:fill="auto"/>
            <w:vAlign w:val="center"/>
          </w:tcPr>
          <w:p w14:paraId="0D4EFD0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2C36AAB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《微型计算机能效限定值及能效等级》（GB28380）</w:t>
            </w:r>
          </w:p>
        </w:tc>
      </w:tr>
      <w:tr w14:paraId="59BF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5CB9DA8D">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7B9CA10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37FBFAD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A02010105便携式计算机</w:t>
            </w:r>
          </w:p>
        </w:tc>
        <w:tc>
          <w:tcPr>
            <w:tcW w:w="1886" w:type="dxa"/>
            <w:shd w:val="clear" w:color="auto" w:fill="auto"/>
            <w:vAlign w:val="center"/>
          </w:tcPr>
          <w:p w14:paraId="413E0B5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194EA7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《微型计算机能效限定值及能效等级》（GB28380）</w:t>
            </w:r>
          </w:p>
        </w:tc>
      </w:tr>
      <w:tr w14:paraId="2CAA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2026C9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6E293BD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3451D8B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A02010107平板式微型计算机</w:t>
            </w:r>
          </w:p>
        </w:tc>
        <w:tc>
          <w:tcPr>
            <w:tcW w:w="1886" w:type="dxa"/>
            <w:shd w:val="clear" w:color="auto" w:fill="auto"/>
            <w:vAlign w:val="center"/>
          </w:tcPr>
          <w:p w14:paraId="573AA2B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p>
        </w:tc>
        <w:tc>
          <w:tcPr>
            <w:tcW w:w="4293" w:type="dxa"/>
            <w:shd w:val="clear" w:color="auto" w:fill="auto"/>
            <w:vAlign w:val="center"/>
          </w:tcPr>
          <w:p w14:paraId="3D4D7A1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《微型计算机能效限定值及能效等级》（GB28380）</w:t>
            </w:r>
          </w:p>
        </w:tc>
      </w:tr>
      <w:tr w14:paraId="7E1C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shd w:val="clear" w:color="auto" w:fill="auto"/>
            <w:vAlign w:val="center"/>
          </w:tcPr>
          <w:p w14:paraId="3106551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2</w:t>
            </w:r>
          </w:p>
        </w:tc>
        <w:tc>
          <w:tcPr>
            <w:tcW w:w="956" w:type="dxa"/>
            <w:vMerge w:val="restart"/>
            <w:shd w:val="clear" w:color="auto" w:fill="auto"/>
            <w:vAlign w:val="center"/>
          </w:tcPr>
          <w:p w14:paraId="765B837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A020106输入输出设备</w:t>
            </w:r>
          </w:p>
        </w:tc>
        <w:tc>
          <w:tcPr>
            <w:tcW w:w="1770" w:type="dxa"/>
            <w:vMerge w:val="restart"/>
            <w:shd w:val="clear" w:color="auto" w:fill="auto"/>
            <w:vAlign w:val="center"/>
          </w:tcPr>
          <w:p w14:paraId="2E3D35D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A02010601打印设备</w:t>
            </w:r>
          </w:p>
        </w:tc>
        <w:tc>
          <w:tcPr>
            <w:tcW w:w="1886" w:type="dxa"/>
            <w:shd w:val="clear" w:color="auto" w:fill="auto"/>
            <w:vAlign w:val="center"/>
          </w:tcPr>
          <w:p w14:paraId="76E16C0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A0201060101喷墨打印机</w:t>
            </w:r>
          </w:p>
        </w:tc>
        <w:tc>
          <w:tcPr>
            <w:tcW w:w="4293" w:type="dxa"/>
            <w:shd w:val="clear" w:color="auto" w:fill="auto"/>
            <w:vAlign w:val="center"/>
          </w:tcPr>
          <w:p w14:paraId="28E9B92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《复印机、打印机和传真机能效限定值及能效等级》（GB21521）</w:t>
            </w:r>
          </w:p>
        </w:tc>
      </w:tr>
      <w:tr w14:paraId="1F9B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463D65B">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4D78360A">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3E2A541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shd w:val="clear" w:color="auto" w:fill="auto"/>
            <w:vAlign w:val="center"/>
          </w:tcPr>
          <w:p w14:paraId="660DF49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A0201060102激光打印机</w:t>
            </w:r>
          </w:p>
        </w:tc>
        <w:tc>
          <w:tcPr>
            <w:tcW w:w="4293" w:type="dxa"/>
            <w:shd w:val="clear" w:color="auto" w:fill="auto"/>
            <w:vAlign w:val="center"/>
          </w:tcPr>
          <w:p w14:paraId="54F2D39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《复印机、打印机和传真机能效限定值及能效等级》（GB21521）</w:t>
            </w:r>
          </w:p>
        </w:tc>
      </w:tr>
      <w:tr w14:paraId="2465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060C311">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44B64998">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1B1B6B5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shd w:val="clear" w:color="auto" w:fill="auto"/>
            <w:vAlign w:val="center"/>
          </w:tcPr>
          <w:p w14:paraId="3082B90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A0201060104针式打印机</w:t>
            </w:r>
          </w:p>
        </w:tc>
        <w:tc>
          <w:tcPr>
            <w:tcW w:w="4293" w:type="dxa"/>
            <w:shd w:val="clear" w:color="auto" w:fill="auto"/>
            <w:vAlign w:val="center"/>
          </w:tcPr>
          <w:p w14:paraId="4FA2C93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《复印机、打印机和传真机能效限定值及能效等级》（GB21521）</w:t>
            </w:r>
          </w:p>
        </w:tc>
      </w:tr>
      <w:tr w14:paraId="2490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8A8F030">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4504907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7199254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A02010604显示设备</w:t>
            </w:r>
          </w:p>
        </w:tc>
        <w:tc>
          <w:tcPr>
            <w:tcW w:w="1886" w:type="dxa"/>
            <w:shd w:val="clear" w:color="auto" w:fill="auto"/>
            <w:vAlign w:val="center"/>
          </w:tcPr>
          <w:p w14:paraId="5E4C02D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A0201060401液晶显示器</w:t>
            </w:r>
          </w:p>
        </w:tc>
        <w:tc>
          <w:tcPr>
            <w:tcW w:w="4293" w:type="dxa"/>
            <w:shd w:val="clear" w:color="auto" w:fill="auto"/>
            <w:vAlign w:val="center"/>
          </w:tcPr>
          <w:p w14:paraId="049949D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《计算机显示器能效限定值及能效等级》（GB21520）</w:t>
            </w:r>
          </w:p>
        </w:tc>
      </w:tr>
      <w:tr w14:paraId="609E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7E2F88E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7110E0B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5CBEA38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A02010609图形图像输入设备</w:t>
            </w:r>
          </w:p>
        </w:tc>
        <w:tc>
          <w:tcPr>
            <w:tcW w:w="1886" w:type="dxa"/>
            <w:shd w:val="clear" w:color="auto" w:fill="auto"/>
            <w:vAlign w:val="center"/>
          </w:tcPr>
          <w:p w14:paraId="0EE0AC6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A0201060901扫描仪</w:t>
            </w:r>
          </w:p>
        </w:tc>
        <w:tc>
          <w:tcPr>
            <w:tcW w:w="4293" w:type="dxa"/>
            <w:shd w:val="clear" w:color="auto" w:fill="auto"/>
            <w:vAlign w:val="center"/>
          </w:tcPr>
          <w:p w14:paraId="0DAFA06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参照《复印机、打印机和传真机能效限定值及能效等级》（GB21521）中打印速度为15页/分的针式打印机相关要求</w:t>
            </w:r>
          </w:p>
        </w:tc>
      </w:tr>
      <w:tr w14:paraId="797E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32D1F97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3</w:t>
            </w:r>
          </w:p>
        </w:tc>
        <w:tc>
          <w:tcPr>
            <w:tcW w:w="956" w:type="dxa"/>
            <w:shd w:val="clear" w:color="auto" w:fill="auto"/>
            <w:vAlign w:val="center"/>
          </w:tcPr>
          <w:p w14:paraId="574A8D8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A020202投影仪</w:t>
            </w:r>
          </w:p>
        </w:tc>
        <w:tc>
          <w:tcPr>
            <w:tcW w:w="1770" w:type="dxa"/>
            <w:shd w:val="clear" w:color="auto" w:fill="auto"/>
            <w:vAlign w:val="center"/>
          </w:tcPr>
          <w:p w14:paraId="674A6B9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4963F20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723FCD0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《投影机能效限定值及能效等级（GB32028）</w:t>
            </w:r>
          </w:p>
        </w:tc>
      </w:tr>
      <w:tr w14:paraId="67A4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3E7EA4D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4</w:t>
            </w:r>
          </w:p>
        </w:tc>
        <w:tc>
          <w:tcPr>
            <w:tcW w:w="956" w:type="dxa"/>
            <w:shd w:val="clear" w:color="auto" w:fill="auto"/>
            <w:vAlign w:val="center"/>
          </w:tcPr>
          <w:p w14:paraId="095A28F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A020204多功能一体机</w:t>
            </w:r>
          </w:p>
        </w:tc>
        <w:tc>
          <w:tcPr>
            <w:tcW w:w="1770" w:type="dxa"/>
            <w:shd w:val="clear" w:color="auto" w:fill="auto"/>
            <w:vAlign w:val="center"/>
          </w:tcPr>
          <w:p w14:paraId="1EA5CAB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0EACB0B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7669731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《复印机、打印机和传真机能效限定值及能效等级》（GB21521）</w:t>
            </w:r>
          </w:p>
        </w:tc>
      </w:tr>
      <w:tr w14:paraId="6B3A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24102D1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5</w:t>
            </w:r>
          </w:p>
        </w:tc>
        <w:tc>
          <w:tcPr>
            <w:tcW w:w="956" w:type="dxa"/>
            <w:shd w:val="clear" w:color="auto" w:fill="auto"/>
            <w:vAlign w:val="center"/>
          </w:tcPr>
          <w:p w14:paraId="3B31CE6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A020519泵</w:t>
            </w:r>
          </w:p>
        </w:tc>
        <w:tc>
          <w:tcPr>
            <w:tcW w:w="1770" w:type="dxa"/>
            <w:shd w:val="clear" w:color="auto" w:fill="auto"/>
            <w:vAlign w:val="center"/>
          </w:tcPr>
          <w:p w14:paraId="7181D85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A02051901离心泵</w:t>
            </w:r>
          </w:p>
        </w:tc>
        <w:tc>
          <w:tcPr>
            <w:tcW w:w="1886" w:type="dxa"/>
            <w:shd w:val="clear" w:color="auto" w:fill="auto"/>
            <w:vAlign w:val="center"/>
          </w:tcPr>
          <w:p w14:paraId="4445DBC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137863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《清水离心泵能效限定值及节能评价值》（GB19762）</w:t>
            </w:r>
          </w:p>
        </w:tc>
      </w:tr>
      <w:tr w14:paraId="5FB1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vAlign w:val="center"/>
          </w:tcPr>
          <w:p w14:paraId="1A4509B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6</w:t>
            </w:r>
          </w:p>
        </w:tc>
        <w:tc>
          <w:tcPr>
            <w:tcW w:w="956" w:type="dxa"/>
            <w:vMerge w:val="restart"/>
            <w:vAlign w:val="center"/>
          </w:tcPr>
          <w:p w14:paraId="025358C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A020523制冷空调设备</w:t>
            </w:r>
          </w:p>
        </w:tc>
        <w:tc>
          <w:tcPr>
            <w:tcW w:w="1770" w:type="dxa"/>
            <w:vMerge w:val="restart"/>
            <w:vAlign w:val="center"/>
          </w:tcPr>
          <w:p w14:paraId="1FC8725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A02052301制冷压缩机</w:t>
            </w:r>
          </w:p>
        </w:tc>
        <w:tc>
          <w:tcPr>
            <w:tcW w:w="1886" w:type="dxa"/>
            <w:vAlign w:val="center"/>
          </w:tcPr>
          <w:p w14:paraId="7620BA8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冷水机组</w:t>
            </w:r>
          </w:p>
        </w:tc>
        <w:tc>
          <w:tcPr>
            <w:tcW w:w="4293" w:type="dxa"/>
            <w:vAlign w:val="center"/>
          </w:tcPr>
          <w:p w14:paraId="096FA04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《冷水机组能效限定值及能效等级》（GB19577），《低环境温度空气源热泵（冷水）机组能效限定值及能效等级》（GB37480）</w:t>
            </w:r>
          </w:p>
        </w:tc>
      </w:tr>
      <w:tr w14:paraId="565F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1C14F7F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1B5DE78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3C75DEF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1E35B9F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水源热泵机组</w:t>
            </w:r>
          </w:p>
        </w:tc>
        <w:tc>
          <w:tcPr>
            <w:tcW w:w="4293" w:type="dxa"/>
            <w:vAlign w:val="center"/>
          </w:tcPr>
          <w:p w14:paraId="2506482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《水（地）源热泵机组能效限定值及能效等级》（GB30721）</w:t>
            </w:r>
          </w:p>
        </w:tc>
      </w:tr>
      <w:tr w14:paraId="1599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6F20291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79D218A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535A0B2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050C680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溴化锂吸收式冷水机组</w:t>
            </w:r>
          </w:p>
        </w:tc>
        <w:tc>
          <w:tcPr>
            <w:tcW w:w="4293" w:type="dxa"/>
            <w:vAlign w:val="center"/>
          </w:tcPr>
          <w:p w14:paraId="3A96D4C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《溴化锂吸收式冷水机组能效限定值及能效等级》（GB29540）</w:t>
            </w:r>
          </w:p>
        </w:tc>
      </w:tr>
      <w:tr w14:paraId="74B6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D01EAF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62074A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restart"/>
            <w:vAlign w:val="center"/>
          </w:tcPr>
          <w:p w14:paraId="67E616F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A02052305空调机组</w:t>
            </w:r>
          </w:p>
        </w:tc>
        <w:tc>
          <w:tcPr>
            <w:tcW w:w="1886" w:type="dxa"/>
            <w:vAlign w:val="center"/>
          </w:tcPr>
          <w:p w14:paraId="214F1A7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多联式空调（热泵）机组</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制量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14000W</w:t>
            </w:r>
            <w:r>
              <w:rPr>
                <w:rFonts w:hint="eastAsia" w:ascii="宋体" w:hAnsi="宋体" w:eastAsia="宋体" w:cs="宋体"/>
                <w:kern w:val="0"/>
                <w:szCs w:val="21"/>
                <w:highlight w:val="none"/>
                <w:lang w:eastAsia="zh-CN"/>
              </w:rPr>
              <w:t>）</w:t>
            </w:r>
          </w:p>
        </w:tc>
        <w:tc>
          <w:tcPr>
            <w:tcW w:w="4293" w:type="dxa"/>
            <w:vAlign w:val="center"/>
          </w:tcPr>
          <w:p w14:paraId="0AF18E8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《多联式空调（热泵）机组能效限定值及能源效率等级》（GB21454）</w:t>
            </w:r>
          </w:p>
        </w:tc>
      </w:tr>
      <w:tr w14:paraId="4B21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12764E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4FC6335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646A698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2E0DCC8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单元式空气调节机</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制冷量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14000W</w:t>
            </w:r>
            <w:r>
              <w:rPr>
                <w:rFonts w:hint="eastAsia" w:ascii="宋体" w:hAnsi="宋体" w:eastAsia="宋体" w:cs="宋体"/>
                <w:kern w:val="0"/>
                <w:szCs w:val="21"/>
                <w:highlight w:val="none"/>
                <w:lang w:eastAsia="zh-CN"/>
              </w:rPr>
              <w:t>）</w:t>
            </w:r>
          </w:p>
        </w:tc>
        <w:tc>
          <w:tcPr>
            <w:tcW w:w="4293" w:type="dxa"/>
            <w:vAlign w:val="center"/>
          </w:tcPr>
          <w:p w14:paraId="5D4224F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《单元式空气调节机能效限定值及能效等级》（GB19576）《风管送风式空调机组能效限定值及能效等级》（GB37479）</w:t>
            </w:r>
          </w:p>
        </w:tc>
      </w:tr>
      <w:tr w14:paraId="3D8A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0B3754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2E5560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Align w:val="center"/>
          </w:tcPr>
          <w:p w14:paraId="2684238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A02052309专用制冷、空调设备</w:t>
            </w:r>
          </w:p>
        </w:tc>
        <w:tc>
          <w:tcPr>
            <w:tcW w:w="1886" w:type="dxa"/>
            <w:vAlign w:val="center"/>
          </w:tcPr>
          <w:p w14:paraId="06A7596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机房空调</w:t>
            </w:r>
          </w:p>
        </w:tc>
        <w:tc>
          <w:tcPr>
            <w:tcW w:w="4293" w:type="dxa"/>
            <w:vAlign w:val="center"/>
          </w:tcPr>
          <w:p w14:paraId="7DEA7DC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《单元式空气调节机能效限定值及能效等级》（GB19576）</w:t>
            </w:r>
          </w:p>
        </w:tc>
      </w:tr>
      <w:tr w14:paraId="2EA7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29FF4B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306665F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Align w:val="center"/>
          </w:tcPr>
          <w:p w14:paraId="4AA41D7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A02052399其他制冷空调设备</w:t>
            </w:r>
          </w:p>
        </w:tc>
        <w:tc>
          <w:tcPr>
            <w:tcW w:w="1886" w:type="dxa"/>
            <w:vAlign w:val="center"/>
          </w:tcPr>
          <w:p w14:paraId="71F3F70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冷却塔</w:t>
            </w:r>
          </w:p>
        </w:tc>
        <w:tc>
          <w:tcPr>
            <w:tcW w:w="4293" w:type="dxa"/>
            <w:vAlign w:val="center"/>
          </w:tcPr>
          <w:p w14:paraId="4D0760A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《机械通风冷却塔第1部分：中小型开式冷却塔》（GB/T7190.1）</w:t>
            </w:r>
          </w:p>
          <w:p w14:paraId="6C446A0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《机械通风冷却塔第2部分：大型开式冷却塔》（GB/T7190.2）</w:t>
            </w:r>
          </w:p>
        </w:tc>
      </w:tr>
      <w:tr w14:paraId="1406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65FB77F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7</w:t>
            </w:r>
          </w:p>
        </w:tc>
        <w:tc>
          <w:tcPr>
            <w:tcW w:w="956" w:type="dxa"/>
            <w:shd w:val="clear" w:color="auto" w:fill="auto"/>
            <w:vAlign w:val="center"/>
          </w:tcPr>
          <w:p w14:paraId="474E3A2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A020601电机</w:t>
            </w:r>
          </w:p>
        </w:tc>
        <w:tc>
          <w:tcPr>
            <w:tcW w:w="1770" w:type="dxa"/>
            <w:shd w:val="clear" w:color="auto" w:fill="auto"/>
            <w:vAlign w:val="center"/>
          </w:tcPr>
          <w:p w14:paraId="4385BF9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716301D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68DE73E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《中小型三相异步电动机能效限定值及能效等级》（GB18613）</w:t>
            </w:r>
          </w:p>
        </w:tc>
      </w:tr>
      <w:tr w14:paraId="6F41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66764D1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8</w:t>
            </w:r>
          </w:p>
        </w:tc>
        <w:tc>
          <w:tcPr>
            <w:tcW w:w="956" w:type="dxa"/>
            <w:shd w:val="clear" w:color="auto" w:fill="auto"/>
            <w:vAlign w:val="center"/>
          </w:tcPr>
          <w:p w14:paraId="051B2A5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A020602变压器</w:t>
            </w:r>
          </w:p>
        </w:tc>
        <w:tc>
          <w:tcPr>
            <w:tcW w:w="1770" w:type="dxa"/>
            <w:shd w:val="clear" w:color="auto" w:fill="auto"/>
            <w:vAlign w:val="center"/>
          </w:tcPr>
          <w:p w14:paraId="51ACD62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配电变压器</w:t>
            </w:r>
          </w:p>
        </w:tc>
        <w:tc>
          <w:tcPr>
            <w:tcW w:w="1886" w:type="dxa"/>
            <w:shd w:val="clear" w:color="auto" w:fill="auto"/>
            <w:vAlign w:val="center"/>
          </w:tcPr>
          <w:p w14:paraId="3699699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71A5E35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《三相配电变压器能效限定值及能效等级》（GB20052）</w:t>
            </w:r>
          </w:p>
        </w:tc>
      </w:tr>
      <w:tr w14:paraId="17D2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6C10596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9</w:t>
            </w:r>
          </w:p>
        </w:tc>
        <w:tc>
          <w:tcPr>
            <w:tcW w:w="956" w:type="dxa"/>
            <w:shd w:val="clear" w:color="auto" w:fill="auto"/>
            <w:vAlign w:val="center"/>
          </w:tcPr>
          <w:p w14:paraId="0B65FD2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A020609镇流器</w:t>
            </w:r>
          </w:p>
        </w:tc>
        <w:tc>
          <w:tcPr>
            <w:tcW w:w="1770" w:type="dxa"/>
            <w:shd w:val="clear" w:color="auto" w:fill="auto"/>
            <w:vAlign w:val="center"/>
          </w:tcPr>
          <w:p w14:paraId="5A15A3F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管型荧光灯镇流器</w:t>
            </w:r>
          </w:p>
        </w:tc>
        <w:tc>
          <w:tcPr>
            <w:tcW w:w="1886" w:type="dxa"/>
            <w:shd w:val="clear" w:color="auto" w:fill="auto"/>
            <w:vAlign w:val="center"/>
          </w:tcPr>
          <w:p w14:paraId="4C6D43F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2B4AC8D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《管形荧光灯镇流器能效限定值及能效等级》（GB17896）</w:t>
            </w:r>
          </w:p>
        </w:tc>
      </w:tr>
      <w:tr w14:paraId="326F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vAlign w:val="center"/>
          </w:tcPr>
          <w:p w14:paraId="0DD8ACA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10</w:t>
            </w:r>
          </w:p>
        </w:tc>
        <w:tc>
          <w:tcPr>
            <w:tcW w:w="956" w:type="dxa"/>
            <w:vMerge w:val="restart"/>
            <w:vAlign w:val="center"/>
          </w:tcPr>
          <w:p w14:paraId="49F1EE2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A020618生活用电器</w:t>
            </w:r>
          </w:p>
        </w:tc>
        <w:tc>
          <w:tcPr>
            <w:tcW w:w="1770" w:type="dxa"/>
            <w:vAlign w:val="center"/>
          </w:tcPr>
          <w:p w14:paraId="574868E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A0206180101电冰箱</w:t>
            </w:r>
          </w:p>
        </w:tc>
        <w:tc>
          <w:tcPr>
            <w:tcW w:w="1886" w:type="dxa"/>
            <w:vAlign w:val="center"/>
          </w:tcPr>
          <w:p w14:paraId="0C7B5E7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4293" w:type="dxa"/>
            <w:vAlign w:val="center"/>
          </w:tcPr>
          <w:p w14:paraId="73C3657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《家用电冰箱耗电量限定值及能效等级》（GB12021.2）</w:t>
            </w:r>
          </w:p>
        </w:tc>
      </w:tr>
      <w:tr w14:paraId="622F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F0CB87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A6AE4B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restart"/>
            <w:vAlign w:val="center"/>
          </w:tcPr>
          <w:p w14:paraId="1C0DEE3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A0206180203空调机</w:t>
            </w:r>
          </w:p>
        </w:tc>
        <w:tc>
          <w:tcPr>
            <w:tcW w:w="1886" w:type="dxa"/>
            <w:vAlign w:val="center"/>
          </w:tcPr>
          <w:p w14:paraId="051F94F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房间空气调节器</w:t>
            </w:r>
          </w:p>
        </w:tc>
        <w:tc>
          <w:tcPr>
            <w:tcW w:w="4293" w:type="dxa"/>
            <w:vAlign w:val="center"/>
          </w:tcPr>
          <w:p w14:paraId="3EE189E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《转速可控型房间空气调节器能效限定值及能效等级》（GB21455-2013），待2019年修订发布后，按《房间空气调节器能效限定值及能效等级》（GB21455-2019实施。</w:t>
            </w:r>
          </w:p>
        </w:tc>
      </w:tr>
      <w:tr w14:paraId="407B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813293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5D9B157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0C979F8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16246D4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多联式空调（热泵）机组（制冷量</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14000W）</w:t>
            </w:r>
          </w:p>
        </w:tc>
        <w:tc>
          <w:tcPr>
            <w:tcW w:w="4293" w:type="dxa"/>
            <w:vAlign w:val="center"/>
          </w:tcPr>
          <w:p w14:paraId="28D1381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《多联式空调（热泵）机组能效限定值及能源效率等级》（GB21454）</w:t>
            </w:r>
          </w:p>
        </w:tc>
      </w:tr>
      <w:tr w14:paraId="7865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0F22F6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C04745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4F74B41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0927E97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单元式空气调节机</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制冷量≤14000W</w:t>
            </w:r>
            <w:r>
              <w:rPr>
                <w:rFonts w:hint="eastAsia" w:ascii="宋体" w:hAnsi="宋体" w:eastAsia="宋体" w:cs="宋体"/>
                <w:kern w:val="0"/>
                <w:szCs w:val="21"/>
                <w:highlight w:val="none"/>
                <w:lang w:eastAsia="zh-CN"/>
              </w:rPr>
              <w:t>）</w:t>
            </w:r>
          </w:p>
        </w:tc>
        <w:tc>
          <w:tcPr>
            <w:tcW w:w="4293" w:type="dxa"/>
            <w:vAlign w:val="center"/>
          </w:tcPr>
          <w:p w14:paraId="01DDF98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《单元式空气调节机能效限定值及能源效率等级》（GB19576）</w:t>
            </w:r>
          </w:p>
          <w:p w14:paraId="0E598FA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《风管送风式空调机组能效限定值及能效等级》（GB37479）</w:t>
            </w:r>
          </w:p>
        </w:tc>
      </w:tr>
      <w:tr w14:paraId="573A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793C05D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DDA966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Align w:val="center"/>
          </w:tcPr>
          <w:p w14:paraId="45D3712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A0206180301洗衣机</w:t>
            </w:r>
          </w:p>
        </w:tc>
        <w:tc>
          <w:tcPr>
            <w:tcW w:w="1886" w:type="dxa"/>
            <w:vAlign w:val="center"/>
          </w:tcPr>
          <w:p w14:paraId="1D2E4A0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4293" w:type="dxa"/>
            <w:vAlign w:val="center"/>
          </w:tcPr>
          <w:p w14:paraId="5D34FB6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《电动洗衣机能效水效限定值及等级》（GB12021.4）</w:t>
            </w:r>
          </w:p>
        </w:tc>
      </w:tr>
      <w:tr w14:paraId="6DB6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C804AF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2DAA731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restart"/>
            <w:vAlign w:val="center"/>
          </w:tcPr>
          <w:p w14:paraId="3C3BA6B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A02061808热水器</w:t>
            </w:r>
          </w:p>
        </w:tc>
        <w:tc>
          <w:tcPr>
            <w:tcW w:w="1886" w:type="dxa"/>
            <w:vAlign w:val="center"/>
          </w:tcPr>
          <w:p w14:paraId="38A891A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电热水器</w:t>
            </w:r>
          </w:p>
        </w:tc>
        <w:tc>
          <w:tcPr>
            <w:tcW w:w="4293" w:type="dxa"/>
            <w:vAlign w:val="center"/>
          </w:tcPr>
          <w:p w14:paraId="2643A73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《储水式电热水器能效限定值及能效等级》（GB21519）</w:t>
            </w:r>
          </w:p>
        </w:tc>
      </w:tr>
      <w:tr w14:paraId="20C1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5674EBE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E90C55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0575B1A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77D0CF6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燃气热水器</w:t>
            </w:r>
          </w:p>
        </w:tc>
        <w:tc>
          <w:tcPr>
            <w:tcW w:w="4293" w:type="dxa"/>
            <w:vAlign w:val="center"/>
          </w:tcPr>
          <w:p w14:paraId="5F11139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《家用燃气快速热水器和燃气采暖热水炉能效限定值及能效等级》（GB20665）</w:t>
            </w:r>
          </w:p>
        </w:tc>
      </w:tr>
      <w:tr w14:paraId="5701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209D074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54C83B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5F8651B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6B6BCB1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热泵热水器</w:t>
            </w:r>
          </w:p>
        </w:tc>
        <w:tc>
          <w:tcPr>
            <w:tcW w:w="4293" w:type="dxa"/>
            <w:vAlign w:val="center"/>
          </w:tcPr>
          <w:p w14:paraId="7B54576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《热泵热水机（器）能效限定值及能效等级》（GB29541）</w:t>
            </w:r>
          </w:p>
        </w:tc>
      </w:tr>
      <w:tr w14:paraId="5FC1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55EB7A4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7364DAE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vMerge w:val="continue"/>
            <w:vAlign w:val="center"/>
          </w:tcPr>
          <w:p w14:paraId="59A4B16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886" w:type="dxa"/>
            <w:vAlign w:val="center"/>
          </w:tcPr>
          <w:p w14:paraId="654C401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太阳能热水系统</w:t>
            </w:r>
          </w:p>
        </w:tc>
        <w:tc>
          <w:tcPr>
            <w:tcW w:w="4293" w:type="dxa"/>
            <w:vAlign w:val="center"/>
          </w:tcPr>
          <w:p w14:paraId="482E674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r>
              <w:rPr>
                <w:rFonts w:hint="eastAsia" w:ascii="宋体" w:hAnsi="宋体" w:eastAsia="宋体" w:cs="宋体"/>
                <w:kern w:val="0"/>
                <w:szCs w:val="21"/>
                <w:highlight w:val="none"/>
              </w:rPr>
              <w:t>《家用太阳能热水系统能效限定值及能效等级》（GB26969）</w:t>
            </w:r>
          </w:p>
        </w:tc>
      </w:tr>
      <w:tr w14:paraId="6BA9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shd w:val="clear" w:color="auto" w:fill="auto"/>
            <w:vAlign w:val="center"/>
          </w:tcPr>
          <w:p w14:paraId="114B8C5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11</w:t>
            </w:r>
          </w:p>
        </w:tc>
        <w:tc>
          <w:tcPr>
            <w:tcW w:w="956" w:type="dxa"/>
            <w:vMerge w:val="restart"/>
            <w:shd w:val="clear" w:color="auto" w:fill="auto"/>
            <w:vAlign w:val="center"/>
          </w:tcPr>
          <w:p w14:paraId="2B534BD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A020619照明设备</w:t>
            </w:r>
          </w:p>
        </w:tc>
        <w:tc>
          <w:tcPr>
            <w:tcW w:w="1770" w:type="dxa"/>
            <w:shd w:val="clear" w:color="auto" w:fill="auto"/>
            <w:vAlign w:val="center"/>
          </w:tcPr>
          <w:p w14:paraId="569D9EE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普通照明用双端荧光灯</w:t>
            </w:r>
          </w:p>
        </w:tc>
        <w:tc>
          <w:tcPr>
            <w:tcW w:w="1886" w:type="dxa"/>
            <w:shd w:val="clear" w:color="auto" w:fill="auto"/>
            <w:vAlign w:val="center"/>
          </w:tcPr>
          <w:p w14:paraId="22F4157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p>
        </w:tc>
        <w:tc>
          <w:tcPr>
            <w:tcW w:w="4293" w:type="dxa"/>
            <w:shd w:val="clear" w:color="auto" w:fill="auto"/>
            <w:vAlign w:val="center"/>
          </w:tcPr>
          <w:p w14:paraId="40F86E0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《普通照明用双端荧光灯能效限定值及能效等级》（GB19043）</w:t>
            </w:r>
          </w:p>
        </w:tc>
      </w:tr>
      <w:tr w14:paraId="5371B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575FF6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589957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1F25474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LED道路/隧道照明产品</w:t>
            </w:r>
          </w:p>
        </w:tc>
        <w:tc>
          <w:tcPr>
            <w:tcW w:w="1886" w:type="dxa"/>
            <w:shd w:val="clear" w:color="auto" w:fill="auto"/>
            <w:vAlign w:val="center"/>
          </w:tcPr>
          <w:p w14:paraId="112BBDD7">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3907E17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《道路和隧道照明用LED灯具能效限定值及能效等级》（GB37478）</w:t>
            </w:r>
          </w:p>
        </w:tc>
      </w:tr>
      <w:tr w14:paraId="7AC9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7DB807F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587C0493">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269F66E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LED筒灯</w:t>
            </w:r>
          </w:p>
        </w:tc>
        <w:tc>
          <w:tcPr>
            <w:tcW w:w="1886" w:type="dxa"/>
            <w:shd w:val="clear" w:color="auto" w:fill="auto"/>
            <w:vAlign w:val="center"/>
          </w:tcPr>
          <w:p w14:paraId="537B6A0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000DD21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《室内照明用LED产品能效限定值及能效等级》（GB30255）</w:t>
            </w:r>
          </w:p>
        </w:tc>
      </w:tr>
      <w:tr w14:paraId="0C59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3A72E406">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099C08C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68CB748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普通照明用非定向自镇流LED灯</w:t>
            </w:r>
          </w:p>
        </w:tc>
        <w:tc>
          <w:tcPr>
            <w:tcW w:w="1886" w:type="dxa"/>
            <w:shd w:val="clear" w:color="auto" w:fill="auto"/>
            <w:vAlign w:val="center"/>
          </w:tcPr>
          <w:p w14:paraId="64F5170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p>
        </w:tc>
        <w:tc>
          <w:tcPr>
            <w:tcW w:w="4293" w:type="dxa"/>
            <w:shd w:val="clear" w:color="auto" w:fill="auto"/>
            <w:vAlign w:val="center"/>
          </w:tcPr>
          <w:p w14:paraId="7DDB890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《室内照明用LED产品能效限定值及能效等级》（GB30255）</w:t>
            </w:r>
          </w:p>
        </w:tc>
      </w:tr>
      <w:tr w14:paraId="0220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2027A063">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12</w:t>
            </w:r>
          </w:p>
        </w:tc>
        <w:tc>
          <w:tcPr>
            <w:tcW w:w="956" w:type="dxa"/>
            <w:shd w:val="clear" w:color="auto" w:fill="auto"/>
            <w:vAlign w:val="center"/>
          </w:tcPr>
          <w:p w14:paraId="3422D40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A020910电视设备</w:t>
            </w:r>
          </w:p>
        </w:tc>
        <w:tc>
          <w:tcPr>
            <w:tcW w:w="1770" w:type="dxa"/>
            <w:shd w:val="clear" w:color="auto" w:fill="auto"/>
            <w:vAlign w:val="center"/>
          </w:tcPr>
          <w:p w14:paraId="4C674DA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A02091001普通电视设备（电视机）</w:t>
            </w:r>
          </w:p>
        </w:tc>
        <w:tc>
          <w:tcPr>
            <w:tcW w:w="1886" w:type="dxa"/>
            <w:shd w:val="clear" w:color="auto" w:fill="auto"/>
            <w:vAlign w:val="center"/>
          </w:tcPr>
          <w:p w14:paraId="3903618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p>
        </w:tc>
        <w:tc>
          <w:tcPr>
            <w:tcW w:w="4293" w:type="dxa"/>
            <w:shd w:val="clear" w:color="auto" w:fill="auto"/>
            <w:vAlign w:val="center"/>
          </w:tcPr>
          <w:p w14:paraId="13D2E13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《平板电视能效限定值及能效等级》（GB24850）</w:t>
            </w:r>
          </w:p>
        </w:tc>
      </w:tr>
      <w:tr w14:paraId="46C1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108EE1F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13</w:t>
            </w:r>
          </w:p>
        </w:tc>
        <w:tc>
          <w:tcPr>
            <w:tcW w:w="956" w:type="dxa"/>
            <w:shd w:val="clear" w:color="auto" w:fill="auto"/>
            <w:vAlign w:val="center"/>
          </w:tcPr>
          <w:p w14:paraId="41F6992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A020911视频设备</w:t>
            </w:r>
          </w:p>
        </w:tc>
        <w:tc>
          <w:tcPr>
            <w:tcW w:w="1770" w:type="dxa"/>
            <w:shd w:val="clear" w:color="auto" w:fill="auto"/>
            <w:vAlign w:val="center"/>
          </w:tcPr>
          <w:p w14:paraId="2F1B470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A02091107视频监控设备</w:t>
            </w:r>
          </w:p>
        </w:tc>
        <w:tc>
          <w:tcPr>
            <w:tcW w:w="1886" w:type="dxa"/>
            <w:shd w:val="clear" w:color="auto" w:fill="auto"/>
            <w:vAlign w:val="center"/>
          </w:tcPr>
          <w:p w14:paraId="3779B37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监视器</w:t>
            </w:r>
          </w:p>
        </w:tc>
        <w:tc>
          <w:tcPr>
            <w:tcW w:w="4293" w:type="dxa"/>
            <w:shd w:val="clear" w:color="auto" w:fill="auto"/>
            <w:vAlign w:val="center"/>
          </w:tcPr>
          <w:p w14:paraId="1BEFF145">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3AE2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577EA8E0">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14</w:t>
            </w:r>
          </w:p>
        </w:tc>
        <w:tc>
          <w:tcPr>
            <w:tcW w:w="956" w:type="dxa"/>
            <w:shd w:val="clear" w:color="auto" w:fill="auto"/>
            <w:vAlign w:val="center"/>
          </w:tcPr>
          <w:p w14:paraId="1D0DEE81">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A031210饮食炊事机械</w:t>
            </w:r>
          </w:p>
        </w:tc>
        <w:tc>
          <w:tcPr>
            <w:tcW w:w="1770" w:type="dxa"/>
            <w:shd w:val="clear" w:color="auto" w:fill="auto"/>
            <w:vAlign w:val="center"/>
          </w:tcPr>
          <w:p w14:paraId="32EFEDD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商用燃气灶具</w:t>
            </w:r>
          </w:p>
        </w:tc>
        <w:tc>
          <w:tcPr>
            <w:tcW w:w="1886" w:type="dxa"/>
            <w:shd w:val="clear" w:color="auto" w:fill="auto"/>
            <w:vAlign w:val="center"/>
          </w:tcPr>
          <w:p w14:paraId="5C749E2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0404BE7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《商用燃气灶具能效限定值及能效等级》（GB30531）</w:t>
            </w:r>
          </w:p>
        </w:tc>
      </w:tr>
      <w:tr w14:paraId="2C55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restart"/>
            <w:shd w:val="clear" w:color="auto" w:fill="auto"/>
            <w:vAlign w:val="center"/>
          </w:tcPr>
          <w:p w14:paraId="5FD28F2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15</w:t>
            </w:r>
          </w:p>
        </w:tc>
        <w:tc>
          <w:tcPr>
            <w:tcW w:w="956" w:type="dxa"/>
            <w:vMerge w:val="restart"/>
            <w:shd w:val="clear" w:color="auto" w:fill="auto"/>
            <w:vAlign w:val="center"/>
          </w:tcPr>
          <w:p w14:paraId="54F13BC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A060805便器</w:t>
            </w:r>
          </w:p>
        </w:tc>
        <w:tc>
          <w:tcPr>
            <w:tcW w:w="1770" w:type="dxa"/>
            <w:shd w:val="clear" w:color="auto" w:fill="auto"/>
            <w:vAlign w:val="center"/>
          </w:tcPr>
          <w:p w14:paraId="410F6AC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坐便器</w:t>
            </w:r>
          </w:p>
        </w:tc>
        <w:tc>
          <w:tcPr>
            <w:tcW w:w="1886" w:type="dxa"/>
            <w:shd w:val="clear" w:color="auto" w:fill="auto"/>
            <w:vAlign w:val="center"/>
          </w:tcPr>
          <w:p w14:paraId="0ACC9A3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53CD239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《坐便器水效限定值及水效等级》（GB25502）</w:t>
            </w:r>
          </w:p>
        </w:tc>
      </w:tr>
      <w:tr w14:paraId="141B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11497F2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2352BB34">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3449B09E">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蹲便器</w:t>
            </w:r>
          </w:p>
        </w:tc>
        <w:tc>
          <w:tcPr>
            <w:tcW w:w="1886" w:type="dxa"/>
            <w:shd w:val="clear" w:color="auto" w:fill="auto"/>
            <w:vAlign w:val="center"/>
          </w:tcPr>
          <w:p w14:paraId="07EF0D3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75944A2">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《蹲便器用水效率限定值及用水效率等级》（GB30717）</w:t>
            </w:r>
          </w:p>
        </w:tc>
      </w:tr>
      <w:tr w14:paraId="79D9E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Merge w:val="continue"/>
            <w:vAlign w:val="center"/>
          </w:tcPr>
          <w:p w14:paraId="41CF7F0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956" w:type="dxa"/>
            <w:vMerge w:val="continue"/>
            <w:vAlign w:val="center"/>
          </w:tcPr>
          <w:p w14:paraId="3AAE3222">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center"/>
              <w:textAlignment w:val="auto"/>
              <w:rPr>
                <w:rFonts w:hint="eastAsia" w:ascii="宋体" w:hAnsi="宋体" w:eastAsia="宋体" w:cs="宋体"/>
                <w:b/>
                <w:bCs/>
                <w:sz w:val="21"/>
                <w:szCs w:val="21"/>
                <w:highlight w:val="none"/>
                <w:vertAlign w:val="baseline"/>
              </w:rPr>
            </w:pPr>
          </w:p>
        </w:tc>
        <w:tc>
          <w:tcPr>
            <w:tcW w:w="1770" w:type="dxa"/>
            <w:shd w:val="clear" w:color="auto" w:fill="auto"/>
            <w:vAlign w:val="center"/>
          </w:tcPr>
          <w:p w14:paraId="74D6A21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小便器</w:t>
            </w:r>
          </w:p>
        </w:tc>
        <w:tc>
          <w:tcPr>
            <w:tcW w:w="1886" w:type="dxa"/>
            <w:shd w:val="clear" w:color="auto" w:fill="auto"/>
            <w:vAlign w:val="center"/>
          </w:tcPr>
          <w:p w14:paraId="5EE2BA3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02161B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《小便器用水效率限定值及用水效率等级》（GB28377）</w:t>
            </w:r>
          </w:p>
        </w:tc>
      </w:tr>
      <w:tr w14:paraId="4610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744A329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16</w:t>
            </w:r>
          </w:p>
        </w:tc>
        <w:tc>
          <w:tcPr>
            <w:tcW w:w="956" w:type="dxa"/>
            <w:shd w:val="clear" w:color="auto" w:fill="auto"/>
            <w:vAlign w:val="center"/>
          </w:tcPr>
          <w:p w14:paraId="37CD3A0D">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A060806水嘴</w:t>
            </w:r>
          </w:p>
        </w:tc>
        <w:tc>
          <w:tcPr>
            <w:tcW w:w="1770" w:type="dxa"/>
            <w:shd w:val="clear" w:color="auto" w:fill="auto"/>
            <w:vAlign w:val="center"/>
          </w:tcPr>
          <w:p w14:paraId="3C61C3B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662B2C2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1576517A">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《水嘴用水效率限定值及用水效率等级》（GB 25501）</w:t>
            </w:r>
          </w:p>
        </w:tc>
      </w:tr>
      <w:tr w14:paraId="442D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58BBC7D4">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17</w:t>
            </w:r>
          </w:p>
        </w:tc>
        <w:tc>
          <w:tcPr>
            <w:tcW w:w="956" w:type="dxa"/>
            <w:shd w:val="clear" w:color="auto" w:fill="auto"/>
            <w:vAlign w:val="center"/>
          </w:tcPr>
          <w:p w14:paraId="6B8877C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A060807便器冲洗阀</w:t>
            </w:r>
          </w:p>
        </w:tc>
        <w:tc>
          <w:tcPr>
            <w:tcW w:w="1770" w:type="dxa"/>
            <w:shd w:val="clear" w:color="auto" w:fill="auto"/>
            <w:vAlign w:val="center"/>
          </w:tcPr>
          <w:p w14:paraId="1F87699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6EC488AF">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405F22E6">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《便器冲洗阀用水效率限定值及用水效率等级》（GB28379）</w:t>
            </w:r>
          </w:p>
        </w:tc>
      </w:tr>
      <w:tr w14:paraId="283E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316C33F8">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18</w:t>
            </w:r>
          </w:p>
        </w:tc>
        <w:tc>
          <w:tcPr>
            <w:tcW w:w="956" w:type="dxa"/>
            <w:shd w:val="clear" w:color="auto" w:fill="auto"/>
            <w:vAlign w:val="center"/>
          </w:tcPr>
          <w:p w14:paraId="31FDF92B">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A060810淋浴器</w:t>
            </w:r>
          </w:p>
        </w:tc>
        <w:tc>
          <w:tcPr>
            <w:tcW w:w="1770" w:type="dxa"/>
            <w:shd w:val="clear" w:color="auto" w:fill="auto"/>
            <w:vAlign w:val="center"/>
          </w:tcPr>
          <w:p w14:paraId="0E51CB3C">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1886" w:type="dxa"/>
            <w:shd w:val="clear" w:color="auto" w:fill="auto"/>
            <w:vAlign w:val="center"/>
          </w:tcPr>
          <w:p w14:paraId="5FC2624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en-US" w:bidi="ar-SA"/>
              </w:rPr>
            </w:pPr>
          </w:p>
        </w:tc>
        <w:tc>
          <w:tcPr>
            <w:tcW w:w="4293" w:type="dxa"/>
            <w:shd w:val="clear" w:color="auto" w:fill="auto"/>
            <w:vAlign w:val="center"/>
          </w:tcPr>
          <w:p w14:paraId="37FF1699">
            <w:pPr>
              <w:keepNext w:val="0"/>
              <w:keepLines w:val="0"/>
              <w:pageBreakBefore w:val="0"/>
              <w:widowControl w:val="0"/>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rPr>
              <w:t>《淋浴器用水效率限定值及用水效率等级》（GB28378）</w:t>
            </w:r>
          </w:p>
        </w:tc>
      </w:tr>
    </w:tbl>
    <w:p w14:paraId="06219DE1">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w:t>
      </w:r>
    </w:p>
    <w:p w14:paraId="69670848">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1.节能产品认证应依据相关国家标准的最新版本，依据国家标准中二级能效（水效）指标。</w:t>
      </w:r>
    </w:p>
    <w:p w14:paraId="4E97777D">
      <w:pPr>
        <w:keepNext w:val="0"/>
        <w:keepLines w:val="0"/>
        <w:pageBreakBefore w:val="0"/>
        <w:widowControl w:val="0"/>
        <w:kinsoku/>
        <w:wordWrap/>
        <w:overflowPunct/>
        <w:topLinePunct w:val="0"/>
        <w:autoSpaceDE/>
        <w:autoSpaceDN/>
        <w:bidi w:val="0"/>
        <w:adjustRightInd/>
        <w:snapToGrid w:val="0"/>
        <w:spacing w:line="400" w:lineRule="exact"/>
        <w:ind w:firstLine="42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1"/>
          <w:szCs w:val="21"/>
          <w:highlight w:val="none"/>
        </w:rPr>
        <w:t>2.以“★”标注的为政府强制采购产品。</w:t>
      </w:r>
    </w:p>
    <w:p w14:paraId="5C8D32DD">
      <w:pPr>
        <w:pStyle w:val="3"/>
        <w:keepNext/>
        <w:keepLines/>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bookmarkStart w:id="39" w:name="_Toc18288"/>
      <w:r>
        <w:rPr>
          <w:rFonts w:hint="eastAsia" w:ascii="宋体" w:hAnsi="宋体" w:eastAsia="宋体" w:cs="宋体"/>
          <w:sz w:val="28"/>
          <w:szCs w:val="28"/>
          <w:highlight w:val="none"/>
          <w:lang w:val="en-US" w:eastAsia="zh-CN"/>
        </w:rPr>
        <w:t>附件2：</w:t>
      </w:r>
      <w:bookmarkEnd w:id="39"/>
    </w:p>
    <w:p w14:paraId="5B144B04">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中小微企业划型标准</w:t>
      </w:r>
    </w:p>
    <w:p w14:paraId="739341BA">
      <w:pPr>
        <w:ind w:left="1871"/>
        <w:rPr>
          <w:rFonts w:hint="eastAsia" w:ascii="宋体" w:hAnsi="宋体" w:eastAsia="宋体" w:cs="宋体"/>
          <w:szCs w:val="21"/>
          <w:highlight w:val="none"/>
        </w:rPr>
      </w:pPr>
    </w:p>
    <w:tbl>
      <w:tblPr>
        <w:tblStyle w:val="52"/>
        <w:tblW w:w="9890" w:type="dxa"/>
        <w:jc w:val="center"/>
        <w:tblLayout w:type="fixed"/>
        <w:tblCellMar>
          <w:top w:w="0" w:type="dxa"/>
          <w:left w:w="108" w:type="dxa"/>
          <w:bottom w:w="0" w:type="dxa"/>
          <w:right w:w="108" w:type="dxa"/>
        </w:tblCellMar>
      </w:tblPr>
      <w:tblGrid>
        <w:gridCol w:w="2007"/>
        <w:gridCol w:w="1281"/>
        <w:gridCol w:w="1080"/>
        <w:gridCol w:w="2118"/>
        <w:gridCol w:w="1701"/>
        <w:gridCol w:w="1703"/>
      </w:tblGrid>
      <w:tr w14:paraId="1C5CFBA6">
        <w:tblPrEx>
          <w:tblCellMar>
            <w:top w:w="0" w:type="dxa"/>
            <w:left w:w="108" w:type="dxa"/>
            <w:bottom w:w="0" w:type="dxa"/>
            <w:right w:w="108" w:type="dxa"/>
          </w:tblCellMar>
        </w:tblPrEx>
        <w:trPr>
          <w:trHeight w:val="567" w:hRule="atLeast"/>
          <w:jc w:val="center"/>
        </w:trPr>
        <w:tc>
          <w:tcPr>
            <w:tcW w:w="2007" w:type="dxa"/>
            <w:tcBorders>
              <w:top w:val="single" w:color="auto" w:sz="4" w:space="0"/>
              <w:left w:val="single" w:color="auto" w:sz="4" w:space="0"/>
              <w:bottom w:val="single" w:color="auto" w:sz="4" w:space="0"/>
              <w:right w:val="single" w:color="auto" w:sz="4" w:space="0"/>
            </w:tcBorders>
            <w:noWrap w:val="0"/>
            <w:vAlign w:val="center"/>
          </w:tcPr>
          <w:p w14:paraId="264140E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行业名称</w:t>
            </w:r>
          </w:p>
        </w:tc>
        <w:tc>
          <w:tcPr>
            <w:tcW w:w="1281" w:type="dxa"/>
            <w:tcBorders>
              <w:top w:val="single" w:color="auto" w:sz="4" w:space="0"/>
              <w:left w:val="nil"/>
              <w:bottom w:val="single" w:color="auto" w:sz="4" w:space="0"/>
              <w:right w:val="single" w:color="auto" w:sz="4" w:space="0"/>
            </w:tcBorders>
            <w:noWrap w:val="0"/>
            <w:vAlign w:val="center"/>
          </w:tcPr>
          <w:p w14:paraId="4A5C99B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指标名称</w:t>
            </w:r>
          </w:p>
        </w:tc>
        <w:tc>
          <w:tcPr>
            <w:tcW w:w="1080" w:type="dxa"/>
            <w:tcBorders>
              <w:top w:val="single" w:color="auto" w:sz="4" w:space="0"/>
              <w:left w:val="nil"/>
              <w:bottom w:val="single" w:color="auto" w:sz="4" w:space="0"/>
              <w:right w:val="single" w:color="auto" w:sz="4" w:space="0"/>
            </w:tcBorders>
            <w:noWrap w:val="0"/>
            <w:vAlign w:val="center"/>
          </w:tcPr>
          <w:p w14:paraId="457B982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计量单位</w:t>
            </w:r>
          </w:p>
        </w:tc>
        <w:tc>
          <w:tcPr>
            <w:tcW w:w="2118" w:type="dxa"/>
            <w:tcBorders>
              <w:top w:val="single" w:color="auto" w:sz="4" w:space="0"/>
              <w:left w:val="nil"/>
              <w:bottom w:val="single" w:color="auto" w:sz="4" w:space="0"/>
              <w:right w:val="single" w:color="auto" w:sz="4" w:space="0"/>
            </w:tcBorders>
            <w:noWrap w:val="0"/>
            <w:vAlign w:val="center"/>
          </w:tcPr>
          <w:p w14:paraId="0BF2973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761FEC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小型</w:t>
            </w:r>
          </w:p>
        </w:tc>
        <w:tc>
          <w:tcPr>
            <w:tcW w:w="1703" w:type="dxa"/>
            <w:tcBorders>
              <w:top w:val="single" w:color="auto" w:sz="4" w:space="0"/>
              <w:left w:val="nil"/>
              <w:bottom w:val="single" w:color="auto" w:sz="4" w:space="0"/>
              <w:right w:val="single" w:color="auto" w:sz="4" w:space="0"/>
            </w:tcBorders>
            <w:noWrap w:val="0"/>
            <w:vAlign w:val="center"/>
          </w:tcPr>
          <w:p w14:paraId="704B4C7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kern w:val="0"/>
                <w:szCs w:val="21"/>
                <w:highlight w:val="none"/>
              </w:rPr>
            </w:pPr>
            <w:r>
              <w:rPr>
                <w:rFonts w:hint="eastAsia" w:ascii="宋体" w:hAnsi="宋体" w:eastAsia="宋体" w:cs="宋体"/>
                <w:b/>
                <w:kern w:val="0"/>
                <w:szCs w:val="21"/>
                <w:highlight w:val="none"/>
              </w:rPr>
              <w:t>微型</w:t>
            </w:r>
          </w:p>
        </w:tc>
      </w:tr>
      <w:tr w14:paraId="668D1F67">
        <w:tblPrEx>
          <w:tblCellMar>
            <w:top w:w="0" w:type="dxa"/>
            <w:left w:w="108" w:type="dxa"/>
            <w:bottom w:w="0" w:type="dxa"/>
            <w:right w:w="108" w:type="dxa"/>
          </w:tblCellMar>
        </w:tblPrEx>
        <w:trPr>
          <w:trHeight w:val="567" w:hRule="atLeast"/>
          <w:jc w:val="center"/>
        </w:trPr>
        <w:tc>
          <w:tcPr>
            <w:tcW w:w="2007" w:type="dxa"/>
            <w:tcBorders>
              <w:top w:val="nil"/>
              <w:left w:val="single" w:color="auto" w:sz="4" w:space="0"/>
              <w:bottom w:val="single" w:color="auto" w:sz="4" w:space="0"/>
              <w:right w:val="single" w:color="auto" w:sz="4" w:space="0"/>
            </w:tcBorders>
            <w:noWrap w:val="0"/>
            <w:vAlign w:val="center"/>
          </w:tcPr>
          <w:p w14:paraId="064C34F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农、林、牧、渔</w:t>
            </w:r>
          </w:p>
        </w:tc>
        <w:tc>
          <w:tcPr>
            <w:tcW w:w="1281" w:type="dxa"/>
            <w:tcBorders>
              <w:top w:val="nil"/>
              <w:left w:val="nil"/>
              <w:bottom w:val="single" w:color="auto" w:sz="4" w:space="0"/>
              <w:right w:val="single" w:color="auto" w:sz="4" w:space="0"/>
            </w:tcBorders>
            <w:noWrap w:val="0"/>
            <w:vAlign w:val="center"/>
          </w:tcPr>
          <w:p w14:paraId="5758661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0A04B22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3319251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500≤Y＜20000</w:t>
            </w:r>
          </w:p>
        </w:tc>
        <w:tc>
          <w:tcPr>
            <w:tcW w:w="1701" w:type="dxa"/>
            <w:tcBorders>
              <w:top w:val="nil"/>
              <w:left w:val="nil"/>
              <w:bottom w:val="single" w:color="auto" w:sz="4" w:space="0"/>
              <w:right w:val="single" w:color="auto" w:sz="4" w:space="0"/>
            </w:tcBorders>
            <w:noWrap w:val="0"/>
            <w:vAlign w:val="center"/>
          </w:tcPr>
          <w:p w14:paraId="7CBD8D8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50≤Y＜500</w:t>
            </w:r>
          </w:p>
        </w:tc>
        <w:tc>
          <w:tcPr>
            <w:tcW w:w="1703" w:type="dxa"/>
            <w:tcBorders>
              <w:top w:val="nil"/>
              <w:left w:val="nil"/>
              <w:bottom w:val="single" w:color="auto" w:sz="4" w:space="0"/>
              <w:right w:val="single" w:color="auto" w:sz="4" w:space="0"/>
            </w:tcBorders>
            <w:noWrap w:val="0"/>
            <w:vAlign w:val="center"/>
          </w:tcPr>
          <w:p w14:paraId="065279B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Y＜50</w:t>
            </w:r>
          </w:p>
        </w:tc>
      </w:tr>
      <w:tr w14:paraId="5A95307E">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2A7821A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工业</w:t>
            </w:r>
          </w:p>
        </w:tc>
        <w:tc>
          <w:tcPr>
            <w:tcW w:w="1281" w:type="dxa"/>
            <w:tcBorders>
              <w:top w:val="nil"/>
              <w:left w:val="nil"/>
              <w:bottom w:val="single" w:color="auto" w:sz="4" w:space="0"/>
              <w:right w:val="single" w:color="auto" w:sz="4" w:space="0"/>
            </w:tcBorders>
            <w:noWrap w:val="0"/>
            <w:vAlign w:val="center"/>
          </w:tcPr>
          <w:p w14:paraId="723AAF6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33D2842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14BA47C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＜1000</w:t>
            </w:r>
          </w:p>
        </w:tc>
        <w:tc>
          <w:tcPr>
            <w:tcW w:w="1701" w:type="dxa"/>
            <w:tcBorders>
              <w:top w:val="nil"/>
              <w:left w:val="nil"/>
              <w:bottom w:val="single" w:color="auto" w:sz="4" w:space="0"/>
              <w:right w:val="single" w:color="auto" w:sz="4" w:space="0"/>
            </w:tcBorders>
            <w:noWrap w:val="0"/>
            <w:vAlign w:val="center"/>
          </w:tcPr>
          <w:p w14:paraId="50D4727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＜300</w:t>
            </w:r>
          </w:p>
        </w:tc>
        <w:tc>
          <w:tcPr>
            <w:tcW w:w="1703" w:type="dxa"/>
            <w:tcBorders>
              <w:top w:val="nil"/>
              <w:left w:val="nil"/>
              <w:bottom w:val="single" w:color="auto" w:sz="4" w:space="0"/>
              <w:right w:val="single" w:color="auto" w:sz="4" w:space="0"/>
            </w:tcBorders>
            <w:noWrap w:val="0"/>
            <w:vAlign w:val="center"/>
          </w:tcPr>
          <w:p w14:paraId="0B7FE9E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＜20</w:t>
            </w:r>
          </w:p>
        </w:tc>
      </w:tr>
      <w:tr w14:paraId="1CE34F05">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7754931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6BCF22A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7B6CA21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73608A9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2000≤Y＜40000</w:t>
            </w:r>
          </w:p>
        </w:tc>
        <w:tc>
          <w:tcPr>
            <w:tcW w:w="1701" w:type="dxa"/>
            <w:tcBorders>
              <w:top w:val="nil"/>
              <w:left w:val="nil"/>
              <w:bottom w:val="single" w:color="auto" w:sz="4" w:space="0"/>
              <w:right w:val="single" w:color="auto" w:sz="4" w:space="0"/>
            </w:tcBorders>
            <w:noWrap w:val="0"/>
            <w:vAlign w:val="center"/>
          </w:tcPr>
          <w:p w14:paraId="6840E92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300≤Y＜2000</w:t>
            </w:r>
          </w:p>
        </w:tc>
        <w:tc>
          <w:tcPr>
            <w:tcW w:w="1703" w:type="dxa"/>
            <w:tcBorders>
              <w:top w:val="nil"/>
              <w:left w:val="nil"/>
              <w:bottom w:val="single" w:color="auto" w:sz="4" w:space="0"/>
              <w:right w:val="single" w:color="auto" w:sz="4" w:space="0"/>
            </w:tcBorders>
            <w:noWrap w:val="0"/>
            <w:vAlign w:val="center"/>
          </w:tcPr>
          <w:p w14:paraId="35BB3F6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Y＜300</w:t>
            </w:r>
          </w:p>
        </w:tc>
      </w:tr>
      <w:tr w14:paraId="273CA822">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18F9907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建筑业</w:t>
            </w:r>
          </w:p>
        </w:tc>
        <w:tc>
          <w:tcPr>
            <w:tcW w:w="1281" w:type="dxa"/>
            <w:tcBorders>
              <w:top w:val="nil"/>
              <w:left w:val="nil"/>
              <w:bottom w:val="single" w:color="auto" w:sz="4" w:space="0"/>
              <w:right w:val="single" w:color="auto" w:sz="4" w:space="0"/>
            </w:tcBorders>
            <w:noWrap w:val="0"/>
            <w:vAlign w:val="center"/>
          </w:tcPr>
          <w:p w14:paraId="6750284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67D6E0E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490F2C1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6000≤Y＜80000</w:t>
            </w:r>
          </w:p>
        </w:tc>
        <w:tc>
          <w:tcPr>
            <w:tcW w:w="1701" w:type="dxa"/>
            <w:tcBorders>
              <w:top w:val="nil"/>
              <w:left w:val="nil"/>
              <w:bottom w:val="single" w:color="auto" w:sz="4" w:space="0"/>
              <w:right w:val="single" w:color="auto" w:sz="4" w:space="0"/>
            </w:tcBorders>
            <w:noWrap w:val="0"/>
            <w:vAlign w:val="center"/>
          </w:tcPr>
          <w:p w14:paraId="67BA7A7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300≤Y＜6000</w:t>
            </w:r>
          </w:p>
        </w:tc>
        <w:tc>
          <w:tcPr>
            <w:tcW w:w="1703" w:type="dxa"/>
            <w:tcBorders>
              <w:top w:val="nil"/>
              <w:left w:val="nil"/>
              <w:bottom w:val="single" w:color="auto" w:sz="4" w:space="0"/>
              <w:right w:val="single" w:color="auto" w:sz="4" w:space="0"/>
            </w:tcBorders>
            <w:noWrap w:val="0"/>
            <w:vAlign w:val="center"/>
          </w:tcPr>
          <w:p w14:paraId="40B89B9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Y＜300</w:t>
            </w:r>
          </w:p>
        </w:tc>
      </w:tr>
      <w:tr w14:paraId="1F9C364A">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6C48C67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29233E7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资产总额（Z）</w:t>
            </w:r>
          </w:p>
        </w:tc>
        <w:tc>
          <w:tcPr>
            <w:tcW w:w="1080" w:type="dxa"/>
            <w:tcBorders>
              <w:top w:val="nil"/>
              <w:left w:val="nil"/>
              <w:bottom w:val="single" w:color="auto" w:sz="4" w:space="0"/>
              <w:right w:val="single" w:color="auto" w:sz="4" w:space="0"/>
            </w:tcBorders>
            <w:noWrap w:val="0"/>
            <w:vAlign w:val="center"/>
          </w:tcPr>
          <w:p w14:paraId="3EA4573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413AF90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5000≤Z＜80000</w:t>
            </w:r>
          </w:p>
        </w:tc>
        <w:tc>
          <w:tcPr>
            <w:tcW w:w="1701" w:type="dxa"/>
            <w:tcBorders>
              <w:top w:val="nil"/>
              <w:left w:val="nil"/>
              <w:bottom w:val="single" w:color="auto" w:sz="4" w:space="0"/>
              <w:right w:val="single" w:color="auto" w:sz="4" w:space="0"/>
            </w:tcBorders>
            <w:noWrap w:val="0"/>
            <w:vAlign w:val="center"/>
          </w:tcPr>
          <w:p w14:paraId="33CC752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300≤Z＜5000</w:t>
            </w:r>
          </w:p>
        </w:tc>
        <w:tc>
          <w:tcPr>
            <w:tcW w:w="1703" w:type="dxa"/>
            <w:tcBorders>
              <w:top w:val="nil"/>
              <w:left w:val="nil"/>
              <w:bottom w:val="single" w:color="auto" w:sz="4" w:space="0"/>
              <w:right w:val="single" w:color="auto" w:sz="4" w:space="0"/>
            </w:tcBorders>
            <w:noWrap w:val="0"/>
            <w:vAlign w:val="center"/>
          </w:tcPr>
          <w:p w14:paraId="40E761A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Z＜300</w:t>
            </w:r>
          </w:p>
        </w:tc>
      </w:tr>
      <w:tr w14:paraId="3F3B022A">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69BCD14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批发业</w:t>
            </w:r>
          </w:p>
        </w:tc>
        <w:tc>
          <w:tcPr>
            <w:tcW w:w="1281" w:type="dxa"/>
            <w:tcBorders>
              <w:top w:val="nil"/>
              <w:left w:val="nil"/>
              <w:bottom w:val="single" w:color="auto" w:sz="4" w:space="0"/>
              <w:right w:val="single" w:color="auto" w:sz="4" w:space="0"/>
            </w:tcBorders>
            <w:noWrap w:val="0"/>
            <w:vAlign w:val="center"/>
          </w:tcPr>
          <w:p w14:paraId="6C3CE7A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173D4D1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34F9091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＜200</w:t>
            </w:r>
          </w:p>
        </w:tc>
        <w:tc>
          <w:tcPr>
            <w:tcW w:w="1701" w:type="dxa"/>
            <w:tcBorders>
              <w:top w:val="nil"/>
              <w:left w:val="nil"/>
              <w:bottom w:val="single" w:color="auto" w:sz="4" w:space="0"/>
              <w:right w:val="single" w:color="auto" w:sz="4" w:space="0"/>
            </w:tcBorders>
            <w:noWrap w:val="0"/>
            <w:vAlign w:val="center"/>
          </w:tcPr>
          <w:p w14:paraId="3A11146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＜20</w:t>
            </w:r>
          </w:p>
        </w:tc>
        <w:tc>
          <w:tcPr>
            <w:tcW w:w="1703" w:type="dxa"/>
            <w:tcBorders>
              <w:top w:val="nil"/>
              <w:left w:val="nil"/>
              <w:bottom w:val="single" w:color="auto" w:sz="4" w:space="0"/>
              <w:right w:val="single" w:color="auto" w:sz="4" w:space="0"/>
            </w:tcBorders>
            <w:noWrap w:val="0"/>
            <w:vAlign w:val="center"/>
          </w:tcPr>
          <w:p w14:paraId="7FF25E6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＜5</w:t>
            </w:r>
          </w:p>
        </w:tc>
      </w:tr>
      <w:tr w14:paraId="29FC07EB">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0B6C082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05C4601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15E0E95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073D8EF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5000≤Y＜40000</w:t>
            </w:r>
          </w:p>
        </w:tc>
        <w:tc>
          <w:tcPr>
            <w:tcW w:w="1701" w:type="dxa"/>
            <w:tcBorders>
              <w:top w:val="nil"/>
              <w:left w:val="nil"/>
              <w:bottom w:val="single" w:color="auto" w:sz="4" w:space="0"/>
              <w:right w:val="single" w:color="auto" w:sz="4" w:space="0"/>
            </w:tcBorders>
            <w:noWrap w:val="0"/>
            <w:vAlign w:val="center"/>
          </w:tcPr>
          <w:p w14:paraId="419FD65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1000≤Y＜5000</w:t>
            </w:r>
          </w:p>
        </w:tc>
        <w:tc>
          <w:tcPr>
            <w:tcW w:w="1703" w:type="dxa"/>
            <w:tcBorders>
              <w:top w:val="nil"/>
              <w:left w:val="nil"/>
              <w:bottom w:val="single" w:color="auto" w:sz="4" w:space="0"/>
              <w:right w:val="single" w:color="auto" w:sz="4" w:space="0"/>
            </w:tcBorders>
            <w:noWrap w:val="0"/>
            <w:vAlign w:val="center"/>
          </w:tcPr>
          <w:p w14:paraId="1ACF950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Y＜1000</w:t>
            </w:r>
          </w:p>
        </w:tc>
      </w:tr>
      <w:tr w14:paraId="7C5DDF4E">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01910AC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零售业</w:t>
            </w:r>
          </w:p>
        </w:tc>
        <w:tc>
          <w:tcPr>
            <w:tcW w:w="1281" w:type="dxa"/>
            <w:tcBorders>
              <w:top w:val="nil"/>
              <w:left w:val="nil"/>
              <w:bottom w:val="single" w:color="auto" w:sz="4" w:space="0"/>
              <w:right w:val="single" w:color="auto" w:sz="4" w:space="0"/>
            </w:tcBorders>
            <w:noWrap w:val="0"/>
            <w:vAlign w:val="center"/>
          </w:tcPr>
          <w:p w14:paraId="2E17093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39C4923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0EB3CC2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＜300</w:t>
            </w:r>
          </w:p>
        </w:tc>
        <w:tc>
          <w:tcPr>
            <w:tcW w:w="1701" w:type="dxa"/>
            <w:tcBorders>
              <w:top w:val="nil"/>
              <w:left w:val="nil"/>
              <w:bottom w:val="single" w:color="auto" w:sz="4" w:space="0"/>
              <w:right w:val="single" w:color="auto" w:sz="4" w:space="0"/>
            </w:tcBorders>
            <w:noWrap w:val="0"/>
            <w:vAlign w:val="center"/>
          </w:tcPr>
          <w:p w14:paraId="1042011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＜50</w:t>
            </w:r>
          </w:p>
        </w:tc>
        <w:tc>
          <w:tcPr>
            <w:tcW w:w="1703" w:type="dxa"/>
            <w:tcBorders>
              <w:top w:val="nil"/>
              <w:left w:val="nil"/>
              <w:bottom w:val="single" w:color="auto" w:sz="4" w:space="0"/>
              <w:right w:val="single" w:color="auto" w:sz="4" w:space="0"/>
            </w:tcBorders>
            <w:noWrap w:val="0"/>
            <w:vAlign w:val="center"/>
          </w:tcPr>
          <w:p w14:paraId="05FD815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w:t>
            </w:r>
          </w:p>
        </w:tc>
      </w:tr>
      <w:tr w14:paraId="14961D55">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4A70877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4F9C0D8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5F455A0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7E7A64D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500≤Y＜20000</w:t>
            </w:r>
          </w:p>
        </w:tc>
        <w:tc>
          <w:tcPr>
            <w:tcW w:w="1701" w:type="dxa"/>
            <w:tcBorders>
              <w:top w:val="nil"/>
              <w:left w:val="nil"/>
              <w:bottom w:val="single" w:color="auto" w:sz="4" w:space="0"/>
              <w:right w:val="single" w:color="auto" w:sz="4" w:space="0"/>
            </w:tcBorders>
            <w:noWrap w:val="0"/>
            <w:vAlign w:val="center"/>
          </w:tcPr>
          <w:p w14:paraId="53EB08B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100≤Y＜500</w:t>
            </w:r>
          </w:p>
        </w:tc>
        <w:tc>
          <w:tcPr>
            <w:tcW w:w="1703" w:type="dxa"/>
            <w:tcBorders>
              <w:top w:val="nil"/>
              <w:left w:val="nil"/>
              <w:bottom w:val="single" w:color="auto" w:sz="4" w:space="0"/>
              <w:right w:val="single" w:color="auto" w:sz="4" w:space="0"/>
            </w:tcBorders>
            <w:noWrap w:val="0"/>
            <w:vAlign w:val="center"/>
          </w:tcPr>
          <w:p w14:paraId="0D6A6AD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11824C44">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56CE02A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交通运输业</w:t>
            </w:r>
          </w:p>
        </w:tc>
        <w:tc>
          <w:tcPr>
            <w:tcW w:w="1281" w:type="dxa"/>
            <w:tcBorders>
              <w:top w:val="nil"/>
              <w:left w:val="nil"/>
              <w:bottom w:val="single" w:color="auto" w:sz="4" w:space="0"/>
              <w:right w:val="single" w:color="auto" w:sz="4" w:space="0"/>
            </w:tcBorders>
            <w:noWrap w:val="0"/>
            <w:vAlign w:val="center"/>
          </w:tcPr>
          <w:p w14:paraId="475E2F4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48AD570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7C0F1D0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＜1000</w:t>
            </w:r>
          </w:p>
        </w:tc>
        <w:tc>
          <w:tcPr>
            <w:tcW w:w="1701" w:type="dxa"/>
            <w:tcBorders>
              <w:top w:val="nil"/>
              <w:left w:val="nil"/>
              <w:bottom w:val="single" w:color="auto" w:sz="4" w:space="0"/>
              <w:right w:val="single" w:color="auto" w:sz="4" w:space="0"/>
            </w:tcBorders>
            <w:noWrap w:val="0"/>
            <w:vAlign w:val="center"/>
          </w:tcPr>
          <w:p w14:paraId="3070742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＜300</w:t>
            </w:r>
          </w:p>
        </w:tc>
        <w:tc>
          <w:tcPr>
            <w:tcW w:w="1703" w:type="dxa"/>
            <w:tcBorders>
              <w:top w:val="nil"/>
              <w:left w:val="nil"/>
              <w:bottom w:val="single" w:color="auto" w:sz="4" w:space="0"/>
              <w:right w:val="single" w:color="auto" w:sz="4" w:space="0"/>
            </w:tcBorders>
            <w:noWrap w:val="0"/>
            <w:vAlign w:val="center"/>
          </w:tcPr>
          <w:p w14:paraId="17C9C8F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＜20</w:t>
            </w:r>
          </w:p>
        </w:tc>
      </w:tr>
      <w:tr w14:paraId="4B7E4311">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2F6C5D8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5F33F56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1914FA4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38E0543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3000≤Y＜30000</w:t>
            </w:r>
          </w:p>
        </w:tc>
        <w:tc>
          <w:tcPr>
            <w:tcW w:w="1701" w:type="dxa"/>
            <w:tcBorders>
              <w:top w:val="nil"/>
              <w:left w:val="nil"/>
              <w:bottom w:val="single" w:color="auto" w:sz="4" w:space="0"/>
              <w:right w:val="single" w:color="auto" w:sz="4" w:space="0"/>
            </w:tcBorders>
            <w:noWrap w:val="0"/>
            <w:vAlign w:val="center"/>
          </w:tcPr>
          <w:p w14:paraId="787F6CF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200≤Y＜3000</w:t>
            </w:r>
          </w:p>
        </w:tc>
        <w:tc>
          <w:tcPr>
            <w:tcW w:w="1703" w:type="dxa"/>
            <w:tcBorders>
              <w:top w:val="nil"/>
              <w:left w:val="nil"/>
              <w:bottom w:val="single" w:color="auto" w:sz="4" w:space="0"/>
              <w:right w:val="single" w:color="auto" w:sz="4" w:space="0"/>
            </w:tcBorders>
            <w:noWrap w:val="0"/>
            <w:vAlign w:val="center"/>
          </w:tcPr>
          <w:p w14:paraId="4D5310F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Y＜200</w:t>
            </w:r>
          </w:p>
        </w:tc>
      </w:tr>
      <w:tr w14:paraId="3285E021">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3D591F1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仓储业</w:t>
            </w:r>
          </w:p>
        </w:tc>
        <w:tc>
          <w:tcPr>
            <w:tcW w:w="1281" w:type="dxa"/>
            <w:tcBorders>
              <w:top w:val="nil"/>
              <w:left w:val="nil"/>
              <w:bottom w:val="single" w:color="auto" w:sz="4" w:space="0"/>
              <w:right w:val="single" w:color="auto" w:sz="4" w:space="0"/>
            </w:tcBorders>
            <w:noWrap w:val="0"/>
            <w:vAlign w:val="center"/>
          </w:tcPr>
          <w:p w14:paraId="4FEFDE3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7C51C5C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153F565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＜200</w:t>
            </w:r>
          </w:p>
        </w:tc>
        <w:tc>
          <w:tcPr>
            <w:tcW w:w="1701" w:type="dxa"/>
            <w:tcBorders>
              <w:top w:val="nil"/>
              <w:left w:val="nil"/>
              <w:bottom w:val="single" w:color="auto" w:sz="4" w:space="0"/>
              <w:right w:val="single" w:color="auto" w:sz="4" w:space="0"/>
            </w:tcBorders>
            <w:noWrap w:val="0"/>
            <w:vAlign w:val="center"/>
          </w:tcPr>
          <w:p w14:paraId="743AA77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w:t>
            </w:r>
          </w:p>
        </w:tc>
        <w:tc>
          <w:tcPr>
            <w:tcW w:w="1703" w:type="dxa"/>
            <w:tcBorders>
              <w:top w:val="nil"/>
              <w:left w:val="nil"/>
              <w:bottom w:val="single" w:color="auto" w:sz="4" w:space="0"/>
              <w:right w:val="single" w:color="auto" w:sz="4" w:space="0"/>
            </w:tcBorders>
            <w:noWrap w:val="0"/>
            <w:vAlign w:val="center"/>
          </w:tcPr>
          <w:p w14:paraId="1F0FDE7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＜20</w:t>
            </w:r>
          </w:p>
        </w:tc>
      </w:tr>
      <w:tr w14:paraId="411B8622">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08BB30E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3289D2F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65C0162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31D47DD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1000≤Y＜30000</w:t>
            </w:r>
          </w:p>
        </w:tc>
        <w:tc>
          <w:tcPr>
            <w:tcW w:w="1701" w:type="dxa"/>
            <w:tcBorders>
              <w:top w:val="nil"/>
              <w:left w:val="nil"/>
              <w:bottom w:val="single" w:color="auto" w:sz="4" w:space="0"/>
              <w:right w:val="single" w:color="auto" w:sz="4" w:space="0"/>
            </w:tcBorders>
            <w:noWrap w:val="0"/>
            <w:vAlign w:val="center"/>
          </w:tcPr>
          <w:p w14:paraId="286EF38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100≤Y＜1000</w:t>
            </w:r>
          </w:p>
        </w:tc>
        <w:tc>
          <w:tcPr>
            <w:tcW w:w="1703" w:type="dxa"/>
            <w:tcBorders>
              <w:top w:val="nil"/>
              <w:left w:val="nil"/>
              <w:bottom w:val="single" w:color="auto" w:sz="4" w:space="0"/>
              <w:right w:val="single" w:color="auto" w:sz="4" w:space="0"/>
            </w:tcBorders>
            <w:noWrap w:val="0"/>
            <w:vAlign w:val="center"/>
          </w:tcPr>
          <w:p w14:paraId="35C6B1D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5D2822A8">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4856A64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邮政业</w:t>
            </w:r>
          </w:p>
        </w:tc>
        <w:tc>
          <w:tcPr>
            <w:tcW w:w="1281" w:type="dxa"/>
            <w:tcBorders>
              <w:top w:val="nil"/>
              <w:left w:val="nil"/>
              <w:bottom w:val="single" w:color="auto" w:sz="4" w:space="0"/>
              <w:right w:val="single" w:color="auto" w:sz="4" w:space="0"/>
            </w:tcBorders>
            <w:noWrap w:val="0"/>
            <w:vAlign w:val="center"/>
          </w:tcPr>
          <w:p w14:paraId="58BA6C9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2CCF1B2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28B1659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＜1000</w:t>
            </w:r>
          </w:p>
        </w:tc>
        <w:tc>
          <w:tcPr>
            <w:tcW w:w="1701" w:type="dxa"/>
            <w:tcBorders>
              <w:top w:val="nil"/>
              <w:left w:val="nil"/>
              <w:bottom w:val="single" w:color="auto" w:sz="4" w:space="0"/>
              <w:right w:val="single" w:color="auto" w:sz="4" w:space="0"/>
            </w:tcBorders>
            <w:noWrap w:val="0"/>
            <w:vAlign w:val="center"/>
          </w:tcPr>
          <w:p w14:paraId="39C7783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＜300</w:t>
            </w:r>
          </w:p>
        </w:tc>
        <w:tc>
          <w:tcPr>
            <w:tcW w:w="1703" w:type="dxa"/>
            <w:tcBorders>
              <w:top w:val="nil"/>
              <w:left w:val="nil"/>
              <w:bottom w:val="single" w:color="auto" w:sz="4" w:space="0"/>
              <w:right w:val="single" w:color="auto" w:sz="4" w:space="0"/>
            </w:tcBorders>
            <w:noWrap w:val="0"/>
            <w:vAlign w:val="center"/>
          </w:tcPr>
          <w:p w14:paraId="3D67587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＜20</w:t>
            </w:r>
          </w:p>
        </w:tc>
      </w:tr>
      <w:tr w14:paraId="5320867A">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60BD43B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54736D5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698B028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71F834E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2000≤Y＜30000</w:t>
            </w:r>
          </w:p>
        </w:tc>
        <w:tc>
          <w:tcPr>
            <w:tcW w:w="1701" w:type="dxa"/>
            <w:tcBorders>
              <w:top w:val="nil"/>
              <w:left w:val="nil"/>
              <w:bottom w:val="single" w:color="auto" w:sz="4" w:space="0"/>
              <w:right w:val="single" w:color="auto" w:sz="4" w:space="0"/>
            </w:tcBorders>
            <w:noWrap w:val="0"/>
            <w:vAlign w:val="center"/>
          </w:tcPr>
          <w:p w14:paraId="6CD7235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100≤Y＜2000</w:t>
            </w:r>
          </w:p>
        </w:tc>
        <w:tc>
          <w:tcPr>
            <w:tcW w:w="1703" w:type="dxa"/>
            <w:tcBorders>
              <w:top w:val="nil"/>
              <w:left w:val="nil"/>
              <w:bottom w:val="single" w:color="auto" w:sz="4" w:space="0"/>
              <w:right w:val="single" w:color="auto" w:sz="4" w:space="0"/>
            </w:tcBorders>
            <w:noWrap w:val="0"/>
            <w:vAlign w:val="center"/>
          </w:tcPr>
          <w:p w14:paraId="29337BD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019B4012">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18D7FC1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住宿业</w:t>
            </w:r>
          </w:p>
        </w:tc>
        <w:tc>
          <w:tcPr>
            <w:tcW w:w="1281" w:type="dxa"/>
            <w:tcBorders>
              <w:top w:val="nil"/>
              <w:left w:val="nil"/>
              <w:bottom w:val="single" w:color="auto" w:sz="4" w:space="0"/>
              <w:right w:val="single" w:color="auto" w:sz="4" w:space="0"/>
            </w:tcBorders>
            <w:noWrap w:val="0"/>
            <w:vAlign w:val="center"/>
          </w:tcPr>
          <w:p w14:paraId="023BBCF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442CA16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0C8D1D0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＜300</w:t>
            </w:r>
          </w:p>
        </w:tc>
        <w:tc>
          <w:tcPr>
            <w:tcW w:w="1701" w:type="dxa"/>
            <w:tcBorders>
              <w:top w:val="nil"/>
              <w:left w:val="nil"/>
              <w:bottom w:val="single" w:color="auto" w:sz="4" w:space="0"/>
              <w:right w:val="single" w:color="auto" w:sz="4" w:space="0"/>
            </w:tcBorders>
            <w:noWrap w:val="0"/>
            <w:vAlign w:val="center"/>
          </w:tcPr>
          <w:p w14:paraId="2A8849D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w:t>
            </w:r>
          </w:p>
        </w:tc>
        <w:tc>
          <w:tcPr>
            <w:tcW w:w="1703" w:type="dxa"/>
            <w:tcBorders>
              <w:top w:val="nil"/>
              <w:left w:val="nil"/>
              <w:bottom w:val="single" w:color="auto" w:sz="4" w:space="0"/>
              <w:right w:val="single" w:color="auto" w:sz="4" w:space="0"/>
            </w:tcBorders>
            <w:noWrap w:val="0"/>
            <w:vAlign w:val="center"/>
          </w:tcPr>
          <w:p w14:paraId="71B3258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w:t>
            </w:r>
          </w:p>
        </w:tc>
      </w:tr>
      <w:tr w14:paraId="5227D08A">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4E1AA3B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5C187A1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7CD19DD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70EA94C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0E82ECA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100≤Y＜2000</w:t>
            </w:r>
          </w:p>
        </w:tc>
        <w:tc>
          <w:tcPr>
            <w:tcW w:w="1703" w:type="dxa"/>
            <w:tcBorders>
              <w:top w:val="nil"/>
              <w:left w:val="nil"/>
              <w:bottom w:val="single" w:color="auto" w:sz="4" w:space="0"/>
              <w:right w:val="single" w:color="auto" w:sz="4" w:space="0"/>
            </w:tcBorders>
            <w:noWrap w:val="0"/>
            <w:vAlign w:val="center"/>
          </w:tcPr>
          <w:p w14:paraId="3F9FF9D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05FE76A3">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3119705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餐饮业</w:t>
            </w:r>
          </w:p>
        </w:tc>
        <w:tc>
          <w:tcPr>
            <w:tcW w:w="1281" w:type="dxa"/>
            <w:tcBorders>
              <w:top w:val="nil"/>
              <w:left w:val="nil"/>
              <w:bottom w:val="single" w:color="auto" w:sz="4" w:space="0"/>
              <w:right w:val="single" w:color="auto" w:sz="4" w:space="0"/>
            </w:tcBorders>
            <w:noWrap w:val="0"/>
            <w:vAlign w:val="center"/>
          </w:tcPr>
          <w:p w14:paraId="034AB96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781C357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047468A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＜300</w:t>
            </w:r>
          </w:p>
        </w:tc>
        <w:tc>
          <w:tcPr>
            <w:tcW w:w="1701" w:type="dxa"/>
            <w:tcBorders>
              <w:top w:val="nil"/>
              <w:left w:val="nil"/>
              <w:bottom w:val="single" w:color="auto" w:sz="4" w:space="0"/>
              <w:right w:val="single" w:color="auto" w:sz="4" w:space="0"/>
            </w:tcBorders>
            <w:noWrap w:val="0"/>
            <w:vAlign w:val="center"/>
          </w:tcPr>
          <w:p w14:paraId="77EFD0B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w:t>
            </w:r>
          </w:p>
        </w:tc>
        <w:tc>
          <w:tcPr>
            <w:tcW w:w="1703" w:type="dxa"/>
            <w:tcBorders>
              <w:top w:val="nil"/>
              <w:left w:val="nil"/>
              <w:bottom w:val="single" w:color="auto" w:sz="4" w:space="0"/>
              <w:right w:val="single" w:color="auto" w:sz="4" w:space="0"/>
            </w:tcBorders>
            <w:noWrap w:val="0"/>
            <w:vAlign w:val="center"/>
          </w:tcPr>
          <w:p w14:paraId="30B1A70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w:t>
            </w:r>
          </w:p>
        </w:tc>
      </w:tr>
      <w:tr w14:paraId="4193EEE6">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6C85C96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7CE6322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30CFA19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7DF2741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7C5DAC6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100≤Y＜2000</w:t>
            </w:r>
          </w:p>
        </w:tc>
        <w:tc>
          <w:tcPr>
            <w:tcW w:w="1703" w:type="dxa"/>
            <w:tcBorders>
              <w:top w:val="nil"/>
              <w:left w:val="nil"/>
              <w:bottom w:val="single" w:color="auto" w:sz="4" w:space="0"/>
              <w:right w:val="single" w:color="auto" w:sz="4" w:space="0"/>
            </w:tcBorders>
            <w:noWrap w:val="0"/>
            <w:vAlign w:val="center"/>
          </w:tcPr>
          <w:p w14:paraId="6CA3E3D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0CDD3EEA">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506BAEA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信息传输业</w:t>
            </w:r>
          </w:p>
        </w:tc>
        <w:tc>
          <w:tcPr>
            <w:tcW w:w="1281" w:type="dxa"/>
            <w:tcBorders>
              <w:top w:val="nil"/>
              <w:left w:val="nil"/>
              <w:bottom w:val="single" w:color="auto" w:sz="4" w:space="0"/>
              <w:right w:val="single" w:color="auto" w:sz="4" w:space="0"/>
            </w:tcBorders>
            <w:noWrap w:val="0"/>
            <w:vAlign w:val="center"/>
          </w:tcPr>
          <w:p w14:paraId="1A81B3E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6B046F8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63FC831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＜2000</w:t>
            </w:r>
          </w:p>
        </w:tc>
        <w:tc>
          <w:tcPr>
            <w:tcW w:w="1701" w:type="dxa"/>
            <w:tcBorders>
              <w:top w:val="nil"/>
              <w:left w:val="nil"/>
              <w:bottom w:val="single" w:color="auto" w:sz="4" w:space="0"/>
              <w:right w:val="single" w:color="auto" w:sz="4" w:space="0"/>
            </w:tcBorders>
            <w:noWrap w:val="0"/>
            <w:vAlign w:val="center"/>
          </w:tcPr>
          <w:p w14:paraId="03861A98">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＜100</w:t>
            </w:r>
          </w:p>
        </w:tc>
        <w:tc>
          <w:tcPr>
            <w:tcW w:w="1703" w:type="dxa"/>
            <w:tcBorders>
              <w:top w:val="nil"/>
              <w:left w:val="nil"/>
              <w:bottom w:val="single" w:color="auto" w:sz="4" w:space="0"/>
              <w:right w:val="single" w:color="auto" w:sz="4" w:space="0"/>
            </w:tcBorders>
            <w:noWrap w:val="0"/>
            <w:vAlign w:val="center"/>
          </w:tcPr>
          <w:p w14:paraId="5DED985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w:t>
            </w:r>
          </w:p>
        </w:tc>
      </w:tr>
      <w:tr w14:paraId="06B37937">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7300A19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484DBE9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79E9ED4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6B8DC64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1000≤Y＜100000</w:t>
            </w:r>
          </w:p>
        </w:tc>
        <w:tc>
          <w:tcPr>
            <w:tcW w:w="1701" w:type="dxa"/>
            <w:tcBorders>
              <w:top w:val="nil"/>
              <w:left w:val="nil"/>
              <w:bottom w:val="single" w:color="auto" w:sz="4" w:space="0"/>
              <w:right w:val="single" w:color="auto" w:sz="4" w:space="0"/>
            </w:tcBorders>
            <w:noWrap w:val="0"/>
            <w:vAlign w:val="center"/>
          </w:tcPr>
          <w:p w14:paraId="18BED1D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100≤Y＜1000</w:t>
            </w:r>
          </w:p>
        </w:tc>
        <w:tc>
          <w:tcPr>
            <w:tcW w:w="1703" w:type="dxa"/>
            <w:tcBorders>
              <w:top w:val="nil"/>
              <w:left w:val="nil"/>
              <w:bottom w:val="single" w:color="auto" w:sz="4" w:space="0"/>
              <w:right w:val="single" w:color="auto" w:sz="4" w:space="0"/>
            </w:tcBorders>
            <w:noWrap w:val="0"/>
            <w:vAlign w:val="center"/>
          </w:tcPr>
          <w:p w14:paraId="139721B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1F4B8304">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4E11E56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软件和信息技术服务业</w:t>
            </w:r>
          </w:p>
        </w:tc>
        <w:tc>
          <w:tcPr>
            <w:tcW w:w="1281" w:type="dxa"/>
            <w:tcBorders>
              <w:top w:val="nil"/>
              <w:left w:val="nil"/>
              <w:bottom w:val="single" w:color="auto" w:sz="4" w:space="0"/>
              <w:right w:val="single" w:color="auto" w:sz="4" w:space="0"/>
            </w:tcBorders>
            <w:noWrap w:val="0"/>
            <w:vAlign w:val="center"/>
          </w:tcPr>
          <w:p w14:paraId="711A96D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39BB26A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0574B28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＜300</w:t>
            </w:r>
          </w:p>
        </w:tc>
        <w:tc>
          <w:tcPr>
            <w:tcW w:w="1701" w:type="dxa"/>
            <w:tcBorders>
              <w:top w:val="nil"/>
              <w:left w:val="nil"/>
              <w:bottom w:val="single" w:color="auto" w:sz="4" w:space="0"/>
              <w:right w:val="single" w:color="auto" w:sz="4" w:space="0"/>
            </w:tcBorders>
            <w:noWrap w:val="0"/>
            <w:vAlign w:val="center"/>
          </w:tcPr>
          <w:p w14:paraId="3471ADD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＜100</w:t>
            </w:r>
          </w:p>
        </w:tc>
        <w:tc>
          <w:tcPr>
            <w:tcW w:w="1703" w:type="dxa"/>
            <w:tcBorders>
              <w:top w:val="nil"/>
              <w:left w:val="nil"/>
              <w:bottom w:val="single" w:color="auto" w:sz="4" w:space="0"/>
              <w:right w:val="single" w:color="auto" w:sz="4" w:space="0"/>
            </w:tcBorders>
            <w:noWrap w:val="0"/>
            <w:vAlign w:val="center"/>
          </w:tcPr>
          <w:p w14:paraId="5D39973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w:t>
            </w:r>
          </w:p>
        </w:tc>
      </w:tr>
      <w:tr w14:paraId="01AE0AD5">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646BC9E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07CA824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3F3B69C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3C580D3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1000≤Y＜10000</w:t>
            </w:r>
          </w:p>
        </w:tc>
        <w:tc>
          <w:tcPr>
            <w:tcW w:w="1701" w:type="dxa"/>
            <w:tcBorders>
              <w:top w:val="nil"/>
              <w:left w:val="nil"/>
              <w:bottom w:val="single" w:color="auto" w:sz="4" w:space="0"/>
              <w:right w:val="single" w:color="auto" w:sz="4" w:space="0"/>
            </w:tcBorders>
            <w:noWrap w:val="0"/>
            <w:vAlign w:val="center"/>
          </w:tcPr>
          <w:p w14:paraId="418FB2E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50≤Y＜1000</w:t>
            </w:r>
          </w:p>
        </w:tc>
        <w:tc>
          <w:tcPr>
            <w:tcW w:w="1703" w:type="dxa"/>
            <w:tcBorders>
              <w:top w:val="nil"/>
              <w:left w:val="nil"/>
              <w:bottom w:val="single" w:color="auto" w:sz="4" w:space="0"/>
              <w:right w:val="single" w:color="auto" w:sz="4" w:space="0"/>
            </w:tcBorders>
            <w:noWrap w:val="0"/>
            <w:vAlign w:val="center"/>
          </w:tcPr>
          <w:p w14:paraId="2526208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Y＜50</w:t>
            </w:r>
          </w:p>
        </w:tc>
      </w:tr>
      <w:tr w14:paraId="0264E8D1">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0CD99D2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房地产开发经营</w:t>
            </w:r>
          </w:p>
        </w:tc>
        <w:tc>
          <w:tcPr>
            <w:tcW w:w="1281" w:type="dxa"/>
            <w:tcBorders>
              <w:top w:val="nil"/>
              <w:left w:val="nil"/>
              <w:bottom w:val="single" w:color="auto" w:sz="4" w:space="0"/>
              <w:right w:val="single" w:color="auto" w:sz="4" w:space="0"/>
            </w:tcBorders>
            <w:noWrap w:val="0"/>
            <w:vAlign w:val="center"/>
          </w:tcPr>
          <w:p w14:paraId="06488B7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2190D9A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086542F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1000≤Y＜200000</w:t>
            </w:r>
          </w:p>
        </w:tc>
        <w:tc>
          <w:tcPr>
            <w:tcW w:w="1701" w:type="dxa"/>
            <w:tcBorders>
              <w:top w:val="nil"/>
              <w:left w:val="nil"/>
              <w:bottom w:val="single" w:color="auto" w:sz="4" w:space="0"/>
              <w:right w:val="single" w:color="auto" w:sz="4" w:space="0"/>
            </w:tcBorders>
            <w:noWrap w:val="0"/>
            <w:vAlign w:val="center"/>
          </w:tcPr>
          <w:p w14:paraId="647AC47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＜1000</w:t>
            </w:r>
          </w:p>
        </w:tc>
        <w:tc>
          <w:tcPr>
            <w:tcW w:w="1703" w:type="dxa"/>
            <w:tcBorders>
              <w:top w:val="nil"/>
              <w:left w:val="nil"/>
              <w:bottom w:val="single" w:color="auto" w:sz="4" w:space="0"/>
              <w:right w:val="single" w:color="auto" w:sz="4" w:space="0"/>
            </w:tcBorders>
            <w:noWrap w:val="0"/>
            <w:vAlign w:val="center"/>
          </w:tcPr>
          <w:p w14:paraId="6BE3167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w:t>
            </w:r>
          </w:p>
        </w:tc>
      </w:tr>
      <w:tr w14:paraId="686990DE">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6F01E27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34A077D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资产总额（Z）</w:t>
            </w:r>
          </w:p>
        </w:tc>
        <w:tc>
          <w:tcPr>
            <w:tcW w:w="1080" w:type="dxa"/>
            <w:tcBorders>
              <w:top w:val="nil"/>
              <w:left w:val="nil"/>
              <w:bottom w:val="single" w:color="auto" w:sz="4" w:space="0"/>
              <w:right w:val="single" w:color="auto" w:sz="4" w:space="0"/>
            </w:tcBorders>
            <w:noWrap w:val="0"/>
            <w:vAlign w:val="center"/>
          </w:tcPr>
          <w:p w14:paraId="19D0AFA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172DDDB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5000≤Z＜10000</w:t>
            </w:r>
          </w:p>
        </w:tc>
        <w:tc>
          <w:tcPr>
            <w:tcW w:w="1701" w:type="dxa"/>
            <w:tcBorders>
              <w:top w:val="nil"/>
              <w:left w:val="nil"/>
              <w:bottom w:val="single" w:color="auto" w:sz="4" w:space="0"/>
              <w:right w:val="single" w:color="auto" w:sz="4" w:space="0"/>
            </w:tcBorders>
            <w:noWrap w:val="0"/>
            <w:vAlign w:val="center"/>
          </w:tcPr>
          <w:p w14:paraId="1D33C08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2000≤Y＜5000</w:t>
            </w:r>
          </w:p>
        </w:tc>
        <w:tc>
          <w:tcPr>
            <w:tcW w:w="1703" w:type="dxa"/>
            <w:tcBorders>
              <w:top w:val="nil"/>
              <w:left w:val="nil"/>
              <w:bottom w:val="single" w:color="auto" w:sz="4" w:space="0"/>
              <w:right w:val="single" w:color="auto" w:sz="4" w:space="0"/>
            </w:tcBorders>
            <w:noWrap w:val="0"/>
            <w:vAlign w:val="center"/>
          </w:tcPr>
          <w:p w14:paraId="515D102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Y＜2000</w:t>
            </w:r>
          </w:p>
        </w:tc>
      </w:tr>
      <w:tr w14:paraId="07F47C75">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3E2A338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物业管理</w:t>
            </w:r>
          </w:p>
        </w:tc>
        <w:tc>
          <w:tcPr>
            <w:tcW w:w="1281" w:type="dxa"/>
            <w:tcBorders>
              <w:top w:val="nil"/>
              <w:left w:val="nil"/>
              <w:bottom w:val="single" w:color="auto" w:sz="4" w:space="0"/>
              <w:right w:val="single" w:color="auto" w:sz="4" w:space="0"/>
            </w:tcBorders>
            <w:noWrap w:val="0"/>
            <w:vAlign w:val="center"/>
          </w:tcPr>
          <w:p w14:paraId="57B0D8B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050765D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5FC7805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300≤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＜1000</w:t>
            </w:r>
          </w:p>
        </w:tc>
        <w:tc>
          <w:tcPr>
            <w:tcW w:w="1701" w:type="dxa"/>
            <w:tcBorders>
              <w:top w:val="nil"/>
              <w:left w:val="nil"/>
              <w:bottom w:val="single" w:color="auto" w:sz="4" w:space="0"/>
              <w:right w:val="single" w:color="auto" w:sz="4" w:space="0"/>
            </w:tcBorders>
            <w:noWrap w:val="0"/>
            <w:vAlign w:val="center"/>
          </w:tcPr>
          <w:p w14:paraId="0D7A1C8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＜300</w:t>
            </w:r>
          </w:p>
        </w:tc>
        <w:tc>
          <w:tcPr>
            <w:tcW w:w="1703" w:type="dxa"/>
            <w:tcBorders>
              <w:top w:val="nil"/>
              <w:left w:val="nil"/>
              <w:bottom w:val="single" w:color="auto" w:sz="4" w:space="0"/>
              <w:right w:val="single" w:color="auto" w:sz="4" w:space="0"/>
            </w:tcBorders>
            <w:noWrap w:val="0"/>
            <w:vAlign w:val="center"/>
          </w:tcPr>
          <w:p w14:paraId="1DA20EE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w:t>
            </w:r>
          </w:p>
        </w:tc>
      </w:tr>
      <w:tr w14:paraId="23214139">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7FE2D56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1FF6A07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营业收入（Y）</w:t>
            </w:r>
          </w:p>
        </w:tc>
        <w:tc>
          <w:tcPr>
            <w:tcW w:w="1080" w:type="dxa"/>
            <w:tcBorders>
              <w:top w:val="nil"/>
              <w:left w:val="nil"/>
              <w:bottom w:val="single" w:color="auto" w:sz="4" w:space="0"/>
              <w:right w:val="single" w:color="auto" w:sz="4" w:space="0"/>
            </w:tcBorders>
            <w:noWrap w:val="0"/>
            <w:vAlign w:val="center"/>
          </w:tcPr>
          <w:p w14:paraId="4B70BA2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0B1FA30E">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1000≤Y＜5000</w:t>
            </w:r>
          </w:p>
        </w:tc>
        <w:tc>
          <w:tcPr>
            <w:tcW w:w="1701" w:type="dxa"/>
            <w:tcBorders>
              <w:top w:val="nil"/>
              <w:left w:val="nil"/>
              <w:bottom w:val="single" w:color="auto" w:sz="4" w:space="0"/>
              <w:right w:val="single" w:color="auto" w:sz="4" w:space="0"/>
            </w:tcBorders>
            <w:noWrap w:val="0"/>
            <w:vAlign w:val="center"/>
          </w:tcPr>
          <w:p w14:paraId="7F08731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500≤Y＜1000</w:t>
            </w:r>
          </w:p>
        </w:tc>
        <w:tc>
          <w:tcPr>
            <w:tcW w:w="1703" w:type="dxa"/>
            <w:tcBorders>
              <w:top w:val="nil"/>
              <w:left w:val="nil"/>
              <w:bottom w:val="single" w:color="auto" w:sz="4" w:space="0"/>
              <w:right w:val="single" w:color="auto" w:sz="4" w:space="0"/>
            </w:tcBorders>
            <w:noWrap w:val="0"/>
            <w:vAlign w:val="center"/>
          </w:tcPr>
          <w:p w14:paraId="6B76E4E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Y＜500</w:t>
            </w:r>
          </w:p>
        </w:tc>
      </w:tr>
      <w:tr w14:paraId="6D2E8278">
        <w:tblPrEx>
          <w:tblCellMar>
            <w:top w:w="0" w:type="dxa"/>
            <w:left w:w="108" w:type="dxa"/>
            <w:bottom w:w="0" w:type="dxa"/>
            <w:right w:w="108" w:type="dxa"/>
          </w:tblCellMar>
        </w:tblPrEx>
        <w:trPr>
          <w:trHeight w:val="567" w:hRule="atLeast"/>
          <w:jc w:val="center"/>
        </w:trPr>
        <w:tc>
          <w:tcPr>
            <w:tcW w:w="2007" w:type="dxa"/>
            <w:vMerge w:val="restart"/>
            <w:tcBorders>
              <w:top w:val="nil"/>
              <w:left w:val="single" w:color="auto" w:sz="4" w:space="0"/>
              <w:bottom w:val="single" w:color="auto" w:sz="4" w:space="0"/>
              <w:right w:val="single" w:color="auto" w:sz="4" w:space="0"/>
            </w:tcBorders>
            <w:noWrap w:val="0"/>
            <w:vAlign w:val="center"/>
          </w:tcPr>
          <w:p w14:paraId="667BB12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租赁和商务服务业</w:t>
            </w:r>
          </w:p>
        </w:tc>
        <w:tc>
          <w:tcPr>
            <w:tcW w:w="1281" w:type="dxa"/>
            <w:tcBorders>
              <w:top w:val="nil"/>
              <w:left w:val="nil"/>
              <w:bottom w:val="single" w:color="auto" w:sz="4" w:space="0"/>
              <w:right w:val="single" w:color="auto" w:sz="4" w:space="0"/>
            </w:tcBorders>
            <w:noWrap w:val="0"/>
            <w:vAlign w:val="center"/>
          </w:tcPr>
          <w:p w14:paraId="2404C7A5">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4E781FD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787A773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＜300</w:t>
            </w:r>
          </w:p>
        </w:tc>
        <w:tc>
          <w:tcPr>
            <w:tcW w:w="1701" w:type="dxa"/>
            <w:tcBorders>
              <w:top w:val="nil"/>
              <w:left w:val="nil"/>
              <w:bottom w:val="single" w:color="auto" w:sz="4" w:space="0"/>
              <w:right w:val="single" w:color="auto" w:sz="4" w:space="0"/>
            </w:tcBorders>
            <w:noWrap w:val="0"/>
            <w:vAlign w:val="center"/>
          </w:tcPr>
          <w:p w14:paraId="4850279B">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w:t>
            </w:r>
          </w:p>
        </w:tc>
        <w:tc>
          <w:tcPr>
            <w:tcW w:w="1703" w:type="dxa"/>
            <w:tcBorders>
              <w:top w:val="nil"/>
              <w:left w:val="nil"/>
              <w:bottom w:val="single" w:color="auto" w:sz="4" w:space="0"/>
              <w:right w:val="single" w:color="auto" w:sz="4" w:space="0"/>
            </w:tcBorders>
            <w:noWrap w:val="0"/>
            <w:vAlign w:val="center"/>
          </w:tcPr>
          <w:p w14:paraId="6F2E5E7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w:t>
            </w:r>
          </w:p>
        </w:tc>
      </w:tr>
      <w:tr w14:paraId="1095B17E">
        <w:tblPrEx>
          <w:tblCellMar>
            <w:top w:w="0" w:type="dxa"/>
            <w:left w:w="108" w:type="dxa"/>
            <w:bottom w:w="0" w:type="dxa"/>
            <w:right w:w="108" w:type="dxa"/>
          </w:tblCellMar>
        </w:tblPrEx>
        <w:trPr>
          <w:trHeight w:val="567" w:hRule="atLeast"/>
          <w:jc w:val="center"/>
        </w:trPr>
        <w:tc>
          <w:tcPr>
            <w:tcW w:w="2007" w:type="dxa"/>
            <w:vMerge w:val="continue"/>
            <w:tcBorders>
              <w:top w:val="nil"/>
              <w:left w:val="single" w:color="auto" w:sz="4" w:space="0"/>
              <w:bottom w:val="single" w:color="auto" w:sz="4" w:space="0"/>
              <w:right w:val="single" w:color="auto" w:sz="4" w:space="0"/>
            </w:tcBorders>
            <w:noWrap w:val="0"/>
            <w:vAlign w:val="center"/>
          </w:tcPr>
          <w:p w14:paraId="5D4A99B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p>
        </w:tc>
        <w:tc>
          <w:tcPr>
            <w:tcW w:w="1281" w:type="dxa"/>
            <w:tcBorders>
              <w:top w:val="nil"/>
              <w:left w:val="nil"/>
              <w:bottom w:val="single" w:color="auto" w:sz="4" w:space="0"/>
              <w:right w:val="single" w:color="auto" w:sz="4" w:space="0"/>
            </w:tcBorders>
            <w:noWrap w:val="0"/>
            <w:vAlign w:val="center"/>
          </w:tcPr>
          <w:p w14:paraId="0524B114">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资产总额（Z）</w:t>
            </w:r>
          </w:p>
        </w:tc>
        <w:tc>
          <w:tcPr>
            <w:tcW w:w="1080" w:type="dxa"/>
            <w:tcBorders>
              <w:top w:val="nil"/>
              <w:left w:val="nil"/>
              <w:bottom w:val="single" w:color="auto" w:sz="4" w:space="0"/>
              <w:right w:val="single" w:color="auto" w:sz="4" w:space="0"/>
            </w:tcBorders>
            <w:noWrap w:val="0"/>
            <w:vAlign w:val="center"/>
          </w:tcPr>
          <w:p w14:paraId="7C329FD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万元</w:t>
            </w:r>
          </w:p>
        </w:tc>
        <w:tc>
          <w:tcPr>
            <w:tcW w:w="2118" w:type="dxa"/>
            <w:tcBorders>
              <w:top w:val="nil"/>
              <w:left w:val="nil"/>
              <w:bottom w:val="single" w:color="auto" w:sz="4" w:space="0"/>
              <w:right w:val="single" w:color="auto" w:sz="4" w:space="0"/>
            </w:tcBorders>
            <w:noWrap w:val="0"/>
            <w:vAlign w:val="center"/>
          </w:tcPr>
          <w:p w14:paraId="3C17C7C3">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8000≤Z＜120000</w:t>
            </w:r>
          </w:p>
        </w:tc>
        <w:tc>
          <w:tcPr>
            <w:tcW w:w="1701" w:type="dxa"/>
            <w:tcBorders>
              <w:top w:val="nil"/>
              <w:left w:val="nil"/>
              <w:bottom w:val="single" w:color="auto" w:sz="4" w:space="0"/>
              <w:right w:val="single" w:color="auto" w:sz="4" w:space="0"/>
            </w:tcBorders>
            <w:noWrap w:val="0"/>
            <w:vAlign w:val="center"/>
          </w:tcPr>
          <w:p w14:paraId="39173216">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100≤Z＜8000</w:t>
            </w:r>
          </w:p>
        </w:tc>
        <w:tc>
          <w:tcPr>
            <w:tcW w:w="1703" w:type="dxa"/>
            <w:tcBorders>
              <w:top w:val="nil"/>
              <w:left w:val="nil"/>
              <w:bottom w:val="single" w:color="auto" w:sz="4" w:space="0"/>
              <w:right w:val="single" w:color="auto" w:sz="4" w:space="0"/>
            </w:tcBorders>
            <w:noWrap w:val="0"/>
            <w:vAlign w:val="center"/>
          </w:tcPr>
          <w:p w14:paraId="72E1603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Y＜100</w:t>
            </w:r>
          </w:p>
        </w:tc>
      </w:tr>
      <w:tr w14:paraId="694A5660">
        <w:tblPrEx>
          <w:tblCellMar>
            <w:top w:w="0" w:type="dxa"/>
            <w:left w:w="108" w:type="dxa"/>
            <w:bottom w:w="0" w:type="dxa"/>
            <w:right w:w="108" w:type="dxa"/>
          </w:tblCellMar>
        </w:tblPrEx>
        <w:trPr>
          <w:trHeight w:val="567" w:hRule="atLeast"/>
          <w:jc w:val="center"/>
        </w:trPr>
        <w:tc>
          <w:tcPr>
            <w:tcW w:w="2007" w:type="dxa"/>
            <w:tcBorders>
              <w:top w:val="nil"/>
              <w:left w:val="single" w:color="auto" w:sz="4" w:space="0"/>
              <w:bottom w:val="single" w:color="auto" w:sz="4" w:space="0"/>
              <w:right w:val="single" w:color="auto" w:sz="4" w:space="0"/>
            </w:tcBorders>
            <w:noWrap w:val="0"/>
            <w:vAlign w:val="center"/>
          </w:tcPr>
          <w:p w14:paraId="00A1CC3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其他未列明行业</w:t>
            </w:r>
          </w:p>
        </w:tc>
        <w:tc>
          <w:tcPr>
            <w:tcW w:w="1281" w:type="dxa"/>
            <w:tcBorders>
              <w:top w:val="nil"/>
              <w:left w:val="nil"/>
              <w:bottom w:val="single" w:color="auto" w:sz="4" w:space="0"/>
              <w:right w:val="single" w:color="auto" w:sz="4" w:space="0"/>
            </w:tcBorders>
            <w:noWrap w:val="0"/>
            <w:vAlign w:val="center"/>
          </w:tcPr>
          <w:p w14:paraId="3095FE0A">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从业人员（X）</w:t>
            </w:r>
          </w:p>
        </w:tc>
        <w:tc>
          <w:tcPr>
            <w:tcW w:w="1080" w:type="dxa"/>
            <w:tcBorders>
              <w:top w:val="nil"/>
              <w:left w:val="nil"/>
              <w:bottom w:val="single" w:color="auto" w:sz="4" w:space="0"/>
              <w:right w:val="single" w:color="auto" w:sz="4" w:space="0"/>
            </w:tcBorders>
            <w:noWrap w:val="0"/>
            <w:vAlign w:val="center"/>
          </w:tcPr>
          <w:p w14:paraId="2704A18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人</w:t>
            </w:r>
          </w:p>
        </w:tc>
        <w:tc>
          <w:tcPr>
            <w:tcW w:w="2118" w:type="dxa"/>
            <w:tcBorders>
              <w:top w:val="nil"/>
              <w:left w:val="nil"/>
              <w:bottom w:val="single" w:color="auto" w:sz="4" w:space="0"/>
              <w:right w:val="single" w:color="auto" w:sz="4" w:space="0"/>
            </w:tcBorders>
            <w:noWrap w:val="0"/>
            <w:vAlign w:val="center"/>
          </w:tcPr>
          <w:p w14:paraId="7B66F852">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＜300</w:t>
            </w:r>
          </w:p>
        </w:tc>
        <w:tc>
          <w:tcPr>
            <w:tcW w:w="1701" w:type="dxa"/>
            <w:tcBorders>
              <w:top w:val="nil"/>
              <w:left w:val="nil"/>
              <w:bottom w:val="single" w:color="auto" w:sz="4" w:space="0"/>
              <w:right w:val="single" w:color="auto" w:sz="4" w:space="0"/>
            </w:tcBorders>
            <w:noWrap w:val="0"/>
            <w:vAlign w:val="center"/>
          </w:tcPr>
          <w:p w14:paraId="30EC512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rPr>
              <w:t>10≤</w:t>
            </w: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＜100</w:t>
            </w:r>
          </w:p>
        </w:tc>
        <w:tc>
          <w:tcPr>
            <w:tcW w:w="1703" w:type="dxa"/>
            <w:tcBorders>
              <w:top w:val="nil"/>
              <w:left w:val="nil"/>
              <w:bottom w:val="single" w:color="auto" w:sz="4" w:space="0"/>
              <w:right w:val="single" w:color="auto" w:sz="4" w:space="0"/>
            </w:tcBorders>
            <w:noWrap w:val="0"/>
            <w:vAlign w:val="center"/>
          </w:tcPr>
          <w:p w14:paraId="25295F60">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X</w:t>
            </w:r>
            <w:r>
              <w:rPr>
                <w:rFonts w:hint="eastAsia" w:ascii="宋体" w:hAnsi="宋体" w:eastAsia="宋体" w:cs="宋体"/>
                <w:kern w:val="0"/>
                <w:szCs w:val="21"/>
                <w:highlight w:val="none"/>
              </w:rPr>
              <w:t>＜10</w:t>
            </w:r>
          </w:p>
        </w:tc>
      </w:tr>
    </w:tbl>
    <w:p w14:paraId="1552479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29D25B0">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33"/>
    <w:bookmarkEnd w:id="35"/>
    <w:p w14:paraId="43B7B59D">
      <w:pPr>
        <w:rPr>
          <w:rFonts w:hint="eastAsia" w:ascii="宋体" w:hAnsi="宋体" w:eastAsia="宋体" w:cs="宋体"/>
          <w:b/>
          <w:color w:val="auto"/>
          <w:kern w:val="0"/>
          <w:sz w:val="28"/>
          <w:szCs w:val="28"/>
          <w:highlight w:val="none"/>
        </w:rPr>
      </w:pPr>
    </w:p>
    <w:p w14:paraId="4100F7E4">
      <w:pPr>
        <w:pStyle w:val="2"/>
        <w:keepNext/>
        <w:keepLines/>
        <w:pageBreakBefore w:val="0"/>
        <w:widowControl w:val="0"/>
        <w:kinsoku/>
        <w:wordWrap/>
        <w:overflowPunct/>
        <w:topLinePunct w:val="0"/>
        <w:autoSpaceDE/>
        <w:autoSpaceDN/>
        <w:bidi w:val="0"/>
        <w:adjustRightInd/>
        <w:snapToGrid/>
        <w:spacing w:before="30" w:after="30" w:line="360" w:lineRule="auto"/>
        <w:ind w:left="0" w:leftChars="0" w:right="0" w:rightChars="0" w:firstLine="0" w:firstLineChars="0"/>
        <w:jc w:val="center"/>
        <w:textAlignment w:val="auto"/>
        <w:rPr>
          <w:rFonts w:hint="eastAsia" w:ascii="Times New Roman" w:hAnsi="Times New Roman" w:eastAsia="宋体" w:cs="Times New Roman"/>
          <w:sz w:val="32"/>
          <w:szCs w:val="32"/>
        </w:rPr>
      </w:pPr>
      <w:bookmarkStart w:id="40" w:name="_Toc842"/>
      <w:bookmarkStart w:id="41" w:name="_Toc6700"/>
      <w:r>
        <w:rPr>
          <w:rFonts w:hint="eastAsia" w:ascii="Times New Roman" w:hAnsi="Times New Roman" w:eastAsia="宋体" w:cs="Times New Roman"/>
          <w:sz w:val="32"/>
          <w:szCs w:val="32"/>
        </w:rPr>
        <w:t>第三章  供应商须知</w:t>
      </w:r>
      <w:bookmarkEnd w:id="40"/>
      <w:bookmarkEnd w:id="41"/>
      <w:bookmarkStart w:id="42" w:name="_Toc254970667"/>
      <w:bookmarkStart w:id="43" w:name="_Toc254970526"/>
    </w:p>
    <w:p w14:paraId="27C634CE">
      <w:pPr>
        <w:pStyle w:val="3"/>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sz w:val="30"/>
          <w:szCs w:val="30"/>
          <w:highlight w:val="none"/>
          <w:lang w:val="en-US" w:eastAsia="zh-CN"/>
        </w:rPr>
      </w:pPr>
      <w:bookmarkStart w:id="44" w:name="_Toc9628"/>
      <w:r>
        <w:rPr>
          <w:rFonts w:hint="eastAsia" w:ascii="宋体" w:hAnsi="宋体" w:eastAsia="宋体" w:cs="宋体"/>
          <w:sz w:val="30"/>
          <w:szCs w:val="30"/>
          <w:highlight w:val="none"/>
          <w:lang w:val="en-US" w:eastAsia="zh-CN"/>
        </w:rPr>
        <w:t>第一节 供应商须知前附表</w:t>
      </w:r>
      <w:bookmarkEnd w:id="42"/>
      <w:bookmarkEnd w:id="43"/>
      <w:bookmarkEnd w:id="44"/>
      <w:bookmarkStart w:id="45" w:name="_投标人须知前附表"/>
      <w:bookmarkEnd w:id="45"/>
      <w:bookmarkStart w:id="46" w:name="_Hlk19048934"/>
    </w:p>
    <w:tbl>
      <w:tblPr>
        <w:tblStyle w:val="52"/>
        <w:tblW w:w="994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2053"/>
        <w:gridCol w:w="6999"/>
      </w:tblGrid>
      <w:tr w14:paraId="782AA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1ACF06F1">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224F069A">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19505464">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45FF4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5DC0BE1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3BEE6B9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24EB2175">
            <w:pPr>
              <w:pStyle w:val="17"/>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lang w:val="en-US" w:eastAsia="zh-CN"/>
              </w:rPr>
            </w:pPr>
            <w:bookmarkStart w:id="47" w:name="PO_3000001867_PM007_1"/>
            <w:r>
              <w:rPr>
                <w:rFonts w:hint="eastAsia" w:ascii="宋体" w:hAnsi="宋体" w:eastAsia="宋体" w:cs="宋体"/>
                <w:color w:val="auto"/>
                <w:sz w:val="21"/>
                <w:szCs w:val="21"/>
                <w:highlight w:val="none"/>
                <w:lang w:val="en-US" w:eastAsia="zh-CN"/>
              </w:rPr>
              <w:t>不允许联合体投标</w:t>
            </w:r>
            <w:bookmarkEnd w:id="47"/>
            <w:r>
              <w:rPr>
                <w:rFonts w:hint="eastAsia" w:ascii="宋体" w:hAnsi="宋体" w:eastAsia="宋体" w:cs="宋体"/>
                <w:color w:val="auto"/>
                <w:sz w:val="21"/>
                <w:szCs w:val="21"/>
                <w:highlight w:val="none"/>
                <w:lang w:val="en-US" w:eastAsia="zh-CN"/>
              </w:rPr>
              <w:t>。</w:t>
            </w:r>
          </w:p>
        </w:tc>
      </w:tr>
      <w:tr w14:paraId="30DD6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4364798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23D0AFD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BD6CF56">
            <w:pPr>
              <w:pStyle w:val="17"/>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w:t>
            </w:r>
          </w:p>
        </w:tc>
      </w:tr>
      <w:tr w14:paraId="3E4FE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5C737FB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758B0A1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1418512">
            <w:pPr>
              <w:pStyle w:val="17"/>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☑不允许转包</w:t>
            </w:r>
          </w:p>
          <w:p w14:paraId="2A55E7F1">
            <w:pPr>
              <w:pStyle w:val="17"/>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☑不允许分包</w:t>
            </w:r>
          </w:p>
          <w:p w14:paraId="4B183648">
            <w:pPr>
              <w:pStyle w:val="17"/>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□允许转包</w:t>
            </w:r>
          </w:p>
          <w:p w14:paraId="498EDC4F">
            <w:pPr>
              <w:pStyle w:val="17"/>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□允许分包</w:t>
            </w:r>
          </w:p>
          <w:p w14:paraId="6A8FCADD">
            <w:pPr>
              <w:pStyle w:val="17"/>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分包内容：</w:t>
            </w:r>
            <w:r>
              <w:rPr>
                <w:rFonts w:hint="eastAsia" w:ascii="宋体" w:hAnsi="宋体" w:eastAsia="宋体" w:cs="宋体"/>
                <w:color w:val="auto"/>
                <w:sz w:val="21"/>
                <w:szCs w:val="21"/>
                <w:highlight w:val="none"/>
                <w:u w:val="single"/>
                <w:lang w:val="en-US" w:eastAsia="zh-CN"/>
              </w:rPr>
              <w:t>/ 。</w:t>
            </w:r>
          </w:p>
          <w:p w14:paraId="2DC7B705">
            <w:pPr>
              <w:pStyle w:val="17"/>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分包金额或者比例：</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r w14:paraId="2A3FBB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2118557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021C2ECE">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685CBBA8">
            <w:pPr>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auto"/>
                <w:kern w:val="0"/>
                <w:sz w:val="21"/>
                <w:szCs w:val="21"/>
                <w:highlight w:val="none"/>
              </w:rPr>
              <w:t>。</w:t>
            </w:r>
          </w:p>
        </w:tc>
      </w:tr>
      <w:tr w14:paraId="3DA8F3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noWrap w:val="0"/>
            <w:vAlign w:val="center"/>
          </w:tcPr>
          <w:p w14:paraId="406CC83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2561549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是否组织现场考察</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66628D6C">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☑不组织现场考察</w:t>
            </w:r>
          </w:p>
          <w:p w14:paraId="06CB776D">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□组织召现场考察</w:t>
            </w:r>
          </w:p>
          <w:p w14:paraId="3F6BC6A8">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集中时间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rPr>
              <w:t>，逾期后果自负。集中地点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tc>
      </w:tr>
      <w:tr w14:paraId="6854B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noWrap w:val="0"/>
            <w:vAlign w:val="center"/>
          </w:tcPr>
          <w:p w14:paraId="5E88F51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AB9C01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F6AA086">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☑不组织召开开标前答疑会</w:t>
            </w:r>
          </w:p>
          <w:p w14:paraId="36235480">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组织召开开标前答疑会</w:t>
            </w:r>
          </w:p>
          <w:p w14:paraId="138C81AF">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p>
        </w:tc>
      </w:tr>
      <w:tr w14:paraId="5F04E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left w:val="single" w:color="auto" w:sz="4" w:space="0"/>
              <w:right w:val="single" w:color="auto" w:sz="4" w:space="0"/>
            </w:tcBorders>
            <w:noWrap w:val="0"/>
            <w:vAlign w:val="center"/>
          </w:tcPr>
          <w:p w14:paraId="467B479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4C1C91B">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1AF466D4">
            <w:pPr>
              <w:keepNext w:val="0"/>
              <w:keepLines w:val="0"/>
              <w:pageBreakBefore w:val="0"/>
              <w:widowControl w:val="0"/>
              <w:tabs>
                <w:tab w:val="left" w:pos="459"/>
              </w:tabs>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投标函（格式后附）</w:t>
            </w:r>
            <w:r>
              <w:rPr>
                <w:rFonts w:hint="eastAsia" w:ascii="宋体" w:hAnsi="宋体" w:cs="宋体"/>
                <w:color w:val="auto"/>
                <w:sz w:val="21"/>
                <w:szCs w:val="21"/>
                <w:highlight w:val="none"/>
                <w:lang w:eastAsia="zh-CN"/>
              </w:rPr>
              <w:t>。</w:t>
            </w:r>
            <w:r>
              <w:rPr>
                <w:rFonts w:hint="eastAsia" w:ascii="宋体" w:hAnsi="宋体" w:eastAsia="宋体" w:cs="宋体"/>
                <w:b/>
                <w:color w:val="auto"/>
                <w:sz w:val="21"/>
                <w:szCs w:val="21"/>
                <w:highlight w:val="none"/>
              </w:rPr>
              <w:t>（必须提供，否则作无效投标处理）</w:t>
            </w:r>
          </w:p>
          <w:p w14:paraId="77C96102">
            <w:pPr>
              <w:keepNext w:val="0"/>
              <w:keepLines w:val="0"/>
              <w:pageBreakBefore w:val="0"/>
              <w:widowControl w:val="0"/>
              <w:tabs>
                <w:tab w:val="left" w:pos="459"/>
              </w:tabs>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开标一览表（格式后附）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D5800E2">
            <w:pPr>
              <w:keepNext w:val="0"/>
              <w:keepLines w:val="0"/>
              <w:pageBreakBefore w:val="0"/>
              <w:widowControl w:val="0"/>
              <w:tabs>
                <w:tab w:val="left" w:pos="459"/>
              </w:tabs>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投标人针对报价需要说明的其他文件和说明。</w:t>
            </w:r>
          </w:p>
        </w:tc>
      </w:tr>
      <w:tr w14:paraId="5487C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3E40D1A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3A4AEE5F">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资格证明文件组成</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061DD31">
            <w:pPr>
              <w:keepNext w:val="0"/>
              <w:keepLines w:val="0"/>
              <w:pageBreakBefore w:val="0"/>
              <w:widowControl w:val="0"/>
              <w:kinsoku/>
              <w:wordWrap/>
              <w:overflowPunct/>
              <w:topLinePunct w:val="0"/>
              <w:bidi w:val="0"/>
              <w:adjustRightInd/>
              <w:snapToGrid w:val="0"/>
              <w:spacing w:line="400" w:lineRule="exact"/>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投标人为法人或者其他组织的，提供营业执照等证明文件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如营业执照或者事业单位法人证书或者</w:t>
            </w:r>
            <w:r>
              <w:rPr>
                <w:rFonts w:hint="eastAsia" w:ascii="宋体" w:hAnsi="宋体" w:eastAsia="宋体" w:cs="宋体"/>
                <w:color w:val="auto"/>
                <w:sz w:val="21"/>
                <w:szCs w:val="21"/>
                <w:highlight w:val="none"/>
                <w:lang w:val="zh-CN" w:bidi="zh-CN"/>
              </w:rPr>
              <w:t>执业许可证</w:t>
            </w:r>
            <w:r>
              <w:rPr>
                <w:rFonts w:hint="eastAsia" w:ascii="宋体" w:hAnsi="宋体" w:eastAsia="宋体" w:cs="宋体"/>
                <w:color w:val="auto"/>
                <w:sz w:val="21"/>
                <w:szCs w:val="21"/>
                <w:highlight w:val="none"/>
              </w:rPr>
              <w:t>等），投标人为自然人的，提供身份证复印件</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88C35FC">
            <w:pPr>
              <w:keepNext w:val="0"/>
              <w:keepLines w:val="0"/>
              <w:pageBreakBefore w:val="0"/>
              <w:widowControl w:val="0"/>
              <w:kinsoku/>
              <w:wordWrap/>
              <w:overflowPunct/>
              <w:topLinePunct w:val="0"/>
              <w:bidi w:val="0"/>
              <w:adjustRightInd/>
              <w:snapToGrid w:val="0"/>
              <w:spacing w:line="400" w:lineRule="exact"/>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投标人依法缴纳税收的相关材料</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投标截止之日前一年内任意3个月依法缴纳税收的凭据复印件</w:t>
            </w:r>
            <w:r>
              <w:rPr>
                <w:rFonts w:hint="eastAsia" w:ascii="宋体" w:hAnsi="宋体" w:eastAsia="宋体" w:cs="宋体"/>
                <w:color w:val="auto"/>
                <w:sz w:val="21"/>
                <w:szCs w:val="21"/>
                <w:highlight w:val="none"/>
              </w:rPr>
              <w:t>；依法免税的供应商，必须提供相应文件证明其依法免税。从取得营业执照时间起到投标文件提交截止时间为止不足要求月数的，只需提供从取得营业执照起的依法缴纳税收相应证明文件）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A6A5298">
            <w:pPr>
              <w:keepNext w:val="0"/>
              <w:keepLines w:val="0"/>
              <w:pageBreakBefore w:val="0"/>
              <w:widowControl w:val="0"/>
              <w:kinsoku/>
              <w:wordWrap/>
              <w:overflowPunct/>
              <w:topLinePunct w:val="0"/>
              <w:bidi w:val="0"/>
              <w:adjustRightInd/>
              <w:snapToGrid w:val="0"/>
              <w:spacing w:line="400" w:lineRule="exact"/>
              <w:ind w:left="0"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投标人依法缴纳社会保障资金的相关材料[</w:t>
            </w:r>
            <w:r>
              <w:rPr>
                <w:rFonts w:hint="eastAsia" w:ascii="宋体" w:hAnsi="宋体" w:cs="宋体"/>
                <w:color w:val="auto"/>
                <w:sz w:val="21"/>
                <w:szCs w:val="21"/>
                <w:highlight w:val="none"/>
                <w:lang w:eastAsia="zh-CN"/>
              </w:rPr>
              <w:t>投标截止之日前一年内任意3个月依法缴纳社会保障资金的缴费凭证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F058A59">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财务状况报告（</w:t>
            </w:r>
            <w:r>
              <w:rPr>
                <w:rFonts w:hint="eastAsia" w:ascii="宋体" w:hAnsi="宋体" w:cs="宋体"/>
                <w:color w:val="auto"/>
                <w:szCs w:val="21"/>
                <w:highlight w:val="none"/>
                <w:u w:val="single"/>
              </w:rPr>
              <w:t>2024</w:t>
            </w:r>
            <w:r>
              <w:rPr>
                <w:rFonts w:hint="eastAsia" w:ascii="宋体" w:hAnsi="宋体" w:cs="宋体"/>
                <w:color w:val="auto"/>
                <w:szCs w:val="21"/>
                <w:highlight w:val="none"/>
              </w:rPr>
              <w:t>年度财务报表复印件或者银行出具的资信证明；</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属于成立时间</w:t>
            </w:r>
            <w:r>
              <w:rPr>
                <w:rFonts w:hint="eastAsia" w:ascii="宋体" w:hAnsi="宋体" w:cs="宋体"/>
                <w:color w:val="auto"/>
                <w:kern w:val="0"/>
                <w:szCs w:val="21"/>
                <w:highlight w:val="none"/>
              </w:rPr>
              <w:t>在规定年度之后</w:t>
            </w:r>
            <w:r>
              <w:rPr>
                <w:rFonts w:hint="eastAsia" w:ascii="宋体" w:hAnsi="宋体" w:cs="宋体"/>
                <w:color w:val="auto"/>
                <w:szCs w:val="21"/>
                <w:highlight w:val="none"/>
              </w:rPr>
              <w:t>的法人或其他组织，需提供成立之日起至</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文件提交截止时间前的月报表或银行出具的资信证明；资信证明应在有效期内，未注明有效期的，银行出具时间至</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文件提交截止时间不超过一年）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cs="宋体"/>
                <w:b/>
                <w:color w:val="auto"/>
                <w:szCs w:val="21"/>
                <w:highlight w:val="none"/>
              </w:rPr>
              <w:t>除自然人外必须提供，</w:t>
            </w:r>
            <w:r>
              <w:rPr>
                <w:rFonts w:hint="eastAsia" w:ascii="宋体" w:hAnsi="宋体" w:eastAsia="宋体" w:cs="宋体"/>
                <w:b/>
                <w:color w:val="auto"/>
                <w:sz w:val="21"/>
                <w:szCs w:val="21"/>
                <w:highlight w:val="none"/>
              </w:rPr>
              <w:t>否则作无效投标处理</w:t>
            </w:r>
            <w:r>
              <w:rPr>
                <w:rFonts w:hint="eastAsia" w:ascii="宋体" w:hAnsi="宋体" w:eastAsia="宋体" w:cs="宋体"/>
                <w:color w:val="auto"/>
                <w:sz w:val="21"/>
                <w:szCs w:val="21"/>
                <w:highlight w:val="none"/>
              </w:rPr>
              <w:t>）</w:t>
            </w:r>
          </w:p>
          <w:p w14:paraId="6F06FEFF">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投标人直接控股、管理关系信息表（格式后附）</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（必须提供，否则作无效投标处理）</w:t>
            </w:r>
          </w:p>
          <w:p w14:paraId="09B273F9">
            <w:pPr>
              <w:keepNext w:val="0"/>
              <w:keepLines w:val="0"/>
              <w:pageBreakBefore w:val="0"/>
              <w:widowControl w:val="0"/>
              <w:numPr>
                <w:ilvl w:val="0"/>
                <w:numId w:val="0"/>
              </w:numPr>
              <w:kinsoku/>
              <w:wordWrap/>
              <w:overflowPunct/>
              <w:topLinePunct w:val="0"/>
              <w:bidi w:val="0"/>
              <w:adjustRightInd/>
              <w:snapToGrid w:val="0"/>
              <w:spacing w:line="400" w:lineRule="exact"/>
              <w:ind w:left="360" w:leftChars="0" w:hanging="360" w:firstLineChars="0"/>
              <w:jc w:val="both"/>
              <w:rPr>
                <w:rFonts w:hint="eastAsia" w:ascii="宋体" w:hAnsi="宋体" w:eastAsia="宋体" w:cs="宋体"/>
                <w:b/>
                <w:bCs/>
                <w:color w:val="auto"/>
                <w:sz w:val="21"/>
                <w:szCs w:val="21"/>
                <w:highlight w:val="none"/>
                <w:lang w:eastAsia="zh-CN"/>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投标声明（格式后附）</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（必须提供，否则作无效投标处理）</w:t>
            </w:r>
          </w:p>
          <w:p w14:paraId="66C62152">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7.针对</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eastAsia="zh-CN"/>
              </w:rPr>
              <w:t>的承诺函（格式自拟，内容应包括承诺“投标人</w:t>
            </w:r>
            <w:r>
              <w:rPr>
                <w:rFonts w:hint="eastAsia" w:ascii="宋体" w:hAnsi="宋体" w:cs="宋体"/>
                <w:color w:val="auto"/>
                <w:szCs w:val="21"/>
                <w:highlight w:val="none"/>
              </w:rPr>
              <w:t>不是采购人的附属机构；不是为本次采购项目提供整体设计、规范编制或者项目管理、监理、检测等货物的供应商；与采购人聘请的为此项目提供设计、咨询、论证等服务的公司及其附属机构</w:t>
            </w:r>
            <w:r>
              <w:rPr>
                <w:rFonts w:hint="eastAsia" w:ascii="宋体" w:hAnsi="宋体" w:cs="宋体"/>
                <w:color w:val="auto"/>
                <w:szCs w:val="21"/>
                <w:highlight w:val="none"/>
                <w:lang w:eastAsia="zh-CN"/>
              </w:rPr>
              <w:t>不存在控股关系或管理关系”内容）</w:t>
            </w:r>
            <w:r>
              <w:rPr>
                <w:rFonts w:hint="eastAsia" w:ascii="宋体" w:hAnsi="宋体" w:cs="宋体"/>
                <w:color w:val="auto"/>
                <w:szCs w:val="21"/>
                <w:highlight w:val="none"/>
                <w:lang w:val="en-US" w:eastAsia="zh-CN"/>
              </w:rPr>
              <w:t>。</w:t>
            </w:r>
            <w:r>
              <w:rPr>
                <w:rFonts w:hint="eastAsia" w:ascii="宋体" w:hAnsi="宋体" w:eastAsia="宋体" w:cs="宋体"/>
                <w:b/>
                <w:bCs/>
                <w:color w:val="auto"/>
                <w:sz w:val="21"/>
                <w:szCs w:val="21"/>
                <w:highlight w:val="none"/>
              </w:rPr>
              <w:t>（必须提供，否则作无效投标处理）</w:t>
            </w:r>
          </w:p>
          <w:p w14:paraId="68EC0C5D">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联合体协议书（格式后附）</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（联合体投标时必须提供，否则作无效投标处理）</w:t>
            </w:r>
          </w:p>
          <w:p w14:paraId="3B2600B7">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.中小企业声明函或残疾人福利性单位声明函或属于监狱企业的证明文件（格式后附）</w:t>
            </w:r>
            <w:r>
              <w:rPr>
                <w:rFonts w:hint="eastAsia" w:ascii="宋体" w:hAnsi="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所有</w:t>
            </w:r>
            <w:r>
              <w:rPr>
                <w:rFonts w:hint="eastAsia" w:ascii="宋体" w:hAnsi="宋体" w:eastAsia="宋体" w:cs="宋体"/>
                <w:b/>
                <w:bCs/>
                <w:color w:val="auto"/>
                <w:sz w:val="21"/>
                <w:szCs w:val="21"/>
                <w:highlight w:val="none"/>
                <w:lang w:val="en-US" w:eastAsia="zh-CN"/>
              </w:rPr>
              <w:t>分必须提供，否则按无效投标处理）</w:t>
            </w:r>
          </w:p>
          <w:p w14:paraId="6F98C5A0">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除招标文件规定必须提供以外，投标人认为需要提供的其他证明材料。</w:t>
            </w:r>
          </w:p>
          <w:p w14:paraId="29C4EA3B">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79379D32">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p>
          <w:p w14:paraId="2B9A7596">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投标声明必须由法定代表人在规定签章处签字并加盖投标人公章，否则按无效投标处理。</w:t>
            </w:r>
          </w:p>
          <w:p w14:paraId="5DA39107">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投标人直接控股、管理关系信息表必须由法定代表人或者委托代理人在规定签章处签字并加盖投标人公章，否则按无效投标处理。</w:t>
            </w:r>
          </w:p>
        </w:tc>
      </w:tr>
      <w:tr w14:paraId="5F0E9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65FBEA1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03A1DF2">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商务文件组成</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CC08090">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无串通投标行为的承诺函（格式后附）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（必须提供，否则作无效投标处理）</w:t>
            </w:r>
          </w:p>
          <w:p w14:paraId="387D46F5">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法定代表人身份证明及法定代表人有效身份证正反面复印件（格式后附）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（除自然人投标外必须提供，否则作无效投标处理）</w:t>
            </w:r>
          </w:p>
          <w:p w14:paraId="133AAACD">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法定代表人授权委托书及委托代理人有效身份证正反面复印件（格式后附）。</w:t>
            </w:r>
            <w:r>
              <w:rPr>
                <w:rFonts w:hint="eastAsia" w:ascii="宋体" w:hAnsi="宋体" w:eastAsia="宋体" w:cs="宋体"/>
                <w:b/>
                <w:bCs/>
                <w:color w:val="auto"/>
                <w:sz w:val="21"/>
                <w:szCs w:val="21"/>
                <w:highlight w:val="none"/>
              </w:rPr>
              <w:t>（委托时必须提供，否则作无效投标处理）</w:t>
            </w:r>
          </w:p>
          <w:p w14:paraId="4376153D">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bCs/>
                <w:color w:val="auto"/>
                <w:sz w:val="21"/>
                <w:szCs w:val="21"/>
                <w:highlight w:val="none"/>
              </w:rPr>
              <w:t>（必须提供，否则作无效投标处理）</w:t>
            </w:r>
          </w:p>
          <w:p w14:paraId="1C709720">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eastAsia="zh-CN"/>
              </w:rPr>
              <w:t>承诺书</w:t>
            </w:r>
            <w:r>
              <w:rPr>
                <w:rFonts w:hint="eastAsia" w:ascii="宋体" w:hAnsi="宋体" w:eastAsia="宋体" w:cs="宋体"/>
                <w:color w:val="auto"/>
                <w:sz w:val="21"/>
                <w:szCs w:val="21"/>
                <w:highlight w:val="none"/>
              </w:rPr>
              <w:t>（格式</w:t>
            </w:r>
            <w:r>
              <w:rPr>
                <w:rFonts w:hint="eastAsia" w:ascii="宋体" w:hAnsi="宋体" w:cs="宋体"/>
                <w:color w:val="auto"/>
                <w:sz w:val="21"/>
                <w:szCs w:val="21"/>
                <w:highlight w:val="none"/>
                <w:lang w:eastAsia="zh-CN"/>
              </w:rPr>
              <w:t>自拟</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（必须提供，否则作无效投标处理）</w:t>
            </w:r>
          </w:p>
          <w:p w14:paraId="07A69625">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售后服务方案</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sz w:val="21"/>
                <w:szCs w:val="21"/>
                <w:highlight w:val="none"/>
              </w:rPr>
              <w:t>格式</w:t>
            </w:r>
            <w:r>
              <w:rPr>
                <w:rFonts w:hint="eastAsia" w:ascii="宋体" w:hAnsi="宋体" w:cs="宋体"/>
                <w:color w:val="auto"/>
                <w:sz w:val="21"/>
                <w:szCs w:val="21"/>
                <w:highlight w:val="none"/>
                <w:lang w:eastAsia="zh-CN"/>
              </w:rPr>
              <w:t>自拟，</w:t>
            </w:r>
            <w:r>
              <w:rPr>
                <w:rFonts w:hint="eastAsia" w:ascii="宋体" w:hAnsi="宋体" w:eastAsia="宋体" w:cs="宋体"/>
                <w:b w:val="0"/>
                <w:bCs w:val="0"/>
                <w:color w:val="auto"/>
                <w:sz w:val="21"/>
                <w:szCs w:val="21"/>
                <w:highlight w:val="none"/>
              </w:rPr>
              <w:t>视项目情况提供）</w:t>
            </w:r>
            <w:r>
              <w:rPr>
                <w:rFonts w:hint="eastAsia" w:ascii="宋体" w:hAnsi="宋体" w:eastAsia="宋体" w:cs="宋体"/>
                <w:color w:val="auto"/>
                <w:sz w:val="21"/>
                <w:szCs w:val="21"/>
                <w:highlight w:val="none"/>
                <w:lang w:eastAsia="zh-CN"/>
              </w:rPr>
              <w:t>。</w:t>
            </w:r>
          </w:p>
          <w:p w14:paraId="5B8F03A1">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b w:val="0"/>
                <w:bCs w:val="0"/>
                <w:color w:val="auto"/>
                <w:sz w:val="21"/>
                <w:szCs w:val="21"/>
                <w:highlight w:val="none"/>
              </w:rPr>
              <w:t>优惠条件：投标人承诺给予</w:t>
            </w:r>
            <w:r>
              <w:rPr>
                <w:rFonts w:hint="eastAsia" w:ascii="宋体" w:hAnsi="宋体" w:eastAsia="宋体" w:cs="宋体"/>
                <w:b w:val="0"/>
                <w:bCs w:val="0"/>
                <w:color w:val="auto"/>
                <w:sz w:val="21"/>
                <w:szCs w:val="21"/>
                <w:highlight w:val="none"/>
                <w:lang w:eastAsia="zh-CN"/>
              </w:rPr>
              <w:t>采购</w:t>
            </w:r>
            <w:r>
              <w:rPr>
                <w:rFonts w:hint="eastAsia" w:ascii="宋体" w:hAnsi="宋体" w:eastAsia="宋体" w:cs="宋体"/>
                <w:b w:val="0"/>
                <w:bCs w:val="0"/>
                <w:color w:val="auto"/>
                <w:sz w:val="21"/>
                <w:szCs w:val="21"/>
                <w:highlight w:val="none"/>
              </w:rPr>
              <w:t>人的各种优惠条件，包括售后服务、备品备件、专用耗材等方面的优惠；投标人不得给予赠品或者与采购无关的其他商品、服务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如有，请提供）</w:t>
            </w:r>
            <w:r>
              <w:rPr>
                <w:rFonts w:hint="eastAsia" w:ascii="宋体" w:hAnsi="宋体" w:eastAsia="宋体" w:cs="宋体"/>
                <w:b w:val="0"/>
                <w:bCs w:val="0"/>
                <w:color w:val="auto"/>
                <w:sz w:val="21"/>
                <w:szCs w:val="21"/>
                <w:highlight w:val="none"/>
                <w:lang w:eastAsia="zh-CN"/>
              </w:rPr>
              <w:t>。</w:t>
            </w:r>
          </w:p>
          <w:p w14:paraId="4FA82768">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“采购需求”商务要求及“评分标准”商务分评标标准中要求提供</w:t>
            </w:r>
            <w:r>
              <w:rPr>
                <w:rFonts w:hint="eastAsia" w:ascii="宋体" w:hAnsi="宋体" w:eastAsia="宋体" w:cs="宋体"/>
                <w:b w:val="0"/>
                <w:bCs w:val="0"/>
                <w:color w:val="auto"/>
                <w:sz w:val="21"/>
                <w:szCs w:val="21"/>
                <w:highlight w:val="none"/>
              </w:rPr>
              <w:t>（视项目情况提供）</w:t>
            </w:r>
            <w:r>
              <w:rPr>
                <w:rFonts w:hint="eastAsia" w:ascii="宋体" w:hAnsi="宋体" w:eastAsia="宋体" w:cs="宋体"/>
                <w:color w:val="auto"/>
                <w:sz w:val="21"/>
                <w:szCs w:val="21"/>
                <w:highlight w:val="none"/>
                <w:lang w:eastAsia="zh-CN"/>
              </w:rPr>
              <w:t>。</w:t>
            </w:r>
          </w:p>
          <w:p w14:paraId="15F6221D">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投标人类似业绩的证明文件</w:t>
            </w:r>
            <w:r>
              <w:rPr>
                <w:rFonts w:hint="eastAsia" w:ascii="宋体" w:hAnsi="宋体" w:eastAsia="宋体" w:cs="宋体"/>
                <w:color w:val="auto"/>
                <w:sz w:val="21"/>
                <w:szCs w:val="21"/>
                <w:highlight w:val="none"/>
                <w:lang w:eastAsia="zh-CN"/>
              </w:rPr>
              <w:t>。</w:t>
            </w:r>
          </w:p>
          <w:p w14:paraId="7297B412">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除招标文件规定必须提供以外，投标人认为需要提供的其他证明材料（投标人根据“第二章 采购需求”及“第四章 评标方法及评标标准”提供有关证明材料）。</w:t>
            </w:r>
          </w:p>
          <w:p w14:paraId="3D6C23CC">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6CB4187F">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1.法定代表人授权委托书必须由法定代表人及委托代理人签字，并加盖投标人</w:t>
            </w:r>
            <w:r>
              <w:rPr>
                <w:rFonts w:hint="eastAsia" w:ascii="宋体" w:hAnsi="宋体" w:eastAsia="宋体" w:cs="宋体"/>
                <w:b/>
                <w:bCs/>
                <w:color w:val="auto"/>
                <w:sz w:val="21"/>
                <w:szCs w:val="21"/>
                <w:highlight w:val="none"/>
                <w:lang w:eastAsia="zh-CN"/>
              </w:rPr>
              <w:t>电子</w:t>
            </w:r>
            <w:r>
              <w:rPr>
                <w:rFonts w:hint="eastAsia" w:ascii="宋体" w:hAnsi="宋体" w:eastAsia="宋体" w:cs="宋体"/>
                <w:b/>
                <w:bCs/>
                <w:color w:val="auto"/>
                <w:sz w:val="21"/>
                <w:szCs w:val="21"/>
                <w:highlight w:val="none"/>
              </w:rPr>
              <w:t>公章，否则作无效投标处理。</w:t>
            </w:r>
          </w:p>
          <w:p w14:paraId="6726783F">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1FE06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6FC4BF5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right w:val="single" w:color="auto" w:sz="4" w:space="0"/>
            </w:tcBorders>
            <w:noWrap w:val="0"/>
            <w:vAlign w:val="center"/>
          </w:tcPr>
          <w:p w14:paraId="160F705B">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技术文件组成</w:t>
            </w:r>
          </w:p>
        </w:tc>
        <w:tc>
          <w:tcPr>
            <w:tcW w:w="6999" w:type="dxa"/>
            <w:tcBorders>
              <w:top w:val="single" w:color="auto" w:sz="4" w:space="0"/>
              <w:left w:val="single" w:color="auto" w:sz="4" w:space="0"/>
              <w:right w:val="single" w:color="auto" w:sz="4" w:space="0"/>
            </w:tcBorders>
            <w:noWrap w:val="0"/>
            <w:vAlign w:val="center"/>
          </w:tcPr>
          <w:p w14:paraId="39261A05">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技术要求偏离表（格式后附）</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（必须提供，否则作无效投标处理）</w:t>
            </w:r>
          </w:p>
          <w:p w14:paraId="0B22E996">
            <w:pPr>
              <w:keepNext w:val="0"/>
              <w:keepLines w:val="0"/>
              <w:pageBreakBefore w:val="0"/>
              <w:widowControl w:val="0"/>
              <w:tabs>
                <w:tab w:val="left" w:pos="459"/>
              </w:tabs>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完成项目所使用产品清单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格式后附）</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eastAsia="zh-CN"/>
              </w:rPr>
              <w:t>不包含报价，</w:t>
            </w:r>
            <w:r>
              <w:rPr>
                <w:rFonts w:hint="eastAsia" w:ascii="宋体" w:hAnsi="宋体" w:eastAsia="宋体" w:cs="宋体"/>
                <w:b/>
                <w:bCs/>
                <w:color w:val="auto"/>
                <w:sz w:val="21"/>
                <w:szCs w:val="21"/>
                <w:highlight w:val="none"/>
              </w:rPr>
              <w:t>必须提供，否则作无效投标处理）</w:t>
            </w:r>
          </w:p>
          <w:p w14:paraId="172D1FD4">
            <w:pPr>
              <w:keepNext w:val="0"/>
              <w:keepLines w:val="0"/>
              <w:pageBreakBefore w:val="0"/>
              <w:widowControl w:val="0"/>
              <w:kinsoku/>
              <w:wordWrap/>
              <w:overflowPunct/>
              <w:topLinePunct w:val="0"/>
              <w:bidi w:val="0"/>
              <w:adjustRightInd/>
              <w:snapToGrid w:val="0"/>
              <w:spacing w:line="40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3.技术方案</w:t>
            </w:r>
            <w:r>
              <w:rPr>
                <w:rFonts w:hint="eastAsia" w:ascii="宋体" w:hAnsi="宋体" w:eastAsia="宋体" w:cs="宋体"/>
                <w:b w:val="0"/>
                <w:bCs w:val="0"/>
                <w:color w:val="auto"/>
                <w:sz w:val="21"/>
                <w:szCs w:val="21"/>
                <w:highlight w:val="none"/>
              </w:rPr>
              <w:t>（格式自拟）（</w:t>
            </w:r>
            <w:r>
              <w:rPr>
                <w:rFonts w:hint="eastAsia" w:ascii="宋体" w:hAnsi="宋体" w:cs="宋体"/>
                <w:b w:val="0"/>
                <w:bCs w:val="0"/>
                <w:color w:val="auto"/>
                <w:sz w:val="21"/>
                <w:szCs w:val="21"/>
                <w:highlight w:val="none"/>
                <w:lang w:eastAsia="zh-CN"/>
              </w:rPr>
              <w:t>分标</w:t>
            </w:r>
            <w:r>
              <w:rPr>
                <w:rFonts w:hint="eastAsia" w:ascii="宋体" w:hAnsi="宋体" w:cs="宋体"/>
                <w:b w:val="0"/>
                <w:bCs w:val="0"/>
                <w:color w:val="auto"/>
                <w:sz w:val="21"/>
                <w:szCs w:val="21"/>
                <w:highlight w:val="none"/>
                <w:lang w:val="en-US" w:eastAsia="zh-CN"/>
              </w:rPr>
              <w:t>1不需提供，</w:t>
            </w:r>
            <w:r>
              <w:rPr>
                <w:rFonts w:hint="eastAsia" w:ascii="宋体" w:hAnsi="宋体" w:cs="宋体"/>
                <w:b w:val="0"/>
                <w:bCs w:val="0"/>
                <w:color w:val="auto"/>
                <w:sz w:val="21"/>
                <w:szCs w:val="21"/>
                <w:highlight w:val="none"/>
                <w:lang w:eastAsia="zh-CN"/>
              </w:rPr>
              <w:t>分标</w:t>
            </w:r>
            <w:r>
              <w:rPr>
                <w:rFonts w:hint="eastAsia" w:ascii="宋体" w:hAnsi="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rPr>
              <w:t>视情况提供）</w:t>
            </w:r>
            <w:r>
              <w:rPr>
                <w:rFonts w:hint="eastAsia" w:ascii="宋体" w:hAnsi="宋体" w:eastAsia="宋体" w:cs="宋体"/>
                <w:b w:val="0"/>
                <w:bCs w:val="0"/>
                <w:color w:val="auto"/>
                <w:sz w:val="21"/>
                <w:szCs w:val="21"/>
                <w:highlight w:val="none"/>
                <w:lang w:eastAsia="zh-CN"/>
              </w:rPr>
              <w:t>。</w:t>
            </w:r>
          </w:p>
          <w:p w14:paraId="42B54382">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项目实施方案（格式自拟）（</w:t>
            </w:r>
            <w:r>
              <w:rPr>
                <w:rFonts w:hint="eastAsia" w:ascii="宋体" w:hAnsi="宋体" w:cs="宋体"/>
                <w:b w:val="0"/>
                <w:bCs w:val="0"/>
                <w:color w:val="auto"/>
                <w:sz w:val="21"/>
                <w:szCs w:val="21"/>
                <w:highlight w:val="none"/>
                <w:lang w:eastAsia="zh-CN"/>
              </w:rPr>
              <w:t>各分标</w:t>
            </w:r>
            <w:r>
              <w:rPr>
                <w:rFonts w:hint="eastAsia" w:ascii="宋体" w:hAnsi="宋体" w:eastAsia="宋体" w:cs="宋体"/>
                <w:b w:val="0"/>
                <w:bCs w:val="0"/>
                <w:color w:val="auto"/>
                <w:sz w:val="21"/>
                <w:szCs w:val="21"/>
                <w:highlight w:val="none"/>
              </w:rPr>
              <w:t>视情况提供）</w:t>
            </w:r>
            <w:r>
              <w:rPr>
                <w:rFonts w:hint="eastAsia" w:ascii="宋体" w:hAnsi="宋体" w:eastAsia="宋体" w:cs="宋体"/>
                <w:b w:val="0"/>
                <w:bCs w:val="0"/>
                <w:color w:val="auto"/>
                <w:sz w:val="21"/>
                <w:szCs w:val="21"/>
                <w:highlight w:val="none"/>
                <w:lang w:eastAsia="zh-CN"/>
              </w:rPr>
              <w:t>。</w:t>
            </w:r>
          </w:p>
          <w:p w14:paraId="1167E626">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eastAsia="zh-CN"/>
              </w:rPr>
              <w:t>“采购需求”技术要求及“评分标准”技术分评标标准中要求提供</w:t>
            </w:r>
            <w:r>
              <w:rPr>
                <w:rFonts w:hint="eastAsia" w:ascii="宋体" w:hAnsi="宋体" w:eastAsia="宋体" w:cs="宋体"/>
                <w:b w:val="0"/>
                <w:bCs w:val="0"/>
                <w:color w:val="auto"/>
                <w:sz w:val="21"/>
                <w:szCs w:val="21"/>
                <w:highlight w:val="none"/>
              </w:rPr>
              <w:t>（视项目情况提供）</w:t>
            </w:r>
            <w:r>
              <w:rPr>
                <w:rFonts w:hint="eastAsia" w:ascii="宋体" w:hAnsi="宋体" w:eastAsia="宋体" w:cs="宋体"/>
                <w:b w:val="0"/>
                <w:bCs w:val="0"/>
                <w:color w:val="auto"/>
                <w:sz w:val="21"/>
                <w:szCs w:val="21"/>
                <w:highlight w:val="none"/>
                <w:lang w:eastAsia="zh-CN"/>
              </w:rPr>
              <w:t>。</w:t>
            </w:r>
          </w:p>
          <w:p w14:paraId="7C9B96AA">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rPr>
              <w:t>投标人对本项目的合理化建议和改进措施</w:t>
            </w:r>
            <w:r>
              <w:rPr>
                <w:rFonts w:hint="eastAsia" w:ascii="宋体" w:hAnsi="宋体" w:eastAsia="宋体" w:cs="宋体"/>
                <w:color w:val="auto"/>
                <w:sz w:val="21"/>
                <w:szCs w:val="21"/>
                <w:highlight w:val="none"/>
                <w:lang w:eastAsia="zh-CN"/>
              </w:rPr>
              <w:t>。</w:t>
            </w:r>
          </w:p>
          <w:p w14:paraId="11EE3AAE">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除招标文件规定必须提供以外，投标人需要说明的其他文件和说明。</w:t>
            </w:r>
          </w:p>
          <w:p w14:paraId="60D48946">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，必须加盖投标人电子公章，否则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0D6EC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33A1D85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B302D2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投标报价要求</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19CCFF9A">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tc>
      </w:tr>
      <w:tr w14:paraId="6F66D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7AD86B0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2546956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A4C3340">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eastAsia="宋体" w:cs="宋体"/>
                <w:color w:val="auto"/>
                <w:sz w:val="21"/>
                <w:szCs w:val="21"/>
                <w:highlight w:val="none"/>
                <w:u w:val="single"/>
              </w:rPr>
              <w:t>90日</w:t>
            </w:r>
            <w:r>
              <w:rPr>
                <w:rFonts w:hint="eastAsia" w:ascii="宋体" w:hAnsi="宋体" w:eastAsia="宋体" w:cs="宋体"/>
                <w:color w:val="auto"/>
                <w:sz w:val="21"/>
                <w:szCs w:val="21"/>
                <w:highlight w:val="none"/>
              </w:rPr>
              <w:t>。</w:t>
            </w:r>
          </w:p>
        </w:tc>
      </w:tr>
      <w:tr w14:paraId="7FCC8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4AFDC63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03693F5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8431789">
            <w:pPr>
              <w:keepNext w:val="0"/>
              <w:keepLines w:val="0"/>
              <w:pageBreakBefore w:val="0"/>
              <w:widowControl w:val="0"/>
              <w:kinsoku/>
              <w:wordWrap/>
              <w:overflowPunct/>
              <w:topLinePunct w:val="0"/>
              <w:autoSpaceDE w:val="0"/>
              <w:autoSpaceDN w:val="0"/>
              <w:bidi w:val="0"/>
              <w:adjustRightInd/>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w:t>
            </w:r>
          </w:p>
          <w:p w14:paraId="4321D1F4">
            <w:pPr>
              <w:keepNext w:val="0"/>
              <w:keepLines w:val="0"/>
              <w:pageBreakBefore w:val="0"/>
              <w:widowControl w:val="0"/>
              <w:kinsoku/>
              <w:wordWrap/>
              <w:overflowPunct/>
              <w:topLinePunct w:val="0"/>
              <w:bidi w:val="0"/>
              <w:adjustRightInd/>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保证金，具体规定如下：</w:t>
            </w:r>
          </w:p>
          <w:p w14:paraId="6CF8E6E3">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1.投标保证金的形式：银行转账、支票、汇票、本票或者金融、担保机构出具的保函，禁止采用现钞方式。</w:t>
            </w:r>
          </w:p>
          <w:p w14:paraId="2595953F">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2.投标保证金为人民币</w:t>
            </w:r>
            <w:r>
              <w:rPr>
                <w:rFonts w:hint="eastAsia" w:ascii="宋体" w:hAnsi="宋体" w:eastAsia="宋体" w:cs="宋体"/>
                <w:color w:val="auto"/>
                <w:sz w:val="21"/>
                <w:szCs w:val="21"/>
                <w:highlight w:val="none"/>
                <w:lang w:eastAsia="zh-CN"/>
              </w:rPr>
              <w:t>：</w:t>
            </w:r>
            <w:r>
              <w:rPr>
                <w:rFonts w:hint="eastAsia" w:ascii="宋体" w:hAnsi="宋体" w:cs="宋体"/>
                <w:b/>
                <w:bCs/>
                <w:color w:val="auto"/>
                <w:sz w:val="21"/>
                <w:szCs w:val="21"/>
                <w:highlight w:val="none"/>
                <w:lang w:eastAsia="zh-CN"/>
              </w:rPr>
              <w:t>分标</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14900.00</w:t>
            </w:r>
            <w:r>
              <w:rPr>
                <w:rFonts w:hint="eastAsia" w:ascii="宋体" w:hAnsi="宋体" w:eastAsia="宋体" w:cs="宋体"/>
                <w:b/>
                <w:bCs/>
                <w:color w:val="auto"/>
                <w:sz w:val="21"/>
                <w:szCs w:val="21"/>
                <w:highlight w:val="none"/>
              </w:rPr>
              <w:t>元</w:t>
            </w:r>
            <w:r>
              <w:rPr>
                <w:rFonts w:hint="eastAsia" w:ascii="宋体" w:hAnsi="宋体" w:cs="宋体"/>
                <w:b/>
                <w:bCs/>
                <w:color w:val="auto"/>
                <w:sz w:val="21"/>
                <w:szCs w:val="21"/>
                <w:highlight w:val="none"/>
                <w:lang w:eastAsia="zh-CN"/>
              </w:rPr>
              <w:t>；分标</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7000.00</w:t>
            </w:r>
            <w:r>
              <w:rPr>
                <w:rFonts w:hint="eastAsia" w:ascii="宋体" w:hAnsi="宋体" w:eastAsia="宋体" w:cs="宋体"/>
                <w:b/>
                <w:bCs/>
                <w:color w:val="auto"/>
                <w:sz w:val="21"/>
                <w:szCs w:val="21"/>
                <w:highlight w:val="none"/>
              </w:rPr>
              <w:t>元</w:t>
            </w:r>
            <w:r>
              <w:rPr>
                <w:rFonts w:hint="eastAsia" w:ascii="宋体" w:hAnsi="宋体" w:cs="宋体"/>
                <w:b/>
                <w:bCs/>
                <w:color w:val="auto"/>
                <w:sz w:val="21"/>
                <w:szCs w:val="21"/>
                <w:highlight w:val="none"/>
                <w:lang w:eastAsia="zh-CN"/>
              </w:rPr>
              <w:t>；分标</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14800.00</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p>
          <w:p w14:paraId="3C920448">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采用银行转账方式的，在投标截止时间前交至以下指定账户并且到账以到账时间为准：</w:t>
            </w:r>
          </w:p>
          <w:p w14:paraId="374A702E">
            <w:pPr>
              <w:keepNext w:val="0"/>
              <w:keepLines w:val="0"/>
              <w:pageBreakBefore w:val="0"/>
              <w:widowControl w:val="0"/>
              <w:kinsoku/>
              <w:wordWrap/>
              <w:overflowPunct/>
              <w:topLinePunct w:val="0"/>
              <w:bidi w:val="0"/>
              <w:adjustRightInd/>
              <w:snapToGrid w:val="0"/>
              <w:spacing w:line="400" w:lineRule="exact"/>
              <w:ind w:left="0" w:firstLine="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分标</w:t>
            </w:r>
            <w:r>
              <w:rPr>
                <w:rFonts w:hint="eastAsia" w:ascii="宋体" w:hAnsi="宋体" w:eastAsia="宋体" w:cs="宋体"/>
                <w:b/>
                <w:bCs/>
                <w:color w:val="auto"/>
                <w:sz w:val="21"/>
                <w:szCs w:val="21"/>
                <w:highlight w:val="none"/>
                <w:lang w:val="en-US" w:eastAsia="zh-CN"/>
              </w:rPr>
              <w:t>1</w:t>
            </w:r>
          </w:p>
          <w:p w14:paraId="64FEF80A">
            <w:pPr>
              <w:keepNext w:val="0"/>
              <w:keepLines w:val="0"/>
              <w:pageBreakBefore w:val="0"/>
              <w:widowControl w:val="0"/>
              <w:kinsoku/>
              <w:wordWrap/>
              <w:overflowPunct/>
              <w:topLinePunct w:val="0"/>
              <w:bidi w:val="0"/>
              <w:adjustRightInd/>
              <w:snapToGrid w:val="0"/>
              <w:spacing w:line="400" w:lineRule="exact"/>
              <w:ind w:lef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Cs w:val="21"/>
                <w:highlight w:val="none"/>
              </w:rPr>
              <w:t>钦州市公共资源交易中心</w:t>
            </w:r>
          </w:p>
          <w:p w14:paraId="45630608">
            <w:pPr>
              <w:keepNext w:val="0"/>
              <w:keepLines w:val="0"/>
              <w:pageBreakBefore w:val="0"/>
              <w:widowControl w:val="0"/>
              <w:kinsoku/>
              <w:wordWrap/>
              <w:overflowPunct/>
              <w:topLinePunct w:val="0"/>
              <w:bidi w:val="0"/>
              <w:adjustRightInd/>
              <w:snapToGrid w:val="0"/>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开户银行：钦州市区农村信用合作联社政务服务中心分社</w:t>
            </w:r>
          </w:p>
          <w:p w14:paraId="68D87D1B">
            <w:pPr>
              <w:keepNext w:val="0"/>
              <w:keepLines w:val="0"/>
              <w:pageBreakBefore w:val="0"/>
              <w:widowControl w:val="0"/>
              <w:kinsoku/>
              <w:wordWrap/>
              <w:overflowPunct/>
              <w:topLinePunct w:val="0"/>
              <w:bidi w:val="0"/>
              <w:adjustRightInd/>
              <w:snapToGrid w:val="0"/>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账号：20298994252002416</w:t>
            </w:r>
          </w:p>
          <w:p w14:paraId="6EEF5B75">
            <w:pPr>
              <w:keepNext w:val="0"/>
              <w:keepLines w:val="0"/>
              <w:pageBreakBefore w:val="0"/>
              <w:widowControl w:val="0"/>
              <w:kinsoku/>
              <w:wordWrap/>
              <w:overflowPunct/>
              <w:topLinePunct w:val="0"/>
              <w:bidi w:val="0"/>
              <w:adjustRightInd/>
              <w:snapToGrid w:val="0"/>
              <w:spacing w:line="400" w:lineRule="exact"/>
              <w:ind w:left="0" w:firstLine="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分标</w:t>
            </w:r>
            <w:r>
              <w:rPr>
                <w:rFonts w:hint="eastAsia" w:ascii="宋体" w:hAnsi="宋体" w:eastAsia="宋体" w:cs="宋体"/>
                <w:b/>
                <w:bCs/>
                <w:color w:val="auto"/>
                <w:sz w:val="21"/>
                <w:szCs w:val="21"/>
                <w:highlight w:val="none"/>
                <w:lang w:val="en-US" w:eastAsia="zh-CN"/>
              </w:rPr>
              <w:t>2</w:t>
            </w:r>
          </w:p>
          <w:p w14:paraId="284C905C">
            <w:pPr>
              <w:keepNext w:val="0"/>
              <w:keepLines w:val="0"/>
              <w:pageBreakBefore w:val="0"/>
              <w:widowControl w:val="0"/>
              <w:kinsoku/>
              <w:wordWrap/>
              <w:overflowPunct/>
              <w:topLinePunct w:val="0"/>
              <w:bidi w:val="0"/>
              <w:adjustRightInd/>
              <w:snapToGrid w:val="0"/>
              <w:spacing w:line="400" w:lineRule="exact"/>
              <w:ind w:lef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Cs w:val="21"/>
                <w:highlight w:val="none"/>
              </w:rPr>
              <w:t>钦州市公共资源交易中心</w:t>
            </w:r>
          </w:p>
          <w:p w14:paraId="5D5507BE">
            <w:pPr>
              <w:keepNext w:val="0"/>
              <w:keepLines w:val="0"/>
              <w:pageBreakBefore w:val="0"/>
              <w:widowControl w:val="0"/>
              <w:kinsoku/>
              <w:wordWrap/>
              <w:overflowPunct/>
              <w:topLinePunct w:val="0"/>
              <w:bidi w:val="0"/>
              <w:adjustRightInd/>
              <w:snapToGrid w:val="0"/>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开户银行：钦州市区农村信用合作联社政务服务中心分社</w:t>
            </w:r>
          </w:p>
          <w:p w14:paraId="2E63BCE0">
            <w:pPr>
              <w:keepNext w:val="0"/>
              <w:keepLines w:val="0"/>
              <w:pageBreakBefore w:val="0"/>
              <w:widowControl w:val="0"/>
              <w:kinsoku/>
              <w:wordWrap/>
              <w:overflowPunct/>
              <w:topLinePunct w:val="0"/>
              <w:bidi w:val="0"/>
              <w:adjustRightInd/>
              <w:snapToGrid w:val="0"/>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账号：20298994252002415</w:t>
            </w:r>
          </w:p>
          <w:p w14:paraId="1CD6B4EB">
            <w:pPr>
              <w:keepNext w:val="0"/>
              <w:keepLines w:val="0"/>
              <w:pageBreakBefore w:val="0"/>
              <w:widowControl w:val="0"/>
              <w:kinsoku/>
              <w:wordWrap/>
              <w:overflowPunct/>
              <w:topLinePunct w:val="0"/>
              <w:bidi w:val="0"/>
              <w:adjustRightInd/>
              <w:snapToGrid w:val="0"/>
              <w:spacing w:line="400" w:lineRule="exact"/>
              <w:ind w:left="0" w:firstLine="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分标</w:t>
            </w:r>
            <w:r>
              <w:rPr>
                <w:rFonts w:hint="eastAsia" w:ascii="宋体" w:hAnsi="宋体" w:eastAsia="宋体" w:cs="宋体"/>
                <w:b/>
                <w:bCs/>
                <w:color w:val="auto"/>
                <w:sz w:val="21"/>
                <w:szCs w:val="21"/>
                <w:highlight w:val="none"/>
                <w:lang w:val="en-US" w:eastAsia="zh-CN"/>
              </w:rPr>
              <w:t>3</w:t>
            </w:r>
          </w:p>
          <w:p w14:paraId="1609D140">
            <w:pPr>
              <w:keepNext w:val="0"/>
              <w:keepLines w:val="0"/>
              <w:pageBreakBefore w:val="0"/>
              <w:widowControl w:val="0"/>
              <w:kinsoku/>
              <w:wordWrap/>
              <w:overflowPunct/>
              <w:topLinePunct w:val="0"/>
              <w:bidi w:val="0"/>
              <w:adjustRightInd/>
              <w:snapToGrid w:val="0"/>
              <w:spacing w:line="400" w:lineRule="exact"/>
              <w:ind w:left="0" w:firstLine="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Cs w:val="21"/>
                <w:highlight w:val="none"/>
              </w:rPr>
              <w:t>钦州市公共资源交易中心</w:t>
            </w:r>
          </w:p>
          <w:p w14:paraId="02C0BFBE">
            <w:pPr>
              <w:keepNext w:val="0"/>
              <w:keepLines w:val="0"/>
              <w:pageBreakBefore w:val="0"/>
              <w:widowControl w:val="0"/>
              <w:kinsoku/>
              <w:wordWrap/>
              <w:overflowPunct/>
              <w:topLinePunct w:val="0"/>
              <w:bidi w:val="0"/>
              <w:adjustRightInd/>
              <w:snapToGrid w:val="0"/>
              <w:spacing w:line="400" w:lineRule="exact"/>
              <w:ind w:lef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开户银行：钦州市区农村信用合作联社政务服务中心分社</w:t>
            </w:r>
          </w:p>
          <w:p w14:paraId="2A10389B">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账号：20298994252002417</w:t>
            </w:r>
          </w:p>
          <w:p w14:paraId="513832B6">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4.自中标、成交通知书发出之日起5个工作日内退还未中标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成交）供应商的投标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响应）保证金，自政府采购合同签订之日起5个工作日内退还中标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成交）供应商的投标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响应）保证金。</w:t>
            </w:r>
          </w:p>
          <w:p w14:paraId="0A9B0527">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5.供应商在投标期内撤回其</w:t>
            </w:r>
            <w:r>
              <w:rPr>
                <w:rFonts w:hint="eastAsia" w:ascii="宋体" w:hAnsi="宋体" w:cs="宋体"/>
                <w:color w:val="auto"/>
                <w:sz w:val="21"/>
                <w:szCs w:val="21"/>
                <w:highlight w:val="none"/>
                <w:lang w:eastAsia="zh-CN"/>
              </w:rPr>
              <w:t>投标文件</w:t>
            </w:r>
            <w:r>
              <w:rPr>
                <w:rFonts w:hint="eastAsia" w:ascii="宋体" w:hAnsi="宋体" w:eastAsia="宋体" w:cs="宋体"/>
                <w:color w:val="auto"/>
                <w:sz w:val="21"/>
                <w:szCs w:val="21"/>
                <w:highlight w:val="none"/>
              </w:rPr>
              <w:t>、放弃投标资格及</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未能在25天内签署合同协议的投标保证金不予退还。</w:t>
            </w:r>
          </w:p>
          <w:p w14:paraId="40A8F45C">
            <w:pPr>
              <w:keepNext w:val="0"/>
              <w:keepLines w:val="0"/>
              <w:pageBreakBefore w:val="0"/>
              <w:widowControl w:val="0"/>
              <w:kinsoku/>
              <w:wordWrap/>
              <w:overflowPunct/>
              <w:topLinePunct w:val="0"/>
              <w:bidi w:val="0"/>
              <w:adjustRightInd/>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中标人</w:t>
            </w:r>
            <w:r>
              <w:rPr>
                <w:rFonts w:hint="eastAsia" w:ascii="宋体" w:hAnsi="宋体" w:eastAsia="宋体" w:cs="宋体"/>
                <w:color w:val="auto"/>
                <w:sz w:val="21"/>
                <w:szCs w:val="21"/>
                <w:highlight w:val="none"/>
              </w:rPr>
              <w:t>放弃成交资格的投标保证金不予退还。</w:t>
            </w:r>
          </w:p>
          <w:p w14:paraId="22B272CA">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p w14:paraId="529D61BA">
            <w:pPr>
              <w:pStyle w:val="17"/>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1.投标保证金采用银行转账交纳方式的，在投标截止时间前交至采购代理机构指定账户并且到账，投标人应将银行转账底单的复印件作为投标保证金提交凭证，放置于商务文件中，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 w:val="21"/>
                <w:szCs w:val="21"/>
                <w:highlight w:val="none"/>
                <w:lang w:val="en-US" w:eastAsia="zh-CN"/>
              </w:rPr>
              <w:t>否则投标无效</w:t>
            </w:r>
            <w:r>
              <w:rPr>
                <w:rFonts w:hint="eastAsia" w:ascii="宋体" w:hAnsi="宋体" w:eastAsia="宋体" w:cs="宋体"/>
                <w:color w:val="auto"/>
                <w:sz w:val="21"/>
                <w:szCs w:val="21"/>
                <w:highlight w:val="none"/>
                <w:lang w:val="en-US" w:eastAsia="zh-CN"/>
              </w:rPr>
              <w:t>。</w:t>
            </w:r>
          </w:p>
          <w:p w14:paraId="527C63F9">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eastAsia="宋体" w:cs="宋体"/>
                <w:b/>
                <w:color w:val="auto"/>
                <w:sz w:val="21"/>
                <w:szCs w:val="21"/>
                <w:highlight w:val="none"/>
              </w:rPr>
              <w:t>否则投标无效</w:t>
            </w:r>
            <w:r>
              <w:rPr>
                <w:rFonts w:hint="eastAsia" w:ascii="宋体" w:hAnsi="宋体" w:eastAsia="宋体" w:cs="宋体"/>
                <w:color w:val="auto"/>
                <w:sz w:val="21"/>
                <w:szCs w:val="21"/>
                <w:highlight w:val="none"/>
              </w:rPr>
              <w:t>。投标人必须于递交投标文件时将支票、汇票、本票或者金融、担保机构出具的保函原件提交给采购人或者采购代理机构，由采购人或者采购代理机构向投标人出具回执，并妥善保管。</w:t>
            </w:r>
          </w:p>
          <w:p w14:paraId="4EAF1B07">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3.投标保证金指定帐户：详见招标公告。</w:t>
            </w:r>
          </w:p>
          <w:p w14:paraId="0D80DF65">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备注</w:t>
            </w:r>
            <w:r>
              <w:rPr>
                <w:rFonts w:hint="eastAsia" w:ascii="宋体" w:hAnsi="宋体" w:eastAsia="宋体" w:cs="宋体"/>
                <w:b/>
                <w:color w:val="auto"/>
                <w:sz w:val="21"/>
                <w:szCs w:val="21"/>
                <w:highlight w:val="none"/>
                <w:lang w:eastAsia="zh-CN"/>
              </w:rPr>
              <w:t>：</w:t>
            </w:r>
          </w:p>
          <w:p w14:paraId="5A6FDF70">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1.投标保证金在投标截止时间后提交的，或者不按规定交纳方式交纳的，或者未足额交纳的（包含保函额度不足的），视为无效投标保证金。</w:t>
            </w:r>
          </w:p>
          <w:p w14:paraId="22616925">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2.投标人采用现钞方式或者从个人账户（自然人投标除外）转出的投标保证金，视为无效投标保证金。</w:t>
            </w:r>
          </w:p>
          <w:p w14:paraId="31F03402">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3.支票、汇票或者本票出现无效或者背书情形的，视为无效投标保证金。</w:t>
            </w:r>
          </w:p>
          <w:p w14:paraId="26E08246">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4.保函有效期低于投标有效期的，视为无效投标保证金。</w:t>
            </w:r>
          </w:p>
          <w:p w14:paraId="37FB6D2F">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5.采用金融、担保机构出具保函的，必须为无条件保函，否则视为无效投标保证金。</w:t>
            </w:r>
          </w:p>
        </w:tc>
      </w:tr>
      <w:tr w14:paraId="59864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2E351C5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34658EF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8032BBB">
            <w:pPr>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 w:val="21"/>
                <w:szCs w:val="21"/>
                <w:highlight w:val="none"/>
                <w:u w:val="single"/>
              </w:rPr>
              <w:t>电子版投标文件制作方式见招标公告附件。</w:t>
            </w:r>
          </w:p>
          <w:p w14:paraId="7FF88A7F">
            <w:pPr>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纸质投标文件：中标人在中标通知书发出后5天内须提交3套纸质版投标文件（含报价文件、资格证明文件、商务文件、技术文件。按要求加盖公章）给招标代理机构，</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正</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副。</w:t>
            </w:r>
          </w:p>
          <w:p w14:paraId="0860E3AD">
            <w:pPr>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single"/>
              </w:rPr>
              <w:t>提交的纸质版投标文件文本必须与其上传到政采云系统的电子投标文件内容一致，不允许有篡改。如项目验收时因所提供的纸质投标文件与评标的投标文件不一致造成纠纷时，所有责任由中标人承担。</w:t>
            </w:r>
          </w:p>
        </w:tc>
      </w:tr>
      <w:tr w14:paraId="481A52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7DFD660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73D2FF7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0CABEFB2">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35972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noWrap w:val="0"/>
            <w:vAlign w:val="center"/>
          </w:tcPr>
          <w:p w14:paraId="30644A6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07C0CD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B98FF79">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5E0BC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21FB9C8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708970B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投标文件提交起止时间</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65727271">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63604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048A26E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0235F79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11C4025">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F713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4560C81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737C9819">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C19537B">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时间</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  年 / 月 / 日  /  时  /  分</w:t>
            </w:r>
            <w:r>
              <w:rPr>
                <w:rFonts w:hint="eastAsia" w:ascii="宋体" w:hAnsi="宋体" w:eastAsia="宋体" w:cs="宋体"/>
                <w:bCs/>
                <w:color w:val="auto"/>
                <w:sz w:val="21"/>
                <w:szCs w:val="21"/>
                <w:highlight w:val="none"/>
              </w:rPr>
              <w:t>（北京时间）</w:t>
            </w:r>
          </w:p>
          <w:p w14:paraId="09E99533">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地点</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            </w:t>
            </w:r>
          </w:p>
        </w:tc>
      </w:tr>
      <w:tr w14:paraId="002F2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5434F91B">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77EBA9F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开标时间、地点</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23965EBD">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7F701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noWrap w:val="0"/>
            <w:vAlign w:val="center"/>
          </w:tcPr>
          <w:p w14:paraId="378949C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15B3BD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投标人信用查询渠道</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46833D0C">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0448E4E1">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35FB4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0D4D9AF2">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9C0D10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4A6126C9">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4D020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5D10667E">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8F85F65">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1B9FC125">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作为附件上传保存。</w:t>
            </w:r>
          </w:p>
        </w:tc>
      </w:tr>
      <w:tr w14:paraId="18DD7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noWrap w:val="0"/>
            <w:vAlign w:val="center"/>
          </w:tcPr>
          <w:p w14:paraId="7F86CA5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B98316C">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2A9F8D58">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www.creditchina.gov.cn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中国政府采购网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10FE7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7B266E9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2C2D650A">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6940E003">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2AB34062">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58FCF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right w:val="single" w:color="auto" w:sz="4" w:space="0"/>
            </w:tcBorders>
            <w:noWrap w:val="0"/>
            <w:vAlign w:val="center"/>
          </w:tcPr>
          <w:p w14:paraId="3FDF81C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053" w:type="dxa"/>
            <w:tcBorders>
              <w:top w:val="single" w:color="auto" w:sz="4" w:space="0"/>
              <w:left w:val="single" w:color="auto" w:sz="4" w:space="0"/>
              <w:right w:val="single" w:color="auto" w:sz="4" w:space="0"/>
            </w:tcBorders>
            <w:noWrap w:val="0"/>
            <w:vAlign w:val="center"/>
          </w:tcPr>
          <w:p w14:paraId="49CDBAF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允许负偏离项</w:t>
            </w:r>
          </w:p>
        </w:tc>
        <w:tc>
          <w:tcPr>
            <w:tcW w:w="6999" w:type="dxa"/>
            <w:tcBorders>
              <w:top w:val="single" w:color="auto" w:sz="4" w:space="0"/>
              <w:left w:val="single" w:color="auto" w:sz="4" w:space="0"/>
              <w:right w:val="single" w:color="auto" w:sz="4" w:space="0"/>
            </w:tcBorders>
            <w:noWrap w:val="0"/>
            <w:vAlign w:val="center"/>
          </w:tcPr>
          <w:p w14:paraId="59F2CAB4">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rPr>
              <w:t>项。</w:t>
            </w:r>
          </w:p>
          <w:p w14:paraId="33DB7C72">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lang w:eastAsia="zh-CN"/>
              </w:rPr>
              <w:t>：</w:t>
            </w:r>
            <w:r>
              <w:rPr>
                <w:rFonts w:hint="eastAsia" w:ascii="宋体" w:hAnsi="宋体" w:cs="宋体"/>
                <w:b w:val="0"/>
                <w:bCs w:val="0"/>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项</w:t>
            </w:r>
            <w:r>
              <w:rPr>
                <w:rFonts w:hint="eastAsia" w:ascii="宋体" w:hAnsi="宋体" w:eastAsia="宋体" w:cs="宋体"/>
                <w:color w:val="auto"/>
                <w:sz w:val="21"/>
                <w:szCs w:val="21"/>
                <w:highlight w:val="none"/>
                <w:lang w:eastAsia="zh-CN"/>
              </w:rPr>
              <w:t>。</w:t>
            </w:r>
          </w:p>
        </w:tc>
      </w:tr>
      <w:tr w14:paraId="2992B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0522470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9645422">
            <w:pPr>
              <w:keepNext w:val="0"/>
              <w:keepLines w:val="0"/>
              <w:pageBreakBefore w:val="0"/>
              <w:widowControl w:val="0"/>
              <w:kinsoku/>
              <w:wordWrap/>
              <w:overflowPunct/>
              <w:topLinePunct w:val="0"/>
              <w:autoSpaceDE w:val="0"/>
              <w:autoSpaceDN w:val="0"/>
              <w:bidi w:val="0"/>
              <w:adjustRightInd/>
              <w:snapToGrid w:val="0"/>
              <w:spacing w:line="400" w:lineRule="exact"/>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确定中标人时，出现中标候选人分数并列的情形，确定中标人方式</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031B70F0">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□采用最低评标价法的，投标文件满足招标文件全部实质性要求且投标报价最低的投标人为排名第一的中标候选人</w:t>
            </w:r>
            <w:r>
              <w:rPr>
                <w:rFonts w:hint="eastAsia" w:ascii="宋体" w:hAnsi="宋体" w:eastAsia="宋体" w:cs="宋体"/>
                <w:color w:val="auto"/>
                <w:sz w:val="21"/>
                <w:szCs w:val="21"/>
                <w:highlight w:val="none"/>
                <w:lang w:eastAsia="zh-CN"/>
              </w:rPr>
              <w:t>；</w:t>
            </w:r>
          </w:p>
          <w:p w14:paraId="4197DB0E">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采用综合评分法的，按投标报价由低到高顺序排列。</w:t>
            </w:r>
            <w:r>
              <w:rPr>
                <w:rFonts w:hint="eastAsia" w:ascii="宋体" w:hAnsi="宋体" w:cs="宋体"/>
                <w:color w:val="auto"/>
                <w:szCs w:val="21"/>
                <w:highlight w:val="none"/>
              </w:rPr>
              <w:t>得分且投标报价相同的并列。投标文件满足招标文件全部实质性要求，且按照评审因素的量化指标评审得分最高的投标人为排名第一的中标候选人。</w:t>
            </w:r>
          </w:p>
        </w:tc>
      </w:tr>
      <w:tr w14:paraId="22FEE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2F32EB1C">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CA6813D">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履约保证金金额</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67DB8113">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本项目不收取履约保证金。</w:t>
            </w:r>
          </w:p>
        </w:tc>
      </w:tr>
      <w:tr w14:paraId="53C72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73AA9714">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5CB7F22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签订合同携带的证明材料</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42B9C736">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委托代理人负责签订合同的，须携带授权委托书及委托代理人身份证原件等其他资格证件。</w:t>
            </w:r>
          </w:p>
          <w:p w14:paraId="71D244F0">
            <w:pPr>
              <w:keepNext w:val="0"/>
              <w:keepLines w:val="0"/>
              <w:pageBreakBefore w:val="0"/>
              <w:widowControl w:val="0"/>
              <w:kinsoku/>
              <w:wordWrap/>
              <w:overflowPunct/>
              <w:topLinePunct w:val="0"/>
              <w:autoSpaceDE w:val="0"/>
              <w:autoSpaceDN w:val="0"/>
              <w:bidi w:val="0"/>
              <w:adjustRightInd/>
              <w:snapToGrid w:val="0"/>
              <w:spacing w:line="400" w:lineRule="exact"/>
              <w:jc w:val="both"/>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法定代表人负责签订合同的，须携带法定代表人身份证明原件及身份证原件等其他证明材料。</w:t>
            </w:r>
          </w:p>
        </w:tc>
      </w:tr>
      <w:tr w14:paraId="7EB2F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noWrap w:val="0"/>
            <w:vAlign w:val="center"/>
          </w:tcPr>
          <w:p w14:paraId="1E1B6D7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052B3D4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FBE30F2">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7C262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6BB9DC60">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27C2A6C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4BEB6F82">
            <w:pPr>
              <w:keepNext w:val="0"/>
              <w:keepLines w:val="0"/>
              <w:pageBreakBefore w:val="0"/>
              <w:widowControl w:val="0"/>
              <w:kinsoku/>
              <w:wordWrap/>
              <w:overflowPunct/>
              <w:topLinePunct w:val="0"/>
              <w:bidi w:val="0"/>
              <w:adjustRightInd/>
              <w:snapToGrid w:val="0"/>
              <w:spacing w:line="40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接收质疑函方式：以纸质书面形式</w:t>
            </w:r>
          </w:p>
          <w:p w14:paraId="3CFDF4BF">
            <w:pPr>
              <w:keepNext w:val="0"/>
              <w:keepLines w:val="0"/>
              <w:pageBreakBefore w:val="0"/>
              <w:widowControl w:val="0"/>
              <w:kinsoku/>
              <w:wordWrap/>
              <w:overflowPunct/>
              <w:topLinePunct w:val="0"/>
              <w:bidi w:val="0"/>
              <w:adjustRightInd/>
              <w:snapToGrid w:val="0"/>
              <w:spacing w:line="40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eastAsia="zh-CN"/>
              </w:rPr>
              <w:t>广西汉昌工程咨询有限公司</w:t>
            </w:r>
            <w:r>
              <w:rPr>
                <w:rFonts w:hint="default" w:ascii="宋体" w:hAnsi="宋体" w:eastAsia="宋体" w:cs="宋体"/>
                <w:color w:val="auto"/>
                <w:sz w:val="21"/>
                <w:szCs w:val="21"/>
                <w:highlight w:val="none"/>
                <w:lang w:val="en-US" w:eastAsia="zh-CN"/>
              </w:rPr>
              <w:t>；</w:t>
            </w:r>
          </w:p>
          <w:p w14:paraId="4C923311">
            <w:pPr>
              <w:keepNext w:val="0"/>
              <w:keepLines w:val="0"/>
              <w:pageBreakBefore w:val="0"/>
              <w:widowControl w:val="0"/>
              <w:kinsoku/>
              <w:wordWrap/>
              <w:overflowPunct/>
              <w:topLinePunct w:val="0"/>
              <w:bidi w:val="0"/>
              <w:adjustRightInd/>
              <w:snapToGrid w:val="0"/>
              <w:spacing w:line="400" w:lineRule="exact"/>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联系电话：</w:t>
            </w:r>
            <w:r>
              <w:rPr>
                <w:rFonts w:hint="eastAsia" w:ascii="宋体" w:hAnsi="宋体" w:eastAsia="宋体" w:cs="宋体"/>
                <w:color w:val="auto"/>
                <w:szCs w:val="21"/>
                <w:highlight w:val="none"/>
                <w:lang w:eastAsia="zh-CN"/>
              </w:rPr>
              <w:t>0771-5718293转6027</w:t>
            </w:r>
          </w:p>
          <w:p w14:paraId="31E024E8">
            <w:pPr>
              <w:keepNext w:val="0"/>
              <w:keepLines w:val="0"/>
              <w:pageBreakBefore w:val="0"/>
              <w:widowControl w:val="0"/>
              <w:kinsoku/>
              <w:wordWrap/>
              <w:overflowPunct/>
              <w:topLinePunct w:val="0"/>
              <w:bidi w:val="0"/>
              <w:adjustRightInd/>
              <w:snapToGrid w:val="0"/>
              <w:spacing w:line="400" w:lineRule="exact"/>
              <w:jc w:val="both"/>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通讯地址：</w:t>
            </w:r>
            <w:r>
              <w:rPr>
                <w:rFonts w:hint="eastAsia" w:ascii="宋体" w:hAnsi="宋体" w:eastAsia="宋体" w:cs="宋体"/>
                <w:color w:val="auto"/>
                <w:szCs w:val="21"/>
                <w:highlight w:val="none"/>
                <w:lang w:eastAsia="zh-CN"/>
              </w:rPr>
              <w:t>广西南宁市青秀区仙葫大道西16号鼎丰国际美食广场A栋11楼HC区域</w:t>
            </w:r>
          </w:p>
        </w:tc>
      </w:tr>
      <w:tr w14:paraId="2C387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noWrap w:val="0"/>
            <w:vAlign w:val="center"/>
          </w:tcPr>
          <w:p w14:paraId="208BF618">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57C90FCE">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78936E42">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质疑期内每个工作日</w:t>
            </w:r>
            <w:r>
              <w:rPr>
                <w:rFonts w:hint="eastAsia" w:ascii="宋体" w:hAnsi="宋体" w:eastAsia="宋体" w:cs="宋体"/>
                <w:color w:val="auto"/>
                <w:sz w:val="21"/>
                <w:szCs w:val="21"/>
                <w:highlight w:val="none"/>
                <w:u w:val="single"/>
                <w:lang w:bidi="ar"/>
              </w:rPr>
              <w:t>8</w:t>
            </w:r>
            <w:r>
              <w:rPr>
                <w:rFonts w:hint="eastAsia" w:ascii="宋体" w:hAnsi="宋体" w:eastAsia="宋体" w:cs="宋体"/>
                <w:color w:val="auto"/>
                <w:sz w:val="21"/>
                <w:szCs w:val="21"/>
                <w:highlight w:val="none"/>
                <w:lang w:bidi="ar"/>
              </w:rPr>
              <w:t>时</w:t>
            </w:r>
            <w:r>
              <w:rPr>
                <w:rFonts w:hint="eastAsia" w:ascii="宋体" w:hAnsi="宋体" w:cs="宋体"/>
                <w:color w:val="auto"/>
                <w:sz w:val="21"/>
                <w:szCs w:val="21"/>
                <w:highlight w:val="none"/>
                <w:u w:val="single"/>
                <w:lang w:val="en-US" w:eastAsia="zh-CN" w:bidi="ar"/>
              </w:rPr>
              <w:t>0</w:t>
            </w:r>
            <w:r>
              <w:rPr>
                <w:rFonts w:hint="eastAsia" w:ascii="宋体" w:hAnsi="宋体" w:eastAsia="宋体" w:cs="宋体"/>
                <w:color w:val="auto"/>
                <w:sz w:val="21"/>
                <w:szCs w:val="21"/>
                <w:highlight w:val="none"/>
                <w:u w:val="single"/>
                <w:lang w:bidi="ar"/>
              </w:rPr>
              <w:t>0</w:t>
            </w:r>
            <w:r>
              <w:rPr>
                <w:rFonts w:hint="eastAsia" w:ascii="宋体" w:hAnsi="宋体" w:eastAsia="宋体" w:cs="宋体"/>
                <w:color w:val="auto"/>
                <w:sz w:val="21"/>
                <w:szCs w:val="21"/>
                <w:highlight w:val="none"/>
                <w:lang w:bidi="ar"/>
              </w:rPr>
              <w:t>分到</w:t>
            </w:r>
            <w:r>
              <w:rPr>
                <w:rFonts w:hint="eastAsia" w:ascii="宋体" w:hAnsi="宋体" w:eastAsia="宋体" w:cs="宋体"/>
                <w:color w:val="auto"/>
                <w:sz w:val="21"/>
                <w:szCs w:val="21"/>
                <w:highlight w:val="none"/>
                <w:u w:val="single"/>
                <w:lang w:bidi="ar"/>
              </w:rPr>
              <w:t>1</w:t>
            </w:r>
            <w:r>
              <w:rPr>
                <w:rFonts w:hint="eastAsia" w:ascii="宋体" w:hAnsi="宋体" w:cs="宋体"/>
                <w:color w:val="auto"/>
                <w:sz w:val="21"/>
                <w:szCs w:val="21"/>
                <w:highlight w:val="none"/>
                <w:u w:val="single"/>
                <w:lang w:val="en-US" w:eastAsia="zh-CN" w:bidi="ar"/>
              </w:rPr>
              <w:t>1</w:t>
            </w:r>
            <w:r>
              <w:rPr>
                <w:rFonts w:hint="eastAsia" w:ascii="宋体" w:hAnsi="宋体" w:eastAsia="宋体" w:cs="宋体"/>
                <w:color w:val="auto"/>
                <w:sz w:val="21"/>
                <w:szCs w:val="21"/>
                <w:highlight w:val="none"/>
                <w:lang w:bidi="ar"/>
              </w:rPr>
              <w:t>时</w:t>
            </w:r>
            <w:r>
              <w:rPr>
                <w:rFonts w:hint="eastAsia" w:ascii="宋体" w:hAnsi="宋体" w:cs="宋体"/>
                <w:color w:val="auto"/>
                <w:sz w:val="21"/>
                <w:szCs w:val="21"/>
                <w:highlight w:val="none"/>
                <w:u w:val="single"/>
                <w:lang w:val="en-US" w:eastAsia="zh-CN" w:bidi="ar"/>
              </w:rPr>
              <w:t>59</w:t>
            </w:r>
            <w:r>
              <w:rPr>
                <w:rFonts w:hint="eastAsia" w:ascii="宋体" w:hAnsi="宋体" w:eastAsia="宋体" w:cs="宋体"/>
                <w:color w:val="auto"/>
                <w:sz w:val="21"/>
                <w:szCs w:val="21"/>
                <w:highlight w:val="none"/>
                <w:lang w:bidi="ar"/>
              </w:rPr>
              <w:t>分，</w:t>
            </w:r>
            <w:r>
              <w:rPr>
                <w:rFonts w:hint="eastAsia" w:ascii="宋体" w:hAnsi="宋体" w:eastAsia="宋体" w:cs="宋体"/>
                <w:color w:val="auto"/>
                <w:sz w:val="21"/>
                <w:szCs w:val="21"/>
                <w:highlight w:val="none"/>
                <w:u w:val="single"/>
                <w:lang w:bidi="ar"/>
              </w:rPr>
              <w:t>1</w:t>
            </w:r>
            <w:r>
              <w:rPr>
                <w:rFonts w:hint="eastAsia" w:ascii="宋体" w:hAnsi="宋体" w:cs="宋体"/>
                <w:color w:val="auto"/>
                <w:sz w:val="21"/>
                <w:szCs w:val="21"/>
                <w:highlight w:val="none"/>
                <w:u w:val="single"/>
                <w:lang w:val="en-US" w:eastAsia="zh-CN" w:bidi="ar"/>
              </w:rPr>
              <w:t>2</w:t>
            </w:r>
            <w:r>
              <w:rPr>
                <w:rFonts w:hint="eastAsia" w:ascii="宋体" w:hAnsi="宋体" w:eastAsia="宋体" w:cs="宋体"/>
                <w:color w:val="auto"/>
                <w:sz w:val="21"/>
                <w:szCs w:val="21"/>
                <w:highlight w:val="none"/>
                <w:lang w:bidi="ar"/>
              </w:rPr>
              <w:t>时</w:t>
            </w:r>
            <w:r>
              <w:rPr>
                <w:rFonts w:hint="eastAsia" w:ascii="宋体" w:hAnsi="宋体" w:eastAsia="宋体" w:cs="宋体"/>
                <w:color w:val="auto"/>
                <w:sz w:val="21"/>
                <w:szCs w:val="21"/>
                <w:highlight w:val="none"/>
                <w:u w:val="single"/>
                <w:lang w:bidi="ar"/>
              </w:rPr>
              <w:t>00</w:t>
            </w:r>
            <w:r>
              <w:rPr>
                <w:rFonts w:hint="eastAsia" w:ascii="宋体" w:hAnsi="宋体" w:eastAsia="宋体" w:cs="宋体"/>
                <w:color w:val="auto"/>
                <w:sz w:val="21"/>
                <w:szCs w:val="21"/>
                <w:highlight w:val="none"/>
                <w:lang w:bidi="ar"/>
              </w:rPr>
              <w:t>分到</w:t>
            </w:r>
            <w:r>
              <w:rPr>
                <w:rFonts w:hint="eastAsia" w:ascii="宋体" w:hAnsi="宋体" w:eastAsia="宋体" w:cs="宋体"/>
                <w:color w:val="auto"/>
                <w:sz w:val="21"/>
                <w:szCs w:val="21"/>
                <w:highlight w:val="none"/>
                <w:u w:val="single"/>
                <w:lang w:bidi="ar"/>
              </w:rPr>
              <w:t>1</w:t>
            </w:r>
            <w:r>
              <w:rPr>
                <w:rFonts w:hint="eastAsia" w:ascii="宋体" w:hAnsi="宋体" w:eastAsia="宋体" w:cs="宋体"/>
                <w:color w:val="auto"/>
                <w:sz w:val="21"/>
                <w:szCs w:val="21"/>
                <w:highlight w:val="none"/>
                <w:u w:val="single"/>
                <w:lang w:val="en-US" w:eastAsia="zh-CN" w:bidi="ar"/>
              </w:rPr>
              <w:t>8</w:t>
            </w:r>
            <w:r>
              <w:rPr>
                <w:rFonts w:hint="eastAsia" w:ascii="宋体" w:hAnsi="宋体" w:eastAsia="宋体" w:cs="宋体"/>
                <w:color w:val="auto"/>
                <w:sz w:val="21"/>
                <w:szCs w:val="21"/>
                <w:highlight w:val="none"/>
                <w:lang w:bidi="ar"/>
              </w:rPr>
              <w:t>时</w:t>
            </w:r>
            <w:r>
              <w:rPr>
                <w:rFonts w:hint="eastAsia" w:ascii="宋体" w:hAnsi="宋体" w:cs="宋体"/>
                <w:color w:val="auto"/>
                <w:sz w:val="21"/>
                <w:szCs w:val="21"/>
                <w:highlight w:val="none"/>
                <w:u w:val="single"/>
                <w:lang w:val="en-US" w:eastAsia="zh-CN" w:bidi="ar"/>
              </w:rPr>
              <w:t>0</w:t>
            </w:r>
            <w:r>
              <w:rPr>
                <w:rFonts w:hint="eastAsia" w:ascii="宋体" w:hAnsi="宋体" w:eastAsia="宋体" w:cs="宋体"/>
                <w:color w:val="auto"/>
                <w:sz w:val="21"/>
                <w:szCs w:val="21"/>
                <w:highlight w:val="none"/>
                <w:u w:val="single"/>
                <w:lang w:bidi="ar"/>
              </w:rPr>
              <w:t>0</w:t>
            </w:r>
            <w:r>
              <w:rPr>
                <w:rFonts w:hint="eastAsia" w:ascii="宋体" w:hAnsi="宋体" w:eastAsia="宋体" w:cs="宋体"/>
                <w:color w:val="auto"/>
                <w:sz w:val="21"/>
                <w:szCs w:val="21"/>
                <w:highlight w:val="none"/>
                <w:lang w:bidi="ar"/>
              </w:rPr>
              <w:t>分</w:t>
            </w:r>
          </w:p>
        </w:tc>
      </w:tr>
      <w:tr w14:paraId="6FE08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left w:val="single" w:color="auto" w:sz="4" w:space="0"/>
              <w:bottom w:val="single" w:color="auto" w:sz="4" w:space="0"/>
              <w:right w:val="single" w:color="auto" w:sz="4" w:space="0"/>
            </w:tcBorders>
            <w:noWrap w:val="0"/>
            <w:vAlign w:val="center"/>
          </w:tcPr>
          <w:p w14:paraId="77483D3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0213640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0A0AF538">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tc>
      </w:tr>
      <w:tr w14:paraId="114CA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restart"/>
            <w:tcBorders>
              <w:top w:val="single" w:color="auto" w:sz="4" w:space="0"/>
              <w:left w:val="single" w:color="auto" w:sz="4" w:space="0"/>
              <w:right w:val="single" w:color="auto" w:sz="4" w:space="0"/>
            </w:tcBorders>
            <w:noWrap w:val="0"/>
            <w:vAlign w:val="center"/>
          </w:tcPr>
          <w:p w14:paraId="1D1B7527">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4069D73">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采购代理费支付方式</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08FF82F">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☑本项目代理服务费由</w:t>
            </w:r>
            <w:r>
              <w:rPr>
                <w:rFonts w:hint="eastAsia" w:ascii="宋体" w:hAnsi="宋体" w:eastAsia="宋体" w:cs="宋体"/>
                <w:color w:val="auto"/>
                <w:sz w:val="21"/>
                <w:szCs w:val="21"/>
                <w:highlight w:val="none"/>
                <w:u w:val="single"/>
              </w:rPr>
              <w:t>中标人</w:t>
            </w:r>
            <w:r>
              <w:rPr>
                <w:rFonts w:hint="eastAsia" w:ascii="宋体" w:hAnsi="宋体" w:eastAsia="宋体" w:cs="宋体"/>
                <w:color w:val="auto"/>
                <w:sz w:val="21"/>
                <w:szCs w:val="21"/>
                <w:highlight w:val="none"/>
              </w:rPr>
              <w:t>在领取中标通知书前，一次性向采购代理机构支付。</w:t>
            </w:r>
          </w:p>
          <w:p w14:paraId="47228A6A">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□采购人支付。</w:t>
            </w:r>
          </w:p>
          <w:p w14:paraId="1363325C">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□本项目不收取代理服务费。</w:t>
            </w:r>
          </w:p>
        </w:tc>
      </w:tr>
      <w:tr w14:paraId="2DA91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right w:val="single" w:color="auto" w:sz="4" w:space="0"/>
            </w:tcBorders>
            <w:noWrap w:val="0"/>
            <w:vAlign w:val="center"/>
          </w:tcPr>
          <w:p w14:paraId="119950BE">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76C92A61">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666C766">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以标项（</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中标金额/□采购预算/□暂定中标金额/□其他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为计费额，按货物招标采用差额定率累进法计算出收费基准价格，采购代理收费以（</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收费基准价格/</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收费基准价格下浮</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20</w:t>
            </w:r>
            <w:r>
              <w:rPr>
                <w:rFonts w:hint="eastAsia"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/□收费基准价格上浮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）收取。</w:t>
            </w:r>
          </w:p>
          <w:p w14:paraId="5E73C07A">
            <w:pPr>
              <w:pStyle w:val="27"/>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宋体" w:hAnsi="宋体" w:eastAsia="宋体" w:cs="宋体"/>
                <w:color w:val="auto"/>
                <w:sz w:val="21"/>
                <w:szCs w:val="21"/>
                <w:highlight w:val="none"/>
                <w:u w:val="single"/>
                <w:lang w:val="en-US"/>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固定采购代理收费</w:t>
            </w:r>
            <w:r>
              <w:rPr>
                <w:rFonts w:hint="eastAsia" w:ascii="宋体" w:hAnsi="宋体" w:eastAsia="宋体" w:cs="宋体"/>
                <w:color w:val="auto"/>
                <w:sz w:val="21"/>
                <w:szCs w:val="21"/>
                <w:highlight w:val="none"/>
                <w:lang w:eastAsia="zh-CN"/>
              </w:rPr>
              <w:t>：</w:t>
            </w:r>
            <w:r>
              <w:rPr>
                <w:rFonts w:hint="eastAsia" w:hAnsi="宋体" w:cs="宋体"/>
                <w:b/>
                <w:bCs/>
                <w:color w:val="auto"/>
                <w:sz w:val="21"/>
                <w:szCs w:val="21"/>
                <w:highlight w:val="none"/>
                <w:u w:val="single"/>
                <w:lang w:val="en-US" w:eastAsia="zh-CN"/>
              </w:rPr>
              <w:t xml:space="preserve">       </w:t>
            </w:r>
          </w:p>
        </w:tc>
      </w:tr>
      <w:tr w14:paraId="70D99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vMerge w:val="continue"/>
            <w:tcBorders>
              <w:left w:val="single" w:color="auto" w:sz="4" w:space="0"/>
              <w:bottom w:val="single" w:color="auto" w:sz="4" w:space="0"/>
              <w:right w:val="single" w:color="auto" w:sz="4" w:space="0"/>
            </w:tcBorders>
            <w:noWrap w:val="0"/>
            <w:vAlign w:val="center"/>
          </w:tcPr>
          <w:p w14:paraId="1ED7A88F">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32FE376">
            <w:pPr>
              <w:keepNext w:val="0"/>
              <w:keepLines w:val="0"/>
              <w:pageBreakBefore w:val="0"/>
              <w:widowControl w:val="0"/>
              <w:kinsoku/>
              <w:wordWrap/>
              <w:overflowPunct/>
              <w:topLinePunct w:val="0"/>
              <w:bidi w:val="0"/>
              <w:adjustRightInd/>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代理服务费收款账户信息</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3D2C9086">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账户名称：</w:t>
            </w:r>
            <w:r>
              <w:rPr>
                <w:rFonts w:hint="eastAsia" w:ascii="宋体" w:hAnsi="宋体" w:eastAsia="宋体" w:cs="宋体"/>
                <w:color w:val="auto"/>
                <w:sz w:val="21"/>
                <w:highlight w:val="none"/>
                <w:u w:val="none"/>
                <w:lang w:val="en-US" w:eastAsia="zh-CN"/>
              </w:rPr>
              <w:t>广西汉昌工程咨询有限公司南宁第十八分公司</w:t>
            </w:r>
          </w:p>
          <w:p w14:paraId="6B88F778">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highlight w:val="none"/>
                <w:u w:val="none"/>
                <w:lang w:val="en-US" w:eastAsia="zh-CN"/>
              </w:rPr>
              <w:t>招商银行股份有限公司南宁分行</w:t>
            </w:r>
          </w:p>
          <w:p w14:paraId="488DA255">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lang w:eastAsia="zh-CN"/>
              </w:rPr>
              <w:t>771903123610828</w:t>
            </w:r>
          </w:p>
        </w:tc>
      </w:tr>
      <w:tr w14:paraId="7F859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1AFE3030">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74D9999">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738F53E4">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30293E03">
            <w:pPr>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法律责任：</w:t>
            </w:r>
            <w:r>
              <w:rPr>
                <w:rFonts w:hint="eastAsia" w:ascii="宋体" w:hAnsi="宋体" w:eastAsia="宋体" w:cs="宋体"/>
                <w:color w:val="auto"/>
                <w:sz w:val="21"/>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1D4EB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0" w:type="dxa"/>
            <w:tcBorders>
              <w:top w:val="single" w:color="auto" w:sz="4" w:space="0"/>
              <w:left w:val="single" w:color="auto" w:sz="4" w:space="0"/>
              <w:bottom w:val="single" w:color="auto" w:sz="4" w:space="0"/>
              <w:right w:val="single" w:color="auto" w:sz="4" w:space="0"/>
            </w:tcBorders>
            <w:noWrap w:val="0"/>
            <w:vAlign w:val="center"/>
          </w:tcPr>
          <w:p w14:paraId="64C7D44E">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55A19301">
            <w:pPr>
              <w:keepNext w:val="0"/>
              <w:keepLines w:val="0"/>
              <w:pageBreakBefore w:val="0"/>
              <w:widowControl w:val="0"/>
              <w:kinsoku/>
              <w:wordWrap/>
              <w:overflowPunct/>
              <w:topLinePunct w:val="0"/>
              <w:bidi w:val="0"/>
              <w:adjustRightInd/>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6999" w:type="dxa"/>
            <w:tcBorders>
              <w:top w:val="single" w:color="auto" w:sz="4" w:space="0"/>
              <w:left w:val="single" w:color="auto" w:sz="4" w:space="0"/>
              <w:bottom w:val="single" w:color="auto" w:sz="4" w:space="0"/>
              <w:right w:val="single" w:color="auto" w:sz="4" w:space="0"/>
            </w:tcBorders>
            <w:noWrap w:val="0"/>
            <w:vAlign w:val="center"/>
          </w:tcPr>
          <w:p w14:paraId="5D8A0B9A">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24A820B">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C30BA6A">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4EB779A3">
            <w:pPr>
              <w:pStyle w:val="27"/>
              <w:keepNext w:val="0"/>
              <w:keepLines w:val="0"/>
              <w:pageBreakBefore w:val="0"/>
              <w:widowControl w:val="0"/>
              <w:kinsoku/>
              <w:wordWrap/>
              <w:overflowPunct/>
              <w:topLinePunct w:val="0"/>
              <w:bidi w:val="0"/>
              <w:adjustRightInd/>
              <w:snapToGrid w:val="0"/>
              <w:spacing w:line="400" w:lineRule="exact"/>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4.自然人投标的，招标文件规定盖公章处由自然人摁手指指印。</w:t>
            </w:r>
          </w:p>
          <w:p w14:paraId="3AA8B99D">
            <w:pPr>
              <w:keepNext w:val="0"/>
              <w:keepLines w:val="0"/>
              <w:pageBreakBefore w:val="0"/>
              <w:widowControl w:val="0"/>
              <w:kinsoku/>
              <w:wordWrap/>
              <w:overflowPunct/>
              <w:topLinePunct w:val="0"/>
              <w:bidi w:val="0"/>
              <w:adjustRightInd/>
              <w:spacing w:line="400" w:lineRule="exact"/>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5.本招标文件所称的“以上”“以下”“以内”“届满”，包括本数；所称的“不满”“超过”“以外”，不包括本数。</w:t>
            </w:r>
          </w:p>
        </w:tc>
      </w:tr>
    </w:tbl>
    <w:p w14:paraId="5623EE0D">
      <w:pPr>
        <w:rPr>
          <w:rFonts w:hint="eastAsia"/>
          <w:lang w:val="en-US" w:eastAsia="zh-CN"/>
        </w:rPr>
      </w:pPr>
    </w:p>
    <w:bookmarkEnd w:id="46"/>
    <w:p w14:paraId="4B5FA799">
      <w:pPr>
        <w:spacing w:before="120" w:line="320" w:lineRule="atLeast"/>
        <w:outlineLvl w:val="1"/>
        <w:rPr>
          <w:rFonts w:hint="eastAsia" w:ascii="宋体" w:hAnsi="宋体" w:eastAsia="宋体" w:cs="宋体"/>
          <w:bCs/>
          <w:color w:val="auto"/>
          <w:kern w:val="0"/>
          <w:sz w:val="28"/>
          <w:szCs w:val="28"/>
          <w:highlight w:val="none"/>
        </w:rPr>
        <w:sectPr>
          <w:headerReference r:id="rId10" w:type="first"/>
          <w:footerReference r:id="rId12" w:type="first"/>
          <w:headerReference r:id="rId9" w:type="default"/>
          <w:footerReference r:id="rId11"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6B42FA1E">
      <w:pPr>
        <w:pStyle w:val="3"/>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highlight w:val="none"/>
        </w:rPr>
      </w:pPr>
      <w:bookmarkStart w:id="48" w:name="_Toc2940"/>
      <w:bookmarkStart w:id="49" w:name="_Toc2130"/>
      <w:bookmarkStart w:id="50" w:name="_Hlk88949215"/>
      <w:bookmarkStart w:id="51" w:name="_Toc254970690"/>
      <w:bookmarkStart w:id="52" w:name="_Toc254970549"/>
      <w:r>
        <w:rPr>
          <w:rFonts w:hint="eastAsia" w:ascii="宋体" w:hAnsi="宋体" w:eastAsia="宋体" w:cs="宋体"/>
          <w:sz w:val="30"/>
          <w:szCs w:val="30"/>
          <w:highlight w:val="none"/>
        </w:rPr>
        <w:t>第二节 投标人须知正文</w:t>
      </w:r>
      <w:bookmarkEnd w:id="48"/>
      <w:bookmarkEnd w:id="49"/>
    </w:p>
    <w:p w14:paraId="2D9E47EB">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szCs w:val="30"/>
          <w:highlight w:val="none"/>
        </w:rPr>
      </w:pPr>
      <w:bookmarkStart w:id="53" w:name="_Toc26212"/>
      <w:bookmarkStart w:id="54" w:name="_Toc24909"/>
      <w:r>
        <w:rPr>
          <w:rFonts w:hint="eastAsia"/>
          <w:sz w:val="28"/>
          <w:szCs w:val="28"/>
          <w:highlight w:val="none"/>
        </w:rPr>
        <w:t>一、总  则</w:t>
      </w:r>
      <w:bookmarkEnd w:id="53"/>
      <w:bookmarkEnd w:id="54"/>
    </w:p>
    <w:p w14:paraId="320C6B3C">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1.适用范围</w:t>
      </w:r>
    </w:p>
    <w:p w14:paraId="5BAD47B7">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A75666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1.2本招标文件</w:t>
      </w:r>
      <w:r>
        <w:rPr>
          <w:rFonts w:hint="eastAsia" w:ascii="宋体" w:hAnsi="宋体" w:eastAsia="宋体" w:cs="宋体"/>
          <w:spacing w:val="-6"/>
          <w:szCs w:val="21"/>
          <w:highlight w:val="none"/>
        </w:rPr>
        <w:t>适用于本项目的所有采购程序和环节（法律、法规另有规定的，从其规定）。</w:t>
      </w:r>
    </w:p>
    <w:p w14:paraId="2081A9ED">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2.定义</w:t>
      </w:r>
    </w:p>
    <w:p w14:paraId="077E46CD">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2.1“采购人”是指依法进行政府采购的国家机关、事业单位、团体组织。</w:t>
      </w:r>
    </w:p>
    <w:p w14:paraId="2FE42AED">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2.2“采购代理机构” 指政府采购集中采购机构和集中采购机构以外的采购代理机构。</w:t>
      </w:r>
    </w:p>
    <w:p w14:paraId="61176B24">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2.3“供应商”是指向采购人提供货物、工程或者服务的法人、其他组织或者自然人。</w:t>
      </w:r>
    </w:p>
    <w:p w14:paraId="2936996F">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2.4“投标人”是指响应招标、参加投标竞争的法人、非法人组织或者自然人。</w:t>
      </w:r>
    </w:p>
    <w:p w14:paraId="31763F48">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2.5“货物”是指各种形态和种类的物品，包括原材料、燃料、设备、产品等。</w:t>
      </w:r>
    </w:p>
    <w:p w14:paraId="26F213CB">
      <w:pPr>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2.6“售后服务” 是指商品出售以后所提供的各种服务，包含但不限于投标人须承担的备品备件、包装、运输、装卸、保险、货到就位以及安装、调试、培训、保修以及其他各种服务。</w:t>
      </w:r>
    </w:p>
    <w:p w14:paraId="1E905410">
      <w:pPr>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2.7“书面形式”是指合同书、信件和数据电文（包括电报、电传、传真、电子数据交换和电子邮件）等可以有形地表现所载内容的形式。</w:t>
      </w:r>
    </w:p>
    <w:p w14:paraId="6E87989E">
      <w:pPr>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2.8“实质性要求”是指招标文件中已经指明不满足则投标无效的条款，或者不能负偏离的条款。</w:t>
      </w:r>
    </w:p>
    <w:p w14:paraId="72418ACB">
      <w:pPr>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2.9“正偏离”，是指投标文件对招标文件“采购需求”中有关条款作出的响应优于条款要求并有利于采购人的情形。</w:t>
      </w:r>
    </w:p>
    <w:p w14:paraId="5B113837">
      <w:pPr>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2.10“负偏离”，是指投标文件对招标文件“采购需求”中有关条款作出的响应不满足条款要求，导致采购人要求不能得到满足的情形。</w:t>
      </w:r>
    </w:p>
    <w:p w14:paraId="1E0334D0">
      <w:pPr>
        <w:pageBreakBefore w:val="0"/>
        <w:widowControl w:val="0"/>
        <w:kinsoku/>
        <w:wordWrap/>
        <w:overflowPunct/>
        <w:topLinePunct w:val="0"/>
        <w:bidi w:val="0"/>
        <w:snapToGrid w:val="0"/>
        <w:spacing w:line="400" w:lineRule="exact"/>
        <w:ind w:firstLine="420" w:firstLineChars="200"/>
        <w:jc w:val="left"/>
        <w:textAlignment w:val="auto"/>
        <w:rPr>
          <w:rFonts w:hint="eastAsia" w:ascii="宋体" w:hAnsi="宋体" w:eastAsia="宋体" w:cs="宋体"/>
          <w:szCs w:val="21"/>
          <w:highlight w:val="none"/>
        </w:rPr>
      </w:pPr>
      <w:r>
        <w:rPr>
          <w:rFonts w:hint="eastAsia" w:ascii="宋体" w:hAnsi="宋体" w:eastAsia="宋体" w:cs="宋体"/>
          <w:szCs w:val="21"/>
          <w:highlight w:val="none"/>
        </w:rPr>
        <w:t>2.11“允许负偏离的条款”是指采购需求中的不属于“实质性要求”的条款。</w:t>
      </w:r>
    </w:p>
    <w:p w14:paraId="30A27568">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3.投标人的资格要求</w:t>
      </w:r>
    </w:p>
    <w:p w14:paraId="0D72F2A4">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投标人的资格要求详见“招标公告”。</w:t>
      </w:r>
    </w:p>
    <w:p w14:paraId="373C7D20">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4.投标委托</w:t>
      </w:r>
    </w:p>
    <w:p w14:paraId="48BED9A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1A78D0DF">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5.投标费用</w:t>
      </w:r>
    </w:p>
    <w:p w14:paraId="4C2F524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投标费用：投标人应承担参与本次采购活动有关的所有费用，包括但不限于勘查现场、编制投标文件、参加澄清说明、签订合同等，不论投标结果如何，均应自行承担。</w:t>
      </w:r>
    </w:p>
    <w:p w14:paraId="2EDA1AD3">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6.联合体投标</w:t>
      </w:r>
    </w:p>
    <w:p w14:paraId="7A58A72F">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6.1本项目是否接受联合体投标，详见“投标人须知前附表”。</w:t>
      </w:r>
    </w:p>
    <w:p w14:paraId="69EFEFF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6.2如接受联合体投标，联合体投标要求详见“投标人须知前附表”。</w:t>
      </w:r>
    </w:p>
    <w:p w14:paraId="3E4B89AF">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 w:val="24"/>
          <w:highlight w:val="none"/>
          <w:shd w:val="clear" w:color="auto" w:fill="FFFFFF"/>
        </w:rPr>
      </w:pPr>
      <w:r>
        <w:rPr>
          <w:rFonts w:hint="eastAsia" w:ascii="宋体" w:hAnsi="宋体" w:eastAsia="宋体" w:cs="宋体"/>
          <w:bCs/>
          <w:szCs w:val="21"/>
          <w:highlight w:val="none"/>
        </w:rPr>
        <w:t>6.3根据《政府采购促进中小企业发展管理办法》（财库[2020]46号）第九条规定，接受大中型企业与小微企业组成联合体的采购项目，对于联合协议约定小微企业的合同份额占到合同总金额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F0F94BE">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7.转包与分包</w:t>
      </w:r>
    </w:p>
    <w:p w14:paraId="728539CC">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9F2FFD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7.2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3215B6F0">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sz w:val="24"/>
          <w:highlight w:val="none"/>
        </w:rPr>
      </w:pPr>
      <w:r>
        <w:rPr>
          <w:rFonts w:hint="eastAsia" w:ascii="宋体" w:hAnsi="宋体" w:eastAsia="宋体" w:cs="宋体"/>
          <w:b/>
          <w:sz w:val="24"/>
          <w:highlight w:val="none"/>
        </w:rPr>
        <w:t>8.特别说明</w:t>
      </w:r>
      <w:r>
        <w:rPr>
          <w:rFonts w:hint="eastAsia" w:ascii="宋体" w:hAnsi="宋体" w:eastAsia="宋体" w:cs="宋体"/>
          <w:sz w:val="24"/>
          <w:highlight w:val="none"/>
        </w:rPr>
        <w:t>：</w:t>
      </w:r>
    </w:p>
    <w:p w14:paraId="564D1D3A">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8.1如果本招标文件要求投标人提供资格、信誉、荣誉、业绩与企业认证等材料的，则投标人所提供的以上材料必须为投标人所拥有。</w:t>
      </w:r>
    </w:p>
    <w:p w14:paraId="710BE084">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8.2投标人应仔细阅读招标文件的所有内容，按照招标文件的要求提交投标文件，并对所提供的全部资料的真实性承担法律责任。</w:t>
      </w:r>
    </w:p>
    <w:p w14:paraId="6355CBB4">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459C043">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9.回避与串通投标</w:t>
      </w:r>
    </w:p>
    <w:p w14:paraId="780B7B4A">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9.1在政府采购活动中，采购人员及相关人员与供应商有下列利害关系之一的，应当回避：</w:t>
      </w:r>
    </w:p>
    <w:p w14:paraId="2799B76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（1）参加采购活动前3年内与供应商存在劳动关系；</w:t>
      </w:r>
    </w:p>
    <w:p w14:paraId="10E416C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（2）参加采购活动前3年内担任供应商的董事、监事；</w:t>
      </w:r>
    </w:p>
    <w:p w14:paraId="3D0BFD7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（3）参加采购活动前3年内是供应商的控股股东或者实际控制人；</w:t>
      </w:r>
    </w:p>
    <w:p w14:paraId="12D5557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（4）与供应商的法定代表人或者负责人有夫妻、直系血亲、三代以内旁系血亲或者近姻亲关系；</w:t>
      </w:r>
    </w:p>
    <w:p w14:paraId="68B6AFA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（5）与供应商有其他可能影响政府采购活动公平、公正进行的关系。</w:t>
      </w:r>
    </w:p>
    <w:p w14:paraId="558C38DA">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83901CF">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9.2有下列情形之一的视为投标人相互串通投标，投标文件将被视为无效：</w:t>
      </w:r>
    </w:p>
    <w:p w14:paraId="7D79591E">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highlight w:val="none"/>
        </w:rPr>
      </w:pPr>
      <w:r>
        <w:rPr>
          <w:rFonts w:hint="eastAsia" w:ascii="宋体" w:hAnsi="宋体" w:eastAsia="宋体" w:cs="宋体"/>
          <w:b/>
          <w:highlight w:val="none"/>
        </w:rPr>
        <w:t>（1）不同投标人的投标文件由同一单位或者个人编制；或者不同投标人报名的IP地址一致的；</w:t>
      </w:r>
    </w:p>
    <w:p w14:paraId="7F44268A">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highlight w:val="none"/>
        </w:rPr>
      </w:pPr>
      <w:r>
        <w:rPr>
          <w:rFonts w:hint="eastAsia" w:ascii="宋体" w:hAnsi="宋体" w:eastAsia="宋体" w:cs="宋体"/>
          <w:b/>
          <w:highlight w:val="none"/>
        </w:rPr>
        <w:t>（2）不同投标人委托同一单位或者个人办理投标事宜；</w:t>
      </w:r>
    </w:p>
    <w:p w14:paraId="6B5E5B99">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highlight w:val="none"/>
        </w:rPr>
      </w:pPr>
      <w:r>
        <w:rPr>
          <w:rFonts w:hint="eastAsia" w:ascii="宋体" w:hAnsi="宋体" w:eastAsia="宋体" w:cs="宋体"/>
          <w:b/>
          <w:highlight w:val="none"/>
        </w:rPr>
        <w:t>（3）不同的投标人的投标文件载明的项目管理员为同一个人；</w:t>
      </w:r>
    </w:p>
    <w:p w14:paraId="2EACDD3B">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highlight w:val="none"/>
        </w:rPr>
      </w:pPr>
      <w:r>
        <w:rPr>
          <w:rFonts w:hint="eastAsia" w:ascii="宋体" w:hAnsi="宋体" w:eastAsia="宋体" w:cs="宋体"/>
          <w:b/>
          <w:highlight w:val="none"/>
        </w:rPr>
        <w:t>（4）不同投标人的电子或纸质投标文件异常一致或者投标报价呈规律性差异；</w:t>
      </w:r>
    </w:p>
    <w:p w14:paraId="13656EC7">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highlight w:val="none"/>
        </w:rPr>
      </w:pPr>
      <w:r>
        <w:rPr>
          <w:rFonts w:hint="eastAsia" w:ascii="宋体" w:hAnsi="宋体" w:eastAsia="宋体" w:cs="宋体"/>
          <w:b/>
          <w:highlight w:val="none"/>
        </w:rPr>
        <w:t>（5）不同投标人的纸质投标文件相互混装；</w:t>
      </w:r>
    </w:p>
    <w:p w14:paraId="1224423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9.3供应商有下列情形之一的，属于恶意串通行为，将报同级监督管理部门：</w:t>
      </w:r>
    </w:p>
    <w:p w14:paraId="10CCBD2A">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（1）供应商直接或者间接从采购人或者采购代理机构处获得其他供应商的相关信息并修改其投标文件或者投标文件；</w:t>
      </w:r>
    </w:p>
    <w:p w14:paraId="1070552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（2）供应商按照采购人或者采购代理机构的授意撤换、修改投标文件或者投标文件；</w:t>
      </w:r>
    </w:p>
    <w:p w14:paraId="0E870A7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（3）供应商之间协商报价、技术方案等投标文件或者投标文件的实质性内容；</w:t>
      </w:r>
    </w:p>
    <w:p w14:paraId="186FF44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（4）属于同一集团、协会、商会等组织成员的供应商按照该组织要求协同参加政府采购活动；</w:t>
      </w:r>
    </w:p>
    <w:p w14:paraId="722524AF">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（5）供应商之间事先约定一致抬高或者压低投标报价，或者在招标项目中事先约定轮流以高价位或者低价位中标，或者事先约定由某一特定供应商中标，然后再参加投标；</w:t>
      </w:r>
    </w:p>
    <w:p w14:paraId="1F8B975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（6）供应商之间商定部分供应商放弃参加政府采购活动或者放弃中标；</w:t>
      </w:r>
    </w:p>
    <w:p w14:paraId="2D137C4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（7）供应商与采购人或者采购代理机构之间、供应商相互之间，为谋求特定供应商中标或者排斥其他供应商的其他串通行为。</w:t>
      </w:r>
    </w:p>
    <w:p w14:paraId="4D8C4E84">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eastAsia="宋体" w:cs="Times New Roman"/>
          <w:sz w:val="28"/>
          <w:szCs w:val="28"/>
          <w:highlight w:val="none"/>
        </w:rPr>
      </w:pPr>
      <w:bookmarkStart w:id="55" w:name="_Toc24651"/>
      <w:bookmarkStart w:id="56" w:name="_Toc25205"/>
      <w:r>
        <w:rPr>
          <w:rFonts w:hint="eastAsia" w:ascii="Times New Roman" w:hAnsi="Times New Roman" w:eastAsia="宋体" w:cs="Times New Roman"/>
          <w:sz w:val="28"/>
          <w:szCs w:val="28"/>
          <w:highlight w:val="none"/>
        </w:rPr>
        <w:t>二、招标文件</w:t>
      </w:r>
      <w:bookmarkEnd w:id="55"/>
      <w:bookmarkEnd w:id="56"/>
    </w:p>
    <w:p w14:paraId="0A12D7DB">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10.招标文件的组成</w:t>
      </w:r>
    </w:p>
    <w:p w14:paraId="14971957">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第一章 招标公告；</w:t>
      </w:r>
    </w:p>
    <w:p w14:paraId="60EBC7E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第二章 采购需求</w:t>
      </w:r>
      <w:r>
        <w:rPr>
          <w:rFonts w:hint="eastAsia" w:ascii="宋体" w:hAnsi="宋体" w:eastAsia="宋体" w:cs="宋体"/>
          <w:szCs w:val="21"/>
          <w:highlight w:val="none"/>
          <w:lang w:eastAsia="zh-CN"/>
        </w:rPr>
        <w:t>；</w:t>
      </w:r>
    </w:p>
    <w:p w14:paraId="70B1A34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第三章 投标人须知；</w:t>
      </w:r>
    </w:p>
    <w:p w14:paraId="59E7BC0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第四章 评标方法及评标标准；</w:t>
      </w:r>
    </w:p>
    <w:p w14:paraId="2A753CAF">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第五章 拟签订的合同文本；</w:t>
      </w:r>
    </w:p>
    <w:p w14:paraId="55E5A07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第六章 投标文件格式；</w:t>
      </w:r>
    </w:p>
    <w:p w14:paraId="64098D8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第七章 质疑、投诉材料格式</w:t>
      </w:r>
    </w:p>
    <w:p w14:paraId="0ECECD8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1148EBCA">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11.招标文件的澄清、修改</w:t>
      </w:r>
      <w:r>
        <w:rPr>
          <w:rFonts w:hint="eastAsia" w:ascii="宋体" w:hAnsi="宋体" w:eastAsia="宋体" w:cs="宋体"/>
          <w:b/>
          <w:sz w:val="24"/>
          <w:highlight w:val="none"/>
          <w:lang w:eastAsia="zh-CN"/>
        </w:rPr>
        <w:t>、</w:t>
      </w:r>
      <w:r>
        <w:rPr>
          <w:rFonts w:hint="eastAsia" w:ascii="宋体" w:hAnsi="宋体" w:eastAsia="宋体" w:cs="宋体"/>
          <w:b/>
          <w:sz w:val="24"/>
          <w:highlight w:val="none"/>
        </w:rPr>
        <w:t>现场考察和答疑会</w:t>
      </w:r>
    </w:p>
    <w:p w14:paraId="33C201A9">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BCE050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11.2投标人应认真审阅本公开招标文件，如有疑问，或发现其中有误或有要求不合理的，应在投标人须知前附表规定的</w:t>
      </w:r>
      <w:r>
        <w:rPr>
          <w:rFonts w:hint="eastAsia" w:ascii="宋体" w:hAnsi="宋体" w:eastAsia="宋体" w:cs="宋体"/>
          <w:kern w:val="0"/>
          <w:szCs w:val="21"/>
          <w:highlight w:val="none"/>
        </w:rPr>
        <w:t>投标截止时间</w:t>
      </w:r>
      <w:r>
        <w:rPr>
          <w:rFonts w:hint="eastAsia" w:ascii="宋体" w:hAnsi="宋体" w:eastAsia="宋体" w:cs="宋体"/>
          <w:highlight w:val="none"/>
        </w:rPr>
        <w:t>前以书面形式要求采购人或采购代理机构对招标文件予以澄清；否则，由此产生的后果由投标人自行负责。</w:t>
      </w:r>
    </w:p>
    <w:p w14:paraId="0DD42A3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11.3采购人或者采购代理机构可以对已发出的招标文件进行必要的澄清或者修改。澄清或者修改的内容可能影响投标文件编制的，采购人或者采购代理机构应当在投标截止时间至少15日前，以书面形式通知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eastAsia="宋体" w:cs="宋体"/>
          <w:highlight w:val="none"/>
          <w:lang w:eastAsia="zh-CN"/>
        </w:rPr>
        <w:t>（</w:t>
      </w:r>
      <w:r>
        <w:rPr>
          <w:rFonts w:hint="eastAsia" w:ascii="宋体" w:hAnsi="宋体" w:eastAsia="宋体" w:cs="宋体"/>
          <w:highlight w:val="none"/>
        </w:rPr>
        <w:t>在“</w:t>
      </w:r>
      <w:r>
        <w:rPr>
          <w:rFonts w:hint="eastAsia" w:ascii="宋体" w:hAnsi="宋体" w:eastAsia="宋体" w:cs="宋体"/>
          <w:szCs w:val="21"/>
          <w:highlight w:val="none"/>
        </w:rPr>
        <w:t>投标人须知前附表”</w:t>
      </w:r>
      <w:r>
        <w:rPr>
          <w:rFonts w:hint="eastAsia" w:ascii="宋体" w:hAnsi="宋体" w:eastAsia="宋体" w:cs="宋体"/>
          <w:highlight w:val="none"/>
        </w:rPr>
        <w:t>规定的政府采购信息发布媒体上发布更正公告及平台短信通知</w:t>
      </w:r>
      <w:r>
        <w:rPr>
          <w:rFonts w:hint="eastAsia" w:ascii="宋体" w:hAnsi="宋体" w:eastAsia="宋体" w:cs="宋体"/>
          <w:highlight w:val="none"/>
          <w:lang w:eastAsia="zh-CN"/>
        </w:rPr>
        <w:t>）</w:t>
      </w:r>
      <w:r>
        <w:rPr>
          <w:rFonts w:hint="eastAsia" w:ascii="宋体" w:hAnsi="宋体" w:eastAsia="宋体" w:cs="宋体"/>
          <w:highlight w:val="none"/>
        </w:rPr>
        <w:t>所有获取招标文件的潜在投标人；不足15日的，采购人或者采购代理机构应当顺延提交投标文件的截止时间。发出的澄清或者修改不影响投标文件编制的也应在截标前3日发出。</w:t>
      </w:r>
    </w:p>
    <w:p w14:paraId="6610F5E7">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11.4采购人和采购代理机构可以视采购具体情况，变更投标截止时间和开标时间，将变更时间将在“</w:t>
      </w:r>
      <w:r>
        <w:rPr>
          <w:rFonts w:hint="eastAsia" w:ascii="宋体" w:hAnsi="宋体" w:eastAsia="宋体" w:cs="宋体"/>
          <w:szCs w:val="21"/>
          <w:highlight w:val="none"/>
        </w:rPr>
        <w:t>投标人须知前附表”</w:t>
      </w:r>
      <w:r>
        <w:rPr>
          <w:rFonts w:hint="eastAsia" w:ascii="宋体" w:hAnsi="宋体" w:eastAsia="宋体" w:cs="宋体"/>
          <w:kern w:val="0"/>
          <w:szCs w:val="21"/>
          <w:highlight w:val="none"/>
        </w:rPr>
        <w:t>规定的政府采购信息发布媒体上</w:t>
      </w:r>
      <w:r>
        <w:rPr>
          <w:rFonts w:hint="eastAsia" w:ascii="宋体" w:hAnsi="宋体" w:eastAsia="宋体" w:cs="宋体"/>
          <w:highlight w:val="none"/>
        </w:rPr>
        <w:t>发布更正公告。</w:t>
      </w:r>
    </w:p>
    <w:p w14:paraId="4B56237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11.5采购人或者采购代理机构可以在招标文件提供期限截止后，组织已获取招标文件的潜在投标人现场考察或者召开开标前答疑会，具体详见“投标人须知前附表”。</w:t>
      </w:r>
    </w:p>
    <w:p w14:paraId="2E3A9415">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eastAsia="宋体" w:cs="Times New Roman"/>
          <w:sz w:val="28"/>
          <w:szCs w:val="28"/>
          <w:highlight w:val="none"/>
        </w:rPr>
      </w:pPr>
      <w:bookmarkStart w:id="57" w:name="_Toc19556"/>
      <w:bookmarkStart w:id="58" w:name="_Toc7026"/>
      <w:r>
        <w:rPr>
          <w:rFonts w:hint="eastAsia" w:ascii="Times New Roman" w:hAnsi="Times New Roman" w:eastAsia="宋体" w:cs="Times New Roman"/>
          <w:sz w:val="28"/>
          <w:szCs w:val="28"/>
          <w:highlight w:val="none"/>
        </w:rPr>
        <w:t>三、投标文件的编制</w:t>
      </w:r>
      <w:bookmarkEnd w:id="57"/>
      <w:bookmarkEnd w:id="58"/>
    </w:p>
    <w:p w14:paraId="3635E7E7">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12.投标文件的编制原则</w:t>
      </w:r>
    </w:p>
    <w:p w14:paraId="0D9CFF5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12.1投标人必须按照招标文件的要求编制投标文件。投标文件必须对招标文件提出的要求和条件作出明确响应。</w:t>
      </w:r>
    </w:p>
    <w:p w14:paraId="25823D5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28F9935">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13.投标文件的组成</w:t>
      </w:r>
    </w:p>
    <w:p w14:paraId="13426E3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13.1投标文件由报价文件、资格证明文件、商务文件、技术文件四部分组成。</w:t>
      </w:r>
    </w:p>
    <w:p w14:paraId="2FDCAB6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（1）资格证明文件：具体材料见“投标人须知前附表”。</w:t>
      </w:r>
    </w:p>
    <w:p w14:paraId="2CCE3EA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（2）商务文件：具体材料见“投标人须知前附表”。</w:t>
      </w:r>
    </w:p>
    <w:p w14:paraId="3D4D29E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 xml:space="preserve">（3）技术文件：具体材料见“投标人须知前附表”。 </w:t>
      </w:r>
    </w:p>
    <w:p w14:paraId="2C2DEA2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（4）报价文件</w:t>
      </w:r>
      <w:r>
        <w:rPr>
          <w:rFonts w:hint="eastAsia" w:ascii="宋体" w:hAnsi="宋体" w:eastAsia="宋体" w:cs="宋体"/>
          <w:bCs/>
          <w:szCs w:val="21"/>
          <w:highlight w:val="none"/>
          <w:lang w:eastAsia="zh-CN"/>
        </w:rPr>
        <w:t>：</w:t>
      </w:r>
      <w:r>
        <w:rPr>
          <w:rFonts w:hint="eastAsia" w:ascii="宋体" w:hAnsi="宋体" w:eastAsia="宋体" w:cs="宋体"/>
          <w:bCs/>
          <w:szCs w:val="21"/>
          <w:highlight w:val="none"/>
        </w:rPr>
        <w:t>具体材料见“投标人须知前附表”。</w:t>
      </w:r>
    </w:p>
    <w:p w14:paraId="46C2C144">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bookmarkStart w:id="59" w:name="_13.5投标文件电子版：具体材料见“投标人须知前附表”。"/>
      <w:bookmarkEnd w:id="59"/>
      <w:r>
        <w:rPr>
          <w:rFonts w:hint="eastAsia" w:ascii="宋体" w:hAnsi="宋体" w:eastAsia="宋体" w:cs="宋体"/>
          <w:bCs/>
          <w:szCs w:val="21"/>
          <w:highlight w:val="none"/>
        </w:rPr>
        <w:t>13.2投标文件电子版：具体要求见本节19.投标文件编制。</w:t>
      </w:r>
    </w:p>
    <w:p w14:paraId="13ADDA8A">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14.投标文件的语言及计量</w:t>
      </w:r>
    </w:p>
    <w:p w14:paraId="02B4DC8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14.1语言文字</w:t>
      </w:r>
    </w:p>
    <w:p w14:paraId="53E61DF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237AA7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14.2投标计量单位</w:t>
      </w:r>
    </w:p>
    <w:p w14:paraId="22E15D4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招标文件已有明确规定的，使用招标文件规定的计量单位；招标文件没有规定的，应采用中华人民共和国法定计量单位，货币种类为人民币，否则视同未响应。</w:t>
      </w:r>
    </w:p>
    <w:p w14:paraId="223EA5AE">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15.投标的风险</w:t>
      </w:r>
    </w:p>
    <w:p w14:paraId="4AE1749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
          <w:bCs/>
          <w:highlight w:val="none"/>
        </w:rPr>
      </w:pPr>
      <w:r>
        <w:rPr>
          <w:rFonts w:hint="eastAsia" w:ascii="宋体" w:hAnsi="宋体" w:eastAsia="宋体" w:cs="宋体"/>
          <w:highlight w:val="none"/>
        </w:rPr>
        <w:t>投标文件分为资格文件、商务和技术文件、报价文件三部分。各投标人在编制投标文件时请按照招标文件规定的格式进行，混乱的编排导致投标文件被误读或评标委员会查找不到有效文件是投标人的风险。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highlight w:val="none"/>
        </w:rPr>
        <w:t>投标文件未按规定的格式编制的、没有按照招标文件要求提供全部资料、没有对招标文件作出实质性响应，投标无效；</w:t>
      </w:r>
    </w:p>
    <w:p w14:paraId="783BAE1B">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16.投标报价</w:t>
      </w:r>
    </w:p>
    <w:p w14:paraId="421A679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16.1投标报价应</w:t>
      </w:r>
      <w:r>
        <w:rPr>
          <w:rFonts w:hint="eastAsia" w:ascii="宋体" w:hAnsi="宋体" w:eastAsia="宋体" w:cs="宋体"/>
          <w:bCs/>
          <w:szCs w:val="20"/>
          <w:highlight w:val="none"/>
        </w:rPr>
        <w:t>按“第六章　投标文件格式”中“开标一览表”格式填写。</w:t>
      </w:r>
    </w:p>
    <w:p w14:paraId="068BB96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16.2投标报价具体包括内容详见“投标人须知前附表”。</w:t>
      </w:r>
    </w:p>
    <w:p w14:paraId="0305184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16.3投标人必须就所投每个分标的全部内容分别作完整唯一总价报价，不得存在漏项报价；投标人必须就所投标项的单项内容作唯一报价。</w:t>
      </w:r>
    </w:p>
    <w:p w14:paraId="076DE976">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17.投标有效期</w:t>
      </w:r>
    </w:p>
    <w:p w14:paraId="722BA71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17.1投标有效期是指为保证采购人有足够的时间在开标后完成评标、定标、合同签订等工作而要求投标人提交的投标文件在一定时间内保持有效的期限。</w:t>
      </w:r>
    </w:p>
    <w:p w14:paraId="3F3D4B5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17.2投标有效期应按规定的期限作出承诺，具体详见“投标人须知前附表”。</w:t>
      </w:r>
    </w:p>
    <w:p w14:paraId="5B16D47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17.3投标人的投标文件在投标有效期内均保持有效。</w:t>
      </w:r>
    </w:p>
    <w:p w14:paraId="00CA3111">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18.投标保证金</w:t>
      </w:r>
    </w:p>
    <w:p w14:paraId="66381FB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见“投标人须知前附表”。</w:t>
      </w:r>
    </w:p>
    <w:p w14:paraId="39D8A046">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19.投标文件的编制</w:t>
      </w:r>
    </w:p>
    <w:p w14:paraId="7628145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p>
    <w:p w14:paraId="4D7EFFCB">
      <w:pPr>
        <w:pStyle w:val="215"/>
        <w:pageBreakBefore w:val="0"/>
        <w:widowControl w:val="0"/>
        <w:kinsoku/>
        <w:wordWrap/>
        <w:overflowPunct/>
        <w:topLinePunct w:val="0"/>
        <w:bidi w:val="0"/>
        <w:snapToGrid w:val="0"/>
        <w:spacing w:before="0" w:line="400" w:lineRule="exact"/>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sz w:val="21"/>
          <w:szCs w:val="21"/>
          <w:highlight w:val="none"/>
        </w:rPr>
        <w:t>其投标无效。</w:t>
      </w:r>
      <w:r>
        <w:rPr>
          <w:rFonts w:hint="eastAsia" w:ascii="宋体" w:hAnsi="宋体" w:eastAsia="宋体" w:cs="宋体"/>
          <w:sz w:val="21"/>
          <w:szCs w:val="21"/>
          <w:highlight w:val="none"/>
        </w:rPr>
        <w:t>骑缝盖公章不视为在规定位置盖章。</w:t>
      </w:r>
    </w:p>
    <w:p w14:paraId="13116486">
      <w:pPr>
        <w:pStyle w:val="215"/>
        <w:pageBreakBefore w:val="0"/>
        <w:widowControl w:val="0"/>
        <w:kinsoku/>
        <w:wordWrap/>
        <w:overflowPunct/>
        <w:topLinePunct w:val="0"/>
        <w:bidi w:val="0"/>
        <w:snapToGrid w:val="0"/>
        <w:spacing w:before="0" w:line="400" w:lineRule="exact"/>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19.3为确保网上操作合法、有效和安全，投标人应当在投标截止时间前完成在</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的身份认证，确保在电子投标过程中能够对相关数据电文进行加密和使用电子签名。</w:t>
      </w:r>
    </w:p>
    <w:p w14:paraId="6CF1B796">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szCs w:val="21"/>
          <w:highlight w:val="none"/>
        </w:rPr>
        <w:t>否则作无效投标处理</w:t>
      </w:r>
      <w:r>
        <w:rPr>
          <w:rFonts w:hint="eastAsia" w:ascii="宋体" w:hAnsi="宋体" w:eastAsia="宋体" w:cs="宋体"/>
          <w:b/>
          <w:szCs w:val="21"/>
          <w:highlight w:val="none"/>
        </w:rPr>
        <w:t>。</w:t>
      </w:r>
    </w:p>
    <w:p w14:paraId="63D1B2D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
          <w:szCs w:val="21"/>
          <w:highlight w:val="none"/>
        </w:rPr>
      </w:pPr>
      <w:r>
        <w:rPr>
          <w:rFonts w:hint="eastAsia" w:ascii="宋体" w:hAnsi="宋体" w:eastAsia="宋体" w:cs="宋体"/>
          <w:szCs w:val="21"/>
          <w:highlight w:val="none"/>
        </w:rPr>
        <w:t>19.5投标文件应避免涂改、行间插字或者删除，</w:t>
      </w:r>
      <w:r>
        <w:rPr>
          <w:rFonts w:hint="eastAsia" w:ascii="宋体" w:hAnsi="宋体" w:eastAsia="宋体" w:cs="宋体"/>
          <w:b/>
          <w:szCs w:val="21"/>
          <w:highlight w:val="none"/>
        </w:rPr>
        <w:t>否则其投标无效。</w:t>
      </w:r>
    </w:p>
    <w:p w14:paraId="3F52B5F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19.6对招标文件的实质性要求和条件作出响应是指投标人必须对招标文件中标注为实质性要求和条件的货物内容及要求、商务条款及其它内容</w:t>
      </w:r>
      <w:r>
        <w:rPr>
          <w:rFonts w:hint="eastAsia" w:ascii="宋体" w:hAnsi="宋体" w:eastAsia="宋体" w:cs="宋体"/>
          <w:b/>
          <w:bCs/>
          <w:szCs w:val="21"/>
          <w:highlight w:val="none"/>
        </w:rPr>
        <w:t>作出满足或者优于原要求和条件的承诺</w:t>
      </w:r>
      <w:r>
        <w:rPr>
          <w:rFonts w:hint="eastAsia" w:ascii="宋体" w:hAnsi="宋体" w:eastAsia="宋体" w:cs="宋体"/>
          <w:szCs w:val="21"/>
          <w:highlight w:val="none"/>
        </w:rPr>
        <w:t>。</w:t>
      </w:r>
    </w:p>
    <w:p w14:paraId="6F74A88F">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u w:val="single"/>
        </w:rPr>
      </w:pPr>
      <w:r>
        <w:rPr>
          <w:rFonts w:hint="eastAsia" w:ascii="宋体" w:hAnsi="宋体" w:eastAsia="宋体" w:cs="宋体"/>
          <w:b/>
          <w:szCs w:val="21"/>
          <w:highlight w:val="none"/>
          <w:u w:val="single"/>
        </w:rPr>
        <w:t>19.7本项目为全流程电子化项目，异常情况见“第二节 投标人须知正文”中“四、24.2开标程序。</w:t>
      </w:r>
    </w:p>
    <w:p w14:paraId="052B0935">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20.备份投标文件</w:t>
      </w:r>
    </w:p>
    <w:p w14:paraId="5CE834E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 w:val="24"/>
          <w:highlight w:val="none"/>
        </w:rPr>
      </w:pPr>
      <w:r>
        <w:rPr>
          <w:rFonts w:hint="eastAsia" w:ascii="宋体" w:hAnsi="宋体" w:eastAsia="宋体" w:cs="宋体"/>
          <w:bCs/>
          <w:szCs w:val="21"/>
          <w:highlight w:val="none"/>
        </w:rPr>
        <w:t>详见在“投标人须知前附表”。</w:t>
      </w:r>
    </w:p>
    <w:p w14:paraId="635BDCF1">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21.投标文件的提交</w:t>
      </w:r>
    </w:p>
    <w:p w14:paraId="4DC57DF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
          <w:highlight w:val="none"/>
        </w:rPr>
      </w:pPr>
      <w:r>
        <w:rPr>
          <w:rFonts w:hint="eastAsia" w:ascii="宋体" w:hAnsi="宋体" w:eastAsia="宋体" w:cs="宋体"/>
          <w:bCs/>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政采云平台”。 </w:t>
      </w:r>
      <w:r>
        <w:rPr>
          <w:rFonts w:hint="eastAsia" w:ascii="宋体" w:hAnsi="宋体" w:eastAsia="宋体" w:cs="宋体"/>
          <w:b/>
          <w:highlight w:val="none"/>
        </w:rPr>
        <w:t xml:space="preserve"> </w:t>
      </w:r>
    </w:p>
    <w:p w14:paraId="6206938D">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0"/>
          <w:highlight w:val="none"/>
        </w:rPr>
      </w:pPr>
      <w:r>
        <w:rPr>
          <w:rFonts w:hint="eastAsia" w:ascii="宋体" w:hAnsi="宋体" w:eastAsia="宋体" w:cs="宋体"/>
          <w:b/>
          <w:szCs w:val="21"/>
          <w:highlight w:val="none"/>
        </w:rPr>
        <w:t>21.2未在规定时间内提交或者未按照招标文件要求密封或者标记的电子投标文件，</w:t>
      </w:r>
      <w:r>
        <w:rPr>
          <w:rFonts w:hint="eastAsia" w:ascii="宋体" w:hAnsi="宋体" w:eastAsia="宋体" w:cs="宋体"/>
          <w:b/>
          <w:szCs w:val="21"/>
          <w:highlight w:val="none"/>
          <w:lang w:eastAsia="zh-CN"/>
        </w:rPr>
        <w:t>广西政府采购云平台</w:t>
      </w:r>
      <w:r>
        <w:rPr>
          <w:rFonts w:hint="eastAsia" w:ascii="宋体" w:hAnsi="宋体" w:eastAsia="宋体" w:cs="宋体"/>
          <w:b/>
          <w:szCs w:val="21"/>
          <w:highlight w:val="none"/>
        </w:rPr>
        <w:t>将拒收。</w:t>
      </w:r>
    </w:p>
    <w:p w14:paraId="06C623C7">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21.3电子版投标文件提交方式见“招标公告”中“四、提交投标文件截止时间、开标时间和地点”</w:t>
      </w:r>
      <w:r>
        <w:rPr>
          <w:rFonts w:hint="eastAsia" w:ascii="宋体" w:hAnsi="宋体" w:eastAsia="宋体" w:cs="宋体"/>
          <w:b/>
          <w:szCs w:val="21"/>
          <w:highlight w:val="none"/>
        </w:rPr>
        <w:t xml:space="preserve"> 。</w:t>
      </w:r>
    </w:p>
    <w:p w14:paraId="45B8BBE3">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22.投标文件的补充、修改、撤回与退回</w:t>
      </w:r>
    </w:p>
    <w:p w14:paraId="64D33FE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 w:val="24"/>
          <w:highlight w:val="none"/>
        </w:rPr>
      </w:pPr>
      <w:r>
        <w:rPr>
          <w:rFonts w:hint="eastAsia" w:ascii="宋体" w:hAnsi="宋体" w:eastAsia="宋体" w:cs="宋体"/>
          <w:szCs w:val="21"/>
          <w:highlight w:val="none"/>
        </w:rPr>
        <w:t>22.1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eastAsia="宋体" w:cs="宋体"/>
          <w:szCs w:val="21"/>
          <w:highlight w:val="none"/>
          <w:lang w:eastAsia="zh-CN"/>
        </w:rPr>
        <w:t>广西政府采购云平台</w:t>
      </w:r>
      <w:r>
        <w:rPr>
          <w:rFonts w:hint="eastAsia" w:ascii="宋体" w:hAnsi="宋体" w:eastAsia="宋体" w:cs="宋体"/>
          <w:szCs w:val="21"/>
          <w:highlight w:val="none"/>
        </w:rPr>
        <w:t>将拒收。（补充、修改或者撤回方式见公告附件“电子投标文件制作与投送教程”）</w:t>
      </w:r>
    </w:p>
    <w:p w14:paraId="33AB43C3">
      <w:pPr>
        <w:pStyle w:val="215"/>
        <w:pageBreakBefore w:val="0"/>
        <w:widowControl w:val="0"/>
        <w:kinsoku/>
        <w:wordWrap/>
        <w:overflowPunct/>
        <w:topLinePunct w:val="0"/>
        <w:bidi w:val="0"/>
        <w:spacing w:before="0" w:line="400" w:lineRule="exact"/>
        <w:ind w:firstLine="42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22.2</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收到投标文件，将妥善保存并即时向供应商发出确认回执通知。在投标截止时间前，除供应商补充、修改或者撤回投标文件外，任何单位和个人不得解密或提取投标文件。</w:t>
      </w:r>
    </w:p>
    <w:p w14:paraId="331A993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22.3在投标截止时间止提交电子版投标文件的投标人不足3家时，电子版投标文件由代理机构在</w:t>
      </w:r>
      <w:r>
        <w:rPr>
          <w:rFonts w:hint="eastAsia" w:ascii="宋体" w:hAnsi="宋体" w:eastAsia="宋体" w:cs="宋体"/>
          <w:szCs w:val="21"/>
          <w:highlight w:val="none"/>
          <w:lang w:eastAsia="zh-CN"/>
        </w:rPr>
        <w:t>广西政府采购云平台</w:t>
      </w:r>
      <w:r>
        <w:rPr>
          <w:rFonts w:hint="eastAsia" w:ascii="宋体" w:hAnsi="宋体" w:eastAsia="宋体" w:cs="宋体"/>
          <w:szCs w:val="21"/>
          <w:highlight w:val="none"/>
        </w:rPr>
        <w:t>操作退回，除此之外采购人和采购代理机构对已提交的投标文件概不退回。</w:t>
      </w:r>
    </w:p>
    <w:p w14:paraId="69D8165E">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eastAsia="宋体" w:cs="Times New Roman"/>
          <w:sz w:val="28"/>
          <w:szCs w:val="28"/>
          <w:highlight w:val="none"/>
        </w:rPr>
      </w:pPr>
      <w:bookmarkStart w:id="60" w:name="_Toc15064"/>
      <w:bookmarkStart w:id="61" w:name="_Toc20822"/>
      <w:r>
        <w:rPr>
          <w:rFonts w:hint="eastAsia" w:ascii="Times New Roman" w:hAnsi="Times New Roman" w:eastAsia="宋体" w:cs="Times New Roman"/>
          <w:sz w:val="28"/>
          <w:szCs w:val="28"/>
          <w:highlight w:val="none"/>
        </w:rPr>
        <w:t>四、开    标</w:t>
      </w:r>
      <w:bookmarkEnd w:id="60"/>
      <w:bookmarkEnd w:id="61"/>
    </w:p>
    <w:p w14:paraId="6D69E60B">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23.开标时间和地点</w:t>
      </w:r>
    </w:p>
    <w:p w14:paraId="7236B79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23.1开标时间及地点详见“投标人须知前附表”</w:t>
      </w:r>
    </w:p>
    <w:p w14:paraId="6EA2CCE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23.2如</w:t>
      </w:r>
      <w:r>
        <w:rPr>
          <w:rFonts w:hint="eastAsia" w:ascii="宋体" w:hAnsi="宋体" w:eastAsia="宋体" w:cs="宋体"/>
          <w:bCs/>
          <w:highlight w:val="none"/>
        </w:rPr>
        <w:t>投标人成功解密投标文件，但未在</w:t>
      </w:r>
      <w:r>
        <w:rPr>
          <w:rFonts w:hint="eastAsia" w:ascii="宋体" w:hAnsi="宋体" w:eastAsia="宋体" w:cs="宋体"/>
          <w:bCs/>
          <w:highlight w:val="none"/>
          <w:lang w:eastAsia="zh-CN"/>
        </w:rPr>
        <w:t>广西政府采购云平台</w:t>
      </w:r>
      <w:r>
        <w:rPr>
          <w:rFonts w:hint="eastAsia" w:ascii="宋体" w:hAnsi="宋体" w:eastAsia="宋体" w:cs="宋体"/>
          <w:bCs/>
          <w:highlight w:val="none"/>
        </w:rPr>
        <w:t>电子开标大厅参加开标的，视同认可开标过程和结果，</w:t>
      </w:r>
      <w:r>
        <w:rPr>
          <w:rFonts w:hint="eastAsia" w:ascii="宋体" w:hAnsi="宋体" w:eastAsia="宋体" w:cs="宋体"/>
          <w:highlight w:val="none"/>
        </w:rPr>
        <w:t>由此产生的后果由投标人自行负责。 投标人不足3家的，不得开标。</w:t>
      </w:r>
    </w:p>
    <w:p w14:paraId="548CDCA6">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24.开标程序</w:t>
      </w:r>
    </w:p>
    <w:p w14:paraId="6D56435B">
      <w:pPr>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kern w:val="0"/>
          <w:szCs w:val="21"/>
          <w:highlight w:val="none"/>
        </w:rPr>
      </w:pPr>
      <w:r>
        <w:rPr>
          <w:rFonts w:hint="eastAsia" w:ascii="宋体" w:hAnsi="宋体" w:eastAsia="宋体" w:cs="宋体"/>
          <w:bCs/>
          <w:szCs w:val="21"/>
          <w:highlight w:val="none"/>
        </w:rPr>
        <w:t>24.1</w:t>
      </w:r>
      <w:r>
        <w:rPr>
          <w:rFonts w:hint="eastAsia" w:ascii="宋体" w:hAnsi="宋体" w:eastAsia="宋体" w:cs="宋体"/>
          <w:kern w:val="0"/>
          <w:szCs w:val="21"/>
          <w:highlight w:val="none"/>
        </w:rPr>
        <w:t>开标形式：</w:t>
      </w:r>
    </w:p>
    <w:p w14:paraId="1E0EE514">
      <w:pPr>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（1）</w:t>
      </w:r>
      <w:r>
        <w:rPr>
          <w:rFonts w:hint="eastAsia" w:ascii="宋体" w:hAnsi="宋体" w:eastAsia="宋体" w:cs="宋体"/>
          <w:bCs/>
          <w:szCs w:val="21"/>
          <w:highlight w:val="none"/>
        </w:rPr>
        <w:t>开标的准备工作由采购代理机构负责落实，采购代理机构必须基于</w:t>
      </w:r>
      <w:r>
        <w:rPr>
          <w:rFonts w:hint="eastAsia" w:ascii="宋体" w:hAnsi="宋体" w:eastAsia="宋体" w:cs="宋体"/>
          <w:bCs/>
          <w:szCs w:val="21"/>
          <w:highlight w:val="none"/>
          <w:lang w:eastAsia="zh-CN"/>
        </w:rPr>
        <w:t>广西政府采购云平台</w:t>
      </w:r>
      <w:r>
        <w:rPr>
          <w:rFonts w:hint="eastAsia" w:ascii="宋体" w:hAnsi="宋体" w:eastAsia="宋体" w:cs="宋体"/>
          <w:bCs/>
          <w:szCs w:val="21"/>
          <w:highlight w:val="none"/>
        </w:rPr>
        <w:t>选取评审专家，如采购代理机构未按规定选取专家的，视为本次开评标无效，应当重新采购；</w:t>
      </w:r>
    </w:p>
    <w:p w14:paraId="16EDB829">
      <w:pPr>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（2）采购代理机构将按照招标文件规定的时间通过</w:t>
      </w:r>
      <w:r>
        <w:rPr>
          <w:rFonts w:hint="eastAsia" w:ascii="宋体" w:hAnsi="宋体" w:eastAsia="宋体" w:cs="宋体"/>
          <w:bCs/>
          <w:szCs w:val="21"/>
          <w:highlight w:val="none"/>
          <w:lang w:eastAsia="zh-CN"/>
        </w:rPr>
        <w:t>广西政府采购云平台</w:t>
      </w:r>
      <w:r>
        <w:rPr>
          <w:rFonts w:hint="eastAsia" w:ascii="宋体" w:hAnsi="宋体" w:eastAsia="宋体" w:cs="宋体"/>
          <w:bCs/>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1631822">
      <w:pPr>
        <w:pageBreakBefore w:val="0"/>
        <w:widowControl w:val="0"/>
        <w:kinsoku/>
        <w:wordWrap/>
        <w:overflowPunct/>
        <w:topLinePunct w:val="0"/>
        <w:autoSpaceDE w:val="0"/>
        <w:autoSpaceDN w:val="0"/>
        <w:bidi w:val="0"/>
        <w:adjustRightInd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24.2开标程序：</w:t>
      </w:r>
    </w:p>
    <w:p w14:paraId="7F86663C">
      <w:pPr>
        <w:pStyle w:val="27"/>
        <w:pageBreakBefore w:val="0"/>
        <w:widowControl w:val="0"/>
        <w:kinsoku/>
        <w:wordWrap/>
        <w:overflowPunct/>
        <w:topLinePunct w:val="0"/>
        <w:bidi w:val="0"/>
        <w:snapToGrid w:val="0"/>
        <w:spacing w:line="40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sz w:val="21"/>
          <w:szCs w:val="21"/>
          <w:highlight w:val="none"/>
        </w:rPr>
        <w:t>（1）解密电子投标文件。</w:t>
      </w:r>
      <w:r>
        <w:rPr>
          <w:rFonts w:hint="eastAsia" w:hAnsi="宋体" w:eastAsia="宋体" w:cs="宋体"/>
          <w:b/>
          <w:sz w:val="21"/>
          <w:szCs w:val="21"/>
          <w:highlight w:val="none"/>
          <w:lang w:eastAsia="zh-CN"/>
        </w:rPr>
        <w:t>广西政府采购云平台</w:t>
      </w:r>
      <w:r>
        <w:rPr>
          <w:rFonts w:hint="eastAsia" w:ascii="宋体" w:hAnsi="宋体" w:eastAsia="宋体" w:cs="宋体"/>
          <w:sz w:val="21"/>
          <w:szCs w:val="21"/>
          <w:highlight w:val="none"/>
        </w:rPr>
        <w:t>按开标时间自动提取所有投标文件。采购代理机构依托</w:t>
      </w:r>
      <w:r>
        <w:rPr>
          <w:rFonts w:hint="eastAsia" w:hAnsi="宋体" w:eastAsia="宋体" w:cs="宋体"/>
          <w:sz w:val="21"/>
          <w:szCs w:val="21"/>
          <w:highlight w:val="none"/>
          <w:lang w:eastAsia="zh-CN"/>
        </w:rPr>
        <w:t>广西政府采购云平台</w:t>
      </w:r>
      <w:r>
        <w:rPr>
          <w:rFonts w:hint="eastAsia" w:ascii="宋体" w:hAnsi="宋体" w:eastAsia="宋体" w:cs="宋体"/>
          <w:sz w:val="21"/>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sz w:val="21"/>
          <w:szCs w:val="21"/>
          <w:highlight w:val="none"/>
        </w:rPr>
        <w:t>须携带加密时所用的CA锁准时登录到</w:t>
      </w:r>
      <w:r>
        <w:rPr>
          <w:rFonts w:hint="eastAsia" w:hAnsi="宋体" w:eastAsia="宋体" w:cs="宋体"/>
          <w:b/>
          <w:sz w:val="21"/>
          <w:szCs w:val="21"/>
          <w:highlight w:val="none"/>
          <w:lang w:eastAsia="zh-CN"/>
        </w:rPr>
        <w:t>广西政府采购云平台</w:t>
      </w:r>
      <w:r>
        <w:rPr>
          <w:rFonts w:hint="eastAsia" w:ascii="宋体" w:hAnsi="宋体" w:eastAsia="宋体" w:cs="宋体"/>
          <w:b/>
          <w:sz w:val="21"/>
          <w:szCs w:val="21"/>
          <w:highlight w:val="none"/>
        </w:rPr>
        <w:t>电子开标大厅签到并对电子投标文件解密</w:t>
      </w:r>
      <w:r>
        <w:rPr>
          <w:rFonts w:hint="eastAsia" w:ascii="宋体" w:hAnsi="宋体" w:eastAsia="宋体" w:cs="宋体"/>
          <w:sz w:val="21"/>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sz w:val="21"/>
          <w:szCs w:val="21"/>
          <w:highlight w:val="none"/>
        </w:rPr>
        <w:t>均视为无效投标。</w:t>
      </w:r>
    </w:p>
    <w:p w14:paraId="092405C6">
      <w:pPr>
        <w:pStyle w:val="27"/>
        <w:pageBreakBefore w:val="0"/>
        <w:widowControl w:val="0"/>
        <w:kinsoku/>
        <w:wordWrap/>
        <w:overflowPunct/>
        <w:topLinePunct w:val="0"/>
        <w:bidi w:val="0"/>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（解密</w:t>
      </w:r>
      <w:r>
        <w:rPr>
          <w:rFonts w:hint="eastAsia" w:ascii="宋体" w:hAnsi="宋体" w:eastAsia="宋体" w:cs="宋体"/>
          <w:bCs/>
          <w:sz w:val="21"/>
          <w:szCs w:val="21"/>
          <w:highlight w:val="none"/>
        </w:rPr>
        <w:t>异常情况处理：详见本章</w:t>
      </w:r>
      <w:r>
        <w:rPr>
          <w:rFonts w:hint="eastAsia" w:ascii="宋体" w:hAnsi="宋体" w:eastAsia="宋体" w:cs="宋体"/>
          <w:sz w:val="21"/>
          <w:szCs w:val="21"/>
          <w:highlight w:val="none"/>
        </w:rPr>
        <w:t>29.3电子交易活动的中止。）</w:t>
      </w:r>
    </w:p>
    <w:p w14:paraId="2248BDB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电子唱标。</w:t>
      </w:r>
      <w:r>
        <w:rPr>
          <w:rFonts w:hint="eastAsia" w:ascii="宋体" w:hAnsi="宋体" w:eastAsia="宋体" w:cs="宋体"/>
          <w:sz w:val="21"/>
          <w:szCs w:val="21"/>
          <w:highlight w:val="none"/>
        </w:rPr>
        <w:t>投标文件解密结束，各投标供应商报价均在</w:t>
      </w:r>
      <w:r>
        <w:rPr>
          <w:rFonts w:hint="eastAsia" w:ascii="宋体" w:hAnsi="宋体" w:eastAsia="宋体" w:cs="宋体"/>
          <w:sz w:val="21"/>
          <w:szCs w:val="21"/>
          <w:highlight w:val="none"/>
          <w:lang w:eastAsia="zh-CN"/>
        </w:rPr>
        <w:t>广西政府采购云平台</w:t>
      </w:r>
      <w:r>
        <w:rPr>
          <w:rFonts w:hint="eastAsia" w:ascii="宋体" w:hAnsi="宋体" w:eastAsia="宋体" w:cs="宋体"/>
          <w:sz w:val="21"/>
          <w:szCs w:val="21"/>
          <w:highlight w:val="none"/>
        </w:rPr>
        <w:t>远程不见面开标大厅展示；</w:t>
      </w:r>
    </w:p>
    <w:p w14:paraId="7BE3008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6B47FF5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A87070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（5）开标结束。</w:t>
      </w:r>
    </w:p>
    <w:p w14:paraId="75632855">
      <w:pPr>
        <w:pStyle w:val="27"/>
        <w:pageBreakBefore w:val="0"/>
        <w:widowControl w:val="0"/>
        <w:kinsoku/>
        <w:wordWrap/>
        <w:overflowPunct/>
        <w:topLinePunct w:val="0"/>
        <w:bidi w:val="0"/>
        <w:snapToGrid w:val="0"/>
        <w:spacing w:line="400" w:lineRule="exact"/>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特别说明：</w:t>
      </w:r>
      <w:r>
        <w:rPr>
          <w:rFonts w:hint="eastAsia" w:ascii="宋体" w:hAnsi="宋体" w:eastAsia="宋体" w:cs="宋体"/>
          <w:sz w:val="21"/>
          <w:szCs w:val="21"/>
          <w:highlight w:val="none"/>
        </w:rPr>
        <w:t>如遇</w:t>
      </w:r>
      <w:r>
        <w:rPr>
          <w:rFonts w:hint="eastAsia" w:hAnsi="宋体" w:eastAsia="宋体" w:cs="宋体"/>
          <w:sz w:val="21"/>
          <w:szCs w:val="21"/>
          <w:highlight w:val="none"/>
          <w:lang w:eastAsia="zh-CN"/>
        </w:rPr>
        <w:t>广西政府采购云平台</w:t>
      </w:r>
      <w:r>
        <w:rPr>
          <w:rFonts w:hint="eastAsia" w:ascii="宋体" w:hAnsi="宋体" w:eastAsia="宋体" w:cs="宋体"/>
          <w:sz w:val="21"/>
          <w:szCs w:val="21"/>
          <w:highlight w:val="none"/>
        </w:rPr>
        <w:t>电子化开标或评审程序调整的，按调整后执行。</w:t>
      </w:r>
    </w:p>
    <w:p w14:paraId="7FAA1DBE">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eastAsia="宋体" w:cs="Times New Roman"/>
          <w:sz w:val="28"/>
          <w:szCs w:val="28"/>
          <w:highlight w:val="none"/>
        </w:rPr>
      </w:pPr>
      <w:bookmarkStart w:id="62" w:name="_Toc6517"/>
      <w:bookmarkStart w:id="63" w:name="_Toc18372"/>
      <w:r>
        <w:rPr>
          <w:rFonts w:hint="eastAsia" w:ascii="Times New Roman" w:hAnsi="Times New Roman" w:eastAsia="宋体" w:cs="Times New Roman"/>
          <w:sz w:val="28"/>
          <w:szCs w:val="28"/>
          <w:highlight w:val="none"/>
        </w:rPr>
        <w:t>五、资格审查</w:t>
      </w:r>
      <w:bookmarkEnd w:id="62"/>
      <w:bookmarkEnd w:id="63"/>
    </w:p>
    <w:p w14:paraId="0AF9DD91">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25.资格审查</w:t>
      </w:r>
    </w:p>
    <w:p w14:paraId="049F85D4">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bCs/>
          <w:szCs w:val="20"/>
          <w:highlight w:val="none"/>
        </w:rPr>
      </w:pPr>
      <w:r>
        <w:rPr>
          <w:rFonts w:hint="eastAsia" w:ascii="宋体" w:hAnsi="宋体" w:eastAsia="宋体" w:cs="宋体"/>
          <w:b/>
          <w:bCs/>
          <w:szCs w:val="20"/>
          <w:highlight w:val="none"/>
        </w:rPr>
        <w:t>25.1开标结束后，采购人或采购机构依法通过电子投标文件对投标人的资格进行线上审查。</w:t>
      </w:r>
    </w:p>
    <w:p w14:paraId="236DB870">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bCs/>
          <w:szCs w:val="20"/>
          <w:highlight w:val="none"/>
        </w:rPr>
      </w:pPr>
      <w:r>
        <w:rPr>
          <w:rFonts w:hint="eastAsia" w:ascii="宋体" w:hAnsi="宋体" w:eastAsia="宋体" w:cs="宋体"/>
          <w:b/>
          <w:bCs/>
          <w:szCs w:val="20"/>
          <w:highlight w:val="none"/>
        </w:rPr>
        <w:t>25.2采购人或采购机构依据法律法规和招标文件的规定，对投标人的基本资格条件、特定资格条件进行审查。</w:t>
      </w:r>
    </w:p>
    <w:p w14:paraId="258D551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3B3C5B40">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bCs/>
          <w:szCs w:val="20"/>
          <w:highlight w:val="none"/>
        </w:rPr>
      </w:pPr>
      <w:r>
        <w:rPr>
          <w:rFonts w:hint="eastAsia" w:ascii="宋体" w:hAnsi="宋体" w:eastAsia="宋体" w:cs="宋体"/>
          <w:b/>
          <w:bCs/>
          <w:szCs w:val="20"/>
          <w:highlight w:val="none"/>
        </w:rPr>
        <w:t>25.4投标人有下列情形之一的，资格审查不通过，作无效投标处理：</w:t>
      </w:r>
    </w:p>
    <w:p w14:paraId="2B17668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（1）不具备招标文件中规定的资格要求的；（注：其中信用查询规则见“投标人须知前附表”，</w:t>
      </w:r>
      <w:r>
        <w:rPr>
          <w:rFonts w:hint="eastAsia" w:ascii="宋体" w:hAnsi="宋体" w:eastAsia="宋体" w:cs="宋体"/>
          <w:highlight w:val="none"/>
          <w:lang w:eastAsia="zh-CN"/>
        </w:rPr>
        <w:t>广西政府采购云平台</w:t>
      </w:r>
      <w:r>
        <w:rPr>
          <w:rFonts w:hint="eastAsia" w:ascii="宋体" w:hAnsi="宋体" w:eastAsia="宋体" w:cs="宋体"/>
          <w:highlight w:val="none"/>
        </w:rPr>
        <w:t>已与“信用中国”平台做接口，审查专家可直接在线查询）</w:t>
      </w:r>
    </w:p>
    <w:p w14:paraId="166DCFD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（2）投标文件未提供任一项“投标人须知前附表”资格证明文件规定的“必须提供”的文件资料的；</w:t>
      </w:r>
    </w:p>
    <w:p w14:paraId="3C59A6F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（3）投标文件提供的资格证明文件出现任一项不符合“投标人须知前附表”资格证明文件规定的“必须提供”的文件资料要求或者无效的。</w:t>
      </w:r>
    </w:p>
    <w:p w14:paraId="22EB5A9B">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25.5资格审查的合格投标人不足3家的，不得评标。</w:t>
      </w:r>
    </w:p>
    <w:p w14:paraId="75A2CFA0">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eastAsia="宋体" w:cs="Times New Roman"/>
          <w:sz w:val="28"/>
          <w:szCs w:val="28"/>
          <w:highlight w:val="none"/>
        </w:rPr>
      </w:pPr>
      <w:bookmarkStart w:id="64" w:name="_Toc7845"/>
      <w:bookmarkStart w:id="65" w:name="_Toc1690"/>
      <w:r>
        <w:rPr>
          <w:rFonts w:hint="eastAsia" w:ascii="Times New Roman" w:hAnsi="Times New Roman" w:eastAsia="宋体" w:cs="Times New Roman"/>
          <w:sz w:val="28"/>
          <w:szCs w:val="28"/>
          <w:highlight w:val="none"/>
        </w:rPr>
        <w:t>六、评   标</w:t>
      </w:r>
      <w:bookmarkEnd w:id="64"/>
      <w:bookmarkEnd w:id="65"/>
    </w:p>
    <w:p w14:paraId="457346BD">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26.组建评标委员会</w:t>
      </w:r>
    </w:p>
    <w:p w14:paraId="3A4014D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评标委员会由采购人代表和评审专家组成，人数为5人以上单数，其中评审专家不得少于成员总数的三分之二。</w:t>
      </w:r>
    </w:p>
    <w:p w14:paraId="28F29EA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参加过采购项目前期咨询论证的专家，不得参加该采购项目的评审活动。</w:t>
      </w:r>
    </w:p>
    <w:p w14:paraId="08ED41A3">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27.评标的依据</w:t>
      </w:r>
    </w:p>
    <w:p w14:paraId="64003F0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评标委员会以招标文件为依据对投标文件进行评审，“第四章 评标方法和评标标准”没有规定的方法、评审因素和标准，不作为评标依据。</w:t>
      </w:r>
    </w:p>
    <w:p w14:paraId="1C91E82F">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28.评标原则</w:t>
      </w:r>
    </w:p>
    <w:p w14:paraId="78EE15EA">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0E46A14">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06A3278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1163F8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28.4评标过程的监控。本项目电子评标过程实行网上留痕、全程录音、录像监控，投标人在评标过程中所进行的试图影响评标结果的不公正活动，可能导致其投标按无效处理。</w:t>
      </w:r>
    </w:p>
    <w:p w14:paraId="47CCB42C">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29.评标方法及评标标准</w:t>
      </w:r>
    </w:p>
    <w:p w14:paraId="786A2E1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29.1本项目的评标方法详见“投标人须知前附表”。</w:t>
      </w:r>
    </w:p>
    <w:p w14:paraId="203AB1D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29.2评标委员会按照</w:t>
      </w:r>
      <w:r>
        <w:rPr>
          <w:rFonts w:hint="eastAsia" w:ascii="宋体" w:hAnsi="宋体" w:eastAsia="宋体" w:cs="宋体"/>
          <w:b/>
          <w:highlight w:val="none"/>
        </w:rPr>
        <w:t>“第四章 评标方法和评标标准”</w:t>
      </w:r>
      <w:r>
        <w:rPr>
          <w:rFonts w:hint="eastAsia" w:ascii="宋体" w:hAnsi="宋体" w:eastAsia="宋体" w:cs="宋体"/>
          <w:highlight w:val="none"/>
        </w:rPr>
        <w:t>规定的方法、评审因素、标准和程序对投标文件进行评审。</w:t>
      </w:r>
    </w:p>
    <w:p w14:paraId="57401CF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29.3电子交易活动的中止。采购过程中出现以下情形，导致电子交易平台无法正常运行，或者无法保证电子交易的公平、公正和安全时，采购机构可中止电子交易活动：</w:t>
      </w:r>
    </w:p>
    <w:p w14:paraId="2193740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（1）电子交易平台发生故障而无法登录访问的</w:t>
      </w:r>
      <w:r>
        <w:rPr>
          <w:rFonts w:hint="eastAsia" w:ascii="宋体" w:hAnsi="宋体" w:eastAsia="宋体" w:cs="宋体"/>
          <w:highlight w:val="none"/>
          <w:lang w:eastAsia="zh-CN"/>
        </w:rPr>
        <w:t>；</w:t>
      </w:r>
    </w:p>
    <w:p w14:paraId="2A6063F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（2）电子交易平台应用或数据库出现错误，不能进行正常操作的；</w:t>
      </w:r>
    </w:p>
    <w:p w14:paraId="16B10D94">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（3）电子交易平台发现严重安全漏洞，有潜在泄密危险的；</w:t>
      </w:r>
    </w:p>
    <w:p w14:paraId="59A485B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（4）病毒发作导致不能进行正常操作的</w:t>
      </w:r>
      <w:r>
        <w:rPr>
          <w:rFonts w:hint="eastAsia" w:ascii="宋体" w:hAnsi="宋体" w:eastAsia="宋体" w:cs="宋体"/>
          <w:highlight w:val="none"/>
          <w:lang w:eastAsia="zh-CN"/>
        </w:rPr>
        <w:t>；</w:t>
      </w:r>
    </w:p>
    <w:p w14:paraId="37355E64">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（4）其他无法保证电子交易的公平、公正和安全的情况。</w:t>
      </w:r>
    </w:p>
    <w:p w14:paraId="7D3C270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34380A">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eastAsia="宋体" w:cs="Times New Roman"/>
          <w:sz w:val="28"/>
          <w:szCs w:val="28"/>
          <w:highlight w:val="none"/>
        </w:rPr>
      </w:pPr>
      <w:bookmarkStart w:id="66" w:name="_Toc3865"/>
      <w:bookmarkStart w:id="67" w:name="_Toc25724"/>
      <w:r>
        <w:rPr>
          <w:rFonts w:hint="eastAsia" w:ascii="Times New Roman" w:hAnsi="Times New Roman" w:eastAsia="宋体" w:cs="Times New Roman"/>
          <w:sz w:val="28"/>
          <w:szCs w:val="28"/>
          <w:highlight w:val="none"/>
        </w:rPr>
        <w:t>七、中标和合同</w:t>
      </w:r>
      <w:bookmarkEnd w:id="66"/>
      <w:bookmarkEnd w:id="67"/>
    </w:p>
    <w:p w14:paraId="4950C805">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30.确定中标人</w:t>
      </w:r>
    </w:p>
    <w:p w14:paraId="40564C13">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bCs/>
          <w:szCs w:val="21"/>
          <w:highlight w:val="none"/>
        </w:rPr>
      </w:pPr>
      <w:r>
        <w:rPr>
          <w:rFonts w:hint="eastAsia" w:ascii="宋体" w:hAnsi="宋体" w:eastAsia="宋体" w:cs="宋体"/>
          <w:b/>
          <w:bCs/>
          <w:szCs w:val="21"/>
          <w:highlight w:val="none"/>
        </w:rPr>
        <w:t>30.1本项目授权评标委员会直接按第四章“评标方法及标准”的规定排列中标候选人顺序，并依照次序确定中标人。</w:t>
      </w:r>
    </w:p>
    <w:p w14:paraId="59428E0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37D996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30.3</w:t>
      </w:r>
      <w:r>
        <w:rPr>
          <w:rFonts w:hint="eastAsia" w:ascii="宋体" w:hAnsi="宋体" w:cs="宋体"/>
          <w:szCs w:val="21"/>
          <w:highlight w:val="none"/>
          <w:lang w:eastAsia="zh-CN"/>
        </w:rPr>
        <w:t>中标人</w:t>
      </w:r>
      <w:r>
        <w:rPr>
          <w:rFonts w:hint="eastAsia" w:ascii="宋体" w:hAnsi="宋体" w:eastAsia="宋体" w:cs="宋体"/>
          <w:szCs w:val="21"/>
          <w:highlight w:val="none"/>
        </w:rPr>
        <w:t>无正当理由拒签合同的，根据《中华人民共和国政府采购法》第七十七条第一款规定处理。</w:t>
      </w:r>
    </w:p>
    <w:p w14:paraId="02E4BD2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30.4根据《中华人民共和国民法典》</w:t>
      </w:r>
      <w:r>
        <w:rPr>
          <w:rFonts w:hint="eastAsia" w:ascii="宋体" w:hAnsi="宋体" w:eastAsia="宋体" w:cs="宋体"/>
          <w:sz w:val="19"/>
          <w:szCs w:val="19"/>
          <w:highlight w:val="none"/>
        </w:rPr>
        <w:t>第五百六十三条</w:t>
      </w:r>
      <w:r>
        <w:rPr>
          <w:rFonts w:hint="eastAsia" w:ascii="宋体" w:hAnsi="宋体" w:eastAsia="宋体" w:cs="宋体"/>
          <w:szCs w:val="21"/>
          <w:highlight w:val="none"/>
        </w:rPr>
        <w:t>，因不可抗力致使不能实现合同目的的，当事人可以解除合同。</w:t>
      </w:r>
    </w:p>
    <w:p w14:paraId="151EC17E">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31.结果公告</w:t>
      </w:r>
    </w:p>
    <w:p w14:paraId="083E270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szCs w:val="21"/>
          <w:highlight w:val="none"/>
        </w:rPr>
        <w:t>31.1</w:t>
      </w:r>
      <w:r>
        <w:rPr>
          <w:rFonts w:hint="eastAsia" w:ascii="宋体" w:hAnsi="宋体" w:eastAsia="宋体" w:cs="宋体"/>
          <w:highlight w:val="none"/>
        </w:rPr>
        <w:t>在</w:t>
      </w:r>
      <w:r>
        <w:rPr>
          <w:rFonts w:hint="eastAsia" w:ascii="宋体" w:hAnsi="宋体" w:cs="宋体"/>
          <w:highlight w:val="none"/>
          <w:lang w:eastAsia="zh-CN"/>
        </w:rPr>
        <w:t>中标人</w:t>
      </w:r>
      <w:r>
        <w:rPr>
          <w:rFonts w:hint="eastAsia" w:ascii="宋体" w:hAnsi="宋体" w:eastAsia="宋体" w:cs="宋体"/>
          <w:highlight w:val="none"/>
        </w:rPr>
        <w:t>确定之日起2个工作日内，由采购代理机构</w:t>
      </w:r>
      <w:r>
        <w:rPr>
          <w:rFonts w:hint="eastAsia" w:ascii="宋体" w:hAnsi="宋体" w:eastAsia="宋体" w:cs="宋体"/>
          <w:b/>
          <w:szCs w:val="21"/>
          <w:highlight w:val="none"/>
        </w:rPr>
        <w:t>在招标公告发布媒体上</w:t>
      </w:r>
      <w:r>
        <w:rPr>
          <w:rFonts w:hint="eastAsia" w:ascii="宋体" w:hAnsi="宋体" w:eastAsia="宋体" w:cs="宋体"/>
          <w:highlight w:val="none"/>
        </w:rPr>
        <w:t>发布中标结果公告，中标结果公告期限为1个工作日，发布中标结果公告的同时向</w:t>
      </w:r>
      <w:r>
        <w:rPr>
          <w:rFonts w:hint="eastAsia" w:ascii="宋体" w:hAnsi="宋体" w:cs="宋体"/>
          <w:highlight w:val="none"/>
          <w:lang w:eastAsia="zh-CN"/>
        </w:rPr>
        <w:t>中标人</w:t>
      </w:r>
      <w:r>
        <w:rPr>
          <w:rFonts w:hint="eastAsia" w:ascii="宋体" w:hAnsi="宋体" w:eastAsia="宋体" w:cs="宋体"/>
          <w:highlight w:val="none"/>
        </w:rPr>
        <w:t>发出中标通知书。</w:t>
      </w:r>
      <w:r>
        <w:rPr>
          <w:rFonts w:hint="eastAsia" w:ascii="宋体" w:hAnsi="宋体" w:eastAsia="宋体" w:cs="宋体"/>
          <w:b/>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szCs w:val="21"/>
          <w:highlight w:val="none"/>
        </w:rPr>
        <w:t>排名第二的中标候选人因前款规定的同样原因被取消中标资格的，授权的评标委员会可以确定排名第三的中标候选人为中标人，以此类推。</w:t>
      </w:r>
    </w:p>
    <w:p w14:paraId="77D4A80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以上信息查询记录及相关证据与采购文件一并保存。</w:t>
      </w:r>
    </w:p>
    <w:p w14:paraId="3B740CA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31.2中小企业在政府采购活动过程中，请根据企业的真实情况出具《中小（小微）企业声明函》。依法享受中小企业优惠政策的，采购人或者采购代理机构在公告中标结果时，同时公告其《中小（小微）企业声明函》，接受社会监督。</w:t>
      </w:r>
    </w:p>
    <w:p w14:paraId="14CF5CE2">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32.发出中标通知书</w:t>
      </w:r>
    </w:p>
    <w:p w14:paraId="6400A0BD">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32.1在发布中标公告的同时，采购代理机构向中标人通过</w:t>
      </w:r>
      <w:r>
        <w:rPr>
          <w:rFonts w:hint="eastAsia" w:ascii="宋体" w:hAnsi="宋体" w:eastAsia="宋体" w:cs="宋体"/>
          <w:b/>
          <w:szCs w:val="21"/>
          <w:highlight w:val="none"/>
          <w:lang w:eastAsia="zh-CN"/>
        </w:rPr>
        <w:t>广西政府采购云平台</w:t>
      </w:r>
      <w:r>
        <w:rPr>
          <w:rFonts w:hint="eastAsia" w:ascii="宋体" w:hAnsi="宋体" w:eastAsia="宋体" w:cs="宋体"/>
          <w:b/>
          <w:szCs w:val="21"/>
          <w:highlight w:val="none"/>
        </w:rPr>
        <w:t>发出电子中标通知书。</w:t>
      </w:r>
    </w:p>
    <w:p w14:paraId="3F52BA96">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32.2对未通过资格审查的投标人，采购人或采购机构应当告知其未通过的原因；采用综合评分办法评审的，采购人或采购机构还应当告知未中标人本人的评审得分与排序。</w:t>
      </w:r>
    </w:p>
    <w:p w14:paraId="668B6D4E">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33.无义务解释未中标原因</w:t>
      </w:r>
    </w:p>
    <w:p w14:paraId="47A7C575">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采购代理机构无义务向未中标的投标人解释未中标原因和退还投标文件。</w:t>
      </w:r>
    </w:p>
    <w:p w14:paraId="5C4C33EE">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34.合同授予标准</w:t>
      </w:r>
    </w:p>
    <w:p w14:paraId="0DF1AE3F">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合同将授予被确定实质上响应招标文件要求，具备履行合同能力的中标人（招标文件另有约定多名中标人的除外）。</w:t>
      </w:r>
    </w:p>
    <w:p w14:paraId="564A76D8">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35.履约保证金</w:t>
      </w:r>
    </w:p>
    <w:p w14:paraId="33D5CE6C">
      <w:pPr>
        <w:pStyle w:val="215"/>
        <w:pageBreakBefore w:val="0"/>
        <w:widowControl w:val="0"/>
        <w:kinsoku/>
        <w:wordWrap/>
        <w:overflowPunct/>
        <w:topLinePunct w:val="0"/>
        <w:bidi w:val="0"/>
        <w:snapToGrid w:val="0"/>
        <w:spacing w:before="0" w:line="400" w:lineRule="exact"/>
        <w:ind w:firstLine="420"/>
        <w:textAlignment w:val="auto"/>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见“投标人须知前附表”。</w:t>
      </w:r>
    </w:p>
    <w:p w14:paraId="30A3CA48">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36.签订合同</w:t>
      </w:r>
    </w:p>
    <w:p w14:paraId="78510A6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36.1</w:t>
      </w:r>
      <w:r>
        <w:rPr>
          <w:rFonts w:hint="eastAsia" w:ascii="宋体" w:hAnsi="宋体" w:eastAsia="宋体" w:cs="宋体"/>
          <w:b/>
          <w:szCs w:val="21"/>
          <w:highlight w:val="none"/>
        </w:rPr>
        <w:t>中标人领取电子中标通知书后</w:t>
      </w:r>
      <w:r>
        <w:rPr>
          <w:rFonts w:hint="eastAsia" w:ascii="宋体" w:hAnsi="宋体" w:eastAsia="宋体" w:cs="宋体"/>
          <w:szCs w:val="21"/>
          <w:highlight w:val="none"/>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76A678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36.2采购合同由采购人与</w:t>
      </w:r>
      <w:r>
        <w:rPr>
          <w:rFonts w:hint="eastAsia" w:ascii="宋体" w:hAnsi="宋体" w:cs="宋体"/>
          <w:szCs w:val="21"/>
          <w:highlight w:val="none"/>
          <w:lang w:eastAsia="zh-CN"/>
        </w:rPr>
        <w:t>中标人</w:t>
      </w:r>
      <w:r>
        <w:rPr>
          <w:rFonts w:hint="eastAsia" w:ascii="宋体" w:hAnsi="宋体" w:eastAsia="宋体" w:cs="宋体"/>
          <w:szCs w:val="21"/>
          <w:highlight w:val="none"/>
        </w:rPr>
        <w:t>根据招标文件、投标文件等内容通过政府采购电子交易平台在线签订，自动备案。</w:t>
      </w:r>
    </w:p>
    <w:p w14:paraId="2727FCA1">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36.3签订合同时间：按中标通知书规定的时间与采购人签订合同（最长不能超过25日）。</w:t>
      </w:r>
    </w:p>
    <w:p w14:paraId="164C920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36.4中标人拒绝与采购人签订合同的，采购人可以按照评审报告推荐的中标候选人名单排序，确定下一候选人为中标人，也可以重新开展政府采购活动。如采购人无正当理由拒签合同的，给</w:t>
      </w:r>
      <w:r>
        <w:rPr>
          <w:rFonts w:hint="eastAsia" w:ascii="宋体" w:hAnsi="宋体" w:cs="宋体"/>
          <w:szCs w:val="21"/>
          <w:highlight w:val="none"/>
          <w:lang w:eastAsia="zh-CN"/>
        </w:rPr>
        <w:t>中标人</w:t>
      </w:r>
      <w:r>
        <w:rPr>
          <w:rFonts w:hint="eastAsia" w:ascii="宋体" w:hAnsi="宋体" w:eastAsia="宋体" w:cs="宋体"/>
          <w:szCs w:val="21"/>
          <w:highlight w:val="none"/>
        </w:rPr>
        <w:t>造成损失的，</w:t>
      </w:r>
      <w:r>
        <w:rPr>
          <w:rFonts w:hint="eastAsia" w:ascii="宋体" w:hAnsi="宋体" w:cs="宋体"/>
          <w:szCs w:val="21"/>
          <w:highlight w:val="none"/>
          <w:lang w:eastAsia="zh-CN"/>
        </w:rPr>
        <w:t>中标人</w:t>
      </w:r>
      <w:r>
        <w:rPr>
          <w:rFonts w:hint="eastAsia" w:ascii="宋体" w:hAnsi="宋体" w:eastAsia="宋体" w:cs="宋体"/>
          <w:szCs w:val="21"/>
          <w:highlight w:val="none"/>
        </w:rPr>
        <w:t>可追究采购人承担相应的法律责任。</w:t>
      </w:r>
    </w:p>
    <w:p w14:paraId="3AC2934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36.5政府采购合同是政府采购项目验收的依据，</w:t>
      </w:r>
      <w:r>
        <w:rPr>
          <w:rFonts w:hint="eastAsia" w:ascii="宋体" w:hAnsi="宋体" w:cs="宋体"/>
          <w:szCs w:val="21"/>
          <w:highlight w:val="none"/>
          <w:lang w:eastAsia="zh-CN"/>
        </w:rPr>
        <w:t>中标人</w:t>
      </w:r>
      <w:r>
        <w:rPr>
          <w:rFonts w:hint="eastAsia" w:ascii="宋体" w:hAnsi="宋体" w:eastAsia="宋体" w:cs="宋体"/>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BC1BC5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36.6采购人或</w:t>
      </w:r>
      <w:r>
        <w:rPr>
          <w:rFonts w:hint="eastAsia" w:ascii="宋体" w:hAnsi="宋体" w:cs="宋体"/>
          <w:szCs w:val="21"/>
          <w:highlight w:val="none"/>
          <w:lang w:eastAsia="zh-CN"/>
        </w:rPr>
        <w:t>中标人</w:t>
      </w:r>
      <w:r>
        <w:rPr>
          <w:rFonts w:hint="eastAsia" w:ascii="宋体" w:hAnsi="宋体" w:eastAsia="宋体" w:cs="宋体"/>
          <w:szCs w:val="21"/>
          <w:highlight w:val="none"/>
        </w:rPr>
        <w:t>不得单方面向合同另一方提出任何招标文件没有约定的条件或不合理的要求，作为签订合同的条件；也不得协商另行订立背离招标文件和合同实质性内容的协议。</w:t>
      </w:r>
    </w:p>
    <w:p w14:paraId="37FB4E0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36.7如签订合同并生效后，供应商无故拒绝或延期，除按照合同条款处理外，将承担相应的法律责任。</w:t>
      </w:r>
    </w:p>
    <w:p w14:paraId="1F3A7860">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36.8采购人需追加与合同标的相同的货物或者服务的，在不改变原合同条款且已报财政部门批准落实资金的前提下，可从原</w:t>
      </w:r>
      <w:r>
        <w:rPr>
          <w:rFonts w:hint="eastAsia" w:ascii="宋体" w:hAnsi="宋体" w:cs="宋体"/>
          <w:b/>
          <w:szCs w:val="21"/>
          <w:highlight w:val="none"/>
          <w:lang w:eastAsia="zh-CN"/>
        </w:rPr>
        <w:t>中标人</w:t>
      </w:r>
      <w:r>
        <w:rPr>
          <w:rFonts w:hint="eastAsia" w:ascii="宋体" w:hAnsi="宋体" w:eastAsia="宋体" w:cs="宋体"/>
          <w:b/>
          <w:szCs w:val="21"/>
          <w:highlight w:val="none"/>
        </w:rPr>
        <w:t>处添购</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所签订的补充添置合同的采购资金总额不超过原采购合同金额的10%。</w:t>
      </w:r>
    </w:p>
    <w:p w14:paraId="369456E6">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37.政府采购合同公告</w:t>
      </w:r>
    </w:p>
    <w:p w14:paraId="3A7F4B37">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采购人或者受托采购代理机构应当自政府采购合同签订之日起2个工作日内，将政府采购合同</w:t>
      </w:r>
      <w:r>
        <w:rPr>
          <w:rFonts w:hint="eastAsia" w:ascii="宋体" w:hAnsi="宋体" w:eastAsia="宋体" w:cs="宋体"/>
          <w:bCs/>
          <w:highlight w:val="none"/>
        </w:rPr>
        <w:t>在以下媒体上发布</w:t>
      </w:r>
      <w:r>
        <w:rPr>
          <w:rFonts w:hint="eastAsia" w:ascii="宋体" w:hAnsi="宋体" w:eastAsia="宋体" w:cs="宋体"/>
          <w:kern w:val="0"/>
          <w:szCs w:val="21"/>
          <w:highlight w:val="none"/>
        </w:rPr>
        <w:t>“广西政府采购网”（http</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//zfcg.gxzf.gov.cn）</w:t>
      </w:r>
      <w:r>
        <w:rPr>
          <w:rFonts w:hint="eastAsia" w:ascii="宋体" w:hAnsi="宋体" w:eastAsia="宋体" w:cs="宋体"/>
          <w:highlight w:val="none"/>
        </w:rPr>
        <w:t>上公告，但政府采购合同中涉及国家秘密、商业秘密的内容除外。</w:t>
      </w:r>
    </w:p>
    <w:p w14:paraId="1DE210AB">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38.询问、质疑和投诉</w:t>
      </w:r>
    </w:p>
    <w:p w14:paraId="594994DB">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38.1询问</w:t>
      </w:r>
    </w:p>
    <w:p w14:paraId="056BA9F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38.1.1供应商在开标前对政府采购活动事项有疑问的，可以向采购人或采购代理机构项目负责人提出询问。</w:t>
      </w:r>
    </w:p>
    <w:p w14:paraId="2B688A1F">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38.1.2采购人或采购人委托的采购代理机构自受理询问之日起3个工作日内对供应商依法提出的询问作出答复，</w:t>
      </w:r>
      <w:r>
        <w:rPr>
          <w:rFonts w:hint="eastAsia" w:ascii="宋体" w:hAnsi="宋体" w:eastAsia="宋体" w:cs="宋体"/>
          <w:highlight w:val="none"/>
        </w:rPr>
        <w:t>但答复内容不得涉及商业秘密</w:t>
      </w:r>
      <w:r>
        <w:rPr>
          <w:rFonts w:hint="eastAsia" w:ascii="宋体" w:hAnsi="宋体" w:eastAsia="宋体" w:cs="宋体"/>
          <w:bCs/>
          <w:szCs w:val="21"/>
          <w:highlight w:val="none"/>
        </w:rPr>
        <w:t>。</w:t>
      </w:r>
    </w:p>
    <w:p w14:paraId="7FF7815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bCs/>
          <w:szCs w:val="21"/>
          <w:highlight w:val="none"/>
        </w:rPr>
        <w:t>38.1.3询问事项可能影响中标、成交结果的，采购人应当暂停签订合同，已经签订合同的，应当中止履行合同。</w:t>
      </w:r>
    </w:p>
    <w:p w14:paraId="5CAB75F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38.2质疑</w:t>
      </w:r>
    </w:p>
    <w:p w14:paraId="099550C4">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
          <w:szCs w:val="21"/>
          <w:highlight w:val="none"/>
          <w:lang w:eastAsia="zh-CN"/>
        </w:rPr>
      </w:pPr>
      <w:r>
        <w:rPr>
          <w:rFonts w:hint="eastAsia" w:ascii="宋体" w:hAnsi="宋体" w:eastAsia="宋体" w:cs="宋体"/>
          <w:szCs w:val="21"/>
          <w:highlight w:val="none"/>
        </w:rPr>
        <w:t>38.2.1</w:t>
      </w:r>
      <w:r>
        <w:rPr>
          <w:rFonts w:hint="eastAsia" w:ascii="宋体" w:hAnsi="宋体" w:eastAsia="宋体" w:cs="宋体"/>
          <w:b/>
          <w:szCs w:val="21"/>
          <w:highlight w:val="none"/>
        </w:rPr>
        <w:t>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r>
        <w:rPr>
          <w:rFonts w:hint="eastAsia" w:ascii="宋体" w:hAnsi="宋体" w:eastAsia="宋体" w:cs="宋体"/>
          <w:b/>
          <w:szCs w:val="21"/>
          <w:highlight w:val="none"/>
          <w:lang w:eastAsia="zh-CN"/>
        </w:rPr>
        <w:t>：</w:t>
      </w:r>
    </w:p>
    <w:p w14:paraId="697B2D3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highlight w:val="none"/>
        </w:rPr>
        <w:t>委托代理协议无特殊约定的，</w:t>
      </w:r>
      <w:r>
        <w:rPr>
          <w:rFonts w:hint="eastAsia" w:ascii="宋体" w:hAnsi="宋体" w:eastAsia="宋体" w:cs="宋体"/>
          <w:bCs/>
          <w:highlight w:val="none"/>
        </w:rPr>
        <w:t>对公开招标文件中采购需求（含资格要求、采购预算和评分办法）的质疑由采购人受理并负责答复；对公开招标文件中的采购执行程序的质疑由采购代理机构受理并负责答复。</w:t>
      </w:r>
    </w:p>
    <w:p w14:paraId="6B63AE4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1FBEAF6">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（3）供应商认为中标或者成交结果使自己的权益受到损害的，应当在中标或者成交结果公告期限届满之日起7个工作日内提出质疑，由采购人受理并负责答复。</w:t>
      </w:r>
    </w:p>
    <w:p w14:paraId="45D9EB55">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Cs/>
          <w:szCs w:val="21"/>
          <w:highlight w:val="none"/>
        </w:rPr>
      </w:pPr>
      <w:r>
        <w:rPr>
          <w:rFonts w:hint="eastAsia" w:ascii="宋体" w:hAnsi="宋体" w:eastAsia="宋体" w:cs="宋体"/>
          <w:b/>
          <w:bCs/>
          <w:szCs w:val="21"/>
          <w:highlight w:val="none"/>
        </w:rPr>
        <w:t>38.2.2</w:t>
      </w:r>
      <w:r>
        <w:rPr>
          <w:rFonts w:hint="eastAsia" w:ascii="宋体" w:hAnsi="宋体" w:eastAsia="宋体" w:cs="宋体"/>
          <w:bCs/>
          <w:szCs w:val="21"/>
          <w:highlight w:val="none"/>
        </w:rPr>
        <w:t>供应商质疑实行实名制，其质疑应当有具体的质疑事项及事实根据，质疑应当坚持依法依规、诚实信用原则，不得进行虚假、恶意质疑。</w:t>
      </w:r>
    </w:p>
    <w:p w14:paraId="60B9E1FC">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Cs/>
          <w:highlight w:val="none"/>
        </w:rPr>
      </w:pPr>
      <w:r>
        <w:rPr>
          <w:rFonts w:hint="eastAsia" w:ascii="宋体" w:hAnsi="宋体" w:eastAsia="宋体" w:cs="宋体"/>
          <w:b/>
          <w:bCs/>
          <w:highlight w:val="none"/>
        </w:rPr>
        <w:t>38.2.3</w:t>
      </w:r>
      <w:r>
        <w:rPr>
          <w:rFonts w:hint="eastAsia" w:ascii="宋体" w:hAnsi="宋体" w:eastAsia="宋体" w:cs="宋体"/>
          <w:bCs/>
          <w:highlight w:val="none"/>
        </w:rPr>
        <w:t>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highlight w:val="none"/>
        </w:rPr>
        <w:t>。</w:t>
      </w:r>
    </w:p>
    <w:p w14:paraId="673DD53A">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bCs/>
          <w:highlight w:val="none"/>
        </w:rPr>
      </w:pPr>
      <w:r>
        <w:rPr>
          <w:rFonts w:hint="eastAsia" w:ascii="宋体" w:hAnsi="宋体" w:eastAsia="宋体" w:cs="宋体"/>
          <w:b/>
          <w:bCs/>
          <w:highlight w:val="none"/>
        </w:rPr>
        <w:t>38.2.4质疑供应商提起质疑应当符合下列条件：</w:t>
      </w:r>
    </w:p>
    <w:p w14:paraId="08ABE437">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（1）质疑供应商是参与所质疑</w:t>
      </w:r>
      <w:r>
        <w:rPr>
          <w:rFonts w:hint="eastAsia" w:ascii="宋体" w:hAnsi="宋体" w:eastAsia="宋体" w:cs="宋体"/>
          <w:bCs/>
          <w:szCs w:val="21"/>
          <w:highlight w:val="none"/>
        </w:rPr>
        <w:t>项目</w:t>
      </w:r>
      <w:r>
        <w:rPr>
          <w:rFonts w:hint="eastAsia" w:ascii="宋体" w:hAnsi="宋体" w:eastAsia="宋体" w:cs="宋体"/>
          <w:bCs/>
          <w:highlight w:val="none"/>
        </w:rPr>
        <w:t>采购活动的供应商（潜在供应商已依法获取可之一的采购文件的，可以对该采购文件质疑）；</w:t>
      </w:r>
    </w:p>
    <w:p w14:paraId="799ECC1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（2）质疑函内容符合本章第38.2.5项的规定；</w:t>
      </w:r>
    </w:p>
    <w:p w14:paraId="2DD640AA">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（3）在质疑有效期限内提起质疑；</w:t>
      </w:r>
    </w:p>
    <w:p w14:paraId="08C4D50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（4）属于所质疑的采购人或采购人委托的采购代理机构组织的采购活动；</w:t>
      </w:r>
    </w:p>
    <w:p w14:paraId="347EC97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lang w:eastAsia="zh-CN"/>
        </w:rPr>
      </w:pPr>
      <w:r>
        <w:rPr>
          <w:rFonts w:hint="eastAsia" w:ascii="宋体" w:hAnsi="宋体" w:eastAsia="宋体" w:cs="宋体"/>
          <w:bCs/>
          <w:highlight w:val="none"/>
        </w:rPr>
        <w:t>（5）同一质疑事项未经采购人或采购人委托的采购代理机构质疑处理</w:t>
      </w:r>
      <w:r>
        <w:rPr>
          <w:rFonts w:hint="eastAsia" w:ascii="宋体" w:hAnsi="宋体" w:eastAsia="宋体" w:cs="宋体"/>
          <w:bCs/>
          <w:highlight w:val="none"/>
          <w:lang w:eastAsia="zh-CN"/>
        </w:rPr>
        <w:t>；</w:t>
      </w:r>
    </w:p>
    <w:p w14:paraId="5360FD4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（6）供应商对同一采购程序环节的质疑应当在质疑有效期内一次性提出；</w:t>
      </w:r>
    </w:p>
    <w:p w14:paraId="716BF83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（7）供应商提交质疑应当提交必要的证明材料，证明材料应以合法手段取得；</w:t>
      </w:r>
    </w:p>
    <w:p w14:paraId="3E1ABD98">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bCs/>
          <w:highlight w:val="none"/>
        </w:rPr>
        <w:t>（8）财政部门规定的其他条件。</w:t>
      </w:r>
    </w:p>
    <w:p w14:paraId="1921E4A9">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
          <w:szCs w:val="21"/>
          <w:highlight w:val="none"/>
        </w:rPr>
      </w:pPr>
      <w:bookmarkStart w:id="68" w:name="_9.2质疑、投诉应当采用书面形式，质疑函、投诉书均应明确阐述招标文件、"/>
      <w:bookmarkEnd w:id="68"/>
      <w:r>
        <w:rPr>
          <w:rFonts w:hint="eastAsia" w:ascii="宋体" w:hAnsi="宋体" w:eastAsia="宋体" w:cs="宋体"/>
          <w:szCs w:val="21"/>
          <w:highlight w:val="none"/>
        </w:rPr>
        <w:t>38.2.5</w:t>
      </w:r>
      <w:r>
        <w:rPr>
          <w:rFonts w:hint="eastAsia" w:ascii="宋体" w:hAnsi="宋体" w:eastAsia="宋体" w:cs="宋体"/>
          <w:bCs/>
          <w:highlight w:val="none"/>
        </w:rPr>
        <w:t>供应商提出质疑应当提交质疑函和必要的证明材料，针对同一采购程序环节的质疑必须在法定质疑期内一次性提出。质疑函应当包括下列内容（质疑函格式后附）：</w:t>
      </w:r>
    </w:p>
    <w:p w14:paraId="2C735A04">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（1）供应商的姓名或者名称、地址、邮编、联系人及联系电话；</w:t>
      </w:r>
    </w:p>
    <w:p w14:paraId="38805A24">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（2）质疑项目的名称、编号；</w:t>
      </w:r>
    </w:p>
    <w:p w14:paraId="01A80DD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（3）具体、明确的质疑事项和与质疑事项相关的请求；</w:t>
      </w:r>
    </w:p>
    <w:p w14:paraId="7C55B54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（4）事实依据（列明权益受到损害的事实和理由）；</w:t>
      </w:r>
    </w:p>
    <w:p w14:paraId="68CF0CF5">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（5）必要的法律依据；</w:t>
      </w:r>
    </w:p>
    <w:p w14:paraId="5E6695E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（6）提出质疑的日期。</w:t>
      </w:r>
    </w:p>
    <w:p w14:paraId="2AF8091C">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供应商为自然人的，应当由本人签字；供应商为法人或者其他组织的，应当由法定代表人、主要负责人，或者其委托代理人签字或者盖章，并加盖公章。</w:t>
      </w:r>
    </w:p>
    <w:p w14:paraId="4DB1F2F4">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0"/>
          <w:highlight w:val="none"/>
        </w:rPr>
      </w:pPr>
      <w:r>
        <w:rPr>
          <w:rFonts w:hint="eastAsia" w:ascii="宋体" w:hAnsi="宋体" w:eastAsia="宋体" w:cs="宋体"/>
          <w:b/>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6DE8A1D3">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szCs w:val="21"/>
          <w:highlight w:val="none"/>
        </w:rPr>
      </w:pPr>
      <w:r>
        <w:rPr>
          <w:rFonts w:hint="eastAsia" w:ascii="宋体" w:hAnsi="宋体" w:eastAsia="宋体" w:cs="宋体"/>
          <w:szCs w:val="21"/>
          <w:highlight w:val="none"/>
        </w:rPr>
        <w:t>3</w:t>
      </w:r>
      <w:r>
        <w:rPr>
          <w:rFonts w:hint="eastAsia" w:ascii="宋体" w:hAnsi="宋体" w:eastAsia="宋体" w:cs="宋体"/>
          <w:bCs/>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76FCE02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（一）对招标文件提出的质疑，依法通过澄清或者修改可以继续开展采购活动的，澄清或者修改招标文件后继续开展采购活动；否则应当修改招标文件后重新开展采购活动。</w:t>
      </w:r>
    </w:p>
    <w:p w14:paraId="10F09E1A">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（二）对采购过程、中标结果提出的质疑，合格供应商符合法定数量时，可以从合格的中标候选人中另行确定</w:t>
      </w:r>
      <w:r>
        <w:rPr>
          <w:rFonts w:hint="eastAsia" w:ascii="宋体" w:hAnsi="宋体" w:cs="宋体"/>
          <w:bCs/>
          <w:highlight w:val="none"/>
          <w:lang w:eastAsia="zh-CN"/>
        </w:rPr>
        <w:t>中标人</w:t>
      </w:r>
      <w:r>
        <w:rPr>
          <w:rFonts w:hint="eastAsia" w:ascii="宋体" w:hAnsi="宋体" w:eastAsia="宋体" w:cs="宋体"/>
          <w:bCs/>
          <w:highlight w:val="none"/>
        </w:rPr>
        <w:t>的，应当依法另行确定</w:t>
      </w:r>
      <w:r>
        <w:rPr>
          <w:rFonts w:hint="eastAsia" w:ascii="宋体" w:hAnsi="宋体" w:cs="宋体"/>
          <w:bCs/>
          <w:highlight w:val="none"/>
          <w:lang w:eastAsia="zh-CN"/>
        </w:rPr>
        <w:t>中标人</w:t>
      </w:r>
      <w:r>
        <w:rPr>
          <w:rFonts w:hint="eastAsia" w:ascii="宋体" w:hAnsi="宋体" w:eastAsia="宋体" w:cs="宋体"/>
          <w:bCs/>
          <w:highlight w:val="none"/>
        </w:rPr>
        <w:t>；否则应当重新开展采购活动。</w:t>
      </w:r>
    </w:p>
    <w:p w14:paraId="539370BB">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质疑答复导致中标结果改变的，采购人或者采购代理机构应当将有关情况书面报告本级财政部门。</w:t>
      </w:r>
    </w:p>
    <w:p w14:paraId="463C223A">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highlight w:val="none"/>
        </w:rPr>
      </w:pPr>
      <w:r>
        <w:rPr>
          <w:rFonts w:hint="eastAsia" w:ascii="宋体" w:hAnsi="宋体" w:eastAsia="宋体" w:cs="宋体"/>
          <w:b/>
          <w:highlight w:val="none"/>
        </w:rPr>
        <w:t>38.3投诉</w:t>
      </w:r>
    </w:p>
    <w:p w14:paraId="07036BF9">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Cs/>
          <w:highlight w:val="none"/>
        </w:rPr>
      </w:pPr>
      <w:r>
        <w:rPr>
          <w:rFonts w:hint="eastAsia" w:ascii="宋体" w:hAnsi="宋体" w:eastAsia="宋体" w:cs="宋体"/>
          <w:b/>
          <w:highlight w:val="none"/>
        </w:rPr>
        <w:t>38.3</w:t>
      </w:r>
      <w:r>
        <w:rPr>
          <w:rFonts w:hint="eastAsia" w:ascii="宋体" w:hAnsi="宋体" w:eastAsia="宋体" w:cs="宋体"/>
          <w:bCs/>
          <w:highlight w:val="none"/>
        </w:rPr>
        <w:t>.</w:t>
      </w:r>
      <w:r>
        <w:rPr>
          <w:rFonts w:hint="eastAsia" w:ascii="宋体" w:hAnsi="宋体" w:eastAsia="宋体" w:cs="宋体"/>
          <w:b/>
          <w:bCs/>
          <w:highlight w:val="none"/>
        </w:rPr>
        <w:t>1</w:t>
      </w:r>
      <w:r>
        <w:rPr>
          <w:rFonts w:hint="eastAsia" w:ascii="宋体" w:hAnsi="宋体" w:eastAsia="宋体" w:cs="宋体"/>
          <w:bCs/>
          <w:highlight w:val="none"/>
        </w:rPr>
        <w:t>供应商认为采购文件、采购过程、中标和成交结果使自己的合法权益受到损害的，应当首先依法向采购人或采购人委托的</w:t>
      </w:r>
      <w:r>
        <w:rPr>
          <w:rFonts w:hint="eastAsia" w:ascii="宋体" w:hAnsi="宋体" w:eastAsia="宋体" w:cs="宋体"/>
          <w:highlight w:val="none"/>
        </w:rPr>
        <w:t>采购代理机构</w:t>
      </w:r>
      <w:r>
        <w:rPr>
          <w:rFonts w:hint="eastAsia" w:ascii="宋体" w:hAnsi="宋体" w:eastAsia="宋体" w:cs="宋体"/>
          <w:bCs/>
          <w:highlight w:val="none"/>
        </w:rPr>
        <w:t>提出质疑。对采购人、</w:t>
      </w:r>
      <w:r>
        <w:rPr>
          <w:rFonts w:hint="eastAsia" w:ascii="宋体" w:hAnsi="宋体" w:eastAsia="宋体" w:cs="宋体"/>
          <w:highlight w:val="none"/>
        </w:rPr>
        <w:t>采购代理机构</w:t>
      </w:r>
      <w:r>
        <w:rPr>
          <w:rFonts w:hint="eastAsia" w:ascii="宋体" w:hAnsi="宋体" w:eastAsia="宋体" w:cs="宋体"/>
          <w:bCs/>
          <w:highlight w:val="none"/>
        </w:rPr>
        <w:t>的答复不满意，或者采购人、</w:t>
      </w:r>
      <w:r>
        <w:rPr>
          <w:rFonts w:hint="eastAsia" w:ascii="宋体" w:hAnsi="宋体" w:eastAsia="宋体" w:cs="宋体"/>
          <w:highlight w:val="none"/>
        </w:rPr>
        <w:t>采购代理机构</w:t>
      </w:r>
      <w:r>
        <w:rPr>
          <w:rFonts w:hint="eastAsia" w:ascii="宋体" w:hAnsi="宋体" w:eastAsia="宋体" w:cs="宋体"/>
          <w:bCs/>
          <w:highlight w:val="none"/>
        </w:rPr>
        <w:t>未在规定期限内做出答复的，供应商可以在答复期满后15个工作日内向广西壮族自治区本级政府采购监督管理部门提起投诉。</w:t>
      </w:r>
    </w:p>
    <w:p w14:paraId="7C3513CF">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Cs/>
          <w:highlight w:val="none"/>
        </w:rPr>
      </w:pPr>
      <w:r>
        <w:rPr>
          <w:rFonts w:hint="eastAsia" w:ascii="宋体" w:hAnsi="宋体" w:eastAsia="宋体" w:cs="宋体"/>
          <w:b/>
          <w:highlight w:val="none"/>
        </w:rPr>
        <w:t>38.3.2</w:t>
      </w:r>
      <w:r>
        <w:rPr>
          <w:rFonts w:hint="eastAsia" w:ascii="宋体" w:hAnsi="宋体" w:eastAsia="宋体" w:cs="宋体"/>
          <w:highlight w:val="none"/>
        </w:rPr>
        <w:t>投诉人投诉时，应当提交投诉书，并按照被投诉采购人、采购代理机构和与投诉事项有关的供应商数量提供投诉书的副本。投诉书</w:t>
      </w:r>
      <w:r>
        <w:rPr>
          <w:rFonts w:hint="eastAsia" w:ascii="宋体" w:hAnsi="宋体" w:eastAsia="宋体" w:cs="宋体"/>
          <w:szCs w:val="21"/>
          <w:highlight w:val="none"/>
        </w:rPr>
        <w:t>应当包括下列主要内容</w:t>
      </w:r>
      <w:r>
        <w:rPr>
          <w:rFonts w:hint="eastAsia" w:ascii="宋体" w:hAnsi="宋体" w:eastAsia="宋体" w:cs="宋体"/>
          <w:highlight w:val="none"/>
        </w:rPr>
        <w:t>（如材料中有外文资料应同时附上对应的中文译本）</w:t>
      </w:r>
      <w:r>
        <w:rPr>
          <w:rFonts w:hint="eastAsia" w:ascii="宋体" w:hAnsi="宋体" w:eastAsia="宋体" w:cs="宋体"/>
          <w:bCs/>
          <w:highlight w:val="none"/>
        </w:rPr>
        <w:t>（投诉书格式后附）</w:t>
      </w:r>
      <w:r>
        <w:rPr>
          <w:rFonts w:hint="eastAsia" w:ascii="宋体" w:hAnsi="宋体" w:eastAsia="宋体" w:cs="宋体"/>
          <w:szCs w:val="21"/>
          <w:highlight w:val="none"/>
        </w:rPr>
        <w:t>：</w:t>
      </w:r>
    </w:p>
    <w:p w14:paraId="7105784D">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（1）投诉人和被投诉人的名称、地址、邮编、联系人及联系电话等</w:t>
      </w:r>
      <w:r>
        <w:rPr>
          <w:rFonts w:hint="eastAsia" w:ascii="宋体" w:hAnsi="宋体" w:eastAsia="宋体" w:cs="宋体"/>
          <w:highlight w:val="none"/>
          <w:lang w:eastAsia="zh-CN"/>
        </w:rPr>
        <w:t>；</w:t>
      </w:r>
    </w:p>
    <w:p w14:paraId="18C3AED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rPr>
        <w:t>（2）质疑和质疑答复情况及相关证明材料</w:t>
      </w:r>
      <w:r>
        <w:rPr>
          <w:rFonts w:hint="eastAsia" w:ascii="宋体" w:hAnsi="宋体" w:eastAsia="宋体" w:cs="宋体"/>
          <w:highlight w:val="none"/>
          <w:lang w:eastAsia="zh-CN"/>
        </w:rPr>
        <w:t>；</w:t>
      </w:r>
    </w:p>
    <w:p w14:paraId="18A41530">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（3）具体、明确的投诉事项和与投诉事项相关的投诉请求；</w:t>
      </w:r>
    </w:p>
    <w:p w14:paraId="4DF518D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（4）事实依据；</w:t>
      </w:r>
    </w:p>
    <w:p w14:paraId="7B24672F">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（5）法律依据；</w:t>
      </w:r>
    </w:p>
    <w:p w14:paraId="19058534">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（6）提起投诉的日期。</w:t>
      </w:r>
    </w:p>
    <w:p w14:paraId="22F9087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highlight w:val="none"/>
        </w:rPr>
        <w:tab/>
      </w:r>
    </w:p>
    <w:p w14:paraId="46CFC89C">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Cs/>
          <w:highlight w:val="none"/>
        </w:rPr>
      </w:pPr>
      <w:r>
        <w:rPr>
          <w:rFonts w:hint="eastAsia" w:ascii="宋体" w:hAnsi="宋体" w:eastAsia="宋体" w:cs="宋体"/>
          <w:b/>
          <w:highlight w:val="none"/>
        </w:rPr>
        <w:t>38.3.3</w:t>
      </w:r>
      <w:r>
        <w:rPr>
          <w:rFonts w:hint="eastAsia" w:ascii="宋体" w:hAnsi="宋体" w:eastAsia="宋体" w:cs="宋体"/>
          <w:highlight w:val="none"/>
        </w:rPr>
        <w:t>投诉人可以委托代理人办理投诉事务。</w:t>
      </w:r>
      <w:r>
        <w:rPr>
          <w:rFonts w:hint="eastAsia" w:ascii="宋体" w:hAnsi="宋体" w:eastAsia="宋体" w:cs="宋体"/>
          <w:bCs/>
          <w:highlight w:val="none"/>
        </w:rPr>
        <w:t>委托代理人应熟悉相关业务情况。</w:t>
      </w:r>
      <w:r>
        <w:rPr>
          <w:rFonts w:hint="eastAsia" w:ascii="宋体" w:hAnsi="宋体" w:eastAsia="宋体" w:cs="宋体"/>
          <w:highlight w:val="none"/>
        </w:rPr>
        <w:t>代理人办理投诉事务时，除提交投诉书外，还应当提交投诉人的授权委托书和委托代理人身份证明复印件。</w:t>
      </w:r>
    </w:p>
    <w:p w14:paraId="7105A268">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highlight w:val="none"/>
        </w:rPr>
      </w:pPr>
      <w:r>
        <w:rPr>
          <w:rFonts w:hint="eastAsia" w:ascii="宋体" w:hAnsi="宋体" w:eastAsia="宋体" w:cs="宋体"/>
          <w:b/>
          <w:highlight w:val="none"/>
        </w:rPr>
        <w:t>38.3.4</w:t>
      </w:r>
      <w:r>
        <w:rPr>
          <w:rFonts w:hint="eastAsia" w:ascii="宋体" w:hAnsi="宋体" w:eastAsia="宋体" w:cs="宋体"/>
          <w:highlight w:val="none"/>
        </w:rPr>
        <w:t>投诉人提起投诉应当符合下列条件：</w:t>
      </w:r>
    </w:p>
    <w:p w14:paraId="0EB8488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（1）投诉人是参与所投诉政府采购活动的供应商；</w:t>
      </w:r>
    </w:p>
    <w:p w14:paraId="327BF9C7">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（2）提起投诉前已依法进行质疑；</w:t>
      </w:r>
    </w:p>
    <w:p w14:paraId="7BAF6C9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（3）投诉书内容符合本章第38.3.2项的规定；</w:t>
      </w:r>
    </w:p>
    <w:p w14:paraId="2B8D11A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（4）在投诉有效期限内提起投诉；</w:t>
      </w:r>
    </w:p>
    <w:p w14:paraId="1EA1333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（5）属于广西壮族自治区本级政府采购监督管理部门管辖；</w:t>
      </w:r>
    </w:p>
    <w:p w14:paraId="09D4CF6E">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（6）同一投诉事项未经广西壮族自治区本级</w:t>
      </w:r>
      <w:r>
        <w:rPr>
          <w:rFonts w:hint="eastAsia" w:ascii="宋体" w:hAnsi="宋体" w:eastAsia="宋体" w:cs="宋体"/>
          <w:bCs/>
          <w:highlight w:val="none"/>
        </w:rPr>
        <w:t>政府采购监督管理部门</w:t>
      </w:r>
      <w:r>
        <w:rPr>
          <w:rFonts w:hint="eastAsia" w:ascii="宋体" w:hAnsi="宋体" w:eastAsia="宋体" w:cs="宋体"/>
          <w:highlight w:val="none"/>
        </w:rPr>
        <w:t>投诉处理；</w:t>
      </w:r>
    </w:p>
    <w:p w14:paraId="0AFF6022">
      <w:pPr>
        <w:pageBreakBefore w:val="0"/>
        <w:widowControl w:val="0"/>
        <w:kinsoku/>
        <w:wordWrap/>
        <w:overflowPunct/>
        <w:topLinePunct w:val="0"/>
        <w:bidi w:val="0"/>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（7）国务院财政部门规定的其他条件。</w:t>
      </w:r>
    </w:p>
    <w:p w14:paraId="1E9998A8">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highlight w:val="none"/>
        </w:rPr>
      </w:pPr>
      <w:r>
        <w:rPr>
          <w:rFonts w:hint="eastAsia" w:ascii="宋体" w:hAnsi="宋体" w:eastAsia="宋体" w:cs="宋体"/>
          <w:b/>
          <w:highlight w:val="none"/>
        </w:rPr>
        <w:t>38.3.5</w:t>
      </w:r>
      <w:r>
        <w:rPr>
          <w:rFonts w:hint="eastAsia" w:ascii="宋体" w:hAnsi="宋体" w:eastAsia="宋体" w:cs="宋体"/>
          <w:highlight w:val="none"/>
        </w:rPr>
        <w:t>政府采购监督管理部门自受理投诉之日起30个工作日内，对投诉事项作出处理决定，并以书面形式通知投诉人、被投诉人及其他与投诉处理结果有利害关系的政府采购当事人。并将投诉结果在http</w:t>
      </w:r>
      <w:r>
        <w:rPr>
          <w:rFonts w:hint="eastAsia" w:ascii="宋体" w:hAnsi="宋体" w:eastAsia="宋体" w:cs="宋体"/>
          <w:highlight w:val="none"/>
          <w:lang w:eastAsia="zh-CN"/>
        </w:rPr>
        <w:t>：</w:t>
      </w:r>
      <w:r>
        <w:rPr>
          <w:rFonts w:hint="eastAsia" w:ascii="宋体" w:hAnsi="宋体" w:eastAsia="宋体" w:cs="宋体"/>
          <w:highlight w:val="none"/>
        </w:rPr>
        <w:t>//zfcg.gxzf.gov.cn</w:t>
      </w:r>
      <w:r>
        <w:rPr>
          <w:rFonts w:hint="eastAsia" w:ascii="宋体" w:hAnsi="宋体" w:eastAsia="宋体" w:cs="宋体"/>
          <w:highlight w:val="none"/>
          <w:lang w:eastAsia="zh-CN"/>
        </w:rPr>
        <w:t>（</w:t>
      </w:r>
      <w:r>
        <w:rPr>
          <w:rFonts w:hint="eastAsia" w:ascii="宋体" w:hAnsi="宋体" w:eastAsia="宋体" w:cs="宋体"/>
          <w:highlight w:val="none"/>
        </w:rPr>
        <w:t>广西壮族自治区政府采购网</w:t>
      </w:r>
      <w:r>
        <w:rPr>
          <w:rFonts w:hint="eastAsia" w:ascii="宋体" w:hAnsi="宋体" w:eastAsia="宋体" w:cs="宋体"/>
          <w:highlight w:val="none"/>
          <w:lang w:eastAsia="zh-CN"/>
        </w:rPr>
        <w:t>）</w:t>
      </w:r>
      <w:r>
        <w:rPr>
          <w:rFonts w:hint="eastAsia" w:ascii="宋体" w:hAnsi="宋体" w:eastAsia="宋体" w:cs="宋体"/>
          <w:highlight w:val="none"/>
        </w:rPr>
        <w:t>发布。</w:t>
      </w:r>
    </w:p>
    <w:p w14:paraId="48D57A03">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highlight w:val="none"/>
        </w:rPr>
      </w:pPr>
      <w:r>
        <w:rPr>
          <w:rFonts w:hint="eastAsia" w:ascii="宋体" w:hAnsi="宋体" w:eastAsia="宋体" w:cs="宋体"/>
          <w:b/>
          <w:highlight w:val="none"/>
        </w:rPr>
        <w:t>38.3.6</w:t>
      </w:r>
      <w:r>
        <w:rPr>
          <w:rFonts w:hint="eastAsia" w:ascii="宋体" w:hAnsi="宋体" w:eastAsia="宋体" w:cs="宋体"/>
          <w:highlight w:val="none"/>
        </w:rPr>
        <w:t>政府采购监督管理部门在处理投诉事项期间，可以视具体情况暂停采购活动。</w:t>
      </w:r>
    </w:p>
    <w:p w14:paraId="747C6408">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eastAsia="宋体" w:cs="Times New Roman"/>
          <w:sz w:val="28"/>
          <w:szCs w:val="28"/>
          <w:highlight w:val="none"/>
        </w:rPr>
      </w:pPr>
      <w:bookmarkStart w:id="69" w:name="_Toc13216"/>
      <w:r>
        <w:rPr>
          <w:rFonts w:hint="eastAsia" w:ascii="Times New Roman" w:hAnsi="Times New Roman" w:eastAsia="宋体" w:cs="Times New Roman"/>
          <w:sz w:val="28"/>
          <w:szCs w:val="28"/>
          <w:highlight w:val="none"/>
        </w:rPr>
        <w:t>八、验收</w:t>
      </w:r>
      <w:bookmarkEnd w:id="69"/>
    </w:p>
    <w:p w14:paraId="5853A52B">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39.验收</w:t>
      </w:r>
    </w:p>
    <w:p w14:paraId="00AD110E">
      <w:pPr>
        <w:pageBreakBefore w:val="0"/>
        <w:widowControl w:val="0"/>
        <w:tabs>
          <w:tab w:val="left" w:pos="0"/>
        </w:tabs>
        <w:kinsoku/>
        <w:wordWrap/>
        <w:overflowPunct/>
        <w:topLinePunct w:val="0"/>
        <w:bidi w:val="0"/>
        <w:spacing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3A8FF4D">
      <w:pPr>
        <w:pageBreakBefore w:val="0"/>
        <w:widowControl w:val="0"/>
        <w:tabs>
          <w:tab w:val="left" w:pos="0"/>
        </w:tabs>
        <w:kinsoku/>
        <w:wordWrap/>
        <w:overflowPunct/>
        <w:topLinePunct w:val="0"/>
        <w:bidi w:val="0"/>
        <w:spacing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39.2采购人可以邀请参加本项目的其他投标人或者第三方机构参与验收。参与验收的投标人或者第三方机构的意见作为验收书的参考资料一并存档。</w:t>
      </w:r>
    </w:p>
    <w:p w14:paraId="6B53A766">
      <w:pPr>
        <w:pageBreakBefore w:val="0"/>
        <w:widowControl w:val="0"/>
        <w:tabs>
          <w:tab w:val="left" w:pos="0"/>
        </w:tabs>
        <w:kinsoku/>
        <w:wordWrap/>
        <w:overflowPunct/>
        <w:topLinePunct w:val="0"/>
        <w:bidi w:val="0"/>
        <w:spacing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E19A1D0">
      <w:pPr>
        <w:pageBreakBefore w:val="0"/>
        <w:widowControl w:val="0"/>
        <w:tabs>
          <w:tab w:val="left" w:pos="0"/>
        </w:tabs>
        <w:kinsoku/>
        <w:wordWrap/>
        <w:overflowPunct/>
        <w:topLinePunct w:val="0"/>
        <w:bidi w:val="0"/>
        <w:spacing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290FFE">
      <w:pPr>
        <w:pStyle w:val="4"/>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Times New Roman" w:hAnsi="Times New Roman" w:eastAsia="宋体" w:cs="Times New Roman"/>
          <w:sz w:val="28"/>
          <w:szCs w:val="28"/>
          <w:highlight w:val="none"/>
        </w:rPr>
      </w:pPr>
      <w:bookmarkStart w:id="70" w:name="_Toc17046"/>
      <w:bookmarkStart w:id="71" w:name="_Toc23063"/>
      <w:r>
        <w:rPr>
          <w:rFonts w:hint="eastAsia" w:ascii="Times New Roman" w:hAnsi="Times New Roman" w:eastAsia="宋体" w:cs="Times New Roman"/>
          <w:sz w:val="28"/>
          <w:szCs w:val="28"/>
          <w:highlight w:val="none"/>
        </w:rPr>
        <w:t>九、其他事项</w:t>
      </w:r>
      <w:bookmarkEnd w:id="70"/>
      <w:bookmarkEnd w:id="71"/>
    </w:p>
    <w:p w14:paraId="7325FB43">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40.代理服务费</w:t>
      </w:r>
    </w:p>
    <w:p w14:paraId="15C4BD74">
      <w:pPr>
        <w:pageBreakBefore w:val="0"/>
        <w:widowControl w:val="0"/>
        <w:kinsoku/>
        <w:wordWrap/>
        <w:overflowPunct/>
        <w:topLinePunct w:val="0"/>
        <w:bidi w:val="0"/>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代理服务收费标准及缴费账户详见“投标人须知前附表”，投标人为联合体的，可以由联合体中的一方或者多方共同交纳代理服务费。</w:t>
      </w:r>
    </w:p>
    <w:p w14:paraId="00240D44">
      <w:pPr>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41.需要补充的其他内容</w:t>
      </w:r>
    </w:p>
    <w:p w14:paraId="5CDB4998">
      <w:pPr>
        <w:pageBreakBefore w:val="0"/>
        <w:widowControl w:val="0"/>
        <w:tabs>
          <w:tab w:val="left" w:pos="0"/>
        </w:tabs>
        <w:kinsoku/>
        <w:wordWrap/>
        <w:overflowPunct/>
        <w:topLinePunct w:val="0"/>
        <w:bidi w:val="0"/>
        <w:spacing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41.1本招标文件解释规则详见“投标人须知前附表”。</w:t>
      </w:r>
    </w:p>
    <w:p w14:paraId="1EBC450A">
      <w:pPr>
        <w:pageBreakBefore w:val="0"/>
        <w:widowControl w:val="0"/>
        <w:tabs>
          <w:tab w:val="left" w:pos="0"/>
        </w:tabs>
        <w:kinsoku/>
        <w:wordWrap/>
        <w:overflowPunct/>
        <w:topLinePunct w:val="0"/>
        <w:bidi w:val="0"/>
        <w:spacing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41.2其他事项详见“投标人须知前附表”。</w:t>
      </w:r>
    </w:p>
    <w:p w14:paraId="3A592186">
      <w:pPr>
        <w:pageBreakBefore w:val="0"/>
        <w:widowControl w:val="0"/>
        <w:tabs>
          <w:tab w:val="left" w:pos="0"/>
        </w:tabs>
        <w:kinsoku/>
        <w:wordWrap/>
        <w:overflowPunct/>
        <w:topLinePunct w:val="0"/>
        <w:bidi w:val="0"/>
        <w:spacing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68DA20A5">
      <w:pPr>
        <w:pageBreakBefore w:val="0"/>
        <w:widowControl w:val="0"/>
        <w:tabs>
          <w:tab w:val="left" w:pos="0"/>
        </w:tabs>
        <w:kinsoku/>
        <w:wordWrap/>
        <w:overflowPunct/>
        <w:topLinePunct w:val="0"/>
        <w:bidi w:val="0"/>
        <w:spacing w:line="400" w:lineRule="exact"/>
        <w:ind w:firstLine="480"/>
        <w:textAlignment w:val="auto"/>
        <w:rPr>
          <w:rFonts w:hint="eastAsia" w:ascii="宋体" w:hAnsi="宋体" w:eastAsia="宋体" w:cs="宋体"/>
          <w:highlight w:val="none"/>
        </w:rPr>
      </w:pPr>
      <w:r>
        <w:rPr>
          <w:rFonts w:hint="eastAsia" w:ascii="宋体" w:hAnsi="宋体" w:eastAsia="宋体" w:cs="宋体"/>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220D2779">
      <w:pPr>
        <w:pageBreakBefore w:val="0"/>
        <w:kinsoku/>
        <w:wordWrap/>
        <w:overflowPunct/>
        <w:topLinePunct w:val="0"/>
        <w:bidi w:val="0"/>
        <w:snapToGrid/>
        <w:spacing w:line="400" w:lineRule="exact"/>
        <w:ind w:left="0" w:lef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highlight w:val="none"/>
        </w:rPr>
        <w:t>依据本文件规定享受扶持政策获得政府采购合同的，小微企业不得将合同分包给大中型企业，中型企业不得将合同分包给大型企业。</w:t>
      </w:r>
    </w:p>
    <w:p w14:paraId="39A8891D">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0"/>
    <w:p w14:paraId="4AD03DDD">
      <w:pPr>
        <w:pStyle w:val="2"/>
        <w:keepNext/>
        <w:keepLines/>
        <w:pageBreakBefore w:val="0"/>
        <w:widowControl w:val="0"/>
        <w:kinsoku/>
        <w:wordWrap/>
        <w:overflowPunct/>
        <w:topLinePunct w:val="0"/>
        <w:autoSpaceDE/>
        <w:autoSpaceDN/>
        <w:bidi w:val="0"/>
        <w:adjustRightInd/>
        <w:snapToGrid/>
        <w:spacing w:before="30" w:after="30" w:line="360" w:lineRule="auto"/>
        <w:ind w:left="0" w:leftChars="0" w:right="0" w:rightChars="0" w:firstLine="0" w:firstLineChars="0"/>
        <w:jc w:val="center"/>
        <w:textAlignment w:val="auto"/>
        <w:rPr>
          <w:rFonts w:hint="eastAsia" w:ascii="Times New Roman" w:hAnsi="Times New Roman" w:eastAsia="宋体" w:cs="Times New Roman"/>
          <w:sz w:val="32"/>
          <w:szCs w:val="32"/>
          <w:lang w:val="en-US" w:eastAsia="zh-CN"/>
        </w:rPr>
      </w:pPr>
      <w:bookmarkStart w:id="72" w:name="_Toc7711"/>
      <w:bookmarkStart w:id="73" w:name="_Toc17797"/>
      <w:r>
        <w:rPr>
          <w:rFonts w:hint="eastAsia" w:ascii="Times New Roman" w:hAnsi="Times New Roman" w:eastAsia="宋体" w:cs="Times New Roman"/>
          <w:sz w:val="32"/>
          <w:szCs w:val="32"/>
          <w:lang w:val="en-US" w:eastAsia="zh-CN"/>
        </w:rPr>
        <w:t>第四章</w:t>
      </w:r>
      <w:r>
        <w:rPr>
          <w:rFonts w:hint="eastAsia" w:ascii="Times New Roman" w:hAnsi="Times New Roman" w:eastAsia="宋体" w:cs="Times New Roman"/>
          <w:sz w:val="32"/>
          <w:szCs w:val="32"/>
        </w:rPr>
        <w:t xml:space="preserve"> </w:t>
      </w:r>
      <w:bookmarkEnd w:id="72"/>
      <w:r>
        <w:rPr>
          <w:rFonts w:hint="eastAsia" w:ascii="Times New Roman" w:hAnsi="Times New Roman" w:eastAsia="宋体" w:cs="Times New Roman"/>
          <w:sz w:val="32"/>
          <w:szCs w:val="32"/>
          <w:lang w:eastAsia="zh-CN"/>
        </w:rPr>
        <w:t>评标方法及评标标准</w:t>
      </w:r>
      <w:bookmarkEnd w:id="73"/>
    </w:p>
    <w:p w14:paraId="41168F79">
      <w:pPr>
        <w:pStyle w:val="3"/>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sz w:val="30"/>
          <w:szCs w:val="30"/>
          <w:highlight w:val="none"/>
          <w:lang w:val="en-US" w:eastAsia="zh-CN"/>
        </w:rPr>
      </w:pPr>
      <w:bookmarkStart w:id="74" w:name="_Toc6926"/>
      <w:bookmarkStart w:id="75" w:name="_Toc30032"/>
      <w:bookmarkStart w:id="76" w:name="_Toc31990"/>
      <w:bookmarkStart w:id="77" w:name="_Hlk93421148"/>
      <w:r>
        <w:rPr>
          <w:rFonts w:hint="eastAsia" w:ascii="宋体" w:hAnsi="宋体" w:eastAsia="宋体" w:cs="宋体"/>
          <w:sz w:val="30"/>
          <w:szCs w:val="30"/>
          <w:highlight w:val="none"/>
          <w:lang w:val="en-US" w:eastAsia="zh-CN"/>
        </w:rPr>
        <w:t>第一节 评标方法</w:t>
      </w:r>
      <w:bookmarkEnd w:id="74"/>
      <w:bookmarkEnd w:id="75"/>
      <w:bookmarkEnd w:id="76"/>
    </w:p>
    <w:p w14:paraId="1A8AC2F8">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本项目采用</w:t>
      </w:r>
      <w:r>
        <w:rPr>
          <w:rFonts w:hint="eastAsia" w:ascii="宋体" w:hAnsi="宋体" w:eastAsia="宋体" w:cs="宋体"/>
          <w:szCs w:val="20"/>
          <w:highlight w:val="none"/>
          <w:u w:val="single"/>
        </w:rPr>
        <w:t>以下勾选的方式</w:t>
      </w:r>
      <w:r>
        <w:rPr>
          <w:rFonts w:hint="eastAsia" w:ascii="宋体" w:hAnsi="宋体" w:eastAsia="宋体" w:cs="宋体"/>
          <w:szCs w:val="20"/>
          <w:highlight w:val="none"/>
        </w:rPr>
        <w:t>进行评审。</w:t>
      </w:r>
    </w:p>
    <w:p w14:paraId="360468D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highlight w:val="none"/>
        </w:rPr>
        <w:t>☑综合评分法，</w:t>
      </w:r>
      <w:r>
        <w:rPr>
          <w:rFonts w:hint="eastAsia" w:ascii="宋体" w:hAnsi="宋体" w:eastAsia="宋体" w:cs="宋体"/>
          <w:szCs w:val="20"/>
          <w:highlight w:val="none"/>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w:t>
      </w:r>
      <w:r>
        <w:rPr>
          <w:rFonts w:hint="eastAsia" w:ascii="宋体" w:hAnsi="宋体" w:eastAsia="宋体" w:cs="宋体"/>
          <w:szCs w:val="20"/>
          <w:highlight w:val="none"/>
          <w:lang w:eastAsia="zh-CN"/>
        </w:rPr>
        <w:t>，</w:t>
      </w:r>
      <w:r>
        <w:rPr>
          <w:rFonts w:hint="eastAsia" w:ascii="宋体" w:hAnsi="宋体" w:eastAsia="宋体" w:cs="宋体"/>
          <w:szCs w:val="20"/>
          <w:highlight w:val="none"/>
        </w:rPr>
        <w:t>按综合得分由高到低顺序排列。若综合得分相同的，按投标报价由低到高顺序排列。若综合得分且投标报价相同的，货物类采购项目以技术性能得分较高者为先。</w:t>
      </w:r>
    </w:p>
    <w:p w14:paraId="064D7F34">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textAlignment w:val="auto"/>
        <w:rPr>
          <w:rFonts w:hint="eastAsia" w:ascii="宋体" w:hAnsi="宋体" w:eastAsia="宋体" w:cs="宋体"/>
          <w:szCs w:val="20"/>
          <w:highlight w:val="none"/>
        </w:rPr>
      </w:pPr>
      <w:r>
        <w:rPr>
          <w:rFonts w:hint="eastAsia" w:ascii="宋体" w:hAnsi="宋体" w:eastAsia="宋体" w:cs="宋体"/>
          <w:szCs w:val="20"/>
          <w:highlight w:val="none"/>
        </w:rPr>
        <w:t>该评标方法适用本项目所有标段。</w:t>
      </w:r>
    </w:p>
    <w:p w14:paraId="4FB6382B">
      <w:pPr>
        <w:pStyle w:val="27"/>
        <w:keepNext w:val="0"/>
        <w:keepLines w:val="0"/>
        <w:pageBreakBefore w:val="0"/>
        <w:widowControl w:val="0"/>
        <w:kinsoku/>
        <w:wordWrap/>
        <w:overflowPunct/>
        <w:topLinePunct w:val="0"/>
        <w:bidi w:val="0"/>
        <w:snapToGrid/>
        <w:spacing w:line="400" w:lineRule="exact"/>
        <w:ind w:firstLine="420"/>
        <w:textAlignment w:val="auto"/>
        <w:rPr>
          <w:rFonts w:hint="eastAsia" w:ascii="宋体" w:hAnsi="宋体" w:eastAsia="宋体" w:cs="宋体"/>
          <w:highlight w:val="none"/>
        </w:rPr>
      </w:pPr>
    </w:p>
    <w:p w14:paraId="4CE2510E">
      <w:pPr>
        <w:pStyle w:val="3"/>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sz w:val="30"/>
          <w:szCs w:val="30"/>
          <w:highlight w:val="none"/>
          <w:lang w:val="en-US" w:eastAsia="zh-CN"/>
        </w:rPr>
      </w:pPr>
      <w:bookmarkStart w:id="78" w:name="_Toc9427"/>
      <w:bookmarkStart w:id="79" w:name="_Toc7459"/>
      <w:bookmarkStart w:id="80" w:name="_Toc26326"/>
      <w:r>
        <w:rPr>
          <w:rFonts w:hint="eastAsia" w:ascii="宋体" w:hAnsi="宋体" w:eastAsia="宋体" w:cs="宋体"/>
          <w:sz w:val="30"/>
          <w:szCs w:val="30"/>
          <w:highlight w:val="none"/>
          <w:lang w:val="en-US" w:eastAsia="zh-CN"/>
        </w:rPr>
        <w:t>第二节 评标程序</w:t>
      </w:r>
      <w:bookmarkEnd w:id="78"/>
      <w:bookmarkEnd w:id="79"/>
      <w:bookmarkEnd w:id="80"/>
    </w:p>
    <w:p w14:paraId="75FA0FD6">
      <w:pPr>
        <w:keepNext w:val="0"/>
        <w:keepLines w:val="0"/>
        <w:pageBreakBefore w:val="0"/>
        <w:widowControl w:val="0"/>
        <w:kinsoku/>
        <w:wordWrap/>
        <w:overflowPunct/>
        <w:topLinePunct w:val="0"/>
        <w:bidi w:val="0"/>
        <w:snapToGrid/>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1.符合性审查</w:t>
      </w:r>
    </w:p>
    <w:p w14:paraId="04F9950B">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评标委员会应当对符合资格的投标人的投标文件进行投标报价、商务、技术等实质性内容符合性审查，以确定其是否满足招标文件的实质性要求。</w:t>
      </w:r>
    </w:p>
    <w:p w14:paraId="367B4165">
      <w:pPr>
        <w:keepNext w:val="0"/>
        <w:keepLines w:val="0"/>
        <w:pageBreakBefore w:val="0"/>
        <w:widowControl w:val="0"/>
        <w:kinsoku/>
        <w:wordWrap/>
        <w:overflowPunct/>
        <w:topLinePunct w:val="0"/>
        <w:bidi w:val="0"/>
        <w:snapToGrid/>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2.符合性审查不通过而导致投标无效的情形</w:t>
      </w:r>
    </w:p>
    <w:p w14:paraId="2DF729B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投标人的投标文件中存在对招标文件的任何实质性要求和条件的负偏离，将被视为投标无效。</w:t>
      </w:r>
    </w:p>
    <w:p w14:paraId="519DB012">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2.1在报价评审时，如发现下列情形之一的，将被视为投标无效：</w:t>
      </w:r>
    </w:p>
    <w:p w14:paraId="0F2B5E83">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（1）投标文件未提供“投标人须知前附表”第13.1条规定中“必须提供”的文件资料的</w:t>
      </w:r>
      <w:r>
        <w:rPr>
          <w:rFonts w:hint="eastAsia" w:ascii="宋体" w:hAnsi="宋体" w:eastAsia="宋体" w:cs="宋体"/>
          <w:szCs w:val="21"/>
          <w:highlight w:val="none"/>
          <w:lang w:eastAsia="zh-CN"/>
        </w:rPr>
        <w:t>；</w:t>
      </w:r>
    </w:p>
    <w:p w14:paraId="03EE7654">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（2）未采用人民币报价或者未按照招标文件标明的币种报价的；</w:t>
      </w:r>
    </w:p>
    <w:p w14:paraId="3D500C03">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（3）报价超出招标文件规定最高限价，或者超出采购预算金额（包括分项预算）的；</w:t>
      </w:r>
    </w:p>
    <w:p w14:paraId="6A745651">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A74B028">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（5）修正后的报价，投标人不确认的；</w:t>
      </w:r>
    </w:p>
    <w:p w14:paraId="1826AFFC">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（6）投标人属于本章第5条第（2）项情形的。</w:t>
      </w:r>
    </w:p>
    <w:p w14:paraId="14B5E46B">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2.2在商务评审时，如发现下列情形之一的，将被视为投标无效：</w:t>
      </w:r>
    </w:p>
    <w:p w14:paraId="6D111A1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（1）投标文件未按招标文件要求签署、盖章的；</w:t>
      </w:r>
    </w:p>
    <w:p w14:paraId="15C64D15">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（2）委托代理人未能出具有效身份证明或者出具的身份证明与授权委托书中的信息不符的</w:t>
      </w:r>
      <w:r>
        <w:rPr>
          <w:rFonts w:hint="eastAsia" w:ascii="宋体" w:hAnsi="宋体" w:eastAsia="宋体" w:cs="宋体"/>
          <w:szCs w:val="21"/>
          <w:highlight w:val="none"/>
          <w:lang w:eastAsia="zh-CN"/>
        </w:rPr>
        <w:t>；</w:t>
      </w:r>
    </w:p>
    <w:p w14:paraId="0476B84B">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（3）投标文件未提供“投标人须知前附表”第13.1条规定中“必须提供”或者“委托时必须提供”的文件资料的</w:t>
      </w:r>
      <w:r>
        <w:rPr>
          <w:rFonts w:hint="eastAsia" w:ascii="宋体" w:hAnsi="宋体" w:eastAsia="宋体" w:cs="宋体"/>
          <w:szCs w:val="21"/>
          <w:highlight w:val="none"/>
          <w:lang w:eastAsia="zh-CN"/>
        </w:rPr>
        <w:t>；</w:t>
      </w:r>
    </w:p>
    <w:p w14:paraId="2A89BF42">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（4）投标有效期、项目完成时间（交货时间、服务完成时间或者服务期等）、质保期等商务条款发生负偏离的；</w:t>
      </w:r>
    </w:p>
    <w:p w14:paraId="12F416A0">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（5）商务条款评审允许负偏离的条款数超过“投标人须知前附表”规定项数的。</w:t>
      </w:r>
    </w:p>
    <w:p w14:paraId="4C9DA3DF">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（6）投标文件的实质性内容未使用中文表述、使用计量单位不符合招标文件要求的；</w:t>
      </w:r>
    </w:p>
    <w:p w14:paraId="78C7D9BD">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（7）投标文件中的文件资料因填写不齐全或者内容虚假或者出现其他情形而导致被评标委员会认定无效的；</w:t>
      </w:r>
    </w:p>
    <w:p w14:paraId="4C54FB0A">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（8）投标文件含有采购人不能接受的附加条件的；</w:t>
      </w:r>
    </w:p>
    <w:p w14:paraId="4CB2C62C">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（9）未响应招标文件实质性要求的；</w:t>
      </w:r>
    </w:p>
    <w:p w14:paraId="1C74E780">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（10）属于投标人须知正文第9.2条情形的；</w:t>
      </w:r>
    </w:p>
    <w:p w14:paraId="2821448D">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（11）法律、法规和招标文件规定的其他无效情形。</w:t>
      </w:r>
    </w:p>
    <w:p w14:paraId="2368B164">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2.3在技术评审时，如发现下列情形之一的，将被视为投标无效：</w:t>
      </w:r>
    </w:p>
    <w:p w14:paraId="5E2217C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（1）不满足招标文件实质性要求的货物</w:t>
      </w:r>
      <w:r>
        <w:rPr>
          <w:rFonts w:hint="eastAsia" w:ascii="宋体" w:hAnsi="宋体" w:cs="宋体"/>
          <w:szCs w:val="21"/>
          <w:highlight w:val="none"/>
          <w:lang w:eastAsia="zh-CN"/>
        </w:rPr>
        <w:t>或服务</w:t>
      </w:r>
      <w:r>
        <w:rPr>
          <w:rFonts w:hint="eastAsia" w:ascii="宋体" w:hAnsi="宋体" w:eastAsia="宋体" w:cs="宋体"/>
          <w:szCs w:val="21"/>
          <w:highlight w:val="none"/>
        </w:rPr>
        <w:t>内容、技术要求、安全、质量标准的；</w:t>
      </w:r>
    </w:p>
    <w:p w14:paraId="7422BBCD">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（2）技术需求评审允许负偏离的条款数超过“投标人须知前附表”规定项数的；</w:t>
      </w:r>
    </w:p>
    <w:p w14:paraId="6813F72C">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（3）投标文件未提供“投标人须知前附表”第13.1条规定中“必须提供”的文件资料的</w:t>
      </w:r>
      <w:r>
        <w:rPr>
          <w:rFonts w:hint="eastAsia" w:ascii="宋体" w:hAnsi="宋体" w:eastAsia="宋体" w:cs="宋体"/>
          <w:szCs w:val="21"/>
          <w:highlight w:val="none"/>
          <w:lang w:eastAsia="zh-CN"/>
        </w:rPr>
        <w:t>；</w:t>
      </w:r>
    </w:p>
    <w:p w14:paraId="3CE12CE8">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（4）虚假投标，或者出现其他情形而导致被评标委员会认定无效的；</w:t>
      </w:r>
    </w:p>
    <w:p w14:paraId="3DAE89DA">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（5）投标技术方案不明确，招标文件未允许但存在一个或者一个以上备选（替代）投标方案的。</w:t>
      </w:r>
    </w:p>
    <w:p w14:paraId="4D7F0686">
      <w:pPr>
        <w:keepNext w:val="0"/>
        <w:keepLines w:val="0"/>
        <w:pageBreakBefore w:val="0"/>
        <w:widowControl w:val="0"/>
        <w:kinsoku/>
        <w:wordWrap/>
        <w:overflowPunct/>
        <w:topLinePunct w:val="0"/>
        <w:bidi w:val="0"/>
        <w:snapToGrid/>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3.澄清补正、说明或者补正</w:t>
      </w:r>
    </w:p>
    <w:p w14:paraId="535DAD94">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对投标文件中含义不明确、同类问题表述不一致或者有明显文字和计算错误的内容，评标委员会应在</w:t>
      </w:r>
      <w:r>
        <w:rPr>
          <w:rFonts w:hint="eastAsia" w:ascii="宋体" w:hAnsi="宋体" w:eastAsia="宋体" w:cs="宋体"/>
          <w:szCs w:val="21"/>
          <w:highlight w:val="none"/>
          <w:lang w:eastAsia="zh-CN"/>
        </w:rPr>
        <w:t>广西政府采购云平台</w:t>
      </w:r>
      <w:r>
        <w:rPr>
          <w:rFonts w:hint="eastAsia" w:ascii="宋体" w:hAnsi="宋体" w:eastAsia="宋体" w:cs="宋体"/>
          <w:szCs w:val="21"/>
          <w:highlight w:val="none"/>
        </w:rPr>
        <w:t>发布电子澄清函，要求投标人在规定时间内作出必要的澄清、说明或者补正。投标人在</w:t>
      </w:r>
      <w:r>
        <w:rPr>
          <w:rFonts w:hint="eastAsia" w:ascii="宋体" w:hAnsi="宋体" w:eastAsia="宋体" w:cs="宋体"/>
          <w:szCs w:val="21"/>
          <w:highlight w:val="none"/>
          <w:lang w:eastAsia="zh-CN"/>
        </w:rPr>
        <w:t>广西政府采购云平台</w:t>
      </w:r>
      <w:r>
        <w:rPr>
          <w:rFonts w:hint="eastAsia" w:ascii="宋体" w:hAnsi="宋体" w:eastAsia="宋体" w:cs="宋体"/>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617CF1A">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781E50B">
      <w:pPr>
        <w:keepNext w:val="0"/>
        <w:keepLines w:val="0"/>
        <w:pageBreakBefore w:val="0"/>
        <w:widowControl w:val="0"/>
        <w:kinsoku/>
        <w:wordWrap/>
        <w:overflowPunct/>
        <w:topLinePunct w:val="0"/>
        <w:bidi w:val="0"/>
        <w:snapToGrid/>
        <w:spacing w:line="400" w:lineRule="exact"/>
        <w:ind w:firstLine="422" w:firstLineChars="200"/>
        <w:textAlignment w:val="auto"/>
        <w:rPr>
          <w:rFonts w:hint="eastAsia" w:ascii="宋体" w:hAnsi="宋体" w:eastAsia="宋体" w:cs="宋体"/>
          <w:b/>
          <w:szCs w:val="21"/>
          <w:highlight w:val="none"/>
        </w:rPr>
      </w:pPr>
      <w:r>
        <w:rPr>
          <w:rFonts w:hint="eastAsia" w:ascii="宋体" w:hAnsi="宋体" w:eastAsia="宋体" w:cs="宋体"/>
          <w:b/>
          <w:szCs w:val="21"/>
          <w:highlight w:val="none"/>
        </w:rPr>
        <w:t>4.投标文件修正</w:t>
      </w:r>
    </w:p>
    <w:p w14:paraId="1BE9DFC3">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4.1投标文件报价出现前后不一致的，按照下列规定修正</w:t>
      </w:r>
      <w:r>
        <w:rPr>
          <w:rFonts w:hint="eastAsia" w:ascii="宋体" w:hAnsi="宋体" w:eastAsia="宋体" w:cs="宋体"/>
          <w:szCs w:val="21"/>
          <w:highlight w:val="none"/>
          <w:lang w:eastAsia="zh-CN"/>
        </w:rPr>
        <w:t>：</w:t>
      </w:r>
    </w:p>
    <w:p w14:paraId="772ECB9B">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（1）报价文件中“开标一览表”内容与投标文件中相应内容不一致的，以“开标一览表”为准；</w:t>
      </w:r>
    </w:p>
    <w:p w14:paraId="1A902DF3">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（2）大写金额和小写金额不一致的，以大写金额为准；</w:t>
      </w:r>
    </w:p>
    <w:p w14:paraId="67E24B2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（3）单价金额小数点或者百分比有明显错位的，以开标一览表的总价为准，并修改单价；</w:t>
      </w:r>
    </w:p>
    <w:p w14:paraId="126108E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（4）总价金额与按单价汇总金额不一致的，以单价金额计算结果为准。</w:t>
      </w:r>
    </w:p>
    <w:p w14:paraId="2FEA5CA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同时出现两种以上不一致的，按照以上（1）-（4）规定的顺序修正。修正后的报价经投标人确认后产生约束力，投标人不确认的，其投标无效。</w:t>
      </w:r>
    </w:p>
    <w:p w14:paraId="3DF7793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4.2经投标人确认修正后的报价若超过采购预算金额或者最高限价，投标人的投标文件作无效投标处理。</w:t>
      </w:r>
    </w:p>
    <w:p w14:paraId="5EBB5A48">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4.3经投标人确认修正后的报价作为签订合同的依据，并以此报价计算价格分。</w:t>
      </w:r>
    </w:p>
    <w:p w14:paraId="7B00863A">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5.比较与评价</w:t>
      </w:r>
    </w:p>
    <w:p w14:paraId="6B8B406A">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（1）评标委员会按照招标文件中规定的评标方法和评标标准，对符合性审查合格的投标文件进行商务和技术评估，综合比较与评价。</w:t>
      </w:r>
    </w:p>
    <w:p w14:paraId="18EB77F6">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（2）评标委员会独立对每个投标人的投标文件进行评价，并汇总每个投标人的得分。</w:t>
      </w:r>
    </w:p>
    <w:p w14:paraId="615AF67F">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59A65FD">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（3）评标委员会按照招标文件中规定的评标方法和标准计算各投标人的报价得分。在计算过程中，不得去掉最高报价或者最低报价。</w:t>
      </w:r>
    </w:p>
    <w:p w14:paraId="3A62460D">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（4）各投标人的得分为所有评委的有效评分的算术平均数。</w:t>
      </w:r>
    </w:p>
    <w:p w14:paraId="4F77B2D1">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（5）评标委员会按照招标文件中的规定推荐中标候选人。</w:t>
      </w:r>
    </w:p>
    <w:p w14:paraId="6AD1A4A9">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E7F1D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highlight w:val="none"/>
        </w:rPr>
      </w:pPr>
    </w:p>
    <w:p w14:paraId="55EBEF53">
      <w:pPr>
        <w:pStyle w:val="3"/>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sz w:val="30"/>
          <w:szCs w:val="30"/>
          <w:highlight w:val="none"/>
          <w:lang w:val="en-US" w:eastAsia="zh-CN"/>
        </w:rPr>
      </w:pPr>
      <w:bookmarkStart w:id="81" w:name="_Toc28758"/>
      <w:bookmarkStart w:id="82" w:name="_Toc4066"/>
      <w:bookmarkStart w:id="83" w:name="_Toc17872"/>
      <w:r>
        <w:rPr>
          <w:rFonts w:hint="eastAsia" w:ascii="宋体" w:hAnsi="宋体" w:eastAsia="宋体" w:cs="宋体"/>
          <w:sz w:val="30"/>
          <w:szCs w:val="30"/>
          <w:highlight w:val="none"/>
          <w:lang w:val="en-US" w:eastAsia="zh-CN"/>
        </w:rPr>
        <w:t>第三节 评分标准</w:t>
      </w:r>
      <w:bookmarkEnd w:id="81"/>
      <w:bookmarkEnd w:id="82"/>
      <w:bookmarkEnd w:id="83"/>
    </w:p>
    <w:p w14:paraId="7E6BCFD9">
      <w:pPr>
        <w:pStyle w:val="2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highlight w:val="none"/>
        </w:rPr>
      </w:pPr>
      <w:r>
        <w:rPr>
          <w:rFonts w:hint="eastAsia" w:ascii="宋体" w:hAnsi="宋体" w:eastAsia="宋体" w:cs="宋体"/>
          <w:b/>
          <w:sz w:val="28"/>
          <w:szCs w:val="28"/>
          <w:highlight w:val="none"/>
        </w:rPr>
        <w:t>综合评分法</w:t>
      </w:r>
    </w:p>
    <w:p w14:paraId="509B2B36">
      <w:pPr>
        <w:pStyle w:val="4"/>
        <w:keepNext/>
        <w:keepLines/>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sz w:val="28"/>
          <w:szCs w:val="28"/>
          <w:lang w:val="en-US" w:eastAsia="zh-CN"/>
        </w:rPr>
      </w:pPr>
      <w:bookmarkStart w:id="84" w:name="_Toc11135"/>
      <w:r>
        <w:rPr>
          <w:rFonts w:hint="eastAsia" w:ascii="宋体" w:hAnsi="宋体" w:eastAsia="宋体" w:cs="宋体"/>
          <w:sz w:val="28"/>
          <w:szCs w:val="28"/>
          <w:lang w:eastAsia="zh-CN"/>
        </w:rPr>
        <w:t>分标</w:t>
      </w:r>
      <w:r>
        <w:rPr>
          <w:rFonts w:hint="eastAsia" w:ascii="宋体" w:hAnsi="宋体" w:eastAsia="宋体" w:cs="宋体"/>
          <w:sz w:val="28"/>
          <w:szCs w:val="28"/>
          <w:lang w:val="en-US" w:eastAsia="zh-CN"/>
        </w:rPr>
        <w:t>1</w:t>
      </w:r>
      <w:bookmarkEnd w:id="84"/>
    </w:p>
    <w:tbl>
      <w:tblPr>
        <w:tblStyle w:val="5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05"/>
        <w:gridCol w:w="1977"/>
        <w:gridCol w:w="6043"/>
      </w:tblGrid>
      <w:tr w14:paraId="0A57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0" w:type="dxa"/>
            <w:gridSpan w:val="2"/>
            <w:tcBorders>
              <w:top w:val="single" w:color="auto" w:sz="4" w:space="0"/>
              <w:left w:val="single" w:color="auto" w:sz="4" w:space="0"/>
              <w:bottom w:val="single" w:color="auto" w:sz="4" w:space="0"/>
              <w:right w:val="single" w:color="auto" w:sz="4" w:space="0"/>
            </w:tcBorders>
            <w:noWrap/>
            <w:vAlign w:val="center"/>
          </w:tcPr>
          <w:p w14:paraId="616AF651">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lang w:eastAsia="zh-CN"/>
              </w:rPr>
            </w:pPr>
            <w:r>
              <w:rPr>
                <w:rFonts w:hint="eastAsia" w:ascii="宋体" w:hAnsi="宋体" w:cs="宋体"/>
                <w:b/>
                <w:szCs w:val="21"/>
                <w:highlight w:val="none"/>
                <w:lang w:eastAsia="zh-CN"/>
              </w:rPr>
              <w:t>评审内容</w:t>
            </w:r>
          </w:p>
        </w:tc>
        <w:tc>
          <w:tcPr>
            <w:tcW w:w="1977" w:type="dxa"/>
            <w:tcBorders>
              <w:top w:val="single" w:color="auto" w:sz="4" w:space="0"/>
              <w:left w:val="single" w:color="auto" w:sz="4" w:space="0"/>
              <w:bottom w:val="single" w:color="auto" w:sz="4" w:space="0"/>
              <w:right w:val="single" w:color="auto" w:sz="4" w:space="0"/>
            </w:tcBorders>
            <w:noWrap/>
            <w:vAlign w:val="center"/>
          </w:tcPr>
          <w:p w14:paraId="120E62E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b/>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ign w:val="center"/>
          </w:tcPr>
          <w:p w14:paraId="3E06174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b/>
                <w:szCs w:val="21"/>
                <w:highlight w:val="none"/>
              </w:rPr>
              <w:t>评标标准</w:t>
            </w:r>
          </w:p>
        </w:tc>
      </w:tr>
      <w:tr w14:paraId="6326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0" w:type="dxa"/>
            <w:gridSpan w:val="2"/>
            <w:tcBorders>
              <w:top w:val="single" w:color="auto" w:sz="4" w:space="0"/>
              <w:left w:val="single" w:color="auto" w:sz="4" w:space="0"/>
              <w:bottom w:val="single" w:color="auto" w:sz="4" w:space="0"/>
              <w:right w:val="single" w:color="auto" w:sz="4" w:space="0"/>
            </w:tcBorders>
            <w:noWrap/>
            <w:vAlign w:val="center"/>
          </w:tcPr>
          <w:p w14:paraId="2986F908">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b/>
                <w:szCs w:val="21"/>
                <w:highlight w:val="none"/>
              </w:rPr>
              <w:t>价格分（</w:t>
            </w:r>
            <w:r>
              <w:rPr>
                <w:rFonts w:hint="eastAsia" w:ascii="宋体" w:hAnsi="宋体" w:cs="宋体"/>
                <w:b/>
                <w:szCs w:val="21"/>
                <w:highlight w:val="none"/>
                <w:lang w:eastAsia="zh-CN"/>
              </w:rPr>
              <w:t>满分</w:t>
            </w:r>
            <w:r>
              <w:rPr>
                <w:rFonts w:hint="eastAsia" w:ascii="宋体" w:hAnsi="宋体" w:cs="宋体"/>
                <w:b/>
                <w:szCs w:val="21"/>
                <w:highlight w:val="none"/>
                <w:lang w:val="en-US" w:eastAsia="zh-CN"/>
              </w:rPr>
              <w:t>10</w:t>
            </w:r>
            <w:r>
              <w:rPr>
                <w:rFonts w:hint="eastAsia" w:ascii="宋体" w:hAnsi="宋体" w:eastAsia="宋体" w:cs="宋体"/>
                <w:b/>
                <w:szCs w:val="21"/>
                <w:highlight w:val="none"/>
              </w:rPr>
              <w:t>分）</w:t>
            </w:r>
          </w:p>
        </w:tc>
        <w:tc>
          <w:tcPr>
            <w:tcW w:w="1977" w:type="dxa"/>
            <w:tcBorders>
              <w:top w:val="single" w:color="auto" w:sz="4" w:space="0"/>
              <w:left w:val="single" w:color="auto" w:sz="4" w:space="0"/>
              <w:bottom w:val="single" w:color="auto" w:sz="4" w:space="0"/>
              <w:right w:val="single" w:color="auto" w:sz="4" w:space="0"/>
            </w:tcBorders>
            <w:noWrap/>
            <w:vAlign w:val="center"/>
          </w:tcPr>
          <w:p w14:paraId="4199E3DB">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投标报价（满分</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p>
        </w:tc>
        <w:tc>
          <w:tcPr>
            <w:tcW w:w="6043" w:type="dxa"/>
            <w:tcBorders>
              <w:top w:val="single" w:color="auto" w:sz="4" w:space="0"/>
              <w:left w:val="single" w:color="auto" w:sz="4" w:space="0"/>
              <w:bottom w:val="single" w:color="auto" w:sz="4" w:space="0"/>
              <w:right w:val="single" w:color="auto" w:sz="4" w:space="0"/>
            </w:tcBorders>
            <w:noWrap/>
            <w:vAlign w:val="center"/>
          </w:tcPr>
          <w:p w14:paraId="5203FFF2">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lang w:eastAsia="zh-CN"/>
              </w:rPr>
            </w:pPr>
            <w:bookmarkStart w:id="85" w:name="_Toc10569"/>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r>
              <w:rPr>
                <w:rFonts w:hint="eastAsia" w:ascii="宋体" w:hAnsi="宋体" w:eastAsia="宋体" w:cs="宋体"/>
                <w:bCs/>
                <w:color w:val="auto"/>
                <w:sz w:val="21"/>
                <w:szCs w:val="21"/>
                <w:highlight w:val="none"/>
                <w:lang w:eastAsia="zh-CN"/>
              </w:rPr>
              <w:t>；</w:t>
            </w:r>
            <w:bookmarkEnd w:id="85"/>
          </w:p>
          <w:p w14:paraId="60A098F6">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rPr>
            </w:pPr>
            <w:bookmarkStart w:id="86" w:name="_Toc16218"/>
            <w:r>
              <w:rPr>
                <w:rFonts w:hint="eastAsia" w:ascii="宋体" w:hAnsi="宋体" w:eastAsia="宋体" w:cs="宋体"/>
                <w:bCs/>
                <w:color w:val="auto"/>
                <w:sz w:val="21"/>
                <w:szCs w:val="21"/>
                <w:highlight w:val="none"/>
              </w:rPr>
              <w:t>（2）政策性扣除计算方法。</w:t>
            </w:r>
            <w:bookmarkEnd w:id="86"/>
          </w:p>
          <w:p w14:paraId="4B6DC5E1">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本项目已专门面向小微企业进行采购，价格不再进行政策扣除</w:t>
            </w:r>
            <w:r>
              <w:rPr>
                <w:rFonts w:hint="eastAsia" w:ascii="宋体" w:hAnsi="宋体" w:cs="宋体"/>
                <w:bCs/>
                <w:color w:val="auto"/>
                <w:sz w:val="21"/>
                <w:szCs w:val="21"/>
                <w:highlight w:val="none"/>
                <w:lang w:eastAsia="zh-CN"/>
              </w:rPr>
              <w:t>（注：</w:t>
            </w:r>
            <w:r>
              <w:rPr>
                <w:rFonts w:hint="eastAsia" w:ascii="宋体" w:hAnsi="宋体" w:eastAsia="宋体" w:cs="宋体"/>
                <w:bCs/>
                <w:color w:val="auto"/>
                <w:sz w:val="21"/>
                <w:szCs w:val="21"/>
                <w:highlight w:val="none"/>
              </w:rPr>
              <w:t>监狱企业</w:t>
            </w:r>
            <w:r>
              <w:rPr>
                <w:rFonts w:hint="eastAsia" w:ascii="宋体" w:hAnsi="宋体" w:eastAsia="宋体" w:cs="宋体"/>
                <w:bCs/>
                <w:color w:val="auto"/>
                <w:sz w:val="21"/>
                <w:szCs w:val="21"/>
                <w:highlight w:val="none"/>
                <w:lang w:eastAsia="zh-CN"/>
              </w:rPr>
              <w:t>及</w:t>
            </w:r>
            <w:r>
              <w:rPr>
                <w:rFonts w:hint="eastAsia" w:ascii="宋体" w:hAnsi="宋体" w:eastAsia="宋体" w:cs="宋体"/>
                <w:bCs/>
                <w:color w:val="auto"/>
                <w:sz w:val="21"/>
                <w:szCs w:val="21"/>
                <w:highlight w:val="none"/>
              </w:rPr>
              <w:t>残疾人福利性单位</w:t>
            </w:r>
            <w:r>
              <w:rPr>
                <w:rFonts w:hint="eastAsia" w:ascii="宋体" w:hAnsi="宋体" w:eastAsia="宋体" w:cs="宋体"/>
                <w:bCs/>
                <w:color w:val="auto"/>
                <w:sz w:val="21"/>
                <w:szCs w:val="21"/>
                <w:highlight w:val="none"/>
                <w:lang w:eastAsia="zh-CN"/>
              </w:rPr>
              <w:t>均</w:t>
            </w:r>
            <w:r>
              <w:rPr>
                <w:rFonts w:hint="eastAsia" w:ascii="宋体" w:hAnsi="宋体" w:eastAsia="宋体" w:cs="宋体"/>
                <w:bCs/>
                <w:color w:val="auto"/>
                <w:sz w:val="21"/>
                <w:szCs w:val="21"/>
                <w:highlight w:val="none"/>
              </w:rPr>
              <w:t>属于小型、微型企业</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w:t>
            </w:r>
          </w:p>
          <w:p w14:paraId="35C5A045">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lang w:eastAsia="zh-CN"/>
              </w:rPr>
            </w:pPr>
            <w:bookmarkStart w:id="87" w:name="_Toc2470"/>
            <w:r>
              <w:rPr>
                <w:rFonts w:hint="eastAsia" w:ascii="宋体" w:hAnsi="宋体" w:eastAsia="宋体" w:cs="宋体"/>
                <w:bCs/>
                <w:color w:val="auto"/>
                <w:sz w:val="21"/>
                <w:szCs w:val="21"/>
                <w:highlight w:val="none"/>
              </w:rPr>
              <w:t>（3）</w:t>
            </w:r>
            <w:bookmarkEnd w:id="87"/>
            <w:bookmarkStart w:id="88" w:name="_Toc3438"/>
            <w:r>
              <w:rPr>
                <w:rFonts w:hint="eastAsia" w:ascii="宋体" w:hAnsi="宋体" w:eastAsia="宋体" w:cs="宋体"/>
                <w:bCs/>
                <w:color w:val="auto"/>
                <w:sz w:val="21"/>
                <w:szCs w:val="21"/>
                <w:highlight w:val="none"/>
              </w:rPr>
              <w:t>满足招标文件要求且评标报价最低的评标报价为评标基准价，其价格分为满分</w:t>
            </w:r>
            <w:r>
              <w:rPr>
                <w:rFonts w:hint="eastAsia" w:ascii="宋体" w:hAnsi="宋体" w:eastAsia="宋体" w:cs="宋体"/>
                <w:bCs/>
                <w:color w:val="auto"/>
                <w:sz w:val="21"/>
                <w:szCs w:val="21"/>
                <w:highlight w:val="none"/>
                <w:lang w:eastAsia="zh-CN"/>
              </w:rPr>
              <w:t>；</w:t>
            </w:r>
            <w:bookmarkEnd w:id="88"/>
          </w:p>
          <w:p w14:paraId="76B6CE7B">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Cs/>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）价格分计算公式：价格分=（评标基准价／评标报价）×</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r>
      <w:tr w14:paraId="41FA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restart"/>
            <w:tcBorders>
              <w:top w:val="single" w:color="auto" w:sz="4" w:space="0"/>
              <w:left w:val="single" w:color="auto" w:sz="4" w:space="0"/>
              <w:right w:val="single" w:color="auto" w:sz="4" w:space="0"/>
            </w:tcBorders>
            <w:noWrap/>
            <w:vAlign w:val="center"/>
          </w:tcPr>
          <w:p w14:paraId="4826A78A">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1</w:t>
            </w:r>
          </w:p>
        </w:tc>
        <w:tc>
          <w:tcPr>
            <w:tcW w:w="905" w:type="dxa"/>
            <w:vMerge w:val="restart"/>
            <w:tcBorders>
              <w:top w:val="single" w:color="auto" w:sz="4" w:space="0"/>
              <w:left w:val="single" w:color="auto" w:sz="4" w:space="0"/>
              <w:right w:val="single" w:color="auto" w:sz="4" w:space="0"/>
            </w:tcBorders>
            <w:noWrap/>
            <w:vAlign w:val="center"/>
          </w:tcPr>
          <w:p w14:paraId="122201E2">
            <w:pPr>
              <w:keepNext w:val="0"/>
              <w:keepLines w:val="0"/>
              <w:pageBreakBefore w:val="0"/>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
                <w:bCs w:val="0"/>
                <w:spacing w:val="-18"/>
                <w:szCs w:val="21"/>
                <w:highlight w:val="none"/>
              </w:rPr>
            </w:pPr>
            <w:r>
              <w:rPr>
                <w:rFonts w:hint="eastAsia" w:ascii="宋体" w:hAnsi="宋体" w:eastAsia="宋体" w:cs="宋体"/>
                <w:b/>
                <w:bCs w:val="0"/>
                <w:szCs w:val="21"/>
                <w:highlight w:val="none"/>
              </w:rPr>
              <w:t>技术分（</w:t>
            </w:r>
            <w:r>
              <w:rPr>
                <w:rFonts w:hint="eastAsia" w:ascii="宋体" w:hAnsi="宋体" w:eastAsia="宋体" w:cs="宋体"/>
                <w:b/>
                <w:bCs w:val="0"/>
                <w:highlight w:val="none"/>
              </w:rPr>
              <w:t>满分</w:t>
            </w:r>
            <w:r>
              <w:rPr>
                <w:rFonts w:hint="eastAsia" w:ascii="宋体" w:hAnsi="宋体" w:cs="宋体"/>
                <w:b/>
                <w:bCs w:val="0"/>
                <w:szCs w:val="21"/>
                <w:highlight w:val="none"/>
                <w:lang w:val="en-US" w:eastAsia="zh-CN"/>
              </w:rPr>
              <w:t>60</w:t>
            </w:r>
            <w:r>
              <w:rPr>
                <w:rFonts w:hint="eastAsia" w:ascii="宋体" w:hAnsi="宋体" w:eastAsia="宋体" w:cs="宋体"/>
                <w:b/>
                <w:bCs w:val="0"/>
                <w:szCs w:val="21"/>
                <w:highlight w:val="none"/>
              </w:rPr>
              <w:t>分）</w:t>
            </w:r>
          </w:p>
        </w:tc>
        <w:tc>
          <w:tcPr>
            <w:tcW w:w="1977" w:type="dxa"/>
            <w:tcBorders>
              <w:top w:val="single" w:color="auto" w:sz="4" w:space="0"/>
              <w:left w:val="single" w:color="auto" w:sz="4" w:space="0"/>
              <w:right w:val="single" w:color="auto" w:sz="4" w:space="0"/>
            </w:tcBorders>
            <w:noWrap/>
            <w:vAlign w:val="center"/>
          </w:tcPr>
          <w:p w14:paraId="4D9E4B14">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highlight w:val="none"/>
              </w:rPr>
            </w:pPr>
            <w:r>
              <w:rPr>
                <w:rFonts w:hint="eastAsia" w:ascii="宋体" w:hAnsi="宋体" w:cs="宋体"/>
                <w:bCs/>
                <w:highlight w:val="none"/>
                <w:lang w:val="en-US" w:eastAsia="zh-CN"/>
              </w:rPr>
              <w:t>1.1技术</w:t>
            </w:r>
            <w:r>
              <w:rPr>
                <w:rFonts w:hint="eastAsia" w:ascii="宋体" w:hAnsi="宋体" w:cs="宋体"/>
                <w:bCs/>
                <w:highlight w:val="none"/>
                <w:lang w:eastAsia="zh-CN"/>
              </w:rPr>
              <w:t>参数响应</w:t>
            </w:r>
            <w:r>
              <w:rPr>
                <w:rFonts w:hint="eastAsia" w:ascii="宋体" w:hAnsi="宋体" w:eastAsia="宋体" w:cs="宋体"/>
                <w:bCs/>
                <w:highlight w:val="none"/>
              </w:rPr>
              <w:t>（</w:t>
            </w:r>
            <w:r>
              <w:rPr>
                <w:rFonts w:hint="eastAsia" w:ascii="宋体" w:hAnsi="宋体" w:cs="宋体"/>
                <w:bCs/>
                <w:highlight w:val="none"/>
                <w:lang w:eastAsia="zh-CN"/>
              </w:rPr>
              <w:t>满分</w:t>
            </w:r>
            <w:r>
              <w:rPr>
                <w:rFonts w:hint="eastAsia" w:ascii="宋体" w:hAnsi="宋体" w:cs="宋体"/>
                <w:bCs/>
                <w:highlight w:val="none"/>
                <w:lang w:val="en-US" w:eastAsia="zh-CN"/>
              </w:rPr>
              <w:t>10</w:t>
            </w:r>
            <w:r>
              <w:rPr>
                <w:rFonts w:hint="eastAsia" w:ascii="宋体" w:hAnsi="宋体" w:eastAsia="宋体" w:cs="宋体"/>
                <w:bCs/>
                <w:highlight w:val="none"/>
              </w:rPr>
              <w:t>分）</w:t>
            </w:r>
          </w:p>
        </w:tc>
        <w:tc>
          <w:tcPr>
            <w:tcW w:w="6043" w:type="dxa"/>
            <w:tcBorders>
              <w:top w:val="single" w:color="auto" w:sz="4" w:space="0"/>
              <w:left w:val="single" w:color="auto" w:sz="4" w:space="0"/>
              <w:right w:val="single" w:color="auto" w:sz="4" w:space="0"/>
            </w:tcBorders>
            <w:noWrap/>
            <w:vAlign w:val="center"/>
          </w:tcPr>
          <w:p w14:paraId="4AB87C8A">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投标产品技术参数完全满足招标文件要求的得</w:t>
            </w:r>
            <w:r>
              <w:rPr>
                <w:rFonts w:hint="eastAsia" w:ascii="宋体" w:hAnsi="宋体" w:cs="宋体"/>
                <w:highlight w:val="none"/>
                <w:lang w:val="en-US" w:eastAsia="zh-CN"/>
              </w:rPr>
              <w:t>10</w:t>
            </w:r>
            <w:r>
              <w:rPr>
                <w:rFonts w:hint="eastAsia" w:ascii="宋体" w:hAnsi="宋体" w:eastAsia="宋体" w:cs="宋体"/>
                <w:highlight w:val="none"/>
              </w:rPr>
              <w:t>分，一般参数（不带▲号的条款）有负偏离的每</w:t>
            </w:r>
            <w:r>
              <w:rPr>
                <w:rFonts w:hint="eastAsia" w:ascii="宋体" w:hAnsi="宋体" w:cs="宋体"/>
                <w:highlight w:val="none"/>
                <w:lang w:eastAsia="zh-CN"/>
              </w:rPr>
              <w:t>有</w:t>
            </w:r>
            <w:r>
              <w:rPr>
                <w:rFonts w:hint="eastAsia" w:ascii="宋体" w:hAnsi="宋体" w:eastAsia="宋体" w:cs="宋体"/>
                <w:highlight w:val="none"/>
              </w:rPr>
              <w:t>一项扣</w:t>
            </w:r>
            <w:r>
              <w:rPr>
                <w:rFonts w:hint="eastAsia" w:ascii="宋体" w:hAnsi="宋体" w:cs="宋体"/>
                <w:highlight w:val="none"/>
                <w:lang w:val="en-US" w:eastAsia="zh-CN"/>
              </w:rPr>
              <w:t>2</w:t>
            </w:r>
            <w:r>
              <w:rPr>
                <w:rFonts w:hint="eastAsia" w:ascii="宋体" w:hAnsi="宋体" w:eastAsia="宋体" w:cs="宋体"/>
                <w:highlight w:val="none"/>
              </w:rPr>
              <w:t>分，漏项的每</w:t>
            </w:r>
            <w:r>
              <w:rPr>
                <w:rFonts w:hint="eastAsia" w:ascii="宋体" w:hAnsi="宋体" w:cs="宋体"/>
                <w:highlight w:val="none"/>
                <w:lang w:eastAsia="zh-CN"/>
              </w:rPr>
              <w:t>有</w:t>
            </w:r>
            <w:r>
              <w:rPr>
                <w:rFonts w:hint="eastAsia" w:ascii="宋体" w:hAnsi="宋体" w:eastAsia="宋体" w:cs="宋体"/>
                <w:highlight w:val="none"/>
              </w:rPr>
              <w:t>一项扣</w:t>
            </w:r>
            <w:r>
              <w:rPr>
                <w:rFonts w:hint="eastAsia" w:ascii="宋体" w:hAnsi="宋体" w:cs="宋体"/>
                <w:highlight w:val="none"/>
                <w:lang w:val="en-US" w:eastAsia="zh-CN"/>
              </w:rPr>
              <w:t>3</w:t>
            </w:r>
            <w:r>
              <w:rPr>
                <w:rFonts w:hint="eastAsia" w:ascii="宋体" w:hAnsi="宋体" w:eastAsia="宋体" w:cs="宋体"/>
                <w:highlight w:val="none"/>
              </w:rPr>
              <w:t>分</w:t>
            </w:r>
            <w:r>
              <w:rPr>
                <w:rFonts w:hint="eastAsia" w:ascii="宋体" w:hAnsi="宋体" w:eastAsia="宋体" w:cs="宋体"/>
                <w:sz w:val="21"/>
                <w:szCs w:val="21"/>
                <w:highlight w:val="none"/>
                <w:vertAlign w:val="baseline"/>
                <w:lang w:val="en-US" w:eastAsia="zh-CN"/>
              </w:rPr>
              <w:t>，扣完为止</w:t>
            </w:r>
            <w:r>
              <w:rPr>
                <w:rFonts w:hint="eastAsia" w:ascii="宋体" w:hAnsi="宋体" w:eastAsia="宋体" w:cs="宋体"/>
                <w:highlight w:val="none"/>
              </w:rPr>
              <w:t>。</w:t>
            </w:r>
          </w:p>
        </w:tc>
      </w:tr>
      <w:tr w14:paraId="7E26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5FCD64B0">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24607DB7">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top w:val="single" w:color="auto" w:sz="4" w:space="0"/>
              <w:left w:val="single" w:color="auto" w:sz="4" w:space="0"/>
              <w:right w:val="single" w:color="auto" w:sz="4" w:space="0"/>
            </w:tcBorders>
            <w:noWrap/>
            <w:vAlign w:val="center"/>
          </w:tcPr>
          <w:p w14:paraId="755BCCD8">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highlight w:val="none"/>
                <w:lang w:val="en-US" w:eastAsia="zh-CN"/>
              </w:rPr>
            </w:pPr>
            <w:r>
              <w:rPr>
                <w:rFonts w:hint="eastAsia" w:ascii="宋体" w:hAnsi="宋体" w:cs="宋体"/>
                <w:bCs/>
                <w:highlight w:val="none"/>
                <w:lang w:val="en-US" w:eastAsia="zh-CN"/>
              </w:rPr>
              <w:t>1.2</w:t>
            </w:r>
            <w:r>
              <w:rPr>
                <w:rFonts w:hint="eastAsia" w:ascii="宋体" w:hAnsi="宋体" w:eastAsia="宋体" w:cs="宋体"/>
                <w:color w:val="auto"/>
                <w:sz w:val="21"/>
                <w:szCs w:val="21"/>
                <w:highlight w:val="none"/>
                <w:lang w:eastAsia="zh-CN"/>
              </w:rPr>
              <w:t>重要技术参数</w:t>
            </w:r>
            <w:r>
              <w:rPr>
                <w:rFonts w:hint="eastAsia" w:ascii="宋体" w:hAnsi="宋体" w:eastAsia="宋体" w:cs="宋体"/>
                <w:bCs/>
                <w:highlight w:val="none"/>
              </w:rPr>
              <w:t>（</w:t>
            </w:r>
            <w:r>
              <w:rPr>
                <w:rFonts w:hint="eastAsia" w:ascii="宋体" w:hAnsi="宋体" w:cs="宋体"/>
                <w:bCs/>
                <w:highlight w:val="none"/>
                <w:lang w:eastAsia="zh-CN"/>
              </w:rPr>
              <w:t>满分</w:t>
            </w:r>
            <w:r>
              <w:rPr>
                <w:rFonts w:hint="eastAsia" w:ascii="宋体" w:hAnsi="宋体" w:cs="宋体"/>
                <w:bCs/>
                <w:highlight w:val="none"/>
                <w:lang w:val="en-US" w:eastAsia="zh-CN"/>
              </w:rPr>
              <w:t>20</w:t>
            </w:r>
            <w:r>
              <w:rPr>
                <w:rFonts w:hint="eastAsia" w:ascii="宋体" w:hAnsi="宋体" w:eastAsia="宋体" w:cs="宋体"/>
                <w:bCs/>
                <w:highlight w:val="none"/>
              </w:rPr>
              <w:t>分）</w:t>
            </w:r>
          </w:p>
        </w:tc>
        <w:tc>
          <w:tcPr>
            <w:tcW w:w="6043" w:type="dxa"/>
            <w:tcBorders>
              <w:top w:val="single" w:color="auto" w:sz="4" w:space="0"/>
              <w:left w:val="single" w:color="auto" w:sz="4" w:space="0"/>
              <w:right w:val="single" w:color="auto" w:sz="4" w:space="0"/>
            </w:tcBorders>
            <w:noWrap/>
            <w:vAlign w:val="center"/>
          </w:tcPr>
          <w:p w14:paraId="082123C5">
            <w:pPr>
              <w:keepNext w:val="0"/>
              <w:keepLines w:val="0"/>
              <w:pageBreakBefore w:val="0"/>
              <w:kinsoku/>
              <w:wordWrap/>
              <w:overflowPunct/>
              <w:topLinePunct w:val="0"/>
              <w:autoSpaceDE/>
              <w:autoSpaceDN/>
              <w:bidi w:val="0"/>
              <w:snapToGrid/>
              <w:spacing w:line="400" w:lineRule="exact"/>
              <w:rPr>
                <w:rFonts w:hint="default"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rPr>
              <w:t>投标时能在投标文件中提供能详细、清晰、直观体现以下各系统各模块功能参数的有效证明材料（包含检验报告或软件功能截图）的，每有一个得2分，此项满分20分：</w:t>
            </w:r>
          </w:p>
          <w:p w14:paraId="07E5228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1.2.1完成本项目拟投入的“</w:t>
            </w:r>
            <w:r>
              <w:rPr>
                <w:rFonts w:hint="eastAsia" w:ascii="宋体" w:hAnsi="宋体" w:eastAsia="宋体" w:cs="宋体"/>
                <w:color w:val="auto"/>
                <w:kern w:val="0"/>
                <w:sz w:val="21"/>
                <w:szCs w:val="21"/>
                <w:highlight w:val="none"/>
                <w:lang w:val="en-US" w:eastAsia="zh-CN"/>
              </w:rPr>
              <w:t>住院病案归档系统”</w:t>
            </w:r>
            <w:r>
              <w:rPr>
                <w:rFonts w:hint="eastAsia" w:ascii="宋体" w:hAnsi="宋体" w:cs="宋体"/>
                <w:lang w:val="en-US" w:eastAsia="zh-CN"/>
              </w:rPr>
              <w:t>－</w:t>
            </w:r>
            <w:r>
              <w:rPr>
                <w:rFonts w:hint="eastAsia" w:ascii="宋体" w:hAnsi="宋体" w:eastAsia="宋体" w:cs="宋体"/>
                <w:color w:val="auto"/>
                <w:kern w:val="0"/>
                <w:sz w:val="21"/>
                <w:szCs w:val="21"/>
                <w:highlight w:val="none"/>
                <w:lang w:val="en-US" w:eastAsia="zh-CN"/>
              </w:rPr>
              <w:t>采集模块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“可收集信息孤岛设备所产生的报告，可对报告进行电子签名，并在报告上添加诊断信息”功能。</w:t>
            </w:r>
          </w:p>
          <w:p w14:paraId="4EBF6F1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1.2.2完成本项目拟投入的“</w:t>
            </w:r>
            <w:r>
              <w:rPr>
                <w:rFonts w:hint="eastAsia" w:ascii="宋体" w:hAnsi="宋体" w:eastAsia="宋体" w:cs="宋体"/>
                <w:color w:val="auto"/>
                <w:kern w:val="0"/>
                <w:sz w:val="21"/>
                <w:szCs w:val="21"/>
                <w:highlight w:val="none"/>
                <w:lang w:val="en-US" w:eastAsia="zh-CN"/>
              </w:rPr>
              <w:t>住院病案归档系统”</w:t>
            </w:r>
            <w:r>
              <w:rPr>
                <w:rFonts w:hint="eastAsia" w:ascii="宋体" w:hAnsi="宋体" w:cs="宋体"/>
                <w:lang w:val="en-US" w:eastAsia="zh-CN"/>
              </w:rPr>
              <w:t>－</w:t>
            </w:r>
            <w:r>
              <w:rPr>
                <w:rFonts w:hint="eastAsia" w:ascii="宋体" w:hAnsi="宋体" w:eastAsia="宋体" w:cs="宋体"/>
                <w:color w:val="auto"/>
                <w:kern w:val="0"/>
                <w:sz w:val="21"/>
                <w:szCs w:val="21"/>
                <w:highlight w:val="none"/>
                <w:lang w:val="en-US" w:eastAsia="zh-CN"/>
              </w:rPr>
              <w:t>智能预审核模块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支持提供可视化页面对各临床业务系统病案文书上传的完整性进行校验，如文书上传校验，支持显示各系统的文书上传情况，如上传进度、通知时间、最后获取文书时间、上传文书名称，直观显示每个系统是否上传完整；若发现病案不完整，支持手动触发重传操作</w:t>
            </w:r>
            <w:r>
              <w:rPr>
                <w:rFonts w:hint="eastAsia" w:ascii="宋体" w:hAnsi="宋体" w:eastAsia="宋体" w:cs="宋体"/>
                <w:color w:val="auto"/>
                <w:kern w:val="0"/>
                <w:sz w:val="21"/>
                <w:szCs w:val="21"/>
                <w:highlight w:val="none"/>
                <w:lang w:val="en-US" w:eastAsia="zh-CN"/>
              </w:rPr>
              <w:t>”功能。</w:t>
            </w:r>
          </w:p>
          <w:p w14:paraId="04A8495A">
            <w:pPr>
              <w:keepNext w:val="0"/>
              <w:keepLines w:val="0"/>
              <w:pageBreakBefore w:val="0"/>
              <w:kinsoku/>
              <w:wordWrap/>
              <w:overflowPunct/>
              <w:topLinePunct w:val="0"/>
              <w:autoSpaceDE/>
              <w:autoSpaceDN/>
              <w:bidi w:val="0"/>
              <w:snapToGrid/>
              <w:spacing w:line="400" w:lineRule="exact"/>
              <w:rPr>
                <w:rFonts w:hint="default" w:ascii="宋体" w:hAnsi="宋体" w:eastAsia="宋体" w:cs="宋体"/>
                <w:highlight w:val="none"/>
                <w:lang w:val="en-US" w:eastAsia="zh-CN"/>
              </w:rPr>
            </w:pPr>
            <w:r>
              <w:rPr>
                <w:rFonts w:hint="eastAsia" w:ascii="宋体" w:hAnsi="宋体" w:eastAsia="宋体" w:cs="宋体"/>
                <w:highlight w:val="none"/>
                <w:lang w:val="en-US" w:eastAsia="zh-CN"/>
              </w:rPr>
              <w:t>1.2.3完成本项目拟投入的“</w:t>
            </w:r>
            <w:r>
              <w:rPr>
                <w:rFonts w:hint="eastAsia" w:ascii="宋体" w:hAnsi="宋体" w:eastAsia="宋体" w:cs="宋体"/>
                <w:color w:val="auto"/>
                <w:kern w:val="0"/>
                <w:sz w:val="21"/>
                <w:szCs w:val="21"/>
                <w:highlight w:val="none"/>
                <w:lang w:val="en-US" w:eastAsia="zh-CN"/>
              </w:rPr>
              <w:t>住院病案归档系统”</w:t>
            </w:r>
            <w:r>
              <w:rPr>
                <w:rFonts w:hint="eastAsia" w:ascii="宋体" w:hAnsi="宋体" w:cs="宋体"/>
                <w:lang w:val="en-US" w:eastAsia="zh-CN"/>
              </w:rPr>
              <w:t>－</w:t>
            </w:r>
            <w:r>
              <w:rPr>
                <w:rFonts w:hint="eastAsia" w:ascii="宋体" w:hAnsi="宋体" w:eastAsia="宋体" w:cs="宋体"/>
                <w:color w:val="auto"/>
                <w:kern w:val="0"/>
                <w:sz w:val="21"/>
                <w:szCs w:val="21"/>
                <w:highlight w:val="none"/>
                <w:lang w:val="en-US" w:eastAsia="zh-CN"/>
              </w:rPr>
              <w:t>借阅模块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支持病案以网址的形式实现共享，便于其他院内系统查询患者已归档病案</w:t>
            </w:r>
            <w:r>
              <w:rPr>
                <w:rFonts w:hint="eastAsia" w:ascii="宋体" w:hAnsi="宋体" w:eastAsia="宋体" w:cs="宋体"/>
                <w:color w:val="auto"/>
                <w:kern w:val="0"/>
                <w:sz w:val="21"/>
                <w:szCs w:val="21"/>
                <w:highlight w:val="none"/>
                <w:lang w:val="en-US" w:eastAsia="zh-CN"/>
              </w:rPr>
              <w:t>”功能。</w:t>
            </w:r>
          </w:p>
          <w:p w14:paraId="5357B983">
            <w:pPr>
              <w:keepNext w:val="0"/>
              <w:keepLines w:val="0"/>
              <w:pageBreakBefore w:val="0"/>
              <w:kinsoku/>
              <w:wordWrap/>
              <w:overflowPunct/>
              <w:topLinePunct w:val="0"/>
              <w:autoSpaceDE/>
              <w:autoSpaceDN/>
              <w:bidi w:val="0"/>
              <w:snapToGrid/>
              <w:spacing w:line="400" w:lineRule="exact"/>
              <w:rPr>
                <w:rFonts w:hint="default" w:ascii="宋体" w:hAnsi="宋体" w:eastAsia="宋体" w:cs="宋体"/>
                <w:highlight w:val="none"/>
                <w:lang w:val="en-US" w:eastAsia="zh-CN"/>
              </w:rPr>
            </w:pPr>
            <w:r>
              <w:rPr>
                <w:rFonts w:hint="eastAsia" w:ascii="宋体" w:hAnsi="宋体" w:eastAsia="宋体" w:cs="宋体"/>
                <w:highlight w:val="none"/>
                <w:lang w:val="en-US" w:eastAsia="zh-CN"/>
              </w:rPr>
              <w:t>1.2.4完成本项目拟投入的“</w:t>
            </w:r>
            <w:r>
              <w:rPr>
                <w:rFonts w:hint="eastAsia" w:ascii="宋体" w:hAnsi="宋体" w:eastAsia="宋体" w:cs="宋体"/>
                <w:color w:val="auto"/>
                <w:kern w:val="0"/>
                <w:sz w:val="21"/>
                <w:szCs w:val="21"/>
                <w:highlight w:val="none"/>
                <w:lang w:val="en-US" w:eastAsia="zh-CN"/>
              </w:rPr>
              <w:t>住院病案归档系统”</w:t>
            </w:r>
            <w:r>
              <w:rPr>
                <w:rFonts w:hint="eastAsia" w:ascii="宋体" w:hAnsi="宋体" w:cs="宋体"/>
                <w:lang w:val="en-US" w:eastAsia="zh-CN"/>
              </w:rPr>
              <w:t>－</w:t>
            </w:r>
            <w:r>
              <w:rPr>
                <w:rFonts w:hint="eastAsia" w:ascii="宋体" w:hAnsi="宋体" w:eastAsia="宋体" w:cs="宋体"/>
                <w:color w:val="auto"/>
                <w:kern w:val="0"/>
                <w:sz w:val="21"/>
                <w:szCs w:val="21"/>
                <w:highlight w:val="none"/>
                <w:lang w:val="en-US" w:eastAsia="zh-CN"/>
              </w:rPr>
              <w:t>保密与验证模块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支持病案加盖科室电子签章，并且可自定义配置签章</w:t>
            </w:r>
            <w:r>
              <w:rPr>
                <w:rFonts w:hint="eastAsia" w:ascii="宋体" w:hAnsi="宋体" w:eastAsia="宋体" w:cs="宋体"/>
                <w:color w:val="auto"/>
                <w:kern w:val="0"/>
                <w:sz w:val="21"/>
                <w:szCs w:val="21"/>
                <w:highlight w:val="none"/>
                <w:lang w:val="en-US" w:eastAsia="zh-CN"/>
              </w:rPr>
              <w:t>”功能。</w:t>
            </w:r>
          </w:p>
          <w:p w14:paraId="27349928">
            <w:pPr>
              <w:keepNext w:val="0"/>
              <w:keepLines w:val="0"/>
              <w:pageBreakBefore w:val="0"/>
              <w:kinsoku/>
              <w:wordWrap/>
              <w:overflowPunct/>
              <w:topLinePunct w:val="0"/>
              <w:autoSpaceDE/>
              <w:autoSpaceDN/>
              <w:bidi w:val="0"/>
              <w:snapToGrid/>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1.2.5完成本项目拟投入的“</w:t>
            </w:r>
            <w:r>
              <w:rPr>
                <w:rFonts w:hint="eastAsia" w:ascii="宋体" w:hAnsi="宋体" w:eastAsia="宋体" w:cs="宋体"/>
                <w:color w:val="auto"/>
                <w:kern w:val="0"/>
                <w:sz w:val="21"/>
                <w:szCs w:val="21"/>
                <w:highlight w:val="none"/>
                <w:lang w:val="en-US" w:eastAsia="zh-CN"/>
              </w:rPr>
              <w:t>住院病案归档系统”</w:t>
            </w:r>
            <w:r>
              <w:rPr>
                <w:rFonts w:hint="eastAsia" w:ascii="宋体" w:hAnsi="宋体" w:cs="宋体"/>
                <w:lang w:val="en-US" w:eastAsia="zh-CN"/>
              </w:rPr>
              <w:t>－</w:t>
            </w:r>
            <w:r>
              <w:rPr>
                <w:rFonts w:hint="eastAsia" w:ascii="宋体" w:hAnsi="宋体" w:eastAsia="宋体" w:cs="宋体"/>
                <w:color w:val="auto"/>
                <w:kern w:val="0"/>
                <w:sz w:val="21"/>
                <w:szCs w:val="21"/>
                <w:highlight w:val="none"/>
                <w:lang w:val="en-US" w:eastAsia="zh-CN"/>
              </w:rPr>
              <w:t>系统设置模块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根据验签配置，对每一份病案进行验签，存储验签数据和结果</w:t>
            </w:r>
            <w:r>
              <w:rPr>
                <w:rFonts w:hint="eastAsia" w:ascii="宋体" w:hAnsi="宋体" w:eastAsia="宋体" w:cs="宋体"/>
                <w:color w:val="auto"/>
                <w:kern w:val="0"/>
                <w:sz w:val="21"/>
                <w:szCs w:val="21"/>
                <w:highlight w:val="none"/>
                <w:lang w:val="en-US" w:eastAsia="zh-CN"/>
              </w:rPr>
              <w:t>”功能。</w:t>
            </w:r>
          </w:p>
          <w:p w14:paraId="7A3EE52E">
            <w:pPr>
              <w:keepNext w:val="0"/>
              <w:keepLines w:val="0"/>
              <w:pageBreakBefore w:val="0"/>
              <w:kinsoku/>
              <w:wordWrap/>
              <w:overflowPunct/>
              <w:topLinePunct w:val="0"/>
              <w:autoSpaceDE/>
              <w:autoSpaceDN/>
              <w:bidi w:val="0"/>
              <w:snapToGrid/>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1.2.6完成本项目拟投入的“</w:t>
            </w:r>
            <w:r>
              <w:rPr>
                <w:rFonts w:hint="eastAsia" w:ascii="宋体" w:hAnsi="宋体" w:eastAsia="宋体" w:cs="宋体"/>
                <w:color w:val="auto"/>
                <w:kern w:val="0"/>
                <w:sz w:val="21"/>
                <w:szCs w:val="21"/>
                <w:highlight w:val="none"/>
                <w:lang w:val="en-US" w:eastAsia="zh-CN"/>
              </w:rPr>
              <w:t>门急诊病案归档系统”</w:t>
            </w:r>
            <w:r>
              <w:rPr>
                <w:rFonts w:hint="eastAsia" w:ascii="宋体" w:hAnsi="宋体" w:cs="宋体"/>
                <w:lang w:val="en-US" w:eastAsia="zh-CN"/>
              </w:rPr>
              <w:t>－</w:t>
            </w:r>
            <w:r>
              <w:rPr>
                <w:rFonts w:hint="eastAsia" w:ascii="宋体" w:hAnsi="宋体" w:eastAsia="宋体" w:cs="宋体"/>
                <w:color w:val="auto"/>
                <w:kern w:val="0"/>
                <w:sz w:val="21"/>
                <w:szCs w:val="21"/>
                <w:highlight w:val="none"/>
                <w:lang w:val="en-US" w:eastAsia="zh-CN"/>
              </w:rPr>
              <w:t>门急诊病案归档模块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支持对超时未归档的病案进行上传，可根据流水号、临床系统名称、创建日期等条件进行查询，支持查看病案上传状态</w:t>
            </w:r>
            <w:r>
              <w:rPr>
                <w:rFonts w:hint="eastAsia" w:ascii="宋体" w:hAnsi="宋体" w:eastAsia="宋体" w:cs="宋体"/>
                <w:color w:val="auto"/>
                <w:kern w:val="0"/>
                <w:sz w:val="21"/>
                <w:szCs w:val="21"/>
                <w:highlight w:val="none"/>
                <w:lang w:val="en-US" w:eastAsia="zh-CN"/>
              </w:rPr>
              <w:t>”功能。</w:t>
            </w:r>
          </w:p>
          <w:p w14:paraId="3FB7F13D">
            <w:pPr>
              <w:keepNext w:val="0"/>
              <w:keepLines w:val="0"/>
              <w:pageBreakBefore w:val="0"/>
              <w:kinsoku/>
              <w:wordWrap/>
              <w:overflowPunct/>
              <w:topLinePunct w:val="0"/>
              <w:autoSpaceDE/>
              <w:autoSpaceDN/>
              <w:bidi w:val="0"/>
              <w:snapToGrid/>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1.2.7完成本项目拟投入的“</w:t>
            </w:r>
            <w:r>
              <w:rPr>
                <w:rFonts w:hint="eastAsia" w:ascii="宋体" w:hAnsi="宋体" w:eastAsia="宋体" w:cs="宋体"/>
                <w:color w:val="auto"/>
                <w:kern w:val="0"/>
                <w:sz w:val="21"/>
                <w:szCs w:val="21"/>
                <w:highlight w:val="none"/>
                <w:lang w:val="en-US" w:eastAsia="zh-CN"/>
              </w:rPr>
              <w:t>病案数字化翻拍系统”</w:t>
            </w:r>
            <w:r>
              <w:rPr>
                <w:rFonts w:hint="eastAsia" w:ascii="宋体" w:hAnsi="宋体" w:cs="宋体"/>
                <w:lang w:val="en-US" w:eastAsia="zh-CN"/>
              </w:rPr>
              <w:t>－</w:t>
            </w:r>
            <w:r>
              <w:rPr>
                <w:rFonts w:hint="eastAsia" w:ascii="宋体" w:hAnsi="宋体" w:eastAsia="宋体" w:cs="宋体"/>
                <w:lang w:val="en-US" w:eastAsia="zh-CN"/>
              </w:rPr>
              <w:t>病案管理模块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“上架示踪：提供病案装箱上架示踪功能，可对纸质病案的实际存放位置进行记录，通过系统可查询病案装箱信息，便于需要时快速查询定位纸质病案所在位置”功能。</w:t>
            </w:r>
          </w:p>
          <w:p w14:paraId="4BA2A8BB">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lang w:val="en-US" w:eastAsia="zh-CN"/>
              </w:rPr>
              <w:t>1.2.8完成本项目拟投入的“</w:t>
            </w:r>
            <w:r>
              <w:rPr>
                <w:rFonts w:hint="eastAsia" w:ascii="宋体" w:hAnsi="宋体" w:eastAsia="宋体" w:cs="宋体"/>
                <w:color w:val="auto"/>
                <w:kern w:val="0"/>
                <w:sz w:val="21"/>
                <w:szCs w:val="21"/>
                <w:highlight w:val="none"/>
                <w:lang w:val="en-US" w:eastAsia="zh-CN"/>
              </w:rPr>
              <w:t>病案数字化翻拍系统”</w:t>
            </w:r>
            <w:r>
              <w:rPr>
                <w:rFonts w:hint="eastAsia" w:ascii="宋体" w:hAnsi="宋体" w:cs="宋体"/>
                <w:lang w:val="en-US" w:eastAsia="zh-CN"/>
              </w:rPr>
              <w:t>－</w:t>
            </w:r>
            <w:r>
              <w:rPr>
                <w:rFonts w:hint="eastAsia" w:ascii="宋体" w:hAnsi="宋体" w:eastAsia="宋体" w:cs="宋体"/>
                <w:color w:val="auto"/>
                <w:kern w:val="0"/>
                <w:sz w:val="21"/>
                <w:szCs w:val="21"/>
                <w:highlight w:val="none"/>
                <w:lang w:val="en-US" w:eastAsia="zh-CN"/>
              </w:rPr>
              <w:t>图像加工模块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 w:val="0"/>
                <w:bCs w:val="0"/>
                <w:lang w:val="en-US" w:eastAsia="zh-CN"/>
              </w:rPr>
              <w:t>AI智能分目：系统需提供基于人工智能算法的自动分目功能。将扫描的数字化病案进行识别和结构分析，将其自动的分类进入对应的病案目录。通过自动化分目后，病案可以直接归档，也可以进行人工核查后再归档</w:t>
            </w:r>
            <w:r>
              <w:rPr>
                <w:rFonts w:hint="eastAsia" w:ascii="宋体" w:hAnsi="宋体" w:eastAsia="宋体" w:cs="宋体"/>
                <w:color w:val="auto"/>
                <w:kern w:val="0"/>
                <w:sz w:val="21"/>
                <w:szCs w:val="21"/>
                <w:highlight w:val="none"/>
                <w:lang w:val="en-US" w:eastAsia="zh-CN"/>
              </w:rPr>
              <w:t>”功能。</w:t>
            </w:r>
          </w:p>
          <w:p w14:paraId="5B6F0B2A">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lang w:val="en-US" w:eastAsia="zh-CN"/>
              </w:rPr>
              <w:t>1.2.9完成本项目拟投入的“</w:t>
            </w:r>
            <w:r>
              <w:rPr>
                <w:rFonts w:hint="eastAsia" w:ascii="宋体" w:hAnsi="宋体" w:eastAsia="宋体" w:cs="宋体"/>
                <w:color w:val="auto"/>
                <w:kern w:val="0"/>
                <w:sz w:val="21"/>
                <w:szCs w:val="21"/>
                <w:highlight w:val="none"/>
                <w:lang w:val="en-US" w:eastAsia="zh-CN"/>
              </w:rPr>
              <w:t>病案数字化翻拍系统”</w:t>
            </w:r>
            <w:r>
              <w:rPr>
                <w:rFonts w:hint="eastAsia" w:ascii="宋体" w:hAnsi="宋体" w:cs="宋体"/>
                <w:lang w:val="en-US" w:eastAsia="zh-CN"/>
              </w:rPr>
              <w:t>－</w:t>
            </w:r>
            <w:r>
              <w:rPr>
                <w:rFonts w:hint="eastAsia" w:ascii="宋体" w:hAnsi="宋体" w:eastAsia="宋体" w:cs="宋体"/>
                <w:color w:val="auto"/>
                <w:kern w:val="0"/>
                <w:sz w:val="21"/>
                <w:szCs w:val="21"/>
                <w:highlight w:val="none"/>
                <w:lang w:val="en-US" w:eastAsia="zh-CN"/>
              </w:rPr>
              <w:t>图像加工模块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“核查退回：提供核查退回功能，备注退回原因，并标记为异常病案；并支持插入、替换等操作”功能。</w:t>
            </w:r>
          </w:p>
          <w:p w14:paraId="2B7A3149">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highlight w:val="none"/>
                <w:lang w:val="en-US" w:eastAsia="zh-CN"/>
              </w:rPr>
              <w:t>1.2.10完成本项目拟投入的“</w:t>
            </w:r>
            <w:r>
              <w:rPr>
                <w:rFonts w:hint="eastAsia" w:ascii="宋体" w:hAnsi="宋体" w:eastAsia="宋体" w:cs="宋体"/>
                <w:color w:val="auto"/>
                <w:kern w:val="0"/>
                <w:sz w:val="21"/>
                <w:szCs w:val="21"/>
                <w:highlight w:val="none"/>
                <w:lang w:val="en-US" w:eastAsia="zh-CN"/>
              </w:rPr>
              <w:t>病案数字化翻拍系统”</w:t>
            </w:r>
            <w:r>
              <w:rPr>
                <w:rFonts w:hint="eastAsia" w:ascii="宋体" w:hAnsi="宋体" w:cs="宋体"/>
                <w:lang w:val="en-US" w:eastAsia="zh-CN"/>
              </w:rPr>
              <w:t>－</w:t>
            </w:r>
            <w:r>
              <w:rPr>
                <w:rFonts w:hint="eastAsia" w:ascii="宋体" w:hAnsi="宋体" w:eastAsia="宋体" w:cs="宋体"/>
                <w:lang w:val="en-US" w:eastAsia="zh-CN"/>
              </w:rPr>
              <w:t>病案导出模块</w:t>
            </w:r>
            <w:r>
              <w:rPr>
                <w:rFonts w:hint="eastAsia" w:ascii="宋体" w:hAnsi="宋体" w:cs="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lang w:val="en-US" w:eastAsia="zh-CN"/>
              </w:rPr>
              <w:t>“HQMS死亡上报目录导出：系统可按照HQMS目录要求自动识别病案内容类别并导出”功能（要求证明材料体现示例：“导出目录规则可满足《国家卫健委办公厅关于开展死亡和非医嘱离院病案报告工作的通知》中提出的全病案上传内容及要求”）。</w:t>
            </w:r>
          </w:p>
          <w:p w14:paraId="488C1117">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p>
          <w:p w14:paraId="179B9DEE">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highlight w:val="none"/>
                <w:lang w:val="en-US" w:eastAsia="zh-CN"/>
              </w:rPr>
              <w:t>“详细、清晰、直观”是指通过证明材料反映整项功能参数要求，如证明材料为功能截图，截图数量不限，但应能通过多张截图反映所对应的功能参数内容及操作过程，否则</w:t>
            </w:r>
            <w:r>
              <w:rPr>
                <w:rFonts w:hint="eastAsia" w:ascii="宋体" w:hAnsi="宋体" w:eastAsia="宋体" w:cs="宋体"/>
                <w:b/>
                <w:bCs/>
                <w:color w:val="auto"/>
                <w:kern w:val="0"/>
                <w:sz w:val="21"/>
                <w:szCs w:val="21"/>
                <w:highlight w:val="none"/>
                <w:lang w:val="en-US" w:eastAsia="zh-CN"/>
              </w:rPr>
              <w:t>该项不予评分；</w:t>
            </w:r>
          </w:p>
          <w:p w14:paraId="459F0CD1">
            <w:pPr>
              <w:keepNext w:val="0"/>
              <w:keepLines w:val="0"/>
              <w:pageBreakBefore w:val="0"/>
              <w:kinsoku/>
              <w:wordWrap/>
              <w:overflowPunct/>
              <w:topLinePunct w:val="0"/>
              <w:autoSpaceDE/>
              <w:autoSpaceDN/>
              <w:bidi w:val="0"/>
              <w:snapToGrid/>
              <w:spacing w:line="400" w:lineRule="exact"/>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（2）</w:t>
            </w:r>
            <w:r>
              <w:rPr>
                <w:rFonts w:hint="eastAsia" w:ascii="宋体" w:hAnsi="宋体" w:eastAsia="宋体" w:cs="宋体"/>
                <w:b/>
                <w:bCs/>
                <w:color w:val="auto"/>
                <w:kern w:val="0"/>
                <w:sz w:val="21"/>
                <w:szCs w:val="21"/>
                <w:highlight w:val="none"/>
                <w:lang w:val="en-US" w:eastAsia="zh-CN"/>
              </w:rPr>
              <w:t>未提供有效证明材料的或所提供的证明材料不能完全体现所对应功能参数的该项不予评分。</w:t>
            </w:r>
          </w:p>
        </w:tc>
      </w:tr>
      <w:tr w14:paraId="2641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2D3F1300">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0D50BF3B">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left w:val="single" w:color="auto" w:sz="4" w:space="0"/>
              <w:right w:val="single" w:color="auto" w:sz="4" w:space="0"/>
            </w:tcBorders>
            <w:noWrap/>
            <w:vAlign w:val="center"/>
          </w:tcPr>
          <w:p w14:paraId="580CBE67">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default" w:ascii="宋体" w:hAnsi="宋体" w:cs="宋体"/>
                <w:bCs/>
                <w:highlight w:val="none"/>
                <w:lang w:val="en-US" w:eastAsia="zh-CN"/>
              </w:rPr>
            </w:pPr>
            <w:r>
              <w:rPr>
                <w:rFonts w:hint="eastAsia" w:ascii="宋体" w:hAnsi="宋体" w:cs="宋体"/>
                <w:bCs/>
                <w:highlight w:val="none"/>
                <w:lang w:val="en-US" w:eastAsia="zh-CN"/>
              </w:rPr>
              <w:t>1.3项目实施方案（满分18分）</w:t>
            </w:r>
          </w:p>
        </w:tc>
        <w:tc>
          <w:tcPr>
            <w:tcW w:w="6043" w:type="dxa"/>
            <w:tcBorders>
              <w:top w:val="single" w:color="auto" w:sz="4" w:space="0"/>
              <w:left w:val="single" w:color="auto" w:sz="4" w:space="0"/>
              <w:right w:val="single" w:color="auto" w:sz="4" w:space="0"/>
            </w:tcBorders>
            <w:shd w:val="clear" w:color="auto" w:fill="auto"/>
            <w:noWrap/>
            <w:vAlign w:val="center"/>
          </w:tcPr>
          <w:p w14:paraId="50B0BAB3">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w:t>
            </w:r>
            <w:r>
              <w:rPr>
                <w:rFonts w:hint="default" w:ascii="宋体" w:hAnsi="宋体" w:eastAsia="宋体" w:cs="宋体"/>
                <w:kern w:val="2"/>
                <w:sz w:val="21"/>
                <w:szCs w:val="24"/>
                <w:highlight w:val="none"/>
                <w:lang w:val="en-US" w:eastAsia="zh-CN" w:bidi="ar-SA"/>
              </w:rPr>
              <w:t>根据</w:t>
            </w:r>
            <w:r>
              <w:rPr>
                <w:rFonts w:hint="eastAsia" w:ascii="宋体" w:hAnsi="宋体" w:eastAsia="宋体" w:cs="宋体"/>
                <w:kern w:val="2"/>
                <w:sz w:val="21"/>
                <w:szCs w:val="24"/>
                <w:highlight w:val="none"/>
                <w:lang w:val="en-US" w:eastAsia="zh-CN" w:bidi="ar-SA"/>
              </w:rPr>
              <w:t>投标人所</w:t>
            </w:r>
            <w:r>
              <w:rPr>
                <w:rFonts w:hint="default" w:ascii="宋体" w:hAnsi="宋体" w:eastAsia="宋体" w:cs="宋体"/>
                <w:kern w:val="2"/>
                <w:sz w:val="21"/>
                <w:szCs w:val="24"/>
                <w:highlight w:val="none"/>
                <w:lang w:val="en-US" w:eastAsia="zh-CN" w:bidi="ar-SA"/>
              </w:rPr>
              <w:t>提供的项目实施方案（包括但不限于项目进度表、风险保障措施等</w:t>
            </w:r>
            <w:r>
              <w:rPr>
                <w:rFonts w:hint="eastAsia" w:ascii="宋体" w:hAnsi="宋体" w:eastAsia="宋体" w:cs="宋体"/>
                <w:kern w:val="2"/>
                <w:sz w:val="21"/>
                <w:szCs w:val="24"/>
                <w:highlight w:val="none"/>
                <w:lang w:val="en-US" w:eastAsia="zh-CN" w:bidi="ar-SA"/>
              </w:rPr>
              <w:t>内容</w:t>
            </w:r>
            <w:r>
              <w:rPr>
                <w:rFonts w:hint="default" w:ascii="宋体" w:hAnsi="宋体" w:eastAsia="宋体" w:cs="宋体"/>
                <w:kern w:val="2"/>
                <w:sz w:val="21"/>
                <w:szCs w:val="24"/>
                <w:highlight w:val="none"/>
                <w:lang w:val="en-US" w:eastAsia="zh-CN" w:bidi="ar-SA"/>
              </w:rPr>
              <w:t>）情况进行独立</w:t>
            </w:r>
            <w:r>
              <w:rPr>
                <w:rFonts w:hint="eastAsia" w:ascii="宋体" w:hAnsi="宋体" w:eastAsia="宋体" w:cs="宋体"/>
                <w:kern w:val="2"/>
                <w:sz w:val="21"/>
                <w:szCs w:val="24"/>
                <w:highlight w:val="none"/>
                <w:lang w:val="en-US" w:eastAsia="zh-CN" w:bidi="ar-SA"/>
              </w:rPr>
              <w:t>评审：</w:t>
            </w:r>
          </w:p>
          <w:p w14:paraId="5206A13A">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一档（0分）：未提供实施方案或所提供的方案不满足以下任何一档要求的。</w:t>
            </w:r>
          </w:p>
          <w:p w14:paraId="029E019E">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二档（</w:t>
            </w:r>
            <w:r>
              <w:rPr>
                <w:rFonts w:hint="eastAsia" w:ascii="宋体" w:hAnsi="宋体" w:cs="宋体"/>
                <w:kern w:val="2"/>
                <w:sz w:val="21"/>
                <w:szCs w:val="24"/>
                <w:highlight w:val="none"/>
                <w:lang w:val="en-US" w:eastAsia="zh-CN" w:bidi="ar-SA"/>
              </w:rPr>
              <w:t>6</w:t>
            </w:r>
            <w:r>
              <w:rPr>
                <w:rFonts w:hint="default" w:ascii="宋体" w:hAnsi="宋体" w:eastAsia="宋体" w:cs="宋体"/>
                <w:kern w:val="2"/>
                <w:sz w:val="21"/>
                <w:szCs w:val="24"/>
                <w:highlight w:val="none"/>
                <w:lang w:val="en-US" w:eastAsia="zh-CN" w:bidi="ar-SA"/>
              </w:rPr>
              <w:t>分）：提供有项目实施方案，提供项目总体建设实施计划及项目实施流程，内容基本符合项目实际情况。</w:t>
            </w:r>
          </w:p>
          <w:p w14:paraId="08AE5CE6">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三档（</w:t>
            </w:r>
            <w:r>
              <w:rPr>
                <w:rFonts w:hint="eastAsia" w:ascii="宋体" w:hAnsi="宋体" w:cs="宋体"/>
                <w:kern w:val="2"/>
                <w:sz w:val="21"/>
                <w:szCs w:val="24"/>
                <w:highlight w:val="none"/>
                <w:lang w:val="en-US" w:eastAsia="zh-CN" w:bidi="ar-SA"/>
              </w:rPr>
              <w:t>12</w:t>
            </w:r>
            <w:r>
              <w:rPr>
                <w:rFonts w:hint="default" w:ascii="宋体" w:hAnsi="宋体" w:eastAsia="宋体" w:cs="宋体"/>
                <w:kern w:val="2"/>
                <w:sz w:val="21"/>
                <w:szCs w:val="24"/>
                <w:highlight w:val="none"/>
                <w:lang w:val="en-US" w:eastAsia="zh-CN" w:bidi="ar-SA"/>
              </w:rPr>
              <w:t>分）：提供有效的项目实施方案，能够针对相关实施流程有基本描述，对系统建设软件部署方案、质量保证方案、功能方面测试方案、试运行方案、验收方案、服务器及网络安全技术措施方案等有基本描述，满足项目实际需求。</w:t>
            </w:r>
          </w:p>
          <w:p w14:paraId="6ABADC67">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四档（1</w:t>
            </w:r>
            <w:r>
              <w:rPr>
                <w:rFonts w:hint="eastAsia" w:ascii="宋体" w:hAnsi="宋体" w:cs="宋体"/>
                <w:kern w:val="2"/>
                <w:sz w:val="21"/>
                <w:szCs w:val="24"/>
                <w:highlight w:val="none"/>
                <w:lang w:val="en-US" w:eastAsia="zh-CN" w:bidi="ar-SA"/>
              </w:rPr>
              <w:t>8</w:t>
            </w:r>
            <w:r>
              <w:rPr>
                <w:rFonts w:hint="default" w:ascii="宋体" w:hAnsi="宋体" w:eastAsia="宋体" w:cs="宋体"/>
                <w:kern w:val="2"/>
                <w:sz w:val="21"/>
                <w:szCs w:val="24"/>
                <w:highlight w:val="none"/>
                <w:lang w:val="en-US" w:eastAsia="zh-CN" w:bidi="ar-SA"/>
              </w:rPr>
              <w:t>分）：在满足</w:t>
            </w:r>
            <w:r>
              <w:rPr>
                <w:rFonts w:hint="eastAsia" w:ascii="宋体" w:hAnsi="宋体" w:cs="宋体"/>
                <w:kern w:val="2"/>
                <w:sz w:val="21"/>
                <w:szCs w:val="24"/>
                <w:highlight w:val="none"/>
                <w:lang w:val="en-US" w:eastAsia="zh-CN" w:bidi="ar-SA"/>
              </w:rPr>
              <w:t>三</w:t>
            </w:r>
            <w:r>
              <w:rPr>
                <w:rFonts w:hint="default" w:ascii="宋体" w:hAnsi="宋体" w:eastAsia="宋体" w:cs="宋体"/>
                <w:kern w:val="2"/>
                <w:sz w:val="21"/>
                <w:szCs w:val="24"/>
                <w:highlight w:val="none"/>
                <w:lang w:val="en-US" w:eastAsia="zh-CN" w:bidi="ar-SA"/>
              </w:rPr>
              <w:t>档的基础上，对项目管理、质量管理和实施能力有合理的措施及在进度计划及工期保证措施、质量保证措施、风险管理措施等有详细描述，方案总体思路清晰、合理，符合采购人实际需求且</w:t>
            </w:r>
            <w:r>
              <w:rPr>
                <w:rFonts w:hint="eastAsia" w:ascii="宋体" w:hAnsi="宋体" w:eastAsia="宋体" w:cs="宋体"/>
                <w:kern w:val="2"/>
                <w:sz w:val="21"/>
                <w:szCs w:val="24"/>
                <w:highlight w:val="none"/>
                <w:lang w:val="en-US" w:eastAsia="zh-CN" w:bidi="ar-SA"/>
              </w:rPr>
              <w:t>评标委员会</w:t>
            </w:r>
            <w:r>
              <w:rPr>
                <w:rFonts w:hint="default" w:ascii="宋体" w:hAnsi="宋体" w:eastAsia="宋体" w:cs="宋体"/>
                <w:kern w:val="2"/>
                <w:sz w:val="21"/>
                <w:szCs w:val="24"/>
                <w:highlight w:val="none"/>
                <w:lang w:val="en-US" w:eastAsia="zh-CN" w:bidi="ar-SA"/>
              </w:rPr>
              <w:t>认可的。</w:t>
            </w:r>
          </w:p>
        </w:tc>
      </w:tr>
      <w:tr w14:paraId="4CCC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43CC6BBE">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3C4FAD2A">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left w:val="single" w:color="auto" w:sz="4" w:space="0"/>
              <w:right w:val="single" w:color="auto" w:sz="4" w:space="0"/>
            </w:tcBorders>
            <w:noWrap/>
            <w:vAlign w:val="center"/>
          </w:tcPr>
          <w:p w14:paraId="621F6099">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default" w:ascii="宋体" w:hAnsi="宋体" w:cs="宋体"/>
                <w:bCs/>
                <w:color w:val="auto"/>
                <w:highlight w:val="none"/>
                <w:lang w:val="en-US" w:eastAsia="zh-CN"/>
              </w:rPr>
            </w:pPr>
            <w:r>
              <w:rPr>
                <w:rFonts w:hint="eastAsia" w:ascii="宋体" w:hAnsi="宋体" w:cs="宋体"/>
                <w:bCs/>
                <w:color w:val="auto"/>
                <w:highlight w:val="none"/>
                <w:lang w:val="en-US" w:eastAsia="zh-CN"/>
              </w:rPr>
              <w:t>1.4</w:t>
            </w:r>
            <w:r>
              <w:rPr>
                <w:rFonts w:hint="eastAsia" w:ascii="宋体" w:hAnsi="宋体" w:cs="宋体"/>
                <w:bCs/>
                <w:color w:val="auto"/>
                <w:kern w:val="0"/>
                <w:szCs w:val="21"/>
                <w:highlight w:val="none"/>
                <w:lang w:val="en-US" w:eastAsia="zh-CN"/>
              </w:rPr>
              <w:t>技术保障（</w:t>
            </w:r>
            <w:r>
              <w:rPr>
                <w:rFonts w:hint="eastAsia" w:ascii="宋体" w:hAnsi="宋体" w:cs="宋体"/>
                <w:bCs/>
                <w:color w:val="auto"/>
                <w:highlight w:val="none"/>
                <w:lang w:val="en-US" w:eastAsia="zh-CN"/>
              </w:rPr>
              <w:t>满分12分</w:t>
            </w:r>
            <w:r>
              <w:rPr>
                <w:rFonts w:hint="eastAsia" w:ascii="宋体" w:hAnsi="宋体" w:cs="宋体"/>
                <w:bCs/>
                <w:color w:val="auto"/>
                <w:kern w:val="0"/>
                <w:szCs w:val="21"/>
                <w:highlight w:val="none"/>
                <w:lang w:val="en-US" w:eastAsia="zh-CN"/>
              </w:rPr>
              <w:t>）</w:t>
            </w:r>
          </w:p>
        </w:tc>
        <w:tc>
          <w:tcPr>
            <w:tcW w:w="6043" w:type="dxa"/>
            <w:tcBorders>
              <w:top w:val="single" w:color="auto" w:sz="4" w:space="0"/>
              <w:left w:val="single" w:color="auto" w:sz="4" w:space="0"/>
              <w:right w:val="single" w:color="auto" w:sz="4" w:space="0"/>
            </w:tcBorders>
            <w:shd w:val="clear" w:color="auto" w:fill="auto"/>
            <w:noWrap/>
            <w:vAlign w:val="center"/>
          </w:tcPr>
          <w:p w14:paraId="3B0C6D83">
            <w:pPr>
              <w:keepNext w:val="0"/>
              <w:keepLines w:val="0"/>
              <w:pageBreakBefore w:val="0"/>
              <w:kinsoku/>
              <w:wordWrap/>
              <w:overflowPunct/>
              <w:topLinePunct w:val="0"/>
              <w:autoSpaceDE/>
              <w:autoSpaceDN/>
              <w:bidi w:val="0"/>
              <w:snapToGrid/>
              <w:spacing w:line="400" w:lineRule="exact"/>
              <w:rPr>
                <w:rFonts w:hint="default"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w:t>
            </w:r>
            <w:r>
              <w:rPr>
                <w:rFonts w:hint="default" w:ascii="宋体" w:hAnsi="宋体" w:eastAsia="宋体" w:cs="宋体"/>
                <w:color w:val="auto"/>
                <w:kern w:val="2"/>
                <w:sz w:val="21"/>
                <w:szCs w:val="24"/>
                <w:highlight w:val="none"/>
                <w:lang w:val="en-US" w:eastAsia="zh-CN" w:bidi="ar-SA"/>
              </w:rPr>
              <w:t>或完成本项目拟投入产品开发厂家具有“无纸化病案流转系统”、“基于卫生元数据的病历文件管理系统”、“单机采集系统”、“医疗数据管理系统软件”、</w:t>
            </w:r>
            <w:r>
              <w:rPr>
                <w:rFonts w:hint="eastAsia" w:ascii="宋体" w:hAnsi="宋体" w:cs="宋体"/>
                <w:color w:val="auto"/>
                <w:kern w:val="2"/>
                <w:sz w:val="21"/>
                <w:szCs w:val="24"/>
                <w:highlight w:val="none"/>
                <w:lang w:val="en-US" w:eastAsia="zh-CN" w:bidi="ar-SA"/>
              </w:rPr>
              <w:t>“病案统计分析系统”、</w:t>
            </w:r>
            <w:r>
              <w:rPr>
                <w:rFonts w:hint="default" w:ascii="宋体" w:hAnsi="宋体" w:eastAsia="宋体" w:cs="宋体"/>
                <w:color w:val="auto"/>
                <w:kern w:val="2"/>
                <w:sz w:val="21"/>
                <w:szCs w:val="24"/>
                <w:highlight w:val="none"/>
                <w:lang w:val="en-US" w:eastAsia="zh-CN" w:bidi="ar-SA"/>
              </w:rPr>
              <w:t>“病案数字化自动分目”内容的《计算机软件产品著作权登记证书》；每提供一个得2分，</w:t>
            </w:r>
            <w:r>
              <w:rPr>
                <w:rFonts w:hint="eastAsia" w:ascii="宋体" w:hAnsi="宋体" w:cs="宋体"/>
                <w:color w:val="auto"/>
                <w:kern w:val="2"/>
                <w:sz w:val="21"/>
                <w:szCs w:val="24"/>
                <w:highlight w:val="none"/>
                <w:lang w:val="en-US" w:eastAsia="zh-CN" w:bidi="ar-SA"/>
              </w:rPr>
              <w:t>此项满分</w:t>
            </w:r>
            <w:r>
              <w:rPr>
                <w:rFonts w:hint="default" w:ascii="宋体" w:hAnsi="宋体" w:eastAsia="宋体" w:cs="宋体"/>
                <w:color w:val="auto"/>
                <w:kern w:val="2"/>
                <w:sz w:val="21"/>
                <w:szCs w:val="24"/>
                <w:highlight w:val="none"/>
                <w:lang w:val="en-US" w:eastAsia="zh-CN" w:bidi="ar-SA"/>
              </w:rPr>
              <w:t>1</w:t>
            </w:r>
            <w:r>
              <w:rPr>
                <w:rFonts w:hint="eastAsia" w:ascii="宋体" w:hAnsi="宋体" w:cs="宋体"/>
                <w:color w:val="auto"/>
                <w:kern w:val="2"/>
                <w:sz w:val="21"/>
                <w:szCs w:val="24"/>
                <w:highlight w:val="none"/>
                <w:lang w:val="en-US" w:eastAsia="zh-CN" w:bidi="ar-SA"/>
              </w:rPr>
              <w:t>2</w:t>
            </w:r>
            <w:r>
              <w:rPr>
                <w:rFonts w:hint="default" w:ascii="宋体" w:hAnsi="宋体" w:eastAsia="宋体" w:cs="宋体"/>
                <w:color w:val="auto"/>
                <w:kern w:val="2"/>
                <w:sz w:val="21"/>
                <w:szCs w:val="24"/>
                <w:highlight w:val="none"/>
                <w:lang w:val="en-US" w:eastAsia="zh-CN" w:bidi="ar-SA"/>
              </w:rPr>
              <w:t>分</w:t>
            </w:r>
            <w:r>
              <w:rPr>
                <w:rFonts w:hint="eastAsia" w:ascii="宋体" w:hAnsi="宋体" w:cs="宋体"/>
                <w:color w:val="auto"/>
                <w:kern w:val="2"/>
                <w:sz w:val="21"/>
                <w:szCs w:val="24"/>
                <w:highlight w:val="none"/>
                <w:lang w:val="en-US" w:eastAsia="zh-CN" w:bidi="ar-SA"/>
              </w:rPr>
              <w:t>。</w:t>
            </w:r>
          </w:p>
          <w:p w14:paraId="7A496AA0">
            <w:pPr>
              <w:keepNext w:val="0"/>
              <w:keepLines w:val="0"/>
              <w:pageBreakBefore w:val="0"/>
              <w:kinsoku/>
              <w:wordWrap/>
              <w:overflowPunct/>
              <w:topLinePunct w:val="0"/>
              <w:autoSpaceDE/>
              <w:autoSpaceDN/>
              <w:bidi w:val="0"/>
              <w:snapToGrid/>
              <w:spacing w:line="400" w:lineRule="exact"/>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注：</w:t>
            </w:r>
            <w:r>
              <w:rPr>
                <w:rFonts w:hint="eastAsia" w:ascii="宋体" w:hAnsi="宋体" w:eastAsia="宋体" w:cs="宋体"/>
                <w:color w:val="auto"/>
                <w:kern w:val="2"/>
                <w:sz w:val="21"/>
                <w:szCs w:val="24"/>
                <w:highlight w:val="none"/>
                <w:lang w:val="en-US" w:eastAsia="zh-CN" w:bidi="ar-SA"/>
              </w:rPr>
              <w:t>投标时在投标文件中</w:t>
            </w:r>
            <w:r>
              <w:rPr>
                <w:rFonts w:hint="default" w:ascii="宋体" w:hAnsi="宋体" w:eastAsia="宋体" w:cs="宋体"/>
                <w:color w:val="auto"/>
                <w:kern w:val="2"/>
                <w:sz w:val="21"/>
                <w:szCs w:val="24"/>
                <w:highlight w:val="none"/>
                <w:lang w:val="en-US" w:eastAsia="zh-CN" w:bidi="ar-SA"/>
              </w:rPr>
              <w:t>提供</w:t>
            </w:r>
            <w:r>
              <w:rPr>
                <w:rFonts w:hint="eastAsia" w:ascii="宋体" w:hAnsi="宋体" w:eastAsia="宋体" w:cs="宋体"/>
                <w:color w:val="auto"/>
                <w:kern w:val="2"/>
                <w:sz w:val="21"/>
                <w:szCs w:val="24"/>
                <w:highlight w:val="none"/>
                <w:lang w:val="en-US" w:eastAsia="zh-CN" w:bidi="ar-SA"/>
              </w:rPr>
              <w:t>有效证明材料，证明材料中</w:t>
            </w:r>
            <w:r>
              <w:rPr>
                <w:rFonts w:hint="default" w:ascii="宋体" w:hAnsi="宋体" w:eastAsia="宋体" w:cs="宋体"/>
                <w:color w:val="auto"/>
                <w:kern w:val="2"/>
                <w:sz w:val="21"/>
                <w:szCs w:val="24"/>
                <w:highlight w:val="none"/>
                <w:lang w:val="en-US" w:eastAsia="zh-CN" w:bidi="ar-SA"/>
              </w:rPr>
              <w:t>软件著作权名称需包含以上关键字，且著作权颁发日期须在招标公告</w:t>
            </w:r>
            <w:r>
              <w:rPr>
                <w:rFonts w:hint="eastAsia" w:ascii="宋体" w:hAnsi="宋体" w:eastAsia="宋体" w:cs="宋体"/>
                <w:color w:val="auto"/>
                <w:kern w:val="2"/>
                <w:sz w:val="21"/>
                <w:szCs w:val="24"/>
                <w:highlight w:val="none"/>
                <w:lang w:val="en-US" w:eastAsia="zh-CN" w:bidi="ar-SA"/>
              </w:rPr>
              <w:t>发布日期</w:t>
            </w:r>
            <w:r>
              <w:rPr>
                <w:rFonts w:hint="default" w:ascii="宋体" w:hAnsi="宋体" w:eastAsia="宋体" w:cs="宋体"/>
                <w:color w:val="auto"/>
                <w:kern w:val="2"/>
                <w:sz w:val="21"/>
                <w:szCs w:val="24"/>
                <w:highlight w:val="none"/>
                <w:lang w:val="en-US" w:eastAsia="zh-CN" w:bidi="ar-SA"/>
              </w:rPr>
              <w:t>之前，否则</w:t>
            </w:r>
            <w:r>
              <w:rPr>
                <w:rFonts w:hint="eastAsia" w:ascii="宋体" w:hAnsi="宋体" w:eastAsia="宋体" w:cs="宋体"/>
                <w:color w:val="auto"/>
                <w:kern w:val="2"/>
                <w:sz w:val="21"/>
                <w:szCs w:val="24"/>
                <w:highlight w:val="none"/>
                <w:lang w:val="en-US" w:eastAsia="zh-CN" w:bidi="ar-SA"/>
              </w:rPr>
              <w:t>不予评分</w:t>
            </w:r>
            <w:r>
              <w:rPr>
                <w:rFonts w:hint="default" w:ascii="宋体" w:hAnsi="宋体" w:eastAsia="宋体" w:cs="宋体"/>
                <w:color w:val="auto"/>
                <w:kern w:val="2"/>
                <w:sz w:val="21"/>
                <w:szCs w:val="24"/>
                <w:highlight w:val="none"/>
                <w:lang w:val="en-US" w:eastAsia="zh-CN" w:bidi="ar-SA"/>
              </w:rPr>
              <w:t>。</w:t>
            </w:r>
          </w:p>
        </w:tc>
      </w:tr>
      <w:tr w14:paraId="1AB2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restart"/>
            <w:tcBorders>
              <w:top w:val="single" w:color="auto" w:sz="4" w:space="0"/>
              <w:left w:val="single" w:color="auto" w:sz="4" w:space="0"/>
              <w:right w:val="single" w:color="auto" w:sz="4" w:space="0"/>
            </w:tcBorders>
            <w:noWrap/>
            <w:vAlign w:val="center"/>
          </w:tcPr>
          <w:p w14:paraId="1B41046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lang w:eastAsia="zh-CN"/>
              </w:rPr>
            </w:pPr>
            <w:r>
              <w:rPr>
                <w:rFonts w:hint="eastAsia" w:ascii="宋体" w:hAnsi="宋体" w:cs="宋体"/>
                <w:b/>
                <w:szCs w:val="21"/>
                <w:highlight w:val="none"/>
                <w:lang w:val="en-US" w:eastAsia="zh-CN"/>
              </w:rPr>
              <w:t>2</w:t>
            </w:r>
          </w:p>
        </w:tc>
        <w:tc>
          <w:tcPr>
            <w:tcW w:w="905" w:type="dxa"/>
            <w:vMerge w:val="restart"/>
            <w:tcBorders>
              <w:top w:val="single" w:color="auto" w:sz="4" w:space="0"/>
              <w:left w:val="single" w:color="auto" w:sz="4" w:space="0"/>
              <w:right w:val="single" w:color="auto" w:sz="4" w:space="0"/>
            </w:tcBorders>
            <w:noWrap/>
            <w:vAlign w:val="center"/>
          </w:tcPr>
          <w:p w14:paraId="141EC4B8">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kern w:val="0"/>
                <w:szCs w:val="21"/>
                <w:highlight w:val="none"/>
              </w:rPr>
            </w:pPr>
            <w:r>
              <w:rPr>
                <w:rFonts w:hint="eastAsia" w:ascii="宋体" w:hAnsi="宋体" w:eastAsia="宋体" w:cs="宋体"/>
                <w:b/>
                <w:bCs/>
                <w:highlight w:val="none"/>
              </w:rPr>
              <w:t>商务分（满分</w:t>
            </w:r>
            <w:r>
              <w:rPr>
                <w:rFonts w:hint="eastAsia" w:ascii="宋体" w:hAnsi="宋体" w:cs="宋体"/>
                <w:b/>
                <w:bCs/>
                <w:highlight w:val="none"/>
                <w:lang w:val="en-US" w:eastAsia="zh-CN"/>
              </w:rPr>
              <w:t>30</w:t>
            </w:r>
            <w:r>
              <w:rPr>
                <w:rFonts w:hint="eastAsia" w:ascii="宋体" w:hAnsi="宋体" w:eastAsia="宋体" w:cs="宋体"/>
                <w:b/>
                <w:bCs/>
                <w:highlight w:val="none"/>
              </w:rPr>
              <w:t>分）</w:t>
            </w:r>
          </w:p>
        </w:tc>
        <w:tc>
          <w:tcPr>
            <w:tcW w:w="1977"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739B286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highlight w:val="none"/>
                <w:lang w:eastAsia="zh-CN"/>
              </w:rPr>
            </w:pPr>
            <w:r>
              <w:rPr>
                <w:rFonts w:hint="eastAsia" w:ascii="宋体" w:hAnsi="宋体" w:cs="宋体"/>
                <w:highlight w:val="none"/>
                <w:lang w:val="en-US" w:eastAsia="zh-CN"/>
              </w:rPr>
              <w:t>2.1</w:t>
            </w:r>
            <w:r>
              <w:rPr>
                <w:rFonts w:hint="eastAsia" w:ascii="宋体" w:hAnsi="宋体" w:eastAsia="宋体" w:cs="宋体"/>
                <w:highlight w:val="none"/>
              </w:rPr>
              <w:t>售后服务方案</w:t>
            </w:r>
            <w:r>
              <w:rPr>
                <w:rFonts w:hint="eastAsia" w:ascii="宋体" w:hAnsi="宋体" w:cs="宋体"/>
                <w:highlight w:val="none"/>
                <w:lang w:eastAsia="zh-CN"/>
              </w:rPr>
              <w:t>（满分</w:t>
            </w:r>
            <w:r>
              <w:rPr>
                <w:rFonts w:hint="eastAsia" w:ascii="宋体" w:hAnsi="宋体" w:cs="宋体"/>
                <w:highlight w:val="none"/>
                <w:lang w:val="en-US" w:eastAsia="zh-CN"/>
              </w:rPr>
              <w:t>9分</w:t>
            </w:r>
            <w:r>
              <w:rPr>
                <w:rFonts w:hint="eastAsia" w:ascii="宋体" w:hAnsi="宋体" w:cs="宋体"/>
                <w:highlight w:val="none"/>
                <w:lang w:eastAsia="zh-CN"/>
              </w:rPr>
              <w:t>）</w:t>
            </w:r>
          </w:p>
        </w:tc>
        <w:tc>
          <w:tcPr>
            <w:tcW w:w="6043" w:type="dxa"/>
            <w:tcBorders>
              <w:top w:val="single" w:color="auto" w:sz="4" w:space="0"/>
              <w:left w:val="single" w:color="auto" w:sz="4" w:space="0"/>
              <w:right w:val="single" w:color="auto" w:sz="4" w:space="0"/>
            </w:tcBorders>
            <w:noWrap w:val="0"/>
            <w:vAlign w:val="center"/>
          </w:tcPr>
          <w:p w14:paraId="44BA5F0F">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eastAsia="zh-CN"/>
              </w:rPr>
            </w:pPr>
            <w:r>
              <w:rPr>
                <w:rFonts w:hint="eastAsia" w:ascii="宋体" w:hAnsi="宋体" w:cs="宋体"/>
                <w:highlight w:val="none"/>
                <w:lang w:eastAsia="zh-CN"/>
              </w:rPr>
              <w:t>评标委员会</w:t>
            </w:r>
            <w:r>
              <w:rPr>
                <w:rFonts w:hint="eastAsia" w:ascii="宋体" w:hAnsi="宋体" w:eastAsia="宋体" w:cs="宋体"/>
                <w:highlight w:val="none"/>
              </w:rPr>
              <w:t>根据各</w:t>
            </w:r>
            <w:r>
              <w:rPr>
                <w:rFonts w:hint="eastAsia" w:ascii="宋体" w:hAnsi="宋体" w:cs="宋体"/>
                <w:highlight w:val="none"/>
                <w:lang w:eastAsia="zh-CN"/>
              </w:rPr>
              <w:t>投标人所</w:t>
            </w:r>
            <w:r>
              <w:rPr>
                <w:rFonts w:hint="eastAsia" w:ascii="宋体" w:hAnsi="宋体" w:eastAsia="宋体" w:cs="宋体"/>
                <w:highlight w:val="none"/>
              </w:rPr>
              <w:t>提供的售后服务方案内容进行独立</w:t>
            </w:r>
            <w:r>
              <w:rPr>
                <w:rFonts w:hint="eastAsia" w:ascii="宋体" w:hAnsi="宋体" w:eastAsia="宋体" w:cs="宋体"/>
                <w:kern w:val="2"/>
                <w:sz w:val="21"/>
                <w:szCs w:val="24"/>
                <w:highlight w:val="none"/>
                <w:lang w:val="en-US" w:eastAsia="zh-CN" w:bidi="ar-SA"/>
              </w:rPr>
              <w:t>评审</w:t>
            </w:r>
            <w:r>
              <w:rPr>
                <w:rFonts w:hint="eastAsia" w:ascii="宋体" w:hAnsi="宋体" w:cs="宋体"/>
                <w:highlight w:val="none"/>
                <w:lang w:eastAsia="zh-CN"/>
              </w:rPr>
              <w:t>：</w:t>
            </w:r>
          </w:p>
          <w:p w14:paraId="17F7E8C7">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一档（0分）：未提供相应方案或所提供的方案不满足以下任何一档要求的；</w:t>
            </w:r>
          </w:p>
          <w:p w14:paraId="1EF297BE">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二档（</w:t>
            </w:r>
            <w:r>
              <w:rPr>
                <w:rFonts w:hint="eastAsia" w:ascii="宋体" w:hAnsi="宋体" w:cs="宋体"/>
                <w:highlight w:val="none"/>
                <w:lang w:val="en-US" w:eastAsia="zh-CN"/>
              </w:rPr>
              <w:t>3</w:t>
            </w:r>
            <w:r>
              <w:rPr>
                <w:rFonts w:hint="eastAsia" w:ascii="宋体" w:hAnsi="宋体" w:eastAsia="宋体" w:cs="宋体"/>
                <w:highlight w:val="none"/>
              </w:rPr>
              <w:t>分）：售后服务方案较简单，仅对采购单位提出的要求进行了部分细化，售后服务承诺书中各项措施缺乏针对性，对采购单位使用需求响应的具体措施缺乏充分的合理性，效率响应要求难以充分保障。</w:t>
            </w:r>
          </w:p>
          <w:p w14:paraId="4DCF1545">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三档（</w:t>
            </w:r>
            <w:r>
              <w:rPr>
                <w:rFonts w:hint="eastAsia" w:ascii="宋体" w:hAnsi="宋体" w:cs="宋体"/>
                <w:highlight w:val="none"/>
                <w:lang w:val="en-US" w:eastAsia="zh-CN"/>
              </w:rPr>
              <w:t>6</w:t>
            </w:r>
            <w:r>
              <w:rPr>
                <w:rFonts w:hint="eastAsia" w:ascii="宋体" w:hAnsi="宋体" w:eastAsia="宋体" w:cs="宋体"/>
                <w:highlight w:val="none"/>
              </w:rPr>
              <w:t>分）：售后服务表述清晰、完整，应急措施具体、切实可行，有服务保障措施及服务质量保证，包括维保期的技术支持和维护能力情况。</w:t>
            </w:r>
          </w:p>
          <w:p w14:paraId="3087F399">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四档（</w:t>
            </w:r>
            <w:r>
              <w:rPr>
                <w:rFonts w:hint="eastAsia" w:ascii="宋体" w:hAnsi="宋体" w:cs="宋体"/>
                <w:highlight w:val="none"/>
                <w:lang w:val="en-US" w:eastAsia="zh-CN"/>
              </w:rPr>
              <w:t>9</w:t>
            </w:r>
            <w:r>
              <w:rPr>
                <w:rFonts w:hint="eastAsia" w:ascii="宋体" w:hAnsi="宋体" w:eastAsia="宋体" w:cs="宋体"/>
                <w:highlight w:val="none"/>
              </w:rPr>
              <w:t>分）：售后服务方案全面详细，服务内容包含软件正常运行运维、紧急故障处理、系统漏洞修复、系统功能完善等；有服务保障措施及服务质量，包括维保期的技术支持和维护能力情况；提供服务流程，包括故障处理、电话维护、现场维护、紧急维护、重要服务等。提供后期运维计划，符合采购人实际需求且</w:t>
            </w:r>
            <w:r>
              <w:rPr>
                <w:rFonts w:hint="eastAsia" w:ascii="宋体" w:hAnsi="宋体" w:cs="宋体"/>
                <w:highlight w:val="none"/>
                <w:lang w:eastAsia="zh-CN"/>
              </w:rPr>
              <w:t>评标委员会</w:t>
            </w:r>
            <w:r>
              <w:rPr>
                <w:rFonts w:hint="eastAsia" w:ascii="宋体" w:hAnsi="宋体" w:eastAsia="宋体" w:cs="宋体"/>
                <w:highlight w:val="none"/>
              </w:rPr>
              <w:t>认可的。</w:t>
            </w:r>
          </w:p>
        </w:tc>
      </w:tr>
      <w:tr w14:paraId="779D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1FD81A24">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6FAC9015">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356A9AED">
            <w:pPr>
              <w:keepNext w:val="0"/>
              <w:keepLines w:val="0"/>
              <w:pageBreakBefore w:val="0"/>
              <w:kinsoku/>
              <w:wordWrap/>
              <w:overflowPunct/>
              <w:topLinePunct w:val="0"/>
              <w:autoSpaceDE/>
              <w:autoSpaceDN/>
              <w:bidi w:val="0"/>
              <w:snapToGrid/>
              <w:spacing w:line="400" w:lineRule="exact"/>
              <w:jc w:val="center"/>
              <w:rPr>
                <w:rFonts w:hint="default" w:ascii="宋体" w:hAnsi="宋体" w:cs="宋体"/>
                <w:kern w:val="0"/>
                <w:szCs w:val="21"/>
                <w:highlight w:val="none"/>
                <w:u w:val="wave" w:color="FFFFFF"/>
                <w:lang w:val="en-US" w:eastAsia="zh-CN"/>
              </w:rPr>
            </w:pPr>
            <w:r>
              <w:rPr>
                <w:rFonts w:hint="eastAsia" w:ascii="宋体" w:hAnsi="宋体" w:cs="宋体"/>
                <w:kern w:val="0"/>
                <w:szCs w:val="21"/>
                <w:highlight w:val="none"/>
                <w:u w:val="wave" w:color="FFFFFF"/>
                <w:lang w:val="en-US" w:eastAsia="zh-CN"/>
              </w:rPr>
              <w:t>2.2</w:t>
            </w:r>
            <w:r>
              <w:rPr>
                <w:rFonts w:hint="default" w:ascii="宋体" w:hAnsi="宋体" w:cs="宋体"/>
                <w:kern w:val="0"/>
                <w:szCs w:val="21"/>
                <w:highlight w:val="none"/>
                <w:u w:val="wave" w:color="FFFFFF"/>
                <w:lang w:val="en-US" w:eastAsia="zh-CN"/>
              </w:rPr>
              <w:t>信誉</w:t>
            </w:r>
            <w:r>
              <w:rPr>
                <w:rFonts w:hint="eastAsia" w:ascii="宋体" w:hAnsi="宋体" w:cs="宋体"/>
                <w:highlight w:val="none"/>
                <w:lang w:eastAsia="zh-CN"/>
              </w:rPr>
              <w:t>（满分</w:t>
            </w:r>
            <w:r>
              <w:rPr>
                <w:rFonts w:hint="eastAsia" w:ascii="宋体" w:hAnsi="宋体" w:cs="宋体"/>
                <w:highlight w:val="none"/>
                <w:lang w:val="en-US" w:eastAsia="zh-CN"/>
              </w:rPr>
              <w:t>18分</w:t>
            </w:r>
            <w:r>
              <w:rPr>
                <w:rFonts w:hint="eastAsia" w:ascii="宋体" w:hAnsi="宋体" w:cs="宋体"/>
                <w:highlight w:val="none"/>
                <w:lang w:eastAsia="zh-CN"/>
              </w:rPr>
              <w:t>）</w:t>
            </w:r>
          </w:p>
        </w:tc>
        <w:tc>
          <w:tcPr>
            <w:tcW w:w="6043" w:type="dxa"/>
            <w:tcBorders>
              <w:top w:val="single" w:color="auto" w:sz="4" w:space="0"/>
              <w:left w:val="single" w:color="auto" w:sz="4" w:space="0"/>
              <w:right w:val="single" w:color="auto" w:sz="4" w:space="0"/>
            </w:tcBorders>
            <w:shd w:val="clear" w:color="auto" w:fill="auto"/>
            <w:noWrap w:val="0"/>
            <w:vAlign w:val="center"/>
          </w:tcPr>
          <w:p w14:paraId="6847C226">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rPr>
              <w:t>.2.1</w:t>
            </w:r>
            <w:r>
              <w:rPr>
                <w:rFonts w:hint="default" w:ascii="宋体" w:hAnsi="宋体" w:eastAsia="宋体" w:cs="宋体"/>
                <w:kern w:val="2"/>
                <w:sz w:val="21"/>
                <w:szCs w:val="24"/>
                <w:highlight w:val="none"/>
                <w:lang w:val="en-US" w:eastAsia="zh-CN" w:bidi="ar-SA"/>
              </w:rPr>
              <w:t>完成本项目拟投入产品</w:t>
            </w:r>
            <w:r>
              <w:rPr>
                <w:rFonts w:hint="eastAsia" w:ascii="宋体" w:hAnsi="宋体" w:eastAsia="宋体" w:cs="宋体"/>
                <w:highlight w:val="none"/>
                <w:lang w:val="en-US" w:eastAsia="zh-CN"/>
              </w:rPr>
              <w:t>具备国产化兼容资质，支持</w:t>
            </w:r>
            <w:r>
              <w:rPr>
                <w:rFonts w:hint="eastAsia" w:ascii="宋体" w:hAnsi="宋体" w:eastAsia="宋体" w:cs="宋体"/>
                <w:highlight w:val="none"/>
                <w:lang w:val="en-US" w:eastAsia="en-US"/>
              </w:rPr>
              <w:t>与国产化操作系统麒麟</w:t>
            </w:r>
            <w:r>
              <w:rPr>
                <w:rFonts w:hint="eastAsia" w:ascii="宋体" w:hAnsi="宋体" w:eastAsia="宋体" w:cs="宋体"/>
                <w:highlight w:val="none"/>
                <w:lang w:val="en-US" w:eastAsia="zh-CN"/>
              </w:rPr>
              <w:t>、</w:t>
            </w:r>
            <w:r>
              <w:rPr>
                <w:rFonts w:hint="eastAsia" w:ascii="宋体" w:hAnsi="宋体" w:eastAsia="宋体" w:cs="宋体"/>
                <w:highlight w:val="none"/>
                <w:lang w:val="en-US" w:eastAsia="en-US"/>
              </w:rPr>
              <w:t>瀚高数据库</w:t>
            </w:r>
            <w:r>
              <w:rPr>
                <w:rFonts w:hint="eastAsia" w:ascii="宋体" w:hAnsi="宋体" w:eastAsia="宋体" w:cs="宋体"/>
                <w:highlight w:val="none"/>
                <w:lang w:val="en-US" w:eastAsia="zh-CN"/>
              </w:rPr>
              <w:t>、金仓数据库</w:t>
            </w:r>
            <w:r>
              <w:rPr>
                <w:rFonts w:hint="eastAsia" w:ascii="宋体" w:hAnsi="宋体" w:eastAsia="宋体" w:cs="宋体"/>
                <w:highlight w:val="none"/>
                <w:lang w:val="en-US" w:eastAsia="en-US"/>
              </w:rPr>
              <w:t>相互兼容</w:t>
            </w:r>
            <w:r>
              <w:rPr>
                <w:rFonts w:hint="eastAsia" w:ascii="宋体" w:hAnsi="宋体" w:eastAsia="宋体" w:cs="宋体"/>
                <w:highlight w:val="none"/>
                <w:lang w:val="en-US" w:eastAsia="zh-CN"/>
              </w:rPr>
              <w:t>，每有一个得</w:t>
            </w:r>
            <w:r>
              <w:rPr>
                <w:rFonts w:hint="eastAsia" w:ascii="宋体" w:hAnsi="宋体" w:cs="宋体"/>
                <w:highlight w:val="none"/>
                <w:lang w:val="en-US" w:eastAsia="zh-CN"/>
              </w:rPr>
              <w:t>3</w:t>
            </w:r>
            <w:r>
              <w:rPr>
                <w:rFonts w:hint="eastAsia" w:ascii="宋体" w:hAnsi="宋体" w:eastAsia="宋体" w:cs="宋体"/>
                <w:highlight w:val="none"/>
                <w:lang w:val="en-US" w:eastAsia="zh-CN"/>
              </w:rPr>
              <w:t>分，此项满分</w:t>
            </w:r>
            <w:r>
              <w:rPr>
                <w:rFonts w:hint="eastAsia" w:ascii="宋体" w:hAnsi="宋体" w:cs="宋体"/>
                <w:highlight w:val="none"/>
                <w:lang w:val="en-US" w:eastAsia="zh-CN"/>
              </w:rPr>
              <w:t>9</w:t>
            </w:r>
            <w:r>
              <w:rPr>
                <w:rFonts w:hint="eastAsia" w:ascii="宋体" w:hAnsi="宋体" w:eastAsia="宋体" w:cs="宋体"/>
                <w:highlight w:val="none"/>
                <w:lang w:val="en-US" w:eastAsia="zh-CN"/>
              </w:rPr>
              <w:t>分（投标时在投标文件中提供有效认证证书</w:t>
            </w:r>
            <w:r>
              <w:rPr>
                <w:rFonts w:hint="eastAsia" w:ascii="宋体" w:hAnsi="宋体" w:eastAsia="宋体" w:cs="宋体"/>
                <w:highlight w:val="none"/>
              </w:rPr>
              <w:t>证明材料并加盖公章，</w:t>
            </w:r>
            <w:r>
              <w:rPr>
                <w:rFonts w:hint="eastAsia" w:ascii="宋体" w:hAnsi="宋体" w:eastAsia="宋体" w:cs="宋体"/>
                <w:highlight w:val="none"/>
                <w:lang w:eastAsia="zh-CN"/>
              </w:rPr>
              <w:t>否则不予评分）</w:t>
            </w:r>
            <w:r>
              <w:rPr>
                <w:rFonts w:hint="eastAsia" w:ascii="宋体" w:hAnsi="宋体" w:eastAsia="宋体" w:cs="宋体"/>
                <w:highlight w:val="none"/>
              </w:rPr>
              <w:t>。</w:t>
            </w:r>
          </w:p>
        </w:tc>
      </w:tr>
      <w:tr w14:paraId="1D91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1AF556E2">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2336B762">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vMerge w:val="continue"/>
            <w:tcBorders>
              <w:left w:val="single" w:color="auto" w:sz="4" w:space="0"/>
              <w:right w:val="single" w:color="auto" w:sz="4" w:space="0"/>
            </w:tcBorders>
            <w:noWrap/>
            <w:tcMar>
              <w:top w:w="0" w:type="dxa"/>
              <w:left w:w="57" w:type="dxa"/>
              <w:bottom w:w="0" w:type="dxa"/>
              <w:right w:w="57" w:type="dxa"/>
            </w:tcMar>
            <w:vAlign w:val="center"/>
          </w:tcPr>
          <w:p w14:paraId="2C459F7F">
            <w:pPr>
              <w:keepNext w:val="0"/>
              <w:keepLines w:val="0"/>
              <w:pageBreakBefore w:val="0"/>
              <w:kinsoku/>
              <w:wordWrap/>
              <w:overflowPunct/>
              <w:topLinePunct w:val="0"/>
              <w:autoSpaceDE/>
              <w:autoSpaceDN/>
              <w:bidi w:val="0"/>
              <w:snapToGrid/>
              <w:spacing w:line="400" w:lineRule="exact"/>
              <w:jc w:val="center"/>
              <w:rPr>
                <w:rFonts w:hint="default" w:ascii="宋体" w:hAnsi="宋体" w:cs="宋体"/>
                <w:kern w:val="0"/>
                <w:szCs w:val="21"/>
                <w:highlight w:val="none"/>
                <w:u w:val="wave" w:color="FFFFFF"/>
                <w:lang w:val="en-US" w:eastAsia="zh-CN"/>
              </w:rPr>
            </w:pPr>
          </w:p>
        </w:tc>
        <w:tc>
          <w:tcPr>
            <w:tcW w:w="6043" w:type="dxa"/>
            <w:tcBorders>
              <w:top w:val="single" w:color="auto" w:sz="4" w:space="0"/>
              <w:left w:val="single" w:color="auto" w:sz="4" w:space="0"/>
              <w:right w:val="single" w:color="auto" w:sz="4" w:space="0"/>
            </w:tcBorders>
            <w:shd w:val="clear" w:color="auto" w:fill="auto"/>
            <w:noWrap w:val="0"/>
            <w:vAlign w:val="center"/>
          </w:tcPr>
          <w:p w14:paraId="27268E11">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rPr>
              <w:t>.2.</w:t>
            </w:r>
            <w:r>
              <w:rPr>
                <w:rFonts w:hint="eastAsia" w:ascii="宋体" w:hAnsi="宋体" w:eastAsia="宋体" w:cs="宋体"/>
                <w:highlight w:val="none"/>
                <w:lang w:val="en-US" w:eastAsia="zh-CN"/>
              </w:rPr>
              <w:t>2</w:t>
            </w:r>
            <w:r>
              <w:rPr>
                <w:rFonts w:hint="default" w:ascii="宋体" w:hAnsi="宋体" w:eastAsia="宋体" w:cs="宋体"/>
                <w:kern w:val="2"/>
                <w:sz w:val="21"/>
                <w:szCs w:val="24"/>
                <w:highlight w:val="none"/>
                <w:lang w:val="en-US" w:eastAsia="zh-CN" w:bidi="ar-SA"/>
              </w:rPr>
              <w:t>完成本项目拟投入产品</w:t>
            </w:r>
            <w:r>
              <w:rPr>
                <w:rFonts w:hint="eastAsia" w:ascii="宋体" w:hAnsi="宋体" w:eastAsia="宋体" w:cs="宋体"/>
                <w:highlight w:val="none"/>
                <w:lang w:val="en-US" w:eastAsia="zh-CN"/>
              </w:rPr>
              <w:t>支持以OFD格式存储、导出的得</w:t>
            </w:r>
            <w:r>
              <w:rPr>
                <w:rFonts w:hint="eastAsia" w:ascii="宋体" w:hAnsi="宋体" w:cs="宋体"/>
                <w:highlight w:val="none"/>
                <w:lang w:val="en-US" w:eastAsia="zh-CN"/>
              </w:rPr>
              <w:t>3</w:t>
            </w:r>
            <w:r>
              <w:rPr>
                <w:rFonts w:hint="eastAsia" w:ascii="宋体" w:hAnsi="宋体" w:eastAsia="宋体" w:cs="宋体"/>
                <w:highlight w:val="none"/>
                <w:lang w:val="en-US" w:eastAsia="zh-CN"/>
              </w:rPr>
              <w:t>分，此项满分</w:t>
            </w:r>
            <w:r>
              <w:rPr>
                <w:rFonts w:hint="eastAsia" w:ascii="宋体" w:hAnsi="宋体" w:cs="宋体"/>
                <w:highlight w:val="none"/>
                <w:lang w:val="en-US" w:eastAsia="zh-CN"/>
              </w:rPr>
              <w:t>3</w:t>
            </w:r>
            <w:r>
              <w:rPr>
                <w:rFonts w:hint="eastAsia" w:ascii="宋体" w:hAnsi="宋体" w:eastAsia="宋体" w:cs="宋体"/>
                <w:highlight w:val="none"/>
                <w:lang w:val="en-US" w:eastAsia="zh-CN"/>
              </w:rPr>
              <w:t>分（投标时在投标文件中提供有效的可证明与OFD板式文件兼容的证明材料</w:t>
            </w:r>
            <w:r>
              <w:rPr>
                <w:rFonts w:hint="eastAsia" w:ascii="宋体" w:hAnsi="宋体" w:eastAsia="宋体" w:cs="宋体"/>
                <w:highlight w:val="none"/>
              </w:rPr>
              <w:t>并加盖公章，</w:t>
            </w:r>
            <w:r>
              <w:rPr>
                <w:rFonts w:hint="eastAsia" w:ascii="宋体" w:hAnsi="宋体" w:eastAsia="宋体" w:cs="宋体"/>
                <w:highlight w:val="none"/>
                <w:lang w:eastAsia="zh-CN"/>
              </w:rPr>
              <w:t>否则不予评分）。</w:t>
            </w:r>
          </w:p>
        </w:tc>
      </w:tr>
      <w:tr w14:paraId="12C9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6E81CF6F">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2574368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vMerge w:val="continue"/>
            <w:tcBorders>
              <w:left w:val="single" w:color="auto" w:sz="4" w:space="0"/>
              <w:right w:val="single" w:color="auto" w:sz="4" w:space="0"/>
            </w:tcBorders>
            <w:noWrap/>
            <w:tcMar>
              <w:top w:w="0" w:type="dxa"/>
              <w:left w:w="57" w:type="dxa"/>
              <w:bottom w:w="0" w:type="dxa"/>
              <w:right w:w="57" w:type="dxa"/>
            </w:tcMar>
            <w:vAlign w:val="center"/>
          </w:tcPr>
          <w:p w14:paraId="314F75AB">
            <w:pPr>
              <w:keepNext w:val="0"/>
              <w:keepLines w:val="0"/>
              <w:pageBreakBefore w:val="0"/>
              <w:kinsoku/>
              <w:wordWrap/>
              <w:overflowPunct/>
              <w:topLinePunct w:val="0"/>
              <w:autoSpaceDE/>
              <w:autoSpaceDN/>
              <w:bidi w:val="0"/>
              <w:snapToGrid/>
              <w:spacing w:line="400" w:lineRule="exact"/>
              <w:jc w:val="center"/>
              <w:rPr>
                <w:rFonts w:hint="default" w:ascii="宋体" w:hAnsi="宋体" w:cs="宋体"/>
                <w:kern w:val="0"/>
                <w:szCs w:val="21"/>
                <w:highlight w:val="none"/>
                <w:u w:val="wave" w:color="FFFFFF"/>
                <w:lang w:val="en-US" w:eastAsia="zh-CN"/>
              </w:rPr>
            </w:pPr>
          </w:p>
        </w:tc>
        <w:tc>
          <w:tcPr>
            <w:tcW w:w="6043" w:type="dxa"/>
            <w:tcBorders>
              <w:top w:val="single" w:color="auto" w:sz="4" w:space="0"/>
              <w:left w:val="single" w:color="auto" w:sz="4" w:space="0"/>
              <w:right w:val="single" w:color="auto" w:sz="4" w:space="0"/>
            </w:tcBorders>
            <w:shd w:val="clear" w:color="auto" w:fill="auto"/>
            <w:noWrap w:val="0"/>
            <w:vAlign w:val="center"/>
          </w:tcPr>
          <w:p w14:paraId="671EACFF">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eastAsia="zh-CN"/>
              </w:rPr>
            </w:pPr>
            <w:r>
              <w:rPr>
                <w:rFonts w:hint="eastAsia" w:ascii="宋体" w:hAnsi="宋体" w:cs="宋体"/>
                <w:highlight w:val="none"/>
                <w:lang w:val="en-US" w:eastAsia="zh-CN"/>
              </w:rPr>
              <w:t>2</w:t>
            </w:r>
            <w:r>
              <w:rPr>
                <w:rFonts w:hint="eastAsia" w:ascii="宋体" w:hAnsi="宋体" w:eastAsia="宋体" w:cs="宋体"/>
                <w:highlight w:val="none"/>
              </w:rPr>
              <w:t>.2.</w:t>
            </w:r>
            <w:r>
              <w:rPr>
                <w:rFonts w:hint="eastAsia" w:ascii="宋体" w:hAnsi="宋体" w:eastAsia="宋体" w:cs="宋体"/>
                <w:highlight w:val="none"/>
                <w:lang w:val="en-US" w:eastAsia="zh-CN"/>
              </w:rPr>
              <w:t>3</w:t>
            </w:r>
            <w:r>
              <w:rPr>
                <w:rFonts w:hint="default" w:ascii="宋体" w:hAnsi="宋体" w:eastAsia="宋体" w:cs="宋体"/>
                <w:kern w:val="2"/>
                <w:sz w:val="21"/>
                <w:szCs w:val="24"/>
                <w:highlight w:val="none"/>
                <w:lang w:val="en-US" w:eastAsia="zh-CN" w:bidi="ar-SA"/>
              </w:rPr>
              <w:t>完成本项目拟投入产品</w:t>
            </w:r>
            <w:r>
              <w:rPr>
                <w:rFonts w:hint="eastAsia" w:ascii="宋体" w:hAnsi="宋体" w:eastAsia="宋体" w:cs="宋体"/>
                <w:highlight w:val="none"/>
                <w:lang w:val="en-US" w:eastAsia="zh-CN"/>
              </w:rPr>
              <w:t>支持国家电子病历系统应用水平五级评审的得</w:t>
            </w:r>
            <w:r>
              <w:rPr>
                <w:rFonts w:hint="eastAsia" w:ascii="宋体" w:hAnsi="宋体" w:cs="宋体"/>
                <w:highlight w:val="none"/>
                <w:lang w:val="en-US" w:eastAsia="zh-CN"/>
              </w:rPr>
              <w:t>3</w:t>
            </w:r>
            <w:r>
              <w:rPr>
                <w:rFonts w:hint="eastAsia" w:ascii="宋体" w:hAnsi="宋体" w:eastAsia="宋体" w:cs="宋体"/>
                <w:highlight w:val="none"/>
                <w:lang w:val="en-US" w:eastAsia="zh-CN"/>
              </w:rPr>
              <w:t>分，此项满分</w:t>
            </w:r>
            <w:r>
              <w:rPr>
                <w:rFonts w:hint="eastAsia" w:ascii="宋体" w:hAnsi="宋体" w:cs="宋体"/>
                <w:highlight w:val="none"/>
                <w:lang w:val="en-US" w:eastAsia="zh-CN"/>
              </w:rPr>
              <w:t>3</w:t>
            </w:r>
            <w:r>
              <w:rPr>
                <w:rFonts w:hint="eastAsia" w:ascii="宋体" w:hAnsi="宋体" w:eastAsia="宋体" w:cs="宋体"/>
                <w:highlight w:val="none"/>
                <w:lang w:val="en-US" w:eastAsia="zh-CN"/>
              </w:rPr>
              <w:t>分（投标时在投标文件中提供</w:t>
            </w:r>
            <w:r>
              <w:rPr>
                <w:rFonts w:hint="eastAsia" w:ascii="宋体" w:hAnsi="宋体" w:cs="宋体"/>
                <w:highlight w:val="none"/>
                <w:lang w:val="en-US" w:eastAsia="zh-CN"/>
              </w:rPr>
              <w:t>相关医疗机构</w:t>
            </w:r>
            <w:r>
              <w:rPr>
                <w:rFonts w:hint="eastAsia" w:ascii="宋体" w:hAnsi="宋体" w:eastAsia="宋体" w:cs="宋体"/>
                <w:highlight w:val="none"/>
                <w:lang w:val="en-US" w:eastAsia="zh-CN"/>
              </w:rPr>
              <w:t>出具的有效证明材料并加盖</w:t>
            </w:r>
            <w:r>
              <w:rPr>
                <w:rFonts w:hint="eastAsia" w:ascii="宋体" w:hAnsi="宋体" w:cs="宋体"/>
                <w:highlight w:val="none"/>
                <w:lang w:val="en-US" w:eastAsia="zh-CN"/>
              </w:rPr>
              <w:t>相关医疗机构</w:t>
            </w:r>
            <w:r>
              <w:rPr>
                <w:rFonts w:hint="eastAsia" w:ascii="宋体" w:hAnsi="宋体" w:eastAsia="宋体" w:cs="宋体"/>
                <w:highlight w:val="none"/>
                <w:lang w:val="en-US" w:eastAsia="zh-CN"/>
              </w:rPr>
              <w:t>公章或</w:t>
            </w:r>
            <w:r>
              <w:rPr>
                <w:rFonts w:hint="eastAsia" w:ascii="宋体" w:hAnsi="宋体" w:cs="宋体"/>
                <w:highlight w:val="none"/>
                <w:lang w:val="en-US" w:eastAsia="zh-CN"/>
              </w:rPr>
              <w:t>相关医疗机构</w:t>
            </w:r>
            <w:r>
              <w:rPr>
                <w:rFonts w:hint="eastAsia" w:ascii="宋体" w:hAnsi="宋体" w:eastAsia="宋体" w:cs="宋体"/>
                <w:highlight w:val="none"/>
                <w:lang w:val="en-US" w:eastAsia="zh-CN"/>
              </w:rPr>
              <w:t>信息部门章</w:t>
            </w:r>
            <w:r>
              <w:rPr>
                <w:rFonts w:hint="eastAsia" w:ascii="宋体" w:hAnsi="宋体" w:eastAsia="宋体" w:cs="宋体"/>
                <w:highlight w:val="none"/>
              </w:rPr>
              <w:t>，</w:t>
            </w:r>
            <w:r>
              <w:rPr>
                <w:rFonts w:hint="eastAsia" w:ascii="宋体" w:hAnsi="宋体" w:eastAsia="宋体" w:cs="宋体"/>
                <w:highlight w:val="none"/>
                <w:lang w:eastAsia="zh-CN"/>
              </w:rPr>
              <w:t>否则不予评分）。</w:t>
            </w:r>
          </w:p>
          <w:p w14:paraId="132F61D0">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val="en-US" w:eastAsia="zh-CN"/>
              </w:rPr>
            </w:pPr>
            <w:r>
              <w:rPr>
                <w:rFonts w:hint="eastAsia" w:ascii="宋体" w:hAnsi="宋体" w:cs="宋体"/>
                <w:highlight w:val="none"/>
                <w:lang w:val="en-US" w:eastAsia="zh-CN"/>
              </w:rPr>
              <w:t>注：相关医疗机构包括但不限于医院、卫生院、卫校、卫计委等行政事业单位。</w:t>
            </w:r>
          </w:p>
        </w:tc>
      </w:tr>
      <w:tr w14:paraId="29FF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3572379E">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6F5B6470">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vMerge w:val="continue"/>
            <w:tcBorders>
              <w:left w:val="single" w:color="auto" w:sz="4" w:space="0"/>
              <w:right w:val="single" w:color="auto" w:sz="4" w:space="0"/>
            </w:tcBorders>
            <w:noWrap/>
            <w:tcMar>
              <w:top w:w="0" w:type="dxa"/>
              <w:left w:w="57" w:type="dxa"/>
              <w:bottom w:w="0" w:type="dxa"/>
              <w:right w:w="57" w:type="dxa"/>
            </w:tcMar>
            <w:vAlign w:val="center"/>
          </w:tcPr>
          <w:p w14:paraId="48C7ADB7">
            <w:pPr>
              <w:keepNext w:val="0"/>
              <w:keepLines w:val="0"/>
              <w:pageBreakBefore w:val="0"/>
              <w:kinsoku/>
              <w:wordWrap/>
              <w:overflowPunct/>
              <w:topLinePunct w:val="0"/>
              <w:autoSpaceDE/>
              <w:autoSpaceDN/>
              <w:bidi w:val="0"/>
              <w:snapToGrid/>
              <w:spacing w:line="400" w:lineRule="exact"/>
              <w:jc w:val="center"/>
              <w:rPr>
                <w:rFonts w:hint="default" w:ascii="宋体" w:hAnsi="宋体" w:cs="宋体"/>
                <w:kern w:val="0"/>
                <w:szCs w:val="21"/>
                <w:highlight w:val="none"/>
                <w:u w:val="wave" w:color="FFFFFF"/>
                <w:lang w:val="en-US" w:eastAsia="zh-CN"/>
              </w:rPr>
            </w:pPr>
          </w:p>
        </w:tc>
        <w:tc>
          <w:tcPr>
            <w:tcW w:w="6043" w:type="dxa"/>
            <w:tcBorders>
              <w:top w:val="single" w:color="auto" w:sz="4" w:space="0"/>
              <w:left w:val="single" w:color="auto" w:sz="4" w:space="0"/>
              <w:right w:val="single" w:color="auto" w:sz="4" w:space="0"/>
            </w:tcBorders>
            <w:shd w:val="clear" w:color="auto" w:fill="auto"/>
            <w:noWrap w:val="0"/>
            <w:vAlign w:val="center"/>
          </w:tcPr>
          <w:p w14:paraId="0E20E100">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rPr>
              <w:t>.2.</w:t>
            </w:r>
            <w:r>
              <w:rPr>
                <w:rFonts w:hint="eastAsia" w:ascii="宋体" w:hAnsi="宋体" w:eastAsia="宋体" w:cs="宋体"/>
                <w:highlight w:val="none"/>
                <w:lang w:val="en-US" w:eastAsia="zh-CN"/>
              </w:rPr>
              <w:t>4</w:t>
            </w:r>
            <w:r>
              <w:rPr>
                <w:rFonts w:hint="default" w:ascii="宋体" w:hAnsi="宋体" w:eastAsia="宋体" w:cs="宋体"/>
                <w:kern w:val="2"/>
                <w:sz w:val="21"/>
                <w:szCs w:val="24"/>
                <w:highlight w:val="none"/>
                <w:lang w:val="en-US" w:eastAsia="zh-CN" w:bidi="ar-SA"/>
              </w:rPr>
              <w:t>完成本项目拟投入产品</w:t>
            </w:r>
            <w:r>
              <w:rPr>
                <w:rFonts w:hint="eastAsia" w:ascii="宋体" w:hAnsi="宋体" w:eastAsia="宋体" w:cs="宋体"/>
                <w:highlight w:val="none"/>
                <w:lang w:val="en-US" w:eastAsia="en-US"/>
              </w:rPr>
              <w:t>具备医疗混合云方案评测证书</w:t>
            </w:r>
            <w:r>
              <w:rPr>
                <w:rFonts w:hint="eastAsia" w:ascii="宋体" w:hAnsi="宋体" w:cs="宋体"/>
                <w:highlight w:val="none"/>
                <w:lang w:val="en-US" w:eastAsia="zh-CN"/>
              </w:rPr>
              <w:t>的得3分，此项满分3分</w:t>
            </w:r>
            <w:r>
              <w:rPr>
                <w:rFonts w:hint="eastAsia" w:ascii="宋体" w:hAnsi="宋体" w:eastAsia="宋体" w:cs="宋体"/>
                <w:highlight w:val="none"/>
                <w:lang w:val="en-US" w:eastAsia="zh-CN"/>
              </w:rPr>
              <w:t>（投标时在投标文件中提供有效证书</w:t>
            </w:r>
            <w:r>
              <w:rPr>
                <w:rFonts w:hint="eastAsia" w:ascii="宋体" w:hAnsi="宋体" w:eastAsia="宋体" w:cs="宋体"/>
                <w:highlight w:val="none"/>
              </w:rPr>
              <w:t>证明材料并加盖公章，</w:t>
            </w:r>
            <w:r>
              <w:rPr>
                <w:rFonts w:hint="eastAsia" w:ascii="宋体" w:hAnsi="宋体" w:eastAsia="宋体" w:cs="宋体"/>
                <w:highlight w:val="none"/>
                <w:lang w:eastAsia="zh-CN"/>
              </w:rPr>
              <w:t>否则不予评分）</w:t>
            </w:r>
            <w:r>
              <w:rPr>
                <w:rFonts w:hint="eastAsia" w:ascii="宋体" w:hAnsi="宋体" w:eastAsia="宋体" w:cs="宋体"/>
                <w:highlight w:val="none"/>
              </w:rPr>
              <w:t>。</w:t>
            </w:r>
          </w:p>
        </w:tc>
      </w:tr>
      <w:tr w14:paraId="221D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top w:val="single" w:color="auto" w:sz="4" w:space="0"/>
              <w:left w:val="single" w:color="auto" w:sz="4" w:space="0"/>
              <w:right w:val="single" w:color="auto" w:sz="4" w:space="0"/>
            </w:tcBorders>
            <w:noWrap/>
            <w:vAlign w:val="center"/>
          </w:tcPr>
          <w:p w14:paraId="5300B299">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top w:val="single" w:color="auto" w:sz="4" w:space="0"/>
              <w:left w:val="single" w:color="auto" w:sz="4" w:space="0"/>
              <w:right w:val="single" w:color="auto" w:sz="4" w:space="0"/>
            </w:tcBorders>
            <w:noWrap/>
            <w:vAlign w:val="center"/>
          </w:tcPr>
          <w:p w14:paraId="6D288552">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00E5267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highlight w:val="none"/>
              </w:rPr>
            </w:pPr>
            <w:r>
              <w:rPr>
                <w:rFonts w:hint="eastAsia" w:ascii="宋体" w:hAnsi="宋体" w:cs="宋体"/>
                <w:bCs/>
                <w:szCs w:val="21"/>
                <w:highlight w:val="none"/>
                <w:lang w:val="en-US" w:eastAsia="zh-CN"/>
              </w:rPr>
              <w:t>2.3</w:t>
            </w:r>
            <w:r>
              <w:rPr>
                <w:rFonts w:hint="eastAsia" w:ascii="宋体" w:hAnsi="宋体" w:cs="宋体"/>
                <w:bCs/>
                <w:szCs w:val="21"/>
                <w:highlight w:val="none"/>
              </w:rPr>
              <w:t>业绩</w:t>
            </w:r>
            <w:r>
              <w:rPr>
                <w:rFonts w:hint="eastAsia" w:ascii="宋体" w:hAnsi="宋体" w:cs="宋体"/>
                <w:highlight w:val="none"/>
                <w:lang w:eastAsia="zh-CN"/>
              </w:rPr>
              <w:t>（满分</w:t>
            </w:r>
            <w:r>
              <w:rPr>
                <w:rFonts w:hint="eastAsia" w:ascii="宋体" w:hAnsi="宋体" w:cs="宋体"/>
                <w:highlight w:val="none"/>
                <w:lang w:val="en-US" w:eastAsia="zh-CN"/>
              </w:rPr>
              <w:t>3分</w:t>
            </w:r>
            <w:r>
              <w:rPr>
                <w:rFonts w:hint="eastAsia" w:ascii="宋体" w:hAnsi="宋体" w:cs="宋体"/>
                <w:highlight w:val="none"/>
                <w:lang w:eastAsia="zh-CN"/>
              </w:rPr>
              <w:t>）</w:t>
            </w:r>
          </w:p>
        </w:tc>
        <w:tc>
          <w:tcPr>
            <w:tcW w:w="60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86179B">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投标人或</w:t>
            </w:r>
            <w:r>
              <w:rPr>
                <w:rFonts w:hint="default" w:ascii="宋体" w:hAnsi="宋体" w:eastAsia="宋体" w:cs="宋体"/>
                <w:kern w:val="2"/>
                <w:sz w:val="21"/>
                <w:szCs w:val="24"/>
                <w:highlight w:val="none"/>
                <w:lang w:val="en-US" w:eastAsia="zh-CN" w:bidi="ar-SA"/>
              </w:rPr>
              <w:t>完成本项目拟投入产品开发厂家</w:t>
            </w:r>
            <w:r>
              <w:rPr>
                <w:rFonts w:hint="eastAsia" w:ascii="宋体" w:hAnsi="宋体" w:eastAsia="宋体" w:cs="宋体"/>
                <w:highlight w:val="none"/>
              </w:rPr>
              <w:t>近三年</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2022年、2023年、2024年</w:t>
            </w:r>
            <w:r>
              <w:rPr>
                <w:rFonts w:hint="eastAsia" w:ascii="宋体" w:hAnsi="宋体" w:eastAsia="宋体" w:cs="宋体"/>
                <w:highlight w:val="none"/>
                <w:lang w:eastAsia="zh-CN"/>
              </w:rPr>
              <w:t>）具有与</w:t>
            </w:r>
            <w:r>
              <w:rPr>
                <w:rFonts w:hint="eastAsia" w:ascii="宋体" w:hAnsi="宋体" w:eastAsia="宋体" w:cs="宋体"/>
                <w:highlight w:val="none"/>
              </w:rPr>
              <w:t>本项目同</w:t>
            </w:r>
            <w:r>
              <w:rPr>
                <w:rFonts w:hint="eastAsia" w:ascii="宋体" w:hAnsi="宋体" w:eastAsia="宋体" w:cs="宋体"/>
                <w:highlight w:val="none"/>
                <w:lang w:val="en-US" w:eastAsia="zh-CN"/>
              </w:rPr>
              <w:t>类型的业绩，每有一个得1分，此项满分3分</w:t>
            </w:r>
            <w:r>
              <w:rPr>
                <w:rFonts w:hint="eastAsia" w:ascii="宋体" w:hAnsi="宋体" w:cs="宋体"/>
                <w:highlight w:val="none"/>
                <w:lang w:val="en-US" w:eastAsia="zh-CN"/>
              </w:rPr>
              <w:t>[</w:t>
            </w:r>
            <w:r>
              <w:rPr>
                <w:rFonts w:hint="eastAsia" w:ascii="宋体" w:hAnsi="宋体" w:eastAsia="宋体" w:cs="宋体"/>
                <w:highlight w:val="none"/>
                <w:lang w:val="en-US" w:eastAsia="zh-CN"/>
              </w:rPr>
              <w:t>投标时在投标文件中提供有效合同或中标/成交通知书等证明材料、</w:t>
            </w:r>
            <w:r>
              <w:rPr>
                <w:rFonts w:hint="eastAsia" w:ascii="宋体" w:hAnsi="宋体" w:cs="宋体"/>
                <w:highlight w:val="none"/>
                <w:lang w:val="en-US" w:eastAsia="zh-CN"/>
              </w:rPr>
              <w:t>相关医疗机构</w:t>
            </w:r>
            <w:r>
              <w:rPr>
                <w:rFonts w:hint="eastAsia" w:ascii="宋体" w:hAnsi="宋体" w:eastAsia="宋体" w:cs="宋体"/>
                <w:highlight w:val="none"/>
              </w:rPr>
              <w:t>名单</w:t>
            </w:r>
            <w:r>
              <w:rPr>
                <w:rFonts w:hint="eastAsia" w:ascii="宋体" w:hAnsi="宋体" w:eastAsia="宋体" w:cs="宋体"/>
                <w:highlight w:val="none"/>
                <w:lang w:eastAsia="zh-CN"/>
              </w:rPr>
              <w:t>（</w:t>
            </w:r>
            <w:r>
              <w:rPr>
                <w:rFonts w:hint="eastAsia" w:ascii="宋体" w:hAnsi="宋体" w:eastAsia="宋体" w:cs="宋体"/>
                <w:highlight w:val="none"/>
              </w:rPr>
              <w:t>注明联系人、联系方式</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，要求所提供的合同或中标/成交通知书等证明材料</w:t>
            </w:r>
            <w:r>
              <w:rPr>
                <w:rFonts w:hint="eastAsia" w:ascii="宋体" w:hAnsi="宋体" w:eastAsia="宋体" w:cs="宋体"/>
                <w:highlight w:val="none"/>
              </w:rPr>
              <w:t>含有“病案管理系统”或“病案</w:t>
            </w:r>
            <w:r>
              <w:rPr>
                <w:rFonts w:hint="eastAsia" w:ascii="宋体" w:hAnsi="宋体" w:eastAsia="宋体" w:cs="宋体"/>
                <w:highlight w:val="none"/>
                <w:lang w:val="en-US" w:eastAsia="zh-CN"/>
              </w:rPr>
              <w:t>翻拍</w:t>
            </w:r>
            <w:r>
              <w:rPr>
                <w:rFonts w:hint="eastAsia" w:ascii="宋体" w:hAnsi="宋体" w:eastAsia="宋体" w:cs="宋体"/>
                <w:highlight w:val="none"/>
              </w:rPr>
              <w:t>系统”</w:t>
            </w:r>
            <w:r>
              <w:rPr>
                <w:rFonts w:hint="eastAsia" w:ascii="宋体" w:hAnsi="宋体" w:eastAsia="宋体" w:cs="宋体"/>
                <w:highlight w:val="none"/>
                <w:lang w:eastAsia="zh-CN"/>
              </w:rPr>
              <w:t>等</w:t>
            </w:r>
            <w:r>
              <w:rPr>
                <w:rFonts w:hint="eastAsia" w:ascii="宋体" w:hAnsi="宋体" w:eastAsia="宋体" w:cs="宋体"/>
                <w:highlight w:val="none"/>
              </w:rPr>
              <w:t>内容，</w:t>
            </w:r>
            <w:r>
              <w:rPr>
                <w:rFonts w:hint="eastAsia" w:ascii="宋体" w:hAnsi="宋体" w:eastAsia="宋体" w:cs="宋体"/>
                <w:highlight w:val="none"/>
                <w:lang w:eastAsia="zh-CN"/>
              </w:rPr>
              <w:t>否则不予评分</w:t>
            </w:r>
            <w:r>
              <w:rPr>
                <w:rFonts w:hint="eastAsia" w:ascii="宋体" w:hAnsi="宋体" w:cs="宋体"/>
                <w:highlight w:val="none"/>
                <w:lang w:val="en-US" w:eastAsia="zh-CN"/>
              </w:rPr>
              <w:t>]</w:t>
            </w:r>
            <w:r>
              <w:rPr>
                <w:rFonts w:hint="eastAsia" w:ascii="宋体" w:hAnsi="宋体" w:eastAsia="宋体" w:cs="宋体"/>
                <w:highlight w:val="none"/>
              </w:rPr>
              <w:t>。</w:t>
            </w:r>
          </w:p>
          <w:p w14:paraId="0553AA1A">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val="en-US" w:eastAsia="zh-CN"/>
              </w:rPr>
            </w:pPr>
            <w:r>
              <w:rPr>
                <w:rFonts w:hint="eastAsia" w:ascii="宋体" w:hAnsi="宋体" w:cs="宋体"/>
                <w:highlight w:val="none"/>
                <w:lang w:val="en-US" w:eastAsia="zh-CN"/>
              </w:rPr>
              <w:t>注：相关医疗机构包括但不限于医院、卫生院、卫校、卫计委等行政事业单位。</w:t>
            </w:r>
          </w:p>
        </w:tc>
      </w:tr>
      <w:tr w14:paraId="2824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ign w:val="center"/>
          </w:tcPr>
          <w:p w14:paraId="66C97B0B">
            <w:pPr>
              <w:keepNext w:val="0"/>
              <w:keepLines w:val="0"/>
              <w:pageBreakBefore w:val="0"/>
              <w:kinsoku/>
              <w:wordWrap/>
              <w:overflowPunct/>
              <w:topLinePunct w:val="0"/>
              <w:autoSpaceDE/>
              <w:autoSpaceDN/>
              <w:bidi w:val="0"/>
              <w:snapToGrid/>
              <w:spacing w:line="400" w:lineRule="exact"/>
              <w:ind w:firstLine="420"/>
              <w:rPr>
                <w:rFonts w:hint="default" w:ascii="宋体" w:hAnsi="宋体" w:eastAsia="宋体" w:cs="宋体"/>
                <w:bCs/>
                <w:szCs w:val="21"/>
                <w:highlight w:val="none"/>
                <w:lang w:val="en-US" w:eastAsia="zh-CN"/>
              </w:rPr>
            </w:pPr>
            <w:r>
              <w:rPr>
                <w:rFonts w:hint="eastAsia" w:ascii="宋体" w:hAnsi="宋体" w:eastAsia="宋体" w:cs="宋体"/>
                <w:b/>
                <w:bCs/>
                <w:szCs w:val="21"/>
                <w:highlight w:val="none"/>
              </w:rPr>
              <w:t>总得分=</w:t>
            </w:r>
            <w:r>
              <w:rPr>
                <w:rFonts w:hint="eastAsia" w:ascii="宋体" w:hAnsi="宋体" w:cs="宋体"/>
                <w:b/>
                <w:bCs/>
                <w:szCs w:val="21"/>
                <w:highlight w:val="none"/>
                <w:lang w:val="en-US" w:eastAsia="zh-CN"/>
              </w:rPr>
              <w:t>价格分+技术分</w:t>
            </w:r>
            <w:r>
              <w:rPr>
                <w:rFonts w:hint="eastAsia" w:ascii="宋体" w:hAnsi="宋体" w:eastAsia="宋体" w:cs="宋体"/>
                <w:b/>
                <w:bCs/>
                <w:szCs w:val="21"/>
                <w:highlight w:val="none"/>
              </w:rPr>
              <w:t>+</w:t>
            </w:r>
            <w:r>
              <w:rPr>
                <w:rFonts w:hint="eastAsia" w:ascii="宋体" w:hAnsi="宋体" w:cs="宋体"/>
                <w:b/>
                <w:bCs/>
                <w:szCs w:val="21"/>
                <w:highlight w:val="none"/>
                <w:lang w:val="en-US" w:eastAsia="zh-CN"/>
              </w:rPr>
              <w:t>商务分</w:t>
            </w:r>
          </w:p>
        </w:tc>
      </w:tr>
    </w:tbl>
    <w:p w14:paraId="2E5AA1AD">
      <w:pPr>
        <w:rPr>
          <w:rFonts w:hint="eastAsia" w:ascii="宋体" w:hAnsi="宋体" w:eastAsia="宋体" w:cs="宋体"/>
          <w:bCs/>
          <w:sz w:val="21"/>
          <w:highlight w:val="none"/>
        </w:rPr>
      </w:pPr>
      <w:r>
        <w:rPr>
          <w:rFonts w:hint="eastAsia" w:ascii="宋体" w:hAnsi="宋体" w:eastAsia="宋体" w:cs="宋体"/>
          <w:bCs/>
          <w:sz w:val="21"/>
          <w:highlight w:val="none"/>
        </w:rPr>
        <w:br w:type="page"/>
      </w:r>
    </w:p>
    <w:p w14:paraId="785D1AA3">
      <w:pPr>
        <w:pStyle w:val="4"/>
        <w:keepNext/>
        <w:keepLines/>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sz w:val="28"/>
          <w:szCs w:val="28"/>
          <w:lang w:val="en-US" w:eastAsia="zh-CN"/>
        </w:rPr>
      </w:pPr>
      <w:bookmarkStart w:id="89" w:name="_Toc23449"/>
      <w:r>
        <w:rPr>
          <w:rFonts w:hint="eastAsia" w:ascii="宋体" w:hAnsi="宋体" w:eastAsia="宋体" w:cs="宋体"/>
          <w:sz w:val="28"/>
          <w:szCs w:val="28"/>
          <w:lang w:eastAsia="zh-CN"/>
        </w:rPr>
        <w:t>分标</w:t>
      </w:r>
      <w:r>
        <w:rPr>
          <w:rFonts w:hint="eastAsia" w:ascii="宋体" w:hAnsi="宋体" w:eastAsia="宋体" w:cs="宋体"/>
          <w:sz w:val="28"/>
          <w:szCs w:val="28"/>
          <w:lang w:val="en-US" w:eastAsia="zh-CN"/>
        </w:rPr>
        <w:t>2</w:t>
      </w:r>
      <w:bookmarkEnd w:id="89"/>
    </w:p>
    <w:tbl>
      <w:tblPr>
        <w:tblStyle w:val="5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05"/>
        <w:gridCol w:w="1977"/>
        <w:gridCol w:w="6043"/>
      </w:tblGrid>
      <w:tr w14:paraId="5E89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0" w:type="dxa"/>
            <w:gridSpan w:val="2"/>
            <w:tcBorders>
              <w:top w:val="single" w:color="auto" w:sz="4" w:space="0"/>
              <w:left w:val="single" w:color="auto" w:sz="4" w:space="0"/>
              <w:bottom w:val="single" w:color="auto" w:sz="4" w:space="0"/>
              <w:right w:val="single" w:color="auto" w:sz="4" w:space="0"/>
            </w:tcBorders>
            <w:noWrap/>
            <w:vAlign w:val="center"/>
          </w:tcPr>
          <w:p w14:paraId="6C53F4AD">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lang w:eastAsia="zh-CN"/>
              </w:rPr>
            </w:pPr>
            <w:r>
              <w:rPr>
                <w:rFonts w:hint="eastAsia" w:ascii="宋体" w:hAnsi="宋体" w:cs="宋体"/>
                <w:b/>
                <w:szCs w:val="21"/>
                <w:highlight w:val="none"/>
                <w:lang w:eastAsia="zh-CN"/>
              </w:rPr>
              <w:t>评审内容</w:t>
            </w:r>
          </w:p>
        </w:tc>
        <w:tc>
          <w:tcPr>
            <w:tcW w:w="1977" w:type="dxa"/>
            <w:tcBorders>
              <w:top w:val="single" w:color="auto" w:sz="4" w:space="0"/>
              <w:left w:val="single" w:color="auto" w:sz="4" w:space="0"/>
              <w:bottom w:val="single" w:color="auto" w:sz="4" w:space="0"/>
              <w:right w:val="single" w:color="auto" w:sz="4" w:space="0"/>
            </w:tcBorders>
            <w:noWrap/>
            <w:vAlign w:val="center"/>
          </w:tcPr>
          <w:p w14:paraId="6DFA5C81">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b/>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ign w:val="center"/>
          </w:tcPr>
          <w:p w14:paraId="1245DE69">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b/>
                <w:szCs w:val="21"/>
                <w:highlight w:val="none"/>
              </w:rPr>
              <w:t>评标标准</w:t>
            </w:r>
          </w:p>
        </w:tc>
      </w:tr>
      <w:tr w14:paraId="39DD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0" w:type="dxa"/>
            <w:gridSpan w:val="2"/>
            <w:tcBorders>
              <w:top w:val="single" w:color="auto" w:sz="4" w:space="0"/>
              <w:left w:val="single" w:color="auto" w:sz="4" w:space="0"/>
              <w:bottom w:val="single" w:color="auto" w:sz="4" w:space="0"/>
              <w:right w:val="single" w:color="auto" w:sz="4" w:space="0"/>
            </w:tcBorders>
            <w:noWrap/>
            <w:vAlign w:val="center"/>
          </w:tcPr>
          <w:p w14:paraId="68F32790">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b/>
                <w:szCs w:val="21"/>
                <w:highlight w:val="none"/>
              </w:rPr>
              <w:t>价格分（</w:t>
            </w:r>
            <w:r>
              <w:rPr>
                <w:rFonts w:hint="eastAsia" w:ascii="宋体" w:hAnsi="宋体" w:cs="宋体"/>
                <w:b/>
                <w:szCs w:val="21"/>
                <w:highlight w:val="none"/>
                <w:lang w:eastAsia="zh-CN"/>
              </w:rPr>
              <w:t>满分</w:t>
            </w:r>
            <w:r>
              <w:rPr>
                <w:rFonts w:hint="eastAsia" w:ascii="宋体" w:hAnsi="宋体" w:cs="宋体"/>
                <w:b/>
                <w:szCs w:val="21"/>
                <w:highlight w:val="none"/>
                <w:lang w:val="en-US" w:eastAsia="zh-CN"/>
              </w:rPr>
              <w:t>10</w:t>
            </w:r>
            <w:r>
              <w:rPr>
                <w:rFonts w:hint="eastAsia" w:ascii="宋体" w:hAnsi="宋体" w:eastAsia="宋体" w:cs="宋体"/>
                <w:b/>
                <w:szCs w:val="21"/>
                <w:highlight w:val="none"/>
              </w:rPr>
              <w:t>分）</w:t>
            </w:r>
          </w:p>
        </w:tc>
        <w:tc>
          <w:tcPr>
            <w:tcW w:w="1977" w:type="dxa"/>
            <w:tcBorders>
              <w:top w:val="single" w:color="auto" w:sz="4" w:space="0"/>
              <w:left w:val="single" w:color="auto" w:sz="4" w:space="0"/>
              <w:bottom w:val="single" w:color="auto" w:sz="4" w:space="0"/>
              <w:right w:val="single" w:color="auto" w:sz="4" w:space="0"/>
            </w:tcBorders>
            <w:noWrap/>
            <w:vAlign w:val="center"/>
          </w:tcPr>
          <w:p w14:paraId="2D8ECFEE">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投标报价（满分</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p>
        </w:tc>
        <w:tc>
          <w:tcPr>
            <w:tcW w:w="6043" w:type="dxa"/>
            <w:tcBorders>
              <w:top w:val="single" w:color="auto" w:sz="4" w:space="0"/>
              <w:left w:val="single" w:color="auto" w:sz="4" w:space="0"/>
              <w:bottom w:val="single" w:color="auto" w:sz="4" w:space="0"/>
              <w:right w:val="single" w:color="auto" w:sz="4" w:space="0"/>
            </w:tcBorders>
            <w:noWrap/>
            <w:vAlign w:val="center"/>
          </w:tcPr>
          <w:p w14:paraId="6E864BF3">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r>
              <w:rPr>
                <w:rFonts w:hint="eastAsia" w:ascii="宋体" w:hAnsi="宋体" w:eastAsia="宋体" w:cs="宋体"/>
                <w:bCs/>
                <w:color w:val="auto"/>
                <w:sz w:val="21"/>
                <w:szCs w:val="21"/>
                <w:highlight w:val="none"/>
                <w:lang w:eastAsia="zh-CN"/>
              </w:rPr>
              <w:t>；</w:t>
            </w:r>
          </w:p>
          <w:p w14:paraId="02C019B0">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（2）政策性扣除计算方法。</w:t>
            </w:r>
          </w:p>
          <w:p w14:paraId="5DBC98EB">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本项目已专门面向小微企业进行采购，价格不再进行政策扣除</w:t>
            </w:r>
            <w:r>
              <w:rPr>
                <w:rFonts w:hint="eastAsia" w:ascii="宋体" w:hAnsi="宋体" w:cs="宋体"/>
                <w:bCs/>
                <w:color w:val="auto"/>
                <w:sz w:val="21"/>
                <w:szCs w:val="21"/>
                <w:highlight w:val="none"/>
                <w:lang w:eastAsia="zh-CN"/>
              </w:rPr>
              <w:t>（注：</w:t>
            </w:r>
            <w:r>
              <w:rPr>
                <w:rFonts w:hint="eastAsia" w:ascii="宋体" w:hAnsi="宋体" w:eastAsia="宋体" w:cs="宋体"/>
                <w:bCs/>
                <w:color w:val="auto"/>
                <w:sz w:val="21"/>
                <w:szCs w:val="21"/>
                <w:highlight w:val="none"/>
              </w:rPr>
              <w:t>监狱企业</w:t>
            </w:r>
            <w:r>
              <w:rPr>
                <w:rFonts w:hint="eastAsia" w:ascii="宋体" w:hAnsi="宋体" w:eastAsia="宋体" w:cs="宋体"/>
                <w:bCs/>
                <w:color w:val="auto"/>
                <w:sz w:val="21"/>
                <w:szCs w:val="21"/>
                <w:highlight w:val="none"/>
                <w:lang w:eastAsia="zh-CN"/>
              </w:rPr>
              <w:t>及</w:t>
            </w:r>
            <w:r>
              <w:rPr>
                <w:rFonts w:hint="eastAsia" w:ascii="宋体" w:hAnsi="宋体" w:eastAsia="宋体" w:cs="宋体"/>
                <w:bCs/>
                <w:color w:val="auto"/>
                <w:sz w:val="21"/>
                <w:szCs w:val="21"/>
                <w:highlight w:val="none"/>
              </w:rPr>
              <w:t>残疾人福利性单位</w:t>
            </w:r>
            <w:r>
              <w:rPr>
                <w:rFonts w:hint="eastAsia" w:ascii="宋体" w:hAnsi="宋体" w:eastAsia="宋体" w:cs="宋体"/>
                <w:bCs/>
                <w:color w:val="auto"/>
                <w:sz w:val="21"/>
                <w:szCs w:val="21"/>
                <w:highlight w:val="none"/>
                <w:lang w:eastAsia="zh-CN"/>
              </w:rPr>
              <w:t>均</w:t>
            </w:r>
            <w:r>
              <w:rPr>
                <w:rFonts w:hint="eastAsia" w:ascii="宋体" w:hAnsi="宋体" w:eastAsia="宋体" w:cs="宋体"/>
                <w:bCs/>
                <w:color w:val="auto"/>
                <w:sz w:val="21"/>
                <w:szCs w:val="21"/>
                <w:highlight w:val="none"/>
              </w:rPr>
              <w:t>属于小型、微型企业</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w:t>
            </w:r>
          </w:p>
          <w:p w14:paraId="0F5C8006">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（3）满足招标文件要求且评标报价最低的评标报价为评标基准价，其价格分为满分</w:t>
            </w:r>
            <w:r>
              <w:rPr>
                <w:rFonts w:hint="eastAsia" w:ascii="宋体" w:hAnsi="宋体" w:eastAsia="宋体" w:cs="宋体"/>
                <w:bCs/>
                <w:color w:val="auto"/>
                <w:sz w:val="21"/>
                <w:szCs w:val="21"/>
                <w:highlight w:val="none"/>
                <w:lang w:eastAsia="zh-CN"/>
              </w:rPr>
              <w:t>；</w:t>
            </w:r>
          </w:p>
          <w:p w14:paraId="0C70D917">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Cs/>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）价格分计算公式：价格分=（评标基准价／评标报价）×</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r>
      <w:tr w14:paraId="2E8C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restart"/>
            <w:tcBorders>
              <w:top w:val="single" w:color="auto" w:sz="4" w:space="0"/>
              <w:left w:val="single" w:color="auto" w:sz="4" w:space="0"/>
              <w:right w:val="single" w:color="auto" w:sz="4" w:space="0"/>
            </w:tcBorders>
            <w:noWrap/>
            <w:vAlign w:val="center"/>
          </w:tcPr>
          <w:p w14:paraId="0B34D284">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1</w:t>
            </w:r>
          </w:p>
        </w:tc>
        <w:tc>
          <w:tcPr>
            <w:tcW w:w="905" w:type="dxa"/>
            <w:vMerge w:val="restart"/>
            <w:tcBorders>
              <w:top w:val="single" w:color="auto" w:sz="4" w:space="0"/>
              <w:left w:val="single" w:color="auto" w:sz="4" w:space="0"/>
              <w:right w:val="single" w:color="auto" w:sz="4" w:space="0"/>
            </w:tcBorders>
            <w:noWrap/>
            <w:vAlign w:val="center"/>
          </w:tcPr>
          <w:p w14:paraId="0762BA97">
            <w:pPr>
              <w:keepNext w:val="0"/>
              <w:keepLines w:val="0"/>
              <w:pageBreakBefore w:val="0"/>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
                <w:bCs w:val="0"/>
                <w:spacing w:val="-18"/>
                <w:szCs w:val="21"/>
                <w:highlight w:val="none"/>
              </w:rPr>
            </w:pPr>
            <w:r>
              <w:rPr>
                <w:rFonts w:hint="eastAsia" w:ascii="宋体" w:hAnsi="宋体" w:eastAsia="宋体" w:cs="宋体"/>
                <w:b/>
                <w:bCs w:val="0"/>
                <w:szCs w:val="21"/>
                <w:highlight w:val="none"/>
              </w:rPr>
              <w:t>技术分（</w:t>
            </w:r>
            <w:r>
              <w:rPr>
                <w:rFonts w:hint="eastAsia" w:ascii="宋体" w:hAnsi="宋体" w:eastAsia="宋体" w:cs="宋体"/>
                <w:b/>
                <w:bCs w:val="0"/>
                <w:highlight w:val="none"/>
              </w:rPr>
              <w:t>满分</w:t>
            </w:r>
            <w:r>
              <w:rPr>
                <w:rFonts w:hint="eastAsia" w:ascii="宋体" w:hAnsi="宋体" w:cs="宋体"/>
                <w:b/>
                <w:bCs w:val="0"/>
                <w:szCs w:val="21"/>
                <w:highlight w:val="none"/>
                <w:lang w:val="en-US" w:eastAsia="zh-CN"/>
              </w:rPr>
              <w:t>60</w:t>
            </w:r>
            <w:r>
              <w:rPr>
                <w:rFonts w:hint="eastAsia" w:ascii="宋体" w:hAnsi="宋体" w:eastAsia="宋体" w:cs="宋体"/>
                <w:b/>
                <w:bCs w:val="0"/>
                <w:szCs w:val="21"/>
                <w:highlight w:val="none"/>
              </w:rPr>
              <w:t>分）</w:t>
            </w:r>
          </w:p>
        </w:tc>
        <w:tc>
          <w:tcPr>
            <w:tcW w:w="1977" w:type="dxa"/>
            <w:tcBorders>
              <w:top w:val="single" w:color="auto" w:sz="4" w:space="0"/>
              <w:left w:val="single" w:color="auto" w:sz="4" w:space="0"/>
              <w:right w:val="single" w:color="auto" w:sz="4" w:space="0"/>
            </w:tcBorders>
            <w:noWrap/>
            <w:vAlign w:val="center"/>
          </w:tcPr>
          <w:p w14:paraId="10280E99">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highlight w:val="none"/>
              </w:rPr>
            </w:pPr>
            <w:r>
              <w:rPr>
                <w:rFonts w:hint="eastAsia" w:ascii="宋体" w:hAnsi="宋体" w:cs="宋体"/>
                <w:bCs/>
                <w:highlight w:val="none"/>
                <w:lang w:val="en-US" w:eastAsia="zh-CN"/>
              </w:rPr>
              <w:t>1.1技术</w:t>
            </w:r>
            <w:r>
              <w:rPr>
                <w:rFonts w:hint="eastAsia" w:ascii="宋体" w:hAnsi="宋体" w:cs="宋体"/>
                <w:bCs/>
                <w:highlight w:val="none"/>
                <w:lang w:eastAsia="zh-CN"/>
              </w:rPr>
              <w:t>参数响应</w:t>
            </w:r>
            <w:r>
              <w:rPr>
                <w:rFonts w:hint="eastAsia" w:ascii="宋体" w:hAnsi="宋体" w:eastAsia="宋体" w:cs="宋体"/>
                <w:bCs/>
                <w:highlight w:val="none"/>
              </w:rPr>
              <w:t>（</w:t>
            </w:r>
            <w:r>
              <w:rPr>
                <w:rFonts w:hint="eastAsia" w:ascii="宋体" w:hAnsi="宋体" w:cs="宋体"/>
                <w:bCs/>
                <w:highlight w:val="none"/>
                <w:lang w:eastAsia="zh-CN"/>
              </w:rPr>
              <w:t>满分</w:t>
            </w:r>
            <w:r>
              <w:rPr>
                <w:rFonts w:hint="eastAsia" w:ascii="宋体" w:hAnsi="宋体" w:cs="宋体"/>
                <w:bCs/>
                <w:highlight w:val="none"/>
                <w:lang w:val="en-US" w:eastAsia="zh-CN"/>
              </w:rPr>
              <w:t>10</w:t>
            </w:r>
            <w:r>
              <w:rPr>
                <w:rFonts w:hint="eastAsia" w:ascii="宋体" w:hAnsi="宋体" w:eastAsia="宋体" w:cs="宋体"/>
                <w:bCs/>
                <w:highlight w:val="none"/>
              </w:rPr>
              <w:t>分）</w:t>
            </w:r>
          </w:p>
        </w:tc>
        <w:tc>
          <w:tcPr>
            <w:tcW w:w="6043" w:type="dxa"/>
            <w:tcBorders>
              <w:top w:val="single" w:color="auto" w:sz="4" w:space="0"/>
              <w:left w:val="single" w:color="auto" w:sz="4" w:space="0"/>
              <w:right w:val="single" w:color="auto" w:sz="4" w:space="0"/>
            </w:tcBorders>
            <w:noWrap/>
            <w:vAlign w:val="center"/>
          </w:tcPr>
          <w:p w14:paraId="69748235">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投标产品技术参数完全满足招标文件要求的得</w:t>
            </w:r>
            <w:r>
              <w:rPr>
                <w:rFonts w:hint="eastAsia" w:ascii="宋体" w:hAnsi="宋体" w:cs="宋体"/>
                <w:highlight w:val="none"/>
                <w:lang w:val="en-US" w:eastAsia="zh-CN"/>
              </w:rPr>
              <w:t>10</w:t>
            </w:r>
            <w:r>
              <w:rPr>
                <w:rFonts w:hint="eastAsia" w:ascii="宋体" w:hAnsi="宋体" w:eastAsia="宋体" w:cs="宋体"/>
                <w:highlight w:val="none"/>
              </w:rPr>
              <w:t>分，一般参数（不带▲号的条款）有负偏离的每</w:t>
            </w:r>
            <w:r>
              <w:rPr>
                <w:rFonts w:hint="eastAsia" w:ascii="宋体" w:hAnsi="宋体" w:cs="宋体"/>
                <w:highlight w:val="none"/>
                <w:lang w:eastAsia="zh-CN"/>
              </w:rPr>
              <w:t>有</w:t>
            </w:r>
            <w:r>
              <w:rPr>
                <w:rFonts w:hint="eastAsia" w:ascii="宋体" w:hAnsi="宋体" w:eastAsia="宋体" w:cs="宋体"/>
                <w:highlight w:val="none"/>
              </w:rPr>
              <w:t>一项扣</w:t>
            </w:r>
            <w:r>
              <w:rPr>
                <w:rFonts w:hint="eastAsia" w:ascii="宋体" w:hAnsi="宋体" w:cs="宋体"/>
                <w:highlight w:val="none"/>
                <w:lang w:val="en-US" w:eastAsia="zh-CN"/>
              </w:rPr>
              <w:t>2</w:t>
            </w:r>
            <w:r>
              <w:rPr>
                <w:rFonts w:hint="eastAsia" w:ascii="宋体" w:hAnsi="宋体" w:eastAsia="宋体" w:cs="宋体"/>
                <w:highlight w:val="none"/>
              </w:rPr>
              <w:t>分，漏项的每</w:t>
            </w:r>
            <w:r>
              <w:rPr>
                <w:rFonts w:hint="eastAsia" w:ascii="宋体" w:hAnsi="宋体" w:cs="宋体"/>
                <w:highlight w:val="none"/>
                <w:lang w:eastAsia="zh-CN"/>
              </w:rPr>
              <w:t>有</w:t>
            </w:r>
            <w:r>
              <w:rPr>
                <w:rFonts w:hint="eastAsia" w:ascii="宋体" w:hAnsi="宋体" w:eastAsia="宋体" w:cs="宋体"/>
                <w:highlight w:val="none"/>
              </w:rPr>
              <w:t>一项扣</w:t>
            </w:r>
            <w:r>
              <w:rPr>
                <w:rFonts w:hint="eastAsia" w:ascii="宋体" w:hAnsi="宋体" w:cs="宋体"/>
                <w:highlight w:val="none"/>
                <w:lang w:val="en-US" w:eastAsia="zh-CN"/>
              </w:rPr>
              <w:t>3</w:t>
            </w:r>
            <w:r>
              <w:rPr>
                <w:rFonts w:hint="eastAsia" w:ascii="宋体" w:hAnsi="宋体" w:eastAsia="宋体" w:cs="宋体"/>
                <w:highlight w:val="none"/>
              </w:rPr>
              <w:t>分</w:t>
            </w:r>
            <w:r>
              <w:rPr>
                <w:rFonts w:hint="eastAsia" w:ascii="宋体" w:hAnsi="宋体" w:eastAsia="宋体" w:cs="宋体"/>
                <w:sz w:val="21"/>
                <w:szCs w:val="21"/>
                <w:highlight w:val="none"/>
                <w:vertAlign w:val="baseline"/>
                <w:lang w:val="en-US" w:eastAsia="zh-CN"/>
              </w:rPr>
              <w:t>，扣完为止</w:t>
            </w:r>
            <w:r>
              <w:rPr>
                <w:rFonts w:hint="eastAsia" w:ascii="宋体" w:hAnsi="宋体" w:eastAsia="宋体" w:cs="宋体"/>
                <w:highlight w:val="none"/>
              </w:rPr>
              <w:t>。</w:t>
            </w:r>
          </w:p>
        </w:tc>
      </w:tr>
      <w:tr w14:paraId="0ACB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5844A811">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74612FEE">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top w:val="single" w:color="auto" w:sz="4" w:space="0"/>
              <w:left w:val="single" w:color="auto" w:sz="4" w:space="0"/>
              <w:right w:val="single" w:color="auto" w:sz="4" w:space="0"/>
            </w:tcBorders>
            <w:noWrap/>
            <w:vAlign w:val="center"/>
          </w:tcPr>
          <w:p w14:paraId="27E9A52C">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highlight w:val="none"/>
                <w:lang w:val="en-US" w:eastAsia="zh-CN"/>
              </w:rPr>
            </w:pPr>
            <w:r>
              <w:rPr>
                <w:rFonts w:hint="eastAsia" w:ascii="宋体" w:hAnsi="宋体" w:cs="宋体"/>
                <w:bCs/>
                <w:highlight w:val="none"/>
                <w:lang w:val="en-US" w:eastAsia="zh-CN"/>
              </w:rPr>
              <w:t>1.2</w:t>
            </w:r>
            <w:r>
              <w:rPr>
                <w:rFonts w:hint="eastAsia" w:ascii="宋体" w:hAnsi="宋体" w:eastAsia="宋体" w:cs="宋体"/>
                <w:color w:val="auto"/>
                <w:sz w:val="21"/>
                <w:szCs w:val="21"/>
                <w:highlight w:val="none"/>
                <w:lang w:eastAsia="zh-CN"/>
              </w:rPr>
              <w:t>重要技术参数</w:t>
            </w:r>
            <w:r>
              <w:rPr>
                <w:rFonts w:hint="eastAsia" w:ascii="宋体" w:hAnsi="宋体" w:eastAsia="宋体" w:cs="宋体"/>
                <w:bCs/>
                <w:highlight w:val="none"/>
              </w:rPr>
              <w:t>（</w:t>
            </w:r>
            <w:r>
              <w:rPr>
                <w:rFonts w:hint="eastAsia" w:ascii="宋体" w:hAnsi="宋体" w:cs="宋体"/>
                <w:bCs/>
                <w:highlight w:val="none"/>
                <w:lang w:eastAsia="zh-CN"/>
              </w:rPr>
              <w:t>满分</w:t>
            </w:r>
            <w:r>
              <w:rPr>
                <w:rFonts w:hint="eastAsia" w:ascii="宋体" w:hAnsi="宋体" w:cs="宋体"/>
                <w:bCs/>
                <w:highlight w:val="none"/>
                <w:lang w:val="en-US" w:eastAsia="zh-CN"/>
              </w:rPr>
              <w:t>9</w:t>
            </w:r>
            <w:r>
              <w:rPr>
                <w:rFonts w:hint="eastAsia" w:ascii="宋体" w:hAnsi="宋体" w:eastAsia="宋体" w:cs="宋体"/>
                <w:bCs/>
                <w:highlight w:val="none"/>
              </w:rPr>
              <w:t>分）</w:t>
            </w:r>
          </w:p>
        </w:tc>
        <w:tc>
          <w:tcPr>
            <w:tcW w:w="6043" w:type="dxa"/>
            <w:tcBorders>
              <w:top w:val="single" w:color="auto" w:sz="4" w:space="0"/>
              <w:left w:val="single" w:color="auto" w:sz="4" w:space="0"/>
              <w:right w:val="single" w:color="auto" w:sz="4" w:space="0"/>
            </w:tcBorders>
            <w:noWrap/>
            <w:vAlign w:val="center"/>
          </w:tcPr>
          <w:p w14:paraId="1DB51208">
            <w:pPr>
              <w:keepNext w:val="0"/>
              <w:keepLines w:val="0"/>
              <w:pageBreakBefore w:val="0"/>
              <w:kinsoku/>
              <w:wordWrap/>
              <w:overflowPunct/>
              <w:topLinePunct w:val="0"/>
              <w:autoSpaceDE/>
              <w:autoSpaceDN/>
              <w:bidi w:val="0"/>
              <w:snapToGrid/>
              <w:spacing w:line="400" w:lineRule="exact"/>
              <w:rPr>
                <w:rFonts w:hint="default" w:ascii="宋体" w:hAnsi="宋体" w:eastAsia="宋体" w:cs="宋体"/>
                <w:highlight w:val="none"/>
                <w:lang w:val="en-US" w:eastAsia="zh-CN"/>
              </w:rPr>
            </w:pPr>
            <w:r>
              <w:rPr>
                <w:rFonts w:hint="eastAsia" w:ascii="宋体" w:hAnsi="宋体" w:eastAsia="宋体" w:cs="宋体"/>
                <w:color w:val="auto"/>
                <w:kern w:val="0"/>
                <w:sz w:val="21"/>
                <w:szCs w:val="21"/>
                <w:highlight w:val="none"/>
                <w:lang w:val="en-US" w:eastAsia="zh-CN"/>
              </w:rPr>
              <w:t>投标时能在投标文件中提供能详细、清晰、直观体现以下各功能参数的有效系统界面截图的，每有一个得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lang w:val="en-US" w:eastAsia="zh-CN"/>
              </w:rPr>
              <w:t>分，此项满分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val="en-US" w:eastAsia="zh-CN"/>
              </w:rPr>
              <w:t>分：</w:t>
            </w:r>
          </w:p>
          <w:p w14:paraId="2510965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1.2.1</w:t>
            </w:r>
            <w:r>
              <w:rPr>
                <w:rFonts w:hint="eastAsia" w:ascii="宋体" w:hAnsi="宋体" w:eastAsia="宋体" w:cs="宋体"/>
                <w:lang w:val="en-US" w:eastAsia="zh-CN"/>
              </w:rPr>
              <w:t>院部医务管理</w:t>
            </w:r>
            <w:r>
              <w:rPr>
                <w:rFonts w:hint="eastAsia" w:ascii="宋体" w:hAnsi="宋体" w:cs="宋体"/>
                <w:lang w:val="en-US" w:eastAsia="zh-CN"/>
              </w:rPr>
              <w:t>－</w:t>
            </w:r>
            <w:r>
              <w:rPr>
                <w:rFonts w:hint="eastAsia" w:ascii="宋体" w:hAnsi="宋体" w:eastAsia="宋体" w:cs="宋体"/>
                <w:lang w:val="en-US" w:eastAsia="zh-CN"/>
              </w:rPr>
              <w:t>医务监控大屏</w:t>
            </w:r>
            <w:r>
              <w:rPr>
                <w:rFonts w:hint="eastAsia" w:ascii="宋体" w:hAnsi="宋体" w:cs="宋体"/>
                <w:lang w:val="en-US" w:eastAsia="zh-CN"/>
              </w:rPr>
              <w:t>具有“</w:t>
            </w:r>
            <w:r>
              <w:rPr>
                <w:rFonts w:hint="eastAsia" w:ascii="宋体" w:hAnsi="宋体" w:eastAsia="宋体" w:cs="宋体"/>
                <w:lang w:val="en-US" w:eastAsia="zh-CN"/>
              </w:rPr>
              <w:t>以BI形式对医务工作进行监控，包含医师职称构成、综合运营情况、人员类别分析、医师年龄构成、重点患者情况、授权技术架构、督导检查概览、资质情况</w:t>
            </w:r>
            <w:r>
              <w:rPr>
                <w:rFonts w:hint="eastAsia" w:ascii="宋体" w:hAnsi="宋体" w:cs="宋体"/>
                <w:lang w:val="en-US" w:eastAsia="zh-CN"/>
              </w:rPr>
              <w:t>”功能</w:t>
            </w:r>
            <w:r>
              <w:rPr>
                <w:rFonts w:hint="eastAsia" w:ascii="宋体" w:hAnsi="宋体" w:eastAsia="宋体" w:cs="宋体"/>
                <w:color w:val="auto"/>
                <w:kern w:val="0"/>
                <w:sz w:val="21"/>
                <w:szCs w:val="21"/>
                <w:highlight w:val="none"/>
                <w:lang w:val="en-US" w:eastAsia="zh-CN"/>
              </w:rPr>
              <w:t>。</w:t>
            </w:r>
          </w:p>
          <w:p w14:paraId="7DBC266A">
            <w:pPr>
              <w:keepNext w:val="0"/>
              <w:keepLines w:val="0"/>
              <w:pageBreakBefore w:val="0"/>
              <w:kinsoku/>
              <w:wordWrap/>
              <w:overflowPunct/>
              <w:topLinePunct w:val="0"/>
              <w:autoSpaceDE/>
              <w:autoSpaceDN/>
              <w:bidi w:val="0"/>
              <w:snapToGrid/>
              <w:spacing w:line="40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1.2.2</w:t>
            </w:r>
            <w:r>
              <w:rPr>
                <w:rFonts w:hint="eastAsia" w:ascii="宋体" w:hAnsi="宋体" w:eastAsia="宋体" w:cs="宋体"/>
                <w:lang w:val="en-US" w:eastAsia="zh-CN"/>
              </w:rPr>
              <w:t>院部医务管理</w:t>
            </w:r>
            <w:r>
              <w:rPr>
                <w:rFonts w:hint="eastAsia" w:ascii="宋体" w:hAnsi="宋体" w:cs="宋体"/>
                <w:lang w:val="en-US" w:eastAsia="zh-CN"/>
              </w:rPr>
              <w:t>－</w:t>
            </w:r>
            <w:r>
              <w:rPr>
                <w:rFonts w:hint="eastAsia" w:ascii="宋体" w:hAnsi="宋体" w:eastAsia="宋体" w:cs="宋体"/>
                <w:lang w:val="en-US" w:eastAsia="zh-CN"/>
              </w:rPr>
              <w:t>数据统计</w:t>
            </w:r>
            <w:r>
              <w:rPr>
                <w:rFonts w:hint="eastAsia" w:ascii="宋体" w:hAnsi="宋体" w:cs="宋体"/>
                <w:lang w:val="en-US" w:eastAsia="zh-CN"/>
              </w:rPr>
              <w:t>具有</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lang w:val="en-US" w:eastAsia="zh-CN"/>
              </w:rPr>
              <w:t>工作量统计：对医务人员工作量进行统计分析。包括接诊人数、管理床位数、住院患者数、查房次数、病例书写数、手术次数、手术时长、急诊接诊人术、抢救次数、会诊次数、带教次数、论文发表、值班次数</w:t>
            </w:r>
            <w:r>
              <w:rPr>
                <w:rFonts w:hint="eastAsia" w:ascii="宋体" w:hAnsi="宋体" w:eastAsia="宋体" w:cs="宋体"/>
                <w:color w:val="auto"/>
                <w:kern w:val="0"/>
                <w:sz w:val="21"/>
                <w:szCs w:val="21"/>
                <w:highlight w:val="none"/>
                <w:lang w:val="en-US" w:eastAsia="zh-CN"/>
              </w:rPr>
              <w:t>”功能。</w:t>
            </w:r>
          </w:p>
          <w:p w14:paraId="2C1854EB">
            <w:pPr>
              <w:keepNext w:val="0"/>
              <w:keepLines w:val="0"/>
              <w:pageBreakBefore w:val="0"/>
              <w:kinsoku/>
              <w:wordWrap/>
              <w:overflowPunct/>
              <w:topLinePunct w:val="0"/>
              <w:autoSpaceDE/>
              <w:autoSpaceDN/>
              <w:bidi w:val="0"/>
              <w:snapToGrid/>
              <w:spacing w:line="4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1.2.3</w:t>
            </w:r>
            <w:r>
              <w:rPr>
                <w:rFonts w:hint="eastAsia" w:ascii="宋体" w:hAnsi="宋体" w:eastAsia="宋体" w:cs="宋体"/>
                <w:color w:val="auto"/>
                <w:lang w:val="en-US" w:eastAsia="zh-CN"/>
              </w:rPr>
              <w:t>医师管理</w:t>
            </w:r>
            <w:r>
              <w:rPr>
                <w:rFonts w:hint="eastAsia" w:ascii="宋体" w:hAnsi="宋体" w:cs="宋体"/>
                <w:lang w:val="en-US" w:eastAsia="zh-CN"/>
              </w:rPr>
              <w:t>－</w:t>
            </w:r>
            <w:r>
              <w:rPr>
                <w:rFonts w:hint="eastAsia" w:ascii="宋体" w:hAnsi="宋体" w:eastAsia="宋体" w:cs="宋体"/>
                <w:color w:val="auto"/>
                <w:lang w:val="en-US" w:eastAsia="zh-CN"/>
              </w:rPr>
              <w:t>档案管理</w:t>
            </w:r>
            <w:r>
              <w:rPr>
                <w:rFonts w:hint="eastAsia" w:ascii="宋体" w:hAnsi="宋体" w:cs="宋体"/>
                <w:color w:val="auto"/>
                <w:lang w:val="en-US" w:eastAsia="zh-CN"/>
              </w:rPr>
              <w:t>具有</w:t>
            </w:r>
            <w:r>
              <w:rPr>
                <w:rFonts w:hint="eastAsia" w:ascii="宋体" w:hAnsi="宋体" w:eastAsia="宋体" w:cs="宋体"/>
                <w:color w:val="auto"/>
                <w:highlight w:val="none"/>
                <w:lang w:val="en-US" w:eastAsia="zh-CN"/>
              </w:rPr>
              <w:t>“</w:t>
            </w:r>
            <w:r>
              <w:rPr>
                <w:rFonts w:hint="eastAsia" w:ascii="宋体" w:hAnsi="宋体" w:eastAsia="宋体" w:cs="宋体"/>
                <w:color w:val="auto"/>
                <w:lang w:val="en-US" w:eastAsia="zh-CN"/>
              </w:rPr>
              <w:t>支持医师自助修改、更新个人档案数据、上传（身份证、学历证明、各类证书等）PDF或图片。表单提交后，由医务部门审核人员进行审核，审核通过后自动归档到相关医务人员信息项目下。支持高亮显示档案修改信息，审批时可查看修改前后数据对照。</w:t>
            </w:r>
            <w:r>
              <w:rPr>
                <w:rFonts w:hint="eastAsia" w:ascii="宋体" w:hAnsi="宋体" w:cs="宋体"/>
                <w:color w:val="auto"/>
                <w:lang w:val="en-US" w:eastAsia="zh-CN"/>
              </w:rPr>
              <w:t>可</w:t>
            </w:r>
            <w:r>
              <w:rPr>
                <w:rFonts w:hint="eastAsia" w:ascii="宋体" w:hAnsi="宋体" w:eastAsia="宋体" w:cs="宋体"/>
                <w:color w:val="auto"/>
                <w:lang w:val="en-US" w:eastAsia="zh-CN"/>
              </w:rPr>
              <w:t>实现医师业务类别的管理，包括人员类别、专家类型、在职状态、执业类别、职称级别。所有类别可根据医院管理需要灵活自定义</w:t>
            </w:r>
            <w:r>
              <w:rPr>
                <w:rFonts w:hint="eastAsia" w:ascii="宋体" w:hAnsi="宋体" w:eastAsia="宋体" w:cs="宋体"/>
                <w:color w:val="auto"/>
                <w:kern w:val="0"/>
                <w:sz w:val="21"/>
                <w:szCs w:val="21"/>
                <w:highlight w:val="none"/>
                <w:lang w:val="en-US" w:eastAsia="zh-CN"/>
              </w:rPr>
              <w:t>”功能。</w:t>
            </w:r>
          </w:p>
          <w:p w14:paraId="3FFE19D3">
            <w:pPr>
              <w:keepNext w:val="0"/>
              <w:keepLines w:val="0"/>
              <w:pageBreakBefore w:val="0"/>
              <w:kinsoku/>
              <w:wordWrap/>
              <w:overflowPunct/>
              <w:topLinePunct w:val="0"/>
              <w:autoSpaceDE/>
              <w:autoSpaceDN/>
              <w:bidi w:val="0"/>
              <w:snapToGrid/>
              <w:spacing w:line="4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1.2.4</w:t>
            </w:r>
            <w:r>
              <w:rPr>
                <w:rFonts w:hint="eastAsia" w:ascii="宋体" w:hAnsi="宋体" w:eastAsia="宋体" w:cs="宋体"/>
                <w:color w:val="auto"/>
                <w:lang w:val="en-US" w:eastAsia="zh-CN"/>
              </w:rPr>
              <w:t>手术分级及其他权限管理</w:t>
            </w:r>
            <w:r>
              <w:rPr>
                <w:rFonts w:hint="eastAsia" w:ascii="宋体" w:hAnsi="宋体" w:cs="宋体"/>
                <w:lang w:val="en-US" w:eastAsia="zh-CN"/>
              </w:rPr>
              <w:t>－</w:t>
            </w:r>
            <w:r>
              <w:rPr>
                <w:rFonts w:hint="eastAsia" w:ascii="宋体" w:hAnsi="宋体" w:eastAsia="宋体" w:cs="宋体"/>
                <w:color w:val="auto"/>
                <w:lang w:val="en-US" w:eastAsia="zh-CN"/>
              </w:rPr>
              <w:t>手术分级</w:t>
            </w:r>
            <w:r>
              <w:rPr>
                <w:rFonts w:hint="eastAsia" w:ascii="宋体" w:hAnsi="宋体" w:cs="宋体"/>
                <w:lang w:val="en-US" w:eastAsia="zh-CN"/>
              </w:rPr>
              <w:t>－</w:t>
            </w:r>
            <w:r>
              <w:rPr>
                <w:rFonts w:hint="eastAsia" w:ascii="宋体" w:hAnsi="宋体" w:eastAsia="宋体" w:cs="宋体"/>
                <w:color w:val="auto"/>
                <w:lang w:val="en-US" w:eastAsia="zh-CN"/>
              </w:rPr>
              <w:t>授权智能卡控</w:t>
            </w:r>
            <w:r>
              <w:rPr>
                <w:rFonts w:hint="eastAsia" w:ascii="宋体" w:hAnsi="宋体" w:cs="宋体"/>
                <w:color w:val="auto"/>
                <w:lang w:val="en-US" w:eastAsia="zh-CN"/>
              </w:rPr>
              <w:t>具有</w:t>
            </w:r>
            <w:r>
              <w:rPr>
                <w:rFonts w:hint="eastAsia" w:ascii="宋体" w:hAnsi="宋体" w:eastAsia="宋体" w:cs="宋体"/>
                <w:color w:val="auto"/>
                <w:highlight w:val="none"/>
                <w:lang w:val="en-US" w:eastAsia="zh-CN"/>
              </w:rPr>
              <w:t>“</w:t>
            </w:r>
            <w:r>
              <w:rPr>
                <w:rFonts w:hint="eastAsia" w:ascii="宋体" w:hAnsi="宋体" w:eastAsia="宋体" w:cs="宋体"/>
                <w:color w:val="auto"/>
                <w:lang w:val="en-US" w:eastAsia="zh-CN"/>
              </w:rPr>
              <w:t>系统</w:t>
            </w:r>
            <w:r>
              <w:rPr>
                <w:rFonts w:hint="eastAsia" w:ascii="宋体" w:hAnsi="宋体" w:cs="宋体"/>
                <w:color w:val="auto"/>
                <w:lang w:val="en-US" w:eastAsia="zh-CN"/>
              </w:rPr>
              <w:t>可</w:t>
            </w:r>
            <w:r>
              <w:rPr>
                <w:rFonts w:hint="eastAsia" w:ascii="宋体" w:hAnsi="宋体" w:eastAsia="宋体" w:cs="宋体"/>
                <w:color w:val="auto"/>
                <w:lang w:val="en-US" w:eastAsia="zh-CN"/>
              </w:rPr>
              <w:t>通过资质匹配引擎与动态规则库，将手术权限与医师资质、工作经验等条件深度绑定，系统自动校验医师是否具备权限申请资格，所有预设条件达成，申请通道才会智能开启</w:t>
            </w:r>
            <w:r>
              <w:rPr>
                <w:rFonts w:hint="eastAsia" w:ascii="宋体" w:hAnsi="宋体" w:eastAsia="宋体" w:cs="宋体"/>
                <w:color w:val="auto"/>
                <w:kern w:val="0"/>
                <w:sz w:val="21"/>
                <w:szCs w:val="21"/>
                <w:highlight w:val="none"/>
                <w:lang w:val="en-US" w:eastAsia="zh-CN"/>
              </w:rPr>
              <w:t>”功能。</w:t>
            </w:r>
          </w:p>
          <w:p w14:paraId="2CFBDC8E">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1.2.5</w:t>
            </w:r>
            <w:r>
              <w:rPr>
                <w:rFonts w:hint="eastAsia" w:ascii="宋体" w:hAnsi="宋体" w:eastAsia="宋体" w:cs="宋体"/>
                <w:color w:val="auto"/>
                <w:lang w:val="en-US" w:eastAsia="zh-CN"/>
              </w:rPr>
              <w:t>医务考试学习管理</w:t>
            </w:r>
            <w:r>
              <w:rPr>
                <w:rFonts w:hint="eastAsia" w:ascii="宋体" w:hAnsi="宋体" w:cs="宋体"/>
                <w:lang w:val="en-US" w:eastAsia="zh-CN"/>
              </w:rPr>
              <w:t>－</w:t>
            </w:r>
            <w:r>
              <w:rPr>
                <w:rFonts w:hint="eastAsia" w:ascii="宋体" w:hAnsi="宋体" w:eastAsia="宋体" w:cs="宋体"/>
                <w:color w:val="auto"/>
                <w:lang w:val="en-US" w:eastAsia="zh-CN"/>
              </w:rPr>
              <w:t>实操考试管理</w:t>
            </w:r>
            <w:r>
              <w:rPr>
                <w:rFonts w:hint="eastAsia" w:ascii="宋体" w:hAnsi="宋体" w:cs="宋体"/>
                <w:lang w:val="en-US" w:eastAsia="zh-CN"/>
              </w:rPr>
              <w:t>－</w:t>
            </w:r>
            <w:r>
              <w:rPr>
                <w:rFonts w:hint="eastAsia" w:ascii="宋体" w:hAnsi="宋体" w:eastAsia="宋体" w:cs="宋体"/>
                <w:color w:val="auto"/>
                <w:lang w:val="en-US" w:eastAsia="zh-CN"/>
              </w:rPr>
              <w:t>实操考试管理</w:t>
            </w:r>
            <w:r>
              <w:rPr>
                <w:rFonts w:hint="eastAsia" w:ascii="宋体" w:hAnsi="宋体" w:cs="宋体"/>
                <w:color w:val="auto"/>
                <w:lang w:val="en-US" w:eastAsia="zh-CN"/>
              </w:rPr>
              <w:t>具有</w:t>
            </w:r>
            <w:r>
              <w:rPr>
                <w:rFonts w:hint="eastAsia" w:ascii="宋体" w:hAnsi="宋体" w:eastAsia="宋体" w:cs="宋体"/>
                <w:color w:val="auto"/>
                <w:highlight w:val="none"/>
                <w:lang w:val="en-US" w:eastAsia="zh-CN"/>
              </w:rPr>
              <w:t>“</w:t>
            </w:r>
            <w:r>
              <w:rPr>
                <w:rFonts w:hint="eastAsia" w:ascii="宋体" w:hAnsi="宋体" w:eastAsia="宋体" w:cs="宋体"/>
                <w:color w:val="auto"/>
                <w:lang w:val="en-US" w:eastAsia="zh-CN"/>
              </w:rPr>
              <w:t>实操考试创建，包括考试基本信息、学分、主办科室等。支持多人考评、多场次设置。考试场次发布后，考生可以通过扫码自主报名</w:t>
            </w:r>
            <w:r>
              <w:rPr>
                <w:rFonts w:hint="eastAsia" w:ascii="宋体" w:hAnsi="宋体" w:eastAsia="宋体" w:cs="宋体"/>
                <w:color w:val="auto"/>
                <w:kern w:val="0"/>
                <w:sz w:val="21"/>
                <w:szCs w:val="21"/>
                <w:highlight w:val="none"/>
                <w:lang w:val="en-US" w:eastAsia="zh-CN"/>
              </w:rPr>
              <w:t>”功能。</w:t>
            </w:r>
          </w:p>
          <w:p w14:paraId="047A0012">
            <w:pPr>
              <w:keepNext w:val="0"/>
              <w:keepLines w:val="0"/>
              <w:pageBreakBefore w:val="0"/>
              <w:kinsoku/>
              <w:wordWrap/>
              <w:overflowPunct/>
              <w:topLinePunct w:val="0"/>
              <w:autoSpaceDE/>
              <w:autoSpaceDN/>
              <w:bidi w:val="0"/>
              <w:snapToGrid/>
              <w:spacing w:line="400" w:lineRule="exac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highlight w:val="none"/>
                <w:lang w:val="en-US" w:eastAsia="zh-CN"/>
              </w:rPr>
              <w:t>1.2.6</w:t>
            </w:r>
            <w:r>
              <w:rPr>
                <w:rFonts w:hint="eastAsia" w:ascii="宋体" w:hAnsi="宋体" w:eastAsia="宋体" w:cs="宋体"/>
                <w:color w:val="auto"/>
                <w:lang w:val="en-US" w:eastAsia="zh-CN"/>
              </w:rPr>
              <w:t>医务考试学习管理</w:t>
            </w:r>
            <w:r>
              <w:rPr>
                <w:rFonts w:hint="eastAsia" w:ascii="宋体" w:hAnsi="宋体" w:cs="宋体"/>
                <w:lang w:val="en-US" w:eastAsia="zh-CN"/>
              </w:rPr>
              <w:t>－</w:t>
            </w:r>
            <w:r>
              <w:rPr>
                <w:rFonts w:hint="eastAsia" w:ascii="宋体" w:hAnsi="宋体" w:eastAsia="宋体" w:cs="宋体"/>
                <w:color w:val="auto"/>
                <w:lang w:val="en-US" w:eastAsia="zh-CN"/>
              </w:rPr>
              <w:t>实操考试管理</w:t>
            </w:r>
            <w:r>
              <w:rPr>
                <w:rFonts w:hint="eastAsia" w:ascii="宋体" w:hAnsi="宋体" w:cs="宋体"/>
                <w:lang w:val="en-US" w:eastAsia="zh-CN"/>
              </w:rPr>
              <w:t>－</w:t>
            </w:r>
            <w:r>
              <w:rPr>
                <w:rFonts w:hint="eastAsia" w:ascii="宋体" w:hAnsi="宋体" w:eastAsia="宋体" w:cs="宋体"/>
                <w:color w:val="auto"/>
                <w:lang w:val="en-US" w:eastAsia="zh-CN"/>
              </w:rPr>
              <w:t>实操考试管理</w:t>
            </w:r>
            <w:r>
              <w:rPr>
                <w:rFonts w:hint="eastAsia" w:ascii="宋体" w:hAnsi="宋体" w:cs="宋体"/>
                <w:color w:val="auto"/>
                <w:lang w:val="en-US" w:eastAsia="zh-CN"/>
              </w:rPr>
              <w:t>具有</w:t>
            </w:r>
            <w:r>
              <w:rPr>
                <w:rFonts w:hint="eastAsia" w:ascii="宋体" w:hAnsi="宋体" w:eastAsia="宋体" w:cs="宋体"/>
                <w:color w:val="auto"/>
                <w:highlight w:val="none"/>
                <w:lang w:val="en-US" w:eastAsia="zh-CN"/>
              </w:rPr>
              <w:t>“</w:t>
            </w:r>
            <w:r>
              <w:rPr>
                <w:rFonts w:hint="eastAsia" w:ascii="宋体" w:hAnsi="宋体" w:eastAsia="宋体" w:cs="宋体"/>
                <w:color w:val="auto"/>
                <w:lang w:val="en-US" w:eastAsia="zh-CN"/>
              </w:rPr>
              <w:t>批次统计：查看各场次考试的地点、起止时间、考试完成情况等</w:t>
            </w:r>
            <w:r>
              <w:rPr>
                <w:rFonts w:hint="eastAsia" w:ascii="宋体" w:hAnsi="宋体" w:eastAsia="宋体" w:cs="宋体"/>
                <w:color w:val="auto"/>
                <w:kern w:val="0"/>
                <w:sz w:val="21"/>
                <w:szCs w:val="21"/>
                <w:highlight w:val="none"/>
                <w:lang w:val="en-US" w:eastAsia="zh-CN"/>
              </w:rPr>
              <w:t>”功能。</w:t>
            </w:r>
          </w:p>
          <w:p w14:paraId="6574CF0B">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w:t>
            </w:r>
          </w:p>
          <w:p w14:paraId="11EFBE7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w:t>
            </w:r>
            <w:r>
              <w:rPr>
                <w:rFonts w:hint="eastAsia" w:ascii="宋体" w:hAnsi="宋体" w:eastAsia="宋体" w:cs="宋体"/>
                <w:b/>
                <w:bCs/>
                <w:highlight w:val="none"/>
                <w:lang w:val="en-US" w:eastAsia="zh-CN"/>
              </w:rPr>
              <w:t>“详细、清晰、直观”是指通过证明材料反映整项功能参数要求，截图数量不限，但应能通过多张截图反映所对应的功能参数内容及操作过程，否则</w:t>
            </w:r>
            <w:r>
              <w:rPr>
                <w:rFonts w:hint="eastAsia" w:ascii="宋体" w:hAnsi="宋体" w:eastAsia="宋体" w:cs="宋体"/>
                <w:b/>
                <w:bCs/>
                <w:color w:val="auto"/>
                <w:kern w:val="0"/>
                <w:sz w:val="21"/>
                <w:szCs w:val="21"/>
                <w:highlight w:val="none"/>
                <w:lang w:val="en-US" w:eastAsia="zh-CN"/>
              </w:rPr>
              <w:t>该项不予评分；</w:t>
            </w:r>
          </w:p>
          <w:p w14:paraId="69A2D7A3">
            <w:pPr>
              <w:keepNext w:val="0"/>
              <w:keepLines w:val="0"/>
              <w:pageBreakBefore w:val="0"/>
              <w:kinsoku/>
              <w:wordWrap/>
              <w:overflowPunct/>
              <w:topLinePunct w:val="0"/>
              <w:autoSpaceDE/>
              <w:autoSpaceDN/>
              <w:bidi w:val="0"/>
              <w:snapToGrid/>
              <w:spacing w:line="400" w:lineRule="exact"/>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（2）</w:t>
            </w:r>
            <w:r>
              <w:rPr>
                <w:rFonts w:hint="eastAsia" w:ascii="宋体" w:hAnsi="宋体" w:eastAsia="宋体" w:cs="宋体"/>
                <w:b/>
                <w:bCs/>
                <w:color w:val="auto"/>
                <w:kern w:val="0"/>
                <w:sz w:val="21"/>
                <w:szCs w:val="21"/>
                <w:highlight w:val="none"/>
                <w:lang w:val="en-US" w:eastAsia="zh-CN"/>
              </w:rPr>
              <w:t>未提供有效证明材料的或所提供的证明材料不能完全体现所对应功能参数的该项不予评分。</w:t>
            </w:r>
          </w:p>
        </w:tc>
      </w:tr>
      <w:tr w14:paraId="2174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0E8D2AAB">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481B54E4">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top w:val="single" w:color="auto" w:sz="4" w:space="0"/>
              <w:left w:val="single" w:color="auto" w:sz="4" w:space="0"/>
              <w:right w:val="single" w:color="auto" w:sz="4" w:space="0"/>
            </w:tcBorders>
            <w:noWrap/>
            <w:vAlign w:val="center"/>
          </w:tcPr>
          <w:p w14:paraId="3B088E0B">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highlight w:val="none"/>
                <w:lang w:val="en-US" w:eastAsia="zh-CN"/>
              </w:rPr>
            </w:pPr>
            <w:r>
              <w:rPr>
                <w:rFonts w:hint="eastAsia" w:ascii="宋体" w:hAnsi="宋体" w:cs="宋体"/>
                <w:bCs/>
                <w:highlight w:val="none"/>
                <w:lang w:val="en-US" w:eastAsia="zh-CN"/>
              </w:rPr>
              <w:t>1.3</w:t>
            </w:r>
            <w:r>
              <w:rPr>
                <w:rFonts w:hint="eastAsia" w:ascii="宋体" w:hAnsi="宋体"/>
                <w:bCs/>
                <w:kern w:val="0"/>
                <w:szCs w:val="21"/>
              </w:rPr>
              <w:t>技术方案</w:t>
            </w:r>
            <w:r>
              <w:rPr>
                <w:rFonts w:hint="eastAsia" w:ascii="宋体" w:hAnsi="宋体"/>
                <w:bCs/>
                <w:kern w:val="0"/>
                <w:szCs w:val="21"/>
                <w:lang w:eastAsia="zh-CN"/>
              </w:rPr>
              <w:t>（满分</w:t>
            </w:r>
            <w:r>
              <w:rPr>
                <w:rFonts w:hint="eastAsia" w:ascii="宋体" w:hAnsi="宋体"/>
                <w:bCs/>
                <w:kern w:val="0"/>
                <w:szCs w:val="21"/>
                <w:lang w:val="en-US" w:eastAsia="zh-CN"/>
              </w:rPr>
              <w:t>18分</w:t>
            </w:r>
            <w:r>
              <w:rPr>
                <w:rFonts w:hint="eastAsia" w:ascii="宋体" w:hAnsi="宋体"/>
                <w:bCs/>
                <w:kern w:val="0"/>
                <w:szCs w:val="21"/>
                <w:lang w:eastAsia="zh-CN"/>
              </w:rPr>
              <w:t>）</w:t>
            </w:r>
          </w:p>
        </w:tc>
        <w:tc>
          <w:tcPr>
            <w:tcW w:w="6043" w:type="dxa"/>
            <w:tcBorders>
              <w:top w:val="single" w:color="auto" w:sz="4" w:space="0"/>
              <w:left w:val="single" w:color="auto" w:sz="4" w:space="0"/>
              <w:right w:val="single" w:color="auto" w:sz="4" w:space="0"/>
            </w:tcBorders>
            <w:noWrap/>
            <w:vAlign w:val="center"/>
          </w:tcPr>
          <w:p w14:paraId="74E994F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highlight w:val="none"/>
                <w:lang w:val="en-US" w:eastAsia="zh-CN"/>
              </w:rPr>
            </w:pPr>
            <w:r>
              <w:rPr>
                <w:rFonts w:hint="eastAsia" w:ascii="宋体" w:hAnsi="宋体" w:eastAsia="宋体" w:cs="宋体"/>
                <w:kern w:val="2"/>
                <w:sz w:val="21"/>
                <w:szCs w:val="24"/>
                <w:highlight w:val="none"/>
                <w:lang w:val="en-US" w:eastAsia="zh-CN" w:bidi="ar-SA"/>
              </w:rPr>
              <w:t>评标委员会</w:t>
            </w:r>
            <w:r>
              <w:rPr>
                <w:rFonts w:hint="default" w:ascii="宋体" w:hAnsi="宋体" w:eastAsia="宋体" w:cs="宋体"/>
                <w:kern w:val="2"/>
                <w:sz w:val="21"/>
                <w:szCs w:val="24"/>
                <w:highlight w:val="none"/>
                <w:lang w:val="en-US" w:eastAsia="zh-CN" w:bidi="ar-SA"/>
              </w:rPr>
              <w:t>根据</w:t>
            </w:r>
            <w:r>
              <w:rPr>
                <w:rFonts w:hint="eastAsia" w:ascii="宋体" w:hAnsi="宋体" w:eastAsia="宋体" w:cs="宋体"/>
                <w:kern w:val="2"/>
                <w:sz w:val="21"/>
                <w:szCs w:val="24"/>
                <w:highlight w:val="none"/>
                <w:lang w:val="en-US" w:eastAsia="zh-CN" w:bidi="ar-SA"/>
              </w:rPr>
              <w:t>投标人所</w:t>
            </w:r>
            <w:r>
              <w:rPr>
                <w:rFonts w:hint="default" w:ascii="宋体" w:hAnsi="宋体" w:eastAsia="宋体" w:cs="宋体"/>
                <w:kern w:val="2"/>
                <w:sz w:val="21"/>
                <w:szCs w:val="24"/>
                <w:highlight w:val="none"/>
                <w:lang w:val="en-US" w:eastAsia="zh-CN" w:bidi="ar-SA"/>
              </w:rPr>
              <w:t>提供的</w:t>
            </w:r>
            <w:r>
              <w:rPr>
                <w:rFonts w:hint="eastAsia" w:ascii="宋体" w:hAnsi="宋体" w:cs="宋体"/>
                <w:kern w:val="2"/>
                <w:sz w:val="21"/>
                <w:szCs w:val="24"/>
                <w:highlight w:val="none"/>
                <w:lang w:val="en-US" w:eastAsia="zh-CN" w:bidi="ar-SA"/>
              </w:rPr>
              <w:t>技术</w:t>
            </w:r>
            <w:r>
              <w:rPr>
                <w:rFonts w:hint="default" w:ascii="宋体" w:hAnsi="宋体" w:eastAsia="宋体" w:cs="宋体"/>
                <w:kern w:val="2"/>
                <w:sz w:val="21"/>
                <w:szCs w:val="24"/>
                <w:highlight w:val="none"/>
                <w:lang w:val="en-US" w:eastAsia="zh-CN" w:bidi="ar-SA"/>
              </w:rPr>
              <w:t>方案情况进行独立</w:t>
            </w:r>
            <w:r>
              <w:rPr>
                <w:rFonts w:hint="eastAsia" w:ascii="宋体" w:hAnsi="宋体" w:eastAsia="宋体" w:cs="宋体"/>
                <w:kern w:val="2"/>
                <w:sz w:val="21"/>
                <w:szCs w:val="24"/>
                <w:highlight w:val="none"/>
                <w:lang w:val="en-US" w:eastAsia="zh-CN" w:bidi="ar-SA"/>
              </w:rPr>
              <w:t>评审：</w:t>
            </w:r>
          </w:p>
          <w:p w14:paraId="63BC3BCA">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highlight w:val="none"/>
                <w:lang w:val="en-US" w:eastAsia="zh-CN"/>
              </w:rPr>
            </w:pPr>
            <w:r>
              <w:rPr>
                <w:rFonts w:hint="default" w:ascii="宋体" w:hAnsi="宋体" w:eastAsia="宋体" w:cs="宋体"/>
                <w:kern w:val="2"/>
                <w:sz w:val="21"/>
                <w:szCs w:val="24"/>
                <w:highlight w:val="none"/>
                <w:lang w:val="en-US" w:eastAsia="zh-CN" w:bidi="ar-SA"/>
              </w:rPr>
              <w:t>一档（0分）：未提供</w:t>
            </w:r>
            <w:r>
              <w:rPr>
                <w:rFonts w:hint="eastAsia" w:ascii="宋体" w:hAnsi="宋体" w:cs="宋体"/>
                <w:kern w:val="2"/>
                <w:sz w:val="21"/>
                <w:szCs w:val="24"/>
                <w:highlight w:val="none"/>
                <w:lang w:val="en-US" w:eastAsia="zh-CN" w:bidi="ar-SA"/>
              </w:rPr>
              <w:t>技术</w:t>
            </w:r>
            <w:r>
              <w:rPr>
                <w:rFonts w:hint="default" w:ascii="宋体" w:hAnsi="宋体" w:eastAsia="宋体" w:cs="宋体"/>
                <w:kern w:val="2"/>
                <w:sz w:val="21"/>
                <w:szCs w:val="24"/>
                <w:highlight w:val="none"/>
                <w:lang w:val="en-US" w:eastAsia="zh-CN" w:bidi="ar-SA"/>
              </w:rPr>
              <w:t>方案或所提供的方案不满足以下任何一档要求的。</w:t>
            </w:r>
          </w:p>
          <w:p w14:paraId="342BC6C8">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二</w:t>
            </w:r>
            <w:r>
              <w:rPr>
                <w:rFonts w:hint="eastAsia" w:ascii="宋体" w:hAnsi="宋体" w:eastAsia="宋体" w:cs="宋体"/>
                <w:b w:val="0"/>
                <w:bCs w:val="0"/>
                <w:highlight w:val="none"/>
                <w:lang w:val="en-US" w:eastAsia="zh-CN"/>
              </w:rPr>
              <w:t>档（</w:t>
            </w:r>
            <w:r>
              <w:rPr>
                <w:rFonts w:hint="eastAsia" w:ascii="宋体" w:hAnsi="宋体" w:cs="宋体"/>
                <w:b w:val="0"/>
                <w:bCs w:val="0"/>
                <w:highlight w:val="none"/>
                <w:lang w:val="en-US" w:eastAsia="zh-CN"/>
              </w:rPr>
              <w:t>6</w:t>
            </w:r>
            <w:r>
              <w:rPr>
                <w:rFonts w:hint="eastAsia" w:ascii="宋体" w:hAnsi="宋体" w:eastAsia="宋体" w:cs="宋体"/>
                <w:b w:val="0"/>
                <w:bCs w:val="0"/>
                <w:highlight w:val="none"/>
                <w:lang w:val="en-US" w:eastAsia="zh-CN"/>
              </w:rPr>
              <w:t>分）：技术方案较简单粗浅，对系统理解不清晰，架构简单，没有突出重点，基本满足项目要求</w:t>
            </w:r>
            <w:r>
              <w:rPr>
                <w:rFonts w:hint="eastAsia" w:ascii="宋体" w:hAnsi="宋体" w:cs="宋体"/>
                <w:b w:val="0"/>
                <w:bCs w:val="0"/>
                <w:highlight w:val="none"/>
                <w:lang w:val="en-US" w:eastAsia="zh-CN"/>
              </w:rPr>
              <w:t>。</w:t>
            </w:r>
          </w:p>
          <w:p w14:paraId="0E36699E">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三</w:t>
            </w:r>
            <w:r>
              <w:rPr>
                <w:rFonts w:hint="eastAsia" w:ascii="宋体" w:hAnsi="宋体" w:eastAsia="宋体" w:cs="宋体"/>
                <w:b w:val="0"/>
                <w:bCs w:val="0"/>
                <w:highlight w:val="none"/>
                <w:lang w:val="en-US" w:eastAsia="zh-CN"/>
              </w:rPr>
              <w:t>档（</w:t>
            </w:r>
            <w:r>
              <w:rPr>
                <w:rFonts w:hint="eastAsia" w:ascii="宋体" w:hAnsi="宋体" w:cs="宋体"/>
                <w:b w:val="0"/>
                <w:bCs w:val="0"/>
                <w:highlight w:val="none"/>
                <w:lang w:val="en-US" w:eastAsia="zh-CN"/>
              </w:rPr>
              <w:t>12</w:t>
            </w:r>
            <w:r>
              <w:rPr>
                <w:rFonts w:hint="eastAsia" w:ascii="宋体" w:hAnsi="宋体" w:eastAsia="宋体" w:cs="宋体"/>
                <w:b w:val="0"/>
                <w:bCs w:val="0"/>
                <w:highlight w:val="none"/>
                <w:lang w:val="en-US" w:eastAsia="zh-CN"/>
              </w:rPr>
              <w:t>分）：技术方案较为合理，对系统项目理解得当，架构具有较好可行性，整体技术较好，结构划分合理，满足系统配置要求，对需求把握到位，系统功能描述详细，业务流程清晰、合理，具有详细的需求分析，可操作性、稳定性和扩展性合理</w:t>
            </w:r>
            <w:r>
              <w:rPr>
                <w:rFonts w:hint="eastAsia" w:ascii="宋体" w:hAnsi="宋体" w:cs="宋体"/>
                <w:b w:val="0"/>
                <w:bCs w:val="0"/>
                <w:highlight w:val="none"/>
                <w:lang w:val="en-US" w:eastAsia="zh-CN"/>
              </w:rPr>
              <w:t>。</w:t>
            </w:r>
          </w:p>
          <w:p w14:paraId="289AE73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四</w:t>
            </w:r>
            <w:r>
              <w:rPr>
                <w:rFonts w:hint="eastAsia" w:ascii="宋体" w:hAnsi="宋体" w:eastAsia="宋体" w:cs="宋体"/>
                <w:b w:val="0"/>
                <w:bCs w:val="0"/>
                <w:highlight w:val="none"/>
                <w:lang w:val="en-US" w:eastAsia="zh-CN"/>
              </w:rPr>
              <w:t>档（</w:t>
            </w:r>
            <w:r>
              <w:rPr>
                <w:rFonts w:hint="eastAsia" w:ascii="宋体" w:hAnsi="宋体" w:cs="宋体"/>
                <w:b w:val="0"/>
                <w:bCs w:val="0"/>
                <w:highlight w:val="none"/>
                <w:lang w:val="en-US" w:eastAsia="zh-CN"/>
              </w:rPr>
              <w:t>18</w:t>
            </w:r>
            <w:r>
              <w:rPr>
                <w:rFonts w:hint="eastAsia" w:ascii="宋体" w:hAnsi="宋体" w:eastAsia="宋体" w:cs="宋体"/>
                <w:b w:val="0"/>
                <w:bCs w:val="0"/>
                <w:highlight w:val="none"/>
                <w:lang w:val="en-US" w:eastAsia="zh-CN"/>
              </w:rPr>
              <w:t>分）：整体方案详细，对系统有深刻理解，有较全面的描述；系统架构设计采用领先的系统架构，体系结构稳定高效，结构划分合理，对性能、安全及实现方式进行了详细分析，系统架构设计完整、科学，具有先进性。项目需求分析准确，系统功能描述详细，业务流程清晰、合理，具有详细的需求分析、业务流程图，系统界面设计，详细描述了各模块的功能。</w:t>
            </w:r>
          </w:p>
        </w:tc>
      </w:tr>
      <w:tr w14:paraId="5012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746A21D8">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7CE26777">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left w:val="single" w:color="auto" w:sz="4" w:space="0"/>
              <w:right w:val="single" w:color="auto" w:sz="4" w:space="0"/>
            </w:tcBorders>
            <w:noWrap/>
            <w:vAlign w:val="center"/>
          </w:tcPr>
          <w:p w14:paraId="5AC0A1EA">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default" w:ascii="宋体" w:hAnsi="宋体" w:cs="宋体"/>
                <w:bCs/>
                <w:highlight w:val="none"/>
                <w:lang w:val="en-US" w:eastAsia="zh-CN"/>
              </w:rPr>
            </w:pPr>
            <w:r>
              <w:rPr>
                <w:rFonts w:hint="eastAsia" w:ascii="宋体" w:hAnsi="宋体" w:cs="宋体"/>
                <w:bCs/>
                <w:highlight w:val="none"/>
                <w:lang w:val="en-US" w:eastAsia="zh-CN"/>
              </w:rPr>
              <w:t>1.4项目实施方案（满分18分）</w:t>
            </w:r>
          </w:p>
        </w:tc>
        <w:tc>
          <w:tcPr>
            <w:tcW w:w="6043" w:type="dxa"/>
            <w:tcBorders>
              <w:top w:val="single" w:color="auto" w:sz="4" w:space="0"/>
              <w:left w:val="single" w:color="auto" w:sz="4" w:space="0"/>
              <w:right w:val="single" w:color="auto" w:sz="4" w:space="0"/>
            </w:tcBorders>
            <w:shd w:val="clear" w:color="auto" w:fill="auto"/>
            <w:noWrap/>
            <w:vAlign w:val="center"/>
          </w:tcPr>
          <w:p w14:paraId="2A6A498B">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w:t>
            </w:r>
            <w:r>
              <w:rPr>
                <w:rFonts w:hint="default" w:ascii="宋体" w:hAnsi="宋体" w:eastAsia="宋体" w:cs="宋体"/>
                <w:kern w:val="2"/>
                <w:sz w:val="21"/>
                <w:szCs w:val="24"/>
                <w:highlight w:val="none"/>
                <w:lang w:val="en-US" w:eastAsia="zh-CN" w:bidi="ar-SA"/>
              </w:rPr>
              <w:t>根据</w:t>
            </w:r>
            <w:r>
              <w:rPr>
                <w:rFonts w:hint="eastAsia" w:ascii="宋体" w:hAnsi="宋体" w:eastAsia="宋体" w:cs="宋体"/>
                <w:kern w:val="2"/>
                <w:sz w:val="21"/>
                <w:szCs w:val="24"/>
                <w:highlight w:val="none"/>
                <w:lang w:val="en-US" w:eastAsia="zh-CN" w:bidi="ar-SA"/>
              </w:rPr>
              <w:t>投标人所</w:t>
            </w:r>
            <w:r>
              <w:rPr>
                <w:rFonts w:hint="default" w:ascii="宋体" w:hAnsi="宋体" w:eastAsia="宋体" w:cs="宋体"/>
                <w:kern w:val="2"/>
                <w:sz w:val="21"/>
                <w:szCs w:val="24"/>
                <w:highlight w:val="none"/>
                <w:lang w:val="en-US" w:eastAsia="zh-CN" w:bidi="ar-SA"/>
              </w:rPr>
              <w:t>提供的项目实施方案（包括但不限于项目进度表、风险保障措施等</w:t>
            </w:r>
            <w:r>
              <w:rPr>
                <w:rFonts w:hint="eastAsia" w:ascii="宋体" w:hAnsi="宋体" w:eastAsia="宋体" w:cs="宋体"/>
                <w:kern w:val="2"/>
                <w:sz w:val="21"/>
                <w:szCs w:val="24"/>
                <w:highlight w:val="none"/>
                <w:lang w:val="en-US" w:eastAsia="zh-CN" w:bidi="ar-SA"/>
              </w:rPr>
              <w:t>内容</w:t>
            </w:r>
            <w:r>
              <w:rPr>
                <w:rFonts w:hint="default" w:ascii="宋体" w:hAnsi="宋体" w:eastAsia="宋体" w:cs="宋体"/>
                <w:kern w:val="2"/>
                <w:sz w:val="21"/>
                <w:szCs w:val="24"/>
                <w:highlight w:val="none"/>
                <w:lang w:val="en-US" w:eastAsia="zh-CN" w:bidi="ar-SA"/>
              </w:rPr>
              <w:t>）情况进行独立</w:t>
            </w:r>
            <w:r>
              <w:rPr>
                <w:rFonts w:hint="eastAsia" w:ascii="宋体" w:hAnsi="宋体" w:eastAsia="宋体" w:cs="宋体"/>
                <w:kern w:val="2"/>
                <w:sz w:val="21"/>
                <w:szCs w:val="24"/>
                <w:highlight w:val="none"/>
                <w:lang w:val="en-US" w:eastAsia="zh-CN" w:bidi="ar-SA"/>
              </w:rPr>
              <w:t>评审：</w:t>
            </w:r>
          </w:p>
          <w:p w14:paraId="64CD423B">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一档（0分）：未提供实施方案或所提供的方案不满足以下任何一档要求的。</w:t>
            </w:r>
          </w:p>
          <w:p w14:paraId="1C0EE5BB">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二档（</w:t>
            </w:r>
            <w:r>
              <w:rPr>
                <w:rFonts w:hint="eastAsia" w:ascii="宋体" w:hAnsi="宋体" w:eastAsia="宋体" w:cs="宋体"/>
                <w:kern w:val="2"/>
                <w:sz w:val="21"/>
                <w:szCs w:val="24"/>
                <w:highlight w:val="none"/>
                <w:lang w:val="en-US" w:eastAsia="zh-CN" w:bidi="ar-SA"/>
              </w:rPr>
              <w:t>6</w:t>
            </w:r>
            <w:r>
              <w:rPr>
                <w:rFonts w:hint="default" w:ascii="宋体" w:hAnsi="宋体" w:eastAsia="宋体" w:cs="宋体"/>
                <w:kern w:val="2"/>
                <w:sz w:val="21"/>
                <w:szCs w:val="24"/>
                <w:highlight w:val="none"/>
                <w:lang w:val="en-US" w:eastAsia="zh-CN" w:bidi="ar-SA"/>
              </w:rPr>
              <w:t>分）：实施方案各阶段进度安排及保证措施不详细，投入项目人员配置满足项目基本要求。</w:t>
            </w:r>
          </w:p>
          <w:p w14:paraId="7A0192E8">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三档（</w:t>
            </w:r>
            <w:r>
              <w:rPr>
                <w:rFonts w:hint="eastAsia" w:ascii="宋体" w:hAnsi="宋体" w:eastAsia="宋体" w:cs="宋体"/>
                <w:kern w:val="2"/>
                <w:sz w:val="21"/>
                <w:szCs w:val="24"/>
                <w:highlight w:val="none"/>
                <w:lang w:val="en-US" w:eastAsia="zh-CN" w:bidi="ar-SA"/>
              </w:rPr>
              <w:t>12</w:t>
            </w:r>
            <w:r>
              <w:rPr>
                <w:rFonts w:hint="default" w:ascii="宋体" w:hAnsi="宋体" w:eastAsia="宋体" w:cs="宋体"/>
                <w:kern w:val="2"/>
                <w:sz w:val="21"/>
                <w:szCs w:val="24"/>
                <w:highlight w:val="none"/>
                <w:lang w:val="en-US" w:eastAsia="zh-CN" w:bidi="ar-SA"/>
              </w:rPr>
              <w:t>分）：实施方案各阶段进度安排及保证措施较完善，拟投入的主要设备配备满足项目要求，提供有合理的项目实施周期、进度表；提供有整个项目的风险评估以及控制方案。</w:t>
            </w:r>
          </w:p>
          <w:p w14:paraId="4F090C86">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四档（1</w:t>
            </w:r>
            <w:r>
              <w:rPr>
                <w:rFonts w:hint="eastAsia" w:ascii="宋体" w:hAnsi="宋体" w:eastAsia="宋体" w:cs="宋体"/>
                <w:kern w:val="2"/>
                <w:sz w:val="21"/>
                <w:szCs w:val="24"/>
                <w:highlight w:val="none"/>
                <w:lang w:val="en-US" w:eastAsia="zh-CN" w:bidi="ar-SA"/>
              </w:rPr>
              <w:t>8</w:t>
            </w:r>
            <w:r>
              <w:rPr>
                <w:rFonts w:hint="default" w:ascii="宋体" w:hAnsi="宋体" w:eastAsia="宋体" w:cs="宋体"/>
                <w:kern w:val="2"/>
                <w:sz w:val="21"/>
                <w:szCs w:val="24"/>
                <w:highlight w:val="none"/>
                <w:lang w:val="en-US" w:eastAsia="zh-CN" w:bidi="ar-SA"/>
              </w:rPr>
              <w:t>分）：</w:t>
            </w:r>
            <w:r>
              <w:rPr>
                <w:rFonts w:hint="eastAsia" w:ascii="宋体" w:hAnsi="宋体" w:eastAsia="宋体" w:cs="宋体"/>
                <w:kern w:val="2"/>
                <w:sz w:val="21"/>
                <w:szCs w:val="24"/>
                <w:highlight w:val="none"/>
                <w:lang w:val="en-US" w:eastAsia="zh-CN" w:bidi="ar-SA"/>
              </w:rPr>
              <w:t>项目实施方案清晰、针对性强，实施计划完整明晰、可操作性强，能切合本项目实际提供对接方案；提供有明确、合理的项目实施周期、进度表承诺；具有可控的计划；使用项目管理工具；有项目管理组织机构图，有明确的进度和管理措施，有明确的项目实施保障措施以及应急处置措施，对质量有详细的控制方案和措施</w:t>
            </w:r>
            <w:r>
              <w:rPr>
                <w:rFonts w:hint="default" w:ascii="宋体" w:hAnsi="宋体" w:eastAsia="宋体" w:cs="宋体"/>
                <w:kern w:val="2"/>
                <w:sz w:val="21"/>
                <w:szCs w:val="24"/>
                <w:highlight w:val="none"/>
                <w:lang w:val="en-US" w:eastAsia="zh-CN" w:bidi="ar-SA"/>
              </w:rPr>
              <w:t>。</w:t>
            </w:r>
          </w:p>
        </w:tc>
      </w:tr>
      <w:tr w14:paraId="5F5F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4E6C07F9">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0E1F7266">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left w:val="single" w:color="auto" w:sz="4" w:space="0"/>
              <w:right w:val="single" w:color="auto" w:sz="4" w:space="0"/>
            </w:tcBorders>
            <w:noWrap/>
            <w:vAlign w:val="center"/>
          </w:tcPr>
          <w:p w14:paraId="4DA87219">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default" w:ascii="宋体" w:hAnsi="宋体" w:cs="宋体"/>
                <w:bCs/>
                <w:highlight w:val="none"/>
                <w:lang w:val="en-US" w:eastAsia="zh-CN"/>
              </w:rPr>
            </w:pPr>
            <w:r>
              <w:rPr>
                <w:rFonts w:hint="eastAsia" w:ascii="宋体" w:hAnsi="宋体" w:cs="宋体"/>
                <w:bCs/>
                <w:highlight w:val="none"/>
                <w:lang w:val="en-US" w:eastAsia="zh-CN"/>
              </w:rPr>
              <w:t>1.5拟投入本项目技术团队能力</w:t>
            </w:r>
            <w:r>
              <w:rPr>
                <w:rFonts w:hint="eastAsia" w:ascii="宋体" w:hAnsi="宋体" w:cs="宋体"/>
                <w:bCs/>
                <w:kern w:val="0"/>
                <w:szCs w:val="21"/>
                <w:highlight w:val="none"/>
                <w:lang w:val="en-US" w:eastAsia="zh-CN"/>
              </w:rPr>
              <w:t>（</w:t>
            </w:r>
            <w:r>
              <w:rPr>
                <w:rFonts w:hint="eastAsia" w:ascii="宋体" w:hAnsi="宋体" w:cs="宋体"/>
                <w:bCs/>
                <w:highlight w:val="none"/>
                <w:lang w:val="en-US" w:eastAsia="zh-CN"/>
              </w:rPr>
              <w:t>满分5分</w:t>
            </w:r>
            <w:r>
              <w:rPr>
                <w:rFonts w:hint="eastAsia" w:ascii="宋体" w:hAnsi="宋体" w:cs="宋体"/>
                <w:bCs/>
                <w:kern w:val="0"/>
                <w:szCs w:val="21"/>
                <w:highlight w:val="none"/>
                <w:lang w:val="en-US" w:eastAsia="zh-CN"/>
              </w:rPr>
              <w:t>）</w:t>
            </w:r>
          </w:p>
        </w:tc>
        <w:tc>
          <w:tcPr>
            <w:tcW w:w="6043" w:type="dxa"/>
            <w:tcBorders>
              <w:top w:val="single" w:color="auto" w:sz="4" w:space="0"/>
              <w:left w:val="single" w:color="auto" w:sz="4" w:space="0"/>
              <w:right w:val="single" w:color="auto" w:sz="4" w:space="0"/>
            </w:tcBorders>
            <w:shd w:val="clear" w:color="auto" w:fill="auto"/>
            <w:noWrap/>
            <w:vAlign w:val="center"/>
          </w:tcPr>
          <w:p w14:paraId="3F0967CF">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1.5.1</w:t>
            </w:r>
            <w:r>
              <w:rPr>
                <w:rFonts w:hint="default" w:ascii="宋体" w:hAnsi="宋体" w:eastAsia="宋体" w:cs="宋体"/>
                <w:kern w:val="2"/>
                <w:sz w:val="21"/>
                <w:szCs w:val="24"/>
                <w:highlight w:val="none"/>
                <w:lang w:val="en-US" w:eastAsia="zh-CN" w:bidi="ar-SA"/>
              </w:rPr>
              <w:t>项目经理同时具有系统集成项目管理工程师证书及医务管理系统项目实施经验</w:t>
            </w:r>
            <w:r>
              <w:rPr>
                <w:rFonts w:hint="eastAsia" w:ascii="宋体" w:hAnsi="宋体" w:cs="宋体"/>
                <w:kern w:val="2"/>
                <w:sz w:val="21"/>
                <w:szCs w:val="24"/>
                <w:highlight w:val="none"/>
                <w:lang w:val="en-US" w:eastAsia="zh-CN" w:bidi="ar-SA"/>
              </w:rPr>
              <w:t>的</w:t>
            </w:r>
            <w:r>
              <w:rPr>
                <w:rFonts w:hint="default" w:ascii="宋体" w:hAnsi="宋体" w:eastAsia="宋体" w:cs="宋体"/>
                <w:kern w:val="2"/>
                <w:sz w:val="21"/>
                <w:szCs w:val="24"/>
                <w:highlight w:val="none"/>
                <w:lang w:val="en-US" w:eastAsia="zh-CN" w:bidi="ar-SA"/>
              </w:rPr>
              <w:t>得2分。</w:t>
            </w:r>
          </w:p>
          <w:p w14:paraId="4DCCD9DB">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1.5.2</w:t>
            </w:r>
            <w:r>
              <w:rPr>
                <w:rFonts w:hint="default" w:ascii="宋体" w:hAnsi="宋体" w:eastAsia="宋体" w:cs="宋体"/>
                <w:kern w:val="2"/>
                <w:sz w:val="21"/>
                <w:szCs w:val="24"/>
                <w:highlight w:val="none"/>
                <w:lang w:val="en-US" w:eastAsia="zh-CN" w:bidi="ar-SA"/>
              </w:rPr>
              <w:t>项目技术负责人同时具有高级软件工程师证书及高级数据分析证书</w:t>
            </w:r>
            <w:r>
              <w:rPr>
                <w:rFonts w:hint="eastAsia" w:ascii="宋体" w:hAnsi="宋体" w:cs="宋体"/>
                <w:kern w:val="2"/>
                <w:sz w:val="21"/>
                <w:szCs w:val="24"/>
                <w:highlight w:val="none"/>
                <w:lang w:val="en-US" w:eastAsia="zh-CN" w:bidi="ar-SA"/>
              </w:rPr>
              <w:t>的</w:t>
            </w:r>
            <w:r>
              <w:rPr>
                <w:rFonts w:hint="default" w:ascii="宋体" w:hAnsi="宋体" w:eastAsia="宋体" w:cs="宋体"/>
                <w:kern w:val="2"/>
                <w:sz w:val="21"/>
                <w:szCs w:val="24"/>
                <w:highlight w:val="none"/>
                <w:lang w:val="en-US" w:eastAsia="zh-CN" w:bidi="ar-SA"/>
              </w:rPr>
              <w:t>得2分。</w:t>
            </w:r>
          </w:p>
          <w:p w14:paraId="1827E3D9">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1.5.</w:t>
            </w:r>
            <w:r>
              <w:rPr>
                <w:rFonts w:hint="default" w:ascii="宋体" w:hAnsi="宋体" w:eastAsia="宋体" w:cs="宋体"/>
                <w:kern w:val="2"/>
                <w:sz w:val="21"/>
                <w:szCs w:val="24"/>
                <w:highlight w:val="none"/>
                <w:lang w:val="en-US" w:eastAsia="zh-CN" w:bidi="ar-SA"/>
              </w:rPr>
              <w:t>3项目团队成员具有产品经理资格认证证书</w:t>
            </w:r>
            <w:r>
              <w:rPr>
                <w:rFonts w:hint="eastAsia" w:ascii="宋体" w:hAnsi="宋体" w:cs="宋体"/>
                <w:kern w:val="2"/>
                <w:sz w:val="21"/>
                <w:szCs w:val="24"/>
                <w:highlight w:val="none"/>
                <w:lang w:val="en-US" w:eastAsia="zh-CN" w:bidi="ar-SA"/>
              </w:rPr>
              <w:t>的</w:t>
            </w:r>
            <w:r>
              <w:rPr>
                <w:rFonts w:hint="default" w:ascii="宋体" w:hAnsi="宋体" w:eastAsia="宋体" w:cs="宋体"/>
                <w:kern w:val="2"/>
                <w:sz w:val="21"/>
                <w:szCs w:val="24"/>
                <w:highlight w:val="none"/>
                <w:lang w:val="en-US" w:eastAsia="zh-CN" w:bidi="ar-SA"/>
              </w:rPr>
              <w:t>得1分。</w:t>
            </w:r>
          </w:p>
          <w:p w14:paraId="6B1B38BF">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注：</w:t>
            </w:r>
          </w:p>
          <w:p w14:paraId="436DF38F">
            <w:pPr>
              <w:keepNext w:val="0"/>
              <w:keepLines w:val="0"/>
              <w:pageBreakBefore w:val="0"/>
              <w:kinsoku/>
              <w:wordWrap/>
              <w:overflowPunct/>
              <w:topLinePunct w:val="0"/>
              <w:autoSpaceDE/>
              <w:autoSpaceDN/>
              <w:bidi w:val="0"/>
              <w:snapToGrid/>
              <w:spacing w:line="400" w:lineRule="exact"/>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（1）</w:t>
            </w:r>
            <w:r>
              <w:rPr>
                <w:rFonts w:hint="default" w:ascii="宋体" w:hAnsi="宋体" w:eastAsia="宋体" w:cs="宋体"/>
                <w:kern w:val="2"/>
                <w:sz w:val="21"/>
                <w:szCs w:val="24"/>
                <w:highlight w:val="none"/>
                <w:lang w:val="en-US" w:eastAsia="zh-CN" w:bidi="ar-SA"/>
              </w:rPr>
              <w:t>上述</w:t>
            </w:r>
            <w:r>
              <w:rPr>
                <w:rFonts w:hint="eastAsia" w:ascii="宋体" w:hAnsi="宋体" w:cs="宋体"/>
                <w:kern w:val="2"/>
                <w:sz w:val="21"/>
                <w:szCs w:val="24"/>
                <w:highlight w:val="none"/>
                <w:lang w:val="en-US" w:eastAsia="zh-CN" w:bidi="ar-SA"/>
              </w:rPr>
              <w:t>所有参与评分的拟投入技术</w:t>
            </w:r>
            <w:r>
              <w:rPr>
                <w:rFonts w:hint="default" w:ascii="宋体" w:hAnsi="宋体" w:eastAsia="宋体" w:cs="宋体"/>
                <w:kern w:val="2"/>
                <w:sz w:val="21"/>
                <w:szCs w:val="24"/>
                <w:highlight w:val="none"/>
                <w:lang w:val="en-US" w:eastAsia="zh-CN" w:bidi="ar-SA"/>
              </w:rPr>
              <w:t>人员不能为同一人</w:t>
            </w:r>
            <w:r>
              <w:rPr>
                <w:rFonts w:hint="eastAsia" w:ascii="宋体" w:hAnsi="宋体" w:cs="宋体"/>
                <w:kern w:val="2"/>
                <w:sz w:val="21"/>
                <w:szCs w:val="24"/>
                <w:highlight w:val="none"/>
                <w:lang w:val="en-US" w:eastAsia="zh-CN" w:bidi="ar-SA"/>
              </w:rPr>
              <w:t>，否则不予评分；</w:t>
            </w:r>
          </w:p>
          <w:p w14:paraId="5CB5DF71">
            <w:pPr>
              <w:keepNext w:val="0"/>
              <w:keepLines w:val="0"/>
              <w:pageBreakBefore w:val="0"/>
              <w:kinsoku/>
              <w:wordWrap/>
              <w:overflowPunct/>
              <w:topLinePunct w:val="0"/>
              <w:autoSpaceDE/>
              <w:autoSpaceDN/>
              <w:bidi w:val="0"/>
              <w:snapToGrid/>
              <w:spacing w:line="400" w:lineRule="exact"/>
              <w:rPr>
                <w:rFonts w:hint="eastAsia" w:ascii="宋体" w:hAnsi="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（2）投标时在投标文件中提供各项评分内容对应的有效证书证明材料并加盖公章，否则不予评分；</w:t>
            </w:r>
          </w:p>
          <w:p w14:paraId="14FA0C10">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eastAsia" w:ascii="宋体" w:hAnsi="宋体" w:cs="宋体"/>
                <w:kern w:val="2"/>
                <w:sz w:val="21"/>
                <w:szCs w:val="24"/>
                <w:highlight w:val="none"/>
                <w:lang w:val="en-US" w:eastAsia="zh-CN" w:bidi="ar-SA"/>
              </w:rPr>
              <w:t>（3）投标时在投标文件中</w:t>
            </w:r>
            <w:r>
              <w:rPr>
                <w:rFonts w:hint="default" w:ascii="宋体" w:hAnsi="宋体" w:eastAsia="宋体" w:cs="宋体"/>
                <w:kern w:val="2"/>
                <w:sz w:val="21"/>
                <w:szCs w:val="24"/>
                <w:highlight w:val="none"/>
                <w:lang w:val="en-US" w:eastAsia="zh-CN" w:bidi="ar-SA"/>
              </w:rPr>
              <w:t>提供</w:t>
            </w:r>
            <w:r>
              <w:rPr>
                <w:rFonts w:hint="eastAsia" w:ascii="宋体" w:hAnsi="宋体" w:cs="宋体"/>
                <w:kern w:val="2"/>
                <w:sz w:val="21"/>
                <w:szCs w:val="24"/>
                <w:highlight w:val="none"/>
                <w:lang w:val="en-US" w:eastAsia="zh-CN" w:bidi="ar-SA"/>
              </w:rPr>
              <w:t>项目经理具有的</w:t>
            </w:r>
            <w:r>
              <w:rPr>
                <w:rFonts w:hint="default" w:ascii="宋体" w:hAnsi="宋体" w:eastAsia="宋体" w:cs="宋体"/>
                <w:kern w:val="2"/>
                <w:sz w:val="21"/>
                <w:szCs w:val="24"/>
                <w:highlight w:val="none"/>
                <w:lang w:val="en-US" w:eastAsia="zh-CN" w:bidi="ar-SA"/>
              </w:rPr>
              <w:t>医务管理系统项目</w:t>
            </w:r>
            <w:r>
              <w:rPr>
                <w:rFonts w:hint="eastAsia" w:ascii="宋体" w:hAnsi="宋体" w:cs="宋体"/>
                <w:kern w:val="2"/>
                <w:sz w:val="21"/>
                <w:szCs w:val="24"/>
                <w:highlight w:val="none"/>
                <w:lang w:val="en-US" w:eastAsia="zh-CN" w:bidi="ar-SA"/>
              </w:rPr>
              <w:t>成功安全的有效</w:t>
            </w:r>
            <w:r>
              <w:rPr>
                <w:rFonts w:hint="default" w:ascii="宋体" w:hAnsi="宋体" w:eastAsia="宋体" w:cs="宋体"/>
                <w:kern w:val="2"/>
                <w:sz w:val="21"/>
                <w:szCs w:val="24"/>
                <w:highlight w:val="none"/>
                <w:lang w:val="en-US" w:eastAsia="zh-CN" w:bidi="ar-SA"/>
              </w:rPr>
              <w:t>客户证明</w:t>
            </w:r>
            <w:r>
              <w:rPr>
                <w:rFonts w:hint="eastAsia" w:ascii="宋体" w:hAnsi="宋体" w:cs="宋体"/>
                <w:kern w:val="2"/>
                <w:sz w:val="21"/>
                <w:szCs w:val="24"/>
                <w:highlight w:val="none"/>
                <w:lang w:val="en-US" w:eastAsia="zh-CN" w:bidi="ar-SA"/>
              </w:rPr>
              <w:t>，否则不予评分</w:t>
            </w:r>
            <w:r>
              <w:rPr>
                <w:rFonts w:hint="default" w:ascii="宋体" w:hAnsi="宋体" w:eastAsia="宋体" w:cs="宋体"/>
                <w:kern w:val="2"/>
                <w:sz w:val="21"/>
                <w:szCs w:val="24"/>
                <w:highlight w:val="none"/>
                <w:lang w:val="en-US" w:eastAsia="zh-CN" w:bidi="ar-SA"/>
              </w:rPr>
              <w:t>。</w:t>
            </w:r>
          </w:p>
        </w:tc>
      </w:tr>
      <w:tr w14:paraId="471E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restart"/>
            <w:tcBorders>
              <w:top w:val="single" w:color="auto" w:sz="4" w:space="0"/>
              <w:left w:val="single" w:color="auto" w:sz="4" w:space="0"/>
              <w:right w:val="single" w:color="auto" w:sz="4" w:space="0"/>
            </w:tcBorders>
            <w:noWrap/>
            <w:vAlign w:val="center"/>
          </w:tcPr>
          <w:p w14:paraId="1209425A">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lang w:eastAsia="zh-CN"/>
              </w:rPr>
            </w:pPr>
            <w:r>
              <w:rPr>
                <w:rFonts w:hint="eastAsia" w:ascii="宋体" w:hAnsi="宋体" w:cs="宋体"/>
                <w:b/>
                <w:szCs w:val="21"/>
                <w:highlight w:val="none"/>
                <w:lang w:val="en-US" w:eastAsia="zh-CN"/>
              </w:rPr>
              <w:t>2</w:t>
            </w:r>
          </w:p>
        </w:tc>
        <w:tc>
          <w:tcPr>
            <w:tcW w:w="905" w:type="dxa"/>
            <w:vMerge w:val="restart"/>
            <w:tcBorders>
              <w:top w:val="single" w:color="auto" w:sz="4" w:space="0"/>
              <w:left w:val="single" w:color="auto" w:sz="4" w:space="0"/>
              <w:right w:val="single" w:color="auto" w:sz="4" w:space="0"/>
            </w:tcBorders>
            <w:noWrap/>
            <w:vAlign w:val="center"/>
          </w:tcPr>
          <w:p w14:paraId="05542682">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kern w:val="0"/>
                <w:szCs w:val="21"/>
                <w:highlight w:val="none"/>
              </w:rPr>
            </w:pPr>
            <w:r>
              <w:rPr>
                <w:rFonts w:hint="eastAsia" w:ascii="宋体" w:hAnsi="宋体" w:eastAsia="宋体" w:cs="宋体"/>
                <w:b/>
                <w:bCs/>
                <w:highlight w:val="none"/>
              </w:rPr>
              <w:t>商务分（满分</w:t>
            </w:r>
            <w:r>
              <w:rPr>
                <w:rFonts w:hint="eastAsia" w:ascii="宋体" w:hAnsi="宋体" w:cs="宋体"/>
                <w:b/>
                <w:bCs/>
                <w:highlight w:val="none"/>
                <w:lang w:val="en-US" w:eastAsia="zh-CN"/>
              </w:rPr>
              <w:t>30</w:t>
            </w:r>
            <w:r>
              <w:rPr>
                <w:rFonts w:hint="eastAsia" w:ascii="宋体" w:hAnsi="宋体" w:eastAsia="宋体" w:cs="宋体"/>
                <w:b/>
                <w:bCs/>
                <w:highlight w:val="none"/>
              </w:rPr>
              <w:t>分）</w:t>
            </w:r>
          </w:p>
        </w:tc>
        <w:tc>
          <w:tcPr>
            <w:tcW w:w="1977"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4DB1C9C7">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highlight w:val="none"/>
                <w:lang w:eastAsia="zh-CN"/>
              </w:rPr>
            </w:pPr>
            <w:r>
              <w:rPr>
                <w:rFonts w:hint="eastAsia" w:ascii="宋体" w:hAnsi="宋体" w:cs="宋体"/>
                <w:highlight w:val="none"/>
                <w:lang w:val="en-US" w:eastAsia="zh-CN"/>
              </w:rPr>
              <w:t>2.1</w:t>
            </w:r>
            <w:r>
              <w:rPr>
                <w:rFonts w:hint="eastAsia" w:ascii="宋体" w:hAnsi="宋体" w:eastAsia="宋体" w:cs="宋体"/>
                <w:highlight w:val="none"/>
              </w:rPr>
              <w:t>售后服务方案</w:t>
            </w:r>
            <w:r>
              <w:rPr>
                <w:rFonts w:hint="eastAsia" w:ascii="宋体" w:hAnsi="宋体" w:cs="宋体"/>
                <w:highlight w:val="none"/>
                <w:lang w:eastAsia="zh-CN"/>
              </w:rPr>
              <w:t>（满分</w:t>
            </w:r>
            <w:r>
              <w:rPr>
                <w:rFonts w:hint="eastAsia" w:ascii="宋体" w:hAnsi="宋体" w:cs="宋体"/>
                <w:highlight w:val="none"/>
                <w:lang w:val="en-US" w:eastAsia="zh-CN"/>
              </w:rPr>
              <w:t>20分</w:t>
            </w:r>
            <w:r>
              <w:rPr>
                <w:rFonts w:hint="eastAsia" w:ascii="宋体" w:hAnsi="宋体" w:cs="宋体"/>
                <w:highlight w:val="none"/>
                <w:lang w:eastAsia="zh-CN"/>
              </w:rPr>
              <w:t>）</w:t>
            </w:r>
          </w:p>
        </w:tc>
        <w:tc>
          <w:tcPr>
            <w:tcW w:w="6043" w:type="dxa"/>
            <w:tcBorders>
              <w:top w:val="single" w:color="auto" w:sz="4" w:space="0"/>
              <w:left w:val="single" w:color="auto" w:sz="4" w:space="0"/>
              <w:right w:val="single" w:color="auto" w:sz="4" w:space="0"/>
            </w:tcBorders>
            <w:noWrap w:val="0"/>
            <w:vAlign w:val="center"/>
          </w:tcPr>
          <w:p w14:paraId="533B7A9A">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eastAsia="zh-CN"/>
              </w:rPr>
            </w:pPr>
            <w:r>
              <w:rPr>
                <w:rFonts w:hint="eastAsia" w:ascii="宋体" w:hAnsi="宋体" w:cs="宋体"/>
                <w:highlight w:val="none"/>
                <w:lang w:eastAsia="zh-CN"/>
              </w:rPr>
              <w:t>评标委员会</w:t>
            </w:r>
            <w:r>
              <w:rPr>
                <w:rFonts w:hint="eastAsia" w:ascii="宋体" w:hAnsi="宋体" w:eastAsia="宋体" w:cs="宋体"/>
                <w:highlight w:val="none"/>
              </w:rPr>
              <w:t>根据各</w:t>
            </w:r>
            <w:r>
              <w:rPr>
                <w:rFonts w:hint="eastAsia" w:ascii="宋体" w:hAnsi="宋体" w:cs="宋体"/>
                <w:highlight w:val="none"/>
                <w:lang w:eastAsia="zh-CN"/>
              </w:rPr>
              <w:t>投标人所</w:t>
            </w:r>
            <w:r>
              <w:rPr>
                <w:rFonts w:hint="eastAsia" w:ascii="宋体" w:hAnsi="宋体" w:eastAsia="宋体" w:cs="宋体"/>
                <w:highlight w:val="none"/>
              </w:rPr>
              <w:t>提供的售后服务方案内容进行独立</w:t>
            </w:r>
            <w:r>
              <w:rPr>
                <w:rFonts w:hint="eastAsia" w:ascii="宋体" w:hAnsi="宋体" w:eastAsia="宋体" w:cs="宋体"/>
                <w:kern w:val="2"/>
                <w:sz w:val="21"/>
                <w:szCs w:val="24"/>
                <w:highlight w:val="none"/>
                <w:lang w:val="en-US" w:eastAsia="zh-CN" w:bidi="ar-SA"/>
              </w:rPr>
              <w:t>评审</w:t>
            </w:r>
            <w:r>
              <w:rPr>
                <w:rFonts w:hint="eastAsia" w:ascii="宋体" w:hAnsi="宋体" w:cs="宋体"/>
                <w:highlight w:val="none"/>
                <w:lang w:eastAsia="zh-CN"/>
              </w:rPr>
              <w:t>：</w:t>
            </w:r>
          </w:p>
          <w:p w14:paraId="1844D6E0">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一档（0分）：未提供相应方案或所提供的方案不满足以下任何一档要求的；</w:t>
            </w:r>
          </w:p>
          <w:p w14:paraId="4BE976FE">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二档（</w:t>
            </w:r>
            <w:r>
              <w:rPr>
                <w:rFonts w:hint="eastAsia" w:ascii="宋体" w:hAnsi="宋体" w:cs="宋体"/>
                <w:highlight w:val="none"/>
                <w:lang w:val="en-US" w:eastAsia="zh-CN"/>
              </w:rPr>
              <w:t>10</w:t>
            </w:r>
            <w:r>
              <w:rPr>
                <w:rFonts w:hint="eastAsia" w:ascii="宋体" w:hAnsi="宋体" w:eastAsia="宋体" w:cs="宋体"/>
                <w:highlight w:val="none"/>
              </w:rPr>
              <w:t>分）：售后服务方案包括售后服务承诺、售后服务流程、故障响应时间等1～2项内容，基本满足</w:t>
            </w:r>
            <w:r>
              <w:rPr>
                <w:rFonts w:hint="eastAsia" w:ascii="宋体" w:hAnsi="宋体" w:cs="宋体"/>
                <w:highlight w:val="none"/>
                <w:lang w:eastAsia="zh-CN"/>
              </w:rPr>
              <w:t>招标</w:t>
            </w:r>
            <w:r>
              <w:rPr>
                <w:rFonts w:hint="eastAsia" w:ascii="宋体" w:hAnsi="宋体" w:eastAsia="宋体" w:cs="宋体"/>
                <w:highlight w:val="none"/>
              </w:rPr>
              <w:t>文件要求的</w:t>
            </w:r>
            <w:r>
              <w:rPr>
                <w:rFonts w:hint="eastAsia" w:ascii="宋体" w:hAnsi="宋体" w:cs="宋体"/>
                <w:highlight w:val="none"/>
                <w:lang w:eastAsia="zh-CN"/>
              </w:rPr>
              <w:t>但存在采购人不完全认可条件的</w:t>
            </w:r>
            <w:r>
              <w:rPr>
                <w:rFonts w:hint="eastAsia" w:ascii="宋体" w:hAnsi="宋体" w:eastAsia="宋体" w:cs="宋体"/>
                <w:highlight w:val="none"/>
              </w:rPr>
              <w:t>。</w:t>
            </w:r>
          </w:p>
          <w:p w14:paraId="2DA198F0">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三档（1</w:t>
            </w:r>
            <w:r>
              <w:rPr>
                <w:rFonts w:hint="eastAsia" w:ascii="宋体" w:hAnsi="宋体" w:cs="宋体"/>
                <w:highlight w:val="none"/>
                <w:lang w:val="en-US" w:eastAsia="zh-CN"/>
              </w:rPr>
              <w:t>5</w:t>
            </w:r>
            <w:r>
              <w:rPr>
                <w:rFonts w:hint="eastAsia" w:ascii="宋体" w:hAnsi="宋体" w:eastAsia="宋体" w:cs="宋体"/>
                <w:highlight w:val="none"/>
              </w:rPr>
              <w:t>分）：售后服务方案完整、合理、重点突出、难点把握准且作出深入分析，包括售后服务承诺、售后服务流程、故障响应时间、售后技术服务、系统升级及维护，方案细致、合理、可行，有一定的服务经验，服务承诺和应急保障措施考虑较周全，并对本项目的售售后驻场人员的分工有合理的安排等内容，具有可行性</w:t>
            </w:r>
            <w:r>
              <w:rPr>
                <w:rFonts w:hint="eastAsia" w:ascii="宋体" w:hAnsi="宋体" w:cs="宋体"/>
                <w:highlight w:val="none"/>
                <w:lang w:eastAsia="zh-CN"/>
              </w:rPr>
              <w:t>且采购人基本认可的</w:t>
            </w:r>
            <w:r>
              <w:rPr>
                <w:rFonts w:hint="eastAsia" w:ascii="宋体" w:hAnsi="宋体" w:eastAsia="宋体" w:cs="宋体"/>
                <w:highlight w:val="none"/>
              </w:rPr>
              <w:t>。</w:t>
            </w:r>
          </w:p>
          <w:p w14:paraId="15B69AC6">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四档（2</w:t>
            </w:r>
            <w:r>
              <w:rPr>
                <w:rFonts w:hint="eastAsia" w:ascii="宋体" w:hAnsi="宋体" w:cs="宋体"/>
                <w:highlight w:val="none"/>
                <w:lang w:val="en-US" w:eastAsia="zh-CN"/>
              </w:rPr>
              <w:t>0</w:t>
            </w:r>
            <w:r>
              <w:rPr>
                <w:rFonts w:hint="eastAsia" w:ascii="宋体" w:hAnsi="宋体" w:eastAsia="宋体" w:cs="宋体"/>
                <w:highlight w:val="none"/>
              </w:rPr>
              <w:t>分）：售后服务方案完善、详细、合理、重点突出、难点把握准且作出深入分析，包括售后服务承诺、售后服务流程、故障响应时间、售后技术服务、系统升级及维护。方案细致、可行性高，保障响应措施有力，服务经验丰富，故障响应迅速，快捷，服务承诺考虑周全完整，并对本项目的售后驻场人员的分工和管理制度有合理的安排等内容，提供详细的应急保障方案，解决方式考虑周全、科学合理，可行性高</w:t>
            </w:r>
            <w:r>
              <w:rPr>
                <w:rFonts w:hint="eastAsia" w:ascii="宋体" w:hAnsi="宋体" w:cs="宋体"/>
                <w:highlight w:val="none"/>
                <w:lang w:eastAsia="zh-CN"/>
              </w:rPr>
              <w:t>且采购人完全认可的</w:t>
            </w:r>
            <w:r>
              <w:rPr>
                <w:rFonts w:hint="eastAsia" w:ascii="宋体" w:hAnsi="宋体" w:eastAsia="宋体" w:cs="宋体"/>
                <w:highlight w:val="none"/>
              </w:rPr>
              <w:t>。</w:t>
            </w:r>
          </w:p>
        </w:tc>
      </w:tr>
      <w:tr w14:paraId="60B9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0BE83E0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777ED80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631D3249">
            <w:pPr>
              <w:keepNext w:val="0"/>
              <w:keepLines w:val="0"/>
              <w:pageBreakBefore w:val="0"/>
              <w:kinsoku/>
              <w:wordWrap/>
              <w:overflowPunct/>
              <w:topLinePunct w:val="0"/>
              <w:autoSpaceDE/>
              <w:autoSpaceDN/>
              <w:bidi w:val="0"/>
              <w:snapToGrid/>
              <w:spacing w:line="400" w:lineRule="exact"/>
              <w:jc w:val="center"/>
              <w:rPr>
                <w:rFonts w:hint="default" w:ascii="宋体" w:hAnsi="宋体" w:cs="宋体"/>
                <w:kern w:val="0"/>
                <w:szCs w:val="21"/>
                <w:highlight w:val="none"/>
                <w:u w:val="wave" w:color="FFFFFF"/>
                <w:lang w:val="en-US" w:eastAsia="zh-CN"/>
              </w:rPr>
            </w:pPr>
            <w:r>
              <w:rPr>
                <w:rFonts w:hint="eastAsia" w:ascii="宋体" w:hAnsi="宋体" w:cs="宋体"/>
                <w:kern w:val="0"/>
                <w:szCs w:val="21"/>
                <w:highlight w:val="none"/>
                <w:u w:val="wave" w:color="FFFFFF"/>
                <w:lang w:val="en-US" w:eastAsia="zh-CN"/>
              </w:rPr>
              <w:t>2.2履约能力</w:t>
            </w:r>
            <w:r>
              <w:rPr>
                <w:rFonts w:hint="eastAsia" w:ascii="宋体" w:hAnsi="宋体" w:cs="宋体"/>
                <w:highlight w:val="none"/>
                <w:lang w:eastAsia="zh-CN"/>
              </w:rPr>
              <w:t>（满分</w:t>
            </w:r>
            <w:r>
              <w:rPr>
                <w:rFonts w:hint="eastAsia" w:ascii="宋体" w:hAnsi="宋体" w:cs="宋体"/>
                <w:highlight w:val="none"/>
                <w:lang w:val="en-US" w:eastAsia="zh-CN"/>
              </w:rPr>
              <w:t>10分</w:t>
            </w:r>
            <w:r>
              <w:rPr>
                <w:rFonts w:hint="eastAsia" w:ascii="宋体" w:hAnsi="宋体" w:cs="宋体"/>
                <w:highlight w:val="none"/>
                <w:lang w:eastAsia="zh-CN"/>
              </w:rPr>
              <w:t>）</w:t>
            </w:r>
          </w:p>
        </w:tc>
        <w:tc>
          <w:tcPr>
            <w:tcW w:w="6043" w:type="dxa"/>
            <w:tcBorders>
              <w:top w:val="single" w:color="auto" w:sz="4" w:space="0"/>
              <w:left w:val="single" w:color="auto" w:sz="4" w:space="0"/>
              <w:right w:val="single" w:color="auto" w:sz="4" w:space="0"/>
            </w:tcBorders>
            <w:shd w:val="clear" w:color="auto" w:fill="auto"/>
            <w:noWrap w:val="0"/>
            <w:vAlign w:val="center"/>
          </w:tcPr>
          <w:p w14:paraId="0B973AA1">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rPr>
              <w:t>.2.1供应商或</w:t>
            </w:r>
            <w:r>
              <w:rPr>
                <w:rFonts w:hint="eastAsia" w:ascii="宋体" w:hAnsi="宋体" w:cs="宋体"/>
                <w:kern w:val="2"/>
                <w:sz w:val="21"/>
                <w:szCs w:val="24"/>
                <w:highlight w:val="none"/>
                <w:lang w:val="en-US" w:eastAsia="zh-CN" w:bidi="ar-SA"/>
              </w:rPr>
              <w:t>完成本项目所使用产品开发厂家</w:t>
            </w:r>
            <w:r>
              <w:rPr>
                <w:rFonts w:hint="eastAsia" w:ascii="宋体" w:hAnsi="宋体" w:eastAsia="宋体" w:cs="宋体"/>
                <w:highlight w:val="none"/>
              </w:rPr>
              <w:t>具有质量管理体系认证证书、环境管理体系认证证书、职业健康安全管理体系认证证书、信息安全管理体系认证证书、信息技术服务管理体系认证证书、业务连续性管理体系认证证书、数据治理安全管理体系认证证书，每</w:t>
            </w:r>
            <w:r>
              <w:rPr>
                <w:rFonts w:hint="eastAsia" w:ascii="宋体" w:hAnsi="宋体" w:cs="宋体"/>
                <w:highlight w:val="none"/>
                <w:lang w:eastAsia="zh-CN"/>
              </w:rPr>
              <w:t>有</w:t>
            </w:r>
            <w:r>
              <w:rPr>
                <w:rFonts w:hint="eastAsia" w:ascii="宋体" w:hAnsi="宋体" w:eastAsia="宋体" w:cs="宋体"/>
                <w:highlight w:val="none"/>
              </w:rPr>
              <w:t>一项得1分，</w:t>
            </w:r>
            <w:r>
              <w:rPr>
                <w:rFonts w:hint="eastAsia" w:ascii="宋体" w:hAnsi="宋体" w:cs="宋体"/>
                <w:highlight w:val="none"/>
                <w:lang w:eastAsia="zh-CN"/>
              </w:rPr>
              <w:t>此项满分</w:t>
            </w:r>
            <w:r>
              <w:rPr>
                <w:rFonts w:hint="eastAsia" w:ascii="宋体" w:hAnsi="宋体" w:eastAsia="宋体" w:cs="宋体"/>
                <w:highlight w:val="none"/>
              </w:rPr>
              <w:t>7分</w:t>
            </w:r>
            <w:r>
              <w:rPr>
                <w:rFonts w:hint="eastAsia" w:ascii="宋体" w:hAnsi="宋体" w:cs="宋体"/>
                <w:highlight w:val="none"/>
                <w:lang w:val="en-US" w:eastAsia="zh-CN"/>
              </w:rPr>
              <w:t>[</w:t>
            </w:r>
            <w:r>
              <w:rPr>
                <w:rFonts w:hint="eastAsia" w:ascii="宋体" w:hAnsi="宋体" w:eastAsia="宋体" w:cs="宋体"/>
                <w:highlight w:val="none"/>
                <w:lang w:val="en-US" w:eastAsia="zh-CN"/>
              </w:rPr>
              <w:t>投标时在投标文件中提供有效认证证书</w:t>
            </w:r>
            <w:r>
              <w:rPr>
                <w:rFonts w:hint="eastAsia" w:ascii="宋体" w:hAnsi="宋体" w:eastAsia="宋体" w:cs="宋体"/>
                <w:highlight w:val="none"/>
              </w:rPr>
              <w:t>证明材料及在全国认证认可信息公共服务平台上对证书的查询结果截图并加盖公章，</w:t>
            </w:r>
            <w:r>
              <w:rPr>
                <w:rFonts w:hint="eastAsia" w:ascii="宋体" w:hAnsi="宋体" w:cs="宋体"/>
                <w:highlight w:val="none"/>
                <w:lang w:eastAsia="zh-CN"/>
              </w:rPr>
              <w:t>证书应在</w:t>
            </w:r>
            <w:r>
              <w:rPr>
                <w:rFonts w:hint="eastAsia" w:ascii="宋体" w:hAnsi="宋体" w:eastAsia="宋体" w:cs="宋体"/>
                <w:highlight w:val="none"/>
              </w:rPr>
              <w:t>有效期内</w:t>
            </w:r>
            <w:r>
              <w:rPr>
                <w:rFonts w:hint="eastAsia" w:ascii="宋体" w:hAnsi="宋体" w:cs="宋体"/>
                <w:highlight w:val="none"/>
                <w:lang w:eastAsia="zh-CN"/>
              </w:rPr>
              <w:t>（</w:t>
            </w:r>
            <w:r>
              <w:rPr>
                <w:rFonts w:hint="eastAsia" w:ascii="宋体" w:hAnsi="宋体" w:eastAsia="宋体" w:cs="宋体"/>
                <w:highlight w:val="none"/>
              </w:rPr>
              <w:t>对于在全国认证认可信息公共服务平台官方网站查询结果为“未查到符合条件的获证组织信息”或查询到状态为“失效”、“暂停”、“撤销”的，均属于认证无效不予认可</w:t>
            </w:r>
            <w:r>
              <w:rPr>
                <w:rFonts w:hint="eastAsia" w:ascii="宋体" w:hAnsi="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eastAsia="zh-CN"/>
              </w:rPr>
              <w:t>否则不予评分</w:t>
            </w:r>
            <w:r>
              <w:rPr>
                <w:rFonts w:hint="eastAsia" w:ascii="宋体" w:hAnsi="宋体" w:cs="宋体"/>
                <w:highlight w:val="none"/>
                <w:lang w:val="en-US" w:eastAsia="zh-CN"/>
              </w:rPr>
              <w:t>]</w:t>
            </w:r>
            <w:r>
              <w:rPr>
                <w:rFonts w:hint="eastAsia" w:ascii="宋体" w:hAnsi="宋体" w:eastAsia="宋体" w:cs="宋体"/>
                <w:highlight w:val="none"/>
              </w:rPr>
              <w:t>。</w:t>
            </w:r>
          </w:p>
        </w:tc>
      </w:tr>
      <w:tr w14:paraId="5337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4E1BD00D">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6C1C4526">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vMerge w:val="continue"/>
            <w:tcBorders>
              <w:left w:val="single" w:color="auto" w:sz="4" w:space="0"/>
              <w:right w:val="single" w:color="auto" w:sz="4" w:space="0"/>
            </w:tcBorders>
            <w:noWrap/>
            <w:tcMar>
              <w:top w:w="0" w:type="dxa"/>
              <w:left w:w="57" w:type="dxa"/>
              <w:bottom w:w="0" w:type="dxa"/>
              <w:right w:w="57" w:type="dxa"/>
            </w:tcMar>
            <w:vAlign w:val="center"/>
          </w:tcPr>
          <w:p w14:paraId="2EB801B6">
            <w:pPr>
              <w:keepNext w:val="0"/>
              <w:keepLines w:val="0"/>
              <w:pageBreakBefore w:val="0"/>
              <w:kinsoku/>
              <w:wordWrap/>
              <w:overflowPunct/>
              <w:topLinePunct w:val="0"/>
              <w:autoSpaceDE/>
              <w:autoSpaceDN/>
              <w:bidi w:val="0"/>
              <w:snapToGrid/>
              <w:spacing w:line="400" w:lineRule="exact"/>
              <w:jc w:val="center"/>
              <w:rPr>
                <w:rFonts w:hint="default" w:ascii="宋体" w:hAnsi="宋体" w:cs="宋体"/>
                <w:kern w:val="0"/>
                <w:szCs w:val="21"/>
                <w:highlight w:val="none"/>
                <w:u w:val="wave" w:color="FFFFFF"/>
                <w:lang w:val="en-US" w:eastAsia="zh-CN"/>
              </w:rPr>
            </w:pPr>
          </w:p>
        </w:tc>
        <w:tc>
          <w:tcPr>
            <w:tcW w:w="6043" w:type="dxa"/>
            <w:tcBorders>
              <w:top w:val="single" w:color="auto" w:sz="4" w:space="0"/>
              <w:left w:val="single" w:color="auto" w:sz="4" w:space="0"/>
              <w:right w:val="single" w:color="auto" w:sz="4" w:space="0"/>
            </w:tcBorders>
            <w:shd w:val="clear" w:color="auto" w:fill="auto"/>
            <w:noWrap w:val="0"/>
            <w:vAlign w:val="center"/>
          </w:tcPr>
          <w:p w14:paraId="168161A0">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rPr>
              <w:t>.2.</w:t>
            </w:r>
            <w:r>
              <w:rPr>
                <w:rFonts w:hint="eastAsia" w:ascii="宋体" w:hAnsi="宋体" w:eastAsia="宋体" w:cs="宋体"/>
                <w:highlight w:val="none"/>
                <w:lang w:val="en-US" w:eastAsia="zh-CN"/>
              </w:rPr>
              <w:t>2供应商或</w:t>
            </w:r>
            <w:r>
              <w:rPr>
                <w:rFonts w:hint="eastAsia" w:ascii="宋体" w:hAnsi="宋体" w:cs="宋体"/>
                <w:kern w:val="2"/>
                <w:sz w:val="21"/>
                <w:szCs w:val="24"/>
                <w:highlight w:val="none"/>
                <w:lang w:val="en-US" w:eastAsia="zh-CN" w:bidi="ar-SA"/>
              </w:rPr>
              <w:t>完成本项目所使用产品开发厂家</w:t>
            </w:r>
            <w:r>
              <w:rPr>
                <w:rFonts w:hint="eastAsia" w:ascii="宋体" w:hAnsi="宋体" w:eastAsia="宋体" w:cs="宋体"/>
                <w:highlight w:val="none"/>
                <w:lang w:val="en-US" w:eastAsia="zh-CN"/>
              </w:rPr>
              <w:t>具有医师授权监管、医师技术定期评估、医疗数据自动抽取清洗治理转换平台软件著作权登记证书的，每有一个证书得1分，</w:t>
            </w:r>
            <w:r>
              <w:rPr>
                <w:rFonts w:hint="eastAsia" w:ascii="宋体" w:hAnsi="宋体" w:cs="宋体"/>
                <w:highlight w:val="none"/>
                <w:lang w:val="en-US" w:eastAsia="zh-CN"/>
              </w:rPr>
              <w:t>此项</w:t>
            </w:r>
            <w:r>
              <w:rPr>
                <w:rFonts w:hint="eastAsia" w:ascii="宋体" w:hAnsi="宋体" w:eastAsia="宋体" w:cs="宋体"/>
                <w:highlight w:val="none"/>
                <w:lang w:val="en-US" w:eastAsia="zh-CN"/>
              </w:rPr>
              <w:t>满分3分（投标时在投标文件中提供有效</w:t>
            </w:r>
            <w:r>
              <w:rPr>
                <w:rFonts w:hint="eastAsia" w:ascii="宋体" w:hAnsi="宋体" w:cs="宋体"/>
                <w:highlight w:val="none"/>
                <w:lang w:val="en-US" w:eastAsia="zh-CN"/>
              </w:rPr>
              <w:t>证书</w:t>
            </w:r>
            <w:r>
              <w:rPr>
                <w:rFonts w:hint="eastAsia" w:ascii="宋体" w:hAnsi="宋体" w:eastAsia="宋体" w:cs="宋体"/>
                <w:highlight w:val="none"/>
                <w:lang w:val="en-US" w:eastAsia="zh-CN"/>
              </w:rPr>
              <w:t>证明材料</w:t>
            </w:r>
            <w:r>
              <w:rPr>
                <w:rFonts w:hint="eastAsia" w:ascii="宋体" w:hAnsi="宋体" w:eastAsia="宋体" w:cs="宋体"/>
                <w:highlight w:val="none"/>
              </w:rPr>
              <w:t>并加盖公章，</w:t>
            </w:r>
            <w:r>
              <w:rPr>
                <w:rFonts w:hint="eastAsia" w:ascii="宋体" w:hAnsi="宋体" w:eastAsia="宋体" w:cs="宋体"/>
                <w:highlight w:val="none"/>
                <w:lang w:eastAsia="zh-CN"/>
              </w:rPr>
              <w:t>否则不予评分）。</w:t>
            </w:r>
          </w:p>
        </w:tc>
      </w:tr>
      <w:tr w14:paraId="58C2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ign w:val="center"/>
          </w:tcPr>
          <w:p w14:paraId="1A2DB259">
            <w:pPr>
              <w:keepNext w:val="0"/>
              <w:keepLines w:val="0"/>
              <w:pageBreakBefore w:val="0"/>
              <w:kinsoku/>
              <w:wordWrap/>
              <w:overflowPunct/>
              <w:topLinePunct w:val="0"/>
              <w:autoSpaceDE/>
              <w:autoSpaceDN/>
              <w:bidi w:val="0"/>
              <w:snapToGrid/>
              <w:spacing w:line="400" w:lineRule="exact"/>
              <w:ind w:firstLine="420"/>
              <w:rPr>
                <w:rFonts w:hint="eastAsia" w:ascii="宋体" w:hAnsi="宋体" w:eastAsia="宋体" w:cs="宋体"/>
                <w:bCs/>
                <w:szCs w:val="21"/>
                <w:highlight w:val="none"/>
              </w:rPr>
            </w:pPr>
            <w:r>
              <w:rPr>
                <w:rFonts w:hint="eastAsia" w:ascii="宋体" w:hAnsi="宋体" w:eastAsia="宋体" w:cs="宋体"/>
                <w:b/>
                <w:bCs/>
                <w:szCs w:val="21"/>
                <w:highlight w:val="none"/>
              </w:rPr>
              <w:t>总得分=</w:t>
            </w:r>
            <w:r>
              <w:rPr>
                <w:rFonts w:hint="eastAsia" w:ascii="宋体" w:hAnsi="宋体" w:cs="宋体"/>
                <w:b/>
                <w:bCs/>
                <w:szCs w:val="21"/>
                <w:highlight w:val="none"/>
                <w:lang w:val="en-US" w:eastAsia="zh-CN"/>
              </w:rPr>
              <w:t>价格分+技术分</w:t>
            </w:r>
            <w:r>
              <w:rPr>
                <w:rFonts w:hint="eastAsia" w:ascii="宋体" w:hAnsi="宋体" w:eastAsia="宋体" w:cs="宋体"/>
                <w:b/>
                <w:bCs/>
                <w:szCs w:val="21"/>
                <w:highlight w:val="none"/>
              </w:rPr>
              <w:t>+</w:t>
            </w:r>
            <w:r>
              <w:rPr>
                <w:rFonts w:hint="eastAsia" w:ascii="宋体" w:hAnsi="宋体" w:cs="宋体"/>
                <w:b/>
                <w:bCs/>
                <w:szCs w:val="21"/>
                <w:highlight w:val="none"/>
                <w:lang w:val="en-US" w:eastAsia="zh-CN"/>
              </w:rPr>
              <w:t>商务分</w:t>
            </w:r>
          </w:p>
        </w:tc>
      </w:tr>
    </w:tbl>
    <w:p w14:paraId="47DD3648">
      <w:pPr>
        <w:rPr>
          <w:rFonts w:hint="eastAsia"/>
          <w:lang w:val="en-US" w:eastAsia="zh-CN"/>
        </w:rPr>
      </w:pPr>
    </w:p>
    <w:p w14:paraId="0A5D7680">
      <w:pPr>
        <w:rPr>
          <w:rFonts w:hint="eastAsia" w:ascii="宋体" w:hAnsi="宋体" w:eastAsia="宋体" w:cs="宋体"/>
          <w:bCs/>
          <w:sz w:val="21"/>
          <w:highlight w:val="none"/>
        </w:rPr>
      </w:pPr>
      <w:r>
        <w:rPr>
          <w:rFonts w:hint="eastAsia" w:ascii="宋体" w:hAnsi="宋体" w:eastAsia="宋体" w:cs="宋体"/>
          <w:bCs/>
          <w:sz w:val="21"/>
          <w:highlight w:val="none"/>
        </w:rPr>
        <w:br w:type="page"/>
      </w:r>
    </w:p>
    <w:p w14:paraId="0601F6A0">
      <w:pPr>
        <w:pStyle w:val="4"/>
        <w:keepNext/>
        <w:keepLines/>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sz w:val="28"/>
          <w:szCs w:val="28"/>
          <w:lang w:val="en-US" w:eastAsia="zh-CN"/>
        </w:rPr>
      </w:pPr>
      <w:bookmarkStart w:id="90" w:name="_Toc21589"/>
      <w:r>
        <w:rPr>
          <w:rFonts w:hint="eastAsia" w:ascii="宋体" w:hAnsi="宋体" w:eastAsia="宋体" w:cs="宋体"/>
          <w:sz w:val="28"/>
          <w:szCs w:val="28"/>
          <w:lang w:eastAsia="zh-CN"/>
        </w:rPr>
        <w:t>分标</w:t>
      </w:r>
      <w:r>
        <w:rPr>
          <w:rFonts w:hint="eastAsia" w:ascii="宋体" w:hAnsi="宋体" w:eastAsia="宋体" w:cs="宋体"/>
          <w:sz w:val="28"/>
          <w:szCs w:val="28"/>
          <w:lang w:val="en-US" w:eastAsia="zh-CN"/>
        </w:rPr>
        <w:t>3</w:t>
      </w:r>
      <w:bookmarkEnd w:id="90"/>
    </w:p>
    <w:tbl>
      <w:tblPr>
        <w:tblStyle w:val="5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905"/>
        <w:gridCol w:w="1977"/>
        <w:gridCol w:w="6043"/>
      </w:tblGrid>
      <w:tr w14:paraId="4B3B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0" w:type="dxa"/>
            <w:gridSpan w:val="2"/>
            <w:tcBorders>
              <w:top w:val="single" w:color="auto" w:sz="4" w:space="0"/>
              <w:left w:val="single" w:color="auto" w:sz="4" w:space="0"/>
              <w:bottom w:val="single" w:color="auto" w:sz="4" w:space="0"/>
              <w:right w:val="single" w:color="auto" w:sz="4" w:space="0"/>
            </w:tcBorders>
            <w:noWrap/>
            <w:vAlign w:val="center"/>
          </w:tcPr>
          <w:p w14:paraId="470E7344">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lang w:eastAsia="zh-CN"/>
              </w:rPr>
            </w:pPr>
            <w:r>
              <w:rPr>
                <w:rFonts w:hint="eastAsia" w:ascii="宋体" w:hAnsi="宋体" w:cs="宋体"/>
                <w:b/>
                <w:szCs w:val="21"/>
                <w:highlight w:val="none"/>
                <w:lang w:eastAsia="zh-CN"/>
              </w:rPr>
              <w:t>评审内容</w:t>
            </w:r>
          </w:p>
        </w:tc>
        <w:tc>
          <w:tcPr>
            <w:tcW w:w="1977" w:type="dxa"/>
            <w:tcBorders>
              <w:top w:val="single" w:color="auto" w:sz="4" w:space="0"/>
              <w:left w:val="single" w:color="auto" w:sz="4" w:space="0"/>
              <w:bottom w:val="single" w:color="auto" w:sz="4" w:space="0"/>
              <w:right w:val="single" w:color="auto" w:sz="4" w:space="0"/>
            </w:tcBorders>
            <w:noWrap/>
            <w:vAlign w:val="center"/>
          </w:tcPr>
          <w:p w14:paraId="0E8F7965">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b/>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ign w:val="center"/>
          </w:tcPr>
          <w:p w14:paraId="3512B09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b/>
                <w:szCs w:val="21"/>
                <w:highlight w:val="none"/>
              </w:rPr>
              <w:t>评标标准</w:t>
            </w:r>
          </w:p>
        </w:tc>
      </w:tr>
      <w:tr w14:paraId="3E8D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0" w:type="dxa"/>
            <w:gridSpan w:val="2"/>
            <w:tcBorders>
              <w:top w:val="single" w:color="auto" w:sz="4" w:space="0"/>
              <w:left w:val="single" w:color="auto" w:sz="4" w:space="0"/>
              <w:bottom w:val="single" w:color="auto" w:sz="4" w:space="0"/>
              <w:right w:val="single" w:color="auto" w:sz="4" w:space="0"/>
            </w:tcBorders>
            <w:noWrap/>
            <w:vAlign w:val="center"/>
          </w:tcPr>
          <w:p w14:paraId="0F5DEBEB">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b/>
                <w:szCs w:val="21"/>
                <w:highlight w:val="none"/>
              </w:rPr>
              <w:t>价格分（</w:t>
            </w:r>
            <w:r>
              <w:rPr>
                <w:rFonts w:hint="eastAsia" w:ascii="宋体" w:hAnsi="宋体" w:cs="宋体"/>
                <w:b/>
                <w:szCs w:val="21"/>
                <w:highlight w:val="none"/>
                <w:lang w:eastAsia="zh-CN"/>
              </w:rPr>
              <w:t>满分</w:t>
            </w:r>
            <w:r>
              <w:rPr>
                <w:rFonts w:hint="eastAsia" w:ascii="宋体" w:hAnsi="宋体" w:cs="宋体"/>
                <w:b/>
                <w:szCs w:val="21"/>
                <w:highlight w:val="none"/>
                <w:lang w:val="en-US" w:eastAsia="zh-CN"/>
              </w:rPr>
              <w:t>10</w:t>
            </w:r>
            <w:r>
              <w:rPr>
                <w:rFonts w:hint="eastAsia" w:ascii="宋体" w:hAnsi="宋体" w:eastAsia="宋体" w:cs="宋体"/>
                <w:b/>
                <w:szCs w:val="21"/>
                <w:highlight w:val="none"/>
              </w:rPr>
              <w:t>分）</w:t>
            </w:r>
          </w:p>
        </w:tc>
        <w:tc>
          <w:tcPr>
            <w:tcW w:w="1977" w:type="dxa"/>
            <w:tcBorders>
              <w:top w:val="single" w:color="auto" w:sz="4" w:space="0"/>
              <w:left w:val="single" w:color="auto" w:sz="4" w:space="0"/>
              <w:bottom w:val="single" w:color="auto" w:sz="4" w:space="0"/>
              <w:right w:val="single" w:color="auto" w:sz="4" w:space="0"/>
            </w:tcBorders>
            <w:noWrap/>
            <w:vAlign w:val="center"/>
          </w:tcPr>
          <w:p w14:paraId="0B178485">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szCs w:val="21"/>
                <w:highlight w:val="none"/>
              </w:rPr>
            </w:pPr>
            <w:r>
              <w:rPr>
                <w:rFonts w:hint="eastAsia" w:ascii="宋体" w:hAnsi="宋体" w:eastAsia="宋体" w:cs="宋体"/>
                <w:szCs w:val="21"/>
                <w:highlight w:val="none"/>
              </w:rPr>
              <w:t>投标报价（满分</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p>
        </w:tc>
        <w:tc>
          <w:tcPr>
            <w:tcW w:w="6043" w:type="dxa"/>
            <w:tcBorders>
              <w:top w:val="single" w:color="auto" w:sz="4" w:space="0"/>
              <w:left w:val="single" w:color="auto" w:sz="4" w:space="0"/>
              <w:bottom w:val="single" w:color="auto" w:sz="4" w:space="0"/>
              <w:right w:val="single" w:color="auto" w:sz="4" w:space="0"/>
            </w:tcBorders>
            <w:noWrap/>
            <w:vAlign w:val="center"/>
          </w:tcPr>
          <w:p w14:paraId="763A2033">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（1）评标报价为投标人的投标报价进行政策性扣除后的价格，评标报价只是作为评标时使用。最终中标人的中标金额等于投标报价</w:t>
            </w:r>
            <w:r>
              <w:rPr>
                <w:rFonts w:hint="eastAsia" w:ascii="宋体" w:hAnsi="宋体" w:eastAsia="宋体" w:cs="宋体"/>
                <w:bCs/>
                <w:color w:val="auto"/>
                <w:sz w:val="21"/>
                <w:szCs w:val="21"/>
                <w:highlight w:val="none"/>
                <w:lang w:eastAsia="zh-CN"/>
              </w:rPr>
              <w:t>；</w:t>
            </w:r>
          </w:p>
          <w:p w14:paraId="6708E91D">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（2）政策性扣除计算方法。</w:t>
            </w:r>
          </w:p>
          <w:p w14:paraId="010B4539">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本项目已专门面向小微企业进行采购，价格不再进行政策扣除</w:t>
            </w:r>
            <w:r>
              <w:rPr>
                <w:rFonts w:hint="eastAsia" w:ascii="宋体" w:hAnsi="宋体" w:cs="宋体"/>
                <w:bCs/>
                <w:color w:val="auto"/>
                <w:sz w:val="21"/>
                <w:szCs w:val="21"/>
                <w:highlight w:val="none"/>
                <w:lang w:eastAsia="zh-CN"/>
              </w:rPr>
              <w:t>（注：</w:t>
            </w:r>
            <w:r>
              <w:rPr>
                <w:rFonts w:hint="eastAsia" w:ascii="宋体" w:hAnsi="宋体" w:eastAsia="宋体" w:cs="宋体"/>
                <w:bCs/>
                <w:color w:val="auto"/>
                <w:sz w:val="21"/>
                <w:szCs w:val="21"/>
                <w:highlight w:val="none"/>
              </w:rPr>
              <w:t>监狱企业</w:t>
            </w:r>
            <w:r>
              <w:rPr>
                <w:rFonts w:hint="eastAsia" w:ascii="宋体" w:hAnsi="宋体" w:eastAsia="宋体" w:cs="宋体"/>
                <w:bCs/>
                <w:color w:val="auto"/>
                <w:sz w:val="21"/>
                <w:szCs w:val="21"/>
                <w:highlight w:val="none"/>
                <w:lang w:eastAsia="zh-CN"/>
              </w:rPr>
              <w:t>及</w:t>
            </w:r>
            <w:r>
              <w:rPr>
                <w:rFonts w:hint="eastAsia" w:ascii="宋体" w:hAnsi="宋体" w:eastAsia="宋体" w:cs="宋体"/>
                <w:bCs/>
                <w:color w:val="auto"/>
                <w:sz w:val="21"/>
                <w:szCs w:val="21"/>
                <w:highlight w:val="none"/>
              </w:rPr>
              <w:t>残疾人福利性单位</w:t>
            </w:r>
            <w:r>
              <w:rPr>
                <w:rFonts w:hint="eastAsia" w:ascii="宋体" w:hAnsi="宋体" w:eastAsia="宋体" w:cs="宋体"/>
                <w:bCs/>
                <w:color w:val="auto"/>
                <w:sz w:val="21"/>
                <w:szCs w:val="21"/>
                <w:highlight w:val="none"/>
                <w:lang w:eastAsia="zh-CN"/>
              </w:rPr>
              <w:t>均</w:t>
            </w:r>
            <w:r>
              <w:rPr>
                <w:rFonts w:hint="eastAsia" w:ascii="宋体" w:hAnsi="宋体" w:eastAsia="宋体" w:cs="宋体"/>
                <w:bCs/>
                <w:color w:val="auto"/>
                <w:sz w:val="21"/>
                <w:szCs w:val="21"/>
                <w:highlight w:val="none"/>
              </w:rPr>
              <w:t>属于小型、微型企业</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w:t>
            </w:r>
          </w:p>
          <w:p w14:paraId="5D7622F8">
            <w:pPr>
              <w:keepNext w:val="0"/>
              <w:keepLines w:val="0"/>
              <w:pageBreakBefore w:val="0"/>
              <w:widowControl w:val="0"/>
              <w:kinsoku/>
              <w:wordWrap/>
              <w:overflowPunct/>
              <w:topLinePunct w:val="0"/>
              <w:autoSpaceDE/>
              <w:autoSpaceDN/>
              <w:bidi w:val="0"/>
              <w:snapToGrid/>
              <w:spacing w:line="400" w:lineRule="exact"/>
              <w:outlineLvl w:val="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（3）满足招标文件要求且评标报价最低的评标报价为评标基准价，其价格分为满分</w:t>
            </w:r>
            <w:r>
              <w:rPr>
                <w:rFonts w:hint="eastAsia" w:ascii="宋体" w:hAnsi="宋体" w:eastAsia="宋体" w:cs="宋体"/>
                <w:bCs/>
                <w:color w:val="auto"/>
                <w:sz w:val="21"/>
                <w:szCs w:val="21"/>
                <w:highlight w:val="none"/>
                <w:lang w:eastAsia="zh-CN"/>
              </w:rPr>
              <w:t>；</w:t>
            </w:r>
          </w:p>
          <w:p w14:paraId="2EBC229A">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Cs/>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）价格分计算公式：价格分=（评标基准价／评标报价）×</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r>
      <w:tr w14:paraId="2EA0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restart"/>
            <w:tcBorders>
              <w:top w:val="single" w:color="auto" w:sz="4" w:space="0"/>
              <w:left w:val="single" w:color="auto" w:sz="4" w:space="0"/>
              <w:right w:val="single" w:color="auto" w:sz="4" w:space="0"/>
            </w:tcBorders>
            <w:noWrap/>
            <w:vAlign w:val="center"/>
          </w:tcPr>
          <w:p w14:paraId="0B9559F2">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1</w:t>
            </w:r>
          </w:p>
        </w:tc>
        <w:tc>
          <w:tcPr>
            <w:tcW w:w="905" w:type="dxa"/>
            <w:vMerge w:val="restart"/>
            <w:tcBorders>
              <w:top w:val="single" w:color="auto" w:sz="4" w:space="0"/>
              <w:left w:val="single" w:color="auto" w:sz="4" w:space="0"/>
              <w:right w:val="single" w:color="auto" w:sz="4" w:space="0"/>
            </w:tcBorders>
            <w:noWrap/>
            <w:vAlign w:val="center"/>
          </w:tcPr>
          <w:p w14:paraId="03D61C7F">
            <w:pPr>
              <w:keepNext w:val="0"/>
              <w:keepLines w:val="0"/>
              <w:pageBreakBefore w:val="0"/>
              <w:kinsoku/>
              <w:wordWrap/>
              <w:overflowPunct/>
              <w:topLinePunct w:val="0"/>
              <w:autoSpaceDE/>
              <w:autoSpaceDN/>
              <w:bidi w:val="0"/>
              <w:adjustRightInd w:val="0"/>
              <w:snapToGrid/>
              <w:spacing w:line="400" w:lineRule="exact"/>
              <w:ind w:left="-105" w:leftChars="-50" w:right="-105" w:rightChars="-50"/>
              <w:jc w:val="center"/>
              <w:textAlignment w:val="baseline"/>
              <w:rPr>
                <w:rFonts w:hint="eastAsia" w:ascii="宋体" w:hAnsi="宋体" w:eastAsia="宋体" w:cs="宋体"/>
                <w:b/>
                <w:bCs w:val="0"/>
                <w:spacing w:val="-18"/>
                <w:szCs w:val="21"/>
                <w:highlight w:val="none"/>
              </w:rPr>
            </w:pPr>
            <w:r>
              <w:rPr>
                <w:rFonts w:hint="eastAsia" w:ascii="宋体" w:hAnsi="宋体" w:eastAsia="宋体" w:cs="宋体"/>
                <w:b/>
                <w:bCs w:val="0"/>
                <w:szCs w:val="21"/>
                <w:highlight w:val="none"/>
              </w:rPr>
              <w:t>技术分（</w:t>
            </w:r>
            <w:r>
              <w:rPr>
                <w:rFonts w:hint="eastAsia" w:ascii="宋体" w:hAnsi="宋体" w:eastAsia="宋体" w:cs="宋体"/>
                <w:b/>
                <w:bCs w:val="0"/>
                <w:highlight w:val="none"/>
              </w:rPr>
              <w:t>满分</w:t>
            </w:r>
            <w:r>
              <w:rPr>
                <w:rFonts w:hint="eastAsia" w:ascii="宋体" w:hAnsi="宋体" w:cs="宋体"/>
                <w:b/>
                <w:bCs w:val="0"/>
                <w:szCs w:val="21"/>
                <w:highlight w:val="none"/>
                <w:lang w:val="en-US" w:eastAsia="zh-CN"/>
              </w:rPr>
              <w:t>60</w:t>
            </w:r>
            <w:r>
              <w:rPr>
                <w:rFonts w:hint="eastAsia" w:ascii="宋体" w:hAnsi="宋体" w:eastAsia="宋体" w:cs="宋体"/>
                <w:b/>
                <w:bCs w:val="0"/>
                <w:szCs w:val="21"/>
                <w:highlight w:val="none"/>
              </w:rPr>
              <w:t>分）</w:t>
            </w:r>
          </w:p>
        </w:tc>
        <w:tc>
          <w:tcPr>
            <w:tcW w:w="1977" w:type="dxa"/>
            <w:tcBorders>
              <w:top w:val="single" w:color="auto" w:sz="4" w:space="0"/>
              <w:left w:val="single" w:color="auto" w:sz="4" w:space="0"/>
              <w:right w:val="single" w:color="auto" w:sz="4" w:space="0"/>
            </w:tcBorders>
            <w:noWrap/>
            <w:vAlign w:val="center"/>
          </w:tcPr>
          <w:p w14:paraId="5ADBA4D2">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highlight w:val="none"/>
              </w:rPr>
            </w:pPr>
            <w:r>
              <w:rPr>
                <w:rFonts w:hint="eastAsia" w:ascii="宋体" w:hAnsi="宋体" w:cs="宋体"/>
                <w:bCs/>
                <w:highlight w:val="none"/>
                <w:lang w:val="en-US" w:eastAsia="zh-CN"/>
              </w:rPr>
              <w:t>1.1技术</w:t>
            </w:r>
            <w:r>
              <w:rPr>
                <w:rFonts w:hint="eastAsia" w:ascii="宋体" w:hAnsi="宋体" w:cs="宋体"/>
                <w:bCs/>
                <w:highlight w:val="none"/>
                <w:lang w:eastAsia="zh-CN"/>
              </w:rPr>
              <w:t>参数响应</w:t>
            </w:r>
            <w:r>
              <w:rPr>
                <w:rFonts w:hint="eastAsia" w:ascii="宋体" w:hAnsi="宋体" w:eastAsia="宋体" w:cs="宋体"/>
                <w:bCs/>
                <w:highlight w:val="none"/>
              </w:rPr>
              <w:t>（</w:t>
            </w:r>
            <w:r>
              <w:rPr>
                <w:rFonts w:hint="eastAsia" w:ascii="宋体" w:hAnsi="宋体" w:cs="宋体"/>
                <w:bCs/>
                <w:highlight w:val="none"/>
                <w:lang w:eastAsia="zh-CN"/>
              </w:rPr>
              <w:t>满分</w:t>
            </w:r>
            <w:r>
              <w:rPr>
                <w:rFonts w:hint="eastAsia" w:ascii="宋体" w:hAnsi="宋体" w:cs="宋体"/>
                <w:bCs/>
                <w:highlight w:val="none"/>
                <w:lang w:val="en-US" w:eastAsia="zh-CN"/>
              </w:rPr>
              <w:t>10</w:t>
            </w:r>
            <w:r>
              <w:rPr>
                <w:rFonts w:hint="eastAsia" w:ascii="宋体" w:hAnsi="宋体" w:eastAsia="宋体" w:cs="宋体"/>
                <w:bCs/>
                <w:highlight w:val="none"/>
              </w:rPr>
              <w:t>分）</w:t>
            </w:r>
          </w:p>
        </w:tc>
        <w:tc>
          <w:tcPr>
            <w:tcW w:w="6043" w:type="dxa"/>
            <w:tcBorders>
              <w:top w:val="single" w:color="auto" w:sz="4" w:space="0"/>
              <w:left w:val="single" w:color="auto" w:sz="4" w:space="0"/>
              <w:right w:val="single" w:color="auto" w:sz="4" w:space="0"/>
            </w:tcBorders>
            <w:noWrap/>
            <w:vAlign w:val="center"/>
          </w:tcPr>
          <w:p w14:paraId="696D2F20">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投标产品技术参数完全满足招标文件要求的得</w:t>
            </w:r>
            <w:r>
              <w:rPr>
                <w:rFonts w:hint="eastAsia" w:ascii="宋体" w:hAnsi="宋体" w:cs="宋体"/>
                <w:highlight w:val="none"/>
                <w:lang w:val="en-US" w:eastAsia="zh-CN"/>
              </w:rPr>
              <w:t>10</w:t>
            </w:r>
            <w:r>
              <w:rPr>
                <w:rFonts w:hint="eastAsia" w:ascii="宋体" w:hAnsi="宋体" w:eastAsia="宋体" w:cs="宋体"/>
                <w:highlight w:val="none"/>
              </w:rPr>
              <w:t>分，一般参数（不带▲号的条款）有负偏离的每</w:t>
            </w:r>
            <w:r>
              <w:rPr>
                <w:rFonts w:hint="eastAsia" w:ascii="宋体" w:hAnsi="宋体" w:cs="宋体"/>
                <w:highlight w:val="none"/>
                <w:lang w:eastAsia="zh-CN"/>
              </w:rPr>
              <w:t>有</w:t>
            </w:r>
            <w:r>
              <w:rPr>
                <w:rFonts w:hint="eastAsia" w:ascii="宋体" w:hAnsi="宋体" w:eastAsia="宋体" w:cs="宋体"/>
                <w:highlight w:val="none"/>
              </w:rPr>
              <w:t>一项扣</w:t>
            </w:r>
            <w:r>
              <w:rPr>
                <w:rFonts w:hint="eastAsia" w:ascii="宋体" w:hAnsi="宋体" w:cs="宋体"/>
                <w:highlight w:val="none"/>
                <w:lang w:val="en-US" w:eastAsia="zh-CN"/>
              </w:rPr>
              <w:t>2</w:t>
            </w:r>
            <w:r>
              <w:rPr>
                <w:rFonts w:hint="eastAsia" w:ascii="宋体" w:hAnsi="宋体" w:eastAsia="宋体" w:cs="宋体"/>
                <w:highlight w:val="none"/>
              </w:rPr>
              <w:t>分，漏项的每</w:t>
            </w:r>
            <w:r>
              <w:rPr>
                <w:rFonts w:hint="eastAsia" w:ascii="宋体" w:hAnsi="宋体" w:cs="宋体"/>
                <w:highlight w:val="none"/>
                <w:lang w:eastAsia="zh-CN"/>
              </w:rPr>
              <w:t>有</w:t>
            </w:r>
            <w:r>
              <w:rPr>
                <w:rFonts w:hint="eastAsia" w:ascii="宋体" w:hAnsi="宋体" w:eastAsia="宋体" w:cs="宋体"/>
                <w:highlight w:val="none"/>
              </w:rPr>
              <w:t>一项扣</w:t>
            </w:r>
            <w:r>
              <w:rPr>
                <w:rFonts w:hint="eastAsia" w:ascii="宋体" w:hAnsi="宋体" w:cs="宋体"/>
                <w:highlight w:val="none"/>
                <w:lang w:val="en-US" w:eastAsia="zh-CN"/>
              </w:rPr>
              <w:t>3</w:t>
            </w:r>
            <w:r>
              <w:rPr>
                <w:rFonts w:hint="eastAsia" w:ascii="宋体" w:hAnsi="宋体" w:eastAsia="宋体" w:cs="宋体"/>
                <w:highlight w:val="none"/>
              </w:rPr>
              <w:t>分</w:t>
            </w:r>
            <w:r>
              <w:rPr>
                <w:rFonts w:hint="eastAsia" w:ascii="宋体" w:hAnsi="宋体" w:eastAsia="宋体" w:cs="宋体"/>
                <w:sz w:val="21"/>
                <w:szCs w:val="21"/>
                <w:highlight w:val="none"/>
                <w:vertAlign w:val="baseline"/>
                <w:lang w:val="en-US" w:eastAsia="zh-CN"/>
              </w:rPr>
              <w:t>，扣完为止</w:t>
            </w:r>
            <w:r>
              <w:rPr>
                <w:rFonts w:hint="eastAsia" w:ascii="宋体" w:hAnsi="宋体" w:eastAsia="宋体" w:cs="宋体"/>
                <w:highlight w:val="none"/>
              </w:rPr>
              <w:t>。</w:t>
            </w:r>
          </w:p>
        </w:tc>
      </w:tr>
      <w:tr w14:paraId="538A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7DCE658B">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12196FE8">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top w:val="single" w:color="auto" w:sz="4" w:space="0"/>
              <w:left w:val="single" w:color="auto" w:sz="4" w:space="0"/>
              <w:right w:val="single" w:color="auto" w:sz="4" w:space="0"/>
            </w:tcBorders>
            <w:noWrap/>
            <w:vAlign w:val="center"/>
          </w:tcPr>
          <w:p w14:paraId="6EB1FEB2">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highlight w:val="none"/>
                <w:lang w:val="en-US" w:eastAsia="zh-CN"/>
              </w:rPr>
            </w:pPr>
            <w:r>
              <w:rPr>
                <w:rFonts w:hint="eastAsia" w:ascii="宋体" w:hAnsi="宋体" w:cs="宋体"/>
                <w:bCs/>
                <w:highlight w:val="none"/>
                <w:lang w:val="en-US" w:eastAsia="zh-CN"/>
              </w:rPr>
              <w:t>1.2技术方案</w:t>
            </w:r>
            <w:r>
              <w:rPr>
                <w:rFonts w:hint="eastAsia" w:ascii="宋体" w:hAnsi="宋体" w:eastAsia="宋体" w:cs="宋体"/>
                <w:bCs/>
                <w:highlight w:val="none"/>
              </w:rPr>
              <w:t>（</w:t>
            </w:r>
            <w:r>
              <w:rPr>
                <w:rFonts w:hint="eastAsia" w:ascii="宋体" w:hAnsi="宋体" w:cs="宋体"/>
                <w:bCs/>
                <w:highlight w:val="none"/>
                <w:lang w:eastAsia="zh-CN"/>
              </w:rPr>
              <w:t>满分</w:t>
            </w:r>
            <w:r>
              <w:rPr>
                <w:rFonts w:hint="eastAsia" w:ascii="宋体" w:hAnsi="宋体" w:cs="宋体"/>
                <w:bCs/>
                <w:highlight w:val="none"/>
                <w:lang w:val="en-US" w:eastAsia="zh-CN"/>
              </w:rPr>
              <w:t>18</w:t>
            </w:r>
            <w:r>
              <w:rPr>
                <w:rFonts w:hint="eastAsia" w:ascii="宋体" w:hAnsi="宋体" w:eastAsia="宋体" w:cs="宋体"/>
                <w:bCs/>
                <w:highlight w:val="none"/>
              </w:rPr>
              <w:t>分）</w:t>
            </w:r>
          </w:p>
        </w:tc>
        <w:tc>
          <w:tcPr>
            <w:tcW w:w="6043" w:type="dxa"/>
            <w:tcBorders>
              <w:top w:val="single" w:color="auto" w:sz="4" w:space="0"/>
              <w:left w:val="single" w:color="auto" w:sz="4" w:space="0"/>
              <w:right w:val="single" w:color="auto" w:sz="4" w:space="0"/>
            </w:tcBorders>
            <w:shd w:val="clear" w:color="auto" w:fill="auto"/>
            <w:noWrap/>
            <w:vAlign w:val="center"/>
          </w:tcPr>
          <w:p w14:paraId="2622BED7">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highlight w:val="none"/>
                <w:lang w:val="en-US" w:eastAsia="zh-CN"/>
              </w:rPr>
            </w:pPr>
            <w:r>
              <w:rPr>
                <w:rFonts w:hint="eastAsia" w:ascii="宋体" w:hAnsi="宋体" w:eastAsia="宋体" w:cs="宋体"/>
                <w:kern w:val="2"/>
                <w:sz w:val="21"/>
                <w:szCs w:val="24"/>
                <w:highlight w:val="none"/>
                <w:lang w:val="en-US" w:eastAsia="zh-CN" w:bidi="ar-SA"/>
              </w:rPr>
              <w:t>评标委员会</w:t>
            </w:r>
            <w:r>
              <w:rPr>
                <w:rFonts w:hint="default" w:ascii="宋体" w:hAnsi="宋体" w:eastAsia="宋体" w:cs="宋体"/>
                <w:kern w:val="2"/>
                <w:sz w:val="21"/>
                <w:szCs w:val="24"/>
                <w:highlight w:val="none"/>
                <w:lang w:val="en-US" w:eastAsia="zh-CN" w:bidi="ar-SA"/>
              </w:rPr>
              <w:t>根据</w:t>
            </w:r>
            <w:r>
              <w:rPr>
                <w:rFonts w:hint="eastAsia" w:ascii="宋体" w:hAnsi="宋体" w:eastAsia="宋体" w:cs="宋体"/>
                <w:kern w:val="2"/>
                <w:sz w:val="21"/>
                <w:szCs w:val="24"/>
                <w:highlight w:val="none"/>
                <w:lang w:val="en-US" w:eastAsia="zh-CN" w:bidi="ar-SA"/>
              </w:rPr>
              <w:t>投标人所</w:t>
            </w:r>
            <w:r>
              <w:rPr>
                <w:rFonts w:hint="default" w:ascii="宋体" w:hAnsi="宋体" w:eastAsia="宋体" w:cs="宋体"/>
                <w:kern w:val="2"/>
                <w:sz w:val="21"/>
                <w:szCs w:val="24"/>
                <w:highlight w:val="none"/>
                <w:lang w:val="en-US" w:eastAsia="zh-CN" w:bidi="ar-SA"/>
              </w:rPr>
              <w:t>提供的</w:t>
            </w:r>
            <w:r>
              <w:rPr>
                <w:rFonts w:hint="eastAsia" w:ascii="宋体" w:hAnsi="宋体" w:cs="宋体"/>
                <w:kern w:val="2"/>
                <w:sz w:val="21"/>
                <w:szCs w:val="24"/>
                <w:highlight w:val="none"/>
                <w:lang w:val="en-US" w:eastAsia="zh-CN" w:bidi="ar-SA"/>
              </w:rPr>
              <w:t>技术</w:t>
            </w:r>
            <w:r>
              <w:rPr>
                <w:rFonts w:hint="default" w:ascii="宋体" w:hAnsi="宋体" w:eastAsia="宋体" w:cs="宋体"/>
                <w:kern w:val="2"/>
                <w:sz w:val="21"/>
                <w:szCs w:val="24"/>
                <w:highlight w:val="none"/>
                <w:lang w:val="en-US" w:eastAsia="zh-CN" w:bidi="ar-SA"/>
              </w:rPr>
              <w:t>方案情况进行独立</w:t>
            </w:r>
            <w:r>
              <w:rPr>
                <w:rFonts w:hint="eastAsia" w:ascii="宋体" w:hAnsi="宋体" w:eastAsia="宋体" w:cs="宋体"/>
                <w:kern w:val="2"/>
                <w:sz w:val="21"/>
                <w:szCs w:val="24"/>
                <w:highlight w:val="none"/>
                <w:lang w:val="en-US" w:eastAsia="zh-CN" w:bidi="ar-SA"/>
              </w:rPr>
              <w:t>评审：</w:t>
            </w:r>
          </w:p>
          <w:p w14:paraId="4A929052">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highlight w:val="none"/>
                <w:lang w:val="en-US" w:eastAsia="zh-CN"/>
              </w:rPr>
            </w:pPr>
            <w:r>
              <w:rPr>
                <w:rFonts w:hint="default" w:ascii="宋体" w:hAnsi="宋体" w:eastAsia="宋体" w:cs="宋体"/>
                <w:kern w:val="2"/>
                <w:sz w:val="21"/>
                <w:szCs w:val="24"/>
                <w:highlight w:val="none"/>
                <w:lang w:val="en-US" w:eastAsia="zh-CN" w:bidi="ar-SA"/>
              </w:rPr>
              <w:t>一档（0分）：未提供</w:t>
            </w:r>
            <w:r>
              <w:rPr>
                <w:rFonts w:hint="eastAsia" w:ascii="宋体" w:hAnsi="宋体" w:cs="宋体"/>
                <w:kern w:val="2"/>
                <w:sz w:val="21"/>
                <w:szCs w:val="24"/>
                <w:highlight w:val="none"/>
                <w:lang w:val="en-US" w:eastAsia="zh-CN" w:bidi="ar-SA"/>
              </w:rPr>
              <w:t>技术</w:t>
            </w:r>
            <w:r>
              <w:rPr>
                <w:rFonts w:hint="default" w:ascii="宋体" w:hAnsi="宋体" w:eastAsia="宋体" w:cs="宋体"/>
                <w:kern w:val="2"/>
                <w:sz w:val="21"/>
                <w:szCs w:val="24"/>
                <w:highlight w:val="none"/>
                <w:lang w:val="en-US" w:eastAsia="zh-CN" w:bidi="ar-SA"/>
              </w:rPr>
              <w:t>方案或所提供的方案不满足以下任何一档要求的。</w:t>
            </w:r>
          </w:p>
          <w:p w14:paraId="17A10E8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二</w:t>
            </w:r>
            <w:r>
              <w:rPr>
                <w:rFonts w:hint="eastAsia" w:ascii="宋体" w:hAnsi="宋体" w:eastAsia="宋体" w:cs="宋体"/>
                <w:b w:val="0"/>
                <w:bCs w:val="0"/>
                <w:highlight w:val="none"/>
                <w:lang w:val="en-US" w:eastAsia="zh-CN"/>
              </w:rPr>
              <w:t>档（</w:t>
            </w:r>
            <w:r>
              <w:rPr>
                <w:rFonts w:hint="eastAsia" w:ascii="宋体" w:hAnsi="宋体" w:cs="宋体"/>
                <w:b w:val="0"/>
                <w:bCs w:val="0"/>
                <w:highlight w:val="none"/>
                <w:lang w:val="en-US" w:eastAsia="zh-CN"/>
              </w:rPr>
              <w:t>6</w:t>
            </w:r>
            <w:r>
              <w:rPr>
                <w:rFonts w:hint="eastAsia" w:ascii="宋体" w:hAnsi="宋体" w:eastAsia="宋体" w:cs="宋体"/>
                <w:b w:val="0"/>
                <w:bCs w:val="0"/>
                <w:highlight w:val="none"/>
                <w:lang w:val="en-US" w:eastAsia="zh-CN"/>
              </w:rPr>
              <w:t>分）：投标人提供了基本的</w:t>
            </w:r>
            <w:r>
              <w:rPr>
                <w:rFonts w:hint="eastAsia" w:ascii="宋体" w:hAnsi="宋体" w:cs="宋体"/>
                <w:kern w:val="2"/>
                <w:sz w:val="21"/>
                <w:szCs w:val="24"/>
                <w:highlight w:val="none"/>
                <w:lang w:val="en-US" w:eastAsia="zh-CN" w:bidi="ar-SA"/>
              </w:rPr>
              <w:t>技术</w:t>
            </w:r>
            <w:r>
              <w:rPr>
                <w:rFonts w:hint="default" w:ascii="宋体" w:hAnsi="宋体" w:eastAsia="宋体" w:cs="宋体"/>
                <w:kern w:val="2"/>
                <w:sz w:val="21"/>
                <w:szCs w:val="24"/>
                <w:highlight w:val="none"/>
                <w:lang w:val="en-US" w:eastAsia="zh-CN" w:bidi="ar-SA"/>
              </w:rPr>
              <w:t>方案</w:t>
            </w:r>
            <w:r>
              <w:rPr>
                <w:rFonts w:hint="eastAsia" w:ascii="宋体" w:hAnsi="宋体" w:eastAsia="宋体" w:cs="宋体"/>
                <w:b w:val="0"/>
                <w:bCs w:val="0"/>
                <w:highlight w:val="none"/>
                <w:lang w:val="en-US" w:eastAsia="zh-CN"/>
              </w:rPr>
              <w:t>，没有技术错误，</w:t>
            </w:r>
            <w:r>
              <w:rPr>
                <w:rFonts w:hint="eastAsia" w:ascii="宋体" w:hAnsi="宋体" w:cs="宋体"/>
                <w:b w:val="0"/>
                <w:bCs w:val="0"/>
                <w:highlight w:val="none"/>
                <w:lang w:val="en-US" w:eastAsia="zh-CN"/>
              </w:rPr>
              <w:t>但</w:t>
            </w:r>
            <w:r>
              <w:rPr>
                <w:rFonts w:hint="eastAsia" w:ascii="宋体" w:hAnsi="宋体" w:eastAsia="宋体" w:cs="宋体"/>
                <w:b w:val="0"/>
                <w:bCs w:val="0"/>
                <w:highlight w:val="none"/>
                <w:lang w:val="en-US" w:eastAsia="zh-CN"/>
              </w:rPr>
              <w:t>未对所有需求提供</w:t>
            </w:r>
            <w:r>
              <w:rPr>
                <w:rFonts w:hint="eastAsia" w:ascii="宋体" w:hAnsi="宋体" w:cs="宋体"/>
                <w:b w:val="0"/>
                <w:bCs w:val="0"/>
                <w:highlight w:val="none"/>
                <w:lang w:val="en-US" w:eastAsia="zh-CN"/>
              </w:rPr>
              <w:t>技术</w:t>
            </w:r>
            <w:r>
              <w:rPr>
                <w:rFonts w:hint="eastAsia" w:ascii="宋体" w:hAnsi="宋体" w:eastAsia="宋体" w:cs="宋体"/>
                <w:b w:val="0"/>
                <w:bCs w:val="0"/>
                <w:highlight w:val="none"/>
                <w:lang w:val="en-US" w:eastAsia="zh-CN"/>
              </w:rPr>
              <w:t>解决方案</w:t>
            </w:r>
            <w:r>
              <w:rPr>
                <w:rFonts w:hint="eastAsia" w:ascii="宋体" w:hAnsi="宋体" w:cs="宋体"/>
                <w:b w:val="0"/>
                <w:bCs w:val="0"/>
                <w:highlight w:val="none"/>
                <w:lang w:val="en-US" w:eastAsia="zh-CN"/>
              </w:rPr>
              <w:t>。</w:t>
            </w:r>
          </w:p>
          <w:p w14:paraId="168374B5">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highlight w:val="none"/>
                <w:lang w:val="en-US" w:eastAsia="zh-CN"/>
              </w:rPr>
            </w:pPr>
            <w:r>
              <w:rPr>
                <w:rFonts w:hint="eastAsia" w:ascii="宋体" w:hAnsi="宋体" w:cs="宋体"/>
                <w:b w:val="0"/>
                <w:bCs w:val="0"/>
                <w:highlight w:val="none"/>
                <w:lang w:val="en-US" w:eastAsia="zh-CN"/>
              </w:rPr>
              <w:t>三</w:t>
            </w:r>
            <w:r>
              <w:rPr>
                <w:rFonts w:hint="eastAsia" w:ascii="宋体" w:hAnsi="宋体" w:eastAsia="宋体" w:cs="宋体"/>
                <w:b w:val="0"/>
                <w:bCs w:val="0"/>
                <w:highlight w:val="none"/>
                <w:lang w:val="en-US" w:eastAsia="zh-CN"/>
              </w:rPr>
              <w:t>档（</w:t>
            </w:r>
            <w:r>
              <w:rPr>
                <w:rFonts w:hint="eastAsia" w:ascii="宋体" w:hAnsi="宋体" w:cs="宋体"/>
                <w:b w:val="0"/>
                <w:bCs w:val="0"/>
                <w:highlight w:val="none"/>
                <w:lang w:val="en-US" w:eastAsia="zh-CN"/>
              </w:rPr>
              <w:t>12</w:t>
            </w:r>
            <w:r>
              <w:rPr>
                <w:rFonts w:hint="eastAsia" w:ascii="宋体" w:hAnsi="宋体" w:eastAsia="宋体" w:cs="宋体"/>
                <w:b w:val="0"/>
                <w:bCs w:val="0"/>
                <w:highlight w:val="none"/>
                <w:lang w:val="en-US" w:eastAsia="zh-CN"/>
              </w:rPr>
              <w:t>分）：投标人提供了完整的</w:t>
            </w:r>
            <w:r>
              <w:rPr>
                <w:rFonts w:hint="eastAsia" w:ascii="宋体" w:hAnsi="宋体" w:cs="宋体"/>
                <w:kern w:val="2"/>
                <w:sz w:val="21"/>
                <w:szCs w:val="24"/>
                <w:highlight w:val="none"/>
                <w:lang w:val="en-US" w:eastAsia="zh-CN" w:bidi="ar-SA"/>
              </w:rPr>
              <w:t>技术</w:t>
            </w:r>
            <w:r>
              <w:rPr>
                <w:rFonts w:hint="eastAsia" w:ascii="宋体" w:hAnsi="宋体" w:eastAsia="宋体" w:cs="宋体"/>
                <w:b w:val="0"/>
                <w:bCs w:val="0"/>
                <w:highlight w:val="none"/>
                <w:lang w:val="en-US" w:eastAsia="zh-CN"/>
              </w:rPr>
              <w:t>方案，基本了解本系统建设必要性，对</w:t>
            </w:r>
            <w:r>
              <w:rPr>
                <w:rFonts w:hint="eastAsia" w:ascii="宋体" w:hAnsi="宋体" w:cs="宋体"/>
                <w:b w:val="0"/>
                <w:bCs w:val="0"/>
                <w:highlight w:val="none"/>
                <w:lang w:val="en-US" w:eastAsia="zh-CN"/>
              </w:rPr>
              <w:t>采购</w:t>
            </w:r>
            <w:r>
              <w:rPr>
                <w:rFonts w:hint="eastAsia" w:ascii="宋体" w:hAnsi="宋体" w:eastAsia="宋体" w:cs="宋体"/>
                <w:b w:val="0"/>
                <w:bCs w:val="0"/>
                <w:highlight w:val="none"/>
                <w:lang w:val="en-US" w:eastAsia="zh-CN"/>
              </w:rPr>
              <w:t>需求理解比较透彻，功能设计比较完善，仅满足项目建设的基本需求，并能提供持续的服务支持</w:t>
            </w:r>
            <w:r>
              <w:rPr>
                <w:rFonts w:hint="eastAsia" w:ascii="宋体" w:hAnsi="宋体" w:cs="宋体"/>
                <w:b w:val="0"/>
                <w:bCs w:val="0"/>
                <w:highlight w:val="none"/>
                <w:lang w:val="en-US" w:eastAsia="zh-CN"/>
              </w:rPr>
              <w:t>。</w:t>
            </w:r>
          </w:p>
          <w:p w14:paraId="6219E9D4">
            <w:pPr>
              <w:keepNext w:val="0"/>
              <w:keepLines w:val="0"/>
              <w:pageBreakBefore w:val="0"/>
              <w:kinsoku/>
              <w:wordWrap/>
              <w:overflowPunct/>
              <w:topLinePunct w:val="0"/>
              <w:autoSpaceDE/>
              <w:autoSpaceDN/>
              <w:bidi w:val="0"/>
              <w:snapToGrid/>
              <w:spacing w:line="400" w:lineRule="exact"/>
              <w:rPr>
                <w:rFonts w:hint="eastAsia" w:ascii="宋体" w:hAnsi="宋体" w:eastAsia="宋体" w:cs="宋体"/>
                <w:b w:val="0"/>
                <w:bCs w:val="0"/>
                <w:kern w:val="2"/>
                <w:sz w:val="21"/>
                <w:szCs w:val="24"/>
                <w:highlight w:val="none"/>
                <w:lang w:val="en-US" w:eastAsia="zh-CN" w:bidi="ar-SA"/>
              </w:rPr>
            </w:pPr>
            <w:r>
              <w:rPr>
                <w:rFonts w:hint="eastAsia" w:ascii="宋体" w:hAnsi="宋体" w:cs="宋体"/>
                <w:b w:val="0"/>
                <w:bCs w:val="0"/>
                <w:highlight w:val="none"/>
                <w:lang w:val="en-US" w:eastAsia="zh-CN"/>
              </w:rPr>
              <w:t>四</w:t>
            </w:r>
            <w:r>
              <w:rPr>
                <w:rFonts w:hint="eastAsia" w:ascii="宋体" w:hAnsi="宋体" w:eastAsia="宋体" w:cs="宋体"/>
                <w:b w:val="0"/>
                <w:bCs w:val="0"/>
                <w:highlight w:val="none"/>
                <w:lang w:val="en-US" w:eastAsia="zh-CN"/>
              </w:rPr>
              <w:t>档（</w:t>
            </w:r>
            <w:r>
              <w:rPr>
                <w:rFonts w:hint="eastAsia" w:ascii="宋体" w:hAnsi="宋体" w:cs="宋体"/>
                <w:b w:val="0"/>
                <w:bCs w:val="0"/>
                <w:highlight w:val="none"/>
                <w:lang w:val="en-US" w:eastAsia="zh-CN"/>
              </w:rPr>
              <w:t>18</w:t>
            </w:r>
            <w:r>
              <w:rPr>
                <w:rFonts w:hint="eastAsia" w:ascii="宋体" w:hAnsi="宋体" w:eastAsia="宋体" w:cs="宋体"/>
                <w:b w:val="0"/>
                <w:bCs w:val="0"/>
                <w:highlight w:val="none"/>
                <w:lang w:val="en-US" w:eastAsia="zh-CN"/>
              </w:rPr>
              <w:t>分）：投标人提供了卓越的</w:t>
            </w:r>
            <w:r>
              <w:rPr>
                <w:rFonts w:hint="eastAsia" w:ascii="宋体" w:hAnsi="宋体" w:cs="宋体"/>
                <w:b w:val="0"/>
                <w:bCs w:val="0"/>
                <w:highlight w:val="none"/>
                <w:lang w:val="en-US" w:eastAsia="zh-CN"/>
              </w:rPr>
              <w:t>技术</w:t>
            </w:r>
            <w:r>
              <w:rPr>
                <w:rFonts w:hint="eastAsia" w:ascii="宋体" w:hAnsi="宋体" w:eastAsia="宋体" w:cs="宋体"/>
                <w:b w:val="0"/>
                <w:bCs w:val="0"/>
                <w:highlight w:val="none"/>
                <w:lang w:val="en-US" w:eastAsia="zh-CN"/>
              </w:rPr>
              <w:t>方案，且方案描述详细、完整，论述具体明确，充分了解本系统建设必要性，对</w:t>
            </w:r>
            <w:r>
              <w:rPr>
                <w:rFonts w:hint="eastAsia" w:ascii="宋体" w:hAnsi="宋体" w:cs="宋体"/>
                <w:b w:val="0"/>
                <w:bCs w:val="0"/>
                <w:highlight w:val="none"/>
                <w:lang w:val="en-US" w:eastAsia="zh-CN"/>
              </w:rPr>
              <w:t>采购</w:t>
            </w:r>
            <w:r>
              <w:rPr>
                <w:rFonts w:hint="eastAsia" w:ascii="宋体" w:hAnsi="宋体" w:eastAsia="宋体" w:cs="宋体"/>
                <w:b w:val="0"/>
                <w:bCs w:val="0"/>
                <w:highlight w:val="none"/>
                <w:lang w:val="en-US" w:eastAsia="zh-CN"/>
              </w:rPr>
              <w:t>需求理解透彻，功能设计完善，完全满足项目建设需求，详细阐述系统设计思路、技术路线等，方案在满足所有需求的基础上，充分考虑了系统的稳定性，安全性，易用性及灵活性，提供持续的服务支持，确保项目能够顺利实施。</w:t>
            </w:r>
          </w:p>
        </w:tc>
      </w:tr>
      <w:tr w14:paraId="5526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2C9C7E8E">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01FB5D93">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top w:val="single" w:color="auto" w:sz="4" w:space="0"/>
              <w:left w:val="single" w:color="auto" w:sz="4" w:space="0"/>
              <w:right w:val="single" w:color="auto" w:sz="4" w:space="0"/>
            </w:tcBorders>
            <w:noWrap/>
            <w:vAlign w:val="center"/>
          </w:tcPr>
          <w:p w14:paraId="46A6B544">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Cs/>
                <w:highlight w:val="none"/>
                <w:lang w:val="en-US" w:eastAsia="zh-CN"/>
              </w:rPr>
            </w:pPr>
            <w:r>
              <w:rPr>
                <w:rFonts w:hint="eastAsia" w:ascii="宋体" w:hAnsi="宋体" w:cs="宋体"/>
                <w:bCs/>
                <w:highlight w:val="none"/>
                <w:lang w:val="en-US" w:eastAsia="zh-CN"/>
              </w:rPr>
              <w:t>1.3</w:t>
            </w:r>
            <w:r>
              <w:rPr>
                <w:rFonts w:hint="eastAsia" w:ascii="宋体" w:hAnsi="宋体" w:eastAsia="宋体" w:cs="Times New Roman"/>
                <w:bCs/>
                <w:color w:val="auto"/>
                <w:kern w:val="2"/>
                <w:sz w:val="21"/>
                <w:szCs w:val="20"/>
                <w:lang w:val="en-US" w:eastAsia="zh-CN" w:bidi="ar-SA"/>
              </w:rPr>
              <w:t>组织实施方案</w:t>
            </w:r>
            <w:r>
              <w:rPr>
                <w:rFonts w:hint="eastAsia" w:ascii="宋体" w:hAnsi="宋体" w:cs="宋体"/>
                <w:bCs/>
                <w:highlight w:val="none"/>
                <w:lang w:val="en-US" w:eastAsia="zh-CN"/>
              </w:rPr>
              <w:t>（满分20分）</w:t>
            </w:r>
          </w:p>
        </w:tc>
        <w:tc>
          <w:tcPr>
            <w:tcW w:w="6043" w:type="dxa"/>
            <w:tcBorders>
              <w:top w:val="single" w:color="auto" w:sz="4" w:space="0"/>
              <w:left w:val="single" w:color="auto" w:sz="4" w:space="0"/>
              <w:right w:val="single" w:color="auto" w:sz="4" w:space="0"/>
            </w:tcBorders>
            <w:shd w:val="clear" w:color="auto" w:fill="auto"/>
            <w:noWrap/>
            <w:vAlign w:val="center"/>
          </w:tcPr>
          <w:p w14:paraId="2408AF6B">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w:t>
            </w:r>
            <w:r>
              <w:rPr>
                <w:rFonts w:hint="default" w:ascii="宋体" w:hAnsi="宋体" w:eastAsia="宋体" w:cs="宋体"/>
                <w:kern w:val="2"/>
                <w:sz w:val="21"/>
                <w:szCs w:val="24"/>
                <w:highlight w:val="none"/>
                <w:lang w:val="en-US" w:eastAsia="zh-CN" w:bidi="ar-SA"/>
              </w:rPr>
              <w:t>根据</w:t>
            </w:r>
            <w:r>
              <w:rPr>
                <w:rFonts w:hint="eastAsia" w:ascii="宋体" w:hAnsi="宋体" w:eastAsia="宋体" w:cs="宋体"/>
                <w:kern w:val="2"/>
                <w:sz w:val="21"/>
                <w:szCs w:val="24"/>
                <w:highlight w:val="none"/>
                <w:lang w:val="en-US" w:eastAsia="zh-CN" w:bidi="ar-SA"/>
              </w:rPr>
              <w:t>投标人所</w:t>
            </w:r>
            <w:r>
              <w:rPr>
                <w:rFonts w:hint="default" w:ascii="宋体" w:hAnsi="宋体" w:eastAsia="宋体" w:cs="宋体"/>
                <w:kern w:val="2"/>
                <w:sz w:val="21"/>
                <w:szCs w:val="24"/>
                <w:highlight w:val="none"/>
                <w:lang w:val="en-US" w:eastAsia="zh-CN" w:bidi="ar-SA"/>
              </w:rPr>
              <w:t>提供的项目实施方案</w:t>
            </w:r>
            <w:r>
              <w:rPr>
                <w:rFonts w:hint="eastAsia" w:ascii="宋体" w:hAnsi="宋体" w:cs="宋体"/>
                <w:kern w:val="2"/>
                <w:sz w:val="21"/>
                <w:szCs w:val="24"/>
                <w:highlight w:val="none"/>
                <w:lang w:val="en-US" w:eastAsia="zh-CN" w:bidi="ar-SA"/>
              </w:rPr>
              <w:t>中</w:t>
            </w:r>
            <w:r>
              <w:rPr>
                <w:rFonts w:hint="eastAsia" w:ascii="宋体" w:hAnsi="宋体" w:eastAsia="宋体" w:cs="Times New Roman"/>
                <w:bCs/>
                <w:color w:val="auto"/>
                <w:kern w:val="2"/>
                <w:sz w:val="21"/>
                <w:szCs w:val="20"/>
                <w:lang w:val="en-US" w:eastAsia="zh-CN" w:bidi="ar-SA"/>
              </w:rPr>
              <w:t>组织实施方案</w:t>
            </w:r>
            <w:r>
              <w:rPr>
                <w:rFonts w:hint="default" w:ascii="宋体" w:hAnsi="宋体" w:eastAsia="宋体" w:cs="宋体"/>
                <w:kern w:val="2"/>
                <w:sz w:val="21"/>
                <w:szCs w:val="24"/>
                <w:highlight w:val="none"/>
                <w:lang w:val="en-US" w:eastAsia="zh-CN" w:bidi="ar-SA"/>
              </w:rPr>
              <w:t>情况进行独立</w:t>
            </w:r>
            <w:r>
              <w:rPr>
                <w:rFonts w:hint="eastAsia" w:ascii="宋体" w:hAnsi="宋体" w:eastAsia="宋体" w:cs="宋体"/>
                <w:kern w:val="2"/>
                <w:sz w:val="21"/>
                <w:szCs w:val="24"/>
                <w:highlight w:val="none"/>
                <w:lang w:val="en-US" w:eastAsia="zh-CN" w:bidi="ar-SA"/>
              </w:rPr>
              <w:t>评审：</w:t>
            </w:r>
          </w:p>
          <w:p w14:paraId="3FB4FF2C">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一档（0分）：未提供</w:t>
            </w:r>
            <w:r>
              <w:rPr>
                <w:rFonts w:hint="eastAsia" w:ascii="宋体" w:hAnsi="宋体" w:cs="宋体"/>
                <w:kern w:val="2"/>
                <w:sz w:val="21"/>
                <w:szCs w:val="24"/>
                <w:highlight w:val="none"/>
                <w:lang w:val="en-US" w:eastAsia="zh-CN" w:bidi="ar-SA"/>
              </w:rPr>
              <w:t>项目</w:t>
            </w:r>
            <w:r>
              <w:rPr>
                <w:rFonts w:hint="default" w:ascii="宋体" w:hAnsi="宋体" w:eastAsia="宋体" w:cs="宋体"/>
                <w:kern w:val="2"/>
                <w:sz w:val="21"/>
                <w:szCs w:val="24"/>
                <w:highlight w:val="none"/>
                <w:lang w:val="en-US" w:eastAsia="zh-CN" w:bidi="ar-SA"/>
              </w:rPr>
              <w:t>实施方案或</w:t>
            </w:r>
            <w:r>
              <w:rPr>
                <w:rFonts w:hint="eastAsia" w:ascii="宋体" w:hAnsi="宋体" w:cs="宋体"/>
                <w:kern w:val="2"/>
                <w:sz w:val="21"/>
                <w:szCs w:val="24"/>
                <w:highlight w:val="none"/>
                <w:lang w:val="en-US" w:eastAsia="zh-CN" w:bidi="ar-SA"/>
              </w:rPr>
              <w:t>所提供的实施方案中无</w:t>
            </w:r>
            <w:r>
              <w:rPr>
                <w:rFonts w:hint="eastAsia" w:ascii="宋体" w:hAnsi="宋体" w:eastAsia="宋体" w:cs="Times New Roman"/>
                <w:bCs/>
                <w:color w:val="auto"/>
                <w:kern w:val="2"/>
                <w:sz w:val="21"/>
                <w:szCs w:val="20"/>
                <w:lang w:val="en-US" w:eastAsia="zh-CN" w:bidi="ar-SA"/>
              </w:rPr>
              <w:t>组织实施方案</w:t>
            </w:r>
            <w:r>
              <w:rPr>
                <w:rFonts w:hint="eastAsia" w:ascii="宋体" w:hAnsi="宋体" w:cs="Times New Roman"/>
                <w:bCs/>
                <w:color w:val="auto"/>
                <w:kern w:val="2"/>
                <w:sz w:val="21"/>
                <w:szCs w:val="20"/>
                <w:lang w:val="en-US" w:eastAsia="zh-CN" w:bidi="ar-SA"/>
              </w:rPr>
              <w:t>内容或</w:t>
            </w:r>
            <w:r>
              <w:rPr>
                <w:rFonts w:hint="default" w:ascii="宋体" w:hAnsi="宋体" w:eastAsia="宋体" w:cs="宋体"/>
                <w:kern w:val="2"/>
                <w:sz w:val="21"/>
                <w:szCs w:val="24"/>
                <w:highlight w:val="none"/>
                <w:lang w:val="en-US" w:eastAsia="zh-CN" w:bidi="ar-SA"/>
              </w:rPr>
              <w:t>所提供的</w:t>
            </w:r>
            <w:r>
              <w:rPr>
                <w:rFonts w:hint="eastAsia" w:ascii="宋体" w:hAnsi="宋体" w:eastAsia="宋体" w:cs="Times New Roman"/>
                <w:bCs/>
                <w:color w:val="auto"/>
                <w:kern w:val="2"/>
                <w:sz w:val="21"/>
                <w:szCs w:val="20"/>
                <w:lang w:val="en-US" w:eastAsia="zh-CN" w:bidi="ar-SA"/>
              </w:rPr>
              <w:t>组织实施方案</w:t>
            </w:r>
            <w:r>
              <w:rPr>
                <w:rFonts w:hint="eastAsia" w:ascii="宋体" w:hAnsi="宋体" w:cs="Times New Roman"/>
                <w:bCs/>
                <w:color w:val="auto"/>
                <w:kern w:val="2"/>
                <w:sz w:val="21"/>
                <w:szCs w:val="20"/>
                <w:lang w:val="en-US" w:eastAsia="zh-CN" w:bidi="ar-SA"/>
              </w:rPr>
              <w:t>内容</w:t>
            </w:r>
            <w:r>
              <w:rPr>
                <w:rFonts w:hint="default" w:ascii="宋体" w:hAnsi="宋体" w:eastAsia="宋体" w:cs="宋体"/>
                <w:kern w:val="2"/>
                <w:sz w:val="21"/>
                <w:szCs w:val="24"/>
                <w:highlight w:val="none"/>
                <w:lang w:val="en-US" w:eastAsia="zh-CN" w:bidi="ar-SA"/>
              </w:rPr>
              <w:t>不满足以下任何一档要求的。</w:t>
            </w:r>
          </w:p>
          <w:p w14:paraId="5B68B562">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二档（</w:t>
            </w:r>
            <w:r>
              <w:rPr>
                <w:rFonts w:hint="eastAsia" w:ascii="宋体" w:hAnsi="宋体" w:cs="宋体"/>
                <w:kern w:val="2"/>
                <w:sz w:val="21"/>
                <w:szCs w:val="24"/>
                <w:highlight w:val="none"/>
                <w:lang w:val="en-US" w:eastAsia="zh-CN" w:bidi="ar-SA"/>
              </w:rPr>
              <w:t>10</w:t>
            </w:r>
            <w:r>
              <w:rPr>
                <w:rFonts w:hint="default" w:ascii="宋体" w:hAnsi="宋体" w:eastAsia="宋体" w:cs="宋体"/>
                <w:kern w:val="2"/>
                <w:sz w:val="21"/>
                <w:szCs w:val="24"/>
                <w:highlight w:val="none"/>
                <w:lang w:val="en-US" w:eastAsia="zh-CN" w:bidi="ar-SA"/>
              </w:rPr>
              <w:t>分）：实施方案有基本的工作进度计划，能提供实施人员名单，有进度目标和实施进度保证措施。</w:t>
            </w:r>
          </w:p>
          <w:p w14:paraId="3370ADD8">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三档（</w:t>
            </w:r>
            <w:r>
              <w:rPr>
                <w:rFonts w:hint="eastAsia" w:ascii="宋体" w:hAnsi="宋体" w:eastAsia="宋体" w:cs="宋体"/>
                <w:kern w:val="2"/>
                <w:sz w:val="21"/>
                <w:szCs w:val="24"/>
                <w:highlight w:val="none"/>
                <w:lang w:val="en-US" w:eastAsia="zh-CN" w:bidi="ar-SA"/>
              </w:rPr>
              <w:t>1</w:t>
            </w:r>
            <w:r>
              <w:rPr>
                <w:rFonts w:hint="eastAsia" w:ascii="宋体" w:hAnsi="宋体" w:cs="宋体"/>
                <w:kern w:val="2"/>
                <w:sz w:val="21"/>
                <w:szCs w:val="24"/>
                <w:highlight w:val="none"/>
                <w:lang w:val="en-US" w:eastAsia="zh-CN" w:bidi="ar-SA"/>
              </w:rPr>
              <w:t>5</w:t>
            </w:r>
            <w:r>
              <w:rPr>
                <w:rFonts w:hint="default" w:ascii="宋体" w:hAnsi="宋体" w:eastAsia="宋体" w:cs="宋体"/>
                <w:kern w:val="2"/>
                <w:sz w:val="21"/>
                <w:szCs w:val="24"/>
                <w:highlight w:val="none"/>
                <w:lang w:val="en-US" w:eastAsia="zh-CN" w:bidi="ar-SA"/>
              </w:rPr>
              <w:t>分）：实施方案有详尽的工作进度计划，能提供满足项目需求的实施人员名单，进度目标表述明确具体，实施进度保证措施详细，提出配套措施基本保证进度的实现。</w:t>
            </w:r>
          </w:p>
          <w:p w14:paraId="7EED1461">
            <w:pPr>
              <w:keepNext w:val="0"/>
              <w:keepLines w:val="0"/>
              <w:pageBreakBefore w:val="0"/>
              <w:kinsoku/>
              <w:wordWrap/>
              <w:overflowPunct/>
              <w:topLinePunct w:val="0"/>
              <w:autoSpaceDE/>
              <w:autoSpaceDN/>
              <w:bidi w:val="0"/>
              <w:snapToGrid/>
              <w:spacing w:line="400" w:lineRule="exact"/>
              <w:rPr>
                <w:rFonts w:hint="eastAsia"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四档（</w:t>
            </w:r>
            <w:r>
              <w:rPr>
                <w:rFonts w:hint="eastAsia" w:ascii="宋体" w:hAnsi="宋体" w:cs="宋体"/>
                <w:kern w:val="2"/>
                <w:sz w:val="21"/>
                <w:szCs w:val="24"/>
                <w:highlight w:val="none"/>
                <w:lang w:val="en-US" w:eastAsia="zh-CN" w:bidi="ar-SA"/>
              </w:rPr>
              <w:t>20</w:t>
            </w:r>
            <w:r>
              <w:rPr>
                <w:rFonts w:hint="default" w:ascii="宋体" w:hAnsi="宋体" w:eastAsia="宋体" w:cs="宋体"/>
                <w:kern w:val="2"/>
                <w:sz w:val="21"/>
                <w:szCs w:val="24"/>
                <w:highlight w:val="none"/>
                <w:lang w:val="en-US" w:eastAsia="zh-CN" w:bidi="ar-SA"/>
              </w:rPr>
              <w:t>分）：</w:t>
            </w:r>
            <w:r>
              <w:rPr>
                <w:rFonts w:hint="eastAsia" w:ascii="宋体" w:hAnsi="宋体" w:eastAsia="宋体" w:cs="宋体"/>
                <w:kern w:val="2"/>
                <w:sz w:val="21"/>
                <w:szCs w:val="24"/>
                <w:highlight w:val="none"/>
                <w:lang w:val="en-US" w:eastAsia="zh-CN" w:bidi="ar-SA"/>
              </w:rPr>
              <w:t>项目实施方案有详尽的工作进度计划，能提供优于项目需求的实施人员名单，进度目标表述明确具体，实施进度保证措施详细可行，有切实有效配套措施完全保证进度的实现，可操作性强</w:t>
            </w:r>
            <w:r>
              <w:rPr>
                <w:rFonts w:hint="default" w:ascii="宋体" w:hAnsi="宋体" w:eastAsia="宋体" w:cs="宋体"/>
                <w:kern w:val="2"/>
                <w:sz w:val="21"/>
                <w:szCs w:val="24"/>
                <w:highlight w:val="none"/>
                <w:lang w:val="en-US" w:eastAsia="zh-CN" w:bidi="ar-SA"/>
              </w:rPr>
              <w:t>。</w:t>
            </w:r>
          </w:p>
        </w:tc>
      </w:tr>
      <w:tr w14:paraId="26EB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52002692">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73A98287">
            <w:pPr>
              <w:keepNext w:val="0"/>
              <w:keepLines w:val="0"/>
              <w:pageBreakBefore w:val="0"/>
              <w:widowControl/>
              <w:kinsoku/>
              <w:wordWrap/>
              <w:overflowPunct/>
              <w:topLinePunct w:val="0"/>
              <w:autoSpaceDE/>
              <w:autoSpaceDN/>
              <w:bidi w:val="0"/>
              <w:snapToGrid/>
              <w:spacing w:line="400" w:lineRule="exact"/>
              <w:jc w:val="left"/>
              <w:rPr>
                <w:rFonts w:hint="eastAsia" w:ascii="宋体" w:hAnsi="宋体" w:eastAsia="宋体" w:cs="宋体"/>
                <w:spacing w:val="-18"/>
                <w:szCs w:val="21"/>
                <w:highlight w:val="none"/>
              </w:rPr>
            </w:pPr>
          </w:p>
        </w:tc>
        <w:tc>
          <w:tcPr>
            <w:tcW w:w="1977" w:type="dxa"/>
            <w:tcBorders>
              <w:left w:val="single" w:color="auto" w:sz="4" w:space="0"/>
              <w:right w:val="single" w:color="auto" w:sz="4" w:space="0"/>
            </w:tcBorders>
            <w:noWrap/>
            <w:vAlign w:val="center"/>
          </w:tcPr>
          <w:p w14:paraId="2ACB5E4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default" w:ascii="宋体" w:hAnsi="宋体" w:cs="宋体"/>
                <w:bCs/>
                <w:highlight w:val="none"/>
                <w:lang w:val="en-US" w:eastAsia="zh-CN"/>
              </w:rPr>
            </w:pPr>
            <w:r>
              <w:rPr>
                <w:rFonts w:hint="eastAsia" w:ascii="宋体" w:hAnsi="宋体" w:cs="宋体"/>
                <w:bCs/>
                <w:highlight w:val="none"/>
                <w:lang w:val="en-US" w:eastAsia="zh-CN"/>
              </w:rPr>
              <w:t>1.4故障应急处理方案（满分12分）</w:t>
            </w:r>
          </w:p>
        </w:tc>
        <w:tc>
          <w:tcPr>
            <w:tcW w:w="6043" w:type="dxa"/>
            <w:tcBorders>
              <w:top w:val="single" w:color="auto" w:sz="4" w:space="0"/>
              <w:left w:val="single" w:color="auto" w:sz="4" w:space="0"/>
              <w:right w:val="single" w:color="auto" w:sz="4" w:space="0"/>
            </w:tcBorders>
            <w:shd w:val="clear" w:color="auto" w:fill="auto"/>
            <w:noWrap/>
            <w:vAlign w:val="center"/>
          </w:tcPr>
          <w:p w14:paraId="4D392BED">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评标委员会</w:t>
            </w:r>
            <w:r>
              <w:rPr>
                <w:rFonts w:hint="default" w:ascii="宋体" w:hAnsi="宋体" w:eastAsia="宋体" w:cs="宋体"/>
                <w:kern w:val="2"/>
                <w:sz w:val="21"/>
                <w:szCs w:val="24"/>
                <w:highlight w:val="none"/>
                <w:lang w:val="en-US" w:eastAsia="zh-CN" w:bidi="ar-SA"/>
              </w:rPr>
              <w:t>根据</w:t>
            </w:r>
            <w:r>
              <w:rPr>
                <w:rFonts w:hint="eastAsia" w:ascii="宋体" w:hAnsi="宋体" w:eastAsia="宋体" w:cs="宋体"/>
                <w:kern w:val="2"/>
                <w:sz w:val="21"/>
                <w:szCs w:val="24"/>
                <w:highlight w:val="none"/>
                <w:lang w:val="en-US" w:eastAsia="zh-CN" w:bidi="ar-SA"/>
              </w:rPr>
              <w:t>投标人所</w:t>
            </w:r>
            <w:r>
              <w:rPr>
                <w:rFonts w:hint="default" w:ascii="宋体" w:hAnsi="宋体" w:eastAsia="宋体" w:cs="宋体"/>
                <w:kern w:val="2"/>
                <w:sz w:val="21"/>
                <w:szCs w:val="24"/>
                <w:highlight w:val="none"/>
                <w:lang w:val="en-US" w:eastAsia="zh-CN" w:bidi="ar-SA"/>
              </w:rPr>
              <w:t>提供的项目实施方案</w:t>
            </w:r>
            <w:r>
              <w:rPr>
                <w:rFonts w:hint="eastAsia" w:ascii="宋体" w:hAnsi="宋体" w:cs="宋体"/>
                <w:kern w:val="2"/>
                <w:sz w:val="21"/>
                <w:szCs w:val="24"/>
                <w:highlight w:val="none"/>
                <w:lang w:val="en-US" w:eastAsia="zh-CN" w:bidi="ar-SA"/>
              </w:rPr>
              <w:t>中</w:t>
            </w:r>
            <w:r>
              <w:rPr>
                <w:rFonts w:hint="eastAsia" w:ascii="宋体" w:hAnsi="宋体" w:cs="宋体"/>
                <w:bCs/>
                <w:highlight w:val="none"/>
                <w:lang w:val="en-US" w:eastAsia="zh-CN"/>
              </w:rPr>
              <w:t>故障应急处理方案</w:t>
            </w:r>
            <w:r>
              <w:rPr>
                <w:rFonts w:hint="default" w:ascii="宋体" w:hAnsi="宋体" w:eastAsia="宋体" w:cs="宋体"/>
                <w:kern w:val="2"/>
                <w:sz w:val="21"/>
                <w:szCs w:val="24"/>
                <w:highlight w:val="none"/>
                <w:lang w:val="en-US" w:eastAsia="zh-CN" w:bidi="ar-SA"/>
              </w:rPr>
              <w:t>情况进行独立</w:t>
            </w:r>
            <w:r>
              <w:rPr>
                <w:rFonts w:hint="eastAsia" w:ascii="宋体" w:hAnsi="宋体" w:eastAsia="宋体" w:cs="宋体"/>
                <w:kern w:val="2"/>
                <w:sz w:val="21"/>
                <w:szCs w:val="24"/>
                <w:highlight w:val="none"/>
                <w:lang w:val="en-US" w:eastAsia="zh-CN" w:bidi="ar-SA"/>
              </w:rPr>
              <w:t>评审：</w:t>
            </w:r>
          </w:p>
          <w:p w14:paraId="4C2DA453">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一档（0分）：未提供</w:t>
            </w:r>
            <w:r>
              <w:rPr>
                <w:rFonts w:hint="eastAsia" w:ascii="宋体" w:hAnsi="宋体" w:cs="宋体"/>
                <w:kern w:val="2"/>
                <w:sz w:val="21"/>
                <w:szCs w:val="24"/>
                <w:highlight w:val="none"/>
                <w:lang w:val="en-US" w:eastAsia="zh-CN" w:bidi="ar-SA"/>
              </w:rPr>
              <w:t>项目</w:t>
            </w:r>
            <w:r>
              <w:rPr>
                <w:rFonts w:hint="default" w:ascii="宋体" w:hAnsi="宋体" w:eastAsia="宋体" w:cs="宋体"/>
                <w:kern w:val="2"/>
                <w:sz w:val="21"/>
                <w:szCs w:val="24"/>
                <w:highlight w:val="none"/>
                <w:lang w:val="en-US" w:eastAsia="zh-CN" w:bidi="ar-SA"/>
              </w:rPr>
              <w:t>实施方案或</w:t>
            </w:r>
            <w:r>
              <w:rPr>
                <w:rFonts w:hint="eastAsia" w:ascii="宋体" w:hAnsi="宋体" w:cs="宋体"/>
                <w:kern w:val="2"/>
                <w:sz w:val="21"/>
                <w:szCs w:val="24"/>
                <w:highlight w:val="none"/>
                <w:lang w:val="en-US" w:eastAsia="zh-CN" w:bidi="ar-SA"/>
              </w:rPr>
              <w:t>所提供的实施方案中无</w:t>
            </w:r>
            <w:r>
              <w:rPr>
                <w:rFonts w:hint="eastAsia" w:ascii="宋体" w:hAnsi="宋体" w:cs="宋体"/>
                <w:bCs/>
                <w:highlight w:val="none"/>
                <w:lang w:val="en-US" w:eastAsia="zh-CN"/>
              </w:rPr>
              <w:t>故障应急处理方案</w:t>
            </w:r>
            <w:r>
              <w:rPr>
                <w:rFonts w:hint="eastAsia" w:ascii="宋体" w:hAnsi="宋体" w:cs="Times New Roman"/>
                <w:bCs/>
                <w:color w:val="auto"/>
                <w:kern w:val="2"/>
                <w:sz w:val="21"/>
                <w:szCs w:val="20"/>
                <w:lang w:val="en-US" w:eastAsia="zh-CN" w:bidi="ar-SA"/>
              </w:rPr>
              <w:t>内容或</w:t>
            </w:r>
            <w:r>
              <w:rPr>
                <w:rFonts w:hint="default" w:ascii="宋体" w:hAnsi="宋体" w:eastAsia="宋体" w:cs="宋体"/>
                <w:kern w:val="2"/>
                <w:sz w:val="21"/>
                <w:szCs w:val="24"/>
                <w:highlight w:val="none"/>
                <w:lang w:val="en-US" w:eastAsia="zh-CN" w:bidi="ar-SA"/>
              </w:rPr>
              <w:t>所提供的</w:t>
            </w:r>
            <w:r>
              <w:rPr>
                <w:rFonts w:hint="eastAsia" w:ascii="宋体" w:hAnsi="宋体" w:cs="宋体"/>
                <w:bCs/>
                <w:highlight w:val="none"/>
                <w:lang w:val="en-US" w:eastAsia="zh-CN"/>
              </w:rPr>
              <w:t>故障应急处理方案</w:t>
            </w:r>
            <w:r>
              <w:rPr>
                <w:rFonts w:hint="eastAsia" w:ascii="宋体" w:hAnsi="宋体" w:cs="Times New Roman"/>
                <w:bCs/>
                <w:color w:val="auto"/>
                <w:kern w:val="2"/>
                <w:sz w:val="21"/>
                <w:szCs w:val="20"/>
                <w:lang w:val="en-US" w:eastAsia="zh-CN" w:bidi="ar-SA"/>
              </w:rPr>
              <w:t>内容</w:t>
            </w:r>
            <w:r>
              <w:rPr>
                <w:rFonts w:hint="default" w:ascii="宋体" w:hAnsi="宋体" w:eastAsia="宋体" w:cs="宋体"/>
                <w:kern w:val="2"/>
                <w:sz w:val="21"/>
                <w:szCs w:val="24"/>
                <w:highlight w:val="none"/>
                <w:lang w:val="en-US" w:eastAsia="zh-CN" w:bidi="ar-SA"/>
              </w:rPr>
              <w:t>不满足以下任何一档要求的。</w:t>
            </w:r>
          </w:p>
          <w:p w14:paraId="61E3671D">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二档（</w:t>
            </w:r>
            <w:r>
              <w:rPr>
                <w:rFonts w:hint="eastAsia" w:ascii="宋体" w:hAnsi="宋体" w:cs="宋体"/>
                <w:kern w:val="2"/>
                <w:sz w:val="21"/>
                <w:szCs w:val="24"/>
                <w:highlight w:val="none"/>
                <w:lang w:val="en-US" w:eastAsia="zh-CN" w:bidi="ar-SA"/>
              </w:rPr>
              <w:t>4</w:t>
            </w:r>
            <w:r>
              <w:rPr>
                <w:rFonts w:hint="default" w:ascii="宋体" w:hAnsi="宋体" w:eastAsia="宋体" w:cs="宋体"/>
                <w:kern w:val="2"/>
                <w:sz w:val="21"/>
                <w:szCs w:val="24"/>
                <w:highlight w:val="none"/>
                <w:lang w:val="en-US" w:eastAsia="zh-CN" w:bidi="ar-SA"/>
              </w:rPr>
              <w:t>分）：</w:t>
            </w:r>
            <w:r>
              <w:rPr>
                <w:rFonts w:hint="eastAsia" w:ascii="宋体" w:hAnsi="宋体" w:eastAsia="宋体" w:cs="宋体"/>
                <w:color w:val="auto"/>
              </w:rPr>
              <w:t>系统故障及时排除的对策简单，对运行服务保障应急预案及实施过程可能遇到的问题及其应对措施的阐述不明确或相对简单，服务响应速度基本满足要求</w:t>
            </w:r>
            <w:r>
              <w:rPr>
                <w:rFonts w:hint="default" w:ascii="宋体" w:hAnsi="宋体" w:eastAsia="宋体" w:cs="宋体"/>
                <w:kern w:val="2"/>
                <w:sz w:val="21"/>
                <w:szCs w:val="24"/>
                <w:highlight w:val="none"/>
                <w:lang w:val="en-US" w:eastAsia="zh-CN" w:bidi="ar-SA"/>
              </w:rPr>
              <w:t>。</w:t>
            </w:r>
          </w:p>
          <w:p w14:paraId="1D93FA6B">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三档（</w:t>
            </w:r>
            <w:r>
              <w:rPr>
                <w:rFonts w:hint="eastAsia" w:ascii="宋体" w:hAnsi="宋体" w:cs="宋体"/>
                <w:kern w:val="2"/>
                <w:sz w:val="21"/>
                <w:szCs w:val="24"/>
                <w:highlight w:val="none"/>
                <w:lang w:val="en-US" w:eastAsia="zh-CN" w:bidi="ar-SA"/>
              </w:rPr>
              <w:t>8</w:t>
            </w:r>
            <w:r>
              <w:rPr>
                <w:rFonts w:hint="default" w:ascii="宋体" w:hAnsi="宋体" w:eastAsia="宋体" w:cs="宋体"/>
                <w:kern w:val="2"/>
                <w:sz w:val="21"/>
                <w:szCs w:val="24"/>
                <w:highlight w:val="none"/>
                <w:lang w:val="en-US" w:eastAsia="zh-CN" w:bidi="ar-SA"/>
              </w:rPr>
              <w:t>分）：</w:t>
            </w:r>
            <w:r>
              <w:rPr>
                <w:rFonts w:hint="eastAsia" w:ascii="宋体" w:hAnsi="宋体" w:eastAsia="宋体" w:cs="宋体"/>
                <w:color w:val="auto"/>
              </w:rPr>
              <w:t>系统故障及时排除的对策较详细，能提供有运行服务保障应急预案，并且实施过程可能遇到的问题及其应对措施较合理，服务响应速度完全满足要求</w:t>
            </w:r>
            <w:r>
              <w:rPr>
                <w:rFonts w:hint="default" w:ascii="宋体" w:hAnsi="宋体" w:eastAsia="宋体" w:cs="宋体"/>
                <w:kern w:val="2"/>
                <w:sz w:val="21"/>
                <w:szCs w:val="24"/>
                <w:highlight w:val="none"/>
                <w:lang w:val="en-US" w:eastAsia="zh-CN" w:bidi="ar-SA"/>
              </w:rPr>
              <w:t>。</w:t>
            </w:r>
          </w:p>
          <w:p w14:paraId="4860A436">
            <w:pPr>
              <w:keepNext w:val="0"/>
              <w:keepLines w:val="0"/>
              <w:pageBreakBefore w:val="0"/>
              <w:kinsoku/>
              <w:wordWrap/>
              <w:overflowPunct/>
              <w:topLinePunct w:val="0"/>
              <w:autoSpaceDE/>
              <w:autoSpaceDN/>
              <w:bidi w:val="0"/>
              <w:snapToGrid/>
              <w:spacing w:line="400" w:lineRule="exact"/>
              <w:rPr>
                <w:rFonts w:hint="default" w:ascii="宋体" w:hAnsi="宋体" w:eastAsia="宋体" w:cs="宋体"/>
                <w:kern w:val="2"/>
                <w:sz w:val="21"/>
                <w:szCs w:val="24"/>
                <w:highlight w:val="none"/>
                <w:lang w:val="en-US" w:eastAsia="zh-CN" w:bidi="ar-SA"/>
              </w:rPr>
            </w:pPr>
            <w:r>
              <w:rPr>
                <w:rFonts w:hint="default" w:ascii="宋体" w:hAnsi="宋体" w:eastAsia="宋体" w:cs="宋体"/>
                <w:kern w:val="2"/>
                <w:sz w:val="21"/>
                <w:szCs w:val="24"/>
                <w:highlight w:val="none"/>
                <w:lang w:val="en-US" w:eastAsia="zh-CN" w:bidi="ar-SA"/>
              </w:rPr>
              <w:t>四档（</w:t>
            </w:r>
            <w:r>
              <w:rPr>
                <w:rFonts w:hint="eastAsia" w:ascii="宋体" w:hAnsi="宋体" w:cs="宋体"/>
                <w:kern w:val="2"/>
                <w:sz w:val="21"/>
                <w:szCs w:val="24"/>
                <w:highlight w:val="none"/>
                <w:lang w:val="en-US" w:eastAsia="zh-CN" w:bidi="ar-SA"/>
              </w:rPr>
              <w:t>12</w:t>
            </w:r>
            <w:r>
              <w:rPr>
                <w:rFonts w:hint="default" w:ascii="宋体" w:hAnsi="宋体" w:eastAsia="宋体" w:cs="宋体"/>
                <w:kern w:val="2"/>
                <w:sz w:val="21"/>
                <w:szCs w:val="24"/>
                <w:highlight w:val="none"/>
                <w:lang w:val="en-US" w:eastAsia="zh-CN" w:bidi="ar-SA"/>
              </w:rPr>
              <w:t>分）：</w:t>
            </w:r>
            <w:r>
              <w:rPr>
                <w:rFonts w:hint="eastAsia" w:ascii="宋体" w:hAnsi="宋体" w:eastAsia="宋体" w:cs="宋体"/>
                <w:color w:val="auto"/>
              </w:rPr>
              <w:t>系统故障及时排除的对策具体可行，能提供有针对性的运行服务保障应急预案，并且实施过程可能遇到的问题及其应对措施合理，服务响应速度优于招标文件要求。避免故障问题再次发生有合理化建议和措施</w:t>
            </w:r>
            <w:r>
              <w:rPr>
                <w:rFonts w:hint="default" w:ascii="宋体" w:hAnsi="宋体" w:eastAsia="宋体" w:cs="宋体"/>
                <w:kern w:val="2"/>
                <w:sz w:val="21"/>
                <w:szCs w:val="24"/>
                <w:highlight w:val="none"/>
                <w:lang w:val="en-US" w:eastAsia="zh-CN" w:bidi="ar-SA"/>
              </w:rPr>
              <w:t>。</w:t>
            </w:r>
          </w:p>
        </w:tc>
      </w:tr>
      <w:tr w14:paraId="3380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restart"/>
            <w:tcBorders>
              <w:top w:val="single" w:color="auto" w:sz="4" w:space="0"/>
              <w:left w:val="single" w:color="auto" w:sz="4" w:space="0"/>
              <w:right w:val="single" w:color="auto" w:sz="4" w:space="0"/>
            </w:tcBorders>
            <w:noWrap/>
            <w:vAlign w:val="center"/>
          </w:tcPr>
          <w:p w14:paraId="0C1C7374">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lang w:eastAsia="zh-CN"/>
              </w:rPr>
            </w:pPr>
            <w:r>
              <w:rPr>
                <w:rFonts w:hint="eastAsia" w:ascii="宋体" w:hAnsi="宋体" w:cs="宋体"/>
                <w:b/>
                <w:szCs w:val="21"/>
                <w:highlight w:val="none"/>
                <w:lang w:val="en-US" w:eastAsia="zh-CN"/>
              </w:rPr>
              <w:t>2</w:t>
            </w:r>
          </w:p>
        </w:tc>
        <w:tc>
          <w:tcPr>
            <w:tcW w:w="905" w:type="dxa"/>
            <w:vMerge w:val="restart"/>
            <w:tcBorders>
              <w:top w:val="single" w:color="auto" w:sz="4" w:space="0"/>
              <w:left w:val="single" w:color="auto" w:sz="4" w:space="0"/>
              <w:right w:val="single" w:color="auto" w:sz="4" w:space="0"/>
            </w:tcBorders>
            <w:noWrap/>
            <w:vAlign w:val="center"/>
          </w:tcPr>
          <w:p w14:paraId="77E5F54D">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kern w:val="0"/>
                <w:szCs w:val="21"/>
                <w:highlight w:val="none"/>
              </w:rPr>
            </w:pPr>
            <w:r>
              <w:rPr>
                <w:rFonts w:hint="eastAsia" w:ascii="宋体" w:hAnsi="宋体" w:eastAsia="宋体" w:cs="宋体"/>
                <w:b/>
                <w:bCs/>
                <w:highlight w:val="none"/>
              </w:rPr>
              <w:t>商务分（满分</w:t>
            </w:r>
            <w:r>
              <w:rPr>
                <w:rFonts w:hint="eastAsia" w:ascii="宋体" w:hAnsi="宋体" w:cs="宋体"/>
                <w:b/>
                <w:bCs/>
                <w:highlight w:val="none"/>
                <w:lang w:val="en-US" w:eastAsia="zh-CN"/>
              </w:rPr>
              <w:t>30</w:t>
            </w:r>
            <w:r>
              <w:rPr>
                <w:rFonts w:hint="eastAsia" w:ascii="宋体" w:hAnsi="宋体" w:eastAsia="宋体" w:cs="宋体"/>
                <w:b/>
                <w:bCs/>
                <w:highlight w:val="none"/>
              </w:rPr>
              <w:t>分）</w:t>
            </w:r>
          </w:p>
        </w:tc>
        <w:tc>
          <w:tcPr>
            <w:tcW w:w="1977" w:type="dxa"/>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493830A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highlight w:val="none"/>
                <w:lang w:eastAsia="zh-CN"/>
              </w:rPr>
            </w:pPr>
            <w:r>
              <w:rPr>
                <w:rFonts w:hint="eastAsia" w:ascii="宋体" w:hAnsi="宋体" w:cs="宋体"/>
                <w:highlight w:val="none"/>
                <w:lang w:val="en-US" w:eastAsia="zh-CN"/>
              </w:rPr>
              <w:t>2.1</w:t>
            </w:r>
            <w:r>
              <w:rPr>
                <w:rFonts w:hint="eastAsia" w:ascii="宋体" w:hAnsi="宋体" w:eastAsia="宋体" w:cs="宋体"/>
                <w:highlight w:val="none"/>
              </w:rPr>
              <w:t>售后服务方案</w:t>
            </w:r>
            <w:r>
              <w:rPr>
                <w:rFonts w:hint="eastAsia" w:ascii="宋体" w:hAnsi="宋体" w:cs="宋体"/>
                <w:highlight w:val="none"/>
                <w:lang w:eastAsia="zh-CN"/>
              </w:rPr>
              <w:t>（满分</w:t>
            </w:r>
            <w:r>
              <w:rPr>
                <w:rFonts w:hint="eastAsia" w:ascii="宋体" w:hAnsi="宋体" w:cs="宋体"/>
                <w:highlight w:val="none"/>
                <w:lang w:val="en-US" w:eastAsia="zh-CN"/>
              </w:rPr>
              <w:t>20分</w:t>
            </w:r>
            <w:r>
              <w:rPr>
                <w:rFonts w:hint="eastAsia" w:ascii="宋体" w:hAnsi="宋体" w:cs="宋体"/>
                <w:highlight w:val="none"/>
                <w:lang w:eastAsia="zh-CN"/>
              </w:rPr>
              <w:t>）</w:t>
            </w:r>
          </w:p>
        </w:tc>
        <w:tc>
          <w:tcPr>
            <w:tcW w:w="6043" w:type="dxa"/>
            <w:tcBorders>
              <w:top w:val="single" w:color="auto" w:sz="4" w:space="0"/>
              <w:left w:val="single" w:color="auto" w:sz="4" w:space="0"/>
              <w:right w:val="single" w:color="auto" w:sz="4" w:space="0"/>
            </w:tcBorders>
            <w:noWrap w:val="0"/>
            <w:vAlign w:val="center"/>
          </w:tcPr>
          <w:p w14:paraId="350D4949">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eastAsia="zh-CN"/>
              </w:rPr>
            </w:pPr>
            <w:r>
              <w:rPr>
                <w:rFonts w:hint="eastAsia" w:ascii="宋体" w:hAnsi="宋体" w:cs="宋体"/>
                <w:highlight w:val="none"/>
                <w:lang w:eastAsia="zh-CN"/>
              </w:rPr>
              <w:t>评标委员会</w:t>
            </w:r>
            <w:r>
              <w:rPr>
                <w:rFonts w:hint="eastAsia" w:ascii="宋体" w:hAnsi="宋体" w:eastAsia="宋体" w:cs="宋体"/>
                <w:highlight w:val="none"/>
              </w:rPr>
              <w:t>根据各</w:t>
            </w:r>
            <w:r>
              <w:rPr>
                <w:rFonts w:hint="eastAsia" w:ascii="宋体" w:hAnsi="宋体" w:cs="宋体"/>
                <w:highlight w:val="none"/>
                <w:lang w:eastAsia="zh-CN"/>
              </w:rPr>
              <w:t>投标人所</w:t>
            </w:r>
            <w:r>
              <w:rPr>
                <w:rFonts w:hint="eastAsia" w:ascii="宋体" w:hAnsi="宋体" w:eastAsia="宋体" w:cs="宋体"/>
                <w:highlight w:val="none"/>
              </w:rPr>
              <w:t>提供的售后服务方案内容进行独立</w:t>
            </w:r>
            <w:r>
              <w:rPr>
                <w:rFonts w:hint="eastAsia" w:ascii="宋体" w:hAnsi="宋体" w:eastAsia="宋体" w:cs="宋体"/>
                <w:kern w:val="2"/>
                <w:sz w:val="21"/>
                <w:szCs w:val="24"/>
                <w:highlight w:val="none"/>
                <w:lang w:val="en-US" w:eastAsia="zh-CN" w:bidi="ar-SA"/>
              </w:rPr>
              <w:t>评审</w:t>
            </w:r>
            <w:r>
              <w:rPr>
                <w:rFonts w:hint="eastAsia" w:ascii="宋体" w:hAnsi="宋体" w:cs="宋体"/>
                <w:highlight w:val="none"/>
                <w:lang w:eastAsia="zh-CN"/>
              </w:rPr>
              <w:t>：</w:t>
            </w:r>
          </w:p>
          <w:p w14:paraId="2941D226">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一档（0分）：未提供相应方案或所提供的方案不满足以下任何一档要求的；</w:t>
            </w:r>
          </w:p>
          <w:p w14:paraId="407905B6">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二档（</w:t>
            </w:r>
            <w:r>
              <w:rPr>
                <w:rFonts w:hint="eastAsia" w:ascii="宋体" w:hAnsi="宋体" w:cs="宋体"/>
                <w:highlight w:val="none"/>
                <w:lang w:val="en-US" w:eastAsia="zh-CN"/>
              </w:rPr>
              <w:t>10</w:t>
            </w:r>
            <w:r>
              <w:rPr>
                <w:rFonts w:hint="eastAsia" w:ascii="宋体" w:hAnsi="宋体" w:eastAsia="宋体" w:cs="宋体"/>
                <w:highlight w:val="none"/>
              </w:rPr>
              <w:t>分）：</w:t>
            </w:r>
            <w:r>
              <w:rPr>
                <w:rFonts w:hint="eastAsia" w:ascii="宋体" w:hAnsi="宋体" w:eastAsia="宋体" w:cs="宋体"/>
                <w:color w:val="auto"/>
                <w:lang w:val="en-US" w:eastAsia="zh-CN"/>
              </w:rPr>
              <w:t>:有简单的售后服务方案，服务响应时间满足</w:t>
            </w:r>
            <w:r>
              <w:rPr>
                <w:rFonts w:hint="eastAsia" w:ascii="宋体" w:hAnsi="宋体" w:cs="宋体"/>
                <w:color w:val="auto"/>
                <w:lang w:val="en-US" w:eastAsia="zh-CN"/>
              </w:rPr>
              <w:t>招标</w:t>
            </w:r>
            <w:r>
              <w:rPr>
                <w:rFonts w:hint="eastAsia" w:ascii="宋体" w:hAnsi="宋体" w:eastAsia="宋体" w:cs="宋体"/>
                <w:color w:val="auto"/>
                <w:lang w:val="en-US" w:eastAsia="zh-CN"/>
              </w:rPr>
              <w:t>文件要求</w:t>
            </w:r>
            <w:r>
              <w:rPr>
                <w:rFonts w:hint="eastAsia" w:ascii="宋体" w:hAnsi="宋体" w:cs="宋体"/>
                <w:color w:val="auto"/>
                <w:lang w:val="en-US" w:eastAsia="zh-CN"/>
              </w:rPr>
              <w:t>，</w:t>
            </w:r>
            <w:r>
              <w:rPr>
                <w:rFonts w:hint="eastAsia" w:ascii="宋体" w:hAnsi="宋体" w:eastAsia="宋体" w:cs="宋体"/>
                <w:color w:val="auto"/>
              </w:rPr>
              <w:t>且</w:t>
            </w:r>
            <w:r>
              <w:rPr>
                <w:rFonts w:hint="eastAsia" w:ascii="宋体" w:hAnsi="宋体" w:eastAsia="宋体" w:cs="宋体"/>
                <w:color w:val="auto"/>
                <w:kern w:val="0"/>
                <w:sz w:val="21"/>
                <w:szCs w:val="21"/>
                <w:highlight w:val="none"/>
                <w:lang w:val="en-US" w:eastAsia="zh-CN" w:bidi="ar-SA"/>
              </w:rPr>
              <w:t>1小时＜</w:t>
            </w:r>
            <w:r>
              <w:rPr>
                <w:rFonts w:hint="eastAsia" w:ascii="宋体" w:hAnsi="宋体" w:eastAsia="宋体" w:cs="宋体"/>
                <w:color w:val="auto"/>
              </w:rPr>
              <w:t>投标人或</w:t>
            </w:r>
            <w:r>
              <w:rPr>
                <w:rFonts w:hint="eastAsia" w:ascii="宋体" w:hAnsi="宋体" w:cs="宋体"/>
                <w:kern w:val="2"/>
                <w:sz w:val="21"/>
                <w:szCs w:val="24"/>
                <w:highlight w:val="none"/>
                <w:lang w:val="en-US" w:eastAsia="zh-CN" w:bidi="ar-SA"/>
              </w:rPr>
              <w:t>完成本项目所使用产品开发厂家的技术服务站点到达采购单位时间</w:t>
            </w:r>
            <w:r>
              <w:rPr>
                <w:rFonts w:hint="eastAsia" w:ascii="宋体" w:hAnsi="宋体" w:eastAsia="宋体" w:cs="宋体"/>
                <w:color w:val="auto"/>
                <w:kern w:val="0"/>
                <w:sz w:val="21"/>
                <w:szCs w:val="21"/>
                <w:highlight w:val="none"/>
                <w:lang w:val="en-US" w:eastAsia="zh-CN" w:bidi="ar-SA"/>
              </w:rPr>
              <w:t>≤1.5个小时[投标时在投标文件中提供拟投入的相关技术服务站点营业执照或合作协议证明材料以及至采购单位所在位置在高德、百度等导航软件中的线路导航截图（交通工具方式不限）]</w:t>
            </w:r>
            <w:r>
              <w:rPr>
                <w:rFonts w:hint="eastAsia" w:ascii="宋体" w:hAnsi="宋体" w:cs="宋体"/>
                <w:highlight w:val="none"/>
                <w:lang w:eastAsia="zh-CN"/>
              </w:rPr>
              <w:t>的</w:t>
            </w:r>
            <w:r>
              <w:rPr>
                <w:rFonts w:hint="eastAsia" w:ascii="宋体" w:hAnsi="宋体" w:eastAsia="宋体" w:cs="宋体"/>
                <w:highlight w:val="none"/>
              </w:rPr>
              <w:t>。</w:t>
            </w:r>
          </w:p>
          <w:p w14:paraId="727E2F20">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三档（1</w:t>
            </w:r>
            <w:r>
              <w:rPr>
                <w:rFonts w:hint="eastAsia" w:ascii="宋体" w:hAnsi="宋体" w:cs="宋体"/>
                <w:highlight w:val="none"/>
                <w:lang w:val="en-US" w:eastAsia="zh-CN"/>
              </w:rPr>
              <w:t>5</w:t>
            </w:r>
            <w:r>
              <w:rPr>
                <w:rFonts w:hint="eastAsia" w:ascii="宋体" w:hAnsi="宋体" w:eastAsia="宋体" w:cs="宋体"/>
                <w:highlight w:val="none"/>
              </w:rPr>
              <w:t>分）：</w:t>
            </w:r>
            <w:r>
              <w:rPr>
                <w:rFonts w:hint="eastAsia" w:ascii="宋体" w:hAnsi="宋体" w:eastAsia="宋体" w:cs="宋体"/>
                <w:color w:val="auto"/>
                <w:lang w:val="en-US" w:eastAsia="zh-CN"/>
              </w:rPr>
              <w:t>售后服务方案较详细，保障响应措施较有力，并提供合理的售后服务保障方案、故障出现解决方案；响应时间快，提供其他增值售后服务措施</w:t>
            </w:r>
            <w:r>
              <w:rPr>
                <w:rFonts w:hint="eastAsia" w:ascii="宋体" w:hAnsi="宋体" w:cs="宋体"/>
                <w:color w:val="auto"/>
                <w:lang w:val="en-US" w:eastAsia="zh-CN"/>
              </w:rPr>
              <w:t>，</w:t>
            </w:r>
            <w:r>
              <w:rPr>
                <w:rFonts w:hint="eastAsia" w:ascii="宋体" w:hAnsi="宋体" w:eastAsia="宋体" w:cs="宋体"/>
                <w:color w:val="auto"/>
              </w:rPr>
              <w:t>且</w:t>
            </w:r>
            <w:r>
              <w:rPr>
                <w:rFonts w:hint="eastAsia" w:ascii="宋体" w:hAnsi="宋体" w:eastAsia="宋体" w:cs="宋体"/>
                <w:color w:val="auto"/>
                <w:kern w:val="0"/>
                <w:sz w:val="21"/>
                <w:szCs w:val="21"/>
                <w:highlight w:val="none"/>
                <w:lang w:val="en-US" w:eastAsia="zh-CN" w:bidi="ar-SA"/>
              </w:rPr>
              <w:t>0.5小时＜</w:t>
            </w:r>
            <w:r>
              <w:rPr>
                <w:rFonts w:hint="eastAsia" w:ascii="宋体" w:hAnsi="宋体" w:eastAsia="宋体" w:cs="宋体"/>
                <w:color w:val="auto"/>
              </w:rPr>
              <w:t>投标人或</w:t>
            </w:r>
            <w:r>
              <w:rPr>
                <w:rFonts w:hint="eastAsia" w:ascii="宋体" w:hAnsi="宋体" w:cs="宋体"/>
                <w:kern w:val="2"/>
                <w:sz w:val="21"/>
                <w:szCs w:val="24"/>
                <w:highlight w:val="none"/>
                <w:lang w:val="en-US" w:eastAsia="zh-CN" w:bidi="ar-SA"/>
              </w:rPr>
              <w:t>完成本项目所使用产品开发厂家的技术服务站点到达采购单位时间</w:t>
            </w:r>
            <w:r>
              <w:rPr>
                <w:rFonts w:hint="eastAsia" w:ascii="宋体" w:hAnsi="宋体" w:eastAsia="宋体" w:cs="宋体"/>
                <w:color w:val="auto"/>
                <w:kern w:val="0"/>
                <w:sz w:val="21"/>
                <w:szCs w:val="21"/>
                <w:highlight w:val="none"/>
                <w:lang w:val="en-US" w:eastAsia="zh-CN" w:bidi="ar-SA"/>
              </w:rPr>
              <w:t>≤1个小时[[投标时在投标文件中提供拟投入的相关技术服务站点营业执照或合作协议证明材料以及至采购单位所在位置在高德、百度等导航软件中的线路导航截图（交通工具方式不限）]</w:t>
            </w:r>
            <w:r>
              <w:rPr>
                <w:rFonts w:hint="eastAsia" w:ascii="宋体" w:hAnsi="宋体" w:cs="宋体"/>
                <w:highlight w:val="none"/>
                <w:lang w:eastAsia="zh-CN"/>
              </w:rPr>
              <w:t>的</w:t>
            </w:r>
            <w:r>
              <w:rPr>
                <w:rFonts w:hint="eastAsia" w:ascii="宋体" w:hAnsi="宋体" w:eastAsia="宋体" w:cs="宋体"/>
                <w:highlight w:val="none"/>
              </w:rPr>
              <w:t>。</w:t>
            </w:r>
          </w:p>
          <w:p w14:paraId="430B5D6B">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rPr>
            </w:pPr>
            <w:r>
              <w:rPr>
                <w:rFonts w:hint="eastAsia" w:ascii="宋体" w:hAnsi="宋体" w:eastAsia="宋体" w:cs="宋体"/>
                <w:highlight w:val="none"/>
              </w:rPr>
              <w:t>四档（2</w:t>
            </w:r>
            <w:r>
              <w:rPr>
                <w:rFonts w:hint="eastAsia" w:ascii="宋体" w:hAnsi="宋体" w:cs="宋体"/>
                <w:highlight w:val="none"/>
                <w:lang w:val="en-US" w:eastAsia="zh-CN"/>
              </w:rPr>
              <w:t>0</w:t>
            </w:r>
            <w:r>
              <w:rPr>
                <w:rFonts w:hint="eastAsia" w:ascii="宋体" w:hAnsi="宋体" w:eastAsia="宋体" w:cs="宋体"/>
                <w:highlight w:val="none"/>
              </w:rPr>
              <w:t>分）：</w:t>
            </w:r>
            <w:r>
              <w:rPr>
                <w:rFonts w:hint="eastAsia" w:ascii="宋体" w:hAnsi="宋体" w:eastAsia="宋体" w:cs="宋体"/>
                <w:color w:val="auto"/>
                <w:lang w:val="en-US" w:eastAsia="zh-CN"/>
              </w:rPr>
              <w:t>售后服务方案完善详细，保障响应措施有力，接到故障通知后响应快捷、迅速，售后服务保障方案、</w:t>
            </w:r>
            <w:r>
              <w:rPr>
                <w:rFonts w:hint="eastAsia" w:ascii="宋体" w:hAnsi="宋体" w:eastAsia="宋体" w:cs="宋体"/>
                <w:color w:val="auto"/>
              </w:rPr>
              <w:t>免费保修期内服务方案</w:t>
            </w:r>
            <w:r>
              <w:rPr>
                <w:rFonts w:hint="eastAsia" w:ascii="宋体" w:hAnsi="宋体" w:eastAsia="宋体" w:cs="宋体"/>
                <w:color w:val="auto"/>
                <w:lang w:val="en-US" w:eastAsia="zh-CN"/>
              </w:rPr>
              <w:t>、故障出现解决方案详细合理、有效、切实可行，并承诺定期回访的，能充分为采购人考虑，</w:t>
            </w:r>
            <w:r>
              <w:rPr>
                <w:rFonts w:hint="eastAsia" w:ascii="宋体" w:hAnsi="宋体" w:eastAsia="宋体" w:cs="宋体"/>
                <w:color w:val="auto"/>
              </w:rPr>
              <w:t>且投标人或</w:t>
            </w:r>
            <w:r>
              <w:rPr>
                <w:rFonts w:hint="eastAsia" w:ascii="宋体" w:hAnsi="宋体" w:cs="宋体"/>
                <w:kern w:val="2"/>
                <w:sz w:val="21"/>
                <w:szCs w:val="24"/>
                <w:highlight w:val="none"/>
                <w:lang w:val="en-US" w:eastAsia="zh-CN" w:bidi="ar-SA"/>
              </w:rPr>
              <w:t>完成本项目所使用产品开发厂家的技术服务站点到达采购单位时间</w:t>
            </w:r>
            <w:r>
              <w:rPr>
                <w:rFonts w:hint="eastAsia" w:ascii="宋体" w:hAnsi="宋体" w:eastAsia="宋体" w:cs="宋体"/>
                <w:color w:val="auto"/>
                <w:kern w:val="0"/>
                <w:sz w:val="21"/>
                <w:szCs w:val="21"/>
                <w:highlight w:val="none"/>
                <w:lang w:val="en-US" w:eastAsia="zh-CN" w:bidi="ar-SA"/>
              </w:rPr>
              <w:t>≤0.5个小时[[投标时在投标文件中提供拟投入的相关技术服务站点营业执照或合作协议证明材料以及至采购单位所在位置在高德、百度等导航软件中的线路导航截图（交通工具方式不限）]</w:t>
            </w:r>
            <w:r>
              <w:rPr>
                <w:rFonts w:hint="eastAsia" w:ascii="宋体" w:hAnsi="宋体" w:cs="宋体"/>
                <w:highlight w:val="none"/>
                <w:lang w:eastAsia="zh-CN"/>
              </w:rPr>
              <w:t>的</w:t>
            </w:r>
            <w:r>
              <w:rPr>
                <w:rFonts w:hint="eastAsia" w:ascii="宋体" w:hAnsi="宋体" w:eastAsia="宋体" w:cs="宋体"/>
                <w:highlight w:val="none"/>
              </w:rPr>
              <w:t>。</w:t>
            </w:r>
          </w:p>
        </w:tc>
      </w:tr>
      <w:tr w14:paraId="6F0B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5F8E1DC4">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4D14AB70">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vMerge w:val="restart"/>
            <w:tcBorders>
              <w:top w:val="single" w:color="auto" w:sz="4" w:space="0"/>
              <w:left w:val="single" w:color="auto" w:sz="4" w:space="0"/>
              <w:right w:val="single" w:color="auto" w:sz="4" w:space="0"/>
            </w:tcBorders>
            <w:noWrap/>
            <w:tcMar>
              <w:top w:w="0" w:type="dxa"/>
              <w:left w:w="57" w:type="dxa"/>
              <w:bottom w:w="0" w:type="dxa"/>
              <w:right w:w="57" w:type="dxa"/>
            </w:tcMar>
            <w:vAlign w:val="center"/>
          </w:tcPr>
          <w:p w14:paraId="4E634199">
            <w:pPr>
              <w:keepNext w:val="0"/>
              <w:keepLines w:val="0"/>
              <w:pageBreakBefore w:val="0"/>
              <w:kinsoku/>
              <w:wordWrap/>
              <w:overflowPunct/>
              <w:topLinePunct w:val="0"/>
              <w:autoSpaceDE/>
              <w:autoSpaceDN/>
              <w:bidi w:val="0"/>
              <w:snapToGrid/>
              <w:spacing w:line="400" w:lineRule="exact"/>
              <w:jc w:val="center"/>
              <w:rPr>
                <w:rFonts w:hint="default" w:ascii="宋体" w:hAnsi="宋体" w:cs="宋体"/>
                <w:kern w:val="0"/>
                <w:szCs w:val="21"/>
                <w:highlight w:val="none"/>
                <w:u w:val="wave" w:color="FFFFFF"/>
                <w:lang w:val="en-US" w:eastAsia="zh-CN"/>
              </w:rPr>
            </w:pPr>
            <w:r>
              <w:rPr>
                <w:rFonts w:hint="eastAsia" w:ascii="宋体" w:hAnsi="宋体" w:cs="宋体"/>
                <w:kern w:val="0"/>
                <w:szCs w:val="21"/>
                <w:highlight w:val="none"/>
                <w:u w:val="wave" w:color="FFFFFF"/>
                <w:lang w:val="en-US" w:eastAsia="zh-CN"/>
              </w:rPr>
              <w:t>2.2信誉</w:t>
            </w:r>
            <w:r>
              <w:rPr>
                <w:rFonts w:hint="eastAsia" w:ascii="宋体" w:hAnsi="宋体" w:cs="宋体"/>
                <w:highlight w:val="none"/>
                <w:lang w:eastAsia="zh-CN"/>
              </w:rPr>
              <w:t>（满分</w:t>
            </w:r>
            <w:r>
              <w:rPr>
                <w:rFonts w:hint="eastAsia" w:ascii="宋体" w:hAnsi="宋体" w:cs="宋体"/>
                <w:highlight w:val="none"/>
                <w:lang w:val="en-US" w:eastAsia="zh-CN"/>
              </w:rPr>
              <w:t>6分</w:t>
            </w:r>
            <w:r>
              <w:rPr>
                <w:rFonts w:hint="eastAsia" w:ascii="宋体" w:hAnsi="宋体" w:cs="宋体"/>
                <w:highlight w:val="none"/>
                <w:lang w:eastAsia="zh-CN"/>
              </w:rPr>
              <w:t>）</w:t>
            </w:r>
          </w:p>
        </w:tc>
        <w:tc>
          <w:tcPr>
            <w:tcW w:w="6043" w:type="dxa"/>
            <w:tcBorders>
              <w:top w:val="single" w:color="auto" w:sz="4" w:space="0"/>
              <w:left w:val="single" w:color="auto" w:sz="4" w:space="0"/>
              <w:right w:val="single" w:color="auto" w:sz="4" w:space="0"/>
            </w:tcBorders>
            <w:shd w:val="clear" w:color="auto" w:fill="auto"/>
            <w:noWrap w:val="0"/>
            <w:vAlign w:val="center"/>
          </w:tcPr>
          <w:p w14:paraId="4153B51E">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rPr>
              <w:t>.2.1投标人或</w:t>
            </w:r>
            <w:r>
              <w:rPr>
                <w:rFonts w:hint="eastAsia" w:ascii="宋体" w:hAnsi="宋体" w:cs="宋体"/>
                <w:kern w:val="2"/>
                <w:sz w:val="21"/>
                <w:szCs w:val="24"/>
                <w:highlight w:val="none"/>
                <w:lang w:val="en-US" w:eastAsia="zh-CN" w:bidi="ar-SA"/>
              </w:rPr>
              <w:t>完成本项目所使用产品开发厂家具有</w:t>
            </w:r>
            <w:r>
              <w:rPr>
                <w:rFonts w:hint="eastAsia" w:ascii="宋体" w:hAnsi="宋体" w:eastAsia="宋体" w:cs="宋体"/>
                <w:highlight w:val="none"/>
              </w:rPr>
              <w:t>ISO9001质量管理体系认证、ISO14001环境管理体系认证、ISO45001职业健康安全管理体系认证、ISO20000信息技术服务管理体系认证、ISO27001信息安全管理体系认证等证书，每</w:t>
            </w:r>
            <w:r>
              <w:rPr>
                <w:rFonts w:hint="eastAsia" w:ascii="宋体" w:hAnsi="宋体" w:cs="宋体"/>
                <w:highlight w:val="none"/>
                <w:lang w:eastAsia="zh-CN"/>
              </w:rPr>
              <w:t>有</w:t>
            </w:r>
            <w:r>
              <w:rPr>
                <w:rFonts w:hint="eastAsia" w:ascii="宋体" w:hAnsi="宋体" w:eastAsia="宋体" w:cs="宋体"/>
                <w:highlight w:val="none"/>
              </w:rPr>
              <w:t>一项</w:t>
            </w:r>
            <w:r>
              <w:rPr>
                <w:rFonts w:hint="eastAsia" w:ascii="宋体" w:hAnsi="宋体" w:cs="宋体"/>
                <w:highlight w:val="none"/>
                <w:lang w:eastAsia="zh-CN"/>
              </w:rPr>
              <w:t>得</w:t>
            </w:r>
            <w:r>
              <w:rPr>
                <w:rFonts w:hint="eastAsia" w:ascii="宋体" w:hAnsi="宋体" w:cs="宋体"/>
                <w:highlight w:val="none"/>
                <w:lang w:val="en-US" w:eastAsia="zh-CN"/>
              </w:rPr>
              <w:t>1</w:t>
            </w:r>
            <w:r>
              <w:rPr>
                <w:rFonts w:hint="eastAsia" w:ascii="宋体" w:hAnsi="宋体" w:eastAsia="宋体" w:cs="宋体"/>
                <w:highlight w:val="none"/>
              </w:rPr>
              <w:t>分，</w:t>
            </w:r>
            <w:r>
              <w:rPr>
                <w:rFonts w:hint="eastAsia" w:ascii="宋体" w:hAnsi="宋体" w:cs="宋体"/>
                <w:highlight w:val="none"/>
                <w:lang w:eastAsia="zh-CN"/>
              </w:rPr>
              <w:t>此项</w:t>
            </w:r>
            <w:r>
              <w:rPr>
                <w:rFonts w:hint="eastAsia" w:ascii="宋体" w:hAnsi="宋体" w:eastAsia="宋体" w:cs="宋体"/>
                <w:highlight w:val="none"/>
              </w:rPr>
              <w:t>满分</w:t>
            </w:r>
            <w:r>
              <w:rPr>
                <w:rFonts w:hint="eastAsia" w:ascii="宋体" w:hAnsi="宋体" w:cs="宋体"/>
                <w:highlight w:val="none"/>
                <w:lang w:val="en-US" w:eastAsia="zh-CN"/>
              </w:rPr>
              <w:t>5</w:t>
            </w:r>
            <w:r>
              <w:rPr>
                <w:rFonts w:hint="eastAsia" w:ascii="宋体" w:hAnsi="宋体" w:eastAsia="宋体" w:cs="宋体"/>
                <w:highlight w:val="none"/>
              </w:rPr>
              <w:t>分</w:t>
            </w:r>
            <w:r>
              <w:rPr>
                <w:rFonts w:hint="eastAsia" w:ascii="宋体" w:hAnsi="宋体" w:cs="宋体"/>
                <w:highlight w:val="none"/>
                <w:lang w:val="en-US" w:eastAsia="zh-CN"/>
              </w:rPr>
              <w:t>[</w:t>
            </w:r>
            <w:r>
              <w:rPr>
                <w:rFonts w:hint="eastAsia" w:ascii="宋体" w:hAnsi="宋体" w:eastAsia="宋体" w:cs="宋体"/>
                <w:highlight w:val="none"/>
                <w:lang w:val="en-US" w:eastAsia="zh-CN"/>
              </w:rPr>
              <w:t>投标时在投标文件中提供有效认证证书</w:t>
            </w:r>
            <w:r>
              <w:rPr>
                <w:rFonts w:hint="eastAsia" w:ascii="宋体" w:hAnsi="宋体" w:eastAsia="宋体" w:cs="宋体"/>
                <w:highlight w:val="none"/>
              </w:rPr>
              <w:t>证明材料并加盖投标人公章，</w:t>
            </w:r>
            <w:r>
              <w:rPr>
                <w:rFonts w:hint="eastAsia" w:ascii="宋体" w:hAnsi="宋体" w:eastAsia="宋体" w:cs="宋体"/>
                <w:highlight w:val="none"/>
                <w:lang w:eastAsia="zh-CN"/>
              </w:rPr>
              <w:t>否则不予评分</w:t>
            </w:r>
            <w:r>
              <w:rPr>
                <w:rFonts w:hint="eastAsia" w:ascii="宋体" w:hAnsi="宋体" w:cs="宋体"/>
                <w:highlight w:val="none"/>
                <w:lang w:val="en-US" w:eastAsia="zh-CN"/>
              </w:rPr>
              <w:t>]</w:t>
            </w:r>
            <w:r>
              <w:rPr>
                <w:rFonts w:hint="eastAsia" w:ascii="宋体" w:hAnsi="宋体" w:eastAsia="宋体" w:cs="宋体"/>
                <w:highlight w:val="none"/>
              </w:rPr>
              <w:t>。</w:t>
            </w:r>
          </w:p>
        </w:tc>
      </w:tr>
      <w:tr w14:paraId="77E8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231CD0BB">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61DE34A3">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vMerge w:val="continue"/>
            <w:tcBorders>
              <w:left w:val="single" w:color="auto" w:sz="4" w:space="0"/>
              <w:right w:val="single" w:color="auto" w:sz="4" w:space="0"/>
            </w:tcBorders>
            <w:noWrap/>
            <w:tcMar>
              <w:top w:w="0" w:type="dxa"/>
              <w:left w:w="57" w:type="dxa"/>
              <w:bottom w:w="0" w:type="dxa"/>
              <w:right w:w="57" w:type="dxa"/>
            </w:tcMar>
            <w:vAlign w:val="center"/>
          </w:tcPr>
          <w:p w14:paraId="77F2C4B6">
            <w:pPr>
              <w:keepNext w:val="0"/>
              <w:keepLines w:val="0"/>
              <w:pageBreakBefore w:val="0"/>
              <w:kinsoku/>
              <w:wordWrap/>
              <w:overflowPunct/>
              <w:topLinePunct w:val="0"/>
              <w:autoSpaceDE/>
              <w:autoSpaceDN/>
              <w:bidi w:val="0"/>
              <w:snapToGrid/>
              <w:spacing w:line="400" w:lineRule="exact"/>
              <w:jc w:val="center"/>
              <w:rPr>
                <w:rFonts w:hint="default" w:ascii="宋体" w:hAnsi="宋体" w:cs="宋体"/>
                <w:kern w:val="0"/>
                <w:szCs w:val="21"/>
                <w:highlight w:val="none"/>
                <w:u w:val="wave" w:color="FFFFFF"/>
                <w:lang w:val="en-US" w:eastAsia="zh-CN"/>
              </w:rPr>
            </w:pPr>
          </w:p>
        </w:tc>
        <w:tc>
          <w:tcPr>
            <w:tcW w:w="6043" w:type="dxa"/>
            <w:tcBorders>
              <w:top w:val="single" w:color="auto" w:sz="4" w:space="0"/>
              <w:left w:val="single" w:color="auto" w:sz="4" w:space="0"/>
              <w:right w:val="single" w:color="auto" w:sz="4" w:space="0"/>
            </w:tcBorders>
            <w:shd w:val="clear" w:color="auto" w:fill="auto"/>
            <w:noWrap w:val="0"/>
            <w:vAlign w:val="center"/>
          </w:tcPr>
          <w:p w14:paraId="2E996917">
            <w:pPr>
              <w:keepNext w:val="0"/>
              <w:keepLines w:val="0"/>
              <w:pageBreakBefore w:val="0"/>
              <w:kinsoku/>
              <w:wordWrap/>
              <w:overflowPunct/>
              <w:topLinePunct w:val="0"/>
              <w:autoSpaceDE/>
              <w:autoSpaceDN/>
              <w:bidi w:val="0"/>
              <w:snapToGrid/>
              <w:spacing w:line="400" w:lineRule="exact"/>
              <w:jc w:val="left"/>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rPr>
              <w:t>.2.</w:t>
            </w:r>
            <w:r>
              <w:rPr>
                <w:rFonts w:hint="eastAsia" w:ascii="宋体" w:hAnsi="宋体" w:eastAsia="宋体" w:cs="宋体"/>
                <w:highlight w:val="none"/>
                <w:lang w:val="en-US" w:eastAsia="zh-CN"/>
              </w:rPr>
              <w:t>2供应商或</w:t>
            </w:r>
            <w:r>
              <w:rPr>
                <w:rFonts w:hint="eastAsia" w:ascii="宋体" w:hAnsi="宋体" w:cs="宋体"/>
                <w:kern w:val="2"/>
                <w:sz w:val="21"/>
                <w:szCs w:val="24"/>
                <w:highlight w:val="none"/>
                <w:lang w:val="en-US" w:eastAsia="zh-CN" w:bidi="ar-SA"/>
              </w:rPr>
              <w:t>完成本项目所使用产品开发厂家具有信息系统运行维护能力证书的得1分，此项满分1分（</w:t>
            </w:r>
            <w:r>
              <w:rPr>
                <w:rFonts w:hint="eastAsia" w:ascii="宋体" w:hAnsi="宋体" w:eastAsia="宋体" w:cs="宋体"/>
                <w:highlight w:val="none"/>
                <w:lang w:val="en-US" w:eastAsia="zh-CN"/>
              </w:rPr>
              <w:t>投标时在投标文件中提供有效</w:t>
            </w:r>
            <w:r>
              <w:rPr>
                <w:rFonts w:hint="eastAsia" w:ascii="宋体" w:hAnsi="宋体" w:cs="宋体"/>
                <w:highlight w:val="none"/>
                <w:lang w:val="en-US" w:eastAsia="zh-CN"/>
              </w:rPr>
              <w:t>证书</w:t>
            </w:r>
            <w:r>
              <w:rPr>
                <w:rFonts w:hint="eastAsia" w:ascii="宋体" w:hAnsi="宋体" w:eastAsia="宋体" w:cs="宋体"/>
                <w:highlight w:val="none"/>
                <w:lang w:val="en-US" w:eastAsia="zh-CN"/>
              </w:rPr>
              <w:t>证明材料</w:t>
            </w:r>
            <w:r>
              <w:rPr>
                <w:rFonts w:hint="eastAsia" w:ascii="宋体" w:hAnsi="宋体" w:eastAsia="宋体" w:cs="宋体"/>
                <w:highlight w:val="none"/>
              </w:rPr>
              <w:t>并加盖投标人公章，</w:t>
            </w:r>
            <w:r>
              <w:rPr>
                <w:rFonts w:hint="eastAsia" w:ascii="宋体" w:hAnsi="宋体" w:eastAsia="宋体" w:cs="宋体"/>
                <w:highlight w:val="none"/>
                <w:lang w:eastAsia="zh-CN"/>
              </w:rPr>
              <w:t>否则不予评分</w:t>
            </w:r>
            <w:r>
              <w:rPr>
                <w:rFonts w:hint="eastAsia" w:ascii="宋体" w:hAnsi="宋体" w:cs="宋体"/>
                <w:kern w:val="2"/>
                <w:sz w:val="21"/>
                <w:szCs w:val="24"/>
                <w:highlight w:val="none"/>
                <w:lang w:val="en-US" w:eastAsia="zh-CN" w:bidi="ar-SA"/>
              </w:rPr>
              <w:t>）</w:t>
            </w:r>
            <w:r>
              <w:rPr>
                <w:rFonts w:hint="eastAsia" w:ascii="宋体" w:hAnsi="宋体" w:eastAsia="宋体" w:cs="宋体"/>
                <w:highlight w:val="none"/>
                <w:lang w:eastAsia="zh-CN"/>
              </w:rPr>
              <w:t>。</w:t>
            </w:r>
          </w:p>
        </w:tc>
      </w:tr>
      <w:tr w14:paraId="42DB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25" w:type="dxa"/>
            <w:vMerge w:val="continue"/>
            <w:tcBorders>
              <w:left w:val="single" w:color="auto" w:sz="4" w:space="0"/>
              <w:right w:val="single" w:color="auto" w:sz="4" w:space="0"/>
            </w:tcBorders>
            <w:noWrap/>
            <w:vAlign w:val="center"/>
          </w:tcPr>
          <w:p w14:paraId="644FBB1B">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szCs w:val="21"/>
                <w:highlight w:val="none"/>
              </w:rPr>
            </w:pPr>
          </w:p>
        </w:tc>
        <w:tc>
          <w:tcPr>
            <w:tcW w:w="905" w:type="dxa"/>
            <w:vMerge w:val="continue"/>
            <w:tcBorders>
              <w:left w:val="single" w:color="auto" w:sz="4" w:space="0"/>
              <w:right w:val="single" w:color="auto" w:sz="4" w:space="0"/>
            </w:tcBorders>
            <w:noWrap/>
            <w:vAlign w:val="center"/>
          </w:tcPr>
          <w:p w14:paraId="06563DCB">
            <w:pPr>
              <w:keepNext w:val="0"/>
              <w:keepLines w:val="0"/>
              <w:pageBreakBefore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b/>
                <w:bCs/>
                <w:highlight w:val="none"/>
              </w:rPr>
            </w:pPr>
          </w:p>
        </w:tc>
        <w:tc>
          <w:tcPr>
            <w:tcW w:w="1977" w:type="dxa"/>
            <w:tcBorders>
              <w:left w:val="single" w:color="auto" w:sz="4" w:space="0"/>
              <w:right w:val="single" w:color="auto" w:sz="4" w:space="0"/>
            </w:tcBorders>
            <w:noWrap/>
            <w:tcMar>
              <w:top w:w="0" w:type="dxa"/>
              <w:left w:w="57" w:type="dxa"/>
              <w:bottom w:w="0" w:type="dxa"/>
              <w:right w:w="57" w:type="dxa"/>
            </w:tcMar>
            <w:vAlign w:val="center"/>
          </w:tcPr>
          <w:p w14:paraId="6F9885A3">
            <w:pPr>
              <w:keepNext w:val="0"/>
              <w:keepLines w:val="0"/>
              <w:pageBreakBefore w:val="0"/>
              <w:kinsoku/>
              <w:wordWrap/>
              <w:overflowPunct/>
              <w:topLinePunct w:val="0"/>
              <w:autoSpaceDE/>
              <w:autoSpaceDN/>
              <w:bidi w:val="0"/>
              <w:snapToGrid/>
              <w:spacing w:line="400" w:lineRule="exact"/>
              <w:jc w:val="center"/>
              <w:rPr>
                <w:rFonts w:hint="default" w:ascii="宋体" w:hAnsi="宋体" w:cs="宋体"/>
                <w:kern w:val="0"/>
                <w:szCs w:val="21"/>
                <w:highlight w:val="none"/>
                <w:u w:val="wave" w:color="FFFFFF"/>
                <w:lang w:val="en-US" w:eastAsia="zh-CN"/>
              </w:rPr>
            </w:pPr>
            <w:r>
              <w:rPr>
                <w:rFonts w:hint="eastAsia" w:ascii="宋体" w:hAnsi="宋体" w:cs="宋体"/>
                <w:kern w:val="0"/>
                <w:szCs w:val="21"/>
                <w:highlight w:val="none"/>
                <w:u w:val="wave" w:color="FFFFFF"/>
                <w:lang w:val="en-US" w:eastAsia="zh-CN"/>
              </w:rPr>
              <w:t>2.3业绩（满分4分）</w:t>
            </w:r>
          </w:p>
        </w:tc>
        <w:tc>
          <w:tcPr>
            <w:tcW w:w="6043" w:type="dxa"/>
            <w:tcBorders>
              <w:top w:val="single" w:color="auto" w:sz="4" w:space="0"/>
              <w:left w:val="single" w:color="auto" w:sz="4" w:space="0"/>
              <w:right w:val="single" w:color="auto" w:sz="4" w:space="0"/>
            </w:tcBorders>
            <w:shd w:val="clear" w:color="auto" w:fill="auto"/>
            <w:noWrap w:val="0"/>
            <w:vAlign w:val="center"/>
          </w:tcPr>
          <w:p w14:paraId="76027350">
            <w:pPr>
              <w:keepNext w:val="0"/>
              <w:keepLines w:val="0"/>
              <w:pageBreakBefore w:val="0"/>
              <w:kinsoku/>
              <w:wordWrap/>
              <w:overflowPunct/>
              <w:topLinePunct w:val="0"/>
              <w:autoSpaceDE/>
              <w:autoSpaceDN/>
              <w:bidi w:val="0"/>
              <w:snapToGrid/>
              <w:spacing w:line="400" w:lineRule="exact"/>
              <w:jc w:val="left"/>
              <w:rPr>
                <w:rFonts w:hint="default" w:ascii="宋体" w:hAnsi="宋体" w:cs="宋体"/>
                <w:highlight w:val="none"/>
                <w:lang w:val="en-US" w:eastAsia="zh-CN"/>
              </w:rPr>
            </w:pPr>
            <w:r>
              <w:rPr>
                <w:rFonts w:hint="default" w:ascii="宋体" w:hAnsi="宋体" w:cs="宋体"/>
                <w:highlight w:val="none"/>
                <w:lang w:val="en-US" w:eastAsia="zh-CN"/>
              </w:rPr>
              <w:t>投标人或</w:t>
            </w:r>
            <w:r>
              <w:rPr>
                <w:rFonts w:hint="eastAsia" w:ascii="宋体" w:hAnsi="宋体" w:cs="宋体"/>
                <w:kern w:val="2"/>
                <w:sz w:val="21"/>
                <w:szCs w:val="24"/>
                <w:highlight w:val="none"/>
                <w:lang w:val="en-US" w:eastAsia="zh-CN" w:bidi="ar-SA"/>
              </w:rPr>
              <w:t>完成本项目所使用产品开发厂家</w:t>
            </w:r>
            <w:r>
              <w:rPr>
                <w:rFonts w:hint="default" w:ascii="宋体" w:hAnsi="宋体" w:cs="宋体"/>
                <w:highlight w:val="none"/>
                <w:lang w:val="en-US" w:eastAsia="zh-CN"/>
              </w:rPr>
              <w:t>自202</w:t>
            </w:r>
            <w:r>
              <w:rPr>
                <w:rFonts w:hint="eastAsia" w:ascii="宋体" w:hAnsi="宋体" w:cs="宋体"/>
                <w:highlight w:val="none"/>
                <w:lang w:val="en-US" w:eastAsia="zh-CN"/>
              </w:rPr>
              <w:t>2</w:t>
            </w:r>
            <w:r>
              <w:rPr>
                <w:rFonts w:hint="default" w:ascii="宋体" w:hAnsi="宋体" w:cs="宋体"/>
                <w:highlight w:val="none"/>
                <w:lang w:val="en-US" w:eastAsia="zh-CN"/>
              </w:rPr>
              <w:t>年1月1日至</w:t>
            </w:r>
            <w:r>
              <w:rPr>
                <w:rFonts w:hint="eastAsia" w:ascii="宋体" w:hAnsi="宋体" w:cs="宋体"/>
                <w:highlight w:val="none"/>
                <w:lang w:val="en-US" w:eastAsia="zh-CN"/>
              </w:rPr>
              <w:t>投标</w:t>
            </w:r>
            <w:r>
              <w:rPr>
                <w:rFonts w:hint="default" w:ascii="宋体" w:hAnsi="宋体" w:cs="宋体"/>
                <w:highlight w:val="none"/>
                <w:lang w:val="en-US" w:eastAsia="zh-CN"/>
              </w:rPr>
              <w:t>文件递交截止时间止，具有类似服务项目的业绩</w:t>
            </w:r>
            <w:r>
              <w:rPr>
                <w:rFonts w:hint="eastAsia" w:ascii="宋体" w:hAnsi="宋体" w:cs="宋体"/>
                <w:highlight w:val="none"/>
                <w:lang w:val="en-US" w:eastAsia="zh-CN"/>
              </w:rPr>
              <w:t>，</w:t>
            </w:r>
            <w:r>
              <w:rPr>
                <w:rFonts w:hint="default" w:ascii="宋体" w:hAnsi="宋体" w:cs="宋体"/>
                <w:highlight w:val="none"/>
                <w:lang w:val="en-US" w:eastAsia="zh-CN"/>
              </w:rPr>
              <w:t>每</w:t>
            </w:r>
            <w:r>
              <w:rPr>
                <w:rFonts w:hint="eastAsia" w:ascii="宋体" w:hAnsi="宋体" w:cs="宋体"/>
                <w:highlight w:val="none"/>
                <w:lang w:val="en-US" w:eastAsia="zh-CN"/>
              </w:rPr>
              <w:t>有</w:t>
            </w:r>
            <w:r>
              <w:rPr>
                <w:rFonts w:hint="default" w:ascii="宋体" w:hAnsi="宋体" w:cs="宋体"/>
                <w:highlight w:val="none"/>
                <w:lang w:val="en-US" w:eastAsia="zh-CN"/>
              </w:rPr>
              <w:t>一</w:t>
            </w:r>
            <w:r>
              <w:rPr>
                <w:rFonts w:hint="eastAsia" w:ascii="宋体" w:hAnsi="宋体" w:cs="宋体"/>
                <w:highlight w:val="none"/>
                <w:lang w:val="en-US" w:eastAsia="zh-CN"/>
              </w:rPr>
              <w:t>个</w:t>
            </w:r>
            <w:r>
              <w:rPr>
                <w:rFonts w:hint="default" w:ascii="宋体" w:hAnsi="宋体" w:cs="宋体"/>
                <w:highlight w:val="none"/>
                <w:lang w:val="en-US" w:eastAsia="zh-CN"/>
              </w:rPr>
              <w:t>得2分，</w:t>
            </w:r>
            <w:r>
              <w:rPr>
                <w:rFonts w:hint="eastAsia" w:ascii="宋体" w:hAnsi="宋体" w:cs="宋体"/>
                <w:highlight w:val="none"/>
                <w:lang w:val="en-US" w:eastAsia="zh-CN"/>
              </w:rPr>
              <w:t>此项</w:t>
            </w:r>
            <w:r>
              <w:rPr>
                <w:rFonts w:hint="default" w:ascii="宋体" w:hAnsi="宋体" w:cs="宋体"/>
                <w:highlight w:val="none"/>
                <w:lang w:val="en-US" w:eastAsia="zh-CN"/>
              </w:rPr>
              <w:t>满分4分（</w:t>
            </w:r>
            <w:r>
              <w:rPr>
                <w:rFonts w:hint="eastAsia" w:ascii="宋体" w:hAnsi="宋体" w:eastAsia="宋体" w:cs="宋体"/>
                <w:highlight w:val="none"/>
                <w:lang w:val="en-US" w:eastAsia="zh-CN"/>
              </w:rPr>
              <w:t>投标时在投标文件中</w:t>
            </w:r>
            <w:r>
              <w:rPr>
                <w:rFonts w:hint="default" w:ascii="宋体" w:hAnsi="宋体" w:cs="宋体"/>
                <w:highlight w:val="none"/>
                <w:lang w:val="en-US" w:eastAsia="zh-CN"/>
              </w:rPr>
              <w:t>提供业绩的</w:t>
            </w:r>
            <w:r>
              <w:rPr>
                <w:rFonts w:hint="eastAsia" w:ascii="宋体" w:hAnsi="宋体" w:cs="宋体"/>
                <w:highlight w:val="none"/>
                <w:lang w:val="en-US" w:eastAsia="zh-CN"/>
              </w:rPr>
              <w:t>有效</w:t>
            </w:r>
            <w:r>
              <w:rPr>
                <w:rFonts w:hint="default" w:ascii="宋体" w:hAnsi="宋体" w:cs="宋体"/>
                <w:highlight w:val="none"/>
                <w:lang w:val="en-US" w:eastAsia="zh-CN"/>
              </w:rPr>
              <w:t>合同或中标/成交通知书</w:t>
            </w:r>
            <w:r>
              <w:rPr>
                <w:rFonts w:hint="eastAsia" w:ascii="宋体" w:hAnsi="宋体" w:cs="宋体"/>
                <w:highlight w:val="none"/>
                <w:lang w:val="en-US" w:eastAsia="zh-CN"/>
              </w:rPr>
              <w:t>证明材料</w:t>
            </w:r>
            <w:r>
              <w:rPr>
                <w:rFonts w:hint="eastAsia" w:ascii="宋体" w:hAnsi="宋体" w:eastAsia="宋体" w:cs="宋体"/>
                <w:highlight w:val="none"/>
              </w:rPr>
              <w:t>并加盖投标人公章</w:t>
            </w:r>
            <w:r>
              <w:rPr>
                <w:rFonts w:hint="default" w:ascii="宋体" w:hAnsi="宋体" w:cs="宋体"/>
                <w:highlight w:val="none"/>
                <w:lang w:val="en-US" w:eastAsia="zh-CN"/>
              </w:rPr>
              <w:t>，</w:t>
            </w:r>
            <w:r>
              <w:rPr>
                <w:rFonts w:hint="eastAsia" w:ascii="宋体" w:hAnsi="宋体" w:eastAsia="宋体" w:cs="宋体"/>
                <w:highlight w:val="none"/>
                <w:lang w:eastAsia="zh-CN"/>
              </w:rPr>
              <w:t>否则不予评分</w:t>
            </w:r>
            <w:r>
              <w:rPr>
                <w:rFonts w:hint="default" w:ascii="宋体" w:hAnsi="宋体" w:cs="宋体"/>
                <w:highlight w:val="none"/>
                <w:lang w:val="en-US" w:eastAsia="zh-CN"/>
              </w:rPr>
              <w:t>）。</w:t>
            </w:r>
          </w:p>
        </w:tc>
      </w:tr>
      <w:tr w14:paraId="5830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0" w:type="dxa"/>
            <w:gridSpan w:val="4"/>
            <w:tcBorders>
              <w:top w:val="single" w:color="auto" w:sz="4" w:space="0"/>
              <w:left w:val="single" w:color="auto" w:sz="4" w:space="0"/>
              <w:bottom w:val="single" w:color="auto" w:sz="4" w:space="0"/>
              <w:right w:val="single" w:color="auto" w:sz="4" w:space="0"/>
            </w:tcBorders>
            <w:noWrap/>
            <w:vAlign w:val="center"/>
          </w:tcPr>
          <w:p w14:paraId="050E1A64">
            <w:pPr>
              <w:keepNext w:val="0"/>
              <w:keepLines w:val="0"/>
              <w:pageBreakBefore w:val="0"/>
              <w:kinsoku/>
              <w:wordWrap/>
              <w:overflowPunct/>
              <w:topLinePunct w:val="0"/>
              <w:autoSpaceDE/>
              <w:autoSpaceDN/>
              <w:bidi w:val="0"/>
              <w:snapToGrid/>
              <w:spacing w:line="400" w:lineRule="exact"/>
              <w:ind w:firstLine="420"/>
              <w:rPr>
                <w:rFonts w:hint="eastAsia" w:ascii="宋体" w:hAnsi="宋体" w:eastAsia="宋体" w:cs="宋体"/>
                <w:bCs/>
                <w:szCs w:val="21"/>
                <w:highlight w:val="none"/>
              </w:rPr>
            </w:pPr>
            <w:r>
              <w:rPr>
                <w:rFonts w:hint="eastAsia" w:ascii="宋体" w:hAnsi="宋体" w:eastAsia="宋体" w:cs="宋体"/>
                <w:b/>
                <w:bCs/>
                <w:szCs w:val="21"/>
                <w:highlight w:val="none"/>
              </w:rPr>
              <w:t>总得分=</w:t>
            </w:r>
            <w:r>
              <w:rPr>
                <w:rFonts w:hint="eastAsia" w:ascii="宋体" w:hAnsi="宋体" w:cs="宋体"/>
                <w:b/>
                <w:bCs/>
                <w:szCs w:val="21"/>
                <w:highlight w:val="none"/>
                <w:lang w:val="en-US" w:eastAsia="zh-CN"/>
              </w:rPr>
              <w:t>价格分+技术分</w:t>
            </w:r>
            <w:r>
              <w:rPr>
                <w:rFonts w:hint="eastAsia" w:ascii="宋体" w:hAnsi="宋体" w:eastAsia="宋体" w:cs="宋体"/>
                <w:b/>
                <w:bCs/>
                <w:szCs w:val="21"/>
                <w:highlight w:val="none"/>
              </w:rPr>
              <w:t>+</w:t>
            </w:r>
            <w:r>
              <w:rPr>
                <w:rFonts w:hint="eastAsia" w:ascii="宋体" w:hAnsi="宋体" w:cs="宋体"/>
                <w:b/>
                <w:bCs/>
                <w:szCs w:val="21"/>
                <w:highlight w:val="none"/>
                <w:lang w:val="en-US" w:eastAsia="zh-CN"/>
              </w:rPr>
              <w:t>商务分</w:t>
            </w:r>
          </w:p>
        </w:tc>
      </w:tr>
    </w:tbl>
    <w:p w14:paraId="5BB319B0">
      <w:pPr>
        <w:pStyle w:val="2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sz w:val="21"/>
          <w:highlight w:val="none"/>
        </w:rPr>
      </w:pPr>
      <w:r>
        <w:rPr>
          <w:rFonts w:hint="eastAsia" w:ascii="宋体" w:hAnsi="宋体" w:eastAsia="宋体" w:cs="宋体"/>
          <w:bCs/>
          <w:sz w:val="21"/>
          <w:highlight w:val="none"/>
        </w:rPr>
        <w:t>注：</w:t>
      </w:r>
    </w:p>
    <w:p w14:paraId="065B23F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highlight w:val="none"/>
          <w:lang w:val="en-US" w:eastAsia="zh-CN"/>
        </w:rPr>
      </w:pPr>
      <w:r>
        <w:rPr>
          <w:rFonts w:hint="eastAsia" w:ascii="宋体" w:hAnsi="宋体" w:eastAsia="宋体" w:cs="宋体"/>
          <w:bCs/>
          <w:highlight w:val="none"/>
        </w:rPr>
        <w:t>1.计分方法按四舍五入取至百分位</w:t>
      </w:r>
      <w:r>
        <w:rPr>
          <w:rFonts w:hint="eastAsia" w:ascii="宋体" w:hAnsi="宋体" w:eastAsia="宋体" w:cs="宋体"/>
          <w:bCs/>
          <w:highlight w:val="none"/>
          <w:lang w:eastAsia="zh-CN"/>
        </w:rPr>
        <w:t>。</w:t>
      </w:r>
    </w:p>
    <w:p w14:paraId="0DA2C01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highlight w:val="none"/>
        </w:rPr>
      </w:pPr>
      <w:r>
        <w:rPr>
          <w:rFonts w:hint="eastAsia" w:ascii="宋体" w:hAnsi="宋体" w:eastAsia="宋体" w:cs="宋体"/>
          <w:bCs/>
          <w:highlight w:val="none"/>
        </w:rPr>
        <w:t>2.因落实政府采购政策进行价格调整的，以调整后的价格计算评标基准价和投标报价。</w:t>
      </w:r>
    </w:p>
    <w:p w14:paraId="39A5DF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highlight w:val="none"/>
        </w:rPr>
      </w:pPr>
    </w:p>
    <w:p w14:paraId="2C04FF52">
      <w:pPr>
        <w:pStyle w:val="3"/>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sz w:val="30"/>
          <w:szCs w:val="30"/>
          <w:highlight w:val="none"/>
          <w:lang w:val="en-US" w:eastAsia="zh-CN"/>
        </w:rPr>
      </w:pPr>
      <w:bookmarkStart w:id="91" w:name="_Toc9045"/>
      <w:bookmarkStart w:id="92" w:name="_Toc1557"/>
      <w:bookmarkStart w:id="93" w:name="_Toc5530"/>
      <w:r>
        <w:rPr>
          <w:rFonts w:hint="eastAsia" w:ascii="宋体" w:hAnsi="宋体" w:eastAsia="宋体" w:cs="宋体"/>
          <w:sz w:val="30"/>
          <w:szCs w:val="30"/>
          <w:highlight w:val="none"/>
          <w:lang w:val="en-US" w:eastAsia="zh-CN"/>
        </w:rPr>
        <w:t>第四节 中标候选人推荐原则</w:t>
      </w:r>
      <w:bookmarkEnd w:id="91"/>
      <w:bookmarkEnd w:id="92"/>
      <w:bookmarkEnd w:id="93"/>
    </w:p>
    <w:p w14:paraId="38FB9624">
      <w:pPr>
        <w:pStyle w:val="27"/>
        <w:pageBreakBefore w:val="0"/>
        <w:numPr>
          <w:ilvl w:val="0"/>
          <w:numId w:val="0"/>
        </w:numPr>
        <w:kinsoku/>
        <w:wordWrap/>
        <w:overflowPunct/>
        <w:topLinePunct w:val="0"/>
        <w:autoSpaceDE/>
        <w:autoSpaceDN/>
        <w:bidi w:val="0"/>
        <w:snapToGrid/>
        <w:spacing w:line="400" w:lineRule="exact"/>
        <w:ind w:left="1237" w:leftChars="0" w:hanging="765" w:firstLineChars="0"/>
        <w:contextualSpacing/>
        <w:textAlignment w:val="auto"/>
        <w:rPr>
          <w:rFonts w:hint="eastAsia" w:ascii="宋体" w:hAnsi="宋体" w:eastAsia="宋体" w:cs="宋体"/>
          <w:b/>
          <w:bCs/>
          <w:sz w:val="21"/>
          <w:szCs w:val="21"/>
          <w:highlight w:val="none"/>
        </w:rPr>
      </w:pPr>
      <w:r>
        <w:rPr>
          <w:rFonts w:hint="eastAsia" w:ascii="宋体" w:hAnsi="宋体" w:eastAsia="宋体" w:cs="宋体"/>
          <w:b/>
          <w:bCs/>
          <w:kern w:val="2"/>
          <w:sz w:val="21"/>
          <w:szCs w:val="21"/>
          <w:highlight w:val="none"/>
          <w:lang w:val="en-US" w:eastAsia="zh-CN" w:bidi="ar-SA"/>
        </w:rPr>
        <w:t>（一）</w:t>
      </w:r>
      <w:r>
        <w:rPr>
          <w:rFonts w:hint="eastAsia" w:ascii="宋体" w:hAnsi="宋体" w:eastAsia="宋体" w:cs="宋体"/>
          <w:b/>
          <w:bCs/>
          <w:sz w:val="21"/>
          <w:szCs w:val="21"/>
          <w:highlight w:val="none"/>
        </w:rPr>
        <w:t>综合评分法</w:t>
      </w:r>
    </w:p>
    <w:p w14:paraId="33C1622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21C4D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供应商可选择其中一个或多个</w:t>
      </w:r>
      <w:r>
        <w:rPr>
          <w:rFonts w:hint="eastAsia" w:ascii="宋体" w:hAnsi="宋体" w:eastAsia="宋体" w:cs="宋体"/>
          <w:bCs/>
          <w:sz w:val="21"/>
          <w:szCs w:val="21"/>
          <w:highlight w:val="none"/>
          <w:lang w:eastAsia="zh-CN"/>
        </w:rPr>
        <w:t>标项</w:t>
      </w:r>
      <w:r>
        <w:rPr>
          <w:rFonts w:hint="eastAsia" w:ascii="宋体" w:hAnsi="宋体" w:eastAsia="宋体" w:cs="宋体"/>
          <w:bCs/>
          <w:sz w:val="21"/>
          <w:szCs w:val="21"/>
          <w:highlight w:val="none"/>
        </w:rPr>
        <w:t>参与</w:t>
      </w:r>
      <w:r>
        <w:rPr>
          <w:rFonts w:hint="eastAsia" w:ascii="宋体" w:hAnsi="宋体" w:eastAsia="宋体" w:cs="宋体"/>
          <w:bCs/>
          <w:sz w:val="21"/>
          <w:szCs w:val="21"/>
          <w:highlight w:val="none"/>
          <w:lang w:eastAsia="zh-CN"/>
        </w:rPr>
        <w:t>投标</w:t>
      </w:r>
      <w:r>
        <w:rPr>
          <w:rFonts w:hint="eastAsia" w:ascii="宋体" w:hAnsi="宋体" w:eastAsia="宋体" w:cs="宋体"/>
          <w:bCs/>
          <w:sz w:val="21"/>
          <w:szCs w:val="21"/>
          <w:highlight w:val="none"/>
        </w:rPr>
        <w:t>，但最多只能成为1个</w:t>
      </w:r>
      <w:r>
        <w:rPr>
          <w:rFonts w:hint="eastAsia" w:ascii="宋体" w:hAnsi="宋体" w:eastAsia="宋体" w:cs="宋体"/>
          <w:bCs/>
          <w:sz w:val="21"/>
          <w:szCs w:val="21"/>
          <w:highlight w:val="none"/>
          <w:lang w:eastAsia="zh-CN"/>
        </w:rPr>
        <w:t>分标</w:t>
      </w:r>
      <w:r>
        <w:rPr>
          <w:rFonts w:hint="eastAsia" w:ascii="宋体" w:hAnsi="宋体" w:eastAsia="宋体" w:cs="宋体"/>
          <w:bCs/>
          <w:sz w:val="21"/>
          <w:szCs w:val="21"/>
          <w:highlight w:val="none"/>
        </w:rPr>
        <w:t>的</w:t>
      </w:r>
      <w:r>
        <w:rPr>
          <w:rFonts w:hint="eastAsia" w:ascii="宋体" w:hAnsi="宋体" w:eastAsia="宋体" w:cs="宋体"/>
          <w:bCs/>
          <w:sz w:val="21"/>
          <w:szCs w:val="21"/>
          <w:highlight w:val="none"/>
          <w:lang w:eastAsia="zh-CN"/>
        </w:rPr>
        <w:t>中标</w:t>
      </w:r>
      <w:r>
        <w:rPr>
          <w:rFonts w:hint="eastAsia" w:ascii="宋体" w:hAnsi="宋体" w:eastAsia="宋体" w:cs="宋体"/>
          <w:bCs/>
          <w:sz w:val="21"/>
          <w:szCs w:val="21"/>
          <w:highlight w:val="none"/>
        </w:rPr>
        <w:t>候选</w:t>
      </w:r>
      <w:r>
        <w:rPr>
          <w:rFonts w:hint="eastAsia" w:ascii="宋体" w:hAnsi="宋体" w:eastAsia="宋体" w:cs="宋体"/>
          <w:bCs/>
          <w:sz w:val="21"/>
          <w:szCs w:val="21"/>
          <w:highlight w:val="none"/>
          <w:lang w:eastAsia="zh-CN"/>
        </w:rPr>
        <w:t>人</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eastAsia="zh-CN"/>
        </w:rPr>
        <w:t>多</w:t>
      </w:r>
      <w:r>
        <w:rPr>
          <w:rFonts w:hint="eastAsia" w:ascii="宋体" w:hAnsi="宋体" w:eastAsia="宋体" w:cs="宋体"/>
          <w:bCs/>
          <w:sz w:val="21"/>
          <w:szCs w:val="21"/>
          <w:highlight w:val="none"/>
        </w:rPr>
        <w:t>个分标的</w:t>
      </w:r>
      <w:r>
        <w:rPr>
          <w:rFonts w:hint="eastAsia" w:ascii="宋体" w:hAnsi="宋体" w:eastAsia="宋体" w:cs="宋体"/>
          <w:bCs/>
          <w:sz w:val="21"/>
          <w:szCs w:val="21"/>
          <w:highlight w:val="none"/>
          <w:lang w:eastAsia="zh-CN"/>
        </w:rPr>
        <w:t>中标</w:t>
      </w:r>
      <w:r>
        <w:rPr>
          <w:rFonts w:hint="eastAsia" w:ascii="宋体" w:hAnsi="宋体" w:eastAsia="宋体" w:cs="宋体"/>
          <w:bCs/>
          <w:sz w:val="21"/>
          <w:szCs w:val="21"/>
          <w:highlight w:val="none"/>
        </w:rPr>
        <w:t>候选</w:t>
      </w:r>
      <w:r>
        <w:rPr>
          <w:rFonts w:hint="eastAsia" w:ascii="宋体" w:hAnsi="宋体" w:eastAsia="宋体" w:cs="宋体"/>
          <w:bCs/>
          <w:sz w:val="21"/>
          <w:szCs w:val="21"/>
          <w:highlight w:val="none"/>
          <w:lang w:eastAsia="zh-CN"/>
        </w:rPr>
        <w:t>人</w:t>
      </w:r>
      <w:r>
        <w:rPr>
          <w:rFonts w:hint="eastAsia" w:ascii="宋体" w:hAnsi="宋体" w:eastAsia="宋体" w:cs="宋体"/>
          <w:bCs/>
          <w:sz w:val="21"/>
          <w:szCs w:val="21"/>
          <w:highlight w:val="none"/>
        </w:rPr>
        <w:t>推荐顺序为</w:t>
      </w:r>
      <w:r>
        <w:rPr>
          <w:rFonts w:hint="eastAsia" w:ascii="宋体" w:hAnsi="宋体" w:eastAsia="宋体" w:cs="宋体"/>
          <w:bCs/>
          <w:sz w:val="21"/>
          <w:szCs w:val="21"/>
          <w:highlight w:val="none"/>
          <w:lang w:eastAsia="zh-CN"/>
        </w:rPr>
        <w:t>分标1→分标2→分标3</w:t>
      </w:r>
      <w:r>
        <w:rPr>
          <w:rFonts w:hint="eastAsia" w:ascii="宋体" w:hAnsi="宋体" w:eastAsia="宋体" w:cs="宋体"/>
          <w:bCs/>
          <w:sz w:val="21"/>
          <w:szCs w:val="21"/>
          <w:highlight w:val="none"/>
        </w:rPr>
        <w:t>，已经成为1个</w:t>
      </w:r>
      <w:r>
        <w:rPr>
          <w:rFonts w:hint="eastAsia" w:ascii="宋体" w:hAnsi="宋体" w:eastAsia="宋体" w:cs="宋体"/>
          <w:bCs/>
          <w:sz w:val="21"/>
          <w:szCs w:val="21"/>
          <w:highlight w:val="none"/>
          <w:lang w:eastAsia="zh-CN"/>
        </w:rPr>
        <w:t>分标中标</w:t>
      </w:r>
      <w:r>
        <w:rPr>
          <w:rFonts w:hint="eastAsia" w:ascii="宋体" w:hAnsi="宋体" w:eastAsia="宋体" w:cs="宋体"/>
          <w:bCs/>
          <w:sz w:val="21"/>
          <w:szCs w:val="21"/>
          <w:highlight w:val="none"/>
        </w:rPr>
        <w:t>候选</w:t>
      </w:r>
      <w:r>
        <w:rPr>
          <w:rFonts w:hint="eastAsia" w:ascii="宋体" w:hAnsi="宋体" w:eastAsia="宋体" w:cs="宋体"/>
          <w:bCs/>
          <w:sz w:val="21"/>
          <w:szCs w:val="21"/>
          <w:highlight w:val="none"/>
          <w:lang w:eastAsia="zh-CN"/>
        </w:rPr>
        <w:t>人</w:t>
      </w:r>
      <w:r>
        <w:rPr>
          <w:rFonts w:hint="eastAsia" w:ascii="宋体" w:hAnsi="宋体" w:eastAsia="宋体" w:cs="宋体"/>
          <w:bCs/>
          <w:sz w:val="21"/>
          <w:szCs w:val="21"/>
          <w:highlight w:val="none"/>
        </w:rPr>
        <w:t>的，不再被推荐为其它</w:t>
      </w:r>
      <w:r>
        <w:rPr>
          <w:rFonts w:hint="eastAsia" w:ascii="宋体" w:hAnsi="宋体" w:eastAsia="宋体" w:cs="宋体"/>
          <w:bCs/>
          <w:sz w:val="21"/>
          <w:szCs w:val="21"/>
          <w:highlight w:val="none"/>
          <w:lang w:eastAsia="zh-CN"/>
        </w:rPr>
        <w:t>分标</w:t>
      </w:r>
      <w:r>
        <w:rPr>
          <w:rFonts w:hint="eastAsia" w:ascii="宋体" w:hAnsi="宋体" w:eastAsia="宋体" w:cs="宋体"/>
          <w:bCs/>
          <w:sz w:val="21"/>
          <w:szCs w:val="21"/>
          <w:highlight w:val="none"/>
        </w:rPr>
        <w:t>的</w:t>
      </w:r>
      <w:r>
        <w:rPr>
          <w:rFonts w:hint="eastAsia" w:ascii="宋体" w:hAnsi="宋体" w:eastAsia="宋体" w:cs="宋体"/>
          <w:bCs/>
          <w:sz w:val="21"/>
          <w:szCs w:val="21"/>
          <w:highlight w:val="none"/>
          <w:lang w:eastAsia="zh-CN"/>
        </w:rPr>
        <w:t>中标</w:t>
      </w:r>
      <w:r>
        <w:rPr>
          <w:rFonts w:hint="eastAsia" w:ascii="宋体" w:hAnsi="宋体" w:eastAsia="宋体" w:cs="宋体"/>
          <w:bCs/>
          <w:sz w:val="21"/>
          <w:szCs w:val="21"/>
          <w:highlight w:val="none"/>
        </w:rPr>
        <w:t>候选</w:t>
      </w:r>
      <w:r>
        <w:rPr>
          <w:rFonts w:hint="eastAsia" w:ascii="宋体" w:hAnsi="宋体" w:eastAsia="宋体" w:cs="宋体"/>
          <w:bCs/>
          <w:sz w:val="21"/>
          <w:szCs w:val="21"/>
          <w:highlight w:val="none"/>
          <w:lang w:eastAsia="zh-CN"/>
        </w:rPr>
        <w:t>人</w:t>
      </w:r>
      <w:r>
        <w:rPr>
          <w:rFonts w:hint="eastAsia" w:ascii="宋体" w:hAnsi="宋体" w:eastAsia="宋体" w:cs="宋体"/>
          <w:bCs/>
          <w:sz w:val="21"/>
          <w:szCs w:val="21"/>
          <w:highlight w:val="none"/>
        </w:rPr>
        <w:t>。即经评审，某供应商</w:t>
      </w:r>
      <w:r>
        <w:rPr>
          <w:rFonts w:hint="eastAsia" w:ascii="宋体" w:hAnsi="宋体" w:eastAsia="宋体" w:cs="宋体"/>
          <w:bCs/>
          <w:sz w:val="21"/>
          <w:szCs w:val="21"/>
          <w:highlight w:val="none"/>
          <w:lang w:eastAsia="zh-CN"/>
        </w:rPr>
        <w:t>分标</w:t>
      </w:r>
      <w:r>
        <w:rPr>
          <w:rFonts w:hint="eastAsia" w:ascii="宋体" w:hAnsi="宋体" w:eastAsia="宋体" w:cs="宋体"/>
          <w:bCs/>
          <w:sz w:val="21"/>
          <w:szCs w:val="21"/>
          <w:highlight w:val="none"/>
        </w:rPr>
        <w:t>1、2均排名第一，则该供应商只能作为</w:t>
      </w:r>
      <w:r>
        <w:rPr>
          <w:rFonts w:hint="eastAsia" w:ascii="宋体" w:hAnsi="宋体" w:eastAsia="宋体" w:cs="宋体"/>
          <w:bCs/>
          <w:sz w:val="21"/>
          <w:szCs w:val="21"/>
          <w:highlight w:val="none"/>
          <w:lang w:eastAsia="zh-CN"/>
        </w:rPr>
        <w:t>分标</w:t>
      </w: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eastAsia="zh-CN"/>
        </w:rPr>
        <w:t>中标</w:t>
      </w:r>
      <w:r>
        <w:rPr>
          <w:rFonts w:hint="eastAsia" w:ascii="宋体" w:hAnsi="宋体" w:eastAsia="宋体" w:cs="宋体"/>
          <w:bCs/>
          <w:sz w:val="21"/>
          <w:szCs w:val="21"/>
          <w:highlight w:val="none"/>
        </w:rPr>
        <w:t>候选人，</w:t>
      </w:r>
      <w:r>
        <w:rPr>
          <w:rFonts w:hint="eastAsia" w:ascii="宋体" w:hAnsi="宋体" w:eastAsia="宋体" w:cs="宋体"/>
          <w:bCs/>
          <w:sz w:val="21"/>
          <w:szCs w:val="21"/>
          <w:highlight w:val="none"/>
          <w:lang w:eastAsia="zh-CN"/>
        </w:rPr>
        <w:t>分标</w:t>
      </w:r>
      <w:r>
        <w:rPr>
          <w:rFonts w:hint="eastAsia" w:ascii="宋体" w:hAnsi="宋体" w:eastAsia="宋体" w:cs="宋体"/>
          <w:bCs/>
          <w:sz w:val="21"/>
          <w:szCs w:val="21"/>
          <w:highlight w:val="none"/>
        </w:rPr>
        <w:t>2推荐</w:t>
      </w:r>
      <w:r>
        <w:rPr>
          <w:rFonts w:hint="eastAsia" w:ascii="宋体" w:hAnsi="宋体" w:eastAsia="宋体" w:cs="宋体"/>
          <w:bCs/>
          <w:sz w:val="21"/>
          <w:szCs w:val="21"/>
          <w:highlight w:val="none"/>
          <w:lang w:eastAsia="zh-CN"/>
        </w:rPr>
        <w:t>排名第二的作</w:t>
      </w:r>
      <w:r>
        <w:rPr>
          <w:rFonts w:hint="eastAsia" w:ascii="宋体" w:hAnsi="宋体" w:eastAsia="宋体" w:cs="宋体"/>
          <w:bCs/>
          <w:sz w:val="21"/>
          <w:szCs w:val="21"/>
          <w:highlight w:val="none"/>
        </w:rPr>
        <w:t>为</w:t>
      </w:r>
      <w:r>
        <w:rPr>
          <w:rFonts w:hint="eastAsia" w:ascii="宋体" w:hAnsi="宋体" w:eastAsia="宋体" w:cs="宋体"/>
          <w:bCs/>
          <w:sz w:val="21"/>
          <w:szCs w:val="21"/>
          <w:highlight w:val="none"/>
          <w:lang w:eastAsia="zh-CN"/>
        </w:rPr>
        <w:t>中标</w:t>
      </w:r>
      <w:r>
        <w:rPr>
          <w:rFonts w:hint="eastAsia" w:ascii="宋体" w:hAnsi="宋体" w:eastAsia="宋体" w:cs="宋体"/>
          <w:bCs/>
          <w:sz w:val="21"/>
          <w:szCs w:val="21"/>
          <w:highlight w:val="none"/>
        </w:rPr>
        <w:t>候选人。</w:t>
      </w:r>
    </w:p>
    <w:p w14:paraId="681E0FE7">
      <w:pPr>
        <w:pStyle w:val="27"/>
        <w:pageBreakBefore w:val="0"/>
        <w:kinsoku/>
        <w:wordWrap/>
        <w:overflowPunct/>
        <w:topLinePunct w:val="0"/>
        <w:autoSpaceDE/>
        <w:autoSpaceDN/>
        <w:bidi w:val="0"/>
        <w:snapToGrid/>
        <w:spacing w:line="400" w:lineRule="exact"/>
        <w:ind w:firstLine="420" w:firstLineChars="200"/>
        <w:contextualSpacing/>
        <w:textAlignment w:val="auto"/>
        <w:rPr>
          <w:rFonts w:hint="eastAsia" w:ascii="宋体" w:hAnsi="宋体" w:eastAsia="宋体" w:cs="宋体"/>
          <w:highlight w:val="none"/>
        </w:rPr>
      </w:pPr>
    </w:p>
    <w:p w14:paraId="3EC673C6">
      <w:pPr>
        <w:pStyle w:val="3"/>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sz w:val="30"/>
          <w:szCs w:val="30"/>
          <w:highlight w:val="none"/>
          <w:lang w:val="en-US" w:eastAsia="zh-CN"/>
        </w:rPr>
      </w:pPr>
      <w:bookmarkStart w:id="94" w:name="_Toc965"/>
      <w:bookmarkStart w:id="95" w:name="_Toc25888"/>
      <w:bookmarkStart w:id="96" w:name="_Toc21687"/>
      <w:r>
        <w:rPr>
          <w:rFonts w:hint="eastAsia" w:ascii="宋体" w:hAnsi="宋体" w:eastAsia="宋体" w:cs="宋体"/>
          <w:sz w:val="30"/>
          <w:szCs w:val="30"/>
          <w:highlight w:val="none"/>
          <w:lang w:val="en-US" w:eastAsia="zh-CN"/>
        </w:rPr>
        <w:t>第五节 评标报告</w:t>
      </w:r>
      <w:bookmarkEnd w:id="94"/>
      <w:bookmarkEnd w:id="95"/>
      <w:bookmarkEnd w:id="96"/>
    </w:p>
    <w:p w14:paraId="1F6127A9">
      <w:pPr>
        <w:pStyle w:val="215"/>
        <w:pageBreakBefore w:val="0"/>
        <w:kinsoku/>
        <w:wordWrap/>
        <w:overflowPunct/>
        <w:topLinePunct w:val="0"/>
        <w:autoSpaceDE/>
        <w:autoSpaceDN/>
        <w:bidi w:val="0"/>
        <w:snapToGrid/>
        <w:spacing w:before="0" w:line="400" w:lineRule="exact"/>
        <w:ind w:firstLine="482"/>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（一）评标报告与推荐中标候选人</w:t>
      </w:r>
    </w:p>
    <w:p w14:paraId="387522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评标委员会根据原始评标记录和评标结果编写评标报告，并通过电子交易平台向采购人、采购代理机构提交。</w:t>
      </w:r>
    </w:p>
    <w:p w14:paraId="096D24FF">
      <w:pPr>
        <w:pageBreakBefore w:val="0"/>
        <w:widowControl/>
        <w:kinsoku/>
        <w:wordWrap/>
        <w:overflowPunct/>
        <w:topLinePunct w:val="0"/>
        <w:autoSpaceDE/>
        <w:autoSpaceDN/>
        <w:bidi w:val="0"/>
        <w:snapToGrid/>
        <w:spacing w:line="400" w:lineRule="exact"/>
        <w:ind w:firstLine="422" w:firstLineChars="2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（二）评标争议事项处理</w:t>
      </w:r>
    </w:p>
    <w:p w14:paraId="12D033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评标委员会成员对需要共同认定的事项存在争议的，应当按照少数服从多数的原则作出结论。持不同意见的评标委员会成员应当在评标报告上签署不同意见及理由，否则视为同意评标报告。</w:t>
      </w:r>
    </w:p>
    <w:bookmarkEnd w:id="51"/>
    <w:bookmarkEnd w:id="52"/>
    <w:bookmarkEnd w:id="77"/>
    <w:p w14:paraId="17214C63">
      <w:pPr>
        <w:spacing w:before="120" w:line="320" w:lineRule="atLeast"/>
        <w:ind w:firstLine="420" w:firstLineChars="200"/>
        <w:rPr>
          <w:rFonts w:hint="eastAsia" w:ascii="宋体" w:hAnsi="宋体" w:eastAsia="宋体" w:cs="宋体"/>
          <w:color w:val="auto"/>
          <w:szCs w:val="21"/>
          <w:highlight w:val="none"/>
        </w:rPr>
      </w:pPr>
      <w:bookmarkStart w:id="97" w:name="_Hlk80957087"/>
    </w:p>
    <w:bookmarkEnd w:id="97"/>
    <w:p w14:paraId="27B48918">
      <w:pPr>
        <w:pStyle w:val="27"/>
        <w:snapToGrid w:val="0"/>
        <w:spacing w:before="120" w:after="120"/>
        <w:outlineLvl w:val="0"/>
        <w:rPr>
          <w:rFonts w:hint="eastAsia" w:ascii="宋体" w:hAnsi="宋体" w:eastAsia="宋体" w:cs="宋体"/>
          <w:b/>
          <w:color w:val="auto"/>
          <w:sz w:val="32"/>
          <w:szCs w:val="32"/>
          <w:highlight w:val="none"/>
        </w:rPr>
        <w:sectPr>
          <w:headerReference r:id="rId13"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6ABDCB04">
      <w:pPr>
        <w:pStyle w:val="2"/>
        <w:keepNext/>
        <w:keepLines/>
        <w:pageBreakBefore w:val="0"/>
        <w:widowControl w:val="0"/>
        <w:kinsoku/>
        <w:wordWrap/>
        <w:overflowPunct/>
        <w:topLinePunct w:val="0"/>
        <w:autoSpaceDE/>
        <w:autoSpaceDN/>
        <w:bidi w:val="0"/>
        <w:adjustRightInd/>
        <w:snapToGrid/>
        <w:spacing w:before="30" w:after="30" w:line="360" w:lineRule="auto"/>
        <w:ind w:left="0" w:leftChars="0" w:right="0" w:rightChars="0" w:firstLine="0" w:firstLineChars="0"/>
        <w:jc w:val="center"/>
        <w:textAlignment w:val="auto"/>
        <w:rPr>
          <w:rFonts w:hint="eastAsia" w:ascii="Times New Roman" w:hAnsi="Times New Roman" w:eastAsia="宋体" w:cs="Times New Roman"/>
          <w:sz w:val="32"/>
          <w:szCs w:val="32"/>
        </w:rPr>
      </w:pPr>
      <w:bookmarkStart w:id="98" w:name="_Toc8760"/>
      <w:bookmarkStart w:id="99" w:name="_Toc14508"/>
      <w:bookmarkStart w:id="100" w:name="_Hlk160525271"/>
      <w:bookmarkStart w:id="101" w:name="_Hlk132792163"/>
      <w:r>
        <w:rPr>
          <w:rFonts w:hint="eastAsia" w:ascii="Times New Roman" w:hAnsi="Times New Roman" w:eastAsia="宋体" w:cs="Times New Roman"/>
          <w:sz w:val="32"/>
          <w:szCs w:val="32"/>
        </w:rPr>
        <w:t>第五章  合同主要条款格式</w:t>
      </w:r>
      <w:bookmarkEnd w:id="98"/>
      <w:bookmarkEnd w:id="99"/>
    </w:p>
    <w:bookmarkEnd w:id="100"/>
    <w:p w14:paraId="39C090C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《广西壮族自治区政府采购合同》</w:t>
      </w:r>
    </w:p>
    <w:p w14:paraId="23C809E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000000"/>
          <w:sz w:val="32"/>
          <w:szCs w:val="32"/>
          <w:highlight w:val="none"/>
        </w:rPr>
      </w:pPr>
      <w:r>
        <w:rPr>
          <w:rFonts w:hint="eastAsia" w:ascii="宋体" w:hAnsi="宋体" w:eastAsia="宋体" w:cs="宋体"/>
          <w:b/>
          <w:color w:val="000000"/>
          <w:sz w:val="32"/>
          <w:szCs w:val="32"/>
          <w:highlight w:val="none"/>
        </w:rPr>
        <w:t>文本</w:t>
      </w:r>
    </w:p>
    <w:p w14:paraId="033D4C7A">
      <w:pPr>
        <w:keepNext w:val="0"/>
        <w:keepLines w:val="0"/>
        <w:pageBreakBefore w:val="0"/>
        <w:kinsoku/>
        <w:wordWrap/>
        <w:overflowPunct/>
        <w:topLinePunct w:val="0"/>
        <w:bidi w:val="0"/>
        <w:snapToGrid w:val="0"/>
        <w:spacing w:line="400" w:lineRule="exact"/>
        <w:ind w:right="480"/>
        <w:textAlignment w:val="auto"/>
        <w:rPr>
          <w:rFonts w:hint="eastAsia" w:ascii="宋体" w:hAnsi="宋体" w:eastAsia="宋体" w:cs="宋体"/>
          <w:bCs/>
          <w:color w:val="000000"/>
          <w:sz w:val="21"/>
          <w:szCs w:val="21"/>
          <w:highlight w:val="none"/>
          <w:u w:val="single"/>
        </w:rPr>
      </w:pPr>
      <w:r>
        <w:rPr>
          <w:rFonts w:hint="eastAsia" w:ascii="宋体" w:hAnsi="宋体" w:eastAsia="宋体" w:cs="宋体"/>
          <w:bCs/>
          <w:color w:val="000000"/>
          <w:sz w:val="21"/>
          <w:szCs w:val="21"/>
          <w:highlight w:val="none"/>
        </w:rPr>
        <w:t>合同编号</w:t>
      </w:r>
      <w:r>
        <w:rPr>
          <w:rFonts w:hint="eastAsia" w:ascii="宋体" w:hAnsi="宋体" w:eastAsia="宋体" w:cs="宋体"/>
          <w:bCs/>
          <w:color w:val="000000"/>
          <w:sz w:val="21"/>
          <w:szCs w:val="21"/>
          <w:highlight w:val="none"/>
          <w:lang w:eastAsia="zh-CN"/>
        </w:rPr>
        <w:t>：</w:t>
      </w:r>
      <w:r>
        <w:rPr>
          <w:rFonts w:hint="eastAsia" w:ascii="宋体" w:hAnsi="宋体" w:cs="宋体"/>
          <w:bCs/>
          <w:color w:val="000000"/>
          <w:sz w:val="21"/>
          <w:szCs w:val="21"/>
          <w:highlight w:val="none"/>
          <w:lang w:eastAsia="zh-CN"/>
        </w:rPr>
        <w:t>QZZC2025-G3-210313-HCZX</w:t>
      </w:r>
    </w:p>
    <w:p w14:paraId="590CCF06">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color w:val="000000"/>
          <w:sz w:val="21"/>
          <w:szCs w:val="21"/>
          <w:highlight w:val="none"/>
        </w:rPr>
      </w:pPr>
    </w:p>
    <w:p w14:paraId="6C52B68F">
      <w:pPr>
        <w:keepNext w:val="0"/>
        <w:keepLines w:val="0"/>
        <w:pageBreakBefore w:val="0"/>
        <w:kinsoku/>
        <w:wordWrap/>
        <w:overflowPunct/>
        <w:topLinePunct w:val="0"/>
        <w:autoSpaceDE/>
        <w:autoSpaceDN/>
        <w:bidi w:val="0"/>
        <w:adjustRightInd/>
        <w:snapToGrid w:val="0"/>
        <w:spacing w:line="400" w:lineRule="exact"/>
        <w:textAlignment w:val="auto"/>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采购人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甲方）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采购计划号</w:t>
      </w:r>
      <w:r>
        <w:rPr>
          <w:rFonts w:hint="eastAsia" w:ascii="宋体" w:hAnsi="宋体" w:eastAsia="宋体" w:cs="宋体"/>
          <w:color w:val="000000"/>
          <w:sz w:val="21"/>
          <w:szCs w:val="21"/>
          <w:highlight w:val="none"/>
          <w:u w:val="single"/>
          <w:lang w:val="en-US" w:eastAsia="zh-CN"/>
        </w:rPr>
        <w:t xml:space="preserve">                         </w:t>
      </w:r>
    </w:p>
    <w:p w14:paraId="216E375C">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乙方）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招标编号</w:t>
      </w:r>
      <w:r>
        <w:rPr>
          <w:rFonts w:hint="eastAsia" w:ascii="宋体" w:hAnsi="宋体" w:cs="宋体"/>
          <w:color w:val="000000"/>
          <w:sz w:val="21"/>
          <w:szCs w:val="21"/>
          <w:highlight w:val="none"/>
          <w:u w:val="single"/>
          <w:lang w:eastAsia="zh-CN"/>
        </w:rPr>
        <w:t>QZZC2025-G3-210313-HCZX</w:t>
      </w:r>
    </w:p>
    <w:p w14:paraId="580B3703">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签订地点</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签订时间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lang w:eastAsia="zh-CN"/>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lang w:eastAsia="zh-CN"/>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lang w:eastAsia="zh-CN"/>
        </w:rPr>
        <w:t>日</w:t>
      </w:r>
    </w:p>
    <w:p w14:paraId="63918D1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本合同为中小企业预留合同</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u w:val="single"/>
          <w:lang w:val="en-US" w:eastAsia="zh-CN"/>
        </w:rPr>
        <w:t>是</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p>
    <w:p w14:paraId="5F8D9897">
      <w:pPr>
        <w:shd w:val="clear" w:color="auto" w:fill="FFFFFF"/>
        <w:snapToGrid w:val="0"/>
        <w:spacing w:line="390" w:lineRule="exact"/>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根据《中华人民共和国政府采购法》、《中华人民共和国民法典》等法律、法规规定，按照</w:t>
      </w:r>
      <w:r>
        <w:rPr>
          <w:rFonts w:hint="eastAsia" w:ascii="宋体" w:hAnsi="宋体" w:eastAsia="宋体" w:cs="宋体"/>
          <w:bCs/>
          <w:color w:val="000000"/>
          <w:szCs w:val="21"/>
          <w:highlight w:val="none"/>
          <w:lang w:eastAsia="zh-CN"/>
        </w:rPr>
        <w:t>招标文件</w:t>
      </w:r>
      <w:r>
        <w:rPr>
          <w:rFonts w:hint="eastAsia" w:ascii="宋体" w:hAnsi="宋体" w:eastAsia="宋体" w:cs="宋体"/>
          <w:bCs/>
          <w:color w:val="000000"/>
          <w:szCs w:val="21"/>
          <w:highlight w:val="none"/>
        </w:rPr>
        <w:t>规定条款和</w:t>
      </w:r>
      <w:r>
        <w:rPr>
          <w:rFonts w:hint="eastAsia" w:ascii="宋体" w:hAnsi="宋体" w:cs="宋体"/>
          <w:bCs/>
          <w:color w:val="000000"/>
          <w:szCs w:val="21"/>
          <w:highlight w:val="none"/>
          <w:lang w:eastAsia="zh-CN"/>
        </w:rPr>
        <w:t>中标人</w:t>
      </w:r>
      <w:r>
        <w:rPr>
          <w:rFonts w:hint="eastAsia" w:ascii="宋体" w:hAnsi="宋体" w:eastAsia="宋体" w:cs="宋体"/>
          <w:bCs/>
          <w:color w:val="000000"/>
          <w:szCs w:val="21"/>
          <w:highlight w:val="none"/>
        </w:rPr>
        <w:t>承诺，甲乙双方签订本合同。</w:t>
      </w:r>
    </w:p>
    <w:p w14:paraId="626D5C1F">
      <w:pPr>
        <w:shd w:val="clear" w:color="auto" w:fill="FFFFFF"/>
        <w:snapToGrid w:val="0"/>
        <w:spacing w:line="410" w:lineRule="exact"/>
        <w:ind w:firstLine="42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第一条  合同标的</w:t>
      </w:r>
    </w:p>
    <w:p w14:paraId="4A4003FC">
      <w:pPr>
        <w:shd w:val="clear" w:color="auto" w:fill="FFFFFF"/>
        <w:snapToGrid w:val="0"/>
        <w:spacing w:line="410" w:lineRule="exact"/>
        <w:ind w:firstLine="420"/>
        <w:rPr>
          <w:rFonts w:hint="default" w:ascii="宋体" w:hAnsi="宋体" w:eastAsia="宋体" w:cs="宋体"/>
          <w:bCs/>
          <w:color w:val="000000"/>
          <w:szCs w:val="21"/>
          <w:highlight w:val="none"/>
          <w:lang w:val="en-US"/>
        </w:rPr>
      </w:pPr>
      <w:r>
        <w:rPr>
          <w:rFonts w:hint="eastAsia" w:ascii="宋体" w:hAnsi="宋体" w:eastAsia="宋体" w:cs="宋体"/>
          <w:bCs/>
          <w:color w:val="000000"/>
          <w:szCs w:val="21"/>
          <w:highlight w:val="none"/>
        </w:rPr>
        <w:t>1.服务名称：</w:t>
      </w:r>
      <w:r>
        <w:rPr>
          <w:rFonts w:hint="eastAsia" w:ascii="宋体" w:hAnsi="宋体" w:eastAsia="宋体" w:cs="宋体"/>
          <w:bCs/>
          <w:color w:val="000000"/>
          <w:szCs w:val="21"/>
          <w:highlight w:val="none"/>
          <w:u w:val="single"/>
          <w:lang w:val="en-US" w:eastAsia="zh-CN"/>
        </w:rPr>
        <w:t xml:space="preserve">                                                      </w:t>
      </w:r>
    </w:p>
    <w:p w14:paraId="64DAEE63">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2.服务数量：1项</w:t>
      </w:r>
    </w:p>
    <w:p w14:paraId="02714B7A">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3.服务内容：详见“项目采购需求”</w:t>
      </w:r>
    </w:p>
    <w:p w14:paraId="365F86E1">
      <w:pPr>
        <w:shd w:val="clear" w:color="auto" w:fill="FFFFFF"/>
        <w:snapToGrid w:val="0"/>
        <w:spacing w:line="410" w:lineRule="exact"/>
        <w:ind w:firstLine="420"/>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rPr>
        <w:t xml:space="preserve">第二条  </w:t>
      </w:r>
      <w:r>
        <w:rPr>
          <w:rFonts w:hint="eastAsia" w:ascii="宋体" w:hAnsi="宋体" w:eastAsia="宋体" w:cs="宋体"/>
          <w:b/>
          <w:color w:val="000000"/>
          <w:szCs w:val="21"/>
          <w:highlight w:val="none"/>
          <w:lang w:eastAsia="zh-CN"/>
        </w:rPr>
        <w:t>合同价格</w:t>
      </w:r>
    </w:p>
    <w:p w14:paraId="490577F7">
      <w:pPr>
        <w:shd w:val="clear" w:color="auto" w:fill="FFFFFF"/>
        <w:spacing w:line="41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合同总价：（大写）人民币</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none"/>
          <w:lang w:val="en-US" w:eastAsia="zh-CN"/>
        </w:rPr>
        <w:t>元；（小写）</w:t>
      </w:r>
      <w:r>
        <w:rPr>
          <w:rFonts w:hint="eastAsia" w:ascii="宋体" w:hAnsi="宋体" w:eastAsia="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w:t>
      </w:r>
    </w:p>
    <w:p w14:paraId="374FBD34">
      <w:pPr>
        <w:shd w:val="clear" w:color="auto" w:fill="FFFFFF"/>
        <w:snapToGrid w:val="0"/>
        <w:spacing w:line="410" w:lineRule="exact"/>
        <w:ind w:firstLine="420"/>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lang w:eastAsia="zh-CN"/>
        </w:rPr>
        <w:t>合同价格为包干价，包含</w:t>
      </w:r>
      <w:r>
        <w:rPr>
          <w:rFonts w:hint="eastAsia" w:ascii="宋体" w:hAnsi="宋体" w:eastAsia="宋体" w:cs="宋体"/>
          <w:b/>
          <w:color w:val="000000"/>
          <w:szCs w:val="21"/>
          <w:highlight w:val="none"/>
          <w:lang w:val="zh-CN" w:eastAsia="zh-CN"/>
        </w:rPr>
        <w:t>完成本项目服务所需的设备损耗、人工、差旅、运输、税金和管理费等一切费用</w:t>
      </w:r>
      <w:r>
        <w:rPr>
          <w:rFonts w:hint="eastAsia" w:ascii="宋体" w:hAnsi="宋体" w:eastAsia="宋体" w:cs="宋体"/>
          <w:b/>
          <w:color w:val="000000"/>
          <w:szCs w:val="21"/>
          <w:highlight w:val="none"/>
          <w:lang w:eastAsia="zh-CN"/>
        </w:rPr>
        <w:t>。</w:t>
      </w:r>
    </w:p>
    <w:p w14:paraId="77C31986">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第三条  </w:t>
      </w:r>
      <w:r>
        <w:rPr>
          <w:rFonts w:hint="eastAsia" w:ascii="宋体" w:hAnsi="宋体" w:eastAsia="宋体" w:cs="宋体"/>
          <w:b/>
          <w:color w:val="000000"/>
          <w:szCs w:val="21"/>
          <w:highlight w:val="none"/>
          <w:lang w:eastAsia="zh-CN"/>
        </w:rPr>
        <w:t>交付使用期</w:t>
      </w:r>
      <w:r>
        <w:rPr>
          <w:rFonts w:hint="eastAsia" w:ascii="宋体" w:hAnsi="宋体" w:eastAsia="宋体" w:cs="宋体"/>
          <w:b/>
          <w:color w:val="000000"/>
          <w:szCs w:val="21"/>
          <w:highlight w:val="none"/>
        </w:rPr>
        <w:t>及地点</w:t>
      </w:r>
    </w:p>
    <w:p w14:paraId="2A4AE412">
      <w:pPr>
        <w:shd w:val="clear" w:color="auto" w:fill="FFFFFF"/>
        <w:spacing w:line="400" w:lineRule="exact"/>
        <w:ind w:firstLine="422" w:firstLineChars="200"/>
        <w:rPr>
          <w:rFonts w:hint="eastAsia" w:ascii="宋体" w:hAnsi="宋体" w:eastAsia="宋体" w:cs="宋体"/>
          <w:b/>
          <w:color w:val="000000"/>
          <w:szCs w:val="21"/>
          <w:highlight w:val="none"/>
          <w:u w:val="single"/>
        </w:rPr>
      </w:pPr>
      <w:r>
        <w:rPr>
          <w:rFonts w:hint="eastAsia" w:ascii="宋体" w:hAnsi="宋体" w:eastAsia="宋体" w:cs="宋体"/>
          <w:b/>
          <w:color w:val="000000"/>
          <w:szCs w:val="21"/>
          <w:highlight w:val="none"/>
        </w:rPr>
        <w:t>1、</w:t>
      </w:r>
      <w:r>
        <w:rPr>
          <w:rFonts w:hint="eastAsia" w:ascii="宋体" w:hAnsi="宋体" w:eastAsia="宋体" w:cs="宋体"/>
          <w:b/>
          <w:color w:val="000000"/>
          <w:szCs w:val="21"/>
          <w:highlight w:val="none"/>
          <w:lang w:eastAsia="zh-CN"/>
        </w:rPr>
        <w:t>交付使用期</w:t>
      </w:r>
      <w:r>
        <w:rPr>
          <w:rFonts w:hint="eastAsia" w:ascii="宋体" w:hAnsi="宋体" w:eastAsia="宋体" w:cs="宋体"/>
          <w:b/>
          <w:color w:val="00000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77328095">
      <w:pPr>
        <w:shd w:val="clear" w:color="auto" w:fill="FFFFFF"/>
        <w:snapToGrid w:val="0"/>
        <w:spacing w:line="410" w:lineRule="exact"/>
        <w:ind w:firstLine="420"/>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rPr>
        <w:t>2、服务地点：</w:t>
      </w:r>
      <w:r>
        <w:rPr>
          <w:rFonts w:hint="eastAsia" w:ascii="宋体" w:hAnsi="宋体" w:eastAsia="宋体" w:cs="宋体"/>
          <w:b w:val="0"/>
          <w:bCs/>
          <w:color w:val="000000"/>
          <w:szCs w:val="21"/>
          <w:highlight w:val="none"/>
        </w:rPr>
        <w:t>钦州市灵山县内灵山县人民医院采购人指定地点</w:t>
      </w:r>
      <w:r>
        <w:rPr>
          <w:rFonts w:hint="eastAsia" w:ascii="宋体" w:hAnsi="宋体" w:eastAsia="宋体" w:cs="宋体"/>
          <w:b w:val="0"/>
          <w:bCs/>
          <w:color w:val="000000"/>
          <w:szCs w:val="21"/>
          <w:highlight w:val="none"/>
          <w:lang w:eastAsia="zh-CN"/>
        </w:rPr>
        <w:t>。</w:t>
      </w:r>
    </w:p>
    <w:p w14:paraId="725B91A4">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乙方所提供的服务必须与</w:t>
      </w:r>
      <w:r>
        <w:rPr>
          <w:rFonts w:hint="eastAsia" w:ascii="宋体" w:hAnsi="宋体" w:eastAsia="宋体" w:cs="宋体"/>
          <w:color w:val="000000"/>
          <w:szCs w:val="21"/>
          <w:highlight w:val="none"/>
          <w:lang w:eastAsia="zh-CN"/>
        </w:rPr>
        <w:t>投标文件</w:t>
      </w:r>
      <w:r>
        <w:rPr>
          <w:rFonts w:hint="eastAsia" w:ascii="宋体" w:hAnsi="宋体" w:eastAsia="宋体" w:cs="宋体"/>
          <w:color w:val="000000"/>
          <w:szCs w:val="21"/>
          <w:highlight w:val="none"/>
        </w:rPr>
        <w:t>和承诺相一致且符合相应的服务规范及标准。</w:t>
      </w:r>
    </w:p>
    <w:p w14:paraId="1F6DA6B4">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第四条  售后服务、质保期</w:t>
      </w:r>
    </w:p>
    <w:p w14:paraId="72AEA04B">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1.乙方应按照国家有关法律法规和“三包”规定以及</w:t>
      </w:r>
      <w:r>
        <w:rPr>
          <w:rFonts w:hint="eastAsia" w:ascii="宋体" w:hAnsi="宋体" w:eastAsia="宋体" w:cs="宋体"/>
          <w:color w:val="000000"/>
          <w:szCs w:val="21"/>
          <w:highlight w:val="none"/>
          <w:lang w:eastAsia="zh-CN"/>
        </w:rPr>
        <w:t>招标文件</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eastAsia="zh-CN"/>
        </w:rPr>
        <w:t>投标文件</w:t>
      </w:r>
      <w:r>
        <w:rPr>
          <w:rFonts w:hint="eastAsia" w:ascii="宋体" w:hAnsi="宋体" w:eastAsia="宋体" w:cs="宋体"/>
          <w:color w:val="000000"/>
          <w:szCs w:val="21"/>
          <w:highlight w:val="none"/>
        </w:rPr>
        <w:t>和本合同所附的《服务承诺》，为甲方提供售后服务。</w:t>
      </w:r>
    </w:p>
    <w:p w14:paraId="42ED72AF">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2.乙方提供的服务承诺、质保期及其它具体约定事项。（见合同附件）</w:t>
      </w:r>
    </w:p>
    <w:p w14:paraId="3665135F">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第五条 付款方式</w:t>
      </w:r>
    </w:p>
    <w:p w14:paraId="6164FF39">
      <w:pPr>
        <w:shd w:val="clear" w:color="auto" w:fill="FFFFFF"/>
        <w:snapToGrid w:val="0"/>
        <w:spacing w:line="410" w:lineRule="exact"/>
        <w:ind w:firstLine="420"/>
        <w:rPr>
          <w:rFonts w:hint="eastAsia" w:ascii="宋体" w:hAnsi="宋体" w:eastAsia="宋体" w:cs="宋体"/>
          <w:b w:val="0"/>
          <w:bCs w:val="0"/>
          <w:color w:val="000000"/>
          <w:highlight w:val="none"/>
          <w:lang w:eastAsia="zh-CN"/>
        </w:rPr>
      </w:pPr>
      <w:r>
        <w:rPr>
          <w:rFonts w:hint="eastAsia" w:ascii="宋体" w:hAnsi="宋体" w:eastAsia="宋体" w:cs="宋体"/>
          <w:b w:val="0"/>
          <w:bCs w:val="0"/>
          <w:color w:val="000000"/>
          <w:highlight w:val="none"/>
          <w:u w:val="single"/>
          <w:lang w:eastAsia="zh-CN"/>
        </w:rPr>
        <w:t>按各分标付款方式执行</w:t>
      </w:r>
      <w:r>
        <w:rPr>
          <w:rFonts w:hint="eastAsia" w:ascii="宋体" w:hAnsi="宋体" w:eastAsia="宋体" w:cs="宋体"/>
          <w:b w:val="0"/>
          <w:bCs w:val="0"/>
          <w:color w:val="000000"/>
          <w:highlight w:val="none"/>
          <w:lang w:eastAsia="zh-CN"/>
        </w:rPr>
        <w:t>。</w:t>
      </w:r>
    </w:p>
    <w:p w14:paraId="0C63CD07">
      <w:pPr>
        <w:shd w:val="clear" w:color="auto" w:fill="FFFFFF"/>
        <w:snapToGrid w:val="0"/>
        <w:spacing w:line="410" w:lineRule="exact"/>
        <w:ind w:firstLine="420"/>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eastAsia="zh-CN"/>
        </w:rPr>
        <w:t>乙方指定收款账户</w:t>
      </w:r>
      <w:r>
        <w:rPr>
          <w:rFonts w:hint="eastAsia" w:ascii="宋体" w:hAnsi="宋体" w:eastAsia="宋体" w:cs="宋体"/>
          <w:b w:val="0"/>
          <w:bCs w:val="0"/>
          <w:color w:val="000000"/>
          <w:highlight w:val="none"/>
          <w:lang w:val="en-US" w:eastAsia="zh-CN"/>
        </w:rPr>
        <w:t>：</w:t>
      </w:r>
    </w:p>
    <w:p w14:paraId="68D3F541">
      <w:pPr>
        <w:shd w:val="clear" w:color="auto" w:fill="FFFFFF"/>
        <w:snapToGrid w:val="0"/>
        <w:spacing w:line="410" w:lineRule="exact"/>
        <w:ind w:firstLine="420"/>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开户名称：</w:t>
      </w:r>
    </w:p>
    <w:p w14:paraId="45A62A0C">
      <w:pPr>
        <w:shd w:val="clear" w:color="auto" w:fill="FFFFFF"/>
        <w:snapToGrid w:val="0"/>
        <w:spacing w:line="410" w:lineRule="exact"/>
        <w:ind w:firstLine="420"/>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开户银行：</w:t>
      </w:r>
    </w:p>
    <w:p w14:paraId="705D07F7">
      <w:pPr>
        <w:shd w:val="clear" w:color="auto" w:fill="FFFFFF"/>
        <w:snapToGrid w:val="0"/>
        <w:spacing w:line="410" w:lineRule="exact"/>
        <w:ind w:firstLine="420"/>
        <w:rPr>
          <w:rFonts w:hint="default"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val="en-US" w:eastAsia="zh-CN"/>
        </w:rPr>
        <w:t>账号：</w:t>
      </w:r>
    </w:p>
    <w:p w14:paraId="230F11AF">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第六条 税费本合同执行中相关的一切税费均由乙方负担。</w:t>
      </w:r>
    </w:p>
    <w:p w14:paraId="55655C78">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第七条 验收</w:t>
      </w:r>
    </w:p>
    <w:p w14:paraId="310B6D0D">
      <w:pPr>
        <w:shd w:val="clear" w:color="auto" w:fill="FFFFFF"/>
        <w:snapToGrid w:val="0"/>
        <w:spacing w:line="41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1.甲方对乙方提交的服务依</w:t>
      </w:r>
      <w:r>
        <w:rPr>
          <w:rFonts w:hint="eastAsia" w:ascii="宋体" w:hAnsi="宋体" w:eastAsia="宋体" w:cs="宋体"/>
          <w:color w:val="000000"/>
          <w:szCs w:val="21"/>
          <w:highlight w:val="none"/>
          <w:lang w:eastAsia="zh-CN"/>
        </w:rPr>
        <w:t>招标文件</w:t>
      </w:r>
      <w:r>
        <w:rPr>
          <w:rFonts w:hint="eastAsia" w:ascii="宋体" w:hAnsi="宋体" w:eastAsia="宋体" w:cs="宋体"/>
          <w:color w:val="000000"/>
          <w:szCs w:val="21"/>
          <w:highlight w:val="none"/>
        </w:rPr>
        <w:t>上的服务要求和国家有关质量标准进行现场初步验收，符合</w:t>
      </w:r>
      <w:r>
        <w:rPr>
          <w:rFonts w:hint="eastAsia" w:ascii="宋体" w:hAnsi="宋体" w:eastAsia="宋体" w:cs="宋体"/>
          <w:color w:val="000000"/>
          <w:szCs w:val="21"/>
          <w:highlight w:val="none"/>
          <w:lang w:eastAsia="zh-CN"/>
        </w:rPr>
        <w:t>招标文件</w:t>
      </w:r>
      <w:r>
        <w:rPr>
          <w:rFonts w:hint="eastAsia" w:ascii="宋体" w:hAnsi="宋体" w:eastAsia="宋体" w:cs="宋体"/>
          <w:color w:val="000000"/>
          <w:szCs w:val="21"/>
          <w:highlight w:val="none"/>
        </w:rPr>
        <w:t>技术要求的，给予签收，初步验收不合格的不予签收。甲方应当在乙方的服务成果提交后七个工作日内进行验收。</w:t>
      </w:r>
    </w:p>
    <w:p w14:paraId="26DABF05">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2.乙方提交服务成果前应对提交的服务成果作出全面检查和对验收文件进行整理，并列出清单，作为甲方验收和使用的技术条件依据，检验的结果应随服务成果交给甲方。</w:t>
      </w:r>
    </w:p>
    <w:p w14:paraId="383E6754">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3.对技术复杂的服务，甲方应请国家认可的专业检测机构参与初步验收及最终验收，并由其出具质量检测报告。</w:t>
      </w:r>
    </w:p>
    <w:p w14:paraId="06908E01">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4.验收时乙方必须在现场，验收完毕后作出验收结果报告；验收费用由乙方负责。</w:t>
      </w:r>
    </w:p>
    <w:p w14:paraId="01615207">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第八条 违约责任</w:t>
      </w:r>
    </w:p>
    <w:p w14:paraId="1BEDC3F4">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1.乙方所提供的服务成果质量不合格的，应及时更换，更换不及时的按逾期提交服务成果处罚；因质量问题甲方不同意</w:t>
      </w:r>
      <w:r>
        <w:rPr>
          <w:rFonts w:hint="eastAsia" w:ascii="宋体" w:hAnsi="宋体" w:eastAsia="宋体" w:cs="宋体"/>
          <w:color w:val="000000"/>
          <w:szCs w:val="21"/>
          <w:highlight w:val="none"/>
          <w:lang w:val="en-US" w:eastAsia="zh-CN"/>
        </w:rPr>
        <w:t>验收</w:t>
      </w:r>
      <w:r>
        <w:rPr>
          <w:rFonts w:hint="eastAsia" w:ascii="宋体" w:hAnsi="宋体" w:eastAsia="宋体" w:cs="宋体"/>
          <w:color w:val="000000"/>
          <w:szCs w:val="21"/>
          <w:highlight w:val="none"/>
        </w:rPr>
        <w:t>的，乙方应向甲方支付违约服务成果款额</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%违约金并赔偿甲方经济损失。</w:t>
      </w:r>
    </w:p>
    <w:p w14:paraId="76043D07">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2.甲方无故延期接收服务成果、乙方逾期提交服务成果的，每天向对方偿付违约服务成果款额</w:t>
      </w:r>
      <w:r>
        <w:rPr>
          <w:rFonts w:hint="eastAsia" w:ascii="宋体" w:hAnsi="宋体" w:eastAsia="宋体" w:cs="宋体"/>
          <w:color w:val="000000"/>
          <w:szCs w:val="21"/>
          <w:highlight w:val="none"/>
          <w:u w:val="single"/>
        </w:rPr>
        <w:t>3</w:t>
      </w:r>
      <w:r>
        <w:rPr>
          <w:rFonts w:hint="eastAsia" w:ascii="宋体" w:hAnsi="宋体" w:eastAsia="宋体" w:cs="宋体"/>
          <w:color w:val="000000"/>
          <w:szCs w:val="21"/>
          <w:highlight w:val="none"/>
        </w:rPr>
        <w:t>‰违约金，超过</w:t>
      </w:r>
      <w:r>
        <w:rPr>
          <w:rFonts w:hint="eastAsia" w:ascii="宋体" w:hAnsi="宋体" w:eastAsia="宋体" w:cs="宋体"/>
          <w:color w:val="000000"/>
          <w:szCs w:val="21"/>
          <w:highlight w:val="none"/>
          <w:u w:val="single"/>
        </w:rPr>
        <w:t>20</w:t>
      </w:r>
      <w:r>
        <w:rPr>
          <w:rFonts w:hint="eastAsia" w:ascii="宋体" w:hAnsi="宋体" w:eastAsia="宋体" w:cs="宋体"/>
          <w:color w:val="000000"/>
          <w:szCs w:val="21"/>
          <w:highlight w:val="none"/>
        </w:rPr>
        <w:t>天对方有权解除合同，违约方承担因此给对方造成经济损失；甲方逾期付服务成果款的，每天向乙方偿付逾期服务成果款额</w:t>
      </w:r>
      <w:r>
        <w:rPr>
          <w:rFonts w:hint="eastAsia" w:ascii="宋体" w:hAnsi="宋体" w:eastAsia="宋体" w:cs="宋体"/>
          <w:color w:val="000000"/>
          <w:szCs w:val="21"/>
          <w:highlight w:val="none"/>
          <w:u w:val="single"/>
        </w:rPr>
        <w:t>3</w:t>
      </w:r>
      <w:r>
        <w:rPr>
          <w:rFonts w:hint="eastAsia" w:ascii="宋体" w:hAnsi="宋体" w:eastAsia="宋体" w:cs="宋体"/>
          <w:color w:val="000000"/>
          <w:szCs w:val="21"/>
          <w:highlight w:val="none"/>
        </w:rPr>
        <w:t>‰滞纳金。</w:t>
      </w:r>
    </w:p>
    <w:p w14:paraId="27C688AE">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3.乙方未按本合同和</w:t>
      </w:r>
      <w:r>
        <w:rPr>
          <w:rFonts w:hint="eastAsia" w:ascii="宋体" w:hAnsi="宋体" w:eastAsia="宋体" w:cs="宋体"/>
          <w:color w:val="000000"/>
          <w:szCs w:val="21"/>
          <w:highlight w:val="none"/>
          <w:lang w:eastAsia="zh-CN"/>
        </w:rPr>
        <w:t>投标文件</w:t>
      </w:r>
      <w:r>
        <w:rPr>
          <w:rFonts w:hint="eastAsia" w:ascii="宋体" w:hAnsi="宋体" w:eastAsia="宋体" w:cs="宋体"/>
          <w:color w:val="000000"/>
          <w:szCs w:val="21"/>
          <w:highlight w:val="none"/>
        </w:rPr>
        <w:t>中规定的服务承诺提供售后服务的，乙方应按本合同的合计金额</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%向甲方支付违约金。</w:t>
      </w:r>
    </w:p>
    <w:p w14:paraId="06A76D4E">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4.乙方提供的服务成果在质量保证期内，因</w:t>
      </w:r>
      <w:r>
        <w:rPr>
          <w:rFonts w:hint="eastAsia" w:ascii="宋体" w:hAnsi="宋体" w:eastAsia="宋体" w:cs="宋体"/>
          <w:color w:val="000000"/>
          <w:szCs w:val="21"/>
          <w:highlight w:val="none"/>
          <w:lang w:eastAsia="zh-CN"/>
        </w:rPr>
        <w:t>供应商</w:t>
      </w:r>
      <w:r>
        <w:rPr>
          <w:rFonts w:hint="eastAsia" w:ascii="宋体" w:hAnsi="宋体" w:eastAsia="宋体" w:cs="宋体"/>
          <w:color w:val="000000"/>
          <w:szCs w:val="21"/>
          <w:highlight w:val="none"/>
        </w:rPr>
        <w:t>和其它质量原因造成的问题，乙方负责。</w:t>
      </w:r>
    </w:p>
    <w:p w14:paraId="3CB84DF2">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5.其它违约行为按违约服务成果款额</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%收取违约金。</w:t>
      </w:r>
    </w:p>
    <w:p w14:paraId="6354D6D7">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6.乙方支付的违约金不足以弥补甲方损失的，应承担赔偿责任。</w:t>
      </w:r>
    </w:p>
    <w:p w14:paraId="0EE62D0C">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第九条 不可抗拒力事件处理</w:t>
      </w:r>
    </w:p>
    <w:p w14:paraId="7295B73F">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1.在合同有效期内，任何一方因不可抗力事件导致不能履行合同，则合同履行期可延长，其延长期与不可抗力影响期相同。</w:t>
      </w:r>
    </w:p>
    <w:p w14:paraId="0DE251B0">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2.不可抗力事件发生后，应立即通知对方，并在三天内将不可抗力事由书面送达对方。</w:t>
      </w:r>
    </w:p>
    <w:p w14:paraId="452BDA24">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3.不可抗力事件延续一百二十天以上，双方应通过友好协商，确定是否继续履行合同。</w:t>
      </w:r>
    </w:p>
    <w:p w14:paraId="256B15F3">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第十条 合同争议解决</w:t>
      </w:r>
    </w:p>
    <w:p w14:paraId="5575FFF0">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1.因服务成果质量问题发生争议的，应邀请国家认可的质量检测机构对货物质量进行鉴定。鉴定费由乙方承担。</w:t>
      </w:r>
    </w:p>
    <w:p w14:paraId="37A92786">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2.因履行本合同引起的或与本合同有关的争议，甲乙双方应首先通过友好协商解决，如果协商不能解决，可向合同履行地（甲方住所地）人民法院提起诉讼。</w:t>
      </w:r>
    </w:p>
    <w:p w14:paraId="5B5D9769">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3.诉讼期间，本合同继续履行</w:t>
      </w:r>
    </w:p>
    <w:p w14:paraId="4FF9FED0">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第十一条 诉讼</w:t>
      </w:r>
    </w:p>
    <w:p w14:paraId="66756A32">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双方在执行合同中所发生的一切争议，应通过协商解决。如果协商不能解决，可甲方所在地人民法院提起诉讼。</w:t>
      </w:r>
    </w:p>
    <w:p w14:paraId="2858A357">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第十二条 合同生效及其它</w:t>
      </w:r>
    </w:p>
    <w:p w14:paraId="2405E43E">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1.本合同经双方法定代表人（负责人）或授权代表签字并加盖</w:t>
      </w:r>
      <w:r>
        <w:rPr>
          <w:rFonts w:hint="eastAsia" w:ascii="宋体" w:hAnsi="宋体" w:eastAsia="宋体" w:cs="宋体"/>
          <w:color w:val="000000"/>
          <w:szCs w:val="21"/>
          <w:highlight w:val="none"/>
          <w:lang w:eastAsia="zh-CN"/>
        </w:rPr>
        <w:t>公章</w:t>
      </w:r>
      <w:r>
        <w:rPr>
          <w:rFonts w:hint="eastAsia" w:ascii="宋体" w:hAnsi="宋体" w:eastAsia="宋体" w:cs="宋体"/>
          <w:color w:val="000000"/>
          <w:szCs w:val="21"/>
          <w:highlight w:val="none"/>
        </w:rPr>
        <w:t>后生效。</w:t>
      </w:r>
    </w:p>
    <w:p w14:paraId="36FC504B">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2.合同执行中涉及采购金额和采购内容修改或补充的，须经财政部门审批，并签书面补充协议报财政部门备案，方可作为主合同不可分割的一部分。</w:t>
      </w:r>
    </w:p>
    <w:p w14:paraId="5442A73B">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3.本合同未尽事宜，遵照《民法典》有关条文执行。</w:t>
      </w:r>
    </w:p>
    <w:p w14:paraId="448EC860">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第十三条 合同的变更、终止与转让</w:t>
      </w:r>
    </w:p>
    <w:p w14:paraId="2DCC623E">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1.除《中华人民共和国政府采购法》第五十条规定的情形外，本合同一经签订，甲乙双方不得擅自变更、中止或终止。</w:t>
      </w:r>
    </w:p>
    <w:p w14:paraId="5F4DE7CF">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2.乙方不得擅自转让其应履行的合同义务。</w:t>
      </w:r>
    </w:p>
    <w:p w14:paraId="4467B633">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第十四条 签订本合同依据</w:t>
      </w:r>
    </w:p>
    <w:p w14:paraId="1B85464F">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1.政府采购</w:t>
      </w:r>
      <w:r>
        <w:rPr>
          <w:rFonts w:hint="eastAsia" w:ascii="宋体" w:hAnsi="宋体" w:eastAsia="宋体" w:cs="宋体"/>
          <w:color w:val="000000"/>
          <w:szCs w:val="21"/>
          <w:highlight w:val="none"/>
          <w:lang w:eastAsia="zh-CN"/>
        </w:rPr>
        <w:t>招标文件</w:t>
      </w:r>
      <w:r>
        <w:rPr>
          <w:rFonts w:hint="eastAsia" w:ascii="宋体" w:hAnsi="宋体" w:eastAsia="宋体" w:cs="宋体"/>
          <w:color w:val="000000"/>
          <w:szCs w:val="21"/>
          <w:highlight w:val="none"/>
        </w:rPr>
        <w:t>；</w:t>
      </w:r>
    </w:p>
    <w:p w14:paraId="6A5B9670">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2.乙方提供的</w:t>
      </w:r>
      <w:r>
        <w:rPr>
          <w:rFonts w:hint="eastAsia" w:ascii="宋体" w:hAnsi="宋体" w:eastAsia="宋体" w:cs="宋体"/>
          <w:color w:val="000000"/>
          <w:szCs w:val="21"/>
          <w:highlight w:val="none"/>
          <w:lang w:eastAsia="zh-CN"/>
        </w:rPr>
        <w:t>投标</w:t>
      </w:r>
      <w:r>
        <w:rPr>
          <w:rFonts w:hint="eastAsia" w:ascii="宋体" w:hAnsi="宋体" w:eastAsia="宋体" w:cs="宋体"/>
          <w:color w:val="000000"/>
          <w:szCs w:val="21"/>
          <w:highlight w:val="none"/>
        </w:rPr>
        <w:t>（或</w:t>
      </w:r>
      <w:r>
        <w:rPr>
          <w:rFonts w:hint="eastAsia" w:ascii="宋体" w:hAnsi="宋体" w:eastAsia="宋体" w:cs="宋体"/>
          <w:color w:val="000000"/>
          <w:szCs w:val="21"/>
          <w:highlight w:val="none"/>
          <w:lang w:eastAsia="zh-CN"/>
        </w:rPr>
        <w:t>澄清</w:t>
      </w:r>
      <w:r>
        <w:rPr>
          <w:rFonts w:hint="eastAsia" w:ascii="宋体" w:hAnsi="宋体" w:eastAsia="宋体" w:cs="宋体"/>
          <w:color w:val="000000"/>
          <w:szCs w:val="21"/>
          <w:highlight w:val="none"/>
        </w:rPr>
        <w:t>）文件；</w:t>
      </w:r>
    </w:p>
    <w:p w14:paraId="293F434B">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color w:val="000000"/>
          <w:szCs w:val="21"/>
          <w:highlight w:val="none"/>
          <w:lang w:eastAsia="zh-CN"/>
        </w:rPr>
        <w:t>投标函</w:t>
      </w:r>
      <w:r>
        <w:rPr>
          <w:rFonts w:hint="eastAsia" w:ascii="宋体" w:hAnsi="宋体" w:eastAsia="宋体" w:cs="宋体"/>
          <w:color w:val="000000"/>
          <w:szCs w:val="21"/>
          <w:highlight w:val="none"/>
        </w:rPr>
        <w:t>；</w:t>
      </w:r>
    </w:p>
    <w:p w14:paraId="43287193">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4.中标通知书。</w:t>
      </w:r>
    </w:p>
    <w:p w14:paraId="074F11B9">
      <w:pPr>
        <w:shd w:val="clear" w:color="auto" w:fill="FFFFFF"/>
        <w:snapToGrid w:val="0"/>
        <w:spacing w:line="410" w:lineRule="exact"/>
        <w:ind w:firstLine="42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第十五条 其他</w:t>
      </w:r>
    </w:p>
    <w:p w14:paraId="24E72414">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1.本合同一式</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份，具有同等法律效力，甲方执</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份，乙方执</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份</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采购代理机构</w:t>
      </w:r>
      <w:r>
        <w:rPr>
          <w:rFonts w:hint="eastAsia" w:ascii="宋体" w:hAnsi="宋体" w:eastAsia="宋体" w:cs="宋体"/>
          <w:color w:val="000000"/>
          <w:szCs w:val="21"/>
          <w:highlight w:val="none"/>
          <w:lang w:eastAsia="zh-CN"/>
        </w:rPr>
        <w:t>执</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份。</w:t>
      </w:r>
    </w:p>
    <w:p w14:paraId="3B3BD48D">
      <w:pPr>
        <w:shd w:val="clear" w:color="auto" w:fill="FFFFFF"/>
        <w:snapToGrid w:val="0"/>
        <w:spacing w:line="41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2.本合同甲乙双方签字盖章后生效，自签订之日起</w:t>
      </w:r>
      <w:r>
        <w:rPr>
          <w:rFonts w:hint="eastAsia" w:ascii="宋体" w:hAnsi="宋体" w:eastAsia="宋体" w:cs="宋体"/>
          <w:color w:val="000000"/>
          <w:szCs w:val="21"/>
          <w:highlight w:val="none"/>
          <w:lang w:eastAsia="zh-CN"/>
        </w:rPr>
        <w:t>两</w:t>
      </w:r>
      <w:r>
        <w:rPr>
          <w:rFonts w:hint="eastAsia" w:ascii="宋体" w:hAnsi="宋体" w:eastAsia="宋体" w:cs="宋体"/>
          <w:color w:val="000000"/>
          <w:szCs w:val="21"/>
          <w:highlight w:val="none"/>
        </w:rPr>
        <w:t>个工作日内，采购人或采购代理机构应当将合同</w:t>
      </w:r>
      <w:r>
        <w:rPr>
          <w:rFonts w:hint="eastAsia" w:ascii="宋体" w:hAnsi="宋体" w:eastAsia="宋体" w:cs="宋体"/>
          <w:color w:val="000000"/>
          <w:szCs w:val="21"/>
          <w:highlight w:val="none"/>
          <w:lang w:eastAsia="zh-CN"/>
        </w:rPr>
        <w:t>上传广西政府采购云平台</w:t>
      </w:r>
      <w:r>
        <w:rPr>
          <w:rFonts w:hint="eastAsia" w:ascii="宋体" w:hAnsi="宋体" w:eastAsia="宋体" w:cs="宋体"/>
          <w:color w:val="000000"/>
          <w:szCs w:val="21"/>
          <w:highlight w:val="none"/>
        </w:rPr>
        <w:t>备案</w:t>
      </w:r>
      <w:r>
        <w:rPr>
          <w:rFonts w:hint="eastAsia" w:ascii="宋体" w:hAnsi="宋体" w:eastAsia="宋体" w:cs="宋体"/>
          <w:color w:val="000000"/>
          <w:szCs w:val="21"/>
          <w:highlight w:val="none"/>
          <w:lang w:eastAsia="zh-CN"/>
        </w:rPr>
        <w:t>公示</w:t>
      </w:r>
      <w:r>
        <w:rPr>
          <w:rFonts w:hint="eastAsia" w:ascii="宋体" w:hAnsi="宋体" w:eastAsia="宋体" w:cs="宋体"/>
          <w:color w:val="000000"/>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341C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08697086">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甲方（章）：</w:t>
            </w:r>
          </w:p>
          <w:p w14:paraId="69EEEE8A">
            <w:pPr>
              <w:shd w:val="clear" w:color="auto" w:fill="FFFFFF"/>
              <w:snapToGrid w:val="0"/>
              <w:spacing w:line="390" w:lineRule="exact"/>
              <w:ind w:firstLine="420"/>
              <w:rPr>
                <w:rFonts w:hint="eastAsia" w:ascii="宋体" w:hAnsi="宋体" w:eastAsia="宋体" w:cs="宋体"/>
                <w:color w:val="000000"/>
                <w:szCs w:val="21"/>
                <w:highlight w:val="none"/>
              </w:rPr>
            </w:pPr>
          </w:p>
          <w:p w14:paraId="62A908A8">
            <w:pPr>
              <w:shd w:val="clear" w:color="auto" w:fill="FFFFFF"/>
              <w:snapToGrid w:val="0"/>
              <w:spacing w:line="390" w:lineRule="exact"/>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tc>
        <w:tc>
          <w:tcPr>
            <w:tcW w:w="4927" w:type="dxa"/>
            <w:tcBorders>
              <w:top w:val="single" w:color="auto" w:sz="4" w:space="0"/>
              <w:left w:val="single" w:color="auto" w:sz="4" w:space="0"/>
              <w:bottom w:val="single" w:color="auto" w:sz="4" w:space="0"/>
              <w:right w:val="single" w:color="auto" w:sz="4" w:space="0"/>
            </w:tcBorders>
            <w:noWrap w:val="0"/>
            <w:vAlign w:val="top"/>
          </w:tcPr>
          <w:p w14:paraId="11DA927A">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乙方（章）：</w:t>
            </w:r>
          </w:p>
          <w:p w14:paraId="05B92E5E">
            <w:pPr>
              <w:shd w:val="clear" w:color="auto" w:fill="FFFFFF"/>
              <w:snapToGrid w:val="0"/>
              <w:spacing w:line="390" w:lineRule="exact"/>
              <w:ind w:firstLine="420"/>
              <w:rPr>
                <w:rFonts w:hint="eastAsia" w:ascii="宋体" w:hAnsi="宋体" w:eastAsia="宋体" w:cs="宋体"/>
                <w:color w:val="000000"/>
                <w:szCs w:val="21"/>
                <w:highlight w:val="none"/>
              </w:rPr>
            </w:pPr>
          </w:p>
          <w:p w14:paraId="4FF1C122">
            <w:pPr>
              <w:shd w:val="clear" w:color="auto" w:fill="FFFFFF"/>
              <w:snapToGrid w:val="0"/>
              <w:spacing w:line="390" w:lineRule="exact"/>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tc>
      </w:tr>
      <w:tr w14:paraId="19AF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008E4CA1">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单位地址：</w:t>
            </w:r>
          </w:p>
          <w:p w14:paraId="6F1936DF">
            <w:pPr>
              <w:shd w:val="clear" w:color="auto" w:fill="FFFFFF"/>
              <w:snapToGrid w:val="0"/>
              <w:spacing w:line="390" w:lineRule="exact"/>
              <w:rPr>
                <w:rFonts w:hint="eastAsia" w:ascii="宋体" w:hAnsi="宋体" w:eastAsia="宋体" w:cs="宋体"/>
                <w:color w:val="000000"/>
                <w:szCs w:val="21"/>
                <w:highlight w:val="none"/>
              </w:rPr>
            </w:pPr>
          </w:p>
        </w:tc>
        <w:tc>
          <w:tcPr>
            <w:tcW w:w="4927" w:type="dxa"/>
            <w:tcBorders>
              <w:top w:val="single" w:color="auto" w:sz="4" w:space="0"/>
              <w:left w:val="single" w:color="auto" w:sz="4" w:space="0"/>
              <w:bottom w:val="single" w:color="auto" w:sz="4" w:space="0"/>
              <w:right w:val="single" w:color="auto" w:sz="4" w:space="0"/>
            </w:tcBorders>
            <w:noWrap w:val="0"/>
            <w:vAlign w:val="top"/>
          </w:tcPr>
          <w:p w14:paraId="57EF8F14">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单位地址：</w:t>
            </w:r>
          </w:p>
        </w:tc>
      </w:tr>
      <w:tr w14:paraId="4692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077E5DB8">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法定代表人（负责人）：</w:t>
            </w:r>
          </w:p>
          <w:p w14:paraId="587CA415">
            <w:pPr>
              <w:shd w:val="clear" w:color="auto" w:fill="FFFFFF"/>
              <w:snapToGrid w:val="0"/>
              <w:spacing w:line="390" w:lineRule="exact"/>
              <w:rPr>
                <w:rFonts w:hint="eastAsia" w:ascii="宋体" w:hAnsi="宋体" w:eastAsia="宋体" w:cs="宋体"/>
                <w:color w:val="000000"/>
                <w:szCs w:val="21"/>
                <w:highlight w:val="none"/>
              </w:rPr>
            </w:pPr>
          </w:p>
        </w:tc>
        <w:tc>
          <w:tcPr>
            <w:tcW w:w="4927" w:type="dxa"/>
            <w:tcBorders>
              <w:top w:val="single" w:color="auto" w:sz="4" w:space="0"/>
              <w:left w:val="single" w:color="auto" w:sz="4" w:space="0"/>
              <w:bottom w:val="single" w:color="auto" w:sz="4" w:space="0"/>
              <w:right w:val="single" w:color="auto" w:sz="4" w:space="0"/>
            </w:tcBorders>
            <w:noWrap w:val="0"/>
            <w:vAlign w:val="top"/>
          </w:tcPr>
          <w:p w14:paraId="2B755F78">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法定代表人（负责人）：</w:t>
            </w:r>
          </w:p>
        </w:tc>
      </w:tr>
      <w:tr w14:paraId="35B5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32454379">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委托代理人：</w:t>
            </w:r>
          </w:p>
          <w:p w14:paraId="3A6D9F59">
            <w:pPr>
              <w:shd w:val="clear" w:color="auto" w:fill="FFFFFF"/>
              <w:snapToGrid w:val="0"/>
              <w:spacing w:line="390" w:lineRule="exact"/>
              <w:rPr>
                <w:rFonts w:hint="eastAsia" w:ascii="宋体" w:hAnsi="宋体" w:eastAsia="宋体" w:cs="宋体"/>
                <w:color w:val="000000"/>
                <w:szCs w:val="21"/>
                <w:highlight w:val="none"/>
              </w:rPr>
            </w:pPr>
          </w:p>
        </w:tc>
        <w:tc>
          <w:tcPr>
            <w:tcW w:w="4927" w:type="dxa"/>
            <w:tcBorders>
              <w:top w:val="single" w:color="auto" w:sz="4" w:space="0"/>
              <w:left w:val="single" w:color="auto" w:sz="4" w:space="0"/>
              <w:bottom w:val="single" w:color="auto" w:sz="4" w:space="0"/>
              <w:right w:val="single" w:color="auto" w:sz="4" w:space="0"/>
            </w:tcBorders>
            <w:noWrap w:val="0"/>
            <w:vAlign w:val="top"/>
          </w:tcPr>
          <w:p w14:paraId="3DD692B8">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委托代理人：</w:t>
            </w:r>
          </w:p>
        </w:tc>
      </w:tr>
      <w:tr w14:paraId="79AF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78010885">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p w14:paraId="23ED8DD1">
            <w:pPr>
              <w:shd w:val="clear" w:color="auto" w:fill="FFFFFF"/>
              <w:snapToGrid w:val="0"/>
              <w:spacing w:line="390" w:lineRule="exact"/>
              <w:rPr>
                <w:rFonts w:hint="eastAsia" w:ascii="宋体" w:hAnsi="宋体" w:eastAsia="宋体" w:cs="宋体"/>
                <w:color w:val="000000"/>
                <w:szCs w:val="21"/>
                <w:highlight w:val="none"/>
              </w:rPr>
            </w:pPr>
          </w:p>
        </w:tc>
        <w:tc>
          <w:tcPr>
            <w:tcW w:w="4927" w:type="dxa"/>
            <w:tcBorders>
              <w:top w:val="single" w:color="auto" w:sz="4" w:space="0"/>
              <w:left w:val="single" w:color="auto" w:sz="4" w:space="0"/>
              <w:bottom w:val="single" w:color="auto" w:sz="4" w:space="0"/>
              <w:right w:val="single" w:color="auto" w:sz="4" w:space="0"/>
            </w:tcBorders>
            <w:noWrap w:val="0"/>
            <w:vAlign w:val="top"/>
          </w:tcPr>
          <w:p w14:paraId="7BBE3DB8">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r>
      <w:tr w14:paraId="1930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6773E7E2">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电子邮箱：</w:t>
            </w:r>
          </w:p>
          <w:p w14:paraId="358C2E10">
            <w:pPr>
              <w:shd w:val="clear" w:color="auto" w:fill="FFFFFF"/>
              <w:snapToGrid w:val="0"/>
              <w:spacing w:line="390" w:lineRule="exact"/>
              <w:rPr>
                <w:rFonts w:hint="eastAsia" w:ascii="宋体" w:hAnsi="宋体" w:eastAsia="宋体" w:cs="宋体"/>
                <w:color w:val="000000"/>
                <w:szCs w:val="21"/>
                <w:highlight w:val="none"/>
              </w:rPr>
            </w:pPr>
          </w:p>
        </w:tc>
        <w:tc>
          <w:tcPr>
            <w:tcW w:w="4927" w:type="dxa"/>
            <w:tcBorders>
              <w:top w:val="single" w:color="auto" w:sz="4" w:space="0"/>
              <w:left w:val="single" w:color="auto" w:sz="4" w:space="0"/>
              <w:bottom w:val="single" w:color="auto" w:sz="4" w:space="0"/>
              <w:right w:val="single" w:color="auto" w:sz="4" w:space="0"/>
            </w:tcBorders>
            <w:noWrap w:val="0"/>
            <w:vAlign w:val="top"/>
          </w:tcPr>
          <w:p w14:paraId="2E52A478">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电子邮箱：</w:t>
            </w:r>
          </w:p>
        </w:tc>
      </w:tr>
      <w:tr w14:paraId="0931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65714CA2">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p w14:paraId="090E39AB">
            <w:pPr>
              <w:shd w:val="clear" w:color="auto" w:fill="FFFFFF"/>
              <w:snapToGrid w:val="0"/>
              <w:spacing w:line="390" w:lineRule="exact"/>
              <w:rPr>
                <w:rFonts w:hint="eastAsia" w:ascii="宋体" w:hAnsi="宋体" w:eastAsia="宋体" w:cs="宋体"/>
                <w:color w:val="000000"/>
                <w:szCs w:val="21"/>
                <w:highlight w:val="none"/>
              </w:rPr>
            </w:pPr>
          </w:p>
        </w:tc>
        <w:tc>
          <w:tcPr>
            <w:tcW w:w="4927" w:type="dxa"/>
            <w:tcBorders>
              <w:top w:val="single" w:color="auto" w:sz="4" w:space="0"/>
              <w:left w:val="single" w:color="auto" w:sz="4" w:space="0"/>
              <w:bottom w:val="single" w:color="auto" w:sz="4" w:space="0"/>
              <w:right w:val="single" w:color="auto" w:sz="4" w:space="0"/>
            </w:tcBorders>
            <w:noWrap w:val="0"/>
            <w:vAlign w:val="top"/>
          </w:tcPr>
          <w:p w14:paraId="2F9808C3">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p>
        </w:tc>
      </w:tr>
      <w:tr w14:paraId="566C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29DB3771">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w:t>
            </w:r>
          </w:p>
          <w:p w14:paraId="47A3C62D">
            <w:pPr>
              <w:shd w:val="clear" w:color="auto" w:fill="FFFFFF"/>
              <w:snapToGrid w:val="0"/>
              <w:spacing w:line="390" w:lineRule="exact"/>
              <w:rPr>
                <w:rFonts w:hint="eastAsia" w:ascii="宋体" w:hAnsi="宋体" w:eastAsia="宋体" w:cs="宋体"/>
                <w:color w:val="000000"/>
                <w:szCs w:val="21"/>
                <w:highlight w:val="none"/>
              </w:rPr>
            </w:pPr>
          </w:p>
        </w:tc>
        <w:tc>
          <w:tcPr>
            <w:tcW w:w="4927" w:type="dxa"/>
            <w:tcBorders>
              <w:top w:val="single" w:color="auto" w:sz="4" w:space="0"/>
              <w:left w:val="single" w:color="auto" w:sz="4" w:space="0"/>
              <w:bottom w:val="single" w:color="auto" w:sz="4" w:space="0"/>
              <w:right w:val="single" w:color="auto" w:sz="4" w:space="0"/>
            </w:tcBorders>
            <w:noWrap w:val="0"/>
            <w:vAlign w:val="top"/>
          </w:tcPr>
          <w:p w14:paraId="73BA02AE">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账号：</w:t>
            </w:r>
          </w:p>
        </w:tc>
      </w:tr>
      <w:tr w14:paraId="4F76C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142F8EED">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p>
        </w:tc>
        <w:tc>
          <w:tcPr>
            <w:tcW w:w="4927" w:type="dxa"/>
            <w:tcBorders>
              <w:top w:val="single" w:color="auto" w:sz="4" w:space="0"/>
              <w:left w:val="single" w:color="auto" w:sz="4" w:space="0"/>
              <w:bottom w:val="single" w:color="auto" w:sz="4" w:space="0"/>
              <w:right w:val="single" w:color="auto" w:sz="4" w:space="0"/>
            </w:tcBorders>
            <w:noWrap w:val="0"/>
            <w:vAlign w:val="top"/>
          </w:tcPr>
          <w:p w14:paraId="78972E6C">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p>
        </w:tc>
      </w:tr>
      <w:tr w14:paraId="1896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2"/>
            <w:tcBorders>
              <w:top w:val="single" w:color="auto" w:sz="4" w:space="0"/>
              <w:left w:val="single" w:color="auto" w:sz="4" w:space="0"/>
              <w:bottom w:val="single" w:color="auto" w:sz="4" w:space="0"/>
              <w:right w:val="single" w:color="auto" w:sz="4" w:space="0"/>
            </w:tcBorders>
            <w:noWrap w:val="0"/>
            <w:vAlign w:val="top"/>
          </w:tcPr>
          <w:p w14:paraId="2C71FD48">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经办人：</w:t>
            </w:r>
          </w:p>
          <w:p w14:paraId="02E01D2A">
            <w:pPr>
              <w:shd w:val="clear" w:color="auto" w:fill="FFFFFF"/>
              <w:snapToGrid w:val="0"/>
              <w:spacing w:line="390" w:lineRule="exact"/>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tc>
      </w:tr>
    </w:tbl>
    <w:p w14:paraId="0D078996">
      <w:pPr>
        <w:shd w:val="clear" w:color="auto" w:fill="FFFFFF"/>
        <w:snapToGrid w:val="0"/>
        <w:spacing w:line="390" w:lineRule="exact"/>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合同附件</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7"/>
        <w:gridCol w:w="4927"/>
      </w:tblGrid>
      <w:tr w14:paraId="65CB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2"/>
            <w:tcBorders>
              <w:top w:val="single" w:color="auto" w:sz="4" w:space="0"/>
              <w:left w:val="single" w:color="auto" w:sz="4" w:space="0"/>
              <w:bottom w:val="single" w:color="auto" w:sz="4" w:space="0"/>
              <w:right w:val="single" w:color="auto" w:sz="4" w:space="0"/>
            </w:tcBorders>
            <w:noWrap w:val="0"/>
            <w:vAlign w:val="top"/>
          </w:tcPr>
          <w:p w14:paraId="096D7798">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1、供应商承诺具体事项：详见</w:t>
            </w:r>
            <w:r>
              <w:rPr>
                <w:rFonts w:hint="eastAsia" w:ascii="宋体" w:hAnsi="宋体" w:eastAsia="宋体" w:cs="宋体"/>
                <w:color w:val="000000"/>
                <w:szCs w:val="21"/>
                <w:highlight w:val="none"/>
                <w:lang w:eastAsia="zh-CN"/>
              </w:rPr>
              <w:t>招标文件</w:t>
            </w:r>
            <w:r>
              <w:rPr>
                <w:rFonts w:hint="eastAsia" w:ascii="宋体" w:hAnsi="宋体" w:eastAsia="宋体" w:cs="宋体"/>
                <w:color w:val="000000"/>
                <w:szCs w:val="21"/>
                <w:highlight w:val="none"/>
              </w:rPr>
              <w:t>。</w:t>
            </w:r>
          </w:p>
        </w:tc>
      </w:tr>
      <w:tr w14:paraId="5E87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2"/>
            <w:tcBorders>
              <w:top w:val="single" w:color="auto" w:sz="4" w:space="0"/>
              <w:left w:val="single" w:color="auto" w:sz="4" w:space="0"/>
              <w:bottom w:val="single" w:color="auto" w:sz="4" w:space="0"/>
              <w:right w:val="single" w:color="auto" w:sz="4" w:space="0"/>
            </w:tcBorders>
            <w:noWrap w:val="0"/>
            <w:vAlign w:val="top"/>
          </w:tcPr>
          <w:p w14:paraId="5B738C39">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2、售后服务具体事项：详见</w:t>
            </w:r>
            <w:r>
              <w:rPr>
                <w:rFonts w:hint="eastAsia" w:ascii="宋体" w:hAnsi="宋体" w:eastAsia="宋体" w:cs="宋体"/>
                <w:color w:val="000000"/>
                <w:szCs w:val="21"/>
                <w:highlight w:val="none"/>
                <w:lang w:eastAsia="zh-CN"/>
              </w:rPr>
              <w:t>招标文件售后服务承诺书</w:t>
            </w:r>
            <w:r>
              <w:rPr>
                <w:rFonts w:hint="eastAsia" w:ascii="宋体" w:hAnsi="宋体" w:eastAsia="宋体" w:cs="宋体"/>
                <w:color w:val="000000"/>
                <w:szCs w:val="21"/>
                <w:highlight w:val="none"/>
              </w:rPr>
              <w:t>。</w:t>
            </w:r>
          </w:p>
        </w:tc>
      </w:tr>
      <w:tr w14:paraId="3B11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2"/>
            <w:tcBorders>
              <w:top w:val="single" w:color="auto" w:sz="4" w:space="0"/>
              <w:left w:val="single" w:color="auto" w:sz="4" w:space="0"/>
              <w:bottom w:val="single" w:color="auto" w:sz="4" w:space="0"/>
              <w:right w:val="single" w:color="auto" w:sz="4" w:space="0"/>
            </w:tcBorders>
            <w:noWrap w:val="0"/>
            <w:vAlign w:val="top"/>
          </w:tcPr>
          <w:p w14:paraId="4C1CCFB4">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3、保修期责任：乙方应对服务出现的质量及安全问题负责处理解决并承担一切费用。</w:t>
            </w:r>
          </w:p>
        </w:tc>
      </w:tr>
      <w:tr w14:paraId="0CC5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2"/>
            <w:tcBorders>
              <w:top w:val="single" w:color="auto" w:sz="4" w:space="0"/>
              <w:left w:val="single" w:color="auto" w:sz="4" w:space="0"/>
              <w:bottom w:val="single" w:color="auto" w:sz="4" w:space="0"/>
              <w:right w:val="single" w:color="auto" w:sz="4" w:space="0"/>
            </w:tcBorders>
            <w:noWrap w:val="0"/>
            <w:vAlign w:val="top"/>
          </w:tcPr>
          <w:p w14:paraId="5C291074">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4、其他具体事项：甲乙双方协商确定。</w:t>
            </w:r>
          </w:p>
        </w:tc>
      </w:tr>
      <w:tr w14:paraId="6E0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7" w:type="dxa"/>
            <w:tcBorders>
              <w:top w:val="single" w:color="auto" w:sz="4" w:space="0"/>
              <w:left w:val="single" w:color="auto" w:sz="4" w:space="0"/>
              <w:bottom w:val="single" w:color="auto" w:sz="4" w:space="0"/>
              <w:right w:val="single" w:color="auto" w:sz="4" w:space="0"/>
            </w:tcBorders>
            <w:noWrap w:val="0"/>
            <w:vAlign w:val="top"/>
          </w:tcPr>
          <w:p w14:paraId="517023B8">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甲方（章）：</w:t>
            </w:r>
          </w:p>
          <w:p w14:paraId="43A38D71">
            <w:pPr>
              <w:shd w:val="clear" w:color="auto" w:fill="FFFFFF"/>
              <w:snapToGrid w:val="0"/>
              <w:spacing w:line="390" w:lineRule="exact"/>
              <w:rPr>
                <w:rFonts w:hint="eastAsia" w:ascii="宋体" w:hAnsi="宋体" w:eastAsia="宋体" w:cs="宋体"/>
                <w:color w:val="000000"/>
                <w:szCs w:val="21"/>
                <w:highlight w:val="none"/>
              </w:rPr>
            </w:pPr>
          </w:p>
          <w:p w14:paraId="729852FA">
            <w:pPr>
              <w:shd w:val="clear" w:color="auto" w:fill="FFFFFF"/>
              <w:snapToGrid w:val="0"/>
              <w:spacing w:line="390" w:lineRule="exact"/>
              <w:rPr>
                <w:rFonts w:hint="eastAsia" w:ascii="宋体" w:hAnsi="宋体" w:eastAsia="宋体" w:cs="宋体"/>
                <w:color w:val="000000"/>
                <w:szCs w:val="21"/>
                <w:highlight w:val="none"/>
              </w:rPr>
            </w:pPr>
          </w:p>
          <w:p w14:paraId="5B0E075A">
            <w:pPr>
              <w:shd w:val="clear" w:color="auto" w:fill="FFFFFF"/>
              <w:snapToGrid w:val="0"/>
              <w:spacing w:line="390" w:lineRule="exact"/>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tc>
        <w:tc>
          <w:tcPr>
            <w:tcW w:w="4927" w:type="dxa"/>
            <w:tcBorders>
              <w:top w:val="single" w:color="auto" w:sz="4" w:space="0"/>
              <w:left w:val="single" w:color="auto" w:sz="4" w:space="0"/>
              <w:bottom w:val="single" w:color="auto" w:sz="4" w:space="0"/>
              <w:right w:val="single" w:color="auto" w:sz="4" w:space="0"/>
            </w:tcBorders>
            <w:noWrap w:val="0"/>
            <w:vAlign w:val="top"/>
          </w:tcPr>
          <w:p w14:paraId="19438C60">
            <w:pPr>
              <w:shd w:val="clear" w:color="auto" w:fill="FFFFFF"/>
              <w:snapToGrid w:val="0"/>
              <w:spacing w:line="39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乙方（章）：</w:t>
            </w:r>
          </w:p>
          <w:p w14:paraId="42E87340">
            <w:pPr>
              <w:shd w:val="clear" w:color="auto" w:fill="FFFFFF"/>
              <w:snapToGrid w:val="0"/>
              <w:spacing w:line="390" w:lineRule="exact"/>
              <w:rPr>
                <w:rFonts w:hint="eastAsia" w:ascii="宋体" w:hAnsi="宋体" w:eastAsia="宋体" w:cs="宋体"/>
                <w:color w:val="000000"/>
                <w:szCs w:val="21"/>
                <w:highlight w:val="none"/>
              </w:rPr>
            </w:pPr>
          </w:p>
          <w:p w14:paraId="5B82E771">
            <w:pPr>
              <w:shd w:val="clear" w:color="auto" w:fill="FFFFFF"/>
              <w:snapToGrid w:val="0"/>
              <w:spacing w:line="390" w:lineRule="exact"/>
              <w:rPr>
                <w:rFonts w:hint="eastAsia" w:ascii="宋体" w:hAnsi="宋体" w:eastAsia="宋体" w:cs="宋体"/>
                <w:color w:val="000000"/>
                <w:szCs w:val="21"/>
                <w:highlight w:val="none"/>
              </w:rPr>
            </w:pPr>
          </w:p>
          <w:p w14:paraId="72CD4B8C">
            <w:pPr>
              <w:shd w:val="clear" w:color="auto" w:fill="FFFFFF"/>
              <w:snapToGrid w:val="0"/>
              <w:spacing w:line="390" w:lineRule="exact"/>
              <w:jc w:val="righ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年   月   日</w:t>
            </w:r>
          </w:p>
        </w:tc>
      </w:tr>
    </w:tbl>
    <w:p w14:paraId="771BBD4E">
      <w:pPr>
        <w:keepNext w:val="0"/>
        <w:keepLines w:val="0"/>
        <w:pageBreakBefore w:val="0"/>
        <w:widowControl/>
        <w:kinsoku/>
        <w:wordWrap/>
        <w:overflowPunct/>
        <w:topLinePunct w:val="0"/>
        <w:autoSpaceDE/>
        <w:autoSpaceDN/>
        <w:bidi w:val="0"/>
        <w:adjustRightInd/>
        <w:spacing w:beforeAutospacing="0" w:afterAutospacing="0" w:line="400" w:lineRule="exact"/>
        <w:ind w:left="0" w:leftChars="0" w:right="0" w:firstLine="420" w:firstLineChars="200"/>
        <w:jc w:val="both"/>
        <w:textAlignment w:val="auto"/>
        <w:rPr>
          <w:rFonts w:hint="eastAsia" w:ascii="宋体" w:hAnsi="宋体" w:eastAsia="宋体" w:cs="宋体"/>
          <w:color w:val="auto"/>
          <w:szCs w:val="21"/>
          <w:highlight w:val="none"/>
          <w:u w:val="single"/>
        </w:rPr>
      </w:pPr>
      <w:r>
        <w:rPr>
          <w:rFonts w:hint="eastAsia" w:ascii="宋体" w:hAnsi="宋体" w:eastAsia="宋体" w:cs="宋体"/>
          <w:color w:val="000000"/>
          <w:szCs w:val="21"/>
          <w:highlight w:val="none"/>
        </w:rPr>
        <w:t>注：售后服务事项填不下时可另加附页</w:t>
      </w:r>
    </w:p>
    <w:p w14:paraId="72BA4AA2">
      <w:pPr>
        <w:widowControl/>
        <w:jc w:val="left"/>
        <w:rPr>
          <w:rFonts w:hint="eastAsia" w:ascii="宋体" w:hAnsi="宋体" w:eastAsia="宋体" w:cs="宋体"/>
          <w:color w:val="auto"/>
          <w:sz w:val="32"/>
          <w:szCs w:val="32"/>
          <w:highlight w:val="none"/>
        </w:rPr>
      </w:pPr>
    </w:p>
    <w:bookmarkEnd w:id="101"/>
    <w:p w14:paraId="387BE694">
      <w:pPr>
        <w:rPr>
          <w:rFonts w:hint="eastAsia" w:ascii="Times New Roman" w:hAnsi="Times New Roman" w:eastAsia="宋体" w:cs="Times New Roman"/>
          <w:sz w:val="32"/>
          <w:szCs w:val="32"/>
        </w:rPr>
      </w:pPr>
      <w:bookmarkStart w:id="102" w:name="_Toc7401"/>
      <w:bookmarkStart w:id="103" w:name="_Toc11351"/>
      <w:r>
        <w:rPr>
          <w:rFonts w:hint="eastAsia" w:ascii="Times New Roman" w:hAnsi="Times New Roman" w:eastAsia="宋体" w:cs="Times New Roman"/>
          <w:sz w:val="32"/>
          <w:szCs w:val="32"/>
        </w:rPr>
        <w:br w:type="page"/>
      </w:r>
    </w:p>
    <w:p w14:paraId="1974373E">
      <w:pPr>
        <w:pStyle w:val="2"/>
        <w:keepNext/>
        <w:keepLines/>
        <w:pageBreakBefore w:val="0"/>
        <w:widowControl w:val="0"/>
        <w:kinsoku/>
        <w:wordWrap/>
        <w:overflowPunct/>
        <w:topLinePunct w:val="0"/>
        <w:autoSpaceDE/>
        <w:autoSpaceDN/>
        <w:bidi w:val="0"/>
        <w:adjustRightInd/>
        <w:snapToGrid/>
        <w:spacing w:before="30" w:after="30" w:line="360" w:lineRule="auto"/>
        <w:ind w:left="0" w:leftChars="0" w:right="0" w:rightChars="0" w:firstLine="0" w:firstLineChars="0"/>
        <w:jc w:val="center"/>
        <w:textAlignment w:val="auto"/>
        <w:rPr>
          <w:rFonts w:hint="eastAsia" w:ascii="Times New Roman" w:hAnsi="Times New Roman" w:eastAsia="宋体" w:cs="Times New Roman"/>
          <w:sz w:val="32"/>
          <w:szCs w:val="32"/>
        </w:rPr>
      </w:pPr>
      <w:r>
        <w:rPr>
          <w:rFonts w:hint="eastAsia" w:ascii="Times New Roman" w:hAnsi="Times New Roman" w:eastAsia="宋体" w:cs="Times New Roman"/>
          <w:sz w:val="32"/>
          <w:szCs w:val="32"/>
        </w:rPr>
        <w:t>第六章  投标文件格式</w:t>
      </w:r>
      <w:bookmarkEnd w:id="102"/>
      <w:bookmarkEnd w:id="103"/>
    </w:p>
    <w:bookmarkEnd w:id="0"/>
    <w:bookmarkEnd w:id="1"/>
    <w:p w14:paraId="0037894D">
      <w:pPr>
        <w:rPr>
          <w:rFonts w:hint="eastAsia" w:ascii="宋体" w:hAnsi="宋体" w:eastAsia="宋体" w:cs="宋体"/>
          <w:b/>
          <w:sz w:val="28"/>
          <w:szCs w:val="28"/>
          <w:highlight w:val="none"/>
        </w:rPr>
      </w:pPr>
      <w:bookmarkStart w:id="104" w:name="_Toc19686836"/>
      <w:bookmarkStart w:id="105" w:name="_Toc254970557"/>
      <w:bookmarkStart w:id="106" w:name="_Toc254970698"/>
      <w:r>
        <w:rPr>
          <w:rFonts w:hint="eastAsia" w:ascii="宋体" w:hAnsi="宋体" w:eastAsia="宋体" w:cs="宋体"/>
          <w:b/>
          <w:sz w:val="28"/>
          <w:szCs w:val="28"/>
          <w:highlight w:val="none"/>
        </w:rPr>
        <w:t>一、报价文件格式</w:t>
      </w:r>
      <w:bookmarkEnd w:id="104"/>
    </w:p>
    <w:p w14:paraId="3D7F49F1">
      <w:pPr>
        <w:snapToGrid w:val="0"/>
        <w:spacing w:before="120" w:beforeLines="50" w:after="50" w:line="360" w:lineRule="auto"/>
        <w:ind w:left="142"/>
        <w:jc w:val="left"/>
        <w:rPr>
          <w:rFonts w:hint="eastAsia" w:ascii="宋体" w:hAnsi="宋体" w:eastAsia="宋体" w:cs="宋体"/>
          <w:sz w:val="24"/>
          <w:szCs w:val="20"/>
          <w:highlight w:val="none"/>
          <w:lang w:eastAsia="zh-CN"/>
        </w:rPr>
      </w:pPr>
      <w:r>
        <w:rPr>
          <w:rFonts w:hint="eastAsia" w:ascii="宋体" w:hAnsi="宋体" w:eastAsia="宋体" w:cs="宋体"/>
          <w:b/>
          <w:sz w:val="24"/>
          <w:highlight w:val="none"/>
        </w:rPr>
        <w:t>1.报价文件封面格式</w:t>
      </w:r>
      <w:r>
        <w:rPr>
          <w:rFonts w:hint="eastAsia" w:ascii="宋体" w:hAnsi="宋体" w:eastAsia="宋体" w:cs="宋体"/>
          <w:b/>
          <w:sz w:val="24"/>
          <w:highlight w:val="none"/>
          <w:lang w:eastAsia="zh-CN"/>
        </w:rPr>
        <w:t>：</w:t>
      </w:r>
    </w:p>
    <w:p w14:paraId="160A2EB4">
      <w:pPr>
        <w:snapToGrid w:val="0"/>
        <w:spacing w:before="120" w:beforeLines="50" w:after="50" w:line="400" w:lineRule="exact"/>
        <w:rPr>
          <w:rFonts w:hint="eastAsia" w:ascii="宋体" w:hAnsi="宋体" w:eastAsia="宋体" w:cs="宋体"/>
          <w:bCs/>
          <w:sz w:val="32"/>
          <w:szCs w:val="20"/>
          <w:highlight w:val="none"/>
        </w:rPr>
      </w:pPr>
      <w:r>
        <w:rPr>
          <w:rFonts w:hint="eastAsia" w:ascii="宋体" w:hAnsi="宋体" w:eastAsia="宋体" w:cs="宋体"/>
          <w:sz w:val="24"/>
          <w:highlight w:val="none"/>
        </w:rPr>
        <w:t xml:space="preserve">                                                   </w:t>
      </w:r>
    </w:p>
    <w:p w14:paraId="6A9AAF08">
      <w:pPr>
        <w:snapToGrid w:val="0"/>
        <w:spacing w:before="120" w:beforeLines="50" w:after="50" w:line="400" w:lineRule="exact"/>
        <w:jc w:val="center"/>
        <w:rPr>
          <w:rFonts w:hint="eastAsia" w:ascii="宋体" w:hAnsi="宋体" w:eastAsia="宋体" w:cs="宋体"/>
          <w:bCs/>
          <w:sz w:val="24"/>
          <w:szCs w:val="20"/>
          <w:highlight w:val="none"/>
        </w:rPr>
      </w:pPr>
    </w:p>
    <w:p w14:paraId="48695D0C">
      <w:pPr>
        <w:snapToGrid w:val="0"/>
        <w:spacing w:before="120" w:beforeLines="50" w:after="50"/>
        <w:jc w:val="center"/>
        <w:rPr>
          <w:rFonts w:hint="eastAsia" w:ascii="宋体" w:hAnsi="宋体" w:eastAsia="宋体" w:cs="宋体"/>
          <w:sz w:val="84"/>
          <w:szCs w:val="84"/>
          <w:highlight w:val="none"/>
        </w:rPr>
      </w:pPr>
      <w:r>
        <w:rPr>
          <w:rFonts w:hint="eastAsia" w:ascii="宋体" w:hAnsi="宋体" w:eastAsia="宋体" w:cs="宋体"/>
          <w:sz w:val="84"/>
          <w:szCs w:val="84"/>
          <w:highlight w:val="none"/>
        </w:rPr>
        <w:t>投  标  文  件</w:t>
      </w:r>
    </w:p>
    <w:p w14:paraId="52535C98">
      <w:pPr>
        <w:snapToGrid w:val="0"/>
        <w:spacing w:before="120" w:beforeLines="50" w:after="50" w:line="400" w:lineRule="exact"/>
        <w:jc w:val="center"/>
        <w:rPr>
          <w:rFonts w:hint="eastAsia" w:ascii="宋体" w:hAnsi="宋体" w:eastAsia="宋体" w:cs="宋体"/>
          <w:bCs/>
          <w:sz w:val="32"/>
          <w:szCs w:val="32"/>
          <w:highlight w:val="none"/>
        </w:rPr>
      </w:pPr>
    </w:p>
    <w:p w14:paraId="338E66E6">
      <w:pPr>
        <w:snapToGrid w:val="0"/>
        <w:spacing w:before="120" w:beforeLines="50" w:after="50" w:line="400" w:lineRule="exact"/>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报  价  文  件</w:t>
      </w:r>
    </w:p>
    <w:p w14:paraId="13AFCC15">
      <w:pPr>
        <w:snapToGrid w:val="0"/>
        <w:spacing w:before="120" w:beforeLines="50" w:after="50" w:line="400" w:lineRule="exact"/>
        <w:rPr>
          <w:rFonts w:hint="eastAsia" w:ascii="宋体" w:hAnsi="宋体" w:eastAsia="宋体" w:cs="宋体"/>
          <w:bCs/>
          <w:sz w:val="24"/>
          <w:szCs w:val="20"/>
          <w:highlight w:val="none"/>
        </w:rPr>
      </w:pPr>
    </w:p>
    <w:p w14:paraId="0F0AC4AF">
      <w:pPr>
        <w:snapToGrid w:val="0"/>
        <w:spacing w:before="120" w:beforeLines="50" w:after="50" w:line="400" w:lineRule="exact"/>
        <w:rPr>
          <w:rFonts w:hint="eastAsia" w:ascii="宋体" w:hAnsi="宋体" w:eastAsia="宋体" w:cs="宋体"/>
          <w:bCs/>
          <w:sz w:val="24"/>
          <w:szCs w:val="20"/>
          <w:highlight w:val="none"/>
        </w:rPr>
      </w:pPr>
    </w:p>
    <w:p w14:paraId="3239E491">
      <w:pPr>
        <w:snapToGrid w:val="0"/>
        <w:spacing w:before="120" w:beforeLines="50" w:after="50" w:line="400" w:lineRule="exact"/>
        <w:rPr>
          <w:rFonts w:hint="eastAsia" w:ascii="宋体" w:hAnsi="宋体" w:eastAsia="宋体" w:cs="宋体"/>
          <w:bCs/>
          <w:sz w:val="24"/>
          <w:szCs w:val="20"/>
          <w:highlight w:val="none"/>
        </w:rPr>
      </w:pPr>
    </w:p>
    <w:p w14:paraId="49DF7294">
      <w:pPr>
        <w:snapToGrid w:val="0"/>
        <w:spacing w:before="120" w:beforeLines="50" w:after="50" w:line="400" w:lineRule="exact"/>
        <w:rPr>
          <w:rFonts w:hint="eastAsia" w:ascii="宋体" w:hAnsi="宋体" w:eastAsia="宋体" w:cs="宋体"/>
          <w:bCs/>
          <w:sz w:val="24"/>
          <w:szCs w:val="20"/>
          <w:highlight w:val="none"/>
        </w:rPr>
      </w:pPr>
    </w:p>
    <w:p w14:paraId="4069971C">
      <w:pPr>
        <w:snapToGrid w:val="0"/>
        <w:spacing w:before="120" w:beforeLines="50" w:after="50" w:line="400" w:lineRule="exact"/>
        <w:ind w:firstLine="360" w:firstLineChars="150"/>
        <w:rPr>
          <w:rFonts w:hint="eastAsia" w:ascii="宋体" w:hAnsi="宋体" w:eastAsia="宋体" w:cs="宋体"/>
          <w:bCs/>
          <w:sz w:val="24"/>
          <w:highlight w:val="none"/>
          <w:lang w:eastAsia="zh-CN"/>
        </w:rPr>
      </w:pPr>
      <w:r>
        <w:rPr>
          <w:rFonts w:hint="eastAsia" w:ascii="宋体" w:hAnsi="宋体" w:eastAsia="宋体" w:cs="宋体"/>
          <w:bCs/>
          <w:sz w:val="24"/>
          <w:highlight w:val="none"/>
        </w:rPr>
        <w:t>项目名称</w:t>
      </w:r>
      <w:r>
        <w:rPr>
          <w:rFonts w:hint="eastAsia" w:ascii="宋体" w:hAnsi="宋体" w:eastAsia="宋体" w:cs="宋体"/>
          <w:bCs/>
          <w:sz w:val="24"/>
          <w:highlight w:val="none"/>
          <w:lang w:eastAsia="zh-CN"/>
        </w:rPr>
        <w:t>：</w:t>
      </w:r>
    </w:p>
    <w:p w14:paraId="5501883A">
      <w:pPr>
        <w:snapToGrid w:val="0"/>
        <w:spacing w:before="120" w:beforeLines="50" w:after="50" w:line="400" w:lineRule="exact"/>
        <w:ind w:firstLine="360" w:firstLineChars="150"/>
        <w:rPr>
          <w:rFonts w:hint="eastAsia" w:ascii="宋体" w:hAnsi="宋体" w:eastAsia="宋体" w:cs="宋体"/>
          <w:bCs/>
          <w:sz w:val="24"/>
          <w:highlight w:val="none"/>
        </w:rPr>
      </w:pPr>
    </w:p>
    <w:p w14:paraId="10A0A51B">
      <w:pPr>
        <w:snapToGrid w:val="0"/>
        <w:spacing w:before="120" w:beforeLines="50" w:after="50" w:line="400" w:lineRule="exact"/>
        <w:ind w:firstLine="360" w:firstLineChars="150"/>
        <w:rPr>
          <w:rFonts w:hint="eastAsia" w:ascii="宋体" w:hAnsi="宋体" w:eastAsia="宋体" w:cs="宋体"/>
          <w:bCs/>
          <w:sz w:val="24"/>
          <w:highlight w:val="none"/>
          <w:lang w:eastAsia="zh-CN"/>
        </w:rPr>
      </w:pPr>
      <w:r>
        <w:rPr>
          <w:rFonts w:hint="eastAsia" w:ascii="宋体" w:hAnsi="宋体" w:eastAsia="宋体" w:cs="宋体"/>
          <w:bCs/>
          <w:sz w:val="24"/>
          <w:highlight w:val="none"/>
        </w:rPr>
        <w:t>项目编号</w:t>
      </w:r>
      <w:r>
        <w:rPr>
          <w:rFonts w:hint="eastAsia" w:ascii="宋体" w:hAnsi="宋体" w:eastAsia="宋体" w:cs="宋体"/>
          <w:bCs/>
          <w:sz w:val="24"/>
          <w:highlight w:val="none"/>
          <w:lang w:eastAsia="zh-CN"/>
        </w:rPr>
        <w:t>：</w:t>
      </w:r>
    </w:p>
    <w:p w14:paraId="1FCC9DB6">
      <w:pPr>
        <w:snapToGrid w:val="0"/>
        <w:spacing w:before="120" w:beforeLines="50" w:after="50" w:line="400" w:lineRule="exact"/>
        <w:ind w:firstLine="360" w:firstLineChars="150"/>
        <w:rPr>
          <w:rFonts w:hint="eastAsia" w:ascii="宋体" w:hAnsi="宋体" w:eastAsia="宋体" w:cs="宋体"/>
          <w:bCs/>
          <w:sz w:val="24"/>
          <w:highlight w:val="none"/>
        </w:rPr>
      </w:pPr>
    </w:p>
    <w:p w14:paraId="7FDAD50A">
      <w:pPr>
        <w:snapToGrid w:val="0"/>
        <w:spacing w:before="120" w:beforeLines="50" w:after="50" w:line="400" w:lineRule="exact"/>
        <w:ind w:firstLine="360" w:firstLineChars="150"/>
        <w:rPr>
          <w:rFonts w:hint="eastAsia" w:ascii="宋体" w:hAnsi="宋体" w:eastAsia="宋体" w:cs="宋体"/>
          <w:bCs/>
          <w:sz w:val="24"/>
          <w:highlight w:val="none"/>
        </w:rPr>
      </w:pPr>
      <w:r>
        <w:rPr>
          <w:rFonts w:hint="eastAsia" w:ascii="宋体" w:hAnsi="宋体" w:eastAsia="宋体" w:cs="宋体"/>
          <w:bCs/>
          <w:sz w:val="24"/>
          <w:highlight w:val="none"/>
        </w:rPr>
        <w:t>投标人名称：</w:t>
      </w:r>
    </w:p>
    <w:p w14:paraId="58C27C39">
      <w:pPr>
        <w:snapToGrid w:val="0"/>
        <w:spacing w:before="120" w:beforeLines="50" w:after="50" w:line="400" w:lineRule="exact"/>
        <w:ind w:firstLine="360" w:firstLineChars="150"/>
        <w:rPr>
          <w:rFonts w:hint="eastAsia" w:ascii="宋体" w:hAnsi="宋体" w:eastAsia="宋体" w:cs="宋体"/>
          <w:bCs/>
          <w:sz w:val="24"/>
          <w:highlight w:val="none"/>
        </w:rPr>
      </w:pPr>
    </w:p>
    <w:p w14:paraId="07BB8DEA">
      <w:pPr>
        <w:pStyle w:val="8"/>
        <w:snapToGrid w:val="0"/>
        <w:spacing w:before="50" w:after="50" w:line="400" w:lineRule="exact"/>
        <w:ind w:firstLine="960" w:firstLineChars="400"/>
        <w:rPr>
          <w:rFonts w:hint="eastAsia" w:ascii="宋体" w:hAnsi="宋体" w:eastAsia="宋体" w:cs="宋体"/>
          <w:bCs/>
          <w:sz w:val="24"/>
          <w:szCs w:val="24"/>
          <w:highlight w:val="none"/>
        </w:rPr>
      </w:pPr>
    </w:p>
    <w:p w14:paraId="69B7902B">
      <w:pPr>
        <w:snapToGrid w:val="0"/>
        <w:spacing w:before="120" w:beforeLines="50" w:after="50" w:line="400" w:lineRule="exact"/>
        <w:rPr>
          <w:rFonts w:hint="eastAsia" w:ascii="宋体" w:hAnsi="宋体" w:eastAsia="宋体" w:cs="宋体"/>
          <w:sz w:val="30"/>
          <w:szCs w:val="20"/>
          <w:highlight w:val="none"/>
        </w:rPr>
      </w:pPr>
      <w:r>
        <w:rPr>
          <w:rFonts w:hint="eastAsia" w:ascii="宋体" w:hAnsi="宋体" w:eastAsia="宋体" w:cs="宋体"/>
          <w:sz w:val="24"/>
          <w:highlight w:val="none"/>
        </w:rPr>
        <w:t xml:space="preserve">                                   年  月  日</w:t>
      </w:r>
    </w:p>
    <w:p w14:paraId="57B2D8CC">
      <w:pPr>
        <w:snapToGrid w:val="0"/>
        <w:spacing w:before="120" w:beforeLines="50" w:after="50" w:line="360" w:lineRule="auto"/>
        <w:jc w:val="left"/>
        <w:rPr>
          <w:rFonts w:hint="eastAsia" w:ascii="宋体" w:hAnsi="宋体" w:eastAsia="宋体" w:cs="宋体"/>
          <w:sz w:val="24"/>
          <w:szCs w:val="20"/>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2.</w:t>
      </w:r>
      <w:r>
        <w:rPr>
          <w:rFonts w:hint="eastAsia" w:ascii="宋体" w:hAnsi="宋体" w:eastAsia="宋体" w:cs="宋体"/>
          <w:b/>
          <w:bCs/>
          <w:sz w:val="24"/>
          <w:highlight w:val="none"/>
        </w:rPr>
        <w:t>报价文件目录</w:t>
      </w:r>
    </w:p>
    <w:p w14:paraId="2F8DAC7E">
      <w:pPr>
        <w:snapToGrid w:val="0"/>
        <w:spacing w:before="50" w:after="120" w:afterLines="50" w:line="360" w:lineRule="auto"/>
        <w:jc w:val="left"/>
        <w:rPr>
          <w:rFonts w:hint="eastAsia" w:ascii="宋体" w:hAnsi="宋体" w:eastAsia="宋体" w:cs="宋体"/>
          <w:b/>
          <w:sz w:val="24"/>
          <w:highlight w:val="none"/>
        </w:rPr>
      </w:pPr>
      <w:r>
        <w:rPr>
          <w:rFonts w:hint="eastAsia" w:ascii="宋体" w:hAnsi="宋体" w:eastAsia="宋体" w:cs="宋体"/>
          <w:szCs w:val="21"/>
          <w:highlight w:val="none"/>
        </w:rPr>
        <w:t>根据招标文件规定及投标人提供的材料自行编写目录（部分格式后附）。</w:t>
      </w:r>
    </w:p>
    <w:p w14:paraId="1F3A05B0">
      <w:pPr>
        <w:snapToGrid w:val="0"/>
        <w:spacing w:before="120" w:beforeLines="50" w:after="50"/>
        <w:rPr>
          <w:rFonts w:hint="eastAsia" w:ascii="宋体" w:hAnsi="宋体" w:eastAsia="宋体" w:cs="宋体"/>
          <w:b/>
          <w:sz w:val="24"/>
          <w:highlight w:val="none"/>
        </w:rPr>
      </w:pPr>
    </w:p>
    <w:p w14:paraId="479EAA4A">
      <w:pPr>
        <w:snapToGrid w:val="0"/>
        <w:spacing w:before="120" w:beforeLines="50" w:after="50"/>
        <w:rPr>
          <w:rFonts w:hint="eastAsia" w:ascii="宋体" w:hAnsi="宋体" w:eastAsia="宋体" w:cs="宋体"/>
          <w:b/>
          <w:sz w:val="24"/>
          <w:highlight w:val="none"/>
        </w:rPr>
      </w:pPr>
    </w:p>
    <w:p w14:paraId="502B9DE5">
      <w:pPr>
        <w:snapToGrid w:val="0"/>
        <w:spacing w:before="120" w:beforeLines="50" w:after="50"/>
        <w:rPr>
          <w:rFonts w:hint="eastAsia" w:ascii="宋体" w:hAnsi="宋体" w:eastAsia="宋体" w:cs="宋体"/>
          <w:b/>
          <w:sz w:val="24"/>
          <w:highlight w:val="none"/>
        </w:rPr>
      </w:pPr>
    </w:p>
    <w:p w14:paraId="48AFA959">
      <w:pPr>
        <w:snapToGrid w:val="0"/>
        <w:spacing w:before="120" w:beforeLines="50" w:after="50"/>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投标函格式</w:t>
      </w:r>
    </w:p>
    <w:p w14:paraId="5A454410">
      <w:pPr>
        <w:snapToGrid w:val="0"/>
        <w:spacing w:before="120" w:beforeLines="50" w:after="50" w:line="360" w:lineRule="auto"/>
        <w:jc w:val="center"/>
        <w:rPr>
          <w:rFonts w:hint="eastAsia" w:ascii="宋体" w:hAnsi="宋体" w:eastAsia="宋体" w:cs="宋体"/>
          <w:bCs/>
          <w:sz w:val="44"/>
          <w:szCs w:val="44"/>
          <w:highlight w:val="none"/>
        </w:rPr>
      </w:pPr>
      <w:r>
        <w:rPr>
          <w:rFonts w:hint="eastAsia" w:ascii="宋体" w:hAnsi="宋体" w:eastAsia="宋体" w:cs="宋体"/>
          <w:b/>
          <w:sz w:val="30"/>
          <w:highlight w:val="none"/>
        </w:rPr>
        <w:t>投 标 函</w:t>
      </w:r>
    </w:p>
    <w:p w14:paraId="1CEC53DF">
      <w:pPr>
        <w:spacing w:line="440" w:lineRule="exact"/>
        <w:contextualSpacing/>
        <w:rPr>
          <w:rFonts w:hint="eastAsia" w:ascii="宋体" w:hAnsi="宋体" w:eastAsia="宋体" w:cs="宋体"/>
          <w:szCs w:val="21"/>
          <w:highlight w:val="none"/>
        </w:rPr>
      </w:pPr>
      <w:r>
        <w:rPr>
          <w:rFonts w:hint="eastAsia" w:ascii="宋体" w:hAnsi="宋体" w:eastAsia="宋体" w:cs="宋体"/>
          <w:szCs w:val="21"/>
          <w:highlight w:val="none"/>
        </w:rPr>
        <w:t>致：</w:t>
      </w:r>
      <w:r>
        <w:rPr>
          <w:rFonts w:hint="eastAsia" w:ascii="宋体" w:hAnsi="宋体" w:eastAsia="宋体" w:cs="宋体"/>
          <w:szCs w:val="21"/>
          <w:highlight w:val="none"/>
          <w:u w:val="single"/>
        </w:rPr>
        <w:t>采购人名称</w:t>
      </w:r>
    </w:p>
    <w:p w14:paraId="2B3C348F">
      <w:pPr>
        <w:spacing w:line="440" w:lineRule="exact"/>
        <w:ind w:firstLine="480"/>
        <w:contextualSpacing/>
        <w:rPr>
          <w:rFonts w:hint="eastAsia" w:ascii="宋体" w:hAnsi="宋体" w:eastAsia="宋体" w:cs="宋体"/>
          <w:szCs w:val="21"/>
          <w:highlight w:val="none"/>
        </w:rPr>
      </w:pPr>
      <w:r>
        <w:rPr>
          <w:rFonts w:hint="eastAsia" w:ascii="宋体" w:hAnsi="宋体" w:eastAsia="宋体" w:cs="宋体"/>
          <w:szCs w:val="21"/>
          <w:highlight w:val="none"/>
        </w:rPr>
        <w:t>根据贵方</w:t>
      </w:r>
      <w:r>
        <w:rPr>
          <w:rFonts w:hint="eastAsia" w:ascii="宋体" w:hAnsi="宋体" w:eastAsia="宋体" w:cs="宋体"/>
          <w:szCs w:val="21"/>
          <w:highlight w:val="none"/>
          <w:u w:val="single"/>
        </w:rPr>
        <w:t xml:space="preserve"> 项目名称</w:t>
      </w:r>
      <w:r>
        <w:rPr>
          <w:rFonts w:hint="eastAsia" w:ascii="宋体" w:hAnsi="宋体" w:eastAsia="宋体" w:cs="宋体"/>
          <w:szCs w:val="21"/>
          <w:highlight w:val="none"/>
        </w:rPr>
        <w:t>（项目编号</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rPr>
        <w:t>的招标公告，签字代表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rPr>
        <w:t>姓名）经正式授权并代表投标人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eastAsia="zh-CN"/>
        </w:rPr>
        <w:t>（</w:t>
      </w:r>
      <w:r>
        <w:rPr>
          <w:rFonts w:hint="eastAsia" w:ascii="宋体" w:hAnsi="宋体" w:eastAsia="宋体" w:cs="宋体"/>
          <w:szCs w:val="21"/>
          <w:highlight w:val="none"/>
        </w:rPr>
        <w:t>投标人名称）提交投标文件。</w:t>
      </w:r>
    </w:p>
    <w:p w14:paraId="3131A1C3">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据此函，我方宣布同意如下：</w:t>
      </w:r>
    </w:p>
    <w:p w14:paraId="07C7E110">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400A6D11">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2.我方在投标之前已经完全理解并接受招标文件的各项规定和要求，对招标文件的合理性、合法性不再有异议。</w:t>
      </w:r>
    </w:p>
    <w:p w14:paraId="5D17F37C">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3.本投标有效期自投标截止之日起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5D77D1A7">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4.如中标，本投标文件至本项目合同履行完毕止均保持有效，我方将按“招标文件”及政府采购法律、法规的规定履行合同责任和义务。</w:t>
      </w:r>
    </w:p>
    <w:p w14:paraId="1B25F3E2">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5.我方同意按照贵方要求提供与投标有关的一切数据或者资料。</w:t>
      </w:r>
    </w:p>
    <w:p w14:paraId="6BE20FA5">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6.我方向贵方提交的所有投标文件、资料都是准确的和真实的。</w:t>
      </w:r>
    </w:p>
    <w:p w14:paraId="68655FFA">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7.以上事项如有虚假或者隐瞒，我方愿意承担一切后果，并不再寻求任何旨在减轻或者免除法律责任的辩解。</w:t>
      </w:r>
    </w:p>
    <w:p w14:paraId="792090F8">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2D2A075">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□我方本次投标文件</w:t>
      </w:r>
      <w:r>
        <w:rPr>
          <w:rFonts w:hint="eastAsia" w:ascii="宋体" w:hAnsi="宋体" w:eastAsia="宋体" w:cs="宋体"/>
          <w:kern w:val="0"/>
          <w:szCs w:val="21"/>
          <w:highlight w:val="none"/>
        </w:rPr>
        <w:t>内容中</w:t>
      </w:r>
      <w:r>
        <w:rPr>
          <w:rFonts w:hint="eastAsia" w:ascii="宋体" w:hAnsi="宋体" w:eastAsia="宋体" w:cs="宋体"/>
          <w:szCs w:val="21"/>
          <w:highlight w:val="none"/>
        </w:rPr>
        <w:t>未</w:t>
      </w:r>
      <w:r>
        <w:rPr>
          <w:rFonts w:hint="eastAsia" w:ascii="宋体" w:hAnsi="宋体" w:eastAsia="宋体" w:cs="宋体"/>
          <w:kern w:val="0"/>
          <w:szCs w:val="21"/>
          <w:highlight w:val="none"/>
        </w:rPr>
        <w:t>涉及商业秘密；</w:t>
      </w:r>
    </w:p>
    <w:p w14:paraId="159B9DC4">
      <w:pPr>
        <w:spacing w:line="440" w:lineRule="exact"/>
        <w:ind w:firstLine="420" w:firstLineChars="200"/>
        <w:contextualSpacing/>
        <w:rPr>
          <w:rFonts w:hint="eastAsia" w:ascii="宋体" w:hAnsi="宋体" w:eastAsia="宋体" w:cs="宋体"/>
          <w:szCs w:val="21"/>
          <w:highlight w:val="none"/>
          <w:lang w:eastAsia="zh-CN"/>
        </w:rPr>
      </w:pPr>
      <w:r>
        <w:rPr>
          <w:rFonts w:hint="eastAsia" w:ascii="宋体" w:hAnsi="宋体" w:eastAsia="宋体" w:cs="宋体"/>
          <w:szCs w:val="21"/>
          <w:highlight w:val="none"/>
        </w:rPr>
        <w:t>□我方本次投标文件</w:t>
      </w:r>
      <w:r>
        <w:rPr>
          <w:rFonts w:hint="eastAsia" w:ascii="宋体" w:hAnsi="宋体" w:eastAsia="宋体" w:cs="宋体"/>
          <w:kern w:val="0"/>
          <w:szCs w:val="21"/>
          <w:highlight w:val="none"/>
        </w:rPr>
        <w:t>涉及商业秘密的内容有</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u w:val="single"/>
          <w:lang w:eastAsia="zh-CN"/>
        </w:rPr>
        <w:t>；</w:t>
      </w:r>
    </w:p>
    <w:p w14:paraId="07010DC4">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9.与本投标有关的一切正式往来信函请寄：</w:t>
      </w:r>
    </w:p>
    <w:p w14:paraId="1B2EBA23">
      <w:pPr>
        <w:spacing w:line="440" w:lineRule="exact"/>
        <w:ind w:firstLine="420" w:firstLineChars="200"/>
        <w:contextualSpacing/>
        <w:rPr>
          <w:rFonts w:hint="eastAsia" w:ascii="宋体" w:hAnsi="宋体" w:eastAsia="宋体" w:cs="宋体"/>
          <w:szCs w:val="21"/>
          <w:highlight w:val="none"/>
          <w:u w:val="single"/>
        </w:rPr>
      </w:pPr>
      <w:r>
        <w:rPr>
          <w:rFonts w:hint="eastAsia" w:ascii="宋体" w:hAnsi="宋体" w:eastAsia="宋体" w:cs="宋体"/>
          <w:szCs w:val="21"/>
          <w:highlight w:val="none"/>
        </w:rPr>
        <w:t>地址</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邮编</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p>
    <w:p w14:paraId="687815EB">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电话</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传真</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p>
    <w:p w14:paraId="54A6249B">
      <w:pPr>
        <w:spacing w:line="440" w:lineRule="exact"/>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投标人名称</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p>
    <w:p w14:paraId="5A7A6F6B">
      <w:pPr>
        <w:spacing w:line="440" w:lineRule="exact"/>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开户银行</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银行帐号</w:t>
      </w:r>
      <w:r>
        <w:rPr>
          <w:rFonts w:hint="eastAsia" w:ascii="宋体" w:hAnsi="宋体" w:eastAsia="宋体" w:cs="宋体"/>
          <w:szCs w:val="21"/>
          <w:highlight w:val="none"/>
          <w:lang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7193EE29">
      <w:pPr>
        <w:spacing w:line="440" w:lineRule="exact"/>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法定代表人或者委托代理人签字</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___________ </w:t>
      </w:r>
    </w:p>
    <w:p w14:paraId="18225AA3">
      <w:pPr>
        <w:pStyle w:val="27"/>
        <w:spacing w:line="440" w:lineRule="exact"/>
        <w:contextualSpacing/>
        <w:jc w:val="center"/>
        <w:rPr>
          <w:rFonts w:hint="eastAsia" w:ascii="宋体" w:hAnsi="宋体" w:eastAsia="宋体" w:cs="宋体"/>
          <w:sz w:val="21"/>
          <w:highlight w:val="none"/>
          <w:u w:val="single"/>
        </w:rPr>
      </w:pPr>
      <w:r>
        <w:rPr>
          <w:rFonts w:hint="eastAsia" w:ascii="宋体" w:hAnsi="宋体" w:eastAsia="宋体" w:cs="宋体"/>
          <w:sz w:val="21"/>
          <w:highlight w:val="none"/>
        </w:rPr>
        <w:t xml:space="preserve">                                    投标人（盖公章）</w:t>
      </w:r>
      <w:r>
        <w:rPr>
          <w:rFonts w:hint="eastAsia" w:hAnsi="宋体" w:eastAsia="宋体" w:cs="宋体"/>
          <w:sz w:val="21"/>
          <w:highlight w:val="none"/>
          <w:lang w:eastAsia="zh-CN"/>
        </w:rPr>
        <w:t>：</w:t>
      </w:r>
      <w:r>
        <w:rPr>
          <w:rFonts w:hint="eastAsia" w:ascii="宋体" w:hAnsi="宋体" w:eastAsia="宋体" w:cs="宋体"/>
          <w:sz w:val="21"/>
          <w:highlight w:val="none"/>
          <w:u w:val="single"/>
        </w:rPr>
        <w:t xml:space="preserve">     </w:t>
      </w:r>
    </w:p>
    <w:p w14:paraId="406AA200">
      <w:pPr>
        <w:pStyle w:val="27"/>
        <w:spacing w:line="440" w:lineRule="exact"/>
        <w:contextualSpacing/>
        <w:rPr>
          <w:rFonts w:hint="eastAsia" w:ascii="宋体" w:hAnsi="宋体" w:eastAsia="宋体" w:cs="宋体"/>
          <w:sz w:val="21"/>
          <w:highlight w:val="none"/>
        </w:rPr>
      </w:pPr>
      <w:r>
        <w:rPr>
          <w:rFonts w:hint="eastAsia" w:ascii="宋体" w:hAnsi="宋体" w:eastAsia="宋体" w:cs="宋体"/>
          <w:sz w:val="21"/>
          <w:highlight w:val="none"/>
        </w:rPr>
        <w:t xml:space="preserve">                                                </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年</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月</w:t>
      </w:r>
      <w:r>
        <w:rPr>
          <w:rFonts w:hint="eastAsia" w:ascii="宋体" w:hAnsi="宋体" w:eastAsia="宋体" w:cs="宋体"/>
          <w:sz w:val="21"/>
          <w:highlight w:val="none"/>
          <w:u w:val="single"/>
        </w:rPr>
        <w:t xml:space="preserve">     </w:t>
      </w:r>
      <w:r>
        <w:rPr>
          <w:rFonts w:hint="eastAsia" w:ascii="宋体" w:hAnsi="宋体" w:eastAsia="宋体" w:cs="宋体"/>
          <w:sz w:val="21"/>
          <w:highlight w:val="none"/>
        </w:rPr>
        <w:t>日</w:t>
      </w:r>
    </w:p>
    <w:p w14:paraId="31B22D34">
      <w:pPr>
        <w:snapToGrid w:val="0"/>
        <w:spacing w:before="120" w:beforeLines="50" w:after="50" w:line="440" w:lineRule="exact"/>
        <w:jc w:val="center"/>
        <w:rPr>
          <w:rFonts w:hint="eastAsia" w:ascii="宋体" w:hAnsi="宋体" w:eastAsia="宋体" w:cs="宋体"/>
          <w:b/>
          <w:sz w:val="30"/>
          <w:highlight w:val="none"/>
        </w:rPr>
      </w:pPr>
      <w:r>
        <w:rPr>
          <w:rFonts w:hint="eastAsia" w:ascii="宋体" w:hAnsi="宋体" w:eastAsia="宋体" w:cs="宋体"/>
          <w:szCs w:val="21"/>
          <w:highlight w:val="none"/>
          <w:u w:val="single"/>
        </w:rPr>
        <w:br w:type="page"/>
      </w:r>
      <w:r>
        <w:rPr>
          <w:rFonts w:hint="eastAsia" w:ascii="宋体" w:hAnsi="宋体" w:eastAsia="宋体" w:cs="宋体"/>
          <w:b/>
          <w:sz w:val="30"/>
          <w:highlight w:val="none"/>
        </w:rPr>
        <w:t>开标一览表（格式）</w:t>
      </w:r>
    </w:p>
    <w:p w14:paraId="00256ED0">
      <w:pPr>
        <w:snapToGrid w:val="0"/>
        <w:spacing w:before="50" w:after="50"/>
        <w:jc w:val="center"/>
        <w:rPr>
          <w:rFonts w:hint="eastAsia" w:ascii="宋体" w:hAnsi="宋体" w:eastAsia="宋体" w:cs="宋体"/>
          <w:b/>
          <w:sz w:val="30"/>
          <w:szCs w:val="20"/>
          <w:highlight w:val="none"/>
        </w:rPr>
      </w:pPr>
    </w:p>
    <w:p w14:paraId="73D9BFD1">
      <w:pPr>
        <w:snapToGrid w:val="0"/>
        <w:spacing w:before="50" w:after="50" w:line="360" w:lineRule="auto"/>
        <w:rPr>
          <w:rFonts w:hint="eastAsia" w:ascii="宋体" w:hAnsi="宋体" w:eastAsia="宋体" w:cs="宋体"/>
          <w:sz w:val="24"/>
          <w:highlight w:val="none"/>
          <w:u w:val="single"/>
        </w:rPr>
      </w:pP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项目编号</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74DA4455">
      <w:pPr>
        <w:snapToGrid w:val="0"/>
        <w:spacing w:before="50" w:after="50" w:line="360" w:lineRule="auto"/>
        <w:rPr>
          <w:rFonts w:hint="eastAsia" w:ascii="宋体" w:hAnsi="宋体" w:eastAsia="宋体" w:cs="宋体"/>
          <w:sz w:val="24"/>
          <w:highlight w:val="none"/>
        </w:rPr>
      </w:pPr>
      <w:r>
        <w:rPr>
          <w:rFonts w:hint="eastAsia" w:ascii="宋体" w:hAnsi="宋体" w:eastAsia="宋体" w:cs="宋体"/>
          <w:sz w:val="24"/>
          <w:highlight w:val="none"/>
        </w:rPr>
        <w:t>投标人名称</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单位：元</w:t>
      </w:r>
    </w:p>
    <w:tbl>
      <w:tblPr>
        <w:tblStyle w:val="52"/>
        <w:tblW w:w="51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9"/>
        <w:gridCol w:w="2776"/>
        <w:gridCol w:w="2530"/>
        <w:gridCol w:w="1107"/>
        <w:gridCol w:w="1108"/>
        <w:gridCol w:w="1783"/>
      </w:tblGrid>
      <w:tr w14:paraId="21A80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0B4E838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序号</w:t>
            </w:r>
          </w:p>
        </w:tc>
        <w:tc>
          <w:tcPr>
            <w:tcW w:w="2776" w:type="dxa"/>
            <w:tcBorders>
              <w:top w:val="single" w:color="auto" w:sz="4" w:space="0"/>
              <w:left w:val="single" w:color="auto" w:sz="4" w:space="0"/>
              <w:bottom w:val="single" w:color="auto" w:sz="4" w:space="0"/>
              <w:right w:val="single" w:color="auto" w:sz="4" w:space="0"/>
            </w:tcBorders>
            <w:noWrap w:val="0"/>
            <w:vAlign w:val="center"/>
          </w:tcPr>
          <w:p w14:paraId="23B8DAD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标的的名称</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4BC6048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Cs/>
                <w:sz w:val="24"/>
                <w:highlight w:val="none"/>
                <w:lang w:eastAsia="zh-CN"/>
              </w:rPr>
            </w:pPr>
            <w:r>
              <w:rPr>
                <w:rFonts w:hint="eastAsia" w:ascii="宋体" w:hAnsi="宋体" w:cs="宋体"/>
                <w:bCs/>
                <w:sz w:val="24"/>
                <w:highlight w:val="none"/>
                <w:lang w:eastAsia="zh-CN"/>
              </w:rPr>
              <w:t>质量承诺</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98A1AA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数量及单位①</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532B983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单价</w:t>
            </w:r>
          </w:p>
          <w:p w14:paraId="35A4EA3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②</w:t>
            </w:r>
          </w:p>
        </w:tc>
        <w:tc>
          <w:tcPr>
            <w:tcW w:w="1783" w:type="dxa"/>
            <w:tcBorders>
              <w:top w:val="single" w:color="auto" w:sz="4" w:space="0"/>
              <w:left w:val="single" w:color="auto" w:sz="4" w:space="0"/>
              <w:bottom w:val="single" w:color="auto" w:sz="4" w:space="0"/>
              <w:right w:val="single" w:color="auto" w:sz="4" w:space="0"/>
            </w:tcBorders>
            <w:noWrap w:val="0"/>
            <w:vAlign w:val="center"/>
          </w:tcPr>
          <w:p w14:paraId="48B637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投标报价</w:t>
            </w:r>
          </w:p>
          <w:p w14:paraId="4AB3D21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③=①×②</w:t>
            </w:r>
          </w:p>
        </w:tc>
      </w:tr>
      <w:tr w14:paraId="56BBCE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4E4B231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2776" w:type="dxa"/>
            <w:tcBorders>
              <w:top w:val="single" w:color="auto" w:sz="4" w:space="0"/>
              <w:left w:val="single" w:color="auto" w:sz="4" w:space="0"/>
              <w:bottom w:val="single" w:color="auto" w:sz="4" w:space="0"/>
              <w:right w:val="single" w:color="auto" w:sz="4" w:space="0"/>
            </w:tcBorders>
            <w:noWrap w:val="0"/>
            <w:vAlign w:val="center"/>
          </w:tcPr>
          <w:p w14:paraId="76EA365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c>
          <w:tcPr>
            <w:tcW w:w="2530" w:type="dxa"/>
            <w:tcBorders>
              <w:top w:val="single" w:color="auto" w:sz="4" w:space="0"/>
              <w:left w:val="single" w:color="auto" w:sz="4" w:space="0"/>
              <w:bottom w:val="single" w:color="auto" w:sz="4" w:space="0"/>
              <w:right w:val="single" w:color="auto" w:sz="4" w:space="0"/>
            </w:tcBorders>
            <w:noWrap w:val="0"/>
            <w:vAlign w:val="center"/>
          </w:tcPr>
          <w:p w14:paraId="4CC6860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lang w:eastAsia="zh-CN"/>
              </w:rPr>
            </w:pPr>
            <w:r>
              <w:rPr>
                <w:rFonts w:hint="eastAsia" w:ascii="宋体" w:hAnsi="宋体" w:cs="宋体"/>
                <w:sz w:val="24"/>
                <w:highlight w:val="none"/>
                <w:lang w:eastAsia="zh-CN"/>
              </w:rPr>
              <w:t>满足招标文件要求</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5080D28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9DB21B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12313FF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r>
      <w:tr w14:paraId="4A459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586C001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2776" w:type="dxa"/>
            <w:tcBorders>
              <w:top w:val="single" w:color="auto" w:sz="4" w:space="0"/>
              <w:left w:val="single" w:color="auto" w:sz="4" w:space="0"/>
              <w:bottom w:val="single" w:color="auto" w:sz="4" w:space="0"/>
              <w:right w:val="single" w:color="auto" w:sz="4" w:space="0"/>
            </w:tcBorders>
            <w:noWrap w:val="0"/>
            <w:vAlign w:val="center"/>
          </w:tcPr>
          <w:p w14:paraId="72926A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c>
          <w:tcPr>
            <w:tcW w:w="2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52AE0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eastAsia="zh-CN"/>
              </w:rPr>
              <w:t>满足招标文件要求</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EAB58A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65DECDA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0C50CFC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r>
      <w:tr w14:paraId="63203A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14:paraId="320CEF0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center"/>
          </w:tcPr>
          <w:p w14:paraId="1D0D521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w:t>
            </w:r>
          </w:p>
        </w:tc>
        <w:tc>
          <w:tcPr>
            <w:tcW w:w="25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462DC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eastAsia="zh-CN"/>
              </w:rPr>
              <w:t>满足招标文件要求</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66A929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1BB56B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c>
          <w:tcPr>
            <w:tcW w:w="1783" w:type="dxa"/>
            <w:tcBorders>
              <w:top w:val="single" w:color="auto" w:sz="4" w:space="0"/>
              <w:left w:val="single" w:color="auto" w:sz="4" w:space="0"/>
              <w:bottom w:val="single" w:color="auto" w:sz="4" w:space="0"/>
              <w:right w:val="single" w:color="auto" w:sz="4" w:space="0"/>
            </w:tcBorders>
            <w:noWrap w:val="0"/>
            <w:vAlign w:val="center"/>
          </w:tcPr>
          <w:p w14:paraId="5C64297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sz w:val="24"/>
                <w:highlight w:val="none"/>
              </w:rPr>
            </w:pPr>
          </w:p>
        </w:tc>
      </w:tr>
      <w:tr w14:paraId="19BCAB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0083" w:type="dxa"/>
            <w:gridSpan w:val="6"/>
            <w:tcBorders>
              <w:top w:val="single" w:color="auto" w:sz="4" w:space="0"/>
              <w:left w:val="single" w:color="auto" w:sz="4" w:space="0"/>
              <w:bottom w:val="single" w:color="auto" w:sz="4" w:space="0"/>
              <w:right w:val="single" w:color="auto" w:sz="4" w:space="0"/>
            </w:tcBorders>
            <w:noWrap w:val="0"/>
            <w:vAlign w:val="center"/>
          </w:tcPr>
          <w:p w14:paraId="7920D8A0">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合计金额大写：人民币</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p>
        </w:tc>
      </w:tr>
      <w:tr w14:paraId="5A5E1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0083" w:type="dxa"/>
            <w:gridSpan w:val="6"/>
            <w:tcBorders>
              <w:top w:val="single" w:color="auto" w:sz="4" w:space="0"/>
              <w:left w:val="single" w:color="auto" w:sz="4" w:space="0"/>
              <w:bottom w:val="single" w:color="auto" w:sz="4" w:space="0"/>
              <w:right w:val="single" w:color="auto" w:sz="4" w:space="0"/>
            </w:tcBorders>
            <w:noWrap w:val="0"/>
            <w:vAlign w:val="center"/>
          </w:tcPr>
          <w:p w14:paraId="458A7B97">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sz w:val="24"/>
                <w:highlight w:val="none"/>
              </w:rPr>
            </w:pPr>
            <w:r>
              <w:rPr>
                <w:rFonts w:hint="eastAsia" w:ascii="宋体" w:hAnsi="宋体" w:eastAsia="宋体" w:cs="宋体"/>
                <w:sz w:val="24"/>
                <w:highlight w:val="none"/>
              </w:rPr>
              <w:t>交</w:t>
            </w:r>
            <w:r>
              <w:rPr>
                <w:rFonts w:hint="eastAsia" w:ascii="宋体" w:hAnsi="宋体" w:eastAsia="宋体" w:cs="宋体"/>
                <w:sz w:val="24"/>
                <w:highlight w:val="none"/>
                <w:lang w:eastAsia="zh-CN"/>
              </w:rPr>
              <w:t>付使用</w:t>
            </w:r>
            <w:r>
              <w:rPr>
                <w:rFonts w:hint="eastAsia" w:ascii="宋体" w:hAnsi="宋体" w:eastAsia="宋体" w:cs="宋体"/>
                <w:sz w:val="24"/>
                <w:highlight w:val="none"/>
              </w:rPr>
              <w:t>期：</w:t>
            </w:r>
          </w:p>
        </w:tc>
      </w:tr>
    </w:tbl>
    <w:p w14:paraId="23E80820">
      <w:pPr>
        <w:snapToGrid w:val="0"/>
        <w:spacing w:before="50" w:after="50"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r>
        <w:rPr>
          <w:rFonts w:hint="eastAsia" w:ascii="宋体" w:hAnsi="宋体" w:eastAsia="宋体" w:cs="宋体"/>
          <w:sz w:val="24"/>
          <w:highlight w:val="none"/>
          <w:lang w:eastAsia="zh-CN"/>
        </w:rPr>
        <w:t>：</w:t>
      </w:r>
    </w:p>
    <w:p w14:paraId="7B8BABBA">
      <w:pPr>
        <w:snapToGrid w:val="0"/>
        <w:spacing w:before="50" w:after="5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1.投标人的开标一览表必须加盖投标人公章并由法定代表人或者委托代理人签字，</w:t>
      </w:r>
      <w:r>
        <w:rPr>
          <w:rFonts w:hint="eastAsia" w:ascii="宋体" w:hAnsi="宋体" w:eastAsia="宋体" w:cs="宋体"/>
          <w:b/>
          <w:sz w:val="24"/>
          <w:highlight w:val="none"/>
        </w:rPr>
        <w:t>否则其投标作无效标处理</w:t>
      </w:r>
      <w:r>
        <w:rPr>
          <w:rFonts w:hint="eastAsia" w:ascii="宋体" w:hAnsi="宋体" w:eastAsia="宋体" w:cs="宋体"/>
          <w:sz w:val="24"/>
          <w:highlight w:val="none"/>
        </w:rPr>
        <w:t>。</w:t>
      </w:r>
    </w:p>
    <w:p w14:paraId="22A49912">
      <w:pPr>
        <w:snapToGrid w:val="0"/>
        <w:spacing w:before="50" w:after="50" w:line="360" w:lineRule="auto"/>
        <w:ind w:firstLine="480" w:firstLineChars="200"/>
        <w:jc w:val="left"/>
        <w:rPr>
          <w:rFonts w:hint="eastAsia" w:ascii="宋体" w:hAnsi="宋体" w:eastAsia="宋体" w:cs="宋体"/>
          <w:b/>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报价一经涂改，应在涂改处加盖投标人公章或者由法定代表人或者委托代理人签字或者盖章</w:t>
      </w:r>
      <w:r>
        <w:rPr>
          <w:rFonts w:hint="eastAsia" w:ascii="宋体" w:hAnsi="宋体" w:eastAsia="宋体" w:cs="宋体"/>
          <w:b/>
          <w:sz w:val="24"/>
          <w:highlight w:val="none"/>
        </w:rPr>
        <w:t>，否则其投标作无效标处理。</w:t>
      </w:r>
    </w:p>
    <w:p w14:paraId="4D8C4DFD">
      <w:pPr>
        <w:snapToGrid w:val="0"/>
        <w:spacing w:before="50" w:after="5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3.招标文件中列明采购专用耗材的，应按招标文件规定的耗材量或者按耗材的常规试用量提供报价。</w:t>
      </w:r>
    </w:p>
    <w:p w14:paraId="055FDC8D">
      <w:pPr>
        <w:snapToGrid w:val="0"/>
        <w:spacing w:before="50" w:after="50" w:line="360" w:lineRule="auto"/>
        <w:ind w:firstLine="480" w:firstLineChars="200"/>
        <w:jc w:val="left"/>
        <w:rPr>
          <w:rFonts w:hint="eastAsia" w:ascii="宋体" w:hAnsi="宋体" w:eastAsia="宋体" w:cs="宋体"/>
          <w:spacing w:val="-6"/>
          <w:sz w:val="24"/>
          <w:highlight w:val="none"/>
        </w:rPr>
      </w:pPr>
      <w:r>
        <w:rPr>
          <w:rFonts w:hint="eastAsia" w:ascii="宋体" w:hAnsi="宋体" w:eastAsia="宋体" w:cs="宋体"/>
          <w:sz w:val="24"/>
          <w:highlight w:val="none"/>
        </w:rPr>
        <w:t>4.如有多分标，按分标分别提供开标一览表，</w:t>
      </w:r>
      <w:r>
        <w:rPr>
          <w:rFonts w:hint="eastAsia" w:ascii="宋体" w:hAnsi="宋体" w:eastAsia="宋体" w:cs="宋体"/>
          <w:b/>
          <w:sz w:val="24"/>
          <w:highlight w:val="none"/>
        </w:rPr>
        <w:t>否则投标无效。</w:t>
      </w:r>
    </w:p>
    <w:p w14:paraId="72B244FD">
      <w:pPr>
        <w:snapToGrid w:val="0"/>
        <w:spacing w:before="50" w:after="50" w:line="360" w:lineRule="auto"/>
        <w:ind w:left="-2" w:leftChars="-1" w:right="-817" w:rightChars="-389"/>
        <w:rPr>
          <w:rFonts w:hint="eastAsia" w:ascii="宋体" w:hAnsi="宋体" w:eastAsia="宋体" w:cs="宋体"/>
          <w:sz w:val="24"/>
          <w:highlight w:val="none"/>
        </w:rPr>
      </w:pPr>
    </w:p>
    <w:p w14:paraId="5FE342C5">
      <w:pPr>
        <w:snapToGrid w:val="0"/>
        <w:spacing w:before="50" w:after="50" w:line="360" w:lineRule="auto"/>
        <w:ind w:left="-2" w:leftChars="-1" w:right="-817" w:rightChars="-389"/>
        <w:rPr>
          <w:rFonts w:hint="eastAsia" w:ascii="宋体" w:hAnsi="宋体" w:eastAsia="宋体" w:cs="宋体"/>
          <w:sz w:val="24"/>
          <w:highlight w:val="none"/>
        </w:rPr>
      </w:pPr>
      <w:r>
        <w:rPr>
          <w:rFonts w:hint="eastAsia" w:ascii="宋体" w:hAnsi="宋体" w:eastAsia="宋体" w:cs="宋体"/>
          <w:sz w:val="24"/>
          <w:highlight w:val="none"/>
        </w:rPr>
        <w:t>法定代表人或者委托代理人（签字）</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p w14:paraId="5BD0617D">
      <w:pPr>
        <w:snapToGrid w:val="0"/>
        <w:spacing w:before="50" w:after="50" w:line="360" w:lineRule="auto"/>
        <w:ind w:left="-3" w:leftChars="-15" w:right="-817" w:rightChars="-389" w:hanging="28" w:hangingChars="12"/>
        <w:rPr>
          <w:rFonts w:hint="eastAsia" w:ascii="宋体" w:hAnsi="宋体" w:eastAsia="宋体" w:cs="宋体"/>
          <w:sz w:val="24"/>
          <w:highlight w:val="none"/>
        </w:rPr>
      </w:pPr>
      <w:r>
        <w:rPr>
          <w:rFonts w:hint="eastAsia" w:ascii="宋体" w:hAnsi="宋体" w:eastAsia="宋体" w:cs="宋体"/>
          <w:sz w:val="24"/>
          <w:highlight w:val="none"/>
        </w:rPr>
        <w:t>投标人（盖公章）</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p w14:paraId="444BBFBB">
      <w:pPr>
        <w:snapToGrid w:val="0"/>
        <w:spacing w:before="50" w:after="50" w:line="360" w:lineRule="auto"/>
        <w:ind w:left="-3" w:leftChars="-15" w:right="-817" w:rightChars="-389" w:hanging="28" w:hangingChars="12"/>
        <w:jc w:val="left"/>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年   月   日</w:t>
      </w:r>
    </w:p>
    <w:p w14:paraId="0EF8116F">
      <w:pPr>
        <w:rPr>
          <w:rFonts w:hint="eastAsia" w:ascii="宋体" w:hAnsi="宋体" w:eastAsia="宋体" w:cs="宋体"/>
          <w:sz w:val="24"/>
          <w:highlight w:val="none"/>
        </w:rPr>
      </w:pPr>
      <w:r>
        <w:rPr>
          <w:rFonts w:hint="eastAsia" w:ascii="宋体" w:hAnsi="宋体" w:eastAsia="宋体" w:cs="宋体"/>
          <w:sz w:val="24"/>
          <w:highlight w:val="none"/>
        </w:rPr>
        <w:br w:type="page"/>
      </w:r>
    </w:p>
    <w:p w14:paraId="3082F7F0">
      <w:pPr>
        <w:rPr>
          <w:rFonts w:hint="eastAsia" w:ascii="宋体" w:hAnsi="宋体" w:eastAsia="宋体" w:cs="宋体"/>
          <w:b/>
          <w:sz w:val="28"/>
          <w:szCs w:val="28"/>
          <w:highlight w:val="none"/>
        </w:rPr>
      </w:pPr>
      <w:bookmarkStart w:id="107" w:name="_Toc19686837"/>
      <w:r>
        <w:rPr>
          <w:rFonts w:hint="eastAsia" w:ascii="宋体" w:hAnsi="宋体" w:eastAsia="宋体" w:cs="宋体"/>
          <w:b/>
          <w:sz w:val="28"/>
          <w:szCs w:val="28"/>
          <w:highlight w:val="none"/>
        </w:rPr>
        <w:t>二、资格证明文件格式</w:t>
      </w:r>
      <w:bookmarkEnd w:id="105"/>
      <w:bookmarkEnd w:id="106"/>
      <w:bookmarkEnd w:id="107"/>
    </w:p>
    <w:p w14:paraId="57FCDFF4">
      <w:pPr>
        <w:numPr>
          <w:ilvl w:val="2"/>
          <w:numId w:val="0"/>
        </w:numPr>
        <w:snapToGrid w:val="0"/>
        <w:spacing w:before="120" w:beforeLines="50" w:after="50" w:line="360" w:lineRule="auto"/>
        <w:ind w:left="0" w:leftChars="0" w:firstLine="0" w:firstLineChars="0"/>
        <w:jc w:val="left"/>
        <w:rPr>
          <w:rFonts w:hint="eastAsia" w:ascii="宋体" w:hAnsi="宋体" w:eastAsia="宋体" w:cs="宋体"/>
          <w:b/>
          <w:sz w:val="24"/>
          <w:highlight w:val="none"/>
        </w:rPr>
      </w:pPr>
      <w:r>
        <w:rPr>
          <w:rFonts w:hint="default" w:ascii="宋体" w:hAnsi="宋体" w:eastAsia="宋体" w:cs="宋体"/>
          <w:b/>
          <w:kern w:val="2"/>
          <w:sz w:val="24"/>
          <w:szCs w:val="24"/>
          <w:lang w:val="en-US" w:eastAsia="zh-CN" w:bidi="ar-SA"/>
        </w:rPr>
        <w:t>1.</w:t>
      </w:r>
      <w:r>
        <w:rPr>
          <w:rFonts w:hint="eastAsia" w:ascii="宋体" w:hAnsi="宋体" w:eastAsia="宋体" w:cs="宋体"/>
          <w:b/>
          <w:sz w:val="24"/>
          <w:highlight w:val="none"/>
        </w:rPr>
        <w:t>资格证明文件封面格式</w:t>
      </w:r>
      <w:r>
        <w:rPr>
          <w:rFonts w:hint="eastAsia" w:ascii="宋体" w:hAnsi="宋体" w:eastAsia="宋体" w:cs="宋体"/>
          <w:b/>
          <w:sz w:val="24"/>
          <w:highlight w:val="none"/>
          <w:lang w:eastAsia="zh-CN"/>
        </w:rPr>
        <w:t>：</w:t>
      </w:r>
    </w:p>
    <w:p w14:paraId="471C8B23">
      <w:pPr>
        <w:snapToGrid w:val="0"/>
        <w:spacing w:before="120" w:beforeLines="50" w:after="50"/>
        <w:rPr>
          <w:rFonts w:hint="eastAsia" w:ascii="宋体" w:hAnsi="宋体" w:eastAsia="宋体" w:cs="宋体"/>
          <w:bCs/>
          <w:sz w:val="32"/>
          <w:szCs w:val="20"/>
          <w:highlight w:val="none"/>
        </w:rPr>
      </w:pPr>
      <w:r>
        <w:rPr>
          <w:rFonts w:hint="eastAsia" w:ascii="宋体" w:hAnsi="宋体" w:eastAsia="宋体" w:cs="宋体"/>
          <w:sz w:val="24"/>
          <w:highlight w:val="none"/>
        </w:rPr>
        <w:t xml:space="preserve">                                                   </w:t>
      </w:r>
    </w:p>
    <w:p w14:paraId="670F4634">
      <w:pPr>
        <w:snapToGrid w:val="0"/>
        <w:spacing w:before="120" w:beforeLines="50" w:after="50"/>
        <w:rPr>
          <w:rFonts w:hint="eastAsia" w:ascii="宋体" w:hAnsi="宋体" w:eastAsia="宋体" w:cs="宋体"/>
          <w:sz w:val="24"/>
          <w:szCs w:val="20"/>
          <w:highlight w:val="none"/>
        </w:rPr>
      </w:pPr>
    </w:p>
    <w:p w14:paraId="749FF39A">
      <w:pPr>
        <w:snapToGrid w:val="0"/>
        <w:spacing w:before="120" w:beforeLines="50" w:after="50"/>
        <w:rPr>
          <w:rFonts w:hint="eastAsia" w:ascii="宋体" w:hAnsi="宋体" w:eastAsia="宋体" w:cs="宋体"/>
          <w:sz w:val="24"/>
          <w:szCs w:val="20"/>
          <w:highlight w:val="none"/>
        </w:rPr>
      </w:pPr>
    </w:p>
    <w:p w14:paraId="3D77B272">
      <w:pPr>
        <w:snapToGrid w:val="0"/>
        <w:spacing w:before="120" w:beforeLines="50" w:after="50"/>
        <w:jc w:val="center"/>
        <w:rPr>
          <w:rFonts w:hint="eastAsia" w:ascii="宋体" w:hAnsi="宋体" w:eastAsia="宋体" w:cs="宋体"/>
          <w:sz w:val="84"/>
          <w:szCs w:val="84"/>
          <w:highlight w:val="none"/>
        </w:rPr>
      </w:pPr>
      <w:r>
        <w:rPr>
          <w:rFonts w:hint="eastAsia" w:ascii="宋体" w:hAnsi="宋体" w:eastAsia="宋体" w:cs="宋体"/>
          <w:sz w:val="84"/>
          <w:szCs w:val="84"/>
          <w:highlight w:val="none"/>
        </w:rPr>
        <w:t>投  标  文  件</w:t>
      </w:r>
    </w:p>
    <w:p w14:paraId="7CBEE9C7">
      <w:pPr>
        <w:snapToGrid w:val="0"/>
        <w:spacing w:before="120" w:beforeLines="50" w:after="50"/>
        <w:rPr>
          <w:rFonts w:hint="eastAsia" w:ascii="宋体" w:hAnsi="宋体" w:eastAsia="宋体" w:cs="宋体"/>
          <w:sz w:val="24"/>
          <w:szCs w:val="20"/>
          <w:highlight w:val="none"/>
        </w:rPr>
      </w:pPr>
    </w:p>
    <w:p w14:paraId="6C192A4A">
      <w:pPr>
        <w:snapToGrid w:val="0"/>
        <w:spacing w:before="120" w:beforeLines="50" w:after="50"/>
        <w:rPr>
          <w:rFonts w:hint="eastAsia" w:ascii="宋体" w:hAnsi="宋体" w:eastAsia="宋体" w:cs="宋体"/>
          <w:sz w:val="24"/>
          <w:szCs w:val="20"/>
          <w:highlight w:val="none"/>
        </w:rPr>
      </w:pPr>
    </w:p>
    <w:p w14:paraId="5AEE4169">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2"/>
          <w:szCs w:val="32"/>
          <w:highlight w:val="none"/>
        </w:rPr>
        <w:t>资 格 证 明 文 件</w:t>
      </w:r>
    </w:p>
    <w:p w14:paraId="7DC1A863">
      <w:pPr>
        <w:snapToGrid w:val="0"/>
        <w:spacing w:before="120" w:beforeLines="50" w:after="50"/>
        <w:rPr>
          <w:rFonts w:hint="eastAsia" w:ascii="宋体" w:hAnsi="宋体" w:eastAsia="宋体" w:cs="宋体"/>
          <w:bCs/>
          <w:sz w:val="24"/>
          <w:szCs w:val="20"/>
          <w:highlight w:val="none"/>
        </w:rPr>
      </w:pPr>
    </w:p>
    <w:p w14:paraId="0E8B7046">
      <w:pPr>
        <w:snapToGrid w:val="0"/>
        <w:spacing w:before="120" w:beforeLines="50" w:after="50"/>
        <w:rPr>
          <w:rFonts w:hint="eastAsia" w:ascii="宋体" w:hAnsi="宋体" w:eastAsia="宋体" w:cs="宋体"/>
          <w:bCs/>
          <w:sz w:val="24"/>
          <w:szCs w:val="20"/>
          <w:highlight w:val="none"/>
        </w:rPr>
      </w:pPr>
    </w:p>
    <w:p w14:paraId="7166D487">
      <w:pPr>
        <w:snapToGrid w:val="0"/>
        <w:spacing w:before="120" w:beforeLines="50" w:after="50"/>
        <w:rPr>
          <w:rFonts w:hint="eastAsia" w:ascii="宋体" w:hAnsi="宋体" w:eastAsia="宋体" w:cs="宋体"/>
          <w:bCs/>
          <w:sz w:val="24"/>
          <w:szCs w:val="20"/>
          <w:highlight w:val="none"/>
        </w:rPr>
      </w:pPr>
    </w:p>
    <w:p w14:paraId="157528D2">
      <w:pPr>
        <w:snapToGrid w:val="0"/>
        <w:spacing w:before="120" w:beforeLines="50" w:after="50"/>
        <w:rPr>
          <w:rFonts w:hint="eastAsia" w:ascii="宋体" w:hAnsi="宋体" w:eastAsia="宋体" w:cs="宋体"/>
          <w:bCs/>
          <w:sz w:val="24"/>
          <w:szCs w:val="20"/>
          <w:highlight w:val="none"/>
        </w:rPr>
      </w:pPr>
    </w:p>
    <w:p w14:paraId="134A737D">
      <w:pPr>
        <w:snapToGrid w:val="0"/>
        <w:spacing w:before="120" w:beforeLines="50" w:after="50"/>
        <w:rPr>
          <w:rFonts w:hint="eastAsia" w:ascii="宋体" w:hAnsi="宋体" w:eastAsia="宋体" w:cs="宋体"/>
          <w:bCs/>
          <w:sz w:val="24"/>
          <w:szCs w:val="20"/>
          <w:highlight w:val="none"/>
        </w:rPr>
      </w:pPr>
    </w:p>
    <w:p w14:paraId="4DD8B0DD">
      <w:pPr>
        <w:snapToGrid w:val="0"/>
        <w:spacing w:before="120" w:beforeLines="50" w:after="50"/>
        <w:ind w:firstLine="540" w:firstLineChars="225"/>
        <w:rPr>
          <w:rFonts w:hint="eastAsia" w:ascii="宋体" w:hAnsi="宋体" w:eastAsia="宋体" w:cs="宋体"/>
          <w:bCs/>
          <w:sz w:val="24"/>
          <w:highlight w:val="none"/>
        </w:rPr>
      </w:pPr>
      <w:r>
        <w:rPr>
          <w:rFonts w:hint="eastAsia" w:ascii="宋体" w:hAnsi="宋体" w:eastAsia="宋体" w:cs="宋体"/>
          <w:bCs/>
          <w:sz w:val="24"/>
          <w:highlight w:val="none"/>
        </w:rPr>
        <w:t>项目名称：</w:t>
      </w:r>
    </w:p>
    <w:p w14:paraId="58E7D918">
      <w:pPr>
        <w:snapToGrid w:val="0"/>
        <w:spacing w:before="120" w:beforeLines="50" w:after="50"/>
        <w:ind w:firstLine="540" w:firstLineChars="225"/>
        <w:rPr>
          <w:rFonts w:hint="eastAsia" w:ascii="宋体" w:hAnsi="宋体" w:eastAsia="宋体" w:cs="宋体"/>
          <w:bCs/>
          <w:sz w:val="24"/>
          <w:szCs w:val="20"/>
          <w:highlight w:val="none"/>
        </w:rPr>
      </w:pPr>
    </w:p>
    <w:p w14:paraId="73D38A8B">
      <w:pPr>
        <w:snapToGrid w:val="0"/>
        <w:spacing w:before="120" w:beforeLines="50" w:after="50"/>
        <w:ind w:firstLine="540" w:firstLineChars="225"/>
        <w:rPr>
          <w:rFonts w:hint="eastAsia" w:ascii="宋体" w:hAnsi="宋体" w:eastAsia="宋体" w:cs="宋体"/>
          <w:bCs/>
          <w:sz w:val="24"/>
          <w:highlight w:val="none"/>
        </w:rPr>
      </w:pPr>
      <w:r>
        <w:rPr>
          <w:rFonts w:hint="eastAsia" w:ascii="宋体" w:hAnsi="宋体" w:eastAsia="宋体" w:cs="宋体"/>
          <w:bCs/>
          <w:sz w:val="24"/>
          <w:highlight w:val="none"/>
        </w:rPr>
        <w:t>项目编号：</w:t>
      </w:r>
    </w:p>
    <w:p w14:paraId="21564A7F">
      <w:pPr>
        <w:snapToGrid w:val="0"/>
        <w:spacing w:before="120" w:beforeLines="50" w:after="50"/>
        <w:ind w:firstLine="540" w:firstLineChars="225"/>
        <w:rPr>
          <w:rFonts w:hint="eastAsia" w:ascii="宋体" w:hAnsi="宋体" w:eastAsia="宋体" w:cs="宋体"/>
          <w:bCs/>
          <w:sz w:val="24"/>
          <w:highlight w:val="none"/>
        </w:rPr>
      </w:pPr>
    </w:p>
    <w:p w14:paraId="41C5E505">
      <w:pPr>
        <w:pStyle w:val="8"/>
        <w:snapToGrid w:val="0"/>
        <w:spacing w:before="50" w:after="50"/>
        <w:ind w:firstLine="540" w:firstLineChars="225"/>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p>
    <w:p w14:paraId="78EAF620">
      <w:pPr>
        <w:pStyle w:val="8"/>
        <w:snapToGrid w:val="0"/>
        <w:spacing w:before="50" w:after="50"/>
        <w:ind w:firstLine="540" w:firstLineChars="225"/>
        <w:rPr>
          <w:rFonts w:hint="eastAsia" w:ascii="宋体" w:hAnsi="宋体" w:eastAsia="宋体" w:cs="宋体"/>
          <w:bCs/>
          <w:sz w:val="24"/>
          <w:szCs w:val="24"/>
          <w:highlight w:val="none"/>
        </w:rPr>
      </w:pPr>
    </w:p>
    <w:p w14:paraId="5B34EE89">
      <w:pPr>
        <w:pStyle w:val="8"/>
        <w:snapToGrid w:val="0"/>
        <w:spacing w:before="50" w:after="50"/>
        <w:ind w:firstLine="960" w:firstLineChars="400"/>
        <w:rPr>
          <w:rFonts w:hint="eastAsia" w:ascii="宋体" w:hAnsi="宋体" w:eastAsia="宋体" w:cs="宋体"/>
          <w:bCs/>
          <w:sz w:val="24"/>
          <w:szCs w:val="24"/>
          <w:highlight w:val="none"/>
        </w:rPr>
      </w:pPr>
    </w:p>
    <w:p w14:paraId="0CF251BC">
      <w:pPr>
        <w:snapToGrid w:val="0"/>
        <w:spacing w:before="120" w:beforeLines="50" w:after="50"/>
        <w:ind w:firstLine="645"/>
        <w:jc w:val="center"/>
        <w:rPr>
          <w:rFonts w:hint="eastAsia" w:ascii="宋体" w:hAnsi="宋体" w:eastAsia="宋体" w:cs="宋体"/>
          <w:sz w:val="24"/>
          <w:highlight w:val="none"/>
        </w:rPr>
      </w:pPr>
      <w:r>
        <w:rPr>
          <w:rFonts w:hint="eastAsia" w:ascii="宋体" w:hAnsi="宋体" w:eastAsia="宋体" w:cs="宋体"/>
          <w:sz w:val="24"/>
          <w:highlight w:val="none"/>
        </w:rPr>
        <w:t>年  月  日</w:t>
      </w:r>
    </w:p>
    <w:p w14:paraId="6A10D8D7">
      <w:pPr>
        <w:snapToGrid w:val="0"/>
        <w:spacing w:before="120" w:beforeLines="50" w:after="50"/>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 </w:t>
      </w:r>
    </w:p>
    <w:p w14:paraId="2C25C9DB">
      <w:pPr>
        <w:snapToGrid w:val="0"/>
        <w:spacing w:before="120" w:beforeLines="50" w:after="50"/>
        <w:rPr>
          <w:rFonts w:hint="eastAsia" w:ascii="宋体" w:hAnsi="宋体" w:eastAsia="宋体" w:cs="宋体"/>
          <w:sz w:val="24"/>
          <w:szCs w:val="20"/>
          <w:highlight w:val="none"/>
        </w:rPr>
      </w:pPr>
    </w:p>
    <w:p w14:paraId="27FB1140">
      <w:pPr>
        <w:numPr>
          <w:ilvl w:val="2"/>
          <w:numId w:val="0"/>
        </w:numPr>
        <w:snapToGrid w:val="0"/>
        <w:spacing w:before="120" w:beforeLines="50" w:after="50" w:line="360" w:lineRule="auto"/>
        <w:ind w:left="0" w:leftChars="0" w:firstLine="0" w:firstLineChars="0"/>
        <w:jc w:val="left"/>
        <w:rPr>
          <w:rFonts w:hint="eastAsia" w:ascii="宋体" w:hAnsi="宋体" w:eastAsia="宋体" w:cs="宋体"/>
          <w:sz w:val="24"/>
          <w:szCs w:val="20"/>
          <w:highlight w:val="none"/>
        </w:rPr>
      </w:pPr>
      <w:r>
        <w:rPr>
          <w:rFonts w:hint="eastAsia" w:ascii="宋体" w:hAnsi="宋体" w:eastAsia="宋体" w:cs="宋体"/>
          <w:b/>
          <w:bCs/>
          <w:sz w:val="24"/>
          <w:highlight w:val="none"/>
        </w:rPr>
        <w:br w:type="page"/>
      </w:r>
      <w:r>
        <w:rPr>
          <w:rFonts w:hint="default" w:ascii="宋体" w:hAnsi="宋体" w:eastAsia="宋体" w:cs="宋体"/>
          <w:b/>
          <w:kern w:val="2"/>
          <w:sz w:val="24"/>
          <w:szCs w:val="24"/>
          <w:lang w:val="en-US" w:eastAsia="zh-CN" w:bidi="ar-SA"/>
        </w:rPr>
        <w:t>2.</w:t>
      </w:r>
      <w:r>
        <w:rPr>
          <w:rFonts w:hint="eastAsia" w:ascii="宋体" w:hAnsi="宋体" w:eastAsia="宋体" w:cs="宋体"/>
          <w:b/>
          <w:bCs/>
          <w:sz w:val="24"/>
          <w:highlight w:val="none"/>
        </w:rPr>
        <w:t>资格证明文件目录</w:t>
      </w:r>
    </w:p>
    <w:p w14:paraId="4FAA1893">
      <w:pPr>
        <w:snapToGri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根据招标文件规定及投标人提供的材料自行编写目录（部分格式后附）。</w:t>
      </w:r>
    </w:p>
    <w:p w14:paraId="329822C7">
      <w:pPr>
        <w:snapToGrid w:val="0"/>
        <w:spacing w:before="50" w:after="120" w:afterLines="50"/>
        <w:jc w:val="left"/>
        <w:rPr>
          <w:rFonts w:hint="eastAsia" w:ascii="宋体" w:hAnsi="宋体" w:eastAsia="宋体" w:cs="宋体"/>
          <w:sz w:val="24"/>
          <w:highlight w:val="none"/>
        </w:rPr>
      </w:pPr>
    </w:p>
    <w:p w14:paraId="751BC195">
      <w:pPr>
        <w:snapToGrid w:val="0"/>
        <w:spacing w:before="50" w:after="120" w:afterLines="50"/>
        <w:jc w:val="left"/>
        <w:rPr>
          <w:rFonts w:hint="eastAsia" w:ascii="宋体" w:hAnsi="宋体" w:eastAsia="宋体" w:cs="宋体"/>
          <w:sz w:val="24"/>
          <w:highlight w:val="none"/>
        </w:rPr>
      </w:pPr>
    </w:p>
    <w:p w14:paraId="40A77A6D">
      <w:pPr>
        <w:spacing w:line="320" w:lineRule="exact"/>
        <w:jc w:val="left"/>
        <w:rPr>
          <w:rFonts w:hint="eastAsia" w:ascii="宋体" w:hAnsi="宋体" w:eastAsia="宋体" w:cs="宋体"/>
          <w:szCs w:val="21"/>
          <w:highlight w:val="none"/>
        </w:rPr>
      </w:pPr>
      <w:r>
        <w:rPr>
          <w:rFonts w:hint="eastAsia" w:ascii="宋体" w:hAnsi="宋体" w:eastAsia="宋体" w:cs="宋体"/>
          <w:b/>
          <w:sz w:val="24"/>
          <w:highlight w:val="none"/>
        </w:rPr>
        <w:br w:type="page"/>
      </w:r>
    </w:p>
    <w:p w14:paraId="7495975C">
      <w:pPr>
        <w:snapToGrid w:val="0"/>
        <w:spacing w:before="120" w:beforeLines="50" w:after="50"/>
        <w:jc w:val="left"/>
        <w:rPr>
          <w:rFonts w:hint="eastAsia" w:ascii="宋体" w:hAnsi="宋体" w:eastAsia="宋体" w:cs="宋体"/>
          <w:b/>
          <w:sz w:val="24"/>
          <w:highlight w:val="none"/>
        </w:rPr>
      </w:pPr>
      <w:r>
        <w:rPr>
          <w:rFonts w:hint="eastAsia" w:ascii="宋体" w:hAnsi="宋体" w:eastAsia="宋体" w:cs="宋体"/>
          <w:b/>
          <w:sz w:val="24"/>
          <w:highlight w:val="none"/>
        </w:rPr>
        <w:t>投标人直接控股、管理关系信息表格式</w:t>
      </w:r>
    </w:p>
    <w:p w14:paraId="43C5D324">
      <w:pPr>
        <w:snapToGrid w:val="0"/>
        <w:spacing w:before="50" w:after="120" w:afterLines="50"/>
        <w:jc w:val="center"/>
        <w:rPr>
          <w:rFonts w:hint="eastAsia" w:ascii="宋体" w:hAnsi="宋体" w:eastAsia="宋体" w:cs="宋体"/>
          <w:b/>
          <w:sz w:val="28"/>
          <w:szCs w:val="28"/>
          <w:highlight w:val="none"/>
        </w:rPr>
      </w:pPr>
    </w:p>
    <w:p w14:paraId="541C8F8C">
      <w:pPr>
        <w:snapToGrid w:val="0"/>
        <w:spacing w:before="50" w:after="120" w:afterLines="50"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投标人直接控股股东信息表</w:t>
      </w:r>
    </w:p>
    <w:tbl>
      <w:tblPr>
        <w:tblStyle w:val="52"/>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890"/>
        <w:gridCol w:w="1250"/>
      </w:tblGrid>
      <w:tr w14:paraId="37CE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28" w:type="dxa"/>
            <w:noWrap w:val="0"/>
            <w:tcMar>
              <w:top w:w="120" w:type="dxa"/>
              <w:left w:w="120" w:type="dxa"/>
              <w:bottom w:w="120" w:type="dxa"/>
              <w:right w:w="120" w:type="dxa"/>
            </w:tcMar>
            <w:vAlign w:val="center"/>
          </w:tcPr>
          <w:p w14:paraId="27BDCB5D">
            <w:pPr>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序号</w:t>
            </w:r>
          </w:p>
        </w:tc>
        <w:tc>
          <w:tcPr>
            <w:tcW w:w="2269" w:type="dxa"/>
            <w:noWrap w:val="0"/>
            <w:tcMar>
              <w:top w:w="120" w:type="dxa"/>
              <w:left w:w="120" w:type="dxa"/>
              <w:bottom w:w="120" w:type="dxa"/>
              <w:right w:w="120" w:type="dxa"/>
            </w:tcMar>
            <w:vAlign w:val="center"/>
          </w:tcPr>
          <w:p w14:paraId="4A7159DF">
            <w:pPr>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直接控股股东名称</w:t>
            </w:r>
          </w:p>
        </w:tc>
        <w:tc>
          <w:tcPr>
            <w:tcW w:w="1239" w:type="dxa"/>
            <w:noWrap w:val="0"/>
            <w:tcMar>
              <w:top w:w="120" w:type="dxa"/>
              <w:left w:w="120" w:type="dxa"/>
              <w:bottom w:w="120" w:type="dxa"/>
              <w:right w:w="120" w:type="dxa"/>
            </w:tcMar>
            <w:vAlign w:val="center"/>
          </w:tcPr>
          <w:p w14:paraId="775C5265">
            <w:pPr>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出资比例</w:t>
            </w:r>
          </w:p>
        </w:tc>
        <w:tc>
          <w:tcPr>
            <w:tcW w:w="3890" w:type="dxa"/>
            <w:noWrap w:val="0"/>
            <w:tcMar>
              <w:top w:w="120" w:type="dxa"/>
              <w:left w:w="120" w:type="dxa"/>
              <w:bottom w:w="120" w:type="dxa"/>
              <w:right w:w="120" w:type="dxa"/>
            </w:tcMar>
            <w:vAlign w:val="center"/>
          </w:tcPr>
          <w:p w14:paraId="4840C100">
            <w:pPr>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身份证号码或者统一社会信用代码</w:t>
            </w:r>
          </w:p>
        </w:tc>
        <w:tc>
          <w:tcPr>
            <w:tcW w:w="1250" w:type="dxa"/>
            <w:noWrap w:val="0"/>
            <w:tcMar>
              <w:top w:w="120" w:type="dxa"/>
              <w:left w:w="120" w:type="dxa"/>
              <w:bottom w:w="120" w:type="dxa"/>
              <w:right w:w="120" w:type="dxa"/>
            </w:tcMar>
            <w:vAlign w:val="center"/>
          </w:tcPr>
          <w:p w14:paraId="2CEABE5C">
            <w:pPr>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备注</w:t>
            </w:r>
          </w:p>
        </w:tc>
      </w:tr>
      <w:tr w14:paraId="335E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tcMar>
              <w:top w:w="120" w:type="dxa"/>
              <w:left w:w="120" w:type="dxa"/>
              <w:bottom w:w="120" w:type="dxa"/>
              <w:right w:w="120" w:type="dxa"/>
            </w:tcMar>
            <w:vAlign w:val="center"/>
          </w:tcPr>
          <w:p w14:paraId="376B1D83">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2269" w:type="dxa"/>
            <w:noWrap w:val="0"/>
            <w:tcMar>
              <w:top w:w="120" w:type="dxa"/>
              <w:left w:w="120" w:type="dxa"/>
              <w:bottom w:w="120" w:type="dxa"/>
              <w:right w:w="120" w:type="dxa"/>
            </w:tcMar>
            <w:vAlign w:val="center"/>
          </w:tcPr>
          <w:p w14:paraId="015B3728">
            <w:pPr>
              <w:spacing w:line="360" w:lineRule="auto"/>
              <w:jc w:val="center"/>
              <w:rPr>
                <w:rFonts w:hint="eastAsia" w:ascii="宋体" w:hAnsi="宋体" w:eastAsia="宋体" w:cs="宋体"/>
                <w:kern w:val="0"/>
                <w:sz w:val="24"/>
                <w:highlight w:val="none"/>
              </w:rPr>
            </w:pPr>
          </w:p>
        </w:tc>
        <w:tc>
          <w:tcPr>
            <w:tcW w:w="1239" w:type="dxa"/>
            <w:noWrap w:val="0"/>
            <w:tcMar>
              <w:top w:w="120" w:type="dxa"/>
              <w:left w:w="120" w:type="dxa"/>
              <w:bottom w:w="120" w:type="dxa"/>
              <w:right w:w="120" w:type="dxa"/>
            </w:tcMar>
            <w:vAlign w:val="center"/>
          </w:tcPr>
          <w:p w14:paraId="40678F75">
            <w:pPr>
              <w:spacing w:line="360" w:lineRule="auto"/>
              <w:jc w:val="center"/>
              <w:rPr>
                <w:rFonts w:hint="eastAsia" w:ascii="宋体" w:hAnsi="宋体" w:eastAsia="宋体" w:cs="宋体"/>
                <w:kern w:val="0"/>
                <w:sz w:val="24"/>
                <w:highlight w:val="none"/>
              </w:rPr>
            </w:pPr>
          </w:p>
        </w:tc>
        <w:tc>
          <w:tcPr>
            <w:tcW w:w="3890" w:type="dxa"/>
            <w:noWrap w:val="0"/>
            <w:tcMar>
              <w:top w:w="120" w:type="dxa"/>
              <w:left w:w="120" w:type="dxa"/>
              <w:bottom w:w="120" w:type="dxa"/>
              <w:right w:w="120" w:type="dxa"/>
            </w:tcMar>
            <w:vAlign w:val="center"/>
          </w:tcPr>
          <w:p w14:paraId="22369F62">
            <w:pPr>
              <w:spacing w:line="360" w:lineRule="auto"/>
              <w:jc w:val="center"/>
              <w:rPr>
                <w:rFonts w:hint="eastAsia" w:ascii="宋体" w:hAnsi="宋体" w:eastAsia="宋体" w:cs="宋体"/>
                <w:kern w:val="0"/>
                <w:sz w:val="24"/>
                <w:highlight w:val="none"/>
              </w:rPr>
            </w:pPr>
          </w:p>
        </w:tc>
        <w:tc>
          <w:tcPr>
            <w:tcW w:w="1250" w:type="dxa"/>
            <w:noWrap w:val="0"/>
            <w:tcMar>
              <w:top w:w="120" w:type="dxa"/>
              <w:left w:w="120" w:type="dxa"/>
              <w:bottom w:w="120" w:type="dxa"/>
              <w:right w:w="120" w:type="dxa"/>
            </w:tcMar>
            <w:vAlign w:val="center"/>
          </w:tcPr>
          <w:p w14:paraId="26481C9A">
            <w:pPr>
              <w:spacing w:line="360" w:lineRule="auto"/>
              <w:jc w:val="center"/>
              <w:rPr>
                <w:rFonts w:hint="eastAsia" w:ascii="宋体" w:hAnsi="宋体" w:eastAsia="宋体" w:cs="宋体"/>
                <w:kern w:val="0"/>
                <w:sz w:val="24"/>
                <w:highlight w:val="none"/>
              </w:rPr>
            </w:pPr>
          </w:p>
        </w:tc>
      </w:tr>
      <w:tr w14:paraId="6476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tcMar>
              <w:top w:w="120" w:type="dxa"/>
              <w:left w:w="120" w:type="dxa"/>
              <w:bottom w:w="120" w:type="dxa"/>
              <w:right w:w="120" w:type="dxa"/>
            </w:tcMar>
            <w:vAlign w:val="center"/>
          </w:tcPr>
          <w:p w14:paraId="572F9EF0">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2269" w:type="dxa"/>
            <w:noWrap w:val="0"/>
            <w:tcMar>
              <w:top w:w="120" w:type="dxa"/>
              <w:left w:w="120" w:type="dxa"/>
              <w:bottom w:w="120" w:type="dxa"/>
              <w:right w:w="120" w:type="dxa"/>
            </w:tcMar>
            <w:vAlign w:val="center"/>
          </w:tcPr>
          <w:p w14:paraId="2B4B9803">
            <w:pPr>
              <w:spacing w:line="360" w:lineRule="auto"/>
              <w:jc w:val="center"/>
              <w:rPr>
                <w:rFonts w:hint="eastAsia" w:ascii="宋体" w:hAnsi="宋体" w:eastAsia="宋体" w:cs="宋体"/>
                <w:kern w:val="0"/>
                <w:sz w:val="24"/>
                <w:highlight w:val="none"/>
              </w:rPr>
            </w:pPr>
          </w:p>
        </w:tc>
        <w:tc>
          <w:tcPr>
            <w:tcW w:w="1239" w:type="dxa"/>
            <w:noWrap w:val="0"/>
            <w:tcMar>
              <w:top w:w="120" w:type="dxa"/>
              <w:left w:w="120" w:type="dxa"/>
              <w:bottom w:w="120" w:type="dxa"/>
              <w:right w:w="120" w:type="dxa"/>
            </w:tcMar>
            <w:vAlign w:val="center"/>
          </w:tcPr>
          <w:p w14:paraId="53047059">
            <w:pPr>
              <w:spacing w:line="360" w:lineRule="auto"/>
              <w:jc w:val="center"/>
              <w:rPr>
                <w:rFonts w:hint="eastAsia" w:ascii="宋体" w:hAnsi="宋体" w:eastAsia="宋体" w:cs="宋体"/>
                <w:kern w:val="0"/>
                <w:sz w:val="24"/>
                <w:highlight w:val="none"/>
              </w:rPr>
            </w:pPr>
          </w:p>
        </w:tc>
        <w:tc>
          <w:tcPr>
            <w:tcW w:w="3890" w:type="dxa"/>
            <w:noWrap w:val="0"/>
            <w:tcMar>
              <w:top w:w="120" w:type="dxa"/>
              <w:left w:w="120" w:type="dxa"/>
              <w:bottom w:w="120" w:type="dxa"/>
              <w:right w:w="120" w:type="dxa"/>
            </w:tcMar>
            <w:vAlign w:val="center"/>
          </w:tcPr>
          <w:p w14:paraId="01A9C93D">
            <w:pPr>
              <w:spacing w:line="360" w:lineRule="auto"/>
              <w:jc w:val="center"/>
              <w:rPr>
                <w:rFonts w:hint="eastAsia" w:ascii="宋体" w:hAnsi="宋体" w:eastAsia="宋体" w:cs="宋体"/>
                <w:kern w:val="0"/>
                <w:sz w:val="24"/>
                <w:highlight w:val="none"/>
              </w:rPr>
            </w:pPr>
          </w:p>
        </w:tc>
        <w:tc>
          <w:tcPr>
            <w:tcW w:w="1250" w:type="dxa"/>
            <w:noWrap w:val="0"/>
            <w:tcMar>
              <w:top w:w="120" w:type="dxa"/>
              <w:left w:w="120" w:type="dxa"/>
              <w:bottom w:w="120" w:type="dxa"/>
              <w:right w:w="120" w:type="dxa"/>
            </w:tcMar>
            <w:vAlign w:val="center"/>
          </w:tcPr>
          <w:p w14:paraId="1209AB0A">
            <w:pPr>
              <w:spacing w:line="360" w:lineRule="auto"/>
              <w:jc w:val="center"/>
              <w:rPr>
                <w:rFonts w:hint="eastAsia" w:ascii="宋体" w:hAnsi="宋体" w:eastAsia="宋体" w:cs="宋体"/>
                <w:kern w:val="0"/>
                <w:sz w:val="24"/>
                <w:highlight w:val="none"/>
              </w:rPr>
            </w:pPr>
          </w:p>
        </w:tc>
      </w:tr>
      <w:tr w14:paraId="46B5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tcMar>
              <w:top w:w="120" w:type="dxa"/>
              <w:left w:w="120" w:type="dxa"/>
              <w:bottom w:w="120" w:type="dxa"/>
              <w:right w:w="120" w:type="dxa"/>
            </w:tcMar>
            <w:vAlign w:val="center"/>
          </w:tcPr>
          <w:p w14:paraId="2CE2692E">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2269" w:type="dxa"/>
            <w:noWrap w:val="0"/>
            <w:tcMar>
              <w:top w:w="120" w:type="dxa"/>
              <w:left w:w="120" w:type="dxa"/>
              <w:bottom w:w="120" w:type="dxa"/>
              <w:right w:w="120" w:type="dxa"/>
            </w:tcMar>
            <w:vAlign w:val="center"/>
          </w:tcPr>
          <w:p w14:paraId="35D0281A">
            <w:pPr>
              <w:spacing w:line="360" w:lineRule="auto"/>
              <w:jc w:val="center"/>
              <w:rPr>
                <w:rFonts w:hint="eastAsia" w:ascii="宋体" w:hAnsi="宋体" w:eastAsia="宋体" w:cs="宋体"/>
                <w:kern w:val="0"/>
                <w:sz w:val="24"/>
                <w:highlight w:val="none"/>
              </w:rPr>
            </w:pPr>
          </w:p>
        </w:tc>
        <w:tc>
          <w:tcPr>
            <w:tcW w:w="1239" w:type="dxa"/>
            <w:noWrap w:val="0"/>
            <w:tcMar>
              <w:top w:w="120" w:type="dxa"/>
              <w:left w:w="120" w:type="dxa"/>
              <w:bottom w:w="120" w:type="dxa"/>
              <w:right w:w="120" w:type="dxa"/>
            </w:tcMar>
            <w:vAlign w:val="center"/>
          </w:tcPr>
          <w:p w14:paraId="0ADCA030">
            <w:pPr>
              <w:spacing w:line="360" w:lineRule="auto"/>
              <w:jc w:val="center"/>
              <w:rPr>
                <w:rFonts w:hint="eastAsia" w:ascii="宋体" w:hAnsi="宋体" w:eastAsia="宋体" w:cs="宋体"/>
                <w:kern w:val="0"/>
                <w:sz w:val="24"/>
                <w:highlight w:val="none"/>
              </w:rPr>
            </w:pPr>
          </w:p>
        </w:tc>
        <w:tc>
          <w:tcPr>
            <w:tcW w:w="3890" w:type="dxa"/>
            <w:noWrap w:val="0"/>
            <w:tcMar>
              <w:top w:w="120" w:type="dxa"/>
              <w:left w:w="120" w:type="dxa"/>
              <w:bottom w:w="120" w:type="dxa"/>
              <w:right w:w="120" w:type="dxa"/>
            </w:tcMar>
            <w:vAlign w:val="center"/>
          </w:tcPr>
          <w:p w14:paraId="2BA8C0E3">
            <w:pPr>
              <w:spacing w:line="360" w:lineRule="auto"/>
              <w:jc w:val="center"/>
              <w:rPr>
                <w:rFonts w:hint="eastAsia" w:ascii="宋体" w:hAnsi="宋体" w:eastAsia="宋体" w:cs="宋体"/>
                <w:kern w:val="0"/>
                <w:sz w:val="24"/>
                <w:highlight w:val="none"/>
              </w:rPr>
            </w:pPr>
          </w:p>
        </w:tc>
        <w:tc>
          <w:tcPr>
            <w:tcW w:w="1250" w:type="dxa"/>
            <w:noWrap w:val="0"/>
            <w:tcMar>
              <w:top w:w="120" w:type="dxa"/>
              <w:left w:w="120" w:type="dxa"/>
              <w:bottom w:w="120" w:type="dxa"/>
              <w:right w:w="120" w:type="dxa"/>
            </w:tcMar>
            <w:vAlign w:val="center"/>
          </w:tcPr>
          <w:p w14:paraId="3398FD83">
            <w:pPr>
              <w:spacing w:line="360" w:lineRule="auto"/>
              <w:jc w:val="center"/>
              <w:rPr>
                <w:rFonts w:hint="eastAsia" w:ascii="宋体" w:hAnsi="宋体" w:eastAsia="宋体" w:cs="宋体"/>
                <w:kern w:val="0"/>
                <w:sz w:val="24"/>
                <w:highlight w:val="none"/>
              </w:rPr>
            </w:pPr>
          </w:p>
        </w:tc>
      </w:tr>
      <w:tr w14:paraId="3C7B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28" w:type="dxa"/>
            <w:noWrap w:val="0"/>
            <w:tcMar>
              <w:top w:w="120" w:type="dxa"/>
              <w:left w:w="120" w:type="dxa"/>
              <w:bottom w:w="120" w:type="dxa"/>
              <w:right w:w="120" w:type="dxa"/>
            </w:tcMar>
            <w:vAlign w:val="center"/>
          </w:tcPr>
          <w:p w14:paraId="443D47E6">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2269" w:type="dxa"/>
            <w:noWrap w:val="0"/>
            <w:tcMar>
              <w:top w:w="120" w:type="dxa"/>
              <w:left w:w="120" w:type="dxa"/>
              <w:bottom w:w="120" w:type="dxa"/>
              <w:right w:w="120" w:type="dxa"/>
            </w:tcMar>
            <w:vAlign w:val="center"/>
          </w:tcPr>
          <w:p w14:paraId="0A1787EB">
            <w:pPr>
              <w:spacing w:line="360" w:lineRule="auto"/>
              <w:jc w:val="center"/>
              <w:rPr>
                <w:rFonts w:hint="eastAsia" w:ascii="宋体" w:hAnsi="宋体" w:eastAsia="宋体" w:cs="宋体"/>
                <w:kern w:val="0"/>
                <w:sz w:val="24"/>
                <w:highlight w:val="none"/>
              </w:rPr>
            </w:pPr>
          </w:p>
        </w:tc>
        <w:tc>
          <w:tcPr>
            <w:tcW w:w="1239" w:type="dxa"/>
            <w:noWrap w:val="0"/>
            <w:tcMar>
              <w:top w:w="120" w:type="dxa"/>
              <w:left w:w="120" w:type="dxa"/>
              <w:bottom w:w="120" w:type="dxa"/>
              <w:right w:w="120" w:type="dxa"/>
            </w:tcMar>
            <w:vAlign w:val="center"/>
          </w:tcPr>
          <w:p w14:paraId="69DC5072">
            <w:pPr>
              <w:spacing w:line="360" w:lineRule="auto"/>
              <w:jc w:val="center"/>
              <w:rPr>
                <w:rFonts w:hint="eastAsia" w:ascii="宋体" w:hAnsi="宋体" w:eastAsia="宋体" w:cs="宋体"/>
                <w:kern w:val="0"/>
                <w:sz w:val="24"/>
                <w:highlight w:val="none"/>
              </w:rPr>
            </w:pPr>
          </w:p>
        </w:tc>
        <w:tc>
          <w:tcPr>
            <w:tcW w:w="3890" w:type="dxa"/>
            <w:noWrap w:val="0"/>
            <w:tcMar>
              <w:top w:w="120" w:type="dxa"/>
              <w:left w:w="120" w:type="dxa"/>
              <w:bottom w:w="120" w:type="dxa"/>
              <w:right w:w="120" w:type="dxa"/>
            </w:tcMar>
            <w:vAlign w:val="center"/>
          </w:tcPr>
          <w:p w14:paraId="28FE0678">
            <w:pPr>
              <w:spacing w:line="360" w:lineRule="auto"/>
              <w:jc w:val="center"/>
              <w:rPr>
                <w:rFonts w:hint="eastAsia" w:ascii="宋体" w:hAnsi="宋体" w:eastAsia="宋体" w:cs="宋体"/>
                <w:kern w:val="0"/>
                <w:sz w:val="24"/>
                <w:highlight w:val="none"/>
              </w:rPr>
            </w:pPr>
          </w:p>
        </w:tc>
        <w:tc>
          <w:tcPr>
            <w:tcW w:w="1250" w:type="dxa"/>
            <w:noWrap w:val="0"/>
            <w:tcMar>
              <w:top w:w="120" w:type="dxa"/>
              <w:left w:w="120" w:type="dxa"/>
              <w:bottom w:w="120" w:type="dxa"/>
              <w:right w:w="120" w:type="dxa"/>
            </w:tcMar>
            <w:vAlign w:val="center"/>
          </w:tcPr>
          <w:p w14:paraId="67D63507">
            <w:pPr>
              <w:spacing w:line="360" w:lineRule="auto"/>
              <w:jc w:val="center"/>
              <w:rPr>
                <w:rFonts w:hint="eastAsia" w:ascii="宋体" w:hAnsi="宋体" w:eastAsia="宋体" w:cs="宋体"/>
                <w:kern w:val="0"/>
                <w:sz w:val="24"/>
                <w:highlight w:val="none"/>
              </w:rPr>
            </w:pPr>
          </w:p>
        </w:tc>
      </w:tr>
    </w:tbl>
    <w:p w14:paraId="390259AE">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06FA0339">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EBE339A">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2.本表所指的控股关系仅限于直接控股关系，不包括间接的控股关系。公司实际控制人与公司之间的关系不属于本表所指的直接控股关系。</w:t>
      </w:r>
    </w:p>
    <w:p w14:paraId="04B1EC01">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3.供应商不存在直接控股股东的，则填“无”。</w:t>
      </w:r>
    </w:p>
    <w:p w14:paraId="2779B8D6">
      <w:pPr>
        <w:snapToGrid w:val="0"/>
        <w:spacing w:line="360" w:lineRule="auto"/>
        <w:jc w:val="left"/>
        <w:rPr>
          <w:rFonts w:hint="eastAsia" w:ascii="宋体" w:hAnsi="宋体" w:eastAsia="宋体" w:cs="宋体"/>
          <w:sz w:val="24"/>
          <w:highlight w:val="none"/>
        </w:rPr>
      </w:pPr>
    </w:p>
    <w:p w14:paraId="00D41B8E">
      <w:pPr>
        <w:snapToGrid w:val="0"/>
        <w:spacing w:line="360" w:lineRule="auto"/>
        <w:jc w:val="left"/>
        <w:rPr>
          <w:rFonts w:hint="eastAsia" w:ascii="宋体" w:hAnsi="宋体" w:eastAsia="宋体" w:cs="宋体"/>
          <w:sz w:val="24"/>
          <w:highlight w:val="none"/>
        </w:rPr>
      </w:pPr>
    </w:p>
    <w:p w14:paraId="6332D03E">
      <w:pPr>
        <w:snapToGrid w:val="0"/>
        <w:spacing w:line="360" w:lineRule="auto"/>
        <w:jc w:val="left"/>
        <w:rPr>
          <w:rFonts w:hint="eastAsia" w:ascii="宋体" w:hAnsi="宋体" w:eastAsia="宋体" w:cs="宋体"/>
          <w:sz w:val="24"/>
          <w:highlight w:val="none"/>
        </w:rPr>
      </w:pPr>
    </w:p>
    <w:p w14:paraId="36D078D2">
      <w:pPr>
        <w:snapToGrid w:val="0"/>
        <w:spacing w:line="360" w:lineRule="auto"/>
        <w:jc w:val="left"/>
        <w:rPr>
          <w:rFonts w:hint="eastAsia" w:ascii="宋体" w:hAnsi="宋体" w:eastAsia="宋体" w:cs="宋体"/>
          <w:sz w:val="24"/>
          <w:highlight w:val="none"/>
        </w:rPr>
      </w:pPr>
    </w:p>
    <w:p w14:paraId="244FFB4C">
      <w:pPr>
        <w:snapToGrid w:val="0"/>
        <w:spacing w:line="360" w:lineRule="auto"/>
        <w:jc w:val="left"/>
        <w:rPr>
          <w:rFonts w:hint="eastAsia" w:ascii="宋体" w:hAnsi="宋体" w:eastAsia="宋体" w:cs="宋体"/>
          <w:sz w:val="24"/>
          <w:highlight w:val="none"/>
        </w:rPr>
      </w:pPr>
    </w:p>
    <w:p w14:paraId="44134088">
      <w:pPr>
        <w:snapToGrid w:val="0"/>
        <w:spacing w:before="120" w:beforeLines="50" w:line="360" w:lineRule="auto"/>
        <w:ind w:right="480" w:firstLine="3967" w:firstLineChars="1653"/>
        <w:rPr>
          <w:rFonts w:hint="eastAsia" w:ascii="宋体" w:hAnsi="宋体" w:eastAsia="宋体" w:cs="宋体"/>
          <w:sz w:val="24"/>
          <w:highlight w:val="none"/>
          <w:u w:val="single"/>
        </w:rPr>
      </w:pPr>
      <w:r>
        <w:rPr>
          <w:rFonts w:hint="eastAsia" w:ascii="宋体" w:hAnsi="宋体" w:eastAsia="宋体" w:cs="宋体"/>
          <w:sz w:val="24"/>
          <w:highlight w:val="none"/>
        </w:rPr>
        <w:t>法定代表人或者委托代理人（签字）</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55E6380B">
      <w:pPr>
        <w:snapToGrid w:val="0"/>
        <w:spacing w:before="120" w:beforeLines="50" w:after="50" w:line="360" w:lineRule="auto"/>
        <w:ind w:right="480" w:firstLine="5520" w:firstLineChars="2300"/>
        <w:rPr>
          <w:rFonts w:hint="eastAsia" w:ascii="宋体" w:hAnsi="宋体" w:eastAsia="宋体" w:cs="宋体"/>
          <w:sz w:val="24"/>
          <w:highlight w:val="none"/>
          <w:u w:val="single"/>
        </w:rPr>
      </w:pPr>
      <w:r>
        <w:rPr>
          <w:rFonts w:hint="eastAsia" w:ascii="宋体" w:hAnsi="宋体" w:eastAsia="宋体" w:cs="宋体"/>
          <w:sz w:val="24"/>
          <w:highlight w:val="none"/>
        </w:rPr>
        <w:t>投标人（盖公章）</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40FA105E">
      <w:pPr>
        <w:snapToGrid w:val="0"/>
        <w:spacing w:before="120" w:beforeLines="50" w:after="50" w:line="360" w:lineRule="auto"/>
        <w:ind w:right="480" w:firstLine="5520" w:firstLineChars="2300"/>
        <w:rPr>
          <w:rFonts w:hint="eastAsia" w:ascii="宋体" w:hAnsi="宋体" w:eastAsia="宋体" w:cs="宋体"/>
          <w:szCs w:val="21"/>
          <w:highlight w:val="none"/>
        </w:rPr>
      </w:pPr>
      <w:r>
        <w:rPr>
          <w:rFonts w:hint="eastAsia" w:ascii="宋体" w:hAnsi="宋体" w:eastAsia="宋体" w:cs="宋体"/>
          <w:sz w:val="24"/>
          <w:highlight w:val="none"/>
        </w:rPr>
        <w:t>年    月    日</w:t>
      </w:r>
    </w:p>
    <w:p w14:paraId="4B2957BB">
      <w:pPr>
        <w:snapToGrid w:val="0"/>
        <w:jc w:val="center"/>
        <w:rPr>
          <w:rFonts w:hint="eastAsia" w:ascii="宋体" w:hAnsi="宋体" w:eastAsia="宋体" w:cs="宋体"/>
          <w:b/>
          <w:sz w:val="28"/>
          <w:szCs w:val="28"/>
          <w:highlight w:val="none"/>
        </w:rPr>
      </w:pPr>
    </w:p>
    <w:p w14:paraId="60DCBB21">
      <w:pPr>
        <w:snapToGrid w:val="0"/>
        <w:spacing w:line="360" w:lineRule="auto"/>
        <w:jc w:val="center"/>
        <w:rPr>
          <w:rFonts w:hint="eastAsia" w:ascii="宋体" w:hAnsi="宋体" w:eastAsia="宋体" w:cs="宋体"/>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投标人直接管理关系信息表</w:t>
      </w:r>
    </w:p>
    <w:tbl>
      <w:tblPr>
        <w:tblStyle w:val="52"/>
        <w:tblW w:w="0" w:type="auto"/>
        <w:jc w:val="center"/>
        <w:tblLayout w:type="fixed"/>
        <w:tblCellMar>
          <w:top w:w="0" w:type="dxa"/>
          <w:left w:w="0" w:type="dxa"/>
          <w:bottom w:w="0" w:type="dxa"/>
          <w:right w:w="0" w:type="dxa"/>
        </w:tblCellMar>
      </w:tblPr>
      <w:tblGrid>
        <w:gridCol w:w="1005"/>
        <w:gridCol w:w="2659"/>
        <w:gridCol w:w="3924"/>
        <w:gridCol w:w="2064"/>
      </w:tblGrid>
      <w:tr w14:paraId="20DBAC23">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46848B3">
            <w:pPr>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E463CC">
            <w:pPr>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E9156D">
            <w:pPr>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1CCC4C">
            <w:pPr>
              <w:spacing w:line="360" w:lineRule="auto"/>
              <w:jc w:val="center"/>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备注</w:t>
            </w:r>
          </w:p>
        </w:tc>
      </w:tr>
      <w:tr w14:paraId="4A9578F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E77C65B">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C9E89C3">
            <w:pPr>
              <w:spacing w:line="360" w:lineRule="auto"/>
              <w:jc w:val="center"/>
              <w:rPr>
                <w:rFonts w:hint="eastAsia" w:ascii="宋体" w:hAnsi="宋体" w:eastAsia="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3DFB43">
            <w:pPr>
              <w:spacing w:line="360" w:lineRule="auto"/>
              <w:jc w:val="center"/>
              <w:rPr>
                <w:rFonts w:hint="eastAsia" w:ascii="宋体" w:hAnsi="宋体" w:eastAsia="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2ACADF">
            <w:pPr>
              <w:spacing w:line="360" w:lineRule="auto"/>
              <w:jc w:val="center"/>
              <w:rPr>
                <w:rFonts w:hint="eastAsia" w:ascii="宋体" w:hAnsi="宋体" w:eastAsia="宋体" w:cs="宋体"/>
                <w:kern w:val="0"/>
                <w:sz w:val="24"/>
                <w:highlight w:val="none"/>
              </w:rPr>
            </w:pPr>
          </w:p>
        </w:tc>
      </w:tr>
      <w:tr w14:paraId="4950F4A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FBF9BE">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6DFAED9">
            <w:pPr>
              <w:spacing w:line="360" w:lineRule="auto"/>
              <w:jc w:val="center"/>
              <w:rPr>
                <w:rFonts w:hint="eastAsia" w:ascii="宋体" w:hAnsi="宋体" w:eastAsia="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3FE3453">
            <w:pPr>
              <w:spacing w:line="360" w:lineRule="auto"/>
              <w:jc w:val="center"/>
              <w:rPr>
                <w:rFonts w:hint="eastAsia" w:ascii="宋体" w:hAnsi="宋体" w:eastAsia="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11BA798">
            <w:pPr>
              <w:spacing w:line="360" w:lineRule="auto"/>
              <w:jc w:val="center"/>
              <w:rPr>
                <w:rFonts w:hint="eastAsia" w:ascii="宋体" w:hAnsi="宋体" w:eastAsia="宋体" w:cs="宋体"/>
                <w:kern w:val="0"/>
                <w:sz w:val="24"/>
                <w:highlight w:val="none"/>
              </w:rPr>
            </w:pPr>
          </w:p>
        </w:tc>
      </w:tr>
      <w:tr w14:paraId="056FBBE7">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32842F2">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FD6DCD">
            <w:pPr>
              <w:spacing w:line="360" w:lineRule="auto"/>
              <w:jc w:val="center"/>
              <w:rPr>
                <w:rFonts w:hint="eastAsia" w:ascii="宋体" w:hAnsi="宋体" w:eastAsia="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543E9A">
            <w:pPr>
              <w:spacing w:line="360" w:lineRule="auto"/>
              <w:jc w:val="center"/>
              <w:rPr>
                <w:rFonts w:hint="eastAsia" w:ascii="宋体" w:hAnsi="宋体" w:eastAsia="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F549C2B">
            <w:pPr>
              <w:spacing w:line="360" w:lineRule="auto"/>
              <w:jc w:val="center"/>
              <w:rPr>
                <w:rFonts w:hint="eastAsia" w:ascii="宋体" w:hAnsi="宋体" w:eastAsia="宋体" w:cs="宋体"/>
                <w:kern w:val="0"/>
                <w:sz w:val="24"/>
                <w:highlight w:val="none"/>
              </w:rPr>
            </w:pPr>
          </w:p>
        </w:tc>
      </w:tr>
      <w:tr w14:paraId="705297E9">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69D5E31">
            <w:pPr>
              <w:spacing w:line="360" w:lineRule="auto"/>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5C6A88C">
            <w:pPr>
              <w:spacing w:line="360" w:lineRule="auto"/>
              <w:jc w:val="center"/>
              <w:rPr>
                <w:rFonts w:hint="eastAsia" w:ascii="宋体" w:hAnsi="宋体" w:eastAsia="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9E84AA9">
            <w:pPr>
              <w:spacing w:line="360" w:lineRule="auto"/>
              <w:jc w:val="center"/>
              <w:rPr>
                <w:rFonts w:hint="eastAsia" w:ascii="宋体" w:hAnsi="宋体" w:eastAsia="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323EC7D">
            <w:pPr>
              <w:spacing w:line="360" w:lineRule="auto"/>
              <w:jc w:val="center"/>
              <w:rPr>
                <w:rFonts w:hint="eastAsia" w:ascii="宋体" w:hAnsi="宋体" w:eastAsia="宋体" w:cs="宋体"/>
                <w:kern w:val="0"/>
                <w:sz w:val="24"/>
                <w:highlight w:val="none"/>
              </w:rPr>
            </w:pPr>
          </w:p>
        </w:tc>
      </w:tr>
    </w:tbl>
    <w:p w14:paraId="7F5F2CA1">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1CEF6282">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1.管理关系：是指不具有出资持股关系的其他单位之间存在的管理与被管理关系，如一些上下级关系的事业单位和团体组织。</w:t>
      </w:r>
    </w:p>
    <w:p w14:paraId="7E011708">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pacing w:val="-6"/>
          <w:sz w:val="24"/>
          <w:highlight w:val="none"/>
        </w:rPr>
        <w:t>本表所指的管理关系仅限于直接管理关系，不包括间接的管理关系。</w:t>
      </w:r>
    </w:p>
    <w:p w14:paraId="3F30ED32">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3.供应商不存在直接管理关系的，则填“无”。</w:t>
      </w:r>
    </w:p>
    <w:p w14:paraId="6FDE1EDC">
      <w:pPr>
        <w:snapToGrid w:val="0"/>
        <w:spacing w:line="360" w:lineRule="auto"/>
        <w:jc w:val="left"/>
        <w:rPr>
          <w:rFonts w:hint="eastAsia" w:ascii="宋体" w:hAnsi="宋体" w:eastAsia="宋体" w:cs="宋体"/>
          <w:sz w:val="24"/>
          <w:highlight w:val="none"/>
        </w:rPr>
      </w:pPr>
    </w:p>
    <w:p w14:paraId="38BA8F4D">
      <w:pPr>
        <w:snapToGrid w:val="0"/>
        <w:spacing w:line="360" w:lineRule="auto"/>
        <w:jc w:val="left"/>
        <w:rPr>
          <w:rFonts w:hint="eastAsia" w:ascii="宋体" w:hAnsi="宋体" w:eastAsia="宋体" w:cs="宋体"/>
          <w:sz w:val="24"/>
          <w:highlight w:val="none"/>
        </w:rPr>
      </w:pPr>
    </w:p>
    <w:p w14:paraId="0C57B858">
      <w:pPr>
        <w:snapToGrid w:val="0"/>
        <w:spacing w:line="360" w:lineRule="auto"/>
        <w:jc w:val="left"/>
        <w:rPr>
          <w:rFonts w:hint="eastAsia" w:ascii="宋体" w:hAnsi="宋体" w:eastAsia="宋体" w:cs="宋体"/>
          <w:sz w:val="24"/>
          <w:highlight w:val="none"/>
        </w:rPr>
      </w:pPr>
    </w:p>
    <w:p w14:paraId="19CE2E36">
      <w:pPr>
        <w:snapToGrid w:val="0"/>
        <w:spacing w:line="360" w:lineRule="auto"/>
        <w:jc w:val="left"/>
        <w:rPr>
          <w:rFonts w:hint="eastAsia" w:ascii="宋体" w:hAnsi="宋体" w:eastAsia="宋体" w:cs="宋体"/>
          <w:sz w:val="24"/>
          <w:highlight w:val="none"/>
        </w:rPr>
      </w:pPr>
    </w:p>
    <w:p w14:paraId="6DA044E4">
      <w:pPr>
        <w:snapToGrid w:val="0"/>
        <w:spacing w:line="360" w:lineRule="auto"/>
        <w:jc w:val="left"/>
        <w:rPr>
          <w:rFonts w:hint="eastAsia" w:ascii="宋体" w:hAnsi="宋体" w:eastAsia="宋体" w:cs="宋体"/>
          <w:sz w:val="24"/>
          <w:highlight w:val="none"/>
        </w:rPr>
      </w:pPr>
    </w:p>
    <w:p w14:paraId="14BCEFD6">
      <w:pPr>
        <w:snapToGrid w:val="0"/>
        <w:spacing w:line="360" w:lineRule="auto"/>
        <w:jc w:val="left"/>
        <w:rPr>
          <w:rFonts w:hint="eastAsia" w:ascii="宋体" w:hAnsi="宋体" w:eastAsia="宋体" w:cs="宋体"/>
          <w:sz w:val="24"/>
          <w:highlight w:val="none"/>
        </w:rPr>
      </w:pPr>
    </w:p>
    <w:p w14:paraId="6E689DC5">
      <w:pPr>
        <w:snapToGrid w:val="0"/>
        <w:spacing w:line="360" w:lineRule="auto"/>
        <w:jc w:val="left"/>
        <w:rPr>
          <w:rFonts w:hint="eastAsia" w:ascii="宋体" w:hAnsi="宋体" w:eastAsia="宋体" w:cs="宋体"/>
          <w:sz w:val="24"/>
          <w:highlight w:val="none"/>
        </w:rPr>
      </w:pPr>
    </w:p>
    <w:p w14:paraId="03B7B4E7">
      <w:pPr>
        <w:snapToGrid w:val="0"/>
        <w:spacing w:before="120" w:beforeLines="50" w:line="360" w:lineRule="auto"/>
        <w:ind w:right="480" w:firstLine="3967" w:firstLineChars="1653"/>
        <w:rPr>
          <w:rFonts w:hint="eastAsia" w:ascii="宋体" w:hAnsi="宋体" w:eastAsia="宋体" w:cs="宋体"/>
          <w:sz w:val="24"/>
          <w:highlight w:val="none"/>
          <w:u w:val="single"/>
        </w:rPr>
      </w:pPr>
      <w:r>
        <w:rPr>
          <w:rFonts w:hint="eastAsia" w:ascii="宋体" w:hAnsi="宋体" w:eastAsia="宋体" w:cs="宋体"/>
          <w:sz w:val="24"/>
          <w:highlight w:val="none"/>
        </w:rPr>
        <w:t>法定代表人或者委托代理人（签字）</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34EBF3C1">
      <w:pPr>
        <w:snapToGrid w:val="0"/>
        <w:spacing w:before="120" w:beforeLines="50" w:after="50" w:line="360" w:lineRule="auto"/>
        <w:ind w:right="480" w:firstLine="5520" w:firstLineChars="2300"/>
        <w:rPr>
          <w:rFonts w:hint="eastAsia" w:ascii="宋体" w:hAnsi="宋体" w:eastAsia="宋体" w:cs="宋体"/>
          <w:sz w:val="24"/>
          <w:highlight w:val="none"/>
        </w:rPr>
      </w:pPr>
      <w:r>
        <w:rPr>
          <w:rFonts w:hint="eastAsia" w:ascii="宋体" w:hAnsi="宋体" w:eastAsia="宋体" w:cs="宋体"/>
          <w:sz w:val="24"/>
          <w:highlight w:val="none"/>
        </w:rPr>
        <w:t>投标人（盖公章）</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186D383C">
      <w:pPr>
        <w:snapToGrid w:val="0"/>
        <w:spacing w:before="120" w:beforeLines="50" w:after="50" w:line="360" w:lineRule="auto"/>
        <w:ind w:right="480" w:firstLine="240" w:firstLineChars="100"/>
        <w:jc w:val="right"/>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42EBEA73">
      <w:pPr>
        <w:snapToGrid w:val="0"/>
        <w:spacing w:before="50" w:after="120" w:afterLines="50"/>
        <w:jc w:val="left"/>
        <w:rPr>
          <w:rFonts w:hint="eastAsia" w:ascii="宋体" w:hAnsi="宋体" w:eastAsia="宋体" w:cs="宋体"/>
          <w:szCs w:val="21"/>
          <w:highlight w:val="none"/>
        </w:rPr>
      </w:pPr>
    </w:p>
    <w:p w14:paraId="2A4B0EE2">
      <w:pPr>
        <w:snapToGrid w:val="0"/>
        <w:spacing w:before="120" w:beforeLines="50" w:after="50"/>
        <w:jc w:val="left"/>
        <w:rPr>
          <w:rFonts w:hint="eastAsia" w:ascii="宋体" w:hAnsi="宋体" w:eastAsia="宋体" w:cs="宋体"/>
          <w:b/>
          <w:sz w:val="24"/>
          <w:szCs w:val="20"/>
          <w:highlight w:val="none"/>
        </w:rPr>
      </w:pPr>
    </w:p>
    <w:p w14:paraId="372F3323">
      <w:pPr>
        <w:snapToGrid w:val="0"/>
        <w:spacing w:before="120" w:beforeLines="50" w:after="50"/>
        <w:jc w:val="left"/>
        <w:rPr>
          <w:rFonts w:hint="eastAsia" w:ascii="宋体" w:hAnsi="宋体" w:eastAsia="宋体" w:cs="宋体"/>
          <w:b/>
          <w:sz w:val="24"/>
          <w:szCs w:val="20"/>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投标声明格式</w:t>
      </w:r>
    </w:p>
    <w:p w14:paraId="497FCC68">
      <w:pPr>
        <w:snapToGrid w:val="0"/>
        <w:spacing w:before="50" w:after="120" w:afterLines="50"/>
        <w:jc w:val="left"/>
        <w:rPr>
          <w:rFonts w:hint="eastAsia" w:ascii="宋体" w:hAnsi="宋体" w:eastAsia="宋体" w:cs="宋体"/>
          <w:highlight w:val="none"/>
        </w:rPr>
      </w:pPr>
    </w:p>
    <w:p w14:paraId="5FE78E2B">
      <w:pPr>
        <w:snapToGrid w:val="0"/>
        <w:spacing w:before="50" w:after="120" w:afterLines="50"/>
        <w:ind w:left="0" w:leftChars="0" w:right="0" w:rightChars="0"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投标声明</w:t>
      </w:r>
    </w:p>
    <w:p w14:paraId="77505ABA">
      <w:pPr>
        <w:snapToGrid w:val="0"/>
        <w:spacing w:before="50" w:after="120" w:afterLines="50"/>
        <w:jc w:val="center"/>
        <w:rPr>
          <w:rFonts w:hint="eastAsia" w:ascii="宋体" w:hAnsi="宋体" w:eastAsia="宋体" w:cs="宋体"/>
          <w:bCs/>
          <w:sz w:val="28"/>
          <w:szCs w:val="28"/>
          <w:highlight w:val="none"/>
        </w:rPr>
      </w:pPr>
    </w:p>
    <w:p w14:paraId="7029EAE9">
      <w:pPr>
        <w:spacing w:line="400" w:lineRule="exact"/>
        <w:contextualSpacing/>
        <w:jc w:val="left"/>
        <w:rPr>
          <w:rFonts w:hint="eastAsia" w:ascii="宋体" w:hAnsi="宋体" w:eastAsia="宋体" w:cs="宋体"/>
          <w:sz w:val="24"/>
          <w:highlight w:val="none"/>
        </w:rPr>
      </w:pPr>
      <w:r>
        <w:rPr>
          <w:rFonts w:hint="eastAsia" w:ascii="宋体" w:hAnsi="宋体" w:eastAsia="宋体" w:cs="宋体"/>
          <w:sz w:val="24"/>
          <w:highlight w:val="none"/>
        </w:rPr>
        <w:t>（采购人名称）：</w:t>
      </w:r>
    </w:p>
    <w:p w14:paraId="3713ADBF">
      <w:pPr>
        <w:spacing w:line="400" w:lineRule="exact"/>
        <w:ind w:firstLine="523" w:firstLineChars="218"/>
        <w:contextualSpacing/>
        <w:jc w:val="left"/>
        <w:rPr>
          <w:rFonts w:hint="eastAsia" w:ascii="宋体" w:hAnsi="宋体" w:eastAsia="宋体" w:cs="宋体"/>
          <w:sz w:val="24"/>
          <w:highlight w:val="none"/>
        </w:rPr>
      </w:pPr>
      <w:r>
        <w:rPr>
          <w:rFonts w:hint="eastAsia" w:ascii="宋体" w:hAnsi="宋体" w:eastAsia="宋体" w:cs="宋体"/>
          <w:sz w:val="24"/>
          <w:highlight w:val="none"/>
        </w:rPr>
        <w:t>我方参加贵单位组织</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rPr>
        <w:t>的政府采购活动。我方在此郑重声明：</w:t>
      </w:r>
    </w:p>
    <w:p w14:paraId="001950B6">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1BC9124">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2.我方不是为本次采购项目提供整体设计、规范编制或者项目管理、监理、检测等服务的供应商。</w:t>
      </w:r>
    </w:p>
    <w:p w14:paraId="1496A6D6">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3.我方承诺符合《中华人民共和国政府采购法》第二十二条规定：</w:t>
      </w:r>
    </w:p>
    <w:p w14:paraId="557E7387">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（一）具有独立承担民事责任的能力；</w:t>
      </w:r>
    </w:p>
    <w:p w14:paraId="0586AB24">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（二）具有良好的商业信誉和健全的财务会计制度；</w:t>
      </w:r>
    </w:p>
    <w:p w14:paraId="483021EA">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（三）具有履行合同所必需的设备和专业技术能力；</w:t>
      </w:r>
    </w:p>
    <w:p w14:paraId="6951E945">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（四）有依法缴纳税收和社会保障资金的良好记录；</w:t>
      </w:r>
    </w:p>
    <w:p w14:paraId="00C1ADD2">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（五）参加政府采购活动前三年内，在经营活动中没有重大违法记录；</w:t>
      </w:r>
    </w:p>
    <w:p w14:paraId="3FC5B990">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（六）法律、行政法规规定的其他条件。</w:t>
      </w:r>
    </w:p>
    <w:p w14:paraId="77EAFAEB">
      <w:pPr>
        <w:spacing w:line="40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4.以上事项如有虚假或者隐瞒，我方愿意承担一切后果，并不再寻求任何旨在减轻或者免除法律责任的辩解。</w:t>
      </w:r>
    </w:p>
    <w:p w14:paraId="4D842646">
      <w:pPr>
        <w:spacing w:line="400" w:lineRule="exact"/>
        <w:contextualSpacing/>
        <w:jc w:val="left"/>
        <w:rPr>
          <w:rFonts w:hint="eastAsia" w:ascii="宋体" w:hAnsi="宋体" w:eastAsia="宋体" w:cs="宋体"/>
          <w:sz w:val="24"/>
          <w:highlight w:val="none"/>
        </w:rPr>
      </w:pPr>
      <w:r>
        <w:rPr>
          <w:rFonts w:hint="eastAsia" w:ascii="宋体" w:hAnsi="宋体" w:eastAsia="宋体" w:cs="宋体"/>
          <w:sz w:val="24"/>
          <w:highlight w:val="none"/>
        </w:rPr>
        <w:t xml:space="preserve">    特此承诺。</w:t>
      </w:r>
    </w:p>
    <w:p w14:paraId="29E65C72">
      <w:pPr>
        <w:spacing w:line="400" w:lineRule="exact"/>
        <w:contextualSpacing/>
        <w:jc w:val="left"/>
        <w:rPr>
          <w:rFonts w:hint="eastAsia" w:ascii="宋体" w:hAnsi="宋体" w:eastAsia="宋体" w:cs="宋体"/>
          <w:b/>
          <w:sz w:val="24"/>
          <w:highlight w:val="none"/>
        </w:rPr>
      </w:pPr>
      <w:r>
        <w:rPr>
          <w:rFonts w:hint="eastAsia" w:ascii="宋体" w:hAnsi="宋体" w:eastAsia="宋体" w:cs="宋体"/>
          <w:b/>
          <w:sz w:val="24"/>
          <w:highlight w:val="none"/>
        </w:rPr>
        <w:t xml:space="preserve">  </w:t>
      </w:r>
    </w:p>
    <w:p w14:paraId="7B88D8DA">
      <w:pPr>
        <w:spacing w:line="400" w:lineRule="exact"/>
        <w:contextualSpacing/>
        <w:jc w:val="left"/>
        <w:rPr>
          <w:rFonts w:hint="eastAsia" w:ascii="宋体" w:hAnsi="宋体" w:eastAsia="宋体" w:cs="宋体"/>
          <w:sz w:val="24"/>
          <w:highlight w:val="none"/>
        </w:rPr>
      </w:pPr>
      <w:r>
        <w:rPr>
          <w:rFonts w:hint="eastAsia" w:ascii="宋体" w:hAnsi="宋体" w:eastAsia="宋体" w:cs="宋体"/>
          <w:sz w:val="24"/>
          <w:highlight w:val="none"/>
        </w:rPr>
        <w:t xml:space="preserve">                                          法定代表人（签字或者盖章）</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431EBEF0">
      <w:pPr>
        <w:spacing w:line="400" w:lineRule="exact"/>
        <w:contextualSpacing/>
        <w:jc w:val="left"/>
        <w:rPr>
          <w:rFonts w:hint="eastAsia" w:ascii="宋体" w:hAnsi="宋体" w:eastAsia="宋体" w:cs="宋体"/>
          <w:sz w:val="24"/>
          <w:highlight w:val="none"/>
        </w:rPr>
      </w:pPr>
      <w:r>
        <w:rPr>
          <w:rFonts w:hint="eastAsia" w:ascii="宋体" w:hAnsi="宋体" w:eastAsia="宋体" w:cs="宋体"/>
          <w:sz w:val="24"/>
          <w:highlight w:val="none"/>
        </w:rPr>
        <w:t xml:space="preserve">                                          投标人（盖公章）</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4A856555">
      <w:pPr>
        <w:spacing w:line="400" w:lineRule="exact"/>
        <w:contextualSpacing/>
        <w:jc w:val="left"/>
        <w:rPr>
          <w:rFonts w:hint="eastAsia" w:ascii="宋体" w:hAnsi="宋体" w:eastAsia="宋体" w:cs="宋体"/>
          <w:highlight w:val="none"/>
        </w:rPr>
      </w:pPr>
      <w:r>
        <w:rPr>
          <w:rFonts w:hint="eastAsia" w:ascii="宋体" w:hAnsi="宋体" w:eastAsia="宋体" w:cs="宋体"/>
          <w:sz w:val="24"/>
          <w:highlight w:val="none"/>
        </w:rPr>
        <w:t xml:space="preserve">                                                  年    月    日</w:t>
      </w:r>
    </w:p>
    <w:p w14:paraId="47A2F8B3">
      <w:pPr>
        <w:rPr>
          <w:rFonts w:hint="eastAsia" w:ascii="宋体" w:hAnsi="宋体" w:eastAsia="宋体" w:cs="宋体"/>
          <w:b/>
          <w:sz w:val="28"/>
          <w:szCs w:val="28"/>
          <w:highlight w:val="none"/>
        </w:rPr>
      </w:pPr>
      <w:bookmarkStart w:id="108" w:name="_Toc19686838"/>
      <w:r>
        <w:rPr>
          <w:rFonts w:hint="eastAsia" w:ascii="宋体" w:hAnsi="宋体" w:eastAsia="宋体" w:cs="宋体"/>
          <w:b/>
          <w:sz w:val="28"/>
          <w:szCs w:val="28"/>
          <w:highlight w:val="none"/>
        </w:rPr>
        <w:br w:type="page"/>
      </w:r>
      <w:bookmarkEnd w:id="108"/>
      <w:r>
        <w:rPr>
          <w:rFonts w:hint="eastAsia" w:ascii="宋体" w:hAnsi="宋体" w:eastAsia="宋体" w:cs="宋体"/>
          <w:b/>
          <w:sz w:val="28"/>
          <w:szCs w:val="28"/>
          <w:highlight w:val="none"/>
        </w:rPr>
        <w:t>三、商务文件格式</w:t>
      </w:r>
    </w:p>
    <w:p w14:paraId="6BDECA06">
      <w:pPr>
        <w:snapToGrid w:val="0"/>
        <w:spacing w:before="120" w:beforeLines="50" w:after="50" w:line="360" w:lineRule="auto"/>
        <w:jc w:val="left"/>
        <w:rPr>
          <w:rFonts w:hint="eastAsia" w:ascii="宋体" w:hAnsi="宋体" w:eastAsia="宋体" w:cs="宋体"/>
          <w:b/>
          <w:sz w:val="24"/>
          <w:highlight w:val="none"/>
          <w:lang w:eastAsia="zh-CN"/>
        </w:rPr>
      </w:pPr>
      <w:r>
        <w:rPr>
          <w:rFonts w:hint="eastAsia" w:ascii="宋体" w:hAnsi="宋体" w:eastAsia="宋体" w:cs="宋体"/>
          <w:b/>
          <w:sz w:val="24"/>
          <w:highlight w:val="none"/>
        </w:rPr>
        <w:t>1.商务文件封面格式</w:t>
      </w:r>
      <w:r>
        <w:rPr>
          <w:rFonts w:hint="eastAsia" w:ascii="宋体" w:hAnsi="宋体" w:eastAsia="宋体" w:cs="宋体"/>
          <w:b/>
          <w:sz w:val="24"/>
          <w:highlight w:val="none"/>
          <w:lang w:eastAsia="zh-CN"/>
        </w:rPr>
        <w:t>：</w:t>
      </w:r>
    </w:p>
    <w:p w14:paraId="0659DDA2">
      <w:pPr>
        <w:snapToGrid w:val="0"/>
        <w:spacing w:before="120" w:beforeLines="50" w:after="50"/>
        <w:jc w:val="center"/>
        <w:rPr>
          <w:rFonts w:hint="eastAsia" w:ascii="宋体" w:hAnsi="宋体" w:eastAsia="宋体" w:cs="宋体"/>
          <w:bCs/>
          <w:sz w:val="48"/>
          <w:szCs w:val="48"/>
          <w:highlight w:val="none"/>
        </w:rPr>
      </w:pPr>
    </w:p>
    <w:p w14:paraId="48D01C57">
      <w:pPr>
        <w:snapToGrid w:val="0"/>
        <w:spacing w:before="120" w:beforeLines="50" w:after="50"/>
        <w:jc w:val="center"/>
        <w:rPr>
          <w:rFonts w:hint="eastAsia" w:ascii="宋体" w:hAnsi="宋体" w:eastAsia="宋体" w:cs="宋体"/>
          <w:sz w:val="24"/>
          <w:highlight w:val="none"/>
        </w:rPr>
      </w:pPr>
      <w:r>
        <w:rPr>
          <w:rFonts w:hint="eastAsia" w:ascii="宋体" w:hAnsi="宋体" w:eastAsia="宋体" w:cs="宋体"/>
          <w:bCs/>
          <w:sz w:val="48"/>
          <w:szCs w:val="48"/>
          <w:highlight w:val="none"/>
        </w:rPr>
        <w:t>电子投标文件</w:t>
      </w:r>
    </w:p>
    <w:p w14:paraId="0756ABCF">
      <w:pPr>
        <w:snapToGrid w:val="0"/>
        <w:spacing w:before="120" w:beforeLines="50" w:after="50"/>
        <w:jc w:val="center"/>
        <w:rPr>
          <w:rFonts w:hint="eastAsia" w:ascii="宋体" w:hAnsi="宋体" w:eastAsia="宋体" w:cs="宋体"/>
          <w:bCs/>
          <w:sz w:val="44"/>
          <w:szCs w:val="44"/>
          <w:highlight w:val="none"/>
        </w:rPr>
      </w:pPr>
    </w:p>
    <w:p w14:paraId="4F67C55C">
      <w:pPr>
        <w:snapToGrid w:val="0"/>
        <w:spacing w:before="120" w:beforeLines="50" w:after="50"/>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商  务  文  件</w:t>
      </w:r>
    </w:p>
    <w:p w14:paraId="7AE5940A">
      <w:pPr>
        <w:snapToGrid w:val="0"/>
        <w:spacing w:before="120" w:beforeLines="50" w:after="50"/>
        <w:rPr>
          <w:rFonts w:hint="eastAsia" w:ascii="宋体" w:hAnsi="宋体" w:eastAsia="宋体" w:cs="宋体"/>
          <w:bCs/>
          <w:sz w:val="24"/>
          <w:szCs w:val="20"/>
          <w:highlight w:val="none"/>
        </w:rPr>
      </w:pPr>
    </w:p>
    <w:p w14:paraId="13A91633">
      <w:pPr>
        <w:snapToGrid w:val="0"/>
        <w:spacing w:before="120" w:beforeLines="50" w:after="50"/>
        <w:ind w:firstLine="540" w:firstLineChars="225"/>
        <w:rPr>
          <w:rFonts w:hint="eastAsia" w:ascii="宋体" w:hAnsi="宋体" w:eastAsia="宋体" w:cs="宋体"/>
          <w:bCs/>
          <w:sz w:val="24"/>
          <w:highlight w:val="none"/>
        </w:rPr>
      </w:pPr>
      <w:r>
        <w:rPr>
          <w:rFonts w:hint="eastAsia" w:ascii="宋体" w:hAnsi="宋体" w:eastAsia="宋体" w:cs="宋体"/>
          <w:bCs/>
          <w:sz w:val="24"/>
          <w:highlight w:val="none"/>
        </w:rPr>
        <w:t>项目名称：</w:t>
      </w:r>
    </w:p>
    <w:p w14:paraId="7F561C16">
      <w:pPr>
        <w:snapToGrid w:val="0"/>
        <w:spacing w:before="120" w:beforeLines="50" w:after="50"/>
        <w:ind w:firstLine="540" w:firstLineChars="225"/>
        <w:rPr>
          <w:rFonts w:hint="eastAsia" w:ascii="宋体" w:hAnsi="宋体" w:eastAsia="宋体" w:cs="宋体"/>
          <w:bCs/>
          <w:sz w:val="24"/>
          <w:szCs w:val="20"/>
          <w:highlight w:val="none"/>
        </w:rPr>
      </w:pPr>
    </w:p>
    <w:p w14:paraId="152FBDAE">
      <w:pPr>
        <w:snapToGrid w:val="0"/>
        <w:spacing w:before="120" w:beforeLines="50" w:after="50"/>
        <w:ind w:firstLine="540" w:firstLineChars="225"/>
        <w:rPr>
          <w:rFonts w:hint="eastAsia" w:ascii="宋体" w:hAnsi="宋体" w:eastAsia="宋体" w:cs="宋体"/>
          <w:bCs/>
          <w:sz w:val="24"/>
          <w:highlight w:val="none"/>
        </w:rPr>
      </w:pPr>
      <w:r>
        <w:rPr>
          <w:rFonts w:hint="eastAsia" w:ascii="宋体" w:hAnsi="宋体" w:eastAsia="宋体" w:cs="宋体"/>
          <w:bCs/>
          <w:sz w:val="24"/>
          <w:highlight w:val="none"/>
        </w:rPr>
        <w:t>项目编号：</w:t>
      </w:r>
    </w:p>
    <w:p w14:paraId="7BF5CE2C">
      <w:pPr>
        <w:snapToGrid w:val="0"/>
        <w:spacing w:before="120" w:beforeLines="50" w:after="50"/>
        <w:ind w:firstLine="540" w:firstLineChars="225"/>
        <w:rPr>
          <w:rFonts w:hint="eastAsia" w:ascii="宋体" w:hAnsi="宋体" w:eastAsia="宋体" w:cs="宋体"/>
          <w:bCs/>
          <w:sz w:val="24"/>
          <w:szCs w:val="20"/>
          <w:highlight w:val="none"/>
        </w:rPr>
      </w:pPr>
      <w:r>
        <w:rPr>
          <w:rFonts w:hint="eastAsia" w:ascii="宋体" w:hAnsi="宋体" w:eastAsia="宋体" w:cs="宋体"/>
          <w:bCs/>
          <w:sz w:val="24"/>
          <w:highlight w:val="none"/>
        </w:rPr>
        <w:t xml:space="preserve"> </w:t>
      </w:r>
    </w:p>
    <w:p w14:paraId="1107473B">
      <w:pPr>
        <w:snapToGrid w:val="0"/>
        <w:spacing w:before="120" w:beforeLines="50" w:after="50"/>
        <w:ind w:firstLine="540" w:firstLineChars="225"/>
        <w:rPr>
          <w:rFonts w:hint="eastAsia" w:ascii="宋体" w:hAnsi="宋体" w:eastAsia="宋体" w:cs="宋体"/>
          <w:bCs/>
          <w:sz w:val="24"/>
          <w:highlight w:val="none"/>
        </w:rPr>
      </w:pPr>
      <w:r>
        <w:rPr>
          <w:rFonts w:hint="eastAsia" w:ascii="宋体" w:hAnsi="宋体" w:eastAsia="宋体" w:cs="宋体"/>
          <w:bCs/>
          <w:sz w:val="24"/>
          <w:highlight w:val="none"/>
        </w:rPr>
        <w:t>所投分标：</w:t>
      </w:r>
    </w:p>
    <w:p w14:paraId="05026005">
      <w:pPr>
        <w:snapToGrid w:val="0"/>
        <w:spacing w:before="120" w:beforeLines="50" w:after="50"/>
        <w:ind w:firstLine="540" w:firstLineChars="225"/>
        <w:rPr>
          <w:rFonts w:hint="eastAsia" w:ascii="宋体" w:hAnsi="宋体" w:eastAsia="宋体" w:cs="宋体"/>
          <w:bCs/>
          <w:sz w:val="24"/>
          <w:szCs w:val="20"/>
          <w:highlight w:val="none"/>
        </w:rPr>
      </w:pPr>
    </w:p>
    <w:p w14:paraId="59BFADA8">
      <w:pPr>
        <w:pStyle w:val="8"/>
        <w:snapToGrid w:val="0"/>
        <w:spacing w:before="50" w:after="50"/>
        <w:ind w:firstLine="540" w:firstLineChars="225"/>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p>
    <w:p w14:paraId="55E1AF08">
      <w:pPr>
        <w:pStyle w:val="8"/>
        <w:snapToGrid w:val="0"/>
        <w:spacing w:before="50" w:after="50"/>
        <w:ind w:firstLine="540" w:firstLineChars="225"/>
        <w:rPr>
          <w:rFonts w:hint="eastAsia" w:ascii="宋体" w:hAnsi="宋体" w:eastAsia="宋体" w:cs="宋体"/>
          <w:bCs/>
          <w:sz w:val="24"/>
          <w:szCs w:val="24"/>
          <w:highlight w:val="none"/>
        </w:rPr>
      </w:pPr>
    </w:p>
    <w:p w14:paraId="3E784AB1">
      <w:pPr>
        <w:pStyle w:val="8"/>
        <w:snapToGrid w:val="0"/>
        <w:spacing w:before="50" w:after="50"/>
        <w:ind w:firstLine="540" w:firstLineChars="225"/>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投标人地址：</w:t>
      </w:r>
    </w:p>
    <w:p w14:paraId="75C7CFA1">
      <w:pPr>
        <w:pStyle w:val="8"/>
        <w:snapToGrid w:val="0"/>
        <w:spacing w:before="50" w:after="50"/>
        <w:ind w:firstLine="960" w:firstLineChars="400"/>
        <w:rPr>
          <w:rFonts w:hint="eastAsia" w:ascii="宋体" w:hAnsi="宋体" w:eastAsia="宋体" w:cs="宋体"/>
          <w:bCs/>
          <w:sz w:val="24"/>
          <w:szCs w:val="24"/>
          <w:highlight w:val="none"/>
        </w:rPr>
      </w:pPr>
    </w:p>
    <w:p w14:paraId="17CBB078">
      <w:pPr>
        <w:snapToGrid w:val="0"/>
        <w:spacing w:before="120" w:beforeLines="50" w:after="50"/>
        <w:ind w:firstLine="645"/>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15B05E46">
      <w:pPr>
        <w:snapToGrid w:val="0"/>
        <w:spacing w:before="120" w:beforeLines="50" w:after="50"/>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 </w:t>
      </w:r>
    </w:p>
    <w:p w14:paraId="0F6F22AB">
      <w:pPr>
        <w:snapToGrid w:val="0"/>
        <w:spacing w:line="360" w:lineRule="auto"/>
        <w:jc w:val="left"/>
        <w:rPr>
          <w:rFonts w:hint="eastAsia" w:ascii="宋体" w:hAnsi="宋体" w:eastAsia="宋体" w:cs="宋体"/>
          <w:b/>
          <w:sz w:val="24"/>
          <w:highlight w:val="none"/>
        </w:rPr>
      </w:pPr>
      <w:r>
        <w:rPr>
          <w:rFonts w:hint="eastAsia" w:ascii="宋体" w:hAnsi="宋体" w:eastAsia="宋体" w:cs="宋体"/>
          <w:sz w:val="24"/>
          <w:szCs w:val="20"/>
          <w:highlight w:val="none"/>
        </w:rPr>
        <w:br w:type="page"/>
      </w:r>
      <w:r>
        <w:rPr>
          <w:rFonts w:hint="eastAsia" w:ascii="宋体" w:hAnsi="宋体" w:eastAsia="宋体" w:cs="宋体"/>
          <w:b/>
          <w:sz w:val="24"/>
          <w:highlight w:val="none"/>
        </w:rPr>
        <w:t>2.商务文件目录</w:t>
      </w:r>
    </w:p>
    <w:p w14:paraId="20844E3E">
      <w:pPr>
        <w:snapToGrid w:val="0"/>
        <w:spacing w:before="50" w:after="120" w:afterLines="50" w:line="360" w:lineRule="auto"/>
        <w:ind w:firstLine="560" w:firstLineChars="200"/>
        <w:jc w:val="left"/>
        <w:rPr>
          <w:rFonts w:hint="eastAsia" w:ascii="宋体" w:hAnsi="宋体" w:eastAsia="宋体" w:cs="宋体"/>
          <w:b/>
          <w:bCs/>
          <w:sz w:val="32"/>
          <w:szCs w:val="32"/>
          <w:highlight w:val="none"/>
        </w:rPr>
      </w:pPr>
      <w:r>
        <w:rPr>
          <w:rFonts w:hint="eastAsia" w:ascii="宋体" w:hAnsi="宋体" w:eastAsia="宋体" w:cs="宋体"/>
          <w:sz w:val="28"/>
          <w:szCs w:val="28"/>
          <w:highlight w:val="none"/>
        </w:rPr>
        <w:t>根据招标文件规定及投标人提供的材料自行编写目录。</w:t>
      </w:r>
    </w:p>
    <w:p w14:paraId="2228B876">
      <w:pPr>
        <w:snapToGrid w:val="0"/>
        <w:spacing w:before="50" w:after="120" w:afterLines="50"/>
        <w:jc w:val="left"/>
        <w:rPr>
          <w:rFonts w:hint="eastAsia" w:ascii="宋体" w:hAnsi="宋体" w:eastAsia="宋体" w:cs="宋体"/>
          <w:highlight w:val="none"/>
        </w:rPr>
      </w:pPr>
    </w:p>
    <w:p w14:paraId="067FC81D">
      <w:pPr>
        <w:snapToGrid w:val="0"/>
        <w:spacing w:before="120" w:beforeLines="50" w:after="50"/>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3.投标人参加本项目无围标串标行为的承诺</w:t>
      </w:r>
    </w:p>
    <w:p w14:paraId="67C8E8BF">
      <w:pPr>
        <w:snapToGrid w:val="0"/>
        <w:spacing w:before="120" w:beforeLines="50" w:after="50"/>
        <w:jc w:val="left"/>
        <w:rPr>
          <w:rFonts w:hint="eastAsia" w:ascii="宋体" w:hAnsi="宋体" w:eastAsia="宋体" w:cs="宋体"/>
          <w:b/>
          <w:sz w:val="24"/>
          <w:highlight w:val="none"/>
        </w:rPr>
      </w:pPr>
    </w:p>
    <w:p w14:paraId="2488BD97">
      <w:pPr>
        <w:spacing w:line="360" w:lineRule="auto"/>
        <w:ind w:left="0" w:leftChars="0" w:right="0" w:rightChars="0" w:firstLine="0" w:firstLineChars="0"/>
        <w:contextualSpacing/>
        <w:jc w:val="center"/>
        <w:rPr>
          <w:rFonts w:hint="eastAsia" w:ascii="宋体" w:hAnsi="宋体" w:eastAsia="宋体" w:cs="宋体"/>
          <w:b/>
          <w:sz w:val="24"/>
          <w:highlight w:val="none"/>
        </w:rPr>
      </w:pPr>
      <w:r>
        <w:rPr>
          <w:rFonts w:hint="eastAsia" w:ascii="宋体" w:hAnsi="宋体" w:eastAsia="宋体" w:cs="宋体"/>
          <w:bCs/>
          <w:spacing w:val="-11"/>
          <w:sz w:val="44"/>
          <w:szCs w:val="44"/>
          <w:highlight w:val="none"/>
        </w:rPr>
        <w:t>投标人参加本项目无围标串标行为的承诺函</w:t>
      </w:r>
    </w:p>
    <w:p w14:paraId="1EDA2237">
      <w:pPr>
        <w:spacing w:line="440" w:lineRule="exact"/>
        <w:contextualSpacing/>
        <w:jc w:val="left"/>
        <w:rPr>
          <w:rFonts w:hint="eastAsia" w:ascii="宋体" w:hAnsi="宋体" w:eastAsia="宋体" w:cs="宋体"/>
          <w:b/>
          <w:sz w:val="24"/>
          <w:highlight w:val="none"/>
        </w:rPr>
      </w:pPr>
      <w:r>
        <w:rPr>
          <w:rFonts w:hint="eastAsia" w:ascii="宋体" w:hAnsi="宋体" w:eastAsia="宋体" w:cs="宋体"/>
          <w:b/>
          <w:sz w:val="24"/>
          <w:highlight w:val="none"/>
        </w:rPr>
        <w:t>一、我方承诺无下列相互串通投标的情形：</w:t>
      </w:r>
    </w:p>
    <w:p w14:paraId="06A98FF9">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1.不同投标人的投标文件由同一单位或者个人编制；</w:t>
      </w:r>
    </w:p>
    <w:p w14:paraId="1231D10A">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2.不同投标人委托同一单位或者个人办理投标事宜；</w:t>
      </w:r>
    </w:p>
    <w:p w14:paraId="32E362DF">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3.不同的投标人的投标文件载明的项目管理员为同一个人；</w:t>
      </w:r>
    </w:p>
    <w:p w14:paraId="67D90BCD">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4.不同投标人的投标文件异常一致或者投标报价呈规律性差异；</w:t>
      </w:r>
    </w:p>
    <w:p w14:paraId="19FC32C2">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5.不同投标人的投标文件相互混装；</w:t>
      </w:r>
    </w:p>
    <w:p w14:paraId="2A62BC09">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6.不同投标人的投标保证金从同一单位或者个人账户转出。</w:t>
      </w:r>
    </w:p>
    <w:p w14:paraId="62FF2C36">
      <w:pPr>
        <w:spacing w:line="440" w:lineRule="exact"/>
        <w:contextualSpacing/>
        <w:jc w:val="left"/>
        <w:rPr>
          <w:rFonts w:hint="eastAsia" w:ascii="宋体" w:hAnsi="宋体" w:eastAsia="宋体" w:cs="宋体"/>
          <w:sz w:val="24"/>
          <w:highlight w:val="none"/>
        </w:rPr>
      </w:pPr>
      <w:r>
        <w:rPr>
          <w:rFonts w:hint="eastAsia" w:ascii="宋体" w:hAnsi="宋体" w:eastAsia="宋体" w:cs="宋体"/>
          <w:b/>
          <w:sz w:val="24"/>
          <w:highlight w:val="none"/>
        </w:rPr>
        <w:t>二、我方承诺无下列恶意串通的情形：</w:t>
      </w:r>
    </w:p>
    <w:p w14:paraId="2A3DFAF7">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1.投标人直接或者间接从采购人或者采购代理机构处获得其他投标人的相关信息并修改其投标文件或者</w:t>
      </w:r>
      <w:r>
        <w:rPr>
          <w:rFonts w:hint="eastAsia" w:ascii="宋体" w:hAnsi="宋体" w:cs="宋体"/>
          <w:sz w:val="24"/>
          <w:highlight w:val="none"/>
          <w:lang w:eastAsia="zh-CN"/>
        </w:rPr>
        <w:t>投标文件</w:t>
      </w:r>
      <w:r>
        <w:rPr>
          <w:rFonts w:hint="eastAsia" w:ascii="宋体" w:hAnsi="宋体" w:eastAsia="宋体" w:cs="宋体"/>
          <w:sz w:val="24"/>
          <w:highlight w:val="none"/>
        </w:rPr>
        <w:t>；</w:t>
      </w:r>
    </w:p>
    <w:p w14:paraId="3F358F82">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2.投标人按照采购人或者采购代理机构的授意撤换、修改投标文件或者</w:t>
      </w:r>
      <w:r>
        <w:rPr>
          <w:rFonts w:hint="eastAsia" w:ascii="宋体" w:hAnsi="宋体" w:cs="宋体"/>
          <w:sz w:val="24"/>
          <w:highlight w:val="none"/>
          <w:lang w:eastAsia="zh-CN"/>
        </w:rPr>
        <w:t>投标文件</w:t>
      </w:r>
      <w:r>
        <w:rPr>
          <w:rFonts w:hint="eastAsia" w:ascii="宋体" w:hAnsi="宋体" w:eastAsia="宋体" w:cs="宋体"/>
          <w:sz w:val="24"/>
          <w:highlight w:val="none"/>
        </w:rPr>
        <w:t>；</w:t>
      </w:r>
    </w:p>
    <w:p w14:paraId="7997F8EF">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3.投标人之间协商报价、技术方案等投标文件或者</w:t>
      </w:r>
      <w:r>
        <w:rPr>
          <w:rFonts w:hint="eastAsia" w:ascii="宋体" w:hAnsi="宋体" w:cs="宋体"/>
          <w:sz w:val="24"/>
          <w:highlight w:val="none"/>
          <w:lang w:eastAsia="zh-CN"/>
        </w:rPr>
        <w:t>投标文件</w:t>
      </w:r>
      <w:r>
        <w:rPr>
          <w:rFonts w:hint="eastAsia" w:ascii="宋体" w:hAnsi="宋体" w:eastAsia="宋体" w:cs="宋体"/>
          <w:sz w:val="24"/>
          <w:highlight w:val="none"/>
        </w:rPr>
        <w:t>的实质性内容；</w:t>
      </w:r>
    </w:p>
    <w:p w14:paraId="2FDD6B2A">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4.属于同一集团、协会、商会等组织成员的投标人按照该组织要求协同参加政府采购活动；</w:t>
      </w:r>
    </w:p>
    <w:p w14:paraId="2F16A7E1">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5.投标人之间事先约定一致抬高或者压低投标报价，或者在招标项目中事先约定轮流以高价位或者低价位中标，或者事先约定由某一特定投标人中标，然后再参加投标；</w:t>
      </w:r>
    </w:p>
    <w:p w14:paraId="090E7368">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6.投标人之间商定部分投标人放弃参加政府采购活动或者放弃中标；</w:t>
      </w:r>
    </w:p>
    <w:p w14:paraId="1CC2C86C">
      <w:pPr>
        <w:spacing w:line="440" w:lineRule="exact"/>
        <w:ind w:firstLine="470" w:firstLineChars="196"/>
        <w:contextualSpacing/>
        <w:jc w:val="left"/>
        <w:rPr>
          <w:rFonts w:hint="eastAsia" w:ascii="宋体" w:hAnsi="宋体" w:eastAsia="宋体" w:cs="宋体"/>
          <w:sz w:val="24"/>
          <w:highlight w:val="none"/>
        </w:rPr>
      </w:pPr>
      <w:r>
        <w:rPr>
          <w:rFonts w:hint="eastAsia" w:ascii="宋体" w:hAnsi="宋体" w:eastAsia="宋体" w:cs="宋体"/>
          <w:sz w:val="24"/>
          <w:highlight w:val="none"/>
        </w:rPr>
        <w:t>7.投标人与采购人或者采购代理机构之间、投标人相互之间，为谋求特定投标人中标或者排斥其他投标人的其他串通行为。</w:t>
      </w:r>
    </w:p>
    <w:p w14:paraId="52142DBC">
      <w:pPr>
        <w:spacing w:line="440" w:lineRule="exact"/>
        <w:ind w:firstLine="472" w:firstLineChars="196"/>
        <w:contextualSpacing/>
        <w:jc w:val="left"/>
        <w:rPr>
          <w:rFonts w:hint="eastAsia" w:ascii="宋体" w:hAnsi="宋体" w:eastAsia="宋体" w:cs="宋体"/>
          <w:b/>
          <w:sz w:val="24"/>
          <w:highlight w:val="none"/>
        </w:rPr>
      </w:pPr>
      <w:r>
        <w:rPr>
          <w:rFonts w:hint="eastAsia" w:ascii="宋体" w:hAnsi="宋体" w:eastAsia="宋体" w:cs="宋体"/>
          <w:b/>
          <w:sz w:val="24"/>
          <w:highlight w:val="none"/>
        </w:rPr>
        <w:t>以上情形一经核查属实，我方愿意承担一切后果，并不再寻求任何旨在减轻或者免除法律责任的辩解。</w:t>
      </w:r>
    </w:p>
    <w:p w14:paraId="01CEE7C0">
      <w:pPr>
        <w:pStyle w:val="27"/>
        <w:spacing w:line="440" w:lineRule="exact"/>
        <w:ind w:firstLine="6840" w:firstLineChars="2850"/>
        <w:contextualSpacing/>
        <w:rPr>
          <w:rFonts w:hint="eastAsia" w:ascii="宋体" w:hAnsi="宋体" w:eastAsia="宋体" w:cs="宋体"/>
          <w:sz w:val="24"/>
          <w:szCs w:val="24"/>
          <w:highlight w:val="none"/>
        </w:rPr>
      </w:pPr>
    </w:p>
    <w:p w14:paraId="0DA7E300">
      <w:pPr>
        <w:pStyle w:val="27"/>
        <w:spacing w:line="440" w:lineRule="exact"/>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投标人名称（电子签章）</w:t>
      </w:r>
    </w:p>
    <w:p w14:paraId="69AB5F11">
      <w:pPr>
        <w:pStyle w:val="27"/>
        <w:spacing w:line="440" w:lineRule="exact"/>
        <w:contextualSpacing/>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011890C">
      <w:pPr>
        <w:snapToGrid w:val="0"/>
        <w:spacing w:before="120" w:beforeLines="50" w:after="50"/>
        <w:jc w:val="left"/>
        <w:rPr>
          <w:rFonts w:hint="eastAsia" w:ascii="宋体" w:hAnsi="宋体" w:eastAsia="宋体" w:cs="宋体"/>
          <w:b/>
          <w:sz w:val="24"/>
          <w:szCs w:val="20"/>
          <w:highlight w:val="none"/>
        </w:rPr>
      </w:pPr>
      <w:r>
        <w:rPr>
          <w:rFonts w:hint="eastAsia" w:ascii="宋体" w:hAnsi="宋体" w:eastAsia="宋体" w:cs="宋体"/>
          <w:b/>
          <w:sz w:val="24"/>
          <w:highlight w:val="none"/>
        </w:rPr>
        <w:t>4.法定代表人身份证明</w:t>
      </w:r>
    </w:p>
    <w:p w14:paraId="1B23EF1E">
      <w:pPr>
        <w:spacing w:before="240" w:beforeLines="100" w:after="120" w:afterLines="50"/>
        <w:ind w:left="540"/>
        <w:jc w:val="center"/>
        <w:rPr>
          <w:rFonts w:hint="eastAsia" w:ascii="宋体" w:hAnsi="宋体" w:eastAsia="宋体" w:cs="宋体"/>
          <w:b/>
          <w:sz w:val="32"/>
          <w:szCs w:val="32"/>
          <w:highlight w:val="none"/>
        </w:rPr>
      </w:pPr>
    </w:p>
    <w:p w14:paraId="31EDD0BF">
      <w:pPr>
        <w:rPr>
          <w:rFonts w:hint="eastAsia" w:ascii="宋体" w:hAnsi="宋体" w:eastAsia="宋体" w:cs="宋体"/>
          <w:bCs/>
          <w:sz w:val="44"/>
          <w:szCs w:val="44"/>
          <w:highlight w:val="none"/>
        </w:rPr>
      </w:pPr>
      <w:r>
        <w:rPr>
          <w:rFonts w:hint="eastAsia" w:ascii="宋体" w:hAnsi="宋体" w:eastAsia="宋体" w:cs="宋体"/>
          <w:bCs/>
          <w:sz w:val="44"/>
          <w:szCs w:val="44"/>
          <w:highlight w:val="none"/>
        </w:rPr>
        <w:br w:type="page"/>
      </w:r>
    </w:p>
    <w:p w14:paraId="780DEC02">
      <w:pPr>
        <w:spacing w:before="240" w:beforeLines="100" w:after="120" w:afterLines="50"/>
        <w:ind w:left="0" w:leftChars="0" w:right="0" w:rightChars="0" w:firstLine="0" w:firstLineChars="0"/>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法定代表人身份证明</w:t>
      </w:r>
    </w:p>
    <w:p w14:paraId="3FBD0DB1">
      <w:pPr>
        <w:spacing w:line="500" w:lineRule="exact"/>
        <w:ind w:left="540"/>
        <w:rPr>
          <w:rFonts w:hint="eastAsia" w:ascii="宋体" w:hAnsi="宋体" w:eastAsia="宋体" w:cs="宋体"/>
          <w:sz w:val="24"/>
          <w:highlight w:val="none"/>
        </w:rPr>
      </w:pPr>
      <w:r>
        <w:rPr>
          <w:rFonts w:hint="eastAsia" w:ascii="宋体" w:hAnsi="宋体" w:eastAsia="宋体" w:cs="宋体"/>
          <w:sz w:val="24"/>
          <w:highlight w:val="none"/>
        </w:rPr>
        <w:t>投 标 人</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5611BCAC">
      <w:pPr>
        <w:spacing w:line="500" w:lineRule="exact"/>
        <w:ind w:left="54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6BF8263E">
      <w:pPr>
        <w:spacing w:line="500" w:lineRule="exact"/>
        <w:ind w:left="540"/>
        <w:rPr>
          <w:rFonts w:hint="eastAsia" w:ascii="宋体" w:hAnsi="宋体" w:eastAsia="宋体" w:cs="宋体"/>
          <w:sz w:val="24"/>
          <w:highlight w:val="none"/>
        </w:rPr>
      </w:pPr>
      <w:r>
        <w:rPr>
          <w:rFonts w:hint="eastAsia" w:ascii="宋体" w:hAnsi="宋体" w:eastAsia="宋体" w:cs="宋体"/>
          <w:sz w:val="24"/>
          <w:highlight w:val="none"/>
        </w:rPr>
        <w:t>姓    名</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      别</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7670A0DC">
      <w:pPr>
        <w:spacing w:line="500" w:lineRule="exact"/>
        <w:ind w:left="540"/>
        <w:rPr>
          <w:rFonts w:hint="eastAsia" w:ascii="宋体" w:hAnsi="宋体" w:eastAsia="宋体" w:cs="宋体"/>
          <w:sz w:val="24"/>
          <w:highlight w:val="none"/>
          <w:u w:val="single"/>
        </w:rPr>
      </w:pPr>
      <w:r>
        <w:rPr>
          <w:rFonts w:hint="eastAsia" w:ascii="宋体" w:hAnsi="宋体" w:eastAsia="宋体" w:cs="宋体"/>
          <w:sz w:val="24"/>
          <w:highlight w:val="none"/>
        </w:rPr>
        <w:t>年    龄</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      务</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0FA3C471">
      <w:pPr>
        <w:spacing w:line="500" w:lineRule="exact"/>
        <w:ind w:left="540"/>
        <w:rPr>
          <w:rFonts w:hint="eastAsia" w:ascii="宋体" w:hAnsi="宋体" w:eastAsia="宋体" w:cs="宋体"/>
          <w:sz w:val="24"/>
          <w:highlight w:val="none"/>
        </w:rPr>
      </w:pPr>
      <w:r>
        <w:rPr>
          <w:rFonts w:hint="eastAsia" w:ascii="宋体" w:hAnsi="宋体" w:eastAsia="宋体" w:cs="宋体"/>
          <w:sz w:val="24"/>
          <w:highlight w:val="none"/>
        </w:rPr>
        <w:t>身份证号码</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6C05AD63">
      <w:pPr>
        <w:spacing w:line="500" w:lineRule="exact"/>
        <w:ind w:left="540"/>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投标人名称</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的法定代表人。</w:t>
      </w:r>
    </w:p>
    <w:p w14:paraId="0204AC84">
      <w:pPr>
        <w:spacing w:line="500" w:lineRule="exact"/>
        <w:ind w:left="540"/>
        <w:rPr>
          <w:rFonts w:hint="eastAsia" w:ascii="宋体" w:hAnsi="宋体" w:eastAsia="宋体" w:cs="宋体"/>
          <w:sz w:val="24"/>
          <w:highlight w:val="none"/>
        </w:rPr>
      </w:pPr>
      <w:r>
        <w:rPr>
          <w:rFonts w:hint="eastAsia" w:ascii="宋体" w:hAnsi="宋体" w:eastAsia="宋体" w:cs="宋体"/>
          <w:sz w:val="24"/>
          <w:highlight w:val="none"/>
        </w:rPr>
        <w:t>特此证明。</w:t>
      </w:r>
    </w:p>
    <w:p w14:paraId="065FF5FE">
      <w:pPr>
        <w:spacing w:line="500" w:lineRule="exact"/>
        <w:ind w:left="540"/>
        <w:rPr>
          <w:rFonts w:hint="eastAsia" w:ascii="宋体" w:hAnsi="宋体" w:eastAsia="宋体" w:cs="宋体"/>
          <w:sz w:val="24"/>
          <w:highlight w:val="none"/>
        </w:rPr>
      </w:pPr>
    </w:p>
    <w:p w14:paraId="588BCCFF">
      <w:pPr>
        <w:spacing w:line="500" w:lineRule="exact"/>
        <w:ind w:left="540"/>
        <w:rPr>
          <w:rFonts w:hint="eastAsia" w:ascii="宋体" w:hAnsi="宋体" w:eastAsia="宋体" w:cs="宋体"/>
          <w:sz w:val="24"/>
          <w:highlight w:val="none"/>
        </w:rPr>
      </w:pPr>
    </w:p>
    <w:p w14:paraId="79AB65B1">
      <w:pPr>
        <w:spacing w:line="500" w:lineRule="exact"/>
        <w:ind w:left="540"/>
        <w:rPr>
          <w:rFonts w:hint="eastAsia" w:ascii="宋体" w:hAnsi="宋体" w:eastAsia="宋体" w:cs="宋体"/>
          <w:sz w:val="24"/>
          <w:highlight w:val="none"/>
        </w:rPr>
      </w:pPr>
      <w:r>
        <w:rPr>
          <w:rFonts w:hint="eastAsia" w:ascii="宋体" w:hAnsi="宋体" w:eastAsia="宋体" w:cs="宋体"/>
          <w:sz w:val="24"/>
          <w:highlight w:val="none"/>
        </w:rPr>
        <w:t>附件：法定代表人有效身份证正反面复印件</w:t>
      </w:r>
    </w:p>
    <w:p w14:paraId="47AFD79C">
      <w:pPr>
        <w:spacing w:line="500" w:lineRule="exact"/>
        <w:ind w:left="540"/>
        <w:rPr>
          <w:rFonts w:hint="eastAsia" w:ascii="宋体" w:hAnsi="宋体" w:eastAsia="宋体" w:cs="宋体"/>
          <w:sz w:val="24"/>
          <w:highlight w:val="none"/>
        </w:rPr>
      </w:pPr>
    </w:p>
    <w:p w14:paraId="3BDE40FE">
      <w:pPr>
        <w:spacing w:line="500" w:lineRule="exact"/>
        <w:ind w:left="540"/>
        <w:jc w:val="right"/>
        <w:rPr>
          <w:rFonts w:hint="eastAsia" w:ascii="宋体" w:hAnsi="宋体" w:eastAsia="宋体" w:cs="宋体"/>
          <w:sz w:val="24"/>
          <w:highlight w:val="none"/>
        </w:rPr>
      </w:pPr>
      <w:r>
        <w:rPr>
          <w:rFonts w:hint="eastAsia" w:ascii="宋体" w:hAnsi="宋体" w:eastAsia="宋体" w:cs="宋体"/>
          <w:sz w:val="24"/>
          <w:highlight w:val="none"/>
        </w:rPr>
        <w:t>投标人名称（电子签章）</w:t>
      </w:r>
    </w:p>
    <w:p w14:paraId="525A61A2">
      <w:pPr>
        <w:spacing w:line="500" w:lineRule="exact"/>
        <w:ind w:left="540"/>
        <w:jc w:val="right"/>
        <w:rPr>
          <w:rFonts w:hint="eastAsia" w:ascii="宋体" w:hAnsi="宋体" w:eastAsia="宋体" w:cs="宋体"/>
          <w:sz w:val="24"/>
          <w:highlight w:val="none"/>
        </w:rPr>
      </w:pPr>
    </w:p>
    <w:p w14:paraId="71C3D018">
      <w:pPr>
        <w:snapToGrid w:val="0"/>
        <w:spacing w:before="120" w:beforeLines="50" w:after="50"/>
        <w:ind w:left="540"/>
        <w:jc w:val="right"/>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EB2D833">
      <w:pPr>
        <w:snapToGrid w:val="0"/>
        <w:spacing w:before="120" w:beforeLines="50" w:after="50"/>
        <w:jc w:val="center"/>
        <w:rPr>
          <w:rFonts w:hint="eastAsia" w:ascii="宋体" w:hAnsi="宋体" w:eastAsia="宋体" w:cs="宋体"/>
          <w:b/>
          <w:sz w:val="24"/>
          <w:highlight w:val="none"/>
        </w:rPr>
      </w:pPr>
    </w:p>
    <w:p w14:paraId="764CA10D">
      <w:pPr>
        <w:snapToGrid w:val="0"/>
        <w:spacing w:before="120" w:beforeLines="50" w:after="50"/>
        <w:jc w:val="left"/>
        <w:rPr>
          <w:rFonts w:hint="eastAsia" w:ascii="宋体" w:hAnsi="宋体" w:eastAsia="宋体" w:cs="宋体"/>
          <w:b/>
          <w:sz w:val="24"/>
          <w:szCs w:val="20"/>
          <w:highlight w:val="none"/>
        </w:rPr>
      </w:pPr>
      <w:r>
        <w:rPr>
          <w:rFonts w:hint="eastAsia" w:ascii="宋体" w:hAnsi="宋体" w:eastAsia="宋体" w:cs="宋体"/>
          <w:sz w:val="24"/>
          <w:highlight w:val="none"/>
        </w:rPr>
        <w:t>注：自然人投标的无需提供</w:t>
      </w:r>
    </w:p>
    <w:p w14:paraId="334191E6">
      <w:pPr>
        <w:snapToGrid w:val="0"/>
        <w:spacing w:before="120" w:beforeLines="50" w:after="50"/>
        <w:jc w:val="left"/>
        <w:rPr>
          <w:rFonts w:hint="eastAsia" w:ascii="宋体" w:hAnsi="宋体" w:eastAsia="宋体" w:cs="宋体"/>
          <w:b/>
          <w:sz w:val="24"/>
          <w:szCs w:val="20"/>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5.授权委托书格式</w:t>
      </w:r>
    </w:p>
    <w:p w14:paraId="3B5C7689">
      <w:pPr>
        <w:spacing w:line="360" w:lineRule="auto"/>
        <w:ind w:left="0" w:leftChars="0" w:right="0" w:rightChars="0" w:firstLine="0" w:firstLineChars="0"/>
        <w:contextualSpacing/>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授权委托书</w:t>
      </w:r>
    </w:p>
    <w:p w14:paraId="56431AD1">
      <w:pPr>
        <w:spacing w:line="360" w:lineRule="auto"/>
        <w:ind w:left="0" w:leftChars="0" w:right="0" w:rightChars="0" w:firstLine="0" w:firstLineChars="0"/>
        <w:contextualSpacing/>
        <w:jc w:val="center"/>
        <w:rPr>
          <w:rFonts w:hint="eastAsia" w:ascii="宋体" w:hAnsi="宋体" w:eastAsia="宋体" w:cs="宋体"/>
          <w:bCs/>
          <w:sz w:val="32"/>
          <w:szCs w:val="32"/>
          <w:highlight w:val="none"/>
        </w:rPr>
      </w:pPr>
      <w:r>
        <w:rPr>
          <w:rFonts w:hint="eastAsia" w:ascii="宋体" w:hAnsi="宋体" w:eastAsia="宋体" w:cs="宋体"/>
          <w:bCs/>
          <w:sz w:val="32"/>
          <w:szCs w:val="32"/>
          <w:highlight w:val="none"/>
        </w:rPr>
        <w:t>（非联合体投标格式）</w:t>
      </w:r>
    </w:p>
    <w:p w14:paraId="564C8A48">
      <w:pPr>
        <w:spacing w:line="360" w:lineRule="auto"/>
        <w:ind w:left="0" w:leftChars="0" w:right="0" w:rightChars="0" w:firstLine="0" w:firstLineChars="0"/>
        <w:contextualSpacing/>
        <w:jc w:val="center"/>
        <w:rPr>
          <w:rFonts w:hint="eastAsia" w:ascii="宋体" w:hAnsi="宋体" w:eastAsia="宋体" w:cs="宋体"/>
          <w:bCs/>
          <w:sz w:val="24"/>
          <w:highlight w:val="none"/>
        </w:rPr>
      </w:pPr>
      <w:r>
        <w:rPr>
          <w:rFonts w:hint="eastAsia" w:ascii="宋体" w:hAnsi="宋体" w:eastAsia="宋体" w:cs="宋体"/>
          <w:bCs/>
          <w:sz w:val="32"/>
          <w:szCs w:val="32"/>
          <w:highlight w:val="none"/>
        </w:rPr>
        <w:t>（如有委托时）</w:t>
      </w:r>
    </w:p>
    <w:p w14:paraId="081B9206">
      <w:pPr>
        <w:spacing w:line="440" w:lineRule="exact"/>
        <w:contextualSpacing/>
        <w:jc w:val="center"/>
        <w:rPr>
          <w:rFonts w:hint="eastAsia" w:ascii="宋体" w:hAnsi="宋体" w:eastAsia="宋体" w:cs="宋体"/>
          <w:b/>
          <w:sz w:val="24"/>
          <w:highlight w:val="none"/>
        </w:rPr>
      </w:pPr>
    </w:p>
    <w:p w14:paraId="1E698BEA">
      <w:pPr>
        <w:spacing w:line="440" w:lineRule="exact"/>
        <w:contextualSpacing/>
        <w:rPr>
          <w:rFonts w:hint="eastAsia" w:ascii="宋体" w:hAnsi="宋体" w:eastAsia="宋体" w:cs="宋体"/>
          <w:b/>
          <w:bCs/>
          <w:sz w:val="24"/>
          <w:highlight w:val="none"/>
        </w:rPr>
      </w:pPr>
      <w:r>
        <w:rPr>
          <w:rFonts w:hint="eastAsia" w:ascii="宋体" w:hAnsi="宋体" w:eastAsia="宋体" w:cs="宋体"/>
          <w:bCs/>
          <w:sz w:val="24"/>
          <w:highlight w:val="none"/>
        </w:rPr>
        <w:t>致：</w:t>
      </w:r>
      <w:r>
        <w:rPr>
          <w:rFonts w:hint="eastAsia" w:ascii="宋体" w:hAnsi="宋体" w:eastAsia="宋体" w:cs="宋体"/>
          <w:sz w:val="24"/>
          <w:highlight w:val="none"/>
          <w:u w:val="single"/>
        </w:rPr>
        <w:t>采购人名称</w:t>
      </w:r>
      <w:r>
        <w:rPr>
          <w:rFonts w:hint="eastAsia" w:ascii="宋体" w:hAnsi="宋体" w:eastAsia="宋体" w:cs="宋体"/>
          <w:sz w:val="24"/>
          <w:highlight w:val="none"/>
        </w:rPr>
        <w:t>：</w:t>
      </w:r>
    </w:p>
    <w:p w14:paraId="7E1FEE97">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我</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rPr>
        <w:t>投标人名称）的法定代表人，现授权委托</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姓名）</w:t>
      </w:r>
      <w:r>
        <w:rPr>
          <w:rFonts w:hint="eastAsia" w:ascii="宋体" w:hAnsi="宋体" w:eastAsia="宋体" w:cs="宋体"/>
          <w:sz w:val="24"/>
          <w:highlight w:val="none"/>
        </w:rPr>
        <w:t>以我方的名义参加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项目的投标活动，并代表我方全权办理针对上述项目的所有采购程序和环节的具体事务和签署相关文件。</w:t>
      </w:r>
    </w:p>
    <w:p w14:paraId="2581386E">
      <w:pPr>
        <w:spacing w:line="440" w:lineRule="exact"/>
        <w:contextualSpacing/>
        <w:rPr>
          <w:rFonts w:hint="eastAsia" w:ascii="宋体" w:hAnsi="宋体" w:eastAsia="宋体" w:cs="宋体"/>
          <w:sz w:val="24"/>
          <w:highlight w:val="none"/>
        </w:rPr>
      </w:pPr>
      <w:r>
        <w:rPr>
          <w:rFonts w:hint="eastAsia" w:ascii="宋体" w:hAnsi="宋体" w:eastAsia="宋体" w:cs="宋体"/>
          <w:sz w:val="24"/>
          <w:highlight w:val="none"/>
        </w:rPr>
        <w:t xml:space="preserve">    我方对委托代理人的签字或者电子签名事项负全部责任。</w:t>
      </w:r>
    </w:p>
    <w:p w14:paraId="04D52B12">
      <w:pPr>
        <w:spacing w:line="440" w:lineRule="exact"/>
        <w:ind w:firstLine="480"/>
        <w:contextualSpacing/>
        <w:rPr>
          <w:rFonts w:hint="eastAsia" w:ascii="宋体" w:hAnsi="宋体" w:eastAsia="宋体" w:cs="宋体"/>
          <w:sz w:val="24"/>
          <w:highlight w:val="none"/>
        </w:rPr>
      </w:pPr>
      <w:r>
        <w:rPr>
          <w:rFonts w:hint="eastAsia" w:ascii="宋体" w:hAnsi="宋体" w:eastAsia="宋体" w:cs="宋体"/>
          <w:sz w:val="24"/>
          <w:highlight w:val="none"/>
          <w:u w:val="single"/>
        </w:rPr>
        <w:t>本授权书自签署之日起生效，在撤销授权的书面通知以前，本授权书一直有效。委托代理人在授权书有效期内签署的所有文件不因授权的撤销而失效。</w:t>
      </w:r>
    </w:p>
    <w:p w14:paraId="38084108">
      <w:pPr>
        <w:spacing w:line="440" w:lineRule="exact"/>
        <w:ind w:firstLine="480"/>
        <w:contextualSpacing/>
        <w:rPr>
          <w:rFonts w:hint="eastAsia" w:ascii="宋体" w:hAnsi="宋体" w:eastAsia="宋体" w:cs="宋体"/>
          <w:sz w:val="24"/>
          <w:highlight w:val="none"/>
        </w:rPr>
      </w:pPr>
      <w:r>
        <w:rPr>
          <w:rFonts w:hint="eastAsia" w:ascii="宋体" w:hAnsi="宋体" w:eastAsia="宋体" w:cs="宋体"/>
          <w:sz w:val="24"/>
          <w:highlight w:val="none"/>
        </w:rPr>
        <w:t>委托代理人无转委托权，特此委托。</w:t>
      </w:r>
    </w:p>
    <w:p w14:paraId="7E50963D">
      <w:pPr>
        <w:spacing w:line="440" w:lineRule="exact"/>
        <w:ind w:firstLine="480"/>
        <w:contextualSpacing/>
        <w:rPr>
          <w:rFonts w:hint="eastAsia" w:ascii="宋体" w:hAnsi="宋体" w:eastAsia="宋体" w:cs="宋体"/>
          <w:sz w:val="24"/>
          <w:highlight w:val="none"/>
        </w:rPr>
      </w:pPr>
      <w:r>
        <w:rPr>
          <w:rFonts w:hint="eastAsia" w:ascii="宋体" w:hAnsi="宋体" w:eastAsia="宋体" w:cs="宋体"/>
          <w:sz w:val="24"/>
          <w:highlight w:val="none"/>
        </w:rPr>
        <w:t>附：法定代表人身份证明及委托代理人有效身份证正反面复印件</w:t>
      </w:r>
    </w:p>
    <w:p w14:paraId="36D2D843">
      <w:pPr>
        <w:spacing w:line="440" w:lineRule="exact"/>
        <w:contextualSpacing/>
        <w:rPr>
          <w:rFonts w:hint="eastAsia" w:ascii="宋体" w:hAnsi="宋体" w:eastAsia="宋体" w:cs="宋体"/>
          <w:sz w:val="24"/>
          <w:highlight w:val="none"/>
        </w:rPr>
      </w:pPr>
    </w:p>
    <w:p w14:paraId="7BF5759E">
      <w:pPr>
        <w:spacing w:line="440" w:lineRule="exact"/>
        <w:contextualSpacing/>
        <w:rPr>
          <w:rFonts w:hint="eastAsia" w:ascii="宋体" w:hAnsi="宋体" w:eastAsia="宋体" w:cs="宋体"/>
          <w:sz w:val="24"/>
          <w:highlight w:val="none"/>
        </w:rPr>
      </w:pPr>
      <w:r>
        <w:rPr>
          <w:rFonts w:hint="eastAsia" w:ascii="宋体" w:hAnsi="宋体" w:eastAsia="宋体" w:cs="宋体"/>
          <w:sz w:val="24"/>
          <w:highlight w:val="none"/>
        </w:rPr>
        <w:t>委托代理人（签字/电子签名）</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p w14:paraId="3A6CD547">
      <w:pPr>
        <w:spacing w:line="440" w:lineRule="exact"/>
        <w:contextualSpacing/>
        <w:rPr>
          <w:rFonts w:hint="eastAsia" w:ascii="宋体" w:hAnsi="宋体" w:eastAsia="宋体" w:cs="宋体"/>
          <w:sz w:val="24"/>
          <w:highlight w:val="none"/>
          <w:u w:val="single"/>
        </w:rPr>
      </w:pPr>
      <w:r>
        <w:rPr>
          <w:rFonts w:hint="eastAsia" w:ascii="宋体" w:hAnsi="宋体" w:eastAsia="宋体" w:cs="宋体"/>
          <w:sz w:val="24"/>
          <w:highlight w:val="none"/>
        </w:rPr>
        <w:t>委托代理人身份证号码</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676179C7">
      <w:pPr>
        <w:spacing w:line="440" w:lineRule="exact"/>
        <w:contextualSpacing/>
        <w:rPr>
          <w:rFonts w:hint="eastAsia" w:ascii="宋体" w:hAnsi="宋体" w:eastAsia="宋体" w:cs="宋体"/>
          <w:sz w:val="24"/>
          <w:highlight w:val="none"/>
          <w:u w:val="single"/>
        </w:rPr>
      </w:pPr>
      <w:r>
        <w:rPr>
          <w:rFonts w:hint="eastAsia" w:ascii="宋体" w:hAnsi="宋体" w:eastAsia="宋体" w:cs="宋体"/>
          <w:sz w:val="24"/>
          <w:highlight w:val="none"/>
        </w:rPr>
        <w:t>法定代表人（签字或者盖章或者电子签名）</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p>
    <w:p w14:paraId="36F7DF66">
      <w:pPr>
        <w:spacing w:line="440" w:lineRule="exact"/>
        <w:contextualSpacing/>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1AC1178D">
      <w:pPr>
        <w:spacing w:line="440" w:lineRule="exact"/>
        <w:contextualSpacing/>
        <w:jc w:val="center"/>
        <w:rPr>
          <w:rFonts w:hint="eastAsia" w:ascii="宋体" w:hAnsi="宋体" w:eastAsia="宋体" w:cs="宋体"/>
          <w:sz w:val="24"/>
          <w:highlight w:val="none"/>
        </w:rPr>
      </w:pPr>
      <w:r>
        <w:rPr>
          <w:rFonts w:hint="eastAsia" w:ascii="宋体" w:hAnsi="宋体" w:eastAsia="宋体" w:cs="宋体"/>
          <w:sz w:val="24"/>
          <w:highlight w:val="none"/>
        </w:rPr>
        <w:t xml:space="preserve">                                                投标人名称（电子签章）：</w:t>
      </w:r>
    </w:p>
    <w:p w14:paraId="289E61DC">
      <w:pPr>
        <w:spacing w:line="440" w:lineRule="exact"/>
        <w:contextualSpacing/>
        <w:jc w:val="center"/>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151E738F">
      <w:pPr>
        <w:spacing w:line="440" w:lineRule="exact"/>
        <w:contextualSpacing/>
        <w:rPr>
          <w:rFonts w:hint="eastAsia" w:ascii="宋体" w:hAnsi="宋体" w:eastAsia="宋体" w:cs="宋体"/>
          <w:sz w:val="24"/>
          <w:highlight w:val="none"/>
        </w:rPr>
      </w:pPr>
      <w:r>
        <w:rPr>
          <w:rFonts w:hint="eastAsia" w:ascii="宋体" w:hAnsi="宋体" w:eastAsia="宋体" w:cs="宋体"/>
          <w:sz w:val="24"/>
          <w:highlight w:val="none"/>
        </w:rPr>
        <w:t>注：1.</w:t>
      </w:r>
      <w:bookmarkStart w:id="109" w:name="_Hlk65851555"/>
      <w:bookmarkStart w:id="110" w:name="_Hlk65851620"/>
      <w:r>
        <w:rPr>
          <w:rFonts w:hint="eastAsia" w:ascii="宋体" w:hAnsi="宋体" w:eastAsia="宋体" w:cs="宋体"/>
          <w:sz w:val="24"/>
          <w:highlight w:val="none"/>
        </w:rPr>
        <w:t>法定代表人必须在授权委托书上亲笔签字或者盖章或者电子签名，</w:t>
      </w:r>
      <w:bookmarkEnd w:id="109"/>
      <w:r>
        <w:rPr>
          <w:rFonts w:hint="eastAsia" w:ascii="宋体" w:hAnsi="宋体" w:eastAsia="宋体" w:cs="宋体"/>
          <w:sz w:val="24"/>
          <w:highlight w:val="none"/>
        </w:rPr>
        <w:t>委托代理人必须在授权委托书上亲笔签字或者电子签名，</w:t>
      </w:r>
      <w:r>
        <w:rPr>
          <w:rFonts w:hint="eastAsia" w:ascii="宋体" w:hAnsi="宋体" w:eastAsia="宋体" w:cs="宋体"/>
          <w:b/>
          <w:bCs/>
          <w:sz w:val="24"/>
          <w:highlight w:val="none"/>
        </w:rPr>
        <w:t>否则按无效投标处理</w:t>
      </w:r>
      <w:r>
        <w:rPr>
          <w:rFonts w:hint="eastAsia" w:ascii="宋体" w:hAnsi="宋体" w:eastAsia="宋体" w:cs="宋体"/>
          <w:sz w:val="24"/>
          <w:highlight w:val="none"/>
        </w:rPr>
        <w:t>；</w:t>
      </w:r>
      <w:bookmarkEnd w:id="110"/>
    </w:p>
    <w:p w14:paraId="7302CE4F">
      <w:pPr>
        <w:spacing w:line="44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2.法人、其他组织投标时“我方”是指“我单位”，自然人投标时“我方”是指“本人”。</w:t>
      </w:r>
    </w:p>
    <w:p w14:paraId="18104D1F">
      <w:pPr>
        <w:snapToGrid w:val="0"/>
        <w:spacing w:before="120" w:beforeLines="50" w:after="50"/>
        <w:ind w:left="0" w:leftChars="0" w:right="0" w:rightChars="0" w:firstLine="0" w:firstLineChars="0"/>
        <w:jc w:val="center"/>
        <w:rPr>
          <w:rFonts w:hint="eastAsia" w:ascii="宋体" w:hAnsi="宋体" w:eastAsia="宋体" w:cs="宋体"/>
          <w:sz w:val="44"/>
          <w:szCs w:val="44"/>
          <w:highlight w:val="none"/>
        </w:rPr>
      </w:pPr>
      <w:r>
        <w:rPr>
          <w:rFonts w:hint="eastAsia" w:ascii="宋体" w:hAnsi="宋体" w:eastAsia="宋体" w:cs="宋体"/>
          <w:sz w:val="24"/>
          <w:highlight w:val="none"/>
        </w:rPr>
        <w:br w:type="page"/>
      </w:r>
      <w:r>
        <w:rPr>
          <w:rFonts w:hint="eastAsia" w:ascii="宋体" w:hAnsi="宋体" w:eastAsia="宋体" w:cs="宋体"/>
          <w:sz w:val="44"/>
          <w:szCs w:val="44"/>
          <w:highlight w:val="none"/>
        </w:rPr>
        <w:t>授权委托书</w:t>
      </w:r>
    </w:p>
    <w:p w14:paraId="14DE8265">
      <w:pPr>
        <w:snapToGrid w:val="0"/>
        <w:spacing w:before="120" w:beforeLines="50" w:after="50"/>
        <w:ind w:left="0" w:leftChars="0" w:right="0" w:rightChars="0" w:firstLine="0" w:firstLineChars="0"/>
        <w:jc w:val="center"/>
        <w:rPr>
          <w:rFonts w:hint="eastAsia" w:ascii="宋体" w:hAnsi="宋体" w:eastAsia="宋体" w:cs="宋体"/>
          <w:sz w:val="32"/>
          <w:szCs w:val="32"/>
          <w:highlight w:val="none"/>
        </w:rPr>
      </w:pPr>
      <w:r>
        <w:rPr>
          <w:rFonts w:hint="eastAsia" w:ascii="宋体" w:hAnsi="宋体" w:eastAsia="宋体" w:cs="宋体"/>
          <w:sz w:val="32"/>
          <w:szCs w:val="32"/>
          <w:highlight w:val="none"/>
        </w:rPr>
        <w:t>（联合体投标格式）</w:t>
      </w:r>
    </w:p>
    <w:p w14:paraId="2535E753">
      <w:pPr>
        <w:snapToGrid w:val="0"/>
        <w:spacing w:before="120" w:beforeLines="50" w:after="50"/>
        <w:ind w:left="0" w:leftChars="0" w:right="0" w:rightChars="0" w:firstLine="0" w:firstLineChars="0"/>
        <w:jc w:val="center"/>
        <w:rPr>
          <w:rFonts w:hint="eastAsia" w:ascii="宋体" w:hAnsi="宋体" w:eastAsia="宋体" w:cs="宋体"/>
          <w:sz w:val="24"/>
          <w:highlight w:val="none"/>
        </w:rPr>
      </w:pPr>
      <w:r>
        <w:rPr>
          <w:rFonts w:hint="eastAsia" w:ascii="宋体" w:hAnsi="宋体" w:eastAsia="宋体" w:cs="宋体"/>
          <w:sz w:val="32"/>
          <w:szCs w:val="32"/>
          <w:highlight w:val="none"/>
        </w:rPr>
        <w:t>（如有委托时）</w:t>
      </w:r>
    </w:p>
    <w:p w14:paraId="30D82AC5">
      <w:pPr>
        <w:spacing w:line="440" w:lineRule="exact"/>
        <w:contextualSpacing/>
        <w:jc w:val="left"/>
        <w:rPr>
          <w:rFonts w:hint="eastAsia" w:ascii="宋体" w:hAnsi="宋体" w:eastAsia="宋体" w:cs="宋体"/>
          <w:sz w:val="24"/>
          <w:highlight w:val="none"/>
        </w:rPr>
      </w:pPr>
      <w:r>
        <w:rPr>
          <w:rFonts w:hint="eastAsia" w:ascii="宋体" w:hAnsi="宋体" w:eastAsia="宋体" w:cs="宋体"/>
          <w:bCs/>
          <w:sz w:val="24"/>
          <w:highlight w:val="none"/>
        </w:rPr>
        <w:t>致：</w:t>
      </w:r>
      <w:r>
        <w:rPr>
          <w:rFonts w:hint="eastAsia" w:ascii="宋体" w:hAnsi="宋体" w:eastAsia="宋体" w:cs="宋体"/>
          <w:sz w:val="24"/>
          <w:highlight w:val="none"/>
          <w:u w:val="single"/>
        </w:rPr>
        <w:t>采购人名称</w:t>
      </w:r>
      <w:r>
        <w:rPr>
          <w:rFonts w:hint="eastAsia" w:ascii="宋体" w:hAnsi="宋体" w:eastAsia="宋体" w:cs="宋体"/>
          <w:sz w:val="24"/>
          <w:highlight w:val="none"/>
        </w:rPr>
        <w:t>：</w:t>
      </w:r>
    </w:p>
    <w:p w14:paraId="41899D58">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 xml:space="preserve">根据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牵头人名称）</w:t>
      </w:r>
      <w:r>
        <w:rPr>
          <w:rFonts w:hint="eastAsia" w:ascii="宋体" w:hAnsi="宋体" w:eastAsia="宋体" w:cs="宋体"/>
          <w:sz w:val="24"/>
          <w:highlight w:val="none"/>
        </w:rPr>
        <w:t>与</w:t>
      </w:r>
      <w:r>
        <w:rPr>
          <w:rFonts w:hint="eastAsia" w:ascii="宋体" w:hAnsi="宋体" w:eastAsia="宋体" w:cs="宋体"/>
          <w:sz w:val="24"/>
          <w:highlight w:val="none"/>
          <w:u w:val="single"/>
        </w:rPr>
        <w:t>（联合体其他成员名称）</w:t>
      </w:r>
      <w:r>
        <w:rPr>
          <w:rFonts w:hint="eastAsia" w:ascii="宋体" w:hAnsi="宋体" w:eastAsia="宋体" w:cs="宋体"/>
          <w:sz w:val="24"/>
          <w:highlight w:val="none"/>
        </w:rPr>
        <w:t>签订的《联合体投标协议书》的内容，</w:t>
      </w:r>
      <w:r>
        <w:rPr>
          <w:rFonts w:hint="eastAsia" w:ascii="宋体" w:hAnsi="宋体" w:eastAsia="宋体" w:cs="宋体"/>
          <w:sz w:val="24"/>
          <w:highlight w:val="none"/>
          <w:u w:val="single"/>
        </w:rPr>
        <w:t>（牵头人名称）</w:t>
      </w:r>
      <w:r>
        <w:rPr>
          <w:rFonts w:hint="eastAsia" w:ascii="宋体" w:hAnsi="宋体" w:eastAsia="宋体" w:cs="宋体"/>
          <w:sz w:val="24"/>
          <w:highlight w:val="none"/>
        </w:rPr>
        <w:t>的法定代表人</w:t>
      </w:r>
      <w:r>
        <w:rPr>
          <w:rFonts w:hint="eastAsia" w:ascii="宋体" w:hAnsi="宋体" w:eastAsia="宋体" w:cs="宋体"/>
          <w:sz w:val="24"/>
          <w:highlight w:val="none"/>
          <w:u w:val="single"/>
        </w:rPr>
        <w:t>（姓名）</w:t>
      </w:r>
      <w:r>
        <w:rPr>
          <w:rFonts w:hint="eastAsia" w:ascii="宋体" w:hAnsi="宋体" w:eastAsia="宋体" w:cs="宋体"/>
          <w:sz w:val="24"/>
          <w:highlight w:val="none"/>
        </w:rPr>
        <w:t>现授权委托</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姓名）</w:t>
      </w:r>
      <w:r>
        <w:rPr>
          <w:rFonts w:hint="eastAsia" w:ascii="宋体" w:hAnsi="宋体" w:eastAsia="宋体" w:cs="宋体"/>
          <w:sz w:val="24"/>
          <w:highlight w:val="none"/>
        </w:rPr>
        <w:t>以我方的名义参加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项目的投标活动，并代表我方全权办理针对上述项目的所有采购程序和环节的具体事务和签署相关文件。</w:t>
      </w:r>
    </w:p>
    <w:p w14:paraId="628D465B">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我方对委托代理人的签字或者电子签名事项负全部责任。</w:t>
      </w:r>
    </w:p>
    <w:p w14:paraId="426CB16A">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本授权书自签署之日起生效，在撤销授权的书面通知以前，本授权书一直有效。委托代理人在授权书有效期内签署的所有文件不因授权的撤销而失效。</w:t>
      </w:r>
    </w:p>
    <w:p w14:paraId="7C768980">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委托代理人无转委托权，特此委托。</w:t>
      </w:r>
    </w:p>
    <w:p w14:paraId="33CC23A0">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附：牵头人法定代表人身份证明及委托代理人有效身份证正反面复印件</w:t>
      </w:r>
    </w:p>
    <w:p w14:paraId="7B69007D">
      <w:pPr>
        <w:spacing w:line="440" w:lineRule="exact"/>
        <w:ind w:firstLine="566" w:firstLineChars="236"/>
        <w:contextualSpacing/>
        <w:rPr>
          <w:rFonts w:hint="eastAsia" w:ascii="宋体" w:hAnsi="宋体" w:eastAsia="宋体" w:cs="宋体"/>
          <w:sz w:val="24"/>
          <w:highlight w:val="none"/>
        </w:rPr>
      </w:pPr>
    </w:p>
    <w:p w14:paraId="0F48AAE7">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牵头人法定代表人（签字或者盖章或者电子签名）：</w:t>
      </w:r>
    </w:p>
    <w:p w14:paraId="482ED6F9">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牵头人（电子签章）：</w:t>
      </w:r>
    </w:p>
    <w:p w14:paraId="501C55C2">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年   月   日</w:t>
      </w:r>
    </w:p>
    <w:p w14:paraId="5DFCDF20">
      <w:pPr>
        <w:spacing w:line="440" w:lineRule="exact"/>
        <w:ind w:firstLine="566" w:firstLineChars="236"/>
        <w:contextualSpacing/>
        <w:rPr>
          <w:rFonts w:hint="eastAsia" w:ascii="宋体" w:hAnsi="宋体" w:eastAsia="宋体" w:cs="宋体"/>
          <w:sz w:val="24"/>
          <w:highlight w:val="none"/>
        </w:rPr>
      </w:pPr>
    </w:p>
    <w:p w14:paraId="57E6860B">
      <w:pPr>
        <w:spacing w:line="440" w:lineRule="exact"/>
        <w:ind w:firstLine="566" w:firstLineChars="236"/>
        <w:contextualSpacing/>
        <w:rPr>
          <w:rFonts w:hint="eastAsia" w:ascii="宋体" w:hAnsi="宋体" w:eastAsia="宋体" w:cs="宋体"/>
          <w:sz w:val="24"/>
          <w:highlight w:val="none"/>
        </w:rPr>
      </w:pPr>
      <w:r>
        <w:rPr>
          <w:rFonts w:hint="eastAsia" w:ascii="宋体" w:hAnsi="宋体" w:eastAsia="宋体" w:cs="宋体"/>
          <w:sz w:val="24"/>
          <w:highlight w:val="none"/>
        </w:rPr>
        <w:t>被授权人（签字/电子签名）：</w:t>
      </w:r>
    </w:p>
    <w:p w14:paraId="59D84E12">
      <w:pPr>
        <w:spacing w:line="440" w:lineRule="exact"/>
        <w:ind w:firstLine="566" w:firstLineChars="236"/>
        <w:contextualSpacing/>
        <w:rPr>
          <w:rFonts w:hint="eastAsia" w:ascii="宋体" w:hAnsi="宋体" w:eastAsia="宋体" w:cs="宋体"/>
          <w:sz w:val="32"/>
          <w:szCs w:val="32"/>
          <w:highlight w:val="none"/>
        </w:rPr>
      </w:pPr>
      <w:r>
        <w:rPr>
          <w:rFonts w:hint="eastAsia" w:ascii="宋体" w:hAnsi="宋体" w:eastAsia="宋体" w:cs="宋体"/>
          <w:sz w:val="24"/>
          <w:highlight w:val="none"/>
        </w:rPr>
        <w:t>日期</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年   月   日</w:t>
      </w:r>
    </w:p>
    <w:p w14:paraId="7D681A4D">
      <w:pPr>
        <w:spacing w:line="440" w:lineRule="exact"/>
        <w:contextualSpacing/>
        <w:rPr>
          <w:rFonts w:hint="eastAsia" w:ascii="宋体" w:hAnsi="宋体" w:eastAsia="宋体" w:cs="宋体"/>
          <w:sz w:val="24"/>
          <w:highlight w:val="none"/>
        </w:rPr>
      </w:pPr>
      <w:r>
        <w:rPr>
          <w:rFonts w:hint="eastAsia" w:ascii="宋体" w:hAnsi="宋体" w:eastAsia="宋体" w:cs="宋体"/>
          <w:sz w:val="24"/>
          <w:highlight w:val="none"/>
        </w:rPr>
        <w:t>注：1.法定代表人必须在授权委托书上亲笔签字或者盖章或者电子签名，委托代理人必须在授权委托书上亲笔签字或者电子签名，</w:t>
      </w:r>
      <w:r>
        <w:rPr>
          <w:rFonts w:hint="eastAsia" w:ascii="宋体" w:hAnsi="宋体" w:eastAsia="宋体" w:cs="宋体"/>
          <w:b/>
          <w:bCs/>
          <w:sz w:val="24"/>
          <w:highlight w:val="none"/>
        </w:rPr>
        <w:t>否则按无效投标处理</w:t>
      </w:r>
      <w:r>
        <w:rPr>
          <w:rFonts w:hint="eastAsia" w:ascii="宋体" w:hAnsi="宋体" w:eastAsia="宋体" w:cs="宋体"/>
          <w:sz w:val="24"/>
          <w:highlight w:val="none"/>
        </w:rPr>
        <w:t>；</w:t>
      </w:r>
    </w:p>
    <w:p w14:paraId="078DD158">
      <w:pPr>
        <w:spacing w:line="44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2.本授权委托书应由联合体牵头人的法定代表人按上述规定签字或者盖章或者电子签名。</w:t>
      </w:r>
    </w:p>
    <w:p w14:paraId="644D0B69">
      <w:pPr>
        <w:spacing w:line="440" w:lineRule="exact"/>
        <w:ind w:firstLine="480" w:firstLineChars="200"/>
        <w:contextualSpacing/>
        <w:jc w:val="left"/>
        <w:rPr>
          <w:rFonts w:hint="eastAsia" w:ascii="宋体" w:hAnsi="宋体" w:eastAsia="宋体" w:cs="宋体"/>
          <w:sz w:val="24"/>
          <w:highlight w:val="none"/>
        </w:rPr>
      </w:pPr>
      <w:r>
        <w:rPr>
          <w:rFonts w:hint="eastAsia" w:ascii="宋体" w:hAnsi="宋体" w:eastAsia="宋体" w:cs="宋体"/>
          <w:sz w:val="24"/>
          <w:highlight w:val="none"/>
        </w:rPr>
        <w:t>3.法人、其他组织投标时“我方”是指“我单位”，自然人投标时“我方”是指“本人”。</w:t>
      </w:r>
    </w:p>
    <w:p w14:paraId="25E271F0">
      <w:pPr>
        <w:snapToGrid w:val="0"/>
        <w:spacing w:before="50" w:after="120" w:afterLines="50"/>
        <w:ind w:firstLine="480" w:firstLineChars="200"/>
        <w:jc w:val="left"/>
        <w:rPr>
          <w:rFonts w:hint="eastAsia" w:ascii="宋体" w:hAnsi="宋体" w:eastAsia="宋体" w:cs="宋体"/>
          <w:sz w:val="24"/>
          <w:highlight w:val="none"/>
        </w:rPr>
        <w:sectPr>
          <w:footerReference r:id="rId16" w:type="first"/>
          <w:footerReference r:id="rId14" w:type="default"/>
          <w:footerReference r:id="rId15" w:type="even"/>
          <w:pgSz w:w="11906" w:h="16838"/>
          <w:pgMar w:top="1134" w:right="1134" w:bottom="1134" w:left="1134" w:header="851" w:footer="992" w:gutter="0"/>
          <w:cols w:space="720" w:num="1"/>
          <w:titlePg/>
          <w:docGrid w:linePitch="312" w:charSpace="0"/>
        </w:sectPr>
      </w:pPr>
    </w:p>
    <w:p w14:paraId="6C659AB7">
      <w:pPr>
        <w:rPr>
          <w:rFonts w:hint="eastAsia" w:ascii="宋体" w:hAnsi="宋体" w:eastAsia="宋体" w:cs="宋体"/>
          <w:sz w:val="24"/>
          <w:highlight w:val="none"/>
        </w:rPr>
      </w:pPr>
    </w:p>
    <w:p w14:paraId="042496E7">
      <w:pPr>
        <w:rPr>
          <w:rFonts w:hint="eastAsia" w:ascii="宋体" w:hAnsi="宋体" w:eastAsia="宋体" w:cs="宋体"/>
          <w:b/>
          <w:sz w:val="24"/>
          <w:szCs w:val="20"/>
          <w:highlight w:val="none"/>
        </w:rPr>
      </w:pPr>
      <w:r>
        <w:rPr>
          <w:rFonts w:hint="eastAsia" w:ascii="宋体" w:hAnsi="宋体" w:eastAsia="宋体" w:cs="宋体"/>
          <w:b/>
          <w:sz w:val="24"/>
          <w:highlight w:val="none"/>
        </w:rPr>
        <w:t>6.商务要求偏离表格式（注：按项目需求表具体项目修改）</w:t>
      </w:r>
    </w:p>
    <w:p w14:paraId="3B950852">
      <w:pPr>
        <w:snapToGrid w:val="0"/>
        <w:spacing w:before="50"/>
        <w:jc w:val="left"/>
        <w:rPr>
          <w:rFonts w:hint="eastAsia" w:ascii="宋体" w:hAnsi="宋体" w:eastAsia="宋体" w:cs="宋体"/>
          <w:sz w:val="24"/>
          <w:highlight w:val="none"/>
        </w:rPr>
      </w:pPr>
    </w:p>
    <w:p w14:paraId="0AB14D58">
      <w:pPr>
        <w:pStyle w:val="27"/>
        <w:rPr>
          <w:rFonts w:hint="eastAsia" w:ascii="宋体" w:hAnsi="宋体" w:eastAsia="宋体" w:cs="宋体"/>
          <w:sz w:val="24"/>
          <w:szCs w:val="24"/>
          <w:highlight w:val="none"/>
        </w:rPr>
      </w:pPr>
      <w:r>
        <w:rPr>
          <w:rFonts w:hint="eastAsia" w:ascii="宋体" w:hAnsi="宋体" w:eastAsia="宋体" w:cs="宋体"/>
          <w:sz w:val="24"/>
          <w:szCs w:val="24"/>
          <w:highlight w:val="none"/>
        </w:rPr>
        <w:t>所投分标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分标</w:t>
      </w:r>
    </w:p>
    <w:p w14:paraId="335E6898">
      <w:pPr>
        <w:snapToGrid w:val="0"/>
        <w:spacing w:before="50"/>
        <w:jc w:val="left"/>
        <w:rPr>
          <w:rFonts w:hint="eastAsia" w:ascii="宋体" w:hAnsi="宋体" w:eastAsia="宋体" w:cs="宋体"/>
          <w:sz w:val="24"/>
          <w:highlight w:val="none"/>
          <w:u w:val="singl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8"/>
        <w:gridCol w:w="2552"/>
        <w:gridCol w:w="2835"/>
        <w:gridCol w:w="1326"/>
      </w:tblGrid>
      <w:tr w14:paraId="346F8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top"/>
          </w:tcPr>
          <w:p w14:paraId="5EFEC178">
            <w:pPr>
              <w:snapToGrid w:val="0"/>
              <w:spacing w:before="120" w:beforeLines="50"/>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074DEBCD">
            <w:pPr>
              <w:snapToGrid w:val="0"/>
              <w:spacing w:before="120" w:beforeLines="50"/>
              <w:jc w:val="center"/>
              <w:rPr>
                <w:rFonts w:hint="eastAsia" w:ascii="宋体" w:hAnsi="宋体" w:eastAsia="宋体" w:cs="宋体"/>
                <w:sz w:val="24"/>
                <w:highlight w:val="none"/>
              </w:rPr>
            </w:pPr>
            <w:r>
              <w:rPr>
                <w:rFonts w:hint="eastAsia" w:ascii="宋体" w:hAnsi="宋体" w:eastAsia="宋体" w:cs="宋体"/>
                <w:sz w:val="24"/>
                <w:highlight w:val="none"/>
              </w:rPr>
              <w:t>招标文件商务要求</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071F84B0">
            <w:pPr>
              <w:snapToGrid w:val="0"/>
              <w:spacing w:before="120" w:beforeLines="50"/>
              <w:jc w:val="center"/>
              <w:rPr>
                <w:rFonts w:hint="eastAsia" w:ascii="宋体" w:hAnsi="宋体" w:eastAsia="宋体" w:cs="宋体"/>
                <w:sz w:val="24"/>
                <w:highlight w:val="none"/>
              </w:rPr>
            </w:pPr>
            <w:r>
              <w:rPr>
                <w:rFonts w:hint="eastAsia" w:ascii="宋体" w:hAnsi="宋体" w:eastAsia="宋体" w:cs="宋体"/>
                <w:sz w:val="24"/>
                <w:highlight w:val="none"/>
              </w:rPr>
              <w:t>投标人的承诺</w:t>
            </w:r>
          </w:p>
        </w:tc>
        <w:tc>
          <w:tcPr>
            <w:tcW w:w="1326" w:type="dxa"/>
            <w:tcBorders>
              <w:top w:val="single" w:color="auto" w:sz="4" w:space="0"/>
              <w:left w:val="single" w:color="auto" w:sz="4" w:space="0"/>
              <w:bottom w:val="single" w:color="auto" w:sz="4" w:space="0"/>
              <w:right w:val="single" w:color="auto" w:sz="4" w:space="0"/>
            </w:tcBorders>
            <w:noWrap w:val="0"/>
            <w:vAlign w:val="top"/>
          </w:tcPr>
          <w:p w14:paraId="458B7F6F">
            <w:pPr>
              <w:snapToGrid w:val="0"/>
              <w:spacing w:before="120" w:beforeLines="50"/>
              <w:jc w:val="center"/>
              <w:rPr>
                <w:rFonts w:hint="eastAsia" w:ascii="宋体" w:hAnsi="宋体" w:eastAsia="宋体" w:cs="宋体"/>
                <w:sz w:val="24"/>
                <w:highlight w:val="none"/>
              </w:rPr>
            </w:pPr>
            <w:r>
              <w:rPr>
                <w:rFonts w:hint="eastAsia" w:ascii="宋体" w:hAnsi="宋体" w:eastAsia="宋体" w:cs="宋体"/>
                <w:sz w:val="24"/>
                <w:highlight w:val="none"/>
              </w:rPr>
              <w:t>偏离说明</w:t>
            </w:r>
          </w:p>
        </w:tc>
      </w:tr>
      <w:tr w14:paraId="23F03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14:paraId="3A0FEC12">
            <w:pPr>
              <w:spacing w:line="400" w:lineRule="exact"/>
              <w:jc w:val="center"/>
              <w:rPr>
                <w:rFonts w:hint="eastAsia" w:ascii="宋体" w:hAnsi="宋体" w:eastAsia="宋体" w:cs="宋体"/>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14:paraId="64165242">
            <w:pPr>
              <w:snapToGrid w:val="0"/>
              <w:spacing w:before="120" w:beforeLines="50"/>
              <w:jc w:val="center"/>
              <w:rPr>
                <w:rFonts w:hint="eastAsia" w:ascii="宋体" w:hAnsi="宋体" w:eastAsia="宋体" w:cs="宋体"/>
                <w:sz w:val="24"/>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67BD7DFE">
            <w:pPr>
              <w:snapToGrid w:val="0"/>
              <w:spacing w:before="120" w:beforeLines="50"/>
              <w:jc w:val="center"/>
              <w:rPr>
                <w:rFonts w:hint="eastAsia" w:ascii="宋体" w:hAnsi="宋体" w:eastAsia="宋体" w:cs="宋体"/>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4BFC1F92">
            <w:pPr>
              <w:snapToGrid w:val="0"/>
              <w:spacing w:before="120" w:beforeLines="50"/>
              <w:jc w:val="center"/>
              <w:rPr>
                <w:rFonts w:hint="eastAsia" w:ascii="宋体" w:hAnsi="宋体" w:eastAsia="宋体" w:cs="宋体"/>
                <w:sz w:val="24"/>
                <w:highlight w:val="none"/>
              </w:rPr>
            </w:pPr>
          </w:p>
        </w:tc>
      </w:tr>
      <w:tr w14:paraId="531FE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14:paraId="4FA59671">
            <w:pPr>
              <w:spacing w:line="400" w:lineRule="exact"/>
              <w:jc w:val="center"/>
              <w:rPr>
                <w:rFonts w:hint="eastAsia" w:ascii="宋体" w:hAnsi="宋体" w:eastAsia="宋体" w:cs="宋体"/>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14:paraId="1DDB1810">
            <w:pPr>
              <w:snapToGrid w:val="0"/>
              <w:spacing w:before="120" w:beforeLines="50"/>
              <w:rPr>
                <w:rFonts w:hint="eastAsia" w:ascii="宋体" w:hAnsi="宋体" w:eastAsia="宋体" w:cs="宋体"/>
                <w:sz w:val="24"/>
                <w:highlight w:val="none"/>
                <w:u w:val="single"/>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31162989">
            <w:pPr>
              <w:snapToGrid w:val="0"/>
              <w:spacing w:before="120" w:beforeLines="50"/>
              <w:ind w:left="43"/>
              <w:jc w:val="center"/>
              <w:rPr>
                <w:rFonts w:hint="eastAsia" w:ascii="宋体" w:hAnsi="宋体" w:eastAsia="宋体" w:cs="宋体"/>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54356067">
            <w:pPr>
              <w:snapToGrid w:val="0"/>
              <w:spacing w:before="120" w:beforeLines="50"/>
              <w:ind w:left="43"/>
              <w:jc w:val="center"/>
              <w:rPr>
                <w:rFonts w:hint="eastAsia" w:ascii="宋体" w:hAnsi="宋体" w:eastAsia="宋体" w:cs="宋体"/>
                <w:sz w:val="24"/>
                <w:highlight w:val="none"/>
              </w:rPr>
            </w:pPr>
          </w:p>
        </w:tc>
      </w:tr>
      <w:tr w14:paraId="31090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14:paraId="198E1EC4">
            <w:pPr>
              <w:spacing w:line="400" w:lineRule="exact"/>
              <w:jc w:val="center"/>
              <w:rPr>
                <w:rFonts w:hint="eastAsia" w:ascii="宋体" w:hAnsi="宋体" w:eastAsia="宋体" w:cs="宋体"/>
                <w:szCs w:val="21"/>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top"/>
          </w:tcPr>
          <w:p w14:paraId="7749BF6A">
            <w:pPr>
              <w:snapToGrid w:val="0"/>
              <w:spacing w:before="120" w:beforeLines="50"/>
              <w:rPr>
                <w:rFonts w:hint="eastAsia" w:ascii="宋体" w:hAnsi="宋体" w:eastAsia="宋体" w:cs="宋体"/>
                <w:sz w:val="24"/>
                <w:highlight w:val="none"/>
                <w:u w:val="single"/>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20FF2693">
            <w:pPr>
              <w:snapToGrid w:val="0"/>
              <w:spacing w:before="120" w:beforeLines="50"/>
              <w:ind w:left="43"/>
              <w:jc w:val="center"/>
              <w:rPr>
                <w:rFonts w:hint="eastAsia" w:ascii="宋体" w:hAnsi="宋体" w:eastAsia="宋体" w:cs="宋体"/>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0001301C">
            <w:pPr>
              <w:snapToGrid w:val="0"/>
              <w:spacing w:before="120" w:beforeLines="50"/>
              <w:ind w:left="43"/>
              <w:jc w:val="center"/>
              <w:rPr>
                <w:rFonts w:hint="eastAsia" w:ascii="宋体" w:hAnsi="宋体" w:eastAsia="宋体" w:cs="宋体"/>
                <w:sz w:val="24"/>
                <w:highlight w:val="none"/>
              </w:rPr>
            </w:pPr>
          </w:p>
        </w:tc>
      </w:tr>
      <w:tr w14:paraId="29F3E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noWrap w:val="0"/>
            <w:vAlign w:val="center"/>
          </w:tcPr>
          <w:p w14:paraId="013FAB4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noWrap w:val="0"/>
            <w:vAlign w:val="top"/>
          </w:tcPr>
          <w:p w14:paraId="1D99D86F">
            <w:pPr>
              <w:snapToGrid w:val="0"/>
              <w:spacing w:before="120" w:beforeLines="50"/>
              <w:jc w:val="center"/>
              <w:rPr>
                <w:rFonts w:hint="eastAsia" w:ascii="宋体" w:hAnsi="宋体" w:eastAsia="宋体" w:cs="宋体"/>
                <w:sz w:val="24"/>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top"/>
          </w:tcPr>
          <w:p w14:paraId="2716B7B2">
            <w:pPr>
              <w:snapToGrid w:val="0"/>
              <w:spacing w:before="120" w:beforeLines="50"/>
              <w:jc w:val="center"/>
              <w:rPr>
                <w:rFonts w:hint="eastAsia" w:ascii="宋体" w:hAnsi="宋体" w:eastAsia="宋体" w:cs="宋体"/>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22607B5C">
            <w:pPr>
              <w:snapToGrid w:val="0"/>
              <w:spacing w:before="120" w:beforeLines="50"/>
              <w:jc w:val="center"/>
              <w:rPr>
                <w:rFonts w:hint="eastAsia" w:ascii="宋体" w:hAnsi="宋体" w:eastAsia="宋体" w:cs="宋体"/>
                <w:sz w:val="24"/>
                <w:highlight w:val="none"/>
              </w:rPr>
            </w:pPr>
          </w:p>
        </w:tc>
      </w:tr>
    </w:tbl>
    <w:p w14:paraId="2978E474">
      <w:pPr>
        <w:pStyle w:val="21"/>
        <w:spacing w:line="52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0425DE98">
      <w:pPr>
        <w:pStyle w:val="21"/>
        <w:spacing w:line="520" w:lineRule="exact"/>
        <w:ind w:firstLine="0"/>
        <w:rPr>
          <w:rFonts w:hint="eastAsia" w:ascii="宋体" w:hAnsi="宋体" w:eastAsia="宋体" w:cs="宋体"/>
          <w:szCs w:val="32"/>
          <w:highlight w:val="none"/>
        </w:rPr>
      </w:pPr>
      <w:r>
        <w:rPr>
          <w:rFonts w:hint="eastAsia" w:ascii="宋体" w:hAnsi="宋体" w:eastAsia="宋体" w:cs="宋体"/>
          <w:sz w:val="24"/>
          <w:szCs w:val="24"/>
          <w:highlight w:val="none"/>
        </w:rPr>
        <w:t>1.说明：应对照招标文件“第二章 采购需求”中的商务要求逐条作明确的投标响应，并作出偏离说明。</w:t>
      </w:r>
    </w:p>
    <w:p w14:paraId="02A7B2A5">
      <w:pPr>
        <w:pStyle w:val="21"/>
        <w:spacing w:line="52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2.投标人应根据自身的承诺，对照招标文件要求在“偏离说明”中注明“正偏离”、“负偏离”或者“无偏离”。既不属于“正偏离”也不属于“负偏离”即为“无偏离”。</w:t>
      </w:r>
    </w:p>
    <w:p w14:paraId="0C2B51E1">
      <w:pPr>
        <w:snapToGrid w:val="0"/>
        <w:spacing w:before="50" w:after="50"/>
        <w:rPr>
          <w:rFonts w:hint="eastAsia" w:ascii="宋体" w:hAnsi="宋体" w:eastAsia="宋体" w:cs="宋体"/>
          <w:sz w:val="24"/>
          <w:highlight w:val="none"/>
        </w:rPr>
      </w:pPr>
    </w:p>
    <w:p w14:paraId="0A15035F">
      <w:pPr>
        <w:snapToGrid w:val="0"/>
        <w:spacing w:before="50" w:after="50"/>
        <w:rPr>
          <w:rFonts w:hint="eastAsia" w:ascii="宋体" w:hAnsi="宋体" w:eastAsia="宋体" w:cs="宋体"/>
          <w:spacing w:val="20"/>
          <w:sz w:val="24"/>
          <w:highlight w:val="none"/>
          <w:u w:val="single"/>
        </w:rPr>
      </w:pPr>
      <w:r>
        <w:rPr>
          <w:rFonts w:hint="eastAsia" w:ascii="宋体" w:hAnsi="宋体" w:eastAsia="宋体" w:cs="宋体"/>
          <w:sz w:val="24"/>
          <w:highlight w:val="none"/>
        </w:rPr>
        <w:t>法定代表人或者委托代理人</w:t>
      </w:r>
      <w:r>
        <w:rPr>
          <w:rFonts w:hint="eastAsia" w:ascii="宋体" w:hAnsi="宋体" w:eastAsia="宋体" w:cs="宋体"/>
          <w:spacing w:val="20"/>
          <w:sz w:val="24"/>
          <w:highlight w:val="none"/>
        </w:rPr>
        <w:t>（签字/电子签名）</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p>
    <w:p w14:paraId="0FE389EF">
      <w:pPr>
        <w:snapToGrid w:val="0"/>
        <w:spacing w:before="120" w:beforeLines="50"/>
        <w:rPr>
          <w:rFonts w:hint="eastAsia" w:ascii="宋体" w:hAnsi="宋体" w:eastAsia="宋体" w:cs="宋体"/>
          <w:spacing w:val="20"/>
          <w:sz w:val="24"/>
          <w:highlight w:val="none"/>
        </w:rPr>
      </w:pPr>
      <w:r>
        <w:rPr>
          <w:rFonts w:hint="eastAsia" w:ascii="宋体" w:hAnsi="宋体" w:eastAsia="宋体" w:cs="宋体"/>
          <w:spacing w:val="20"/>
          <w:sz w:val="24"/>
          <w:highlight w:val="none"/>
        </w:rPr>
        <w:t>投标人名称（电子签章）</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r>
        <w:rPr>
          <w:rFonts w:hint="eastAsia" w:ascii="宋体" w:hAnsi="宋体" w:eastAsia="宋体" w:cs="宋体"/>
          <w:spacing w:val="20"/>
          <w:sz w:val="24"/>
          <w:highlight w:val="none"/>
        </w:rPr>
        <w:t xml:space="preserve">   </w:t>
      </w:r>
    </w:p>
    <w:p w14:paraId="72CAFDDF">
      <w:pPr>
        <w:snapToGrid w:val="0"/>
        <w:spacing w:before="120" w:beforeLines="50"/>
        <w:rPr>
          <w:rFonts w:hint="eastAsia" w:ascii="宋体" w:hAnsi="宋体" w:eastAsia="宋体" w:cs="宋体"/>
          <w:sz w:val="24"/>
          <w:szCs w:val="20"/>
          <w:highlight w:val="none"/>
        </w:rPr>
      </w:pPr>
      <w:r>
        <w:rPr>
          <w:rFonts w:hint="eastAsia" w:ascii="宋体" w:hAnsi="宋体" w:eastAsia="宋体" w:cs="宋体"/>
          <w:spacing w:val="20"/>
          <w:sz w:val="24"/>
          <w:highlight w:val="none"/>
        </w:rPr>
        <w:t>日  期</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p>
    <w:p w14:paraId="52FCDEEA">
      <w:pPr>
        <w:snapToGrid w:val="0"/>
        <w:spacing w:before="120" w:beforeLines="50"/>
        <w:rPr>
          <w:rFonts w:hint="eastAsia" w:ascii="宋体" w:hAnsi="宋体" w:eastAsia="宋体" w:cs="宋体"/>
          <w:sz w:val="24"/>
          <w:szCs w:val="20"/>
          <w:highlight w:val="none"/>
        </w:rPr>
      </w:pPr>
    </w:p>
    <w:p w14:paraId="39B4E76C">
      <w:pPr>
        <w:snapToGrid w:val="0"/>
        <w:spacing w:before="120" w:beforeLines="50" w:after="50"/>
        <w:jc w:val="left"/>
        <w:rPr>
          <w:rFonts w:hint="eastAsia" w:ascii="宋体" w:hAnsi="宋体" w:eastAsia="宋体" w:cs="宋体"/>
          <w:sz w:val="24"/>
          <w:szCs w:val="20"/>
          <w:highlight w:val="none"/>
        </w:rPr>
      </w:pPr>
    </w:p>
    <w:p w14:paraId="371007FD">
      <w:pPr>
        <w:snapToGrid w:val="0"/>
        <w:spacing w:before="120" w:beforeLines="50" w:after="50"/>
        <w:jc w:val="left"/>
        <w:rPr>
          <w:rFonts w:hint="eastAsia" w:ascii="宋体" w:hAnsi="宋体" w:eastAsia="宋体" w:cs="宋体"/>
          <w:b/>
          <w:sz w:val="24"/>
          <w:highlight w:val="none"/>
        </w:rPr>
      </w:pPr>
      <w:r>
        <w:rPr>
          <w:rFonts w:hint="eastAsia" w:ascii="宋体" w:hAnsi="宋体" w:eastAsia="宋体" w:cs="宋体"/>
          <w:sz w:val="24"/>
          <w:szCs w:val="20"/>
          <w:highlight w:val="none"/>
        </w:rPr>
        <w:br w:type="page"/>
      </w:r>
      <w:r>
        <w:rPr>
          <w:rFonts w:hint="eastAsia" w:ascii="宋体" w:hAnsi="宋体" w:eastAsia="宋体" w:cs="宋体"/>
          <w:b/>
          <w:sz w:val="24"/>
          <w:highlight w:val="none"/>
        </w:rPr>
        <w:t>7.投标人业绩证明材料</w:t>
      </w:r>
    </w:p>
    <w:p w14:paraId="56D3B411">
      <w:pPr>
        <w:pStyle w:val="36"/>
        <w:snapToGrid w:val="0"/>
        <w:ind w:left="480" w:hanging="480"/>
        <w:rPr>
          <w:rFonts w:hint="eastAsia" w:ascii="宋体" w:hAnsi="宋体" w:eastAsia="宋体" w:cs="宋体"/>
          <w:sz w:val="24"/>
          <w:highlight w:val="none"/>
        </w:rPr>
      </w:pPr>
    </w:p>
    <w:p w14:paraId="7C30F6BF">
      <w:pPr>
        <w:pStyle w:val="36"/>
        <w:snapToGrid w:val="0"/>
        <w:ind w:left="480" w:hanging="480"/>
        <w:rPr>
          <w:rFonts w:hint="eastAsia" w:ascii="宋体" w:hAnsi="宋体" w:eastAsia="宋体" w:cs="宋体"/>
          <w:sz w:val="24"/>
          <w:highlight w:val="none"/>
          <w:lang w:eastAsia="zh-CN"/>
        </w:rPr>
      </w:pPr>
      <w:r>
        <w:rPr>
          <w:rFonts w:hint="eastAsia" w:ascii="宋体" w:hAnsi="宋体" w:eastAsia="宋体" w:cs="宋体"/>
          <w:sz w:val="24"/>
          <w:highlight w:val="none"/>
        </w:rPr>
        <w:t>投标人业绩情况一览表格式</w:t>
      </w:r>
      <w:r>
        <w:rPr>
          <w:rFonts w:hint="eastAsia" w:ascii="宋体" w:hAnsi="宋体" w:eastAsia="宋体" w:cs="宋体"/>
          <w:sz w:val="24"/>
          <w:highlight w:val="none"/>
          <w:lang w:eastAsia="zh-CN"/>
        </w:rPr>
        <w:t>：</w:t>
      </w:r>
    </w:p>
    <w:tbl>
      <w:tblPr>
        <w:tblStyle w:val="5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63"/>
        <w:gridCol w:w="2046"/>
        <w:gridCol w:w="2046"/>
        <w:gridCol w:w="3299"/>
      </w:tblGrid>
      <w:tr w14:paraId="00914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471BA75D">
            <w:pPr>
              <w:snapToGrid w:val="0"/>
              <w:spacing w:line="2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3FC10E0F">
            <w:pPr>
              <w:snapToGrid w:val="0"/>
              <w:spacing w:line="240" w:lineRule="exact"/>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0A14C97">
            <w:pPr>
              <w:snapToGrid w:val="0"/>
              <w:spacing w:line="240" w:lineRule="exact"/>
              <w:jc w:val="center"/>
              <w:rPr>
                <w:rFonts w:hint="eastAsia" w:ascii="宋体" w:hAnsi="宋体" w:eastAsia="宋体" w:cs="宋体"/>
                <w:sz w:val="24"/>
                <w:highlight w:val="none"/>
              </w:rPr>
            </w:pPr>
            <w:r>
              <w:rPr>
                <w:rFonts w:hint="eastAsia" w:ascii="宋体" w:hAnsi="宋体" w:eastAsia="宋体" w:cs="宋体"/>
                <w:sz w:val="24"/>
                <w:highlight w:val="none"/>
              </w:rPr>
              <w:t>合同金额</w:t>
            </w:r>
          </w:p>
          <w:p w14:paraId="3E080276">
            <w:pPr>
              <w:snapToGrid w:val="0"/>
              <w:spacing w:line="240" w:lineRule="exact"/>
              <w:jc w:val="center"/>
              <w:rPr>
                <w:rFonts w:hint="eastAsia" w:ascii="宋体" w:hAnsi="宋体" w:eastAsia="宋体" w:cs="宋体"/>
                <w:sz w:val="24"/>
                <w:highlight w:val="none"/>
              </w:rPr>
            </w:pPr>
            <w:r>
              <w:rPr>
                <w:rFonts w:hint="eastAsia" w:ascii="宋体" w:hAnsi="宋体" w:eastAsia="宋体" w:cs="宋体"/>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1DC7D91D">
            <w:pPr>
              <w:snapToGrid w:val="0"/>
              <w:spacing w:line="2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采购人联系人及</w:t>
            </w:r>
          </w:p>
          <w:p w14:paraId="37F81BA2">
            <w:pPr>
              <w:snapToGrid w:val="0"/>
              <w:spacing w:line="240" w:lineRule="exact"/>
              <w:jc w:val="center"/>
              <w:rPr>
                <w:rFonts w:hint="eastAsia" w:ascii="宋体" w:hAnsi="宋体" w:eastAsia="宋体" w:cs="宋体"/>
                <w:sz w:val="24"/>
                <w:highlight w:val="none"/>
              </w:rPr>
            </w:pPr>
            <w:r>
              <w:rPr>
                <w:rFonts w:hint="eastAsia" w:ascii="宋体" w:hAnsi="宋体" w:eastAsia="宋体" w:cs="宋体"/>
                <w:sz w:val="24"/>
                <w:highlight w:val="none"/>
              </w:rPr>
              <w:t>联系电话</w:t>
            </w:r>
          </w:p>
        </w:tc>
      </w:tr>
      <w:tr w14:paraId="7C87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2C30F321">
            <w:pPr>
              <w:jc w:val="left"/>
              <w:rPr>
                <w:rFonts w:hint="eastAsia" w:ascii="宋体" w:hAnsi="宋体" w:eastAsia="宋体" w:cs="宋体"/>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08611EF">
            <w:pPr>
              <w:jc w:val="left"/>
              <w:rPr>
                <w:rFonts w:hint="eastAsia" w:ascii="宋体" w:hAnsi="宋体" w:eastAsia="宋体" w:cs="宋体"/>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5B4D1FDB">
            <w:pPr>
              <w:jc w:val="left"/>
              <w:rPr>
                <w:rFonts w:hint="eastAsia" w:ascii="宋体" w:hAnsi="宋体" w:eastAsia="宋体" w:cs="宋体"/>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4C728D37">
            <w:pPr>
              <w:jc w:val="left"/>
              <w:rPr>
                <w:rFonts w:hint="eastAsia" w:ascii="宋体" w:hAnsi="宋体" w:eastAsia="宋体" w:cs="宋体"/>
                <w:sz w:val="24"/>
                <w:highlight w:val="none"/>
              </w:rPr>
            </w:pPr>
          </w:p>
        </w:tc>
      </w:tr>
      <w:tr w14:paraId="3E9F1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1D3D9A24">
            <w:pPr>
              <w:snapToGrid w:val="0"/>
              <w:spacing w:line="24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B6BE6E1">
            <w:pPr>
              <w:snapToGrid w:val="0"/>
              <w:spacing w:line="24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A50C39">
            <w:pPr>
              <w:snapToGrid w:val="0"/>
              <w:spacing w:line="240" w:lineRule="exact"/>
              <w:jc w:val="left"/>
              <w:rPr>
                <w:rFonts w:hint="eastAsia" w:ascii="宋体" w:hAnsi="宋体" w:eastAsia="宋体" w:cs="宋体"/>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A6619F">
            <w:pPr>
              <w:snapToGrid w:val="0"/>
              <w:spacing w:line="240" w:lineRule="exact"/>
              <w:jc w:val="left"/>
              <w:rPr>
                <w:rFonts w:hint="eastAsia" w:ascii="宋体" w:hAnsi="宋体" w:eastAsia="宋体" w:cs="宋体"/>
                <w:sz w:val="24"/>
                <w:highlight w:val="none"/>
              </w:rPr>
            </w:pPr>
          </w:p>
        </w:tc>
      </w:tr>
      <w:tr w14:paraId="5479F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60381780">
            <w:pPr>
              <w:snapToGrid w:val="0"/>
              <w:spacing w:before="50" w:after="120" w:afterLines="50" w:line="40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BFF4AA3">
            <w:pPr>
              <w:snapToGrid w:val="0"/>
              <w:spacing w:before="50" w:after="120" w:afterLines="50" w:line="40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01BF2CD">
            <w:pPr>
              <w:snapToGrid w:val="0"/>
              <w:spacing w:before="50" w:after="120" w:afterLines="50" w:line="400" w:lineRule="exact"/>
              <w:jc w:val="left"/>
              <w:rPr>
                <w:rFonts w:hint="eastAsia" w:ascii="宋体" w:hAnsi="宋体" w:eastAsia="宋体" w:cs="宋体"/>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E306B83">
            <w:pPr>
              <w:snapToGrid w:val="0"/>
              <w:spacing w:before="50" w:after="120" w:afterLines="50" w:line="400" w:lineRule="exact"/>
              <w:jc w:val="left"/>
              <w:rPr>
                <w:rFonts w:hint="eastAsia" w:ascii="宋体" w:hAnsi="宋体" w:eastAsia="宋体" w:cs="宋体"/>
                <w:sz w:val="24"/>
                <w:highlight w:val="none"/>
              </w:rPr>
            </w:pPr>
          </w:p>
        </w:tc>
      </w:tr>
      <w:tr w14:paraId="20432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1B28CE50">
            <w:pPr>
              <w:snapToGrid w:val="0"/>
              <w:spacing w:before="50" w:after="120" w:afterLines="50" w:line="40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121BB64">
            <w:pPr>
              <w:snapToGrid w:val="0"/>
              <w:spacing w:before="50" w:after="120" w:afterLines="50" w:line="40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7F0E0A8">
            <w:pPr>
              <w:snapToGrid w:val="0"/>
              <w:spacing w:before="50" w:after="120" w:afterLines="50" w:line="400" w:lineRule="exact"/>
              <w:jc w:val="left"/>
              <w:rPr>
                <w:rFonts w:hint="eastAsia" w:ascii="宋体" w:hAnsi="宋体" w:eastAsia="宋体" w:cs="宋体"/>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71F3B8D">
            <w:pPr>
              <w:snapToGrid w:val="0"/>
              <w:spacing w:before="50" w:after="120" w:afterLines="50" w:line="400" w:lineRule="exact"/>
              <w:jc w:val="left"/>
              <w:rPr>
                <w:rFonts w:hint="eastAsia" w:ascii="宋体" w:hAnsi="宋体" w:eastAsia="宋体" w:cs="宋体"/>
                <w:sz w:val="24"/>
                <w:highlight w:val="none"/>
              </w:rPr>
            </w:pPr>
          </w:p>
        </w:tc>
      </w:tr>
      <w:tr w14:paraId="6D467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25CBCA2A">
            <w:pPr>
              <w:snapToGrid w:val="0"/>
              <w:spacing w:before="50" w:after="120" w:afterLines="50" w:line="40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AD9BDE8">
            <w:pPr>
              <w:snapToGrid w:val="0"/>
              <w:spacing w:before="50" w:after="120" w:afterLines="50" w:line="40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A9EAFD">
            <w:pPr>
              <w:snapToGrid w:val="0"/>
              <w:spacing w:before="50" w:after="120" w:afterLines="50" w:line="400" w:lineRule="exact"/>
              <w:jc w:val="left"/>
              <w:rPr>
                <w:rFonts w:hint="eastAsia" w:ascii="宋体" w:hAnsi="宋体" w:eastAsia="宋体" w:cs="宋体"/>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3FC067">
            <w:pPr>
              <w:snapToGrid w:val="0"/>
              <w:spacing w:before="50" w:after="120" w:afterLines="50" w:line="400" w:lineRule="exact"/>
              <w:jc w:val="left"/>
              <w:rPr>
                <w:rFonts w:hint="eastAsia" w:ascii="宋体" w:hAnsi="宋体" w:eastAsia="宋体" w:cs="宋体"/>
                <w:sz w:val="24"/>
                <w:highlight w:val="none"/>
              </w:rPr>
            </w:pPr>
          </w:p>
        </w:tc>
      </w:tr>
      <w:tr w14:paraId="64F10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59670033">
            <w:pPr>
              <w:snapToGrid w:val="0"/>
              <w:spacing w:before="50" w:after="120" w:afterLines="50" w:line="40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EECB241">
            <w:pPr>
              <w:snapToGrid w:val="0"/>
              <w:spacing w:before="50" w:after="120" w:afterLines="50" w:line="400" w:lineRule="exact"/>
              <w:jc w:val="left"/>
              <w:rPr>
                <w:rFonts w:hint="eastAsia" w:ascii="宋体" w:hAnsi="宋体" w:eastAsia="宋体" w:cs="宋体"/>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EB15DB0">
            <w:pPr>
              <w:snapToGrid w:val="0"/>
              <w:spacing w:before="50" w:after="120" w:afterLines="50" w:line="400" w:lineRule="exact"/>
              <w:jc w:val="left"/>
              <w:rPr>
                <w:rFonts w:hint="eastAsia" w:ascii="宋体" w:hAnsi="宋体" w:eastAsia="宋体" w:cs="宋体"/>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E8CED77">
            <w:pPr>
              <w:snapToGrid w:val="0"/>
              <w:spacing w:before="50" w:after="120" w:afterLines="50" w:line="400" w:lineRule="exact"/>
              <w:jc w:val="left"/>
              <w:rPr>
                <w:rFonts w:hint="eastAsia" w:ascii="宋体" w:hAnsi="宋体" w:eastAsia="宋体" w:cs="宋体"/>
                <w:sz w:val="24"/>
                <w:highlight w:val="none"/>
              </w:rPr>
            </w:pPr>
          </w:p>
        </w:tc>
      </w:tr>
    </w:tbl>
    <w:p w14:paraId="7D8CAD80">
      <w:pPr>
        <w:pStyle w:val="15"/>
        <w:spacing w:before="0" w:after="0" w:line="360" w:lineRule="auto"/>
        <w:contextualSpacing/>
        <w:rPr>
          <w:rFonts w:hint="eastAsia" w:ascii="宋体" w:hAnsi="宋体" w:eastAsia="宋体" w:cs="宋体"/>
          <w:sz w:val="24"/>
          <w:szCs w:val="24"/>
          <w:highlight w:val="none"/>
        </w:rPr>
      </w:pPr>
    </w:p>
    <w:p w14:paraId="368F9BB8">
      <w:pPr>
        <w:pStyle w:val="15"/>
        <w:spacing w:before="0" w:after="0" w:line="360" w:lineRule="auto"/>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sz w:val="24"/>
          <w:highlight w:val="none"/>
        </w:rPr>
        <w:t>投标人根据评标标准具体要求附业绩证明材料。</w:t>
      </w:r>
    </w:p>
    <w:p w14:paraId="1C21C433">
      <w:pPr>
        <w:pStyle w:val="15"/>
        <w:spacing w:before="0" w:after="0" w:line="360" w:lineRule="auto"/>
        <w:contextualSpacing/>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法定代表人或者委托代理人（签字/电子签名）：</w:t>
      </w:r>
      <w:r>
        <w:rPr>
          <w:rFonts w:hint="eastAsia" w:ascii="宋体" w:hAnsi="宋体" w:eastAsia="宋体" w:cs="宋体"/>
          <w:sz w:val="24"/>
          <w:szCs w:val="24"/>
          <w:highlight w:val="none"/>
          <w:u w:val="single"/>
        </w:rPr>
        <w:t>　　　　　</w:t>
      </w:r>
    </w:p>
    <w:p w14:paraId="64E262C6">
      <w:pPr>
        <w:spacing w:line="360" w:lineRule="auto"/>
        <w:ind w:right="480"/>
        <w:contextualSpacing/>
        <w:jc w:val="left"/>
        <w:rPr>
          <w:rFonts w:hint="eastAsia" w:ascii="宋体" w:hAnsi="宋体" w:eastAsia="宋体" w:cs="宋体"/>
          <w:sz w:val="24"/>
          <w:szCs w:val="20"/>
          <w:highlight w:val="none"/>
        </w:rPr>
      </w:pPr>
      <w:r>
        <w:rPr>
          <w:rFonts w:hint="eastAsia" w:ascii="宋体" w:hAnsi="宋体" w:eastAsia="宋体" w:cs="宋体"/>
          <w:sz w:val="24"/>
          <w:highlight w:val="none"/>
        </w:rPr>
        <w:t>投标人名称（电子签章）</w:t>
      </w:r>
      <w:r>
        <w:rPr>
          <w:rFonts w:hint="eastAsia" w:ascii="宋体" w:hAnsi="宋体" w:eastAsia="宋体" w:cs="宋体"/>
          <w:sz w:val="24"/>
          <w:highlight w:val="none"/>
          <w:lang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    月    日</w:t>
      </w:r>
    </w:p>
    <w:p w14:paraId="4774FC0A">
      <w:pPr>
        <w:snapToGrid w:val="0"/>
        <w:spacing w:before="50"/>
        <w:ind w:firstLine="480" w:firstLineChars="200"/>
        <w:jc w:val="left"/>
        <w:rPr>
          <w:rFonts w:hint="eastAsia" w:ascii="宋体" w:hAnsi="宋体" w:eastAsia="宋体" w:cs="宋体"/>
          <w:sz w:val="24"/>
          <w:szCs w:val="20"/>
          <w:highlight w:val="none"/>
        </w:rPr>
      </w:pPr>
    </w:p>
    <w:p w14:paraId="2374C567">
      <w:pPr>
        <w:snapToGrid w:val="0"/>
        <w:spacing w:before="50"/>
        <w:jc w:val="left"/>
        <w:rPr>
          <w:rFonts w:hint="eastAsia" w:ascii="宋体" w:hAnsi="宋体" w:eastAsia="宋体" w:cs="宋体"/>
          <w:sz w:val="24"/>
          <w:highlight w:val="none"/>
        </w:rPr>
      </w:pPr>
    </w:p>
    <w:p w14:paraId="78C79CEA">
      <w:pPr>
        <w:snapToGrid w:val="0"/>
        <w:spacing w:before="120" w:beforeLines="50"/>
        <w:rPr>
          <w:rFonts w:hint="eastAsia" w:ascii="宋体" w:hAnsi="宋体" w:eastAsia="宋体" w:cs="宋体"/>
          <w:sz w:val="24"/>
          <w:szCs w:val="20"/>
          <w:highlight w:val="none"/>
        </w:rPr>
        <w:sectPr>
          <w:pgSz w:w="11906" w:h="16838"/>
          <w:pgMar w:top="1134" w:right="1134" w:bottom="1134" w:left="1134" w:header="851" w:footer="992" w:gutter="0"/>
          <w:cols w:space="720" w:num="1"/>
          <w:docGrid w:linePitch="312" w:charSpace="0"/>
        </w:sectPr>
      </w:pPr>
    </w:p>
    <w:p w14:paraId="1D72E17C">
      <w:pPr>
        <w:rPr>
          <w:rFonts w:hint="eastAsia" w:ascii="宋体" w:hAnsi="宋体" w:eastAsia="宋体" w:cs="宋体"/>
          <w:b/>
          <w:sz w:val="28"/>
          <w:szCs w:val="28"/>
          <w:highlight w:val="none"/>
        </w:rPr>
      </w:pPr>
      <w:r>
        <w:rPr>
          <w:rFonts w:hint="eastAsia" w:ascii="宋体" w:hAnsi="宋体" w:eastAsia="宋体" w:cs="宋体"/>
          <w:b/>
          <w:sz w:val="28"/>
          <w:szCs w:val="28"/>
          <w:highlight w:val="none"/>
        </w:rPr>
        <w:t>四、技术文件格式</w:t>
      </w:r>
    </w:p>
    <w:p w14:paraId="4C92B3D4">
      <w:pPr>
        <w:snapToGrid w:val="0"/>
        <w:spacing w:before="120" w:beforeLines="50" w:after="50"/>
        <w:ind w:left="142"/>
        <w:jc w:val="left"/>
        <w:rPr>
          <w:rFonts w:hint="eastAsia" w:ascii="宋体" w:hAnsi="宋体" w:eastAsia="宋体" w:cs="宋体"/>
          <w:b/>
          <w:sz w:val="24"/>
          <w:highlight w:val="none"/>
          <w:lang w:eastAsia="zh-CN"/>
        </w:rPr>
      </w:pPr>
      <w:r>
        <w:rPr>
          <w:rFonts w:hint="eastAsia" w:ascii="宋体" w:hAnsi="宋体" w:eastAsia="宋体" w:cs="宋体"/>
          <w:b/>
          <w:sz w:val="24"/>
          <w:highlight w:val="none"/>
        </w:rPr>
        <w:t>1.技术文件封面格式</w:t>
      </w:r>
      <w:r>
        <w:rPr>
          <w:rFonts w:hint="eastAsia" w:ascii="宋体" w:hAnsi="宋体" w:eastAsia="宋体" w:cs="宋体"/>
          <w:b/>
          <w:sz w:val="24"/>
          <w:highlight w:val="none"/>
          <w:lang w:eastAsia="zh-CN"/>
        </w:rPr>
        <w:t>：</w:t>
      </w:r>
    </w:p>
    <w:p w14:paraId="4606B8E2">
      <w:pPr>
        <w:snapToGrid w:val="0"/>
        <w:spacing w:before="120" w:beforeLines="50" w:after="50" w:line="360" w:lineRule="auto"/>
        <w:ind w:left="142"/>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电子投标文件</w:t>
      </w:r>
    </w:p>
    <w:p w14:paraId="58D22AC4">
      <w:pPr>
        <w:snapToGrid w:val="0"/>
        <w:spacing w:before="120" w:beforeLines="50" w:after="50"/>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技术文件</w:t>
      </w:r>
    </w:p>
    <w:p w14:paraId="339773C1">
      <w:pPr>
        <w:snapToGrid w:val="0"/>
        <w:spacing w:before="120" w:beforeLines="50" w:after="50"/>
        <w:rPr>
          <w:rFonts w:hint="eastAsia" w:ascii="宋体" w:hAnsi="宋体" w:eastAsia="宋体" w:cs="宋体"/>
          <w:bCs/>
          <w:sz w:val="24"/>
          <w:szCs w:val="20"/>
          <w:highlight w:val="none"/>
        </w:rPr>
      </w:pPr>
    </w:p>
    <w:p w14:paraId="4AFA6617">
      <w:pPr>
        <w:snapToGrid w:val="0"/>
        <w:spacing w:before="120" w:beforeLines="50" w:after="50" w:line="400" w:lineRule="exact"/>
        <w:ind w:firstLine="360" w:firstLineChars="150"/>
        <w:rPr>
          <w:rFonts w:hint="eastAsia" w:ascii="宋体" w:hAnsi="宋体" w:eastAsia="宋体" w:cs="宋体"/>
          <w:bCs/>
          <w:sz w:val="24"/>
          <w:szCs w:val="20"/>
          <w:highlight w:val="none"/>
          <w:lang w:eastAsia="zh-CN"/>
        </w:rPr>
      </w:pPr>
      <w:r>
        <w:rPr>
          <w:rFonts w:hint="eastAsia" w:ascii="宋体" w:hAnsi="宋体" w:eastAsia="宋体" w:cs="宋体"/>
          <w:bCs/>
          <w:sz w:val="24"/>
          <w:highlight w:val="none"/>
        </w:rPr>
        <w:t>项目名称</w:t>
      </w:r>
      <w:r>
        <w:rPr>
          <w:rFonts w:hint="eastAsia" w:ascii="宋体" w:hAnsi="宋体" w:eastAsia="宋体" w:cs="宋体"/>
          <w:bCs/>
          <w:sz w:val="24"/>
          <w:highlight w:val="none"/>
          <w:lang w:eastAsia="zh-CN"/>
        </w:rPr>
        <w:t>：</w:t>
      </w:r>
    </w:p>
    <w:p w14:paraId="6961A59C">
      <w:pPr>
        <w:snapToGrid w:val="0"/>
        <w:spacing w:before="120" w:beforeLines="50" w:after="50" w:line="400" w:lineRule="exact"/>
        <w:ind w:firstLine="360" w:firstLineChars="150"/>
        <w:rPr>
          <w:rFonts w:hint="eastAsia" w:ascii="宋体" w:hAnsi="宋体" w:eastAsia="宋体" w:cs="宋体"/>
          <w:bCs/>
          <w:sz w:val="24"/>
          <w:highlight w:val="none"/>
          <w:lang w:eastAsia="zh-CN"/>
        </w:rPr>
      </w:pPr>
      <w:r>
        <w:rPr>
          <w:rFonts w:hint="eastAsia" w:ascii="宋体" w:hAnsi="宋体" w:eastAsia="宋体" w:cs="宋体"/>
          <w:bCs/>
          <w:sz w:val="24"/>
          <w:highlight w:val="none"/>
        </w:rPr>
        <w:t>项目编号</w:t>
      </w:r>
      <w:r>
        <w:rPr>
          <w:rFonts w:hint="eastAsia" w:ascii="宋体" w:hAnsi="宋体" w:eastAsia="宋体" w:cs="宋体"/>
          <w:bCs/>
          <w:sz w:val="24"/>
          <w:highlight w:val="none"/>
          <w:lang w:eastAsia="zh-CN"/>
        </w:rPr>
        <w:t>：</w:t>
      </w:r>
    </w:p>
    <w:p w14:paraId="1EB14E04">
      <w:pPr>
        <w:snapToGrid w:val="0"/>
        <w:spacing w:before="120" w:beforeLines="50" w:after="50" w:line="400" w:lineRule="exact"/>
        <w:ind w:firstLine="360" w:firstLineChars="150"/>
        <w:rPr>
          <w:rFonts w:hint="eastAsia" w:ascii="宋体" w:hAnsi="宋体" w:eastAsia="宋体" w:cs="宋体"/>
          <w:bCs/>
          <w:sz w:val="24"/>
          <w:highlight w:val="none"/>
        </w:rPr>
      </w:pPr>
      <w:r>
        <w:rPr>
          <w:rFonts w:hint="eastAsia" w:ascii="宋体" w:hAnsi="宋体" w:eastAsia="宋体" w:cs="宋体"/>
          <w:bCs/>
          <w:sz w:val="24"/>
          <w:highlight w:val="none"/>
        </w:rPr>
        <w:t>所投分标：</w:t>
      </w:r>
    </w:p>
    <w:p w14:paraId="726BC8EB">
      <w:pPr>
        <w:snapToGrid w:val="0"/>
        <w:spacing w:before="120" w:beforeLines="50" w:after="50" w:line="400" w:lineRule="exact"/>
        <w:ind w:firstLine="360" w:firstLineChars="150"/>
        <w:rPr>
          <w:rFonts w:hint="eastAsia" w:ascii="宋体" w:hAnsi="宋体" w:eastAsia="宋体" w:cs="宋体"/>
          <w:bCs/>
          <w:sz w:val="24"/>
          <w:highlight w:val="none"/>
        </w:rPr>
      </w:pPr>
      <w:r>
        <w:rPr>
          <w:rFonts w:hint="eastAsia" w:ascii="宋体" w:hAnsi="宋体" w:eastAsia="宋体" w:cs="宋体"/>
          <w:bCs/>
          <w:sz w:val="24"/>
          <w:highlight w:val="none"/>
        </w:rPr>
        <w:t>投标人名称：</w:t>
      </w:r>
    </w:p>
    <w:p w14:paraId="402FA174">
      <w:pPr>
        <w:snapToGrid w:val="0"/>
        <w:spacing w:before="120" w:beforeLines="50" w:after="50" w:line="400" w:lineRule="exact"/>
        <w:ind w:firstLine="360" w:firstLineChars="150"/>
        <w:rPr>
          <w:rFonts w:hint="eastAsia" w:ascii="宋体" w:hAnsi="宋体" w:eastAsia="宋体" w:cs="宋体"/>
          <w:bCs/>
          <w:sz w:val="24"/>
          <w:highlight w:val="none"/>
        </w:rPr>
      </w:pPr>
      <w:r>
        <w:rPr>
          <w:rFonts w:hint="eastAsia" w:ascii="宋体" w:hAnsi="宋体" w:eastAsia="宋体" w:cs="宋体"/>
          <w:bCs/>
          <w:sz w:val="24"/>
          <w:highlight w:val="none"/>
        </w:rPr>
        <w:t>投标人地址：</w:t>
      </w:r>
    </w:p>
    <w:p w14:paraId="1BEF2009">
      <w:pPr>
        <w:snapToGrid w:val="0"/>
        <w:spacing w:before="120" w:beforeLines="50" w:after="50"/>
        <w:ind w:firstLine="645"/>
        <w:jc w:val="center"/>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4D56E074">
      <w:pPr>
        <w:snapToGrid w:val="0"/>
        <w:spacing w:before="120" w:beforeLines="50" w:after="50"/>
        <w:ind w:firstLine="645"/>
        <w:jc w:val="center"/>
        <w:rPr>
          <w:rFonts w:hint="eastAsia" w:ascii="宋体" w:hAnsi="宋体" w:eastAsia="宋体" w:cs="宋体"/>
          <w:sz w:val="24"/>
          <w:szCs w:val="20"/>
          <w:highlight w:val="none"/>
        </w:rPr>
      </w:pPr>
    </w:p>
    <w:p w14:paraId="1AB55C7A">
      <w:pPr>
        <w:snapToGrid w:val="0"/>
        <w:spacing w:before="120" w:beforeLines="50" w:after="50"/>
        <w:ind w:left="142"/>
        <w:jc w:val="left"/>
        <w:rPr>
          <w:rFonts w:hint="eastAsia" w:ascii="宋体" w:hAnsi="宋体" w:eastAsia="宋体" w:cs="宋体"/>
          <w:b/>
          <w:sz w:val="24"/>
          <w:highlight w:val="none"/>
        </w:rPr>
      </w:pPr>
      <w:r>
        <w:rPr>
          <w:rFonts w:hint="eastAsia" w:ascii="宋体" w:hAnsi="宋体" w:eastAsia="宋体" w:cs="宋体"/>
          <w:b/>
          <w:bCs/>
          <w:sz w:val="24"/>
          <w:highlight w:val="none"/>
        </w:rPr>
        <w:br w:type="page"/>
      </w:r>
      <w:r>
        <w:rPr>
          <w:rFonts w:hint="eastAsia" w:ascii="宋体" w:hAnsi="宋体" w:eastAsia="宋体" w:cs="宋体"/>
          <w:b/>
          <w:sz w:val="24"/>
          <w:highlight w:val="none"/>
        </w:rPr>
        <w:t>2.技术文件目录</w:t>
      </w:r>
    </w:p>
    <w:p w14:paraId="45ED3FAC">
      <w:pPr>
        <w:snapToGrid w:val="0"/>
        <w:spacing w:before="50" w:after="120" w:afterLines="50" w:line="360" w:lineRule="auto"/>
        <w:ind w:firstLine="560" w:firstLineChars="200"/>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根据招标文件规定及投标人提供的材料自行编写目录。</w:t>
      </w:r>
    </w:p>
    <w:p w14:paraId="6299761A">
      <w:pPr>
        <w:snapToGrid w:val="0"/>
        <w:spacing w:before="120" w:beforeLines="50" w:after="50"/>
        <w:ind w:left="142"/>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3.技术要求偏离表格式</w:t>
      </w:r>
    </w:p>
    <w:p w14:paraId="24CAEB08">
      <w:pPr>
        <w:snapToGrid w:val="0"/>
        <w:spacing w:before="120" w:beforeLines="50" w:after="50"/>
        <w:ind w:left="142"/>
        <w:jc w:val="left"/>
        <w:rPr>
          <w:rFonts w:hint="eastAsia" w:ascii="宋体" w:hAnsi="宋体" w:eastAsia="宋体" w:cs="宋体"/>
          <w:b/>
          <w:sz w:val="24"/>
          <w:highlight w:val="none"/>
        </w:rPr>
      </w:pPr>
    </w:p>
    <w:p w14:paraId="75F4AE64">
      <w:pPr>
        <w:snapToGrid w:val="0"/>
        <w:spacing w:before="120" w:beforeLines="50" w:after="50"/>
        <w:ind w:left="0" w:leftChars="0" w:right="0" w:rightChars="0" w:firstLine="0" w:firstLineChars="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技术要求偏离表</w:t>
      </w:r>
    </w:p>
    <w:p w14:paraId="2381D221">
      <w:pPr>
        <w:pStyle w:val="27"/>
        <w:rPr>
          <w:rFonts w:hint="eastAsia" w:ascii="宋体" w:hAnsi="宋体" w:eastAsia="宋体" w:cs="宋体"/>
          <w:sz w:val="24"/>
          <w:szCs w:val="24"/>
          <w:highlight w:val="none"/>
        </w:rPr>
      </w:pPr>
      <w:r>
        <w:rPr>
          <w:rFonts w:hint="eastAsia" w:ascii="宋体" w:hAnsi="宋体" w:eastAsia="宋体" w:cs="宋体"/>
          <w:sz w:val="24"/>
          <w:szCs w:val="24"/>
          <w:highlight w:val="none"/>
        </w:rPr>
        <w:t>所投分标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分标</w:t>
      </w:r>
    </w:p>
    <w:tbl>
      <w:tblPr>
        <w:tblStyle w:val="5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7F2E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200DDA7F">
            <w:pPr>
              <w:pStyle w:val="27"/>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项号</w:t>
            </w:r>
          </w:p>
        </w:tc>
        <w:tc>
          <w:tcPr>
            <w:tcW w:w="2143" w:type="dxa"/>
            <w:noWrap w:val="0"/>
            <w:vAlign w:val="center"/>
          </w:tcPr>
          <w:p w14:paraId="3057A0A6">
            <w:pPr>
              <w:pStyle w:val="27"/>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标的的名称</w:t>
            </w:r>
          </w:p>
        </w:tc>
        <w:tc>
          <w:tcPr>
            <w:tcW w:w="1834" w:type="dxa"/>
            <w:noWrap w:val="0"/>
            <w:vAlign w:val="center"/>
          </w:tcPr>
          <w:p w14:paraId="0F82227F">
            <w:pPr>
              <w:pStyle w:val="27"/>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技术要求</w:t>
            </w:r>
          </w:p>
        </w:tc>
        <w:tc>
          <w:tcPr>
            <w:tcW w:w="2181" w:type="dxa"/>
            <w:noWrap w:val="0"/>
            <w:vAlign w:val="center"/>
          </w:tcPr>
          <w:p w14:paraId="5EAECD47">
            <w:pPr>
              <w:pStyle w:val="27"/>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投标响应</w:t>
            </w:r>
          </w:p>
        </w:tc>
        <w:tc>
          <w:tcPr>
            <w:tcW w:w="1934" w:type="dxa"/>
            <w:noWrap w:val="0"/>
            <w:vAlign w:val="center"/>
          </w:tcPr>
          <w:p w14:paraId="172B9174">
            <w:pPr>
              <w:pStyle w:val="27"/>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58FF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5D26661">
            <w:pPr>
              <w:pStyle w:val="27"/>
              <w:spacing w:line="600" w:lineRule="exact"/>
              <w:jc w:val="center"/>
              <w:rPr>
                <w:rFonts w:hint="eastAsia" w:ascii="宋体" w:hAnsi="宋体" w:eastAsia="宋体" w:cs="宋体"/>
                <w:sz w:val="24"/>
                <w:szCs w:val="24"/>
                <w:highlight w:val="none"/>
              </w:rPr>
            </w:pPr>
          </w:p>
        </w:tc>
        <w:tc>
          <w:tcPr>
            <w:tcW w:w="2143" w:type="dxa"/>
            <w:noWrap w:val="0"/>
            <w:vAlign w:val="center"/>
          </w:tcPr>
          <w:p w14:paraId="1F19125F">
            <w:pPr>
              <w:pStyle w:val="27"/>
              <w:spacing w:line="600" w:lineRule="exact"/>
              <w:jc w:val="center"/>
              <w:rPr>
                <w:rFonts w:hint="eastAsia" w:ascii="宋体" w:hAnsi="宋体" w:eastAsia="宋体" w:cs="宋体"/>
                <w:sz w:val="24"/>
                <w:szCs w:val="24"/>
                <w:highlight w:val="none"/>
              </w:rPr>
            </w:pPr>
          </w:p>
        </w:tc>
        <w:tc>
          <w:tcPr>
            <w:tcW w:w="1834" w:type="dxa"/>
            <w:noWrap w:val="0"/>
            <w:vAlign w:val="center"/>
          </w:tcPr>
          <w:p w14:paraId="36C005CD">
            <w:pPr>
              <w:pStyle w:val="27"/>
              <w:spacing w:line="600" w:lineRule="exact"/>
              <w:jc w:val="center"/>
              <w:rPr>
                <w:rFonts w:hint="eastAsia" w:ascii="宋体" w:hAnsi="宋体" w:eastAsia="宋体" w:cs="宋体"/>
                <w:sz w:val="24"/>
                <w:szCs w:val="24"/>
                <w:highlight w:val="none"/>
              </w:rPr>
            </w:pPr>
          </w:p>
        </w:tc>
        <w:tc>
          <w:tcPr>
            <w:tcW w:w="2181" w:type="dxa"/>
            <w:noWrap w:val="0"/>
            <w:vAlign w:val="center"/>
          </w:tcPr>
          <w:p w14:paraId="5EDE0A3E">
            <w:pPr>
              <w:pStyle w:val="27"/>
              <w:spacing w:line="600" w:lineRule="exact"/>
              <w:jc w:val="center"/>
              <w:rPr>
                <w:rFonts w:hint="eastAsia" w:ascii="宋体" w:hAnsi="宋体" w:eastAsia="宋体" w:cs="宋体"/>
                <w:sz w:val="24"/>
                <w:szCs w:val="24"/>
                <w:highlight w:val="none"/>
              </w:rPr>
            </w:pPr>
          </w:p>
        </w:tc>
        <w:tc>
          <w:tcPr>
            <w:tcW w:w="1934" w:type="dxa"/>
            <w:noWrap w:val="0"/>
            <w:vAlign w:val="center"/>
          </w:tcPr>
          <w:p w14:paraId="0058EB5A">
            <w:pPr>
              <w:pStyle w:val="27"/>
              <w:spacing w:line="600" w:lineRule="exact"/>
              <w:jc w:val="center"/>
              <w:rPr>
                <w:rFonts w:hint="eastAsia" w:ascii="宋体" w:hAnsi="宋体" w:eastAsia="宋体" w:cs="宋体"/>
                <w:sz w:val="24"/>
                <w:szCs w:val="24"/>
                <w:highlight w:val="none"/>
              </w:rPr>
            </w:pPr>
          </w:p>
        </w:tc>
      </w:tr>
      <w:tr w14:paraId="217F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26D69E60">
            <w:pPr>
              <w:pStyle w:val="27"/>
              <w:spacing w:line="600" w:lineRule="exact"/>
              <w:rPr>
                <w:rFonts w:hint="eastAsia" w:ascii="宋体" w:hAnsi="宋体" w:eastAsia="宋体" w:cs="宋体"/>
                <w:sz w:val="24"/>
                <w:szCs w:val="24"/>
                <w:highlight w:val="none"/>
              </w:rPr>
            </w:pPr>
          </w:p>
        </w:tc>
        <w:tc>
          <w:tcPr>
            <w:tcW w:w="2143" w:type="dxa"/>
            <w:noWrap w:val="0"/>
            <w:vAlign w:val="top"/>
          </w:tcPr>
          <w:p w14:paraId="5CEC4E42">
            <w:pPr>
              <w:pStyle w:val="27"/>
              <w:spacing w:line="600" w:lineRule="exact"/>
              <w:rPr>
                <w:rFonts w:hint="eastAsia" w:ascii="宋体" w:hAnsi="宋体" w:eastAsia="宋体" w:cs="宋体"/>
                <w:sz w:val="24"/>
                <w:szCs w:val="24"/>
                <w:highlight w:val="none"/>
              </w:rPr>
            </w:pPr>
          </w:p>
        </w:tc>
        <w:tc>
          <w:tcPr>
            <w:tcW w:w="1834" w:type="dxa"/>
            <w:noWrap w:val="0"/>
            <w:vAlign w:val="top"/>
          </w:tcPr>
          <w:p w14:paraId="40381E66">
            <w:pPr>
              <w:pStyle w:val="27"/>
              <w:spacing w:line="600" w:lineRule="exact"/>
              <w:rPr>
                <w:rFonts w:hint="eastAsia" w:ascii="宋体" w:hAnsi="宋体" w:eastAsia="宋体" w:cs="宋体"/>
                <w:sz w:val="24"/>
                <w:szCs w:val="24"/>
                <w:highlight w:val="none"/>
              </w:rPr>
            </w:pPr>
          </w:p>
        </w:tc>
        <w:tc>
          <w:tcPr>
            <w:tcW w:w="2181" w:type="dxa"/>
            <w:noWrap w:val="0"/>
            <w:vAlign w:val="top"/>
          </w:tcPr>
          <w:p w14:paraId="072C9710">
            <w:pPr>
              <w:pStyle w:val="27"/>
              <w:spacing w:line="600" w:lineRule="exact"/>
              <w:rPr>
                <w:rFonts w:hint="eastAsia" w:ascii="宋体" w:hAnsi="宋体" w:eastAsia="宋体" w:cs="宋体"/>
                <w:sz w:val="24"/>
                <w:szCs w:val="24"/>
                <w:highlight w:val="none"/>
              </w:rPr>
            </w:pPr>
          </w:p>
        </w:tc>
        <w:tc>
          <w:tcPr>
            <w:tcW w:w="1934" w:type="dxa"/>
            <w:noWrap w:val="0"/>
            <w:vAlign w:val="top"/>
          </w:tcPr>
          <w:p w14:paraId="6F7A8963">
            <w:pPr>
              <w:pStyle w:val="27"/>
              <w:spacing w:line="600" w:lineRule="exact"/>
              <w:rPr>
                <w:rFonts w:hint="eastAsia" w:ascii="宋体" w:hAnsi="宋体" w:eastAsia="宋体" w:cs="宋体"/>
                <w:sz w:val="24"/>
                <w:szCs w:val="24"/>
                <w:highlight w:val="none"/>
              </w:rPr>
            </w:pPr>
          </w:p>
        </w:tc>
      </w:tr>
      <w:tr w14:paraId="2908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FB86BFF">
            <w:pPr>
              <w:pStyle w:val="27"/>
              <w:spacing w:line="600" w:lineRule="exact"/>
              <w:rPr>
                <w:rFonts w:hint="eastAsia" w:ascii="宋体" w:hAnsi="宋体" w:eastAsia="宋体" w:cs="宋体"/>
                <w:sz w:val="24"/>
                <w:szCs w:val="24"/>
                <w:highlight w:val="none"/>
              </w:rPr>
            </w:pPr>
          </w:p>
        </w:tc>
        <w:tc>
          <w:tcPr>
            <w:tcW w:w="2143" w:type="dxa"/>
            <w:noWrap w:val="0"/>
            <w:vAlign w:val="top"/>
          </w:tcPr>
          <w:p w14:paraId="340C1DC7">
            <w:pPr>
              <w:pStyle w:val="27"/>
              <w:spacing w:line="600" w:lineRule="exact"/>
              <w:rPr>
                <w:rFonts w:hint="eastAsia" w:ascii="宋体" w:hAnsi="宋体" w:eastAsia="宋体" w:cs="宋体"/>
                <w:sz w:val="24"/>
                <w:szCs w:val="24"/>
                <w:highlight w:val="none"/>
              </w:rPr>
            </w:pPr>
          </w:p>
        </w:tc>
        <w:tc>
          <w:tcPr>
            <w:tcW w:w="1834" w:type="dxa"/>
            <w:noWrap w:val="0"/>
            <w:vAlign w:val="top"/>
          </w:tcPr>
          <w:p w14:paraId="1F2B9B00">
            <w:pPr>
              <w:pStyle w:val="27"/>
              <w:spacing w:line="600" w:lineRule="exact"/>
              <w:rPr>
                <w:rFonts w:hint="eastAsia" w:ascii="宋体" w:hAnsi="宋体" w:eastAsia="宋体" w:cs="宋体"/>
                <w:sz w:val="24"/>
                <w:szCs w:val="24"/>
                <w:highlight w:val="none"/>
              </w:rPr>
            </w:pPr>
          </w:p>
        </w:tc>
        <w:tc>
          <w:tcPr>
            <w:tcW w:w="2181" w:type="dxa"/>
            <w:noWrap w:val="0"/>
            <w:vAlign w:val="top"/>
          </w:tcPr>
          <w:p w14:paraId="078C9E7B">
            <w:pPr>
              <w:pStyle w:val="27"/>
              <w:spacing w:line="600" w:lineRule="exact"/>
              <w:rPr>
                <w:rFonts w:hint="eastAsia" w:ascii="宋体" w:hAnsi="宋体" w:eastAsia="宋体" w:cs="宋体"/>
                <w:sz w:val="24"/>
                <w:szCs w:val="24"/>
                <w:highlight w:val="none"/>
              </w:rPr>
            </w:pPr>
          </w:p>
        </w:tc>
        <w:tc>
          <w:tcPr>
            <w:tcW w:w="1934" w:type="dxa"/>
            <w:noWrap w:val="0"/>
            <w:vAlign w:val="top"/>
          </w:tcPr>
          <w:p w14:paraId="69F4C375">
            <w:pPr>
              <w:pStyle w:val="27"/>
              <w:spacing w:line="600" w:lineRule="exact"/>
              <w:rPr>
                <w:rFonts w:hint="eastAsia" w:ascii="宋体" w:hAnsi="宋体" w:eastAsia="宋体" w:cs="宋体"/>
                <w:sz w:val="24"/>
                <w:szCs w:val="24"/>
                <w:highlight w:val="none"/>
              </w:rPr>
            </w:pPr>
          </w:p>
        </w:tc>
      </w:tr>
      <w:tr w14:paraId="181F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9DBFC69">
            <w:pPr>
              <w:pStyle w:val="27"/>
              <w:spacing w:line="600" w:lineRule="exact"/>
              <w:rPr>
                <w:rFonts w:hint="eastAsia" w:ascii="宋体" w:hAnsi="宋体" w:eastAsia="宋体" w:cs="宋体"/>
                <w:sz w:val="24"/>
                <w:szCs w:val="24"/>
                <w:highlight w:val="none"/>
              </w:rPr>
            </w:pPr>
          </w:p>
        </w:tc>
        <w:tc>
          <w:tcPr>
            <w:tcW w:w="2143" w:type="dxa"/>
            <w:noWrap w:val="0"/>
            <w:vAlign w:val="top"/>
          </w:tcPr>
          <w:p w14:paraId="11F5ACCE">
            <w:pPr>
              <w:pStyle w:val="27"/>
              <w:spacing w:line="600" w:lineRule="exact"/>
              <w:rPr>
                <w:rFonts w:hint="eastAsia" w:ascii="宋体" w:hAnsi="宋体" w:eastAsia="宋体" w:cs="宋体"/>
                <w:sz w:val="24"/>
                <w:szCs w:val="24"/>
                <w:highlight w:val="none"/>
              </w:rPr>
            </w:pPr>
          </w:p>
        </w:tc>
        <w:tc>
          <w:tcPr>
            <w:tcW w:w="1834" w:type="dxa"/>
            <w:noWrap w:val="0"/>
            <w:vAlign w:val="top"/>
          </w:tcPr>
          <w:p w14:paraId="1543D414">
            <w:pPr>
              <w:pStyle w:val="27"/>
              <w:spacing w:line="600" w:lineRule="exact"/>
              <w:rPr>
                <w:rFonts w:hint="eastAsia" w:ascii="宋体" w:hAnsi="宋体" w:eastAsia="宋体" w:cs="宋体"/>
                <w:sz w:val="24"/>
                <w:szCs w:val="24"/>
                <w:highlight w:val="none"/>
              </w:rPr>
            </w:pPr>
          </w:p>
        </w:tc>
        <w:tc>
          <w:tcPr>
            <w:tcW w:w="2181" w:type="dxa"/>
            <w:noWrap w:val="0"/>
            <w:vAlign w:val="top"/>
          </w:tcPr>
          <w:p w14:paraId="3DA20BCE">
            <w:pPr>
              <w:pStyle w:val="27"/>
              <w:spacing w:line="600" w:lineRule="exact"/>
              <w:rPr>
                <w:rFonts w:hint="eastAsia" w:ascii="宋体" w:hAnsi="宋体" w:eastAsia="宋体" w:cs="宋体"/>
                <w:sz w:val="24"/>
                <w:szCs w:val="24"/>
                <w:highlight w:val="none"/>
              </w:rPr>
            </w:pPr>
          </w:p>
        </w:tc>
        <w:tc>
          <w:tcPr>
            <w:tcW w:w="1934" w:type="dxa"/>
            <w:noWrap w:val="0"/>
            <w:vAlign w:val="top"/>
          </w:tcPr>
          <w:p w14:paraId="685182BC">
            <w:pPr>
              <w:pStyle w:val="27"/>
              <w:spacing w:line="600" w:lineRule="exact"/>
              <w:rPr>
                <w:rFonts w:hint="eastAsia" w:ascii="宋体" w:hAnsi="宋体" w:eastAsia="宋体" w:cs="宋体"/>
                <w:sz w:val="24"/>
                <w:szCs w:val="24"/>
                <w:highlight w:val="none"/>
              </w:rPr>
            </w:pPr>
          </w:p>
        </w:tc>
      </w:tr>
      <w:tr w14:paraId="4807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5907FDBA">
            <w:pPr>
              <w:pStyle w:val="27"/>
              <w:spacing w:line="600" w:lineRule="exact"/>
              <w:rPr>
                <w:rFonts w:hint="eastAsia" w:ascii="宋体" w:hAnsi="宋体" w:eastAsia="宋体" w:cs="宋体"/>
                <w:sz w:val="24"/>
                <w:szCs w:val="24"/>
                <w:highlight w:val="none"/>
              </w:rPr>
            </w:pPr>
          </w:p>
        </w:tc>
        <w:tc>
          <w:tcPr>
            <w:tcW w:w="2143" w:type="dxa"/>
            <w:noWrap w:val="0"/>
            <w:vAlign w:val="top"/>
          </w:tcPr>
          <w:p w14:paraId="0E317D1A">
            <w:pPr>
              <w:pStyle w:val="27"/>
              <w:spacing w:line="600" w:lineRule="exact"/>
              <w:rPr>
                <w:rFonts w:hint="eastAsia" w:ascii="宋体" w:hAnsi="宋体" w:eastAsia="宋体" w:cs="宋体"/>
                <w:sz w:val="24"/>
                <w:szCs w:val="24"/>
                <w:highlight w:val="none"/>
              </w:rPr>
            </w:pPr>
          </w:p>
        </w:tc>
        <w:tc>
          <w:tcPr>
            <w:tcW w:w="1834" w:type="dxa"/>
            <w:noWrap w:val="0"/>
            <w:vAlign w:val="top"/>
          </w:tcPr>
          <w:p w14:paraId="5CA64B7B">
            <w:pPr>
              <w:pStyle w:val="27"/>
              <w:spacing w:line="600" w:lineRule="exact"/>
              <w:rPr>
                <w:rFonts w:hint="eastAsia" w:ascii="宋体" w:hAnsi="宋体" w:eastAsia="宋体" w:cs="宋体"/>
                <w:sz w:val="24"/>
                <w:szCs w:val="24"/>
                <w:highlight w:val="none"/>
              </w:rPr>
            </w:pPr>
          </w:p>
        </w:tc>
        <w:tc>
          <w:tcPr>
            <w:tcW w:w="2181" w:type="dxa"/>
            <w:noWrap w:val="0"/>
            <w:vAlign w:val="top"/>
          </w:tcPr>
          <w:p w14:paraId="331903F7">
            <w:pPr>
              <w:pStyle w:val="27"/>
              <w:spacing w:line="600" w:lineRule="exact"/>
              <w:rPr>
                <w:rFonts w:hint="eastAsia" w:ascii="宋体" w:hAnsi="宋体" w:eastAsia="宋体" w:cs="宋体"/>
                <w:sz w:val="24"/>
                <w:szCs w:val="24"/>
                <w:highlight w:val="none"/>
              </w:rPr>
            </w:pPr>
          </w:p>
        </w:tc>
        <w:tc>
          <w:tcPr>
            <w:tcW w:w="1934" w:type="dxa"/>
            <w:noWrap w:val="0"/>
            <w:vAlign w:val="top"/>
          </w:tcPr>
          <w:p w14:paraId="4B53565A">
            <w:pPr>
              <w:pStyle w:val="27"/>
              <w:spacing w:line="600" w:lineRule="exact"/>
              <w:rPr>
                <w:rFonts w:hint="eastAsia" w:ascii="宋体" w:hAnsi="宋体" w:eastAsia="宋体" w:cs="宋体"/>
                <w:sz w:val="24"/>
                <w:szCs w:val="24"/>
                <w:highlight w:val="none"/>
              </w:rPr>
            </w:pPr>
          </w:p>
        </w:tc>
      </w:tr>
      <w:tr w14:paraId="5004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20FDDF5">
            <w:pPr>
              <w:pStyle w:val="27"/>
              <w:spacing w:line="600" w:lineRule="exact"/>
              <w:rPr>
                <w:rFonts w:hint="eastAsia" w:ascii="宋体" w:hAnsi="宋体" w:eastAsia="宋体" w:cs="宋体"/>
                <w:sz w:val="24"/>
                <w:szCs w:val="24"/>
                <w:highlight w:val="none"/>
              </w:rPr>
            </w:pPr>
          </w:p>
        </w:tc>
        <w:tc>
          <w:tcPr>
            <w:tcW w:w="2143" w:type="dxa"/>
            <w:noWrap w:val="0"/>
            <w:vAlign w:val="top"/>
          </w:tcPr>
          <w:p w14:paraId="6FEBA3F1">
            <w:pPr>
              <w:pStyle w:val="27"/>
              <w:spacing w:line="600" w:lineRule="exact"/>
              <w:rPr>
                <w:rFonts w:hint="eastAsia" w:ascii="宋体" w:hAnsi="宋体" w:eastAsia="宋体" w:cs="宋体"/>
                <w:sz w:val="24"/>
                <w:szCs w:val="24"/>
                <w:highlight w:val="none"/>
              </w:rPr>
            </w:pPr>
          </w:p>
        </w:tc>
        <w:tc>
          <w:tcPr>
            <w:tcW w:w="1834" w:type="dxa"/>
            <w:noWrap w:val="0"/>
            <w:vAlign w:val="top"/>
          </w:tcPr>
          <w:p w14:paraId="54B8D8C5">
            <w:pPr>
              <w:pStyle w:val="27"/>
              <w:spacing w:line="600" w:lineRule="exact"/>
              <w:rPr>
                <w:rFonts w:hint="eastAsia" w:ascii="宋体" w:hAnsi="宋体" w:eastAsia="宋体" w:cs="宋体"/>
                <w:sz w:val="24"/>
                <w:szCs w:val="24"/>
                <w:highlight w:val="none"/>
              </w:rPr>
            </w:pPr>
          </w:p>
        </w:tc>
        <w:tc>
          <w:tcPr>
            <w:tcW w:w="2181" w:type="dxa"/>
            <w:noWrap w:val="0"/>
            <w:vAlign w:val="top"/>
          </w:tcPr>
          <w:p w14:paraId="7B64CBD1">
            <w:pPr>
              <w:pStyle w:val="27"/>
              <w:spacing w:line="600" w:lineRule="exact"/>
              <w:rPr>
                <w:rFonts w:hint="eastAsia" w:ascii="宋体" w:hAnsi="宋体" w:eastAsia="宋体" w:cs="宋体"/>
                <w:sz w:val="24"/>
                <w:szCs w:val="24"/>
                <w:highlight w:val="none"/>
              </w:rPr>
            </w:pPr>
          </w:p>
        </w:tc>
        <w:tc>
          <w:tcPr>
            <w:tcW w:w="1934" w:type="dxa"/>
            <w:noWrap w:val="0"/>
            <w:vAlign w:val="top"/>
          </w:tcPr>
          <w:p w14:paraId="439A715B">
            <w:pPr>
              <w:pStyle w:val="27"/>
              <w:spacing w:line="600" w:lineRule="exact"/>
              <w:rPr>
                <w:rFonts w:hint="eastAsia" w:ascii="宋体" w:hAnsi="宋体" w:eastAsia="宋体" w:cs="宋体"/>
                <w:sz w:val="24"/>
                <w:szCs w:val="24"/>
                <w:highlight w:val="none"/>
              </w:rPr>
            </w:pPr>
          </w:p>
        </w:tc>
      </w:tr>
    </w:tbl>
    <w:p w14:paraId="122DB82C">
      <w:pPr>
        <w:pStyle w:val="18"/>
        <w:rPr>
          <w:rFonts w:hint="eastAsia" w:ascii="宋体" w:hAnsi="宋体" w:eastAsia="宋体" w:cs="宋体"/>
          <w:highlight w:val="none"/>
        </w:rPr>
      </w:pPr>
      <w:r>
        <w:rPr>
          <w:rFonts w:hint="eastAsia" w:ascii="宋体" w:hAnsi="宋体" w:eastAsia="宋体" w:cs="宋体"/>
          <w:highlight w:val="none"/>
        </w:rPr>
        <w:t>注：</w:t>
      </w:r>
    </w:p>
    <w:p w14:paraId="0F704897">
      <w:pPr>
        <w:pStyle w:val="21"/>
        <w:spacing w:line="360" w:lineRule="auto"/>
        <w:ind w:firstLine="0"/>
        <w:rPr>
          <w:rFonts w:hint="eastAsia" w:ascii="宋体" w:hAnsi="宋体" w:eastAsia="宋体" w:cs="宋体"/>
          <w:szCs w:val="32"/>
          <w:highlight w:val="none"/>
        </w:rPr>
      </w:pPr>
      <w:r>
        <w:rPr>
          <w:rFonts w:hint="eastAsia" w:ascii="宋体" w:hAnsi="宋体" w:eastAsia="宋体" w:cs="宋体"/>
          <w:sz w:val="24"/>
          <w:szCs w:val="24"/>
          <w:highlight w:val="none"/>
        </w:rPr>
        <w:t>1.说明：应对照招标文件“第二章 采购需求”中的“技术要求”逐条作明确的投标响应，并作出偏离说明。</w:t>
      </w:r>
    </w:p>
    <w:p w14:paraId="5F6A9CEE">
      <w:pPr>
        <w:pStyle w:val="18"/>
        <w:spacing w:line="360"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2.投标人根据投标货物的性能指标，对照招标文件技术要求，在“偏离说明”中注明“正偏离”、“负偏离”或者“无偏离”。既不属于“正偏离”也不属于“负偏离”即为“无偏离”。</w:t>
      </w:r>
    </w:p>
    <w:p w14:paraId="4503AD25">
      <w:pPr>
        <w:pStyle w:val="21"/>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附生产厂家授权资料）公章。</w:t>
      </w:r>
    </w:p>
    <w:p w14:paraId="515EFEF3">
      <w:pPr>
        <w:pStyle w:val="21"/>
        <w:spacing w:line="360" w:lineRule="auto"/>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4.如技术要求偏离表中的投标响应与佐证材料不一致的，以佐证材料为准。</w:t>
      </w:r>
    </w:p>
    <w:p w14:paraId="487096FD">
      <w:pPr>
        <w:snapToGrid w:val="0"/>
        <w:spacing w:before="50" w:after="50" w:line="360" w:lineRule="auto"/>
        <w:rPr>
          <w:rFonts w:hint="eastAsia" w:ascii="宋体" w:hAnsi="宋体" w:eastAsia="宋体" w:cs="宋体"/>
          <w:sz w:val="24"/>
          <w:highlight w:val="none"/>
        </w:rPr>
      </w:pPr>
    </w:p>
    <w:p w14:paraId="34F9ABEC">
      <w:pPr>
        <w:snapToGrid w:val="0"/>
        <w:spacing w:before="50" w:after="50" w:line="360" w:lineRule="auto"/>
        <w:rPr>
          <w:rFonts w:hint="eastAsia" w:ascii="宋体" w:hAnsi="宋体" w:eastAsia="宋体" w:cs="宋体"/>
          <w:spacing w:val="20"/>
          <w:sz w:val="24"/>
          <w:highlight w:val="none"/>
          <w:u w:val="single"/>
        </w:rPr>
      </w:pPr>
      <w:r>
        <w:rPr>
          <w:rFonts w:hint="eastAsia" w:ascii="宋体" w:hAnsi="宋体" w:eastAsia="宋体" w:cs="宋体"/>
          <w:sz w:val="24"/>
          <w:highlight w:val="none"/>
        </w:rPr>
        <w:t>法定代表人或者委托代理人</w:t>
      </w:r>
      <w:r>
        <w:rPr>
          <w:rFonts w:hint="eastAsia" w:ascii="宋体" w:hAnsi="宋体" w:eastAsia="宋体" w:cs="宋体"/>
          <w:spacing w:val="20"/>
          <w:sz w:val="24"/>
          <w:highlight w:val="none"/>
        </w:rPr>
        <w:t>（签字/电子签名）</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p>
    <w:p w14:paraId="78F82ECA">
      <w:pPr>
        <w:snapToGrid w:val="0"/>
        <w:spacing w:before="50" w:after="50" w:line="360" w:lineRule="auto"/>
        <w:rPr>
          <w:rFonts w:hint="eastAsia" w:ascii="宋体" w:hAnsi="宋体" w:eastAsia="宋体" w:cs="宋体"/>
          <w:spacing w:val="20"/>
          <w:sz w:val="24"/>
          <w:highlight w:val="none"/>
        </w:rPr>
      </w:pPr>
      <w:r>
        <w:rPr>
          <w:rFonts w:hint="eastAsia" w:ascii="宋体" w:hAnsi="宋体" w:eastAsia="宋体" w:cs="宋体"/>
          <w:spacing w:val="20"/>
          <w:sz w:val="24"/>
          <w:highlight w:val="none"/>
        </w:rPr>
        <w:t>投标人名称（电子签章）</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r>
        <w:rPr>
          <w:rFonts w:hint="eastAsia" w:ascii="宋体" w:hAnsi="宋体" w:eastAsia="宋体" w:cs="宋体"/>
          <w:spacing w:val="20"/>
          <w:sz w:val="24"/>
          <w:highlight w:val="none"/>
        </w:rPr>
        <w:t xml:space="preserve">              </w:t>
      </w:r>
    </w:p>
    <w:p w14:paraId="1A4F0E57">
      <w:pPr>
        <w:snapToGrid w:val="0"/>
        <w:spacing w:before="50" w:after="50" w:line="360" w:lineRule="auto"/>
        <w:rPr>
          <w:rFonts w:hint="eastAsia" w:ascii="宋体" w:hAnsi="宋体" w:eastAsia="宋体" w:cs="宋体"/>
          <w:spacing w:val="20"/>
          <w:sz w:val="24"/>
          <w:highlight w:val="none"/>
          <w:u w:val="single"/>
        </w:rPr>
      </w:pPr>
      <w:r>
        <w:rPr>
          <w:rFonts w:hint="eastAsia" w:ascii="宋体" w:hAnsi="宋体" w:eastAsia="宋体" w:cs="宋体"/>
          <w:spacing w:val="20"/>
          <w:sz w:val="24"/>
          <w:highlight w:val="none"/>
        </w:rPr>
        <w:t>日 期</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p>
    <w:p w14:paraId="639CF537">
      <w:pPr>
        <w:rPr>
          <w:rFonts w:hint="eastAsia" w:ascii="宋体" w:hAnsi="宋体" w:eastAsia="宋体" w:cs="宋体"/>
          <w:spacing w:val="20"/>
          <w:sz w:val="24"/>
          <w:highlight w:val="none"/>
          <w:u w:val="single"/>
        </w:rPr>
      </w:pPr>
      <w:r>
        <w:rPr>
          <w:rFonts w:hint="eastAsia" w:ascii="宋体" w:hAnsi="宋体" w:eastAsia="宋体" w:cs="宋体"/>
          <w:spacing w:val="20"/>
          <w:sz w:val="24"/>
          <w:highlight w:val="none"/>
          <w:u w:val="single"/>
        </w:rPr>
        <w:br w:type="page"/>
      </w:r>
    </w:p>
    <w:p w14:paraId="793F1010">
      <w:pPr>
        <w:snapToGrid w:val="0"/>
        <w:spacing w:before="120" w:beforeLines="50" w:after="50"/>
        <w:ind w:left="142"/>
        <w:jc w:val="left"/>
        <w:rPr>
          <w:rFonts w:hint="default" w:ascii="宋体" w:hAnsi="宋体" w:eastAsia="宋体" w:cs="宋体"/>
          <w:b/>
          <w:sz w:val="24"/>
          <w:highlight w:val="none"/>
          <w:lang w:val="en-US" w:eastAsia="zh-CN"/>
        </w:rPr>
      </w:pPr>
      <w:r>
        <w:rPr>
          <w:rFonts w:hint="eastAsia" w:ascii="宋体" w:hAnsi="宋体" w:eastAsia="宋体" w:cs="宋体"/>
          <w:b/>
          <w:sz w:val="24"/>
          <w:highlight w:val="none"/>
          <w:lang w:val="en-US" w:eastAsia="zh-CN"/>
        </w:rPr>
        <w:t>4.完成项目所使用产品清单</w:t>
      </w:r>
    </w:p>
    <w:p w14:paraId="185B37C0">
      <w:pPr>
        <w:snapToGrid w:val="0"/>
        <w:spacing w:before="120" w:beforeLines="50" w:after="50" w:line="440" w:lineRule="exact"/>
        <w:jc w:val="center"/>
        <w:rPr>
          <w:rFonts w:hint="eastAsia" w:ascii="宋体" w:hAnsi="宋体" w:eastAsia="宋体" w:cs="宋体"/>
          <w:b/>
          <w:sz w:val="30"/>
          <w:highlight w:val="none"/>
          <w:lang w:eastAsia="zh-CN"/>
        </w:rPr>
      </w:pPr>
      <w:r>
        <w:rPr>
          <w:rFonts w:hint="eastAsia" w:ascii="宋体" w:hAnsi="宋体" w:eastAsia="宋体" w:cs="宋体"/>
          <w:b/>
          <w:sz w:val="30"/>
          <w:highlight w:val="none"/>
          <w:lang w:eastAsia="zh-CN"/>
        </w:rPr>
        <w:t>完成项目所使用产品清单（格式）</w:t>
      </w:r>
    </w:p>
    <w:p w14:paraId="064EECF1">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none"/>
          <w:lang w:val="en-US" w:eastAsia="zh-CN"/>
        </w:rPr>
        <w:t>分标：</w:t>
      </w:r>
      <w:r>
        <w:rPr>
          <w:rFonts w:hint="eastAsia" w:ascii="宋体" w:hAnsi="宋体" w:eastAsia="宋体" w:cs="宋体"/>
          <w:color w:val="000000"/>
          <w:sz w:val="24"/>
          <w:szCs w:val="24"/>
          <w:u w:val="single"/>
          <w:lang w:val="en-US" w:eastAsia="zh-CN"/>
        </w:rPr>
        <w:t xml:space="preserve">   </w:t>
      </w:r>
    </w:p>
    <w:p w14:paraId="5FA9B8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项目编号：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138070B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Cs w:val="21"/>
        </w:rPr>
      </w:pPr>
      <w:r>
        <w:rPr>
          <w:rFonts w:hint="eastAsia" w:ascii="宋体" w:hAnsi="宋体" w:eastAsia="宋体" w:cs="宋体"/>
          <w:color w:val="000000"/>
          <w:sz w:val="24"/>
          <w:szCs w:val="24"/>
        </w:rPr>
        <w:t>投标人名称：</w:t>
      </w:r>
      <w:r>
        <w:rPr>
          <w:rFonts w:hint="eastAsia" w:ascii="宋体" w:hAnsi="宋体" w:eastAsia="宋体" w:cs="宋体"/>
          <w:color w:val="000000"/>
          <w:sz w:val="24"/>
          <w:szCs w:val="24"/>
          <w:u w:val="single"/>
        </w:rPr>
        <w:t xml:space="preserve">                  </w:t>
      </w:r>
    </w:p>
    <w:tbl>
      <w:tblPr>
        <w:tblStyle w:val="52"/>
        <w:tblW w:w="499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
        <w:gridCol w:w="1635"/>
        <w:gridCol w:w="1540"/>
        <w:gridCol w:w="959"/>
        <w:gridCol w:w="959"/>
        <w:gridCol w:w="959"/>
        <w:gridCol w:w="1968"/>
        <w:gridCol w:w="1333"/>
      </w:tblGrid>
      <w:tr w14:paraId="3850E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246" w:type="pct"/>
            <w:tcBorders>
              <w:top w:val="single" w:color="auto" w:sz="4" w:space="0"/>
              <w:left w:val="single" w:color="auto" w:sz="4" w:space="0"/>
              <w:bottom w:val="single" w:color="auto" w:sz="4" w:space="0"/>
              <w:right w:val="single" w:color="auto" w:sz="4" w:space="0"/>
            </w:tcBorders>
            <w:noWrap w:val="0"/>
            <w:vAlign w:val="center"/>
          </w:tcPr>
          <w:p w14:paraId="5894D341">
            <w:pPr>
              <w:snapToGrid w:val="0"/>
              <w:spacing w:line="400" w:lineRule="exact"/>
              <w:jc w:val="center"/>
              <w:rPr>
                <w:rFonts w:hint="eastAsia" w:ascii="宋体" w:hAnsi="宋体" w:cs="宋体"/>
                <w:b/>
                <w:color w:val="auto"/>
                <w:sz w:val="24"/>
              </w:rPr>
            </w:pPr>
            <w:r>
              <w:rPr>
                <w:rFonts w:hint="eastAsia" w:ascii="宋体" w:hAnsi="宋体" w:cs="宋体"/>
                <w:b/>
                <w:color w:val="auto"/>
                <w:sz w:val="24"/>
              </w:rPr>
              <w:t>序号</w:t>
            </w:r>
          </w:p>
        </w:tc>
        <w:tc>
          <w:tcPr>
            <w:tcW w:w="830" w:type="pct"/>
            <w:tcBorders>
              <w:top w:val="single" w:color="auto" w:sz="4" w:space="0"/>
              <w:left w:val="single" w:color="auto" w:sz="4" w:space="0"/>
              <w:bottom w:val="single" w:color="auto" w:sz="4" w:space="0"/>
              <w:right w:val="single" w:color="auto" w:sz="4" w:space="0"/>
            </w:tcBorders>
            <w:noWrap w:val="0"/>
            <w:vAlign w:val="center"/>
          </w:tcPr>
          <w:p w14:paraId="6B05D101">
            <w:pPr>
              <w:snapToGrid w:val="0"/>
              <w:spacing w:line="400" w:lineRule="exact"/>
              <w:jc w:val="center"/>
              <w:rPr>
                <w:rFonts w:hint="eastAsia" w:ascii="宋体" w:hAnsi="宋体" w:eastAsia="宋体" w:cs="宋体"/>
                <w:b/>
                <w:color w:val="auto"/>
                <w:sz w:val="24"/>
                <w:lang w:val="en-US" w:eastAsia="zh-CN"/>
              </w:rPr>
            </w:pPr>
            <w:r>
              <w:rPr>
                <w:rFonts w:hint="eastAsia" w:ascii="宋体" w:hAnsi="宋体" w:cs="宋体"/>
                <w:b/>
                <w:color w:val="auto"/>
                <w:sz w:val="24"/>
              </w:rPr>
              <w:t>完成服务拟投入</w:t>
            </w:r>
            <w:r>
              <w:rPr>
                <w:rFonts w:hint="eastAsia" w:ascii="宋体" w:hAnsi="宋体" w:cs="宋体"/>
                <w:b/>
                <w:color w:val="auto"/>
                <w:sz w:val="24"/>
                <w:lang w:eastAsia="zh-CN"/>
              </w:rPr>
              <w:t>产品名称</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136CA723">
            <w:pPr>
              <w:snapToGrid w:val="0"/>
              <w:spacing w:line="400" w:lineRule="exact"/>
              <w:jc w:val="center"/>
              <w:rPr>
                <w:rFonts w:hint="eastAsia" w:ascii="宋体" w:hAnsi="宋体" w:cs="宋体"/>
                <w:b/>
                <w:color w:val="auto"/>
                <w:sz w:val="24"/>
              </w:rPr>
            </w:pPr>
            <w:r>
              <w:rPr>
                <w:rFonts w:hint="eastAsia" w:ascii="宋体" w:hAnsi="宋体" w:cs="宋体"/>
                <w:b/>
                <w:color w:val="auto"/>
                <w:sz w:val="24"/>
                <w:lang w:eastAsia="zh-CN"/>
              </w:rPr>
              <w:t>开发</w:t>
            </w:r>
            <w:r>
              <w:rPr>
                <w:rFonts w:hint="eastAsia" w:ascii="宋体" w:hAnsi="宋体" w:cs="宋体"/>
                <w:b/>
                <w:color w:val="auto"/>
                <w:sz w:val="24"/>
              </w:rPr>
              <w:t>厂家</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3E6DA313">
            <w:pPr>
              <w:snapToGrid w:val="0"/>
              <w:spacing w:line="400" w:lineRule="exact"/>
              <w:jc w:val="center"/>
              <w:rPr>
                <w:rFonts w:hint="eastAsia" w:ascii="宋体" w:hAnsi="宋体" w:cs="宋体"/>
                <w:b/>
                <w:color w:val="auto"/>
                <w:sz w:val="24"/>
              </w:rPr>
            </w:pPr>
            <w:r>
              <w:rPr>
                <w:rFonts w:hint="eastAsia" w:ascii="宋体" w:hAnsi="宋体" w:cs="宋体"/>
                <w:b/>
                <w:color w:val="auto"/>
                <w:sz w:val="24"/>
              </w:rPr>
              <w:t>品牌</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69C5D4CF">
            <w:pPr>
              <w:snapToGrid w:val="0"/>
              <w:spacing w:line="400" w:lineRule="exact"/>
              <w:jc w:val="center"/>
              <w:rPr>
                <w:rFonts w:hint="eastAsia" w:ascii="宋体" w:hAnsi="宋体" w:cs="宋体"/>
                <w:b/>
                <w:color w:val="auto"/>
                <w:sz w:val="24"/>
              </w:rPr>
            </w:pPr>
            <w:r>
              <w:rPr>
                <w:rFonts w:hint="eastAsia" w:ascii="宋体" w:hAnsi="宋体" w:cs="宋体"/>
                <w:b/>
                <w:color w:val="auto"/>
                <w:sz w:val="24"/>
              </w:rPr>
              <w:t>规格型号</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3889E8D5">
            <w:pPr>
              <w:snapToGrid w:val="0"/>
              <w:spacing w:line="400" w:lineRule="exact"/>
              <w:jc w:val="center"/>
              <w:rPr>
                <w:rFonts w:hint="eastAsia" w:ascii="宋体" w:hAnsi="宋体" w:cs="宋体"/>
                <w:b/>
                <w:color w:val="auto"/>
                <w:sz w:val="24"/>
              </w:rPr>
            </w:pPr>
            <w:r>
              <w:rPr>
                <w:rFonts w:hint="eastAsia" w:ascii="宋体" w:hAnsi="宋体" w:cs="宋体"/>
                <w:b/>
                <w:color w:val="auto"/>
                <w:sz w:val="24"/>
              </w:rPr>
              <w:t>数量及单位①</w:t>
            </w:r>
          </w:p>
        </w:tc>
        <w:tc>
          <w:tcPr>
            <w:tcW w:w="999" w:type="pct"/>
            <w:tcBorders>
              <w:top w:val="single" w:color="auto" w:sz="4" w:space="0"/>
              <w:left w:val="single" w:color="auto" w:sz="4" w:space="0"/>
              <w:bottom w:val="single" w:color="auto" w:sz="4" w:space="0"/>
              <w:right w:val="single" w:color="auto" w:sz="4" w:space="0"/>
            </w:tcBorders>
            <w:noWrap w:val="0"/>
            <w:vAlign w:val="center"/>
          </w:tcPr>
          <w:p w14:paraId="13B05866">
            <w:pPr>
              <w:snapToGrid w:val="0"/>
              <w:spacing w:line="400" w:lineRule="exact"/>
              <w:jc w:val="center"/>
              <w:rPr>
                <w:rFonts w:hint="eastAsia" w:ascii="宋体" w:hAnsi="宋体" w:eastAsia="宋体" w:cs="宋体"/>
                <w:b/>
                <w:color w:val="auto"/>
                <w:sz w:val="24"/>
                <w:lang w:eastAsia="zh-CN"/>
              </w:rPr>
            </w:pPr>
            <w:r>
              <w:rPr>
                <w:rFonts w:hint="eastAsia" w:ascii="宋体" w:hAnsi="宋体" w:cs="宋体"/>
                <w:b/>
                <w:color w:val="auto"/>
                <w:sz w:val="24"/>
                <w:lang w:eastAsia="zh-CN"/>
              </w:rPr>
              <w:t>技术参数</w:t>
            </w:r>
          </w:p>
        </w:tc>
        <w:tc>
          <w:tcPr>
            <w:tcW w:w="677" w:type="pct"/>
            <w:tcBorders>
              <w:top w:val="single" w:color="auto" w:sz="4" w:space="0"/>
              <w:left w:val="single" w:color="auto" w:sz="4" w:space="0"/>
              <w:bottom w:val="single" w:color="auto" w:sz="4" w:space="0"/>
              <w:right w:val="single" w:color="auto" w:sz="4" w:space="0"/>
            </w:tcBorders>
            <w:noWrap w:val="0"/>
            <w:vAlign w:val="center"/>
          </w:tcPr>
          <w:p w14:paraId="2BB03B55">
            <w:pPr>
              <w:snapToGrid w:val="0"/>
              <w:spacing w:line="400" w:lineRule="exact"/>
              <w:jc w:val="center"/>
              <w:rPr>
                <w:rFonts w:hint="eastAsia" w:ascii="宋体" w:hAnsi="宋体" w:eastAsia="宋体" w:cs="宋体"/>
                <w:b/>
                <w:color w:val="auto"/>
                <w:sz w:val="24"/>
                <w:lang w:eastAsia="zh-CN"/>
              </w:rPr>
            </w:pPr>
            <w:r>
              <w:rPr>
                <w:rFonts w:hint="eastAsia" w:ascii="宋体" w:hAnsi="宋体" w:cs="宋体"/>
                <w:b/>
                <w:color w:val="auto"/>
                <w:sz w:val="24"/>
                <w:lang w:eastAsia="zh-CN"/>
              </w:rPr>
              <w:t>备注</w:t>
            </w:r>
          </w:p>
        </w:tc>
      </w:tr>
      <w:tr w14:paraId="2A4C1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34E94151">
            <w:pPr>
              <w:snapToGrid w:val="0"/>
              <w:spacing w:line="400" w:lineRule="exact"/>
              <w:jc w:val="center"/>
              <w:rPr>
                <w:rFonts w:hint="eastAsia" w:ascii="宋体" w:hAnsi="宋体" w:cs="宋体"/>
                <w:b/>
                <w:color w:val="auto"/>
                <w:sz w:val="24"/>
              </w:rPr>
            </w:pPr>
            <w:r>
              <w:rPr>
                <w:rFonts w:hint="eastAsia" w:ascii="宋体" w:hAnsi="宋体" w:cs="宋体"/>
                <w:b/>
                <w:color w:val="auto"/>
                <w:sz w:val="24"/>
              </w:rPr>
              <w:t>1</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2489978C">
            <w:pPr>
              <w:snapToGrid w:val="0"/>
              <w:spacing w:line="400" w:lineRule="exact"/>
              <w:jc w:val="center"/>
              <w:rPr>
                <w:rFonts w:hint="eastAsia" w:ascii="宋体" w:hAnsi="宋体" w:cs="宋体"/>
                <w:b/>
                <w:color w:val="auto"/>
                <w:sz w:val="24"/>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7EE184D5">
            <w:pPr>
              <w:snapToGrid w:val="0"/>
              <w:spacing w:line="400" w:lineRule="exact"/>
              <w:ind w:left="0" w:leftChars="0" w:right="0" w:rightChars="0" w:firstLine="0" w:firstLineChars="0"/>
              <w:jc w:val="center"/>
              <w:rPr>
                <w:rFonts w:hint="eastAsia" w:ascii="宋体" w:hAnsi="宋体" w:cs="宋体"/>
                <w:color w:val="auto"/>
                <w:sz w:val="24"/>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1E06E457">
            <w:pPr>
              <w:snapToGrid w:val="0"/>
              <w:spacing w:line="400" w:lineRule="exact"/>
              <w:ind w:left="0" w:leftChars="0" w:right="0" w:rightChars="0" w:firstLine="0" w:firstLineChars="0"/>
              <w:jc w:val="center"/>
              <w:rPr>
                <w:rFonts w:hint="eastAsia" w:ascii="宋体" w:hAnsi="宋体" w:cs="宋体"/>
                <w:color w:val="auto"/>
                <w:sz w:val="24"/>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1E274B79">
            <w:pPr>
              <w:snapToGrid w:val="0"/>
              <w:spacing w:line="400" w:lineRule="exact"/>
              <w:ind w:left="0" w:leftChars="0" w:right="0" w:rightChars="0" w:firstLine="0" w:firstLineChars="0"/>
              <w:jc w:val="center"/>
              <w:rPr>
                <w:rFonts w:hint="eastAsia" w:ascii="宋体" w:hAnsi="宋体" w:cs="宋体"/>
                <w:color w:val="auto"/>
                <w:sz w:val="24"/>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7BA23B70">
            <w:pPr>
              <w:snapToGrid w:val="0"/>
              <w:spacing w:line="400" w:lineRule="exact"/>
              <w:ind w:left="0" w:leftChars="0" w:right="0" w:rightChars="0" w:firstLine="0" w:firstLineChars="0"/>
              <w:jc w:val="center"/>
              <w:rPr>
                <w:rFonts w:hint="default" w:ascii="宋体" w:hAnsi="宋体" w:eastAsia="宋体" w:cs="宋体"/>
                <w:color w:val="auto"/>
                <w:sz w:val="24"/>
                <w:lang w:val="en-US" w:eastAsia="zh-CN"/>
              </w:rPr>
            </w:pPr>
          </w:p>
        </w:tc>
        <w:tc>
          <w:tcPr>
            <w:tcW w:w="999" w:type="pct"/>
            <w:tcBorders>
              <w:top w:val="single" w:color="auto" w:sz="4" w:space="0"/>
              <w:left w:val="single" w:color="auto" w:sz="4" w:space="0"/>
              <w:bottom w:val="single" w:color="auto" w:sz="4" w:space="0"/>
              <w:right w:val="single" w:color="auto" w:sz="4" w:space="0"/>
            </w:tcBorders>
            <w:noWrap w:val="0"/>
            <w:vAlign w:val="center"/>
          </w:tcPr>
          <w:p w14:paraId="0C59D03C">
            <w:pPr>
              <w:snapToGrid w:val="0"/>
              <w:spacing w:line="400" w:lineRule="exact"/>
              <w:ind w:left="0" w:leftChars="0" w:right="0" w:rightChars="0" w:firstLine="0" w:firstLineChars="0"/>
              <w:jc w:val="center"/>
              <w:rPr>
                <w:rFonts w:hint="eastAsia" w:ascii="宋体" w:hAnsi="宋体" w:cs="宋体"/>
                <w:color w:val="auto"/>
                <w:sz w:val="24"/>
              </w:rPr>
            </w:pPr>
          </w:p>
        </w:tc>
        <w:tc>
          <w:tcPr>
            <w:tcW w:w="677" w:type="pct"/>
            <w:tcBorders>
              <w:top w:val="single" w:color="auto" w:sz="4" w:space="0"/>
              <w:left w:val="single" w:color="auto" w:sz="4" w:space="0"/>
              <w:bottom w:val="single" w:color="auto" w:sz="4" w:space="0"/>
              <w:right w:val="single" w:color="auto" w:sz="4" w:space="0"/>
            </w:tcBorders>
            <w:noWrap w:val="0"/>
            <w:vAlign w:val="center"/>
          </w:tcPr>
          <w:p w14:paraId="53474053">
            <w:pPr>
              <w:snapToGrid w:val="0"/>
              <w:spacing w:line="400" w:lineRule="exact"/>
              <w:ind w:left="0" w:leftChars="0" w:right="0" w:rightChars="0" w:firstLine="0" w:firstLineChars="0"/>
              <w:jc w:val="center"/>
              <w:rPr>
                <w:rFonts w:hint="eastAsia" w:ascii="宋体" w:hAnsi="宋体" w:cs="宋体"/>
                <w:color w:val="auto"/>
                <w:sz w:val="24"/>
              </w:rPr>
            </w:pPr>
          </w:p>
        </w:tc>
      </w:tr>
      <w:tr w14:paraId="20D80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356CEA99">
            <w:pPr>
              <w:snapToGrid w:val="0"/>
              <w:spacing w:line="400" w:lineRule="exact"/>
              <w:jc w:val="center"/>
              <w:rPr>
                <w:rFonts w:hint="eastAsia" w:ascii="宋体" w:hAnsi="宋体" w:cs="宋体"/>
                <w:b/>
                <w:color w:val="auto"/>
                <w:sz w:val="24"/>
              </w:rPr>
            </w:pPr>
            <w:r>
              <w:rPr>
                <w:rFonts w:hint="eastAsia" w:ascii="宋体" w:hAnsi="宋体" w:cs="宋体"/>
                <w:b/>
                <w:color w:val="auto"/>
                <w:sz w:val="24"/>
                <w:lang w:val="en-US" w:eastAsia="zh-CN"/>
              </w:rPr>
              <w:t>2</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7B3A6922">
            <w:pPr>
              <w:snapToGrid w:val="0"/>
              <w:spacing w:line="400" w:lineRule="exact"/>
              <w:jc w:val="center"/>
              <w:rPr>
                <w:rFonts w:hint="eastAsia" w:ascii="宋体" w:hAnsi="宋体" w:cs="宋体"/>
                <w:b/>
                <w:color w:val="auto"/>
                <w:sz w:val="24"/>
              </w:rPr>
            </w:pPr>
          </w:p>
        </w:tc>
        <w:tc>
          <w:tcPr>
            <w:tcW w:w="782" w:type="pct"/>
            <w:tcBorders>
              <w:top w:val="single" w:color="auto" w:sz="4" w:space="0"/>
              <w:left w:val="single" w:color="auto" w:sz="4" w:space="0"/>
              <w:bottom w:val="single" w:color="auto" w:sz="4" w:space="0"/>
              <w:right w:val="single" w:color="auto" w:sz="4" w:space="0"/>
            </w:tcBorders>
            <w:noWrap w:val="0"/>
            <w:vAlign w:val="center"/>
          </w:tcPr>
          <w:p w14:paraId="533317DE">
            <w:pPr>
              <w:snapToGrid w:val="0"/>
              <w:spacing w:line="400" w:lineRule="exact"/>
              <w:ind w:left="0" w:leftChars="0" w:right="0" w:rightChars="0" w:firstLine="0" w:firstLineChars="0"/>
              <w:jc w:val="center"/>
              <w:rPr>
                <w:rFonts w:hint="eastAsia" w:ascii="宋体" w:hAnsi="宋体" w:cs="宋体"/>
                <w:color w:val="auto"/>
                <w:sz w:val="24"/>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8641FAD">
            <w:pPr>
              <w:snapToGrid w:val="0"/>
              <w:spacing w:line="400" w:lineRule="exact"/>
              <w:ind w:left="0" w:leftChars="0" w:right="0" w:rightChars="0" w:firstLine="0" w:firstLineChars="0"/>
              <w:jc w:val="center"/>
              <w:rPr>
                <w:rFonts w:hint="eastAsia" w:ascii="宋体" w:hAnsi="宋体" w:cs="宋体"/>
                <w:color w:val="auto"/>
                <w:sz w:val="24"/>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A362C14">
            <w:pPr>
              <w:snapToGrid w:val="0"/>
              <w:spacing w:line="400" w:lineRule="exact"/>
              <w:ind w:left="0" w:leftChars="0" w:right="0" w:rightChars="0" w:firstLine="0" w:firstLineChars="0"/>
              <w:jc w:val="center"/>
              <w:rPr>
                <w:rFonts w:hint="eastAsia" w:ascii="宋体" w:hAnsi="宋体" w:cs="宋体"/>
                <w:color w:val="auto"/>
                <w:sz w:val="24"/>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7FD73B52">
            <w:pPr>
              <w:snapToGrid w:val="0"/>
              <w:spacing w:line="400" w:lineRule="exact"/>
              <w:ind w:left="0" w:leftChars="0" w:right="0" w:rightChars="0" w:firstLine="0" w:firstLineChars="0"/>
              <w:jc w:val="center"/>
              <w:rPr>
                <w:rFonts w:hint="eastAsia" w:ascii="宋体" w:hAnsi="宋体" w:cs="宋体"/>
                <w:color w:val="auto"/>
                <w:sz w:val="24"/>
              </w:rPr>
            </w:pPr>
          </w:p>
        </w:tc>
        <w:tc>
          <w:tcPr>
            <w:tcW w:w="999" w:type="pct"/>
            <w:tcBorders>
              <w:top w:val="single" w:color="auto" w:sz="4" w:space="0"/>
              <w:left w:val="single" w:color="auto" w:sz="4" w:space="0"/>
              <w:bottom w:val="single" w:color="auto" w:sz="4" w:space="0"/>
              <w:right w:val="single" w:color="auto" w:sz="4" w:space="0"/>
            </w:tcBorders>
            <w:noWrap w:val="0"/>
            <w:vAlign w:val="center"/>
          </w:tcPr>
          <w:p w14:paraId="3C194D72">
            <w:pPr>
              <w:snapToGrid w:val="0"/>
              <w:spacing w:line="400" w:lineRule="exact"/>
              <w:ind w:left="0" w:leftChars="0" w:right="0" w:rightChars="0" w:firstLine="0" w:firstLineChars="0"/>
              <w:jc w:val="center"/>
              <w:rPr>
                <w:rFonts w:hint="eastAsia" w:ascii="宋体" w:hAnsi="宋体" w:cs="宋体"/>
                <w:color w:val="auto"/>
                <w:sz w:val="24"/>
              </w:rPr>
            </w:pPr>
          </w:p>
        </w:tc>
        <w:tc>
          <w:tcPr>
            <w:tcW w:w="677" w:type="pct"/>
            <w:tcBorders>
              <w:top w:val="single" w:color="auto" w:sz="4" w:space="0"/>
              <w:left w:val="single" w:color="auto" w:sz="4" w:space="0"/>
              <w:bottom w:val="single" w:color="auto" w:sz="4" w:space="0"/>
              <w:right w:val="single" w:color="auto" w:sz="4" w:space="0"/>
            </w:tcBorders>
            <w:noWrap w:val="0"/>
            <w:vAlign w:val="center"/>
          </w:tcPr>
          <w:p w14:paraId="2F2E31E8">
            <w:pPr>
              <w:snapToGrid w:val="0"/>
              <w:spacing w:line="400" w:lineRule="exact"/>
              <w:ind w:left="0" w:leftChars="0" w:right="0" w:rightChars="0" w:firstLine="0" w:firstLineChars="0"/>
              <w:jc w:val="center"/>
              <w:rPr>
                <w:rFonts w:hint="eastAsia" w:ascii="宋体" w:hAnsi="宋体" w:cs="宋体"/>
                <w:color w:val="auto"/>
                <w:sz w:val="24"/>
              </w:rPr>
            </w:pPr>
          </w:p>
        </w:tc>
      </w:tr>
      <w:tr w14:paraId="7BFBA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486" w:type="dxa"/>
            <w:tcBorders>
              <w:top w:val="single" w:color="auto" w:sz="4" w:space="0"/>
              <w:left w:val="single" w:color="auto" w:sz="4" w:space="0"/>
              <w:bottom w:val="single" w:color="auto" w:sz="4" w:space="0"/>
              <w:right w:val="single" w:color="auto" w:sz="4" w:space="0"/>
            </w:tcBorders>
            <w:noWrap w:val="0"/>
            <w:vAlign w:val="center"/>
          </w:tcPr>
          <w:p w14:paraId="70385DE3">
            <w:pPr>
              <w:snapToGrid w:val="0"/>
              <w:spacing w:line="400" w:lineRule="exact"/>
              <w:jc w:val="center"/>
              <w:rPr>
                <w:rFonts w:hint="eastAsia" w:ascii="宋体" w:hAnsi="宋体" w:cs="宋体"/>
                <w:b/>
                <w:color w:val="auto"/>
                <w:sz w:val="24"/>
              </w:rPr>
            </w:pPr>
            <w:r>
              <w:rPr>
                <w:rFonts w:hint="eastAsia" w:ascii="宋体" w:hAnsi="宋体" w:cs="宋体"/>
                <w:b/>
                <w:color w:val="auto"/>
                <w:sz w:val="24"/>
                <w:lang w:val="en-US" w:eastAsia="zh-CN"/>
              </w:rPr>
              <w:t>3</w:t>
            </w:r>
          </w:p>
        </w:tc>
        <w:tc>
          <w:tcPr>
            <w:tcW w:w="1635" w:type="dxa"/>
            <w:tcBorders>
              <w:top w:val="single" w:color="auto" w:sz="4" w:space="0"/>
              <w:left w:val="single" w:color="auto" w:sz="4" w:space="0"/>
              <w:bottom w:val="single" w:color="auto" w:sz="4" w:space="0"/>
              <w:right w:val="single" w:color="auto" w:sz="4" w:space="0"/>
            </w:tcBorders>
            <w:noWrap w:val="0"/>
            <w:vAlign w:val="center"/>
          </w:tcPr>
          <w:p w14:paraId="348FACEB">
            <w:pPr>
              <w:snapToGrid w:val="0"/>
              <w:spacing w:line="400" w:lineRule="exact"/>
              <w:ind w:left="0" w:leftChars="0" w:right="0" w:rightChars="0" w:firstLine="0" w:firstLineChars="0"/>
              <w:jc w:val="center"/>
              <w:rPr>
                <w:rFonts w:hint="eastAsia" w:ascii="宋体" w:hAnsi="宋体" w:cs="宋体"/>
                <w:b/>
                <w:color w:val="auto"/>
                <w:sz w:val="24"/>
              </w:rPr>
            </w:pPr>
            <w:r>
              <w:rPr>
                <w:rFonts w:hint="eastAsia" w:ascii="宋体" w:hAnsi="宋体" w:eastAsia="宋体" w:cs="宋体"/>
                <w:b/>
                <w:color w:val="auto"/>
                <w:sz w:val="24"/>
              </w:rPr>
              <w:t>……</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580D1304">
            <w:pPr>
              <w:snapToGrid w:val="0"/>
              <w:spacing w:line="400" w:lineRule="exact"/>
              <w:ind w:left="0" w:leftChars="0" w:right="0" w:rightChars="0" w:firstLine="0" w:firstLineChars="0"/>
              <w:jc w:val="center"/>
              <w:rPr>
                <w:rFonts w:hint="eastAsia" w:ascii="宋体" w:hAnsi="宋体" w:cs="宋体"/>
                <w:color w:val="auto"/>
                <w:sz w:val="24"/>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D37F2FB">
            <w:pPr>
              <w:snapToGrid w:val="0"/>
              <w:spacing w:line="400" w:lineRule="exact"/>
              <w:ind w:left="0" w:leftChars="0" w:right="0" w:rightChars="0" w:firstLine="0" w:firstLineChars="0"/>
              <w:jc w:val="center"/>
              <w:rPr>
                <w:rFonts w:hint="eastAsia" w:ascii="宋体" w:hAnsi="宋体" w:cs="宋体"/>
                <w:color w:val="auto"/>
                <w:sz w:val="24"/>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F0ADA98">
            <w:pPr>
              <w:snapToGrid w:val="0"/>
              <w:spacing w:line="400" w:lineRule="exact"/>
              <w:ind w:left="0" w:leftChars="0" w:right="0" w:rightChars="0" w:firstLine="0" w:firstLineChars="0"/>
              <w:jc w:val="center"/>
              <w:rPr>
                <w:rFonts w:hint="eastAsia" w:ascii="宋体" w:hAnsi="宋体" w:cs="宋体"/>
                <w:color w:val="auto"/>
                <w:sz w:val="24"/>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2CF4AB6">
            <w:pPr>
              <w:snapToGrid w:val="0"/>
              <w:spacing w:line="400" w:lineRule="exact"/>
              <w:ind w:left="0" w:leftChars="0" w:right="0" w:rightChars="0" w:firstLine="0" w:firstLineChars="0"/>
              <w:jc w:val="center"/>
              <w:rPr>
                <w:rFonts w:hint="eastAsia" w:ascii="宋体" w:hAnsi="宋体" w:cs="宋体"/>
                <w:color w:val="auto"/>
                <w:sz w:val="24"/>
              </w:rPr>
            </w:pPr>
          </w:p>
        </w:tc>
        <w:tc>
          <w:tcPr>
            <w:tcW w:w="999" w:type="pct"/>
            <w:tcBorders>
              <w:top w:val="single" w:color="auto" w:sz="4" w:space="0"/>
              <w:left w:val="single" w:color="auto" w:sz="4" w:space="0"/>
              <w:bottom w:val="single" w:color="auto" w:sz="4" w:space="0"/>
              <w:right w:val="single" w:color="auto" w:sz="4" w:space="0"/>
            </w:tcBorders>
            <w:noWrap w:val="0"/>
            <w:vAlign w:val="center"/>
          </w:tcPr>
          <w:p w14:paraId="728FE206">
            <w:pPr>
              <w:snapToGrid w:val="0"/>
              <w:spacing w:line="400" w:lineRule="exact"/>
              <w:ind w:left="0" w:leftChars="0" w:right="0" w:rightChars="0" w:firstLine="0" w:firstLineChars="0"/>
              <w:jc w:val="center"/>
              <w:rPr>
                <w:rFonts w:hint="eastAsia" w:ascii="宋体" w:hAnsi="宋体" w:cs="宋体"/>
                <w:color w:val="auto"/>
                <w:sz w:val="24"/>
              </w:rPr>
            </w:pPr>
          </w:p>
        </w:tc>
        <w:tc>
          <w:tcPr>
            <w:tcW w:w="677" w:type="pct"/>
            <w:tcBorders>
              <w:top w:val="single" w:color="auto" w:sz="4" w:space="0"/>
              <w:left w:val="single" w:color="auto" w:sz="4" w:space="0"/>
              <w:bottom w:val="single" w:color="auto" w:sz="4" w:space="0"/>
              <w:right w:val="single" w:color="auto" w:sz="4" w:space="0"/>
            </w:tcBorders>
            <w:noWrap w:val="0"/>
            <w:vAlign w:val="center"/>
          </w:tcPr>
          <w:p w14:paraId="016FC1BD">
            <w:pPr>
              <w:snapToGrid w:val="0"/>
              <w:spacing w:line="400" w:lineRule="exact"/>
              <w:ind w:left="0" w:leftChars="0" w:right="0" w:rightChars="0" w:firstLine="0" w:firstLineChars="0"/>
              <w:jc w:val="center"/>
              <w:rPr>
                <w:rFonts w:hint="eastAsia" w:ascii="宋体" w:hAnsi="宋体" w:cs="宋体"/>
                <w:color w:val="auto"/>
                <w:sz w:val="24"/>
              </w:rPr>
            </w:pPr>
          </w:p>
        </w:tc>
      </w:tr>
    </w:tbl>
    <w:p w14:paraId="01F82B1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sz w:val="24"/>
          <w:szCs w:val="24"/>
        </w:rPr>
      </w:pPr>
    </w:p>
    <w:p w14:paraId="63FFA60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41C512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eastAsia="宋体" w:cs="宋体"/>
          <w:b w:val="0"/>
          <w:bCs/>
          <w:color w:val="000000"/>
          <w:sz w:val="24"/>
          <w:szCs w:val="24"/>
        </w:rPr>
        <w:t>投标人</w:t>
      </w:r>
      <w:r>
        <w:rPr>
          <w:rFonts w:hint="eastAsia" w:ascii="宋体" w:hAnsi="宋体" w:eastAsia="宋体" w:cs="宋体"/>
          <w:b w:val="0"/>
          <w:bCs/>
          <w:color w:val="000000"/>
          <w:sz w:val="24"/>
          <w:szCs w:val="24"/>
          <w:lang w:eastAsia="zh-CN"/>
        </w:rPr>
        <w:t>必须如实填写该表格所有内容</w:t>
      </w:r>
      <w:r>
        <w:rPr>
          <w:rFonts w:hint="eastAsia" w:ascii="宋体" w:hAnsi="宋体" w:eastAsia="宋体" w:cs="宋体"/>
          <w:b w:val="0"/>
          <w:bCs/>
          <w:color w:val="000000"/>
          <w:sz w:val="24"/>
          <w:szCs w:val="24"/>
        </w:rPr>
        <w:t>，</w:t>
      </w:r>
      <w:r>
        <w:rPr>
          <w:rFonts w:hint="eastAsia" w:ascii="宋体" w:hAnsi="宋体" w:eastAsia="宋体" w:cs="宋体"/>
          <w:b/>
          <w:color w:val="000000"/>
          <w:sz w:val="24"/>
          <w:szCs w:val="24"/>
        </w:rPr>
        <w:t>否则其投标作无效标处理。</w:t>
      </w:r>
    </w:p>
    <w:p w14:paraId="374D03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eastAsia="zh-CN"/>
        </w:rPr>
        <w:t>表格内容</w:t>
      </w:r>
      <w:r>
        <w:rPr>
          <w:rFonts w:hint="eastAsia" w:ascii="宋体" w:hAnsi="宋体" w:eastAsia="宋体" w:cs="宋体"/>
          <w:color w:val="000000"/>
          <w:sz w:val="24"/>
          <w:szCs w:val="24"/>
        </w:rPr>
        <w:t>一经涂改，应在涂改处加盖投标人公章或者加盖电子签章或者由法定代表人或者委托代理人签字（或者电子签名）</w:t>
      </w:r>
      <w:r>
        <w:rPr>
          <w:rFonts w:hint="eastAsia" w:ascii="宋体" w:hAnsi="宋体" w:eastAsia="宋体" w:cs="宋体"/>
          <w:b/>
          <w:color w:val="000000"/>
          <w:sz w:val="24"/>
          <w:szCs w:val="24"/>
        </w:rPr>
        <w:t>，否则其投标作无效标处理。</w:t>
      </w:r>
    </w:p>
    <w:p w14:paraId="32CA3332">
      <w:pPr>
        <w:keepNext w:val="0"/>
        <w:keepLines w:val="0"/>
        <w:pageBreakBefore w:val="0"/>
        <w:widowControl w:val="0"/>
        <w:kinsoku/>
        <w:wordWrap/>
        <w:overflowPunct/>
        <w:topLinePunct w:val="0"/>
        <w:autoSpaceDE/>
        <w:autoSpaceDN/>
        <w:bidi w:val="0"/>
        <w:adjustRightInd/>
        <w:snapToGrid w:val="0"/>
        <w:spacing w:line="360" w:lineRule="auto"/>
        <w:ind w:left="-2" w:leftChars="-1" w:right="-817" w:rightChars="-389"/>
        <w:textAlignment w:val="auto"/>
        <w:rPr>
          <w:rFonts w:hint="eastAsia" w:ascii="宋体" w:hAnsi="宋体" w:eastAsia="宋体" w:cs="宋体"/>
          <w:color w:val="000000"/>
          <w:sz w:val="24"/>
          <w:szCs w:val="24"/>
        </w:rPr>
      </w:pPr>
    </w:p>
    <w:p w14:paraId="36765317">
      <w:pPr>
        <w:snapToGrid w:val="0"/>
        <w:spacing w:before="50" w:after="50" w:line="360" w:lineRule="auto"/>
        <w:ind w:left="-2" w:leftChars="-1" w:right="-817" w:rightChars="-389"/>
        <w:rPr>
          <w:rFonts w:hint="eastAsia" w:ascii="宋体" w:hAnsi="宋体" w:eastAsia="宋体" w:cs="宋体"/>
          <w:sz w:val="24"/>
          <w:highlight w:val="none"/>
        </w:rPr>
      </w:pPr>
      <w:r>
        <w:rPr>
          <w:rFonts w:hint="eastAsia" w:ascii="宋体" w:hAnsi="宋体" w:eastAsia="宋体" w:cs="宋体"/>
          <w:sz w:val="24"/>
          <w:highlight w:val="none"/>
        </w:rPr>
        <w:t>法定代表人或者委托代理人（签字）</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p w14:paraId="5DA9A86F">
      <w:pPr>
        <w:snapToGrid w:val="0"/>
        <w:spacing w:before="50" w:after="50" w:line="360" w:lineRule="auto"/>
        <w:ind w:left="-3" w:leftChars="-15" w:right="-817" w:rightChars="-389" w:hanging="28" w:hangingChars="12"/>
        <w:rPr>
          <w:rFonts w:hint="eastAsia" w:ascii="宋体" w:hAnsi="宋体" w:eastAsia="宋体" w:cs="宋体"/>
          <w:sz w:val="24"/>
          <w:highlight w:val="none"/>
        </w:rPr>
      </w:pPr>
      <w:r>
        <w:rPr>
          <w:rFonts w:hint="eastAsia" w:ascii="宋体" w:hAnsi="宋体" w:eastAsia="宋体" w:cs="宋体"/>
          <w:sz w:val="24"/>
          <w:highlight w:val="none"/>
        </w:rPr>
        <w:t>投标人（盖公章）</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w:t>
      </w:r>
    </w:p>
    <w:p w14:paraId="58E0C3AC">
      <w:pPr>
        <w:snapToGrid w:val="0"/>
        <w:spacing w:before="50" w:after="50" w:line="360" w:lineRule="auto"/>
        <w:ind w:left="-3" w:leftChars="-15" w:right="-817" w:rightChars="-389" w:hanging="28" w:hangingChars="12"/>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年   月   日</w:t>
      </w:r>
    </w:p>
    <w:p w14:paraId="16F4666E">
      <w:pPr>
        <w:rPr>
          <w:rFonts w:hint="eastAsia" w:ascii="宋体" w:hAnsi="宋体" w:eastAsia="宋体" w:cs="宋体"/>
          <w:sz w:val="24"/>
          <w:highlight w:val="none"/>
        </w:rPr>
      </w:pPr>
      <w:r>
        <w:rPr>
          <w:rFonts w:hint="eastAsia" w:ascii="宋体" w:hAnsi="宋体" w:eastAsia="宋体" w:cs="宋体"/>
          <w:sz w:val="24"/>
          <w:highlight w:val="none"/>
        </w:rPr>
        <w:br w:type="page"/>
      </w:r>
    </w:p>
    <w:p w14:paraId="1A75F2B2">
      <w:pPr>
        <w:snapToGrid w:val="0"/>
        <w:spacing w:before="120" w:beforeLines="50" w:after="50"/>
        <w:ind w:left="142"/>
        <w:jc w:val="left"/>
        <w:rPr>
          <w:rFonts w:hint="eastAsia" w:ascii="宋体" w:hAnsi="宋体" w:eastAsia="宋体" w:cs="宋体"/>
          <w:b/>
          <w:sz w:val="24"/>
          <w:highlight w:val="none"/>
        </w:rPr>
      </w:pPr>
      <w:r>
        <w:rPr>
          <w:rFonts w:hint="eastAsia" w:ascii="宋体" w:hAnsi="宋体" w:cs="宋体"/>
          <w:b/>
          <w:sz w:val="24"/>
          <w:highlight w:val="none"/>
          <w:lang w:val="en-US" w:eastAsia="zh-CN"/>
        </w:rPr>
        <w:t>5</w:t>
      </w:r>
      <w:r>
        <w:rPr>
          <w:rFonts w:hint="eastAsia" w:ascii="宋体" w:hAnsi="宋体" w:eastAsia="宋体" w:cs="宋体"/>
          <w:b/>
          <w:sz w:val="24"/>
          <w:highlight w:val="none"/>
        </w:rPr>
        <w:t>.项目实施人员一览表格式</w:t>
      </w:r>
    </w:p>
    <w:p w14:paraId="4EA25673">
      <w:pPr>
        <w:snapToGrid w:val="0"/>
        <w:spacing w:before="120" w:beforeLines="50" w:after="50"/>
        <w:ind w:left="142"/>
        <w:jc w:val="left"/>
        <w:rPr>
          <w:rFonts w:hint="eastAsia" w:ascii="宋体" w:hAnsi="宋体" w:eastAsia="宋体" w:cs="宋体"/>
          <w:b/>
          <w:sz w:val="24"/>
          <w:highlight w:val="none"/>
        </w:rPr>
      </w:pPr>
    </w:p>
    <w:p w14:paraId="4FC267ED">
      <w:pPr>
        <w:snapToGrid w:val="0"/>
        <w:spacing w:before="120" w:beforeLines="50" w:after="50"/>
        <w:ind w:left="142"/>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项目实施人员一览表</w:t>
      </w:r>
    </w:p>
    <w:p w14:paraId="2D5E6A5D">
      <w:pPr>
        <w:pStyle w:val="27"/>
        <w:rPr>
          <w:rFonts w:hint="eastAsia" w:ascii="宋体" w:hAnsi="宋体" w:eastAsia="宋体" w:cs="宋体"/>
          <w:sz w:val="24"/>
          <w:szCs w:val="24"/>
          <w:highlight w:val="none"/>
        </w:rPr>
      </w:pPr>
      <w:r>
        <w:rPr>
          <w:rFonts w:hint="eastAsia" w:ascii="宋体" w:hAnsi="宋体" w:eastAsia="宋体" w:cs="宋体"/>
          <w:sz w:val="24"/>
          <w:szCs w:val="24"/>
          <w:highlight w:val="none"/>
        </w:rPr>
        <w:t>所投分标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分标</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5C74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D0776E9">
            <w:pPr>
              <w:snapToGrid w:val="0"/>
              <w:spacing w:before="50" w:after="120" w:afterLines="5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姓名</w:t>
            </w:r>
          </w:p>
        </w:tc>
        <w:tc>
          <w:tcPr>
            <w:tcW w:w="709" w:type="dxa"/>
            <w:noWrap w:val="0"/>
            <w:vAlign w:val="center"/>
          </w:tcPr>
          <w:p w14:paraId="1C3BBC8B">
            <w:pPr>
              <w:snapToGrid w:val="0"/>
              <w:spacing w:before="50" w:after="120" w:afterLines="5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职务</w:t>
            </w:r>
          </w:p>
        </w:tc>
        <w:tc>
          <w:tcPr>
            <w:tcW w:w="1701" w:type="dxa"/>
            <w:noWrap w:val="0"/>
            <w:vAlign w:val="center"/>
          </w:tcPr>
          <w:p w14:paraId="3D379918">
            <w:pPr>
              <w:snapToGrid w:val="0"/>
              <w:spacing w:before="50" w:after="120" w:afterLines="5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专业技术资格（职称）或者职业资格或者执业资格证或者其他证书</w:t>
            </w:r>
          </w:p>
        </w:tc>
        <w:tc>
          <w:tcPr>
            <w:tcW w:w="1420" w:type="dxa"/>
            <w:noWrap w:val="0"/>
            <w:vAlign w:val="center"/>
          </w:tcPr>
          <w:p w14:paraId="3779D04B">
            <w:pPr>
              <w:snapToGrid w:val="0"/>
              <w:spacing w:before="50" w:after="120" w:afterLines="5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证书编号</w:t>
            </w:r>
          </w:p>
        </w:tc>
        <w:tc>
          <w:tcPr>
            <w:tcW w:w="1698" w:type="dxa"/>
            <w:noWrap w:val="0"/>
            <w:vAlign w:val="center"/>
          </w:tcPr>
          <w:p w14:paraId="5C5D3A9C">
            <w:pPr>
              <w:snapToGrid w:val="0"/>
              <w:spacing w:before="50" w:after="120" w:afterLines="5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参加本单位</w:t>
            </w:r>
          </w:p>
          <w:p w14:paraId="109400D5">
            <w:pPr>
              <w:snapToGrid w:val="0"/>
              <w:spacing w:before="50" w:after="120" w:afterLines="5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工作时间</w:t>
            </w:r>
          </w:p>
        </w:tc>
        <w:tc>
          <w:tcPr>
            <w:tcW w:w="1843" w:type="dxa"/>
            <w:noWrap w:val="0"/>
            <w:vAlign w:val="center"/>
          </w:tcPr>
          <w:p w14:paraId="235087C9">
            <w:pPr>
              <w:snapToGrid w:val="0"/>
              <w:spacing w:before="50" w:after="120" w:afterLines="50"/>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劳动合同编号</w:t>
            </w:r>
          </w:p>
        </w:tc>
      </w:tr>
      <w:tr w14:paraId="20A0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3CAA5578">
            <w:pPr>
              <w:snapToGrid w:val="0"/>
              <w:spacing w:before="50" w:after="120" w:afterLines="50"/>
              <w:jc w:val="center"/>
              <w:rPr>
                <w:rFonts w:hint="eastAsia" w:ascii="宋体" w:hAnsi="宋体" w:eastAsia="宋体" w:cs="宋体"/>
                <w:sz w:val="24"/>
                <w:szCs w:val="20"/>
                <w:highlight w:val="none"/>
              </w:rPr>
            </w:pPr>
          </w:p>
        </w:tc>
        <w:tc>
          <w:tcPr>
            <w:tcW w:w="709" w:type="dxa"/>
            <w:noWrap w:val="0"/>
            <w:vAlign w:val="center"/>
          </w:tcPr>
          <w:p w14:paraId="4E472F34">
            <w:pPr>
              <w:snapToGrid w:val="0"/>
              <w:spacing w:before="50" w:after="120" w:afterLines="50"/>
              <w:jc w:val="center"/>
              <w:rPr>
                <w:rFonts w:hint="eastAsia" w:ascii="宋体" w:hAnsi="宋体" w:eastAsia="宋体" w:cs="宋体"/>
                <w:sz w:val="24"/>
                <w:szCs w:val="20"/>
                <w:highlight w:val="none"/>
              </w:rPr>
            </w:pPr>
          </w:p>
        </w:tc>
        <w:tc>
          <w:tcPr>
            <w:tcW w:w="1701" w:type="dxa"/>
            <w:noWrap w:val="0"/>
            <w:vAlign w:val="center"/>
          </w:tcPr>
          <w:p w14:paraId="002B40DA">
            <w:pPr>
              <w:snapToGrid w:val="0"/>
              <w:spacing w:before="50" w:after="120" w:afterLines="50"/>
              <w:jc w:val="center"/>
              <w:rPr>
                <w:rFonts w:hint="eastAsia" w:ascii="宋体" w:hAnsi="宋体" w:eastAsia="宋体" w:cs="宋体"/>
                <w:sz w:val="24"/>
                <w:szCs w:val="20"/>
                <w:highlight w:val="none"/>
              </w:rPr>
            </w:pPr>
          </w:p>
        </w:tc>
        <w:tc>
          <w:tcPr>
            <w:tcW w:w="1420" w:type="dxa"/>
            <w:noWrap w:val="0"/>
            <w:vAlign w:val="center"/>
          </w:tcPr>
          <w:p w14:paraId="5C282F3A">
            <w:pPr>
              <w:snapToGrid w:val="0"/>
              <w:spacing w:before="50" w:after="120" w:afterLines="50"/>
              <w:jc w:val="center"/>
              <w:rPr>
                <w:rFonts w:hint="eastAsia" w:ascii="宋体" w:hAnsi="宋体" w:eastAsia="宋体" w:cs="宋体"/>
                <w:sz w:val="24"/>
                <w:szCs w:val="20"/>
                <w:highlight w:val="none"/>
              </w:rPr>
            </w:pPr>
          </w:p>
        </w:tc>
        <w:tc>
          <w:tcPr>
            <w:tcW w:w="1698" w:type="dxa"/>
            <w:noWrap w:val="0"/>
            <w:vAlign w:val="center"/>
          </w:tcPr>
          <w:p w14:paraId="0E8B1FC9">
            <w:pPr>
              <w:snapToGrid w:val="0"/>
              <w:spacing w:before="50" w:after="120" w:afterLines="50"/>
              <w:jc w:val="center"/>
              <w:rPr>
                <w:rFonts w:hint="eastAsia" w:ascii="宋体" w:hAnsi="宋体" w:eastAsia="宋体" w:cs="宋体"/>
                <w:sz w:val="24"/>
                <w:szCs w:val="20"/>
                <w:highlight w:val="none"/>
              </w:rPr>
            </w:pPr>
          </w:p>
        </w:tc>
        <w:tc>
          <w:tcPr>
            <w:tcW w:w="1843" w:type="dxa"/>
            <w:noWrap w:val="0"/>
            <w:vAlign w:val="center"/>
          </w:tcPr>
          <w:p w14:paraId="4B69AFED">
            <w:pPr>
              <w:snapToGrid w:val="0"/>
              <w:spacing w:before="50" w:after="120" w:afterLines="50"/>
              <w:jc w:val="center"/>
              <w:rPr>
                <w:rFonts w:hint="eastAsia" w:ascii="宋体" w:hAnsi="宋体" w:eastAsia="宋体" w:cs="宋体"/>
                <w:sz w:val="24"/>
                <w:szCs w:val="20"/>
                <w:highlight w:val="none"/>
              </w:rPr>
            </w:pPr>
          </w:p>
        </w:tc>
      </w:tr>
      <w:tr w14:paraId="3F4A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7B574354">
            <w:pPr>
              <w:snapToGrid w:val="0"/>
              <w:spacing w:before="50" w:after="120" w:afterLines="50"/>
              <w:jc w:val="center"/>
              <w:rPr>
                <w:rFonts w:hint="eastAsia" w:ascii="宋体" w:hAnsi="宋体" w:eastAsia="宋体" w:cs="宋体"/>
                <w:sz w:val="24"/>
                <w:szCs w:val="20"/>
                <w:highlight w:val="none"/>
              </w:rPr>
            </w:pPr>
          </w:p>
        </w:tc>
        <w:tc>
          <w:tcPr>
            <w:tcW w:w="709" w:type="dxa"/>
            <w:noWrap w:val="0"/>
            <w:vAlign w:val="center"/>
          </w:tcPr>
          <w:p w14:paraId="6ADE77AC">
            <w:pPr>
              <w:snapToGrid w:val="0"/>
              <w:spacing w:before="50" w:after="120" w:afterLines="50"/>
              <w:jc w:val="center"/>
              <w:rPr>
                <w:rFonts w:hint="eastAsia" w:ascii="宋体" w:hAnsi="宋体" w:eastAsia="宋体" w:cs="宋体"/>
                <w:sz w:val="24"/>
                <w:szCs w:val="20"/>
                <w:highlight w:val="none"/>
              </w:rPr>
            </w:pPr>
          </w:p>
        </w:tc>
        <w:tc>
          <w:tcPr>
            <w:tcW w:w="1701" w:type="dxa"/>
            <w:noWrap w:val="0"/>
            <w:vAlign w:val="center"/>
          </w:tcPr>
          <w:p w14:paraId="14B64956">
            <w:pPr>
              <w:snapToGrid w:val="0"/>
              <w:spacing w:before="50" w:after="120" w:afterLines="50"/>
              <w:jc w:val="center"/>
              <w:rPr>
                <w:rFonts w:hint="eastAsia" w:ascii="宋体" w:hAnsi="宋体" w:eastAsia="宋体" w:cs="宋体"/>
                <w:sz w:val="24"/>
                <w:szCs w:val="20"/>
                <w:highlight w:val="none"/>
              </w:rPr>
            </w:pPr>
          </w:p>
        </w:tc>
        <w:tc>
          <w:tcPr>
            <w:tcW w:w="1420" w:type="dxa"/>
            <w:noWrap w:val="0"/>
            <w:vAlign w:val="center"/>
          </w:tcPr>
          <w:p w14:paraId="2285CD7C">
            <w:pPr>
              <w:snapToGrid w:val="0"/>
              <w:spacing w:before="50" w:after="120" w:afterLines="50"/>
              <w:jc w:val="center"/>
              <w:rPr>
                <w:rFonts w:hint="eastAsia" w:ascii="宋体" w:hAnsi="宋体" w:eastAsia="宋体" w:cs="宋体"/>
                <w:sz w:val="24"/>
                <w:szCs w:val="20"/>
                <w:highlight w:val="none"/>
              </w:rPr>
            </w:pPr>
          </w:p>
        </w:tc>
        <w:tc>
          <w:tcPr>
            <w:tcW w:w="1698" w:type="dxa"/>
            <w:noWrap w:val="0"/>
            <w:vAlign w:val="center"/>
          </w:tcPr>
          <w:p w14:paraId="687732C6">
            <w:pPr>
              <w:snapToGrid w:val="0"/>
              <w:spacing w:before="50" w:after="120" w:afterLines="50"/>
              <w:jc w:val="center"/>
              <w:rPr>
                <w:rFonts w:hint="eastAsia" w:ascii="宋体" w:hAnsi="宋体" w:eastAsia="宋体" w:cs="宋体"/>
                <w:sz w:val="24"/>
                <w:szCs w:val="20"/>
                <w:highlight w:val="none"/>
              </w:rPr>
            </w:pPr>
          </w:p>
        </w:tc>
        <w:tc>
          <w:tcPr>
            <w:tcW w:w="1843" w:type="dxa"/>
            <w:noWrap w:val="0"/>
            <w:vAlign w:val="center"/>
          </w:tcPr>
          <w:p w14:paraId="342FB352">
            <w:pPr>
              <w:snapToGrid w:val="0"/>
              <w:spacing w:before="50" w:after="120" w:afterLines="50"/>
              <w:jc w:val="center"/>
              <w:rPr>
                <w:rFonts w:hint="eastAsia" w:ascii="宋体" w:hAnsi="宋体" w:eastAsia="宋体" w:cs="宋体"/>
                <w:sz w:val="24"/>
                <w:szCs w:val="20"/>
                <w:highlight w:val="none"/>
              </w:rPr>
            </w:pPr>
          </w:p>
        </w:tc>
      </w:tr>
      <w:tr w14:paraId="69D9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3F81B1C5">
            <w:pPr>
              <w:snapToGrid w:val="0"/>
              <w:spacing w:before="50" w:after="120" w:afterLines="50"/>
              <w:jc w:val="center"/>
              <w:rPr>
                <w:rFonts w:hint="eastAsia" w:ascii="宋体" w:hAnsi="宋体" w:eastAsia="宋体" w:cs="宋体"/>
                <w:sz w:val="24"/>
                <w:szCs w:val="20"/>
                <w:highlight w:val="none"/>
              </w:rPr>
            </w:pPr>
          </w:p>
        </w:tc>
        <w:tc>
          <w:tcPr>
            <w:tcW w:w="709" w:type="dxa"/>
            <w:noWrap w:val="0"/>
            <w:vAlign w:val="center"/>
          </w:tcPr>
          <w:p w14:paraId="02AE47D0">
            <w:pPr>
              <w:snapToGrid w:val="0"/>
              <w:spacing w:before="50" w:after="120" w:afterLines="50"/>
              <w:jc w:val="center"/>
              <w:rPr>
                <w:rFonts w:hint="eastAsia" w:ascii="宋体" w:hAnsi="宋体" w:eastAsia="宋体" w:cs="宋体"/>
                <w:sz w:val="24"/>
                <w:szCs w:val="20"/>
                <w:highlight w:val="none"/>
              </w:rPr>
            </w:pPr>
          </w:p>
        </w:tc>
        <w:tc>
          <w:tcPr>
            <w:tcW w:w="1701" w:type="dxa"/>
            <w:noWrap w:val="0"/>
            <w:vAlign w:val="center"/>
          </w:tcPr>
          <w:p w14:paraId="4F656BE3">
            <w:pPr>
              <w:snapToGrid w:val="0"/>
              <w:spacing w:before="50" w:after="120" w:afterLines="50"/>
              <w:jc w:val="center"/>
              <w:rPr>
                <w:rFonts w:hint="eastAsia" w:ascii="宋体" w:hAnsi="宋体" w:eastAsia="宋体" w:cs="宋体"/>
                <w:sz w:val="24"/>
                <w:szCs w:val="20"/>
                <w:highlight w:val="none"/>
              </w:rPr>
            </w:pPr>
          </w:p>
        </w:tc>
        <w:tc>
          <w:tcPr>
            <w:tcW w:w="1420" w:type="dxa"/>
            <w:noWrap w:val="0"/>
            <w:vAlign w:val="center"/>
          </w:tcPr>
          <w:p w14:paraId="09900291">
            <w:pPr>
              <w:snapToGrid w:val="0"/>
              <w:spacing w:before="50" w:after="120" w:afterLines="50"/>
              <w:jc w:val="center"/>
              <w:rPr>
                <w:rFonts w:hint="eastAsia" w:ascii="宋体" w:hAnsi="宋体" w:eastAsia="宋体" w:cs="宋体"/>
                <w:sz w:val="24"/>
                <w:szCs w:val="20"/>
                <w:highlight w:val="none"/>
              </w:rPr>
            </w:pPr>
          </w:p>
        </w:tc>
        <w:tc>
          <w:tcPr>
            <w:tcW w:w="1698" w:type="dxa"/>
            <w:noWrap w:val="0"/>
            <w:vAlign w:val="center"/>
          </w:tcPr>
          <w:p w14:paraId="03057336">
            <w:pPr>
              <w:snapToGrid w:val="0"/>
              <w:spacing w:before="50" w:after="120" w:afterLines="50"/>
              <w:jc w:val="center"/>
              <w:rPr>
                <w:rFonts w:hint="eastAsia" w:ascii="宋体" w:hAnsi="宋体" w:eastAsia="宋体" w:cs="宋体"/>
                <w:sz w:val="24"/>
                <w:szCs w:val="20"/>
                <w:highlight w:val="none"/>
              </w:rPr>
            </w:pPr>
          </w:p>
        </w:tc>
        <w:tc>
          <w:tcPr>
            <w:tcW w:w="1843" w:type="dxa"/>
            <w:noWrap w:val="0"/>
            <w:vAlign w:val="center"/>
          </w:tcPr>
          <w:p w14:paraId="23F8702D">
            <w:pPr>
              <w:snapToGrid w:val="0"/>
              <w:spacing w:before="50" w:after="120" w:afterLines="50"/>
              <w:jc w:val="center"/>
              <w:rPr>
                <w:rFonts w:hint="eastAsia" w:ascii="宋体" w:hAnsi="宋体" w:eastAsia="宋体" w:cs="宋体"/>
                <w:sz w:val="24"/>
                <w:szCs w:val="20"/>
                <w:highlight w:val="none"/>
              </w:rPr>
            </w:pPr>
          </w:p>
        </w:tc>
      </w:tr>
    </w:tbl>
    <w:p w14:paraId="26C1FD46">
      <w:pPr>
        <w:snapToGrid w:val="0"/>
        <w:spacing w:before="50" w:after="120" w:afterLines="50"/>
        <w:jc w:val="left"/>
        <w:rPr>
          <w:rFonts w:hint="eastAsia" w:ascii="宋体" w:hAnsi="宋体" w:eastAsia="宋体" w:cs="宋体"/>
          <w:sz w:val="24"/>
          <w:szCs w:val="20"/>
          <w:highlight w:val="none"/>
        </w:rPr>
      </w:pPr>
    </w:p>
    <w:p w14:paraId="1EDFE9AE">
      <w:pPr>
        <w:spacing w:line="360" w:lineRule="auto"/>
        <w:contextualSpacing/>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注：</w:t>
      </w:r>
    </w:p>
    <w:p w14:paraId="09A8F4AF">
      <w:pPr>
        <w:spacing w:line="360" w:lineRule="auto"/>
        <w:contextualSpacing/>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1.在填写时，如本表格不适合投标单位的实际情况，可根据本表格式自行制表填写。</w:t>
      </w:r>
    </w:p>
    <w:p w14:paraId="4F239EAE">
      <w:pPr>
        <w:spacing w:line="360" w:lineRule="auto"/>
        <w:contextualSpacing/>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2.投标人应当附本表所列证书的复印件并加盖投标人公章。</w:t>
      </w:r>
    </w:p>
    <w:p w14:paraId="69594901">
      <w:pPr>
        <w:spacing w:line="360" w:lineRule="auto"/>
        <w:contextualSpacing/>
        <w:jc w:val="left"/>
        <w:rPr>
          <w:rFonts w:hint="eastAsia" w:ascii="宋体" w:hAnsi="宋体" w:eastAsia="宋体" w:cs="宋体"/>
          <w:sz w:val="24"/>
          <w:szCs w:val="20"/>
          <w:highlight w:val="none"/>
        </w:rPr>
      </w:pPr>
    </w:p>
    <w:p w14:paraId="057FFDCE">
      <w:pPr>
        <w:spacing w:line="360" w:lineRule="auto"/>
        <w:contextualSpacing/>
        <w:jc w:val="left"/>
        <w:rPr>
          <w:rFonts w:hint="eastAsia" w:ascii="宋体" w:hAnsi="宋体" w:eastAsia="宋体" w:cs="宋体"/>
          <w:sz w:val="24"/>
          <w:szCs w:val="20"/>
          <w:highlight w:val="none"/>
        </w:rPr>
      </w:pPr>
    </w:p>
    <w:p w14:paraId="3810658F">
      <w:pPr>
        <w:spacing w:line="360" w:lineRule="auto"/>
        <w:contextualSpacing/>
        <w:rPr>
          <w:rFonts w:hint="eastAsia" w:ascii="宋体" w:hAnsi="宋体" w:eastAsia="宋体" w:cs="宋体"/>
          <w:spacing w:val="20"/>
          <w:sz w:val="24"/>
          <w:szCs w:val="20"/>
          <w:highlight w:val="none"/>
          <w:u w:val="single"/>
        </w:rPr>
      </w:pPr>
      <w:r>
        <w:rPr>
          <w:rFonts w:hint="eastAsia" w:ascii="宋体" w:hAnsi="宋体" w:eastAsia="宋体" w:cs="宋体"/>
          <w:sz w:val="24"/>
          <w:highlight w:val="none"/>
        </w:rPr>
        <w:t>法定代表人或者委托代理人</w:t>
      </w:r>
      <w:r>
        <w:rPr>
          <w:rFonts w:hint="eastAsia" w:ascii="宋体" w:hAnsi="宋体" w:eastAsia="宋体" w:cs="宋体"/>
          <w:spacing w:val="20"/>
          <w:sz w:val="24"/>
          <w:highlight w:val="none"/>
        </w:rPr>
        <w:t>（签字/电子签名）</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p>
    <w:p w14:paraId="04B85CF9">
      <w:pPr>
        <w:spacing w:line="360" w:lineRule="auto"/>
        <w:contextualSpacing/>
        <w:jc w:val="left"/>
        <w:rPr>
          <w:rFonts w:hint="eastAsia" w:ascii="宋体" w:hAnsi="宋体" w:eastAsia="宋体" w:cs="宋体"/>
          <w:spacing w:val="20"/>
          <w:sz w:val="24"/>
          <w:highlight w:val="none"/>
        </w:rPr>
      </w:pPr>
      <w:r>
        <w:rPr>
          <w:rFonts w:hint="eastAsia" w:ascii="宋体" w:hAnsi="宋体" w:eastAsia="宋体" w:cs="宋体"/>
          <w:spacing w:val="20"/>
          <w:sz w:val="24"/>
          <w:highlight w:val="none"/>
        </w:rPr>
        <w:t>投标人名称（电子签章）</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r>
        <w:rPr>
          <w:rFonts w:hint="eastAsia" w:ascii="宋体" w:hAnsi="宋体" w:eastAsia="宋体" w:cs="宋体"/>
          <w:spacing w:val="20"/>
          <w:sz w:val="24"/>
          <w:highlight w:val="none"/>
        </w:rPr>
        <w:t xml:space="preserve">              </w:t>
      </w:r>
    </w:p>
    <w:p w14:paraId="28EA9BE9">
      <w:pPr>
        <w:spacing w:line="360" w:lineRule="auto"/>
        <w:contextualSpacing/>
        <w:jc w:val="left"/>
        <w:rPr>
          <w:rFonts w:hint="eastAsia" w:ascii="宋体" w:hAnsi="宋体" w:eastAsia="宋体" w:cs="宋体"/>
          <w:sz w:val="24"/>
          <w:szCs w:val="20"/>
          <w:highlight w:val="none"/>
        </w:rPr>
      </w:pPr>
      <w:r>
        <w:rPr>
          <w:rFonts w:hint="eastAsia" w:ascii="宋体" w:hAnsi="宋体" w:eastAsia="宋体" w:cs="宋体"/>
          <w:spacing w:val="20"/>
          <w:sz w:val="24"/>
          <w:highlight w:val="none"/>
        </w:rPr>
        <w:t>日 期</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p>
    <w:p w14:paraId="675DCFD7">
      <w:pPr>
        <w:snapToGrid w:val="0"/>
        <w:spacing w:before="50" w:after="120" w:afterLines="50"/>
        <w:jc w:val="left"/>
        <w:rPr>
          <w:rFonts w:hint="eastAsia" w:ascii="宋体" w:hAnsi="宋体" w:eastAsia="宋体" w:cs="宋体"/>
          <w:sz w:val="24"/>
          <w:szCs w:val="20"/>
          <w:highlight w:val="none"/>
        </w:rPr>
      </w:pPr>
    </w:p>
    <w:p w14:paraId="1AAB4270">
      <w:pPr>
        <w:snapToGrid w:val="0"/>
        <w:spacing w:before="120" w:beforeLines="50" w:after="50"/>
        <w:ind w:left="142"/>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cs="宋体"/>
          <w:b/>
          <w:sz w:val="24"/>
          <w:highlight w:val="none"/>
          <w:lang w:val="en-US" w:eastAsia="zh-CN"/>
        </w:rPr>
        <w:t>5</w:t>
      </w:r>
      <w:r>
        <w:rPr>
          <w:rFonts w:hint="eastAsia" w:ascii="宋体" w:hAnsi="宋体" w:eastAsia="宋体" w:cs="宋体"/>
          <w:b/>
          <w:sz w:val="24"/>
          <w:highlight w:val="none"/>
        </w:rPr>
        <w:t>.选配件、专用耗材、售后服务优惠表格式（注：按项目需求表具体项目修改）</w:t>
      </w:r>
    </w:p>
    <w:p w14:paraId="094BD22A">
      <w:pPr>
        <w:snapToGrid w:val="0"/>
        <w:spacing w:before="120" w:beforeLines="50" w:after="50"/>
        <w:ind w:left="142"/>
        <w:jc w:val="left"/>
        <w:rPr>
          <w:rFonts w:hint="eastAsia" w:ascii="宋体" w:hAnsi="宋体" w:eastAsia="宋体" w:cs="宋体"/>
          <w:b/>
          <w:sz w:val="24"/>
          <w:highlight w:val="none"/>
        </w:rPr>
      </w:pPr>
    </w:p>
    <w:p w14:paraId="4EF2D5D7">
      <w:pPr>
        <w:snapToGrid w:val="0"/>
        <w:spacing w:before="120" w:beforeLines="50" w:after="50"/>
        <w:ind w:left="142"/>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选配件、专用耗材、售后服务优惠表</w:t>
      </w:r>
    </w:p>
    <w:p w14:paraId="7774EB3F">
      <w:pPr>
        <w:pStyle w:val="27"/>
        <w:rPr>
          <w:rFonts w:hint="eastAsia" w:ascii="宋体" w:hAnsi="宋体" w:eastAsia="宋体" w:cs="宋体"/>
          <w:sz w:val="24"/>
          <w:szCs w:val="24"/>
          <w:highlight w:val="none"/>
        </w:rPr>
      </w:pPr>
      <w:r>
        <w:rPr>
          <w:rFonts w:hint="eastAsia" w:ascii="宋体" w:hAnsi="宋体" w:eastAsia="宋体" w:cs="宋体"/>
          <w:sz w:val="24"/>
          <w:szCs w:val="24"/>
          <w:highlight w:val="none"/>
        </w:rPr>
        <w:t>所投分标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分标</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066C61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CAB4C7">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662129CA">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5A4E66D0">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24A08FC3">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2C0278AC">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比市场价优惠率</w:t>
            </w:r>
          </w:p>
        </w:tc>
      </w:tr>
      <w:tr w14:paraId="722845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7E64D18C">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43A8A167">
            <w:pPr>
              <w:pStyle w:val="27"/>
              <w:snapToGrid w:val="0"/>
              <w:spacing w:before="295" w:after="295"/>
              <w:jc w:val="center"/>
              <w:rPr>
                <w:rFonts w:hint="eastAsia" w:ascii="宋体" w:hAnsi="宋体" w:eastAsia="宋体" w:cs="宋体"/>
                <w:sz w:val="24"/>
                <w:szCs w:val="24"/>
                <w:highlight w:val="none"/>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4DFF6367">
            <w:pPr>
              <w:pStyle w:val="27"/>
              <w:snapToGrid w:val="0"/>
              <w:spacing w:before="295" w:after="295"/>
              <w:jc w:val="center"/>
              <w:rPr>
                <w:rFonts w:hint="eastAsia" w:ascii="宋体" w:hAnsi="宋体" w:eastAsia="宋体" w:cs="宋体"/>
                <w:sz w:val="24"/>
                <w:szCs w:val="24"/>
                <w:highlight w:val="none"/>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662A554">
            <w:pPr>
              <w:pStyle w:val="27"/>
              <w:snapToGrid w:val="0"/>
              <w:spacing w:before="295" w:after="295"/>
              <w:jc w:val="center"/>
              <w:rPr>
                <w:rFonts w:hint="eastAsia" w:ascii="宋体" w:hAnsi="宋体" w:eastAsia="宋体" w:cs="宋体"/>
                <w:sz w:val="24"/>
                <w:szCs w:val="24"/>
                <w:highlight w:val="none"/>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6B76E864">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r w14:paraId="28B2A3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01F8AC5">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5AA84E83">
            <w:pPr>
              <w:pStyle w:val="27"/>
              <w:snapToGrid w:val="0"/>
              <w:spacing w:before="295" w:after="295"/>
              <w:jc w:val="center"/>
              <w:rPr>
                <w:rFonts w:hint="eastAsia" w:ascii="宋体" w:hAnsi="宋体" w:eastAsia="宋体" w:cs="宋体"/>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580D3D28">
            <w:pPr>
              <w:pStyle w:val="27"/>
              <w:snapToGrid w:val="0"/>
              <w:spacing w:before="295" w:after="295"/>
              <w:jc w:val="center"/>
              <w:rPr>
                <w:rFonts w:hint="eastAsia" w:ascii="宋体" w:hAnsi="宋体" w:eastAsia="宋体" w:cs="宋体"/>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7C49C24">
            <w:pPr>
              <w:pStyle w:val="27"/>
              <w:snapToGrid w:val="0"/>
              <w:spacing w:before="295" w:after="295"/>
              <w:jc w:val="center"/>
              <w:rPr>
                <w:rFonts w:hint="eastAsia" w:ascii="宋体" w:hAnsi="宋体" w:eastAsia="宋体" w:cs="宋体"/>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7B74005C">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r w14:paraId="17A06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CD780F4">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7C2200C8">
            <w:pPr>
              <w:pStyle w:val="27"/>
              <w:snapToGrid w:val="0"/>
              <w:spacing w:before="295" w:after="295"/>
              <w:jc w:val="center"/>
              <w:rPr>
                <w:rFonts w:hint="eastAsia" w:ascii="宋体" w:hAnsi="宋体" w:eastAsia="宋体" w:cs="宋体"/>
                <w:sz w:val="24"/>
                <w:szCs w:val="24"/>
                <w:highlight w:val="none"/>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2CC4B6C5">
            <w:pPr>
              <w:pStyle w:val="27"/>
              <w:snapToGrid w:val="0"/>
              <w:spacing w:before="295" w:after="295"/>
              <w:jc w:val="center"/>
              <w:rPr>
                <w:rFonts w:hint="eastAsia" w:ascii="宋体" w:hAnsi="宋体" w:eastAsia="宋体" w:cs="宋体"/>
                <w:sz w:val="24"/>
                <w:szCs w:val="24"/>
                <w:highlight w:val="none"/>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58A46CB6">
            <w:pPr>
              <w:pStyle w:val="27"/>
              <w:snapToGrid w:val="0"/>
              <w:spacing w:before="295" w:after="295"/>
              <w:jc w:val="center"/>
              <w:rPr>
                <w:rFonts w:hint="eastAsia" w:ascii="宋体" w:hAnsi="宋体" w:eastAsia="宋体" w:cs="宋体"/>
                <w:sz w:val="24"/>
                <w:szCs w:val="24"/>
                <w:highlight w:val="none"/>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24393998">
            <w:pPr>
              <w:pStyle w:val="27"/>
              <w:snapToGrid w:val="0"/>
              <w:spacing w:before="295" w:after="295"/>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bl>
    <w:p w14:paraId="42023A87">
      <w:pPr>
        <w:spacing w:line="360" w:lineRule="auto"/>
        <w:contextualSpacing/>
        <w:rPr>
          <w:rFonts w:hint="eastAsia" w:ascii="宋体" w:hAnsi="宋体" w:eastAsia="宋体" w:cs="宋体"/>
          <w:sz w:val="24"/>
          <w:highlight w:val="none"/>
        </w:rPr>
      </w:pPr>
    </w:p>
    <w:p w14:paraId="7F3F08AF">
      <w:pPr>
        <w:spacing w:line="360" w:lineRule="auto"/>
        <w:contextualSpacing/>
        <w:rPr>
          <w:rFonts w:hint="eastAsia" w:ascii="宋体" w:hAnsi="宋体" w:eastAsia="宋体" w:cs="宋体"/>
          <w:spacing w:val="20"/>
          <w:sz w:val="24"/>
          <w:highlight w:val="none"/>
          <w:u w:val="single"/>
        </w:rPr>
      </w:pPr>
      <w:r>
        <w:rPr>
          <w:rFonts w:hint="eastAsia" w:ascii="宋体" w:hAnsi="宋体" w:eastAsia="宋体" w:cs="宋体"/>
          <w:sz w:val="24"/>
          <w:highlight w:val="none"/>
        </w:rPr>
        <w:t>法定代表人或者委托代理人</w:t>
      </w:r>
      <w:r>
        <w:rPr>
          <w:rFonts w:hint="eastAsia" w:ascii="宋体" w:hAnsi="宋体" w:eastAsia="宋体" w:cs="宋体"/>
          <w:spacing w:val="20"/>
          <w:sz w:val="24"/>
          <w:highlight w:val="none"/>
        </w:rPr>
        <w:t>（签字/电子签名）</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p>
    <w:p w14:paraId="5DAA66B7">
      <w:pPr>
        <w:spacing w:line="360" w:lineRule="auto"/>
        <w:contextualSpacing/>
        <w:jc w:val="left"/>
        <w:rPr>
          <w:rFonts w:hint="eastAsia" w:ascii="宋体" w:hAnsi="宋体" w:eastAsia="宋体" w:cs="宋体"/>
          <w:spacing w:val="20"/>
          <w:sz w:val="24"/>
          <w:highlight w:val="none"/>
        </w:rPr>
      </w:pPr>
      <w:r>
        <w:rPr>
          <w:rFonts w:hint="eastAsia" w:ascii="宋体" w:hAnsi="宋体" w:eastAsia="宋体" w:cs="宋体"/>
          <w:spacing w:val="20"/>
          <w:sz w:val="24"/>
          <w:highlight w:val="none"/>
        </w:rPr>
        <w:t>投标人名称（电子签章）</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r>
        <w:rPr>
          <w:rFonts w:hint="eastAsia" w:ascii="宋体" w:hAnsi="宋体" w:eastAsia="宋体" w:cs="宋体"/>
          <w:spacing w:val="20"/>
          <w:sz w:val="24"/>
          <w:highlight w:val="none"/>
        </w:rPr>
        <w:t xml:space="preserve">              </w:t>
      </w:r>
    </w:p>
    <w:p w14:paraId="1B1864C3">
      <w:pPr>
        <w:spacing w:line="360" w:lineRule="auto"/>
        <w:contextualSpacing/>
        <w:jc w:val="left"/>
        <w:rPr>
          <w:rFonts w:hint="eastAsia" w:ascii="宋体" w:hAnsi="宋体" w:eastAsia="宋体" w:cs="宋体"/>
          <w:sz w:val="24"/>
          <w:szCs w:val="20"/>
          <w:highlight w:val="none"/>
        </w:rPr>
      </w:pPr>
      <w:r>
        <w:rPr>
          <w:rFonts w:hint="eastAsia" w:ascii="宋体" w:hAnsi="宋体" w:eastAsia="宋体" w:cs="宋体"/>
          <w:spacing w:val="20"/>
          <w:sz w:val="24"/>
          <w:highlight w:val="none"/>
        </w:rPr>
        <w:t>日 期</w:t>
      </w:r>
      <w:r>
        <w:rPr>
          <w:rFonts w:hint="eastAsia" w:ascii="宋体" w:hAnsi="宋体" w:eastAsia="宋体" w:cs="宋体"/>
          <w:spacing w:val="20"/>
          <w:sz w:val="24"/>
          <w:highlight w:val="none"/>
          <w:lang w:eastAsia="zh-CN"/>
        </w:rPr>
        <w:t>：</w:t>
      </w:r>
      <w:r>
        <w:rPr>
          <w:rFonts w:hint="eastAsia" w:ascii="宋体" w:hAnsi="宋体" w:eastAsia="宋体" w:cs="宋体"/>
          <w:spacing w:val="20"/>
          <w:sz w:val="24"/>
          <w:highlight w:val="none"/>
          <w:u w:val="single"/>
        </w:rPr>
        <w:t xml:space="preserve">           </w:t>
      </w:r>
    </w:p>
    <w:p w14:paraId="473325D0">
      <w:pPr>
        <w:snapToGrid w:val="0"/>
        <w:spacing w:before="50" w:after="120" w:afterLines="50"/>
        <w:jc w:val="left"/>
        <w:rPr>
          <w:rFonts w:hint="eastAsia" w:ascii="宋体" w:hAnsi="宋体" w:eastAsia="宋体" w:cs="宋体"/>
          <w:sz w:val="24"/>
          <w:szCs w:val="20"/>
          <w:highlight w:val="none"/>
        </w:rPr>
      </w:pPr>
    </w:p>
    <w:p w14:paraId="135BA59C">
      <w:pPr>
        <w:rPr>
          <w:rFonts w:hint="eastAsia" w:ascii="宋体" w:hAnsi="宋体" w:eastAsia="宋体" w:cs="宋体"/>
          <w:b/>
          <w:sz w:val="28"/>
          <w:szCs w:val="28"/>
          <w:highlight w:val="none"/>
        </w:rPr>
      </w:pPr>
      <w:r>
        <w:rPr>
          <w:rFonts w:hint="eastAsia" w:ascii="宋体" w:hAnsi="宋体" w:eastAsia="宋体" w:cs="宋体"/>
          <w:b/>
          <w:bCs/>
          <w:sz w:val="24"/>
          <w:highlight w:val="none"/>
        </w:rPr>
        <w:br w:type="page"/>
      </w:r>
      <w:r>
        <w:rPr>
          <w:rFonts w:hint="eastAsia" w:ascii="宋体" w:hAnsi="宋体" w:eastAsia="宋体" w:cs="宋体"/>
          <w:b/>
          <w:sz w:val="28"/>
          <w:szCs w:val="28"/>
          <w:highlight w:val="none"/>
        </w:rPr>
        <w:t>五、其他文书、文件格式</w:t>
      </w:r>
    </w:p>
    <w:p w14:paraId="2CFEE09D">
      <w:pPr>
        <w:snapToGrid w:val="0"/>
        <w:spacing w:before="120" w:beforeLines="50" w:after="50"/>
        <w:ind w:left="142"/>
        <w:jc w:val="left"/>
        <w:rPr>
          <w:rFonts w:hint="eastAsia" w:ascii="宋体" w:hAnsi="宋体" w:eastAsia="宋体" w:cs="宋体"/>
          <w:b/>
          <w:spacing w:val="20"/>
          <w:sz w:val="24"/>
          <w:highlight w:val="none"/>
        </w:rPr>
      </w:pPr>
      <w:r>
        <w:rPr>
          <w:rFonts w:hint="eastAsia" w:ascii="宋体" w:hAnsi="宋体" w:eastAsia="宋体" w:cs="宋体"/>
          <w:b/>
          <w:spacing w:val="20"/>
          <w:sz w:val="24"/>
          <w:highlight w:val="none"/>
        </w:rPr>
        <w:t>1.联合投标协议书格式</w:t>
      </w:r>
    </w:p>
    <w:p w14:paraId="0EAED91A">
      <w:pPr>
        <w:pStyle w:val="8"/>
        <w:overflowPunct w:val="0"/>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联合体协议书</w:t>
      </w:r>
    </w:p>
    <w:p w14:paraId="41A3E7A0">
      <w:pPr>
        <w:pStyle w:val="8"/>
        <w:overflowPunct w:val="0"/>
        <w:rPr>
          <w:rFonts w:hint="eastAsia" w:ascii="宋体" w:hAnsi="宋体" w:eastAsia="宋体" w:cs="宋体"/>
          <w:sz w:val="24"/>
          <w:highlight w:val="none"/>
        </w:rPr>
      </w:pPr>
    </w:p>
    <w:p w14:paraId="391936A5">
      <w:pPr>
        <w:pStyle w:val="8"/>
        <w:overflowPunct w:val="0"/>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（所有成员单位名称）自愿组成</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（联合体名称）联合体，共同参加</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采购招标项目投标。现就联合体投标事宜订立如下协议。</w:t>
      </w:r>
    </w:p>
    <w:p w14:paraId="55FCF4D8">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（某成员单位名称）为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（联合体名称）牵头人。</w:t>
      </w:r>
    </w:p>
    <w:p w14:paraId="0293FE4B">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2.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657E2F4F">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3.联合体牵头人在本项目中签署和盖章的一切文件和处理的一切事宜，联合体各成员均予以承认。联合体各成员将严格按照招标文件、投标文件和合同的要求全面履行义务，并向招标人承担连带责任。</w:t>
      </w:r>
    </w:p>
    <w:p w14:paraId="29E678F5">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4.联合体各成员单位内部的职责分工如下</w:t>
      </w:r>
      <w:r>
        <w:rPr>
          <w:rFonts w:hint="eastAsia" w:ascii="宋体" w:hAnsi="宋体" w:cs="宋体"/>
          <w:sz w:val="24"/>
          <w:highlight w:val="none"/>
          <w:lang w:eastAsia="zh-CN"/>
        </w:rPr>
        <w:t>：</w:t>
      </w:r>
      <w:r>
        <w:rPr>
          <w:rFonts w:hint="eastAsia" w:ascii="宋体" w:hAnsi="宋体" w:eastAsia="宋体" w:cs="宋体"/>
          <w:sz w:val="24"/>
          <w:highlight w:val="none"/>
        </w:rPr>
        <w:t>。</w:t>
      </w:r>
    </w:p>
    <w:p w14:paraId="4798F23D">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5.本协议书自所有成员单位法定代表人或者其委托代理人签字（或者电子签名）或者盖公章之日起生效，合同履行完毕后自动失效。</w:t>
      </w:r>
    </w:p>
    <w:p w14:paraId="3AF209A3">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6.本协议书一式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份，联合体成员和招标人各执一份。</w:t>
      </w:r>
    </w:p>
    <w:p w14:paraId="64287E6D">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注：本协议书由法定代表人签字或者电子签名的，应附法定代表人身份证明；由委托代理人签字或者电子签名的，应附授权委托书。</w:t>
      </w:r>
    </w:p>
    <w:p w14:paraId="180AF7E3">
      <w:pPr>
        <w:pStyle w:val="8"/>
        <w:overflowPunct w:val="0"/>
        <w:spacing w:line="360" w:lineRule="auto"/>
        <w:ind w:firstLineChars="175"/>
        <w:contextualSpacing/>
        <w:rPr>
          <w:rFonts w:hint="eastAsia" w:ascii="宋体" w:hAnsi="宋体" w:eastAsia="宋体" w:cs="宋体"/>
          <w:sz w:val="24"/>
          <w:highlight w:val="none"/>
        </w:rPr>
      </w:pPr>
    </w:p>
    <w:p w14:paraId="5BD854F1">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联合体牵头人名称（电子签章）：</w:t>
      </w:r>
    </w:p>
    <w:p w14:paraId="5EE02B15">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法定代表人或者其委托代理人</w:t>
      </w:r>
      <w:r>
        <w:rPr>
          <w:rFonts w:hint="eastAsia" w:ascii="宋体" w:hAnsi="宋体" w:cs="宋体"/>
          <w:sz w:val="24"/>
          <w:highlight w:val="none"/>
          <w:lang w:eastAsia="zh-CN"/>
        </w:rPr>
        <w:t>：</w:t>
      </w:r>
      <w:r>
        <w:rPr>
          <w:rFonts w:hint="eastAsia" w:ascii="宋体" w:hAnsi="宋体" w:eastAsia="宋体" w:cs="宋体"/>
          <w:sz w:val="24"/>
          <w:highlight w:val="none"/>
        </w:rPr>
        <w:t>（签字/电子签名）</w:t>
      </w:r>
    </w:p>
    <w:p w14:paraId="55D45F41">
      <w:pPr>
        <w:pStyle w:val="8"/>
        <w:overflowPunct w:val="0"/>
        <w:spacing w:line="360" w:lineRule="auto"/>
        <w:ind w:firstLineChars="175"/>
        <w:contextualSpacing/>
        <w:rPr>
          <w:rFonts w:hint="eastAsia" w:ascii="宋体" w:hAnsi="宋体" w:eastAsia="宋体" w:cs="宋体"/>
          <w:sz w:val="24"/>
          <w:highlight w:val="none"/>
        </w:rPr>
      </w:pPr>
    </w:p>
    <w:p w14:paraId="1F04157D">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联合体成员名称（盖公章）：</w:t>
      </w:r>
    </w:p>
    <w:p w14:paraId="75F44041">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法定代表人或者其委托代理人</w:t>
      </w:r>
      <w:r>
        <w:rPr>
          <w:rFonts w:hint="eastAsia" w:ascii="宋体" w:hAnsi="宋体" w:cs="宋体"/>
          <w:sz w:val="24"/>
          <w:highlight w:val="none"/>
          <w:lang w:eastAsia="zh-CN"/>
        </w:rPr>
        <w:t>：</w:t>
      </w:r>
      <w:r>
        <w:rPr>
          <w:rFonts w:hint="eastAsia" w:ascii="宋体" w:hAnsi="宋体" w:eastAsia="宋体" w:cs="宋体"/>
          <w:sz w:val="24"/>
          <w:highlight w:val="none"/>
        </w:rPr>
        <w:t>（签字/电子签名）</w:t>
      </w:r>
    </w:p>
    <w:p w14:paraId="6C55B640">
      <w:pPr>
        <w:pStyle w:val="8"/>
        <w:overflowPunct w:val="0"/>
        <w:spacing w:line="360" w:lineRule="auto"/>
        <w:ind w:firstLineChars="175"/>
        <w:contextualSpacing/>
        <w:rPr>
          <w:rFonts w:hint="eastAsia" w:ascii="宋体" w:hAnsi="宋体" w:eastAsia="宋体" w:cs="宋体"/>
          <w:sz w:val="24"/>
          <w:highlight w:val="none"/>
        </w:rPr>
      </w:pPr>
      <w:r>
        <w:rPr>
          <w:rFonts w:hint="eastAsia" w:ascii="宋体" w:hAnsi="宋体" w:eastAsia="宋体" w:cs="宋体"/>
          <w:sz w:val="24"/>
          <w:highlight w:val="none"/>
        </w:rPr>
        <w:t>……</w:t>
      </w:r>
    </w:p>
    <w:p w14:paraId="3B829E01">
      <w:pPr>
        <w:pStyle w:val="8"/>
        <w:overflowPunct w:val="0"/>
        <w:spacing w:line="360" w:lineRule="auto"/>
        <w:ind w:firstLineChars="175"/>
        <w:contextualSpacing/>
        <w:rPr>
          <w:rFonts w:hint="eastAsia" w:ascii="宋体" w:hAnsi="宋体" w:eastAsia="宋体" w:cs="宋体"/>
          <w:sz w:val="24"/>
          <w:highlight w:val="none"/>
        </w:rPr>
      </w:pPr>
    </w:p>
    <w:p w14:paraId="518B3502">
      <w:pPr>
        <w:pStyle w:val="8"/>
        <w:overflowPunct w:val="0"/>
        <w:spacing w:line="360" w:lineRule="auto"/>
        <w:ind w:firstLineChars="175"/>
        <w:contextualSpacing/>
        <w:jc w:val="right"/>
        <w:rPr>
          <w:rFonts w:hint="eastAsia" w:ascii="宋体" w:hAnsi="宋体" w:eastAsia="宋体" w:cs="宋体"/>
          <w:b/>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rPr>
        <w:tab/>
      </w:r>
      <w:r>
        <w:rPr>
          <w:rFonts w:hint="eastAsia" w:ascii="宋体" w:hAnsi="宋体" w:eastAsia="宋体" w:cs="宋体"/>
          <w:sz w:val="24"/>
          <w:highlight w:val="none"/>
        </w:rPr>
        <w:t xml:space="preserve">年 </w:t>
      </w:r>
      <w:r>
        <w:rPr>
          <w:rFonts w:hint="eastAsia" w:ascii="宋体" w:hAnsi="宋体" w:eastAsia="宋体" w:cs="宋体"/>
          <w:sz w:val="24"/>
          <w:highlight w:val="none"/>
        </w:rPr>
        <w:tab/>
      </w:r>
      <w:r>
        <w:rPr>
          <w:rFonts w:hint="eastAsia" w:ascii="宋体" w:hAnsi="宋体" w:eastAsia="宋体" w:cs="宋体"/>
          <w:sz w:val="24"/>
          <w:highlight w:val="none"/>
        </w:rPr>
        <w:t xml:space="preserve">月 </w:t>
      </w:r>
      <w:r>
        <w:rPr>
          <w:rFonts w:hint="eastAsia" w:ascii="宋体" w:hAnsi="宋体" w:eastAsia="宋体" w:cs="宋体"/>
          <w:sz w:val="24"/>
          <w:highlight w:val="none"/>
        </w:rPr>
        <w:tab/>
      </w:r>
      <w:r>
        <w:rPr>
          <w:rFonts w:hint="eastAsia" w:ascii="宋体" w:hAnsi="宋体" w:eastAsia="宋体" w:cs="宋体"/>
          <w:sz w:val="24"/>
          <w:highlight w:val="none"/>
        </w:rPr>
        <w:t>日</w:t>
      </w:r>
    </w:p>
    <w:p w14:paraId="7FE0B0E7">
      <w:pPr>
        <w:snapToGrid w:val="0"/>
        <w:spacing w:before="120" w:beforeLines="50" w:after="50"/>
        <w:jc w:val="left"/>
        <w:rPr>
          <w:rFonts w:hint="eastAsia" w:ascii="宋体" w:hAnsi="宋体" w:eastAsia="宋体" w:cs="宋体"/>
          <w:b/>
          <w:sz w:val="24"/>
          <w:highlight w:val="none"/>
        </w:rPr>
      </w:pPr>
      <w:r>
        <w:rPr>
          <w:rFonts w:hint="eastAsia" w:ascii="宋体" w:hAnsi="宋体" w:eastAsia="宋体" w:cs="宋体"/>
          <w:b/>
          <w:sz w:val="24"/>
          <w:highlight w:val="none"/>
        </w:rPr>
        <w:t xml:space="preserve"> </w:t>
      </w:r>
    </w:p>
    <w:p w14:paraId="6FC05259">
      <w:pPr>
        <w:snapToGrid w:val="0"/>
        <w:spacing w:before="120" w:beforeLines="50" w:after="50"/>
        <w:jc w:val="left"/>
        <w:rPr>
          <w:rFonts w:hint="eastAsia" w:ascii="宋体" w:hAnsi="宋体" w:eastAsia="宋体" w:cs="宋体"/>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2.中小（小微）企业声明函格式</w:t>
      </w:r>
    </w:p>
    <w:p w14:paraId="6C5CB051">
      <w:pPr>
        <w:rPr>
          <w:rFonts w:hint="eastAsia" w:ascii="宋体" w:hAnsi="宋体" w:eastAsia="宋体" w:cs="宋体"/>
          <w:highlight w:val="none"/>
        </w:rPr>
      </w:pPr>
    </w:p>
    <w:p w14:paraId="1B937408">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中小（小微）企业声明函（货物）</w:t>
      </w:r>
    </w:p>
    <w:p w14:paraId="0C113877">
      <w:pPr>
        <w:spacing w:before="2" w:line="500" w:lineRule="exact"/>
        <w:rPr>
          <w:rFonts w:hint="eastAsia" w:ascii="宋体" w:hAnsi="宋体" w:eastAsia="宋体" w:cs="宋体"/>
          <w:b/>
          <w:bCs/>
          <w:sz w:val="27"/>
          <w:szCs w:val="27"/>
          <w:highlight w:val="none"/>
        </w:rPr>
      </w:pPr>
    </w:p>
    <w:p w14:paraId="04FE73A2">
      <w:pPr>
        <w:pStyle w:val="19"/>
        <w:spacing w:line="360" w:lineRule="auto"/>
        <w:ind w:left="-426" w:leftChars="-203" w:right="142" w:firstLine="480" w:firstLineChars="200"/>
        <w:contextualSpacing/>
        <w:rPr>
          <w:rFonts w:hint="eastAsia" w:ascii="宋体" w:hAnsi="宋体" w:eastAsia="宋体" w:cs="宋体"/>
          <w:kern w:val="24"/>
          <w:highlight w:val="none"/>
        </w:rPr>
      </w:pPr>
      <w:r>
        <w:rPr>
          <w:rFonts w:hint="eastAsia" w:ascii="宋体" w:hAnsi="宋体" w:eastAsia="宋体" w:cs="宋体"/>
          <w:kern w:val="24"/>
          <w:highlight w:val="none"/>
        </w:rPr>
        <w:t>本公司（联合体）郑重声明，根据《政府采购促进中小企业发展管理办法》（财库﹝2020﹞46号）的规定，本公司（联合体）参加</w:t>
      </w:r>
      <w:r>
        <w:rPr>
          <w:rFonts w:hint="eastAsia" w:ascii="宋体" w:hAnsi="宋体" w:eastAsia="宋体" w:cs="宋体"/>
          <w:kern w:val="24"/>
          <w:highlight w:val="none"/>
          <w:u w:val="single"/>
        </w:rPr>
        <w:t>（单位名称）</w:t>
      </w:r>
      <w:r>
        <w:rPr>
          <w:rFonts w:hint="eastAsia" w:ascii="宋体" w:hAnsi="宋体" w:eastAsia="宋体" w:cs="宋体"/>
          <w:kern w:val="24"/>
          <w:highlight w:val="none"/>
        </w:rPr>
        <w:t>的</w:t>
      </w:r>
      <w:r>
        <w:rPr>
          <w:rFonts w:hint="eastAsia" w:ascii="宋体" w:hAnsi="宋体" w:eastAsia="宋体" w:cs="宋体"/>
          <w:kern w:val="24"/>
          <w:highlight w:val="none"/>
          <w:u w:val="single"/>
        </w:rPr>
        <w:t>（项目名称）</w:t>
      </w:r>
      <w:r>
        <w:rPr>
          <w:rFonts w:hint="eastAsia" w:ascii="宋体" w:hAnsi="宋体" w:eastAsia="宋体" w:cs="宋体"/>
          <w:kern w:val="24"/>
          <w:highlight w:val="none"/>
        </w:rPr>
        <w:t>采购活动，提供的货物全部由符合政策要求的中小</w:t>
      </w:r>
      <w:r>
        <w:rPr>
          <w:rFonts w:hint="eastAsia" w:ascii="宋体" w:hAnsi="宋体" w:eastAsia="宋体" w:cs="宋体"/>
          <w:kern w:val="24"/>
          <w:highlight w:val="none"/>
          <w:lang w:eastAsia="zh-CN"/>
        </w:rPr>
        <w:t>（小微）</w:t>
      </w:r>
      <w:r>
        <w:rPr>
          <w:rFonts w:hint="eastAsia" w:ascii="宋体" w:hAnsi="宋体" w:eastAsia="宋体" w:cs="宋体"/>
          <w:kern w:val="24"/>
          <w:highlight w:val="none"/>
        </w:rPr>
        <w:t>企业制造。相关企业（含联合体中的中小</w:t>
      </w:r>
      <w:r>
        <w:rPr>
          <w:rFonts w:hint="eastAsia" w:ascii="宋体" w:hAnsi="宋体" w:eastAsia="宋体" w:cs="宋体"/>
          <w:kern w:val="24"/>
          <w:highlight w:val="none"/>
          <w:lang w:eastAsia="zh-CN"/>
        </w:rPr>
        <w:t>（小微）</w:t>
      </w:r>
      <w:r>
        <w:rPr>
          <w:rFonts w:hint="eastAsia" w:ascii="宋体" w:hAnsi="宋体" w:eastAsia="宋体" w:cs="宋体"/>
          <w:kern w:val="24"/>
          <w:highlight w:val="none"/>
        </w:rPr>
        <w:t>企业、签订分包意向协议的中小</w:t>
      </w:r>
      <w:r>
        <w:rPr>
          <w:rFonts w:hint="eastAsia" w:ascii="宋体" w:hAnsi="宋体" w:eastAsia="宋体" w:cs="宋体"/>
          <w:kern w:val="24"/>
          <w:highlight w:val="none"/>
          <w:lang w:eastAsia="zh-CN"/>
        </w:rPr>
        <w:t>（小微）</w:t>
      </w:r>
      <w:r>
        <w:rPr>
          <w:rFonts w:hint="eastAsia" w:ascii="宋体" w:hAnsi="宋体" w:eastAsia="宋体" w:cs="宋体"/>
          <w:kern w:val="24"/>
          <w:highlight w:val="none"/>
        </w:rPr>
        <w:t>企业）的具体情况如下：</w:t>
      </w:r>
    </w:p>
    <w:p w14:paraId="2E8FB25F">
      <w:pPr>
        <w:tabs>
          <w:tab w:val="left" w:pos="1384"/>
          <w:tab w:val="left" w:pos="4562"/>
          <w:tab w:val="left" w:pos="6803"/>
        </w:tabs>
        <w:spacing w:line="360" w:lineRule="auto"/>
        <w:ind w:left="-426" w:right="-58" w:firstLine="655"/>
        <w:contextualSpacing/>
        <w:rPr>
          <w:rFonts w:hint="eastAsia" w:ascii="宋体" w:hAnsi="宋体" w:eastAsia="宋体" w:cs="宋体"/>
          <w:kern w:val="24"/>
          <w:sz w:val="24"/>
          <w:highlight w:val="none"/>
        </w:rPr>
      </w:pPr>
      <w:r>
        <w:rPr>
          <w:rFonts w:hint="eastAsia" w:ascii="宋体" w:hAnsi="宋体" w:eastAsia="宋体" w:cs="宋体"/>
          <w:kern w:val="24"/>
          <w:sz w:val="24"/>
          <w:highlight w:val="none"/>
        </w:rPr>
        <w:t>1.</w:t>
      </w:r>
      <w:r>
        <w:rPr>
          <w:rFonts w:hint="eastAsia" w:ascii="宋体" w:hAnsi="宋体" w:eastAsia="宋体" w:cs="宋体"/>
          <w:kern w:val="24"/>
          <w:sz w:val="24"/>
          <w:highlight w:val="none"/>
          <w:u w:val="single"/>
        </w:rPr>
        <w:t>（标的名称）</w:t>
      </w:r>
      <w:r>
        <w:rPr>
          <w:rFonts w:hint="eastAsia" w:ascii="宋体" w:hAnsi="宋体" w:eastAsia="宋体" w:cs="宋体"/>
          <w:kern w:val="24"/>
          <w:sz w:val="24"/>
          <w:highlight w:val="none"/>
        </w:rPr>
        <w:t>，属于</w:t>
      </w:r>
      <w:r>
        <w:rPr>
          <w:rFonts w:hint="eastAsia" w:ascii="宋体" w:hAnsi="宋体" w:eastAsia="宋体" w:cs="宋体"/>
          <w:kern w:val="24"/>
          <w:sz w:val="24"/>
          <w:highlight w:val="none"/>
          <w:u w:val="single"/>
        </w:rPr>
        <w:t>（采购文件中明确的所属行业）</w:t>
      </w:r>
      <w:r>
        <w:rPr>
          <w:rFonts w:hint="eastAsia" w:ascii="宋体" w:hAnsi="宋体" w:eastAsia="宋体" w:cs="宋体"/>
          <w:kern w:val="24"/>
          <w:sz w:val="24"/>
          <w:highlight w:val="none"/>
        </w:rPr>
        <w:t>行业；制造商为</w:t>
      </w:r>
      <w:r>
        <w:rPr>
          <w:rFonts w:hint="eastAsia" w:ascii="宋体" w:hAnsi="宋体" w:eastAsia="宋体" w:cs="宋体"/>
          <w:kern w:val="24"/>
          <w:sz w:val="24"/>
          <w:highlight w:val="none"/>
          <w:u w:val="single"/>
        </w:rPr>
        <w:t>（企业名称）</w:t>
      </w:r>
      <w:r>
        <w:rPr>
          <w:rFonts w:hint="eastAsia" w:ascii="宋体" w:hAnsi="宋体" w:eastAsia="宋体" w:cs="宋体"/>
          <w:kern w:val="24"/>
          <w:sz w:val="24"/>
          <w:highlight w:val="none"/>
        </w:rPr>
        <w:t>，从业人员</w:t>
      </w:r>
      <w:r>
        <w:rPr>
          <w:rFonts w:hint="eastAsia" w:ascii="宋体" w:hAnsi="宋体" w:eastAsia="宋体" w:cs="宋体"/>
          <w:kern w:val="24"/>
          <w:sz w:val="24"/>
          <w:highlight w:val="none"/>
          <w:u w:val="single"/>
        </w:rPr>
        <w:t xml:space="preserve">      </w:t>
      </w:r>
      <w:r>
        <w:rPr>
          <w:rFonts w:hint="eastAsia" w:ascii="宋体" w:hAnsi="宋体" w:eastAsia="宋体" w:cs="宋体"/>
          <w:kern w:val="24"/>
          <w:sz w:val="24"/>
          <w:highlight w:val="none"/>
        </w:rPr>
        <w:t>人，营业收入为</w:t>
      </w:r>
      <w:r>
        <w:rPr>
          <w:rFonts w:hint="eastAsia" w:ascii="宋体" w:hAnsi="宋体" w:eastAsia="宋体" w:cs="宋体"/>
          <w:kern w:val="24"/>
          <w:sz w:val="24"/>
          <w:highlight w:val="none"/>
          <w:u w:val="single"/>
        </w:rPr>
        <w:t xml:space="preserve">      </w:t>
      </w:r>
      <w:r>
        <w:rPr>
          <w:rFonts w:hint="eastAsia" w:ascii="宋体" w:hAnsi="宋体" w:eastAsia="宋体" w:cs="宋体"/>
          <w:kern w:val="24"/>
          <w:sz w:val="24"/>
          <w:highlight w:val="none"/>
        </w:rPr>
        <w:t>万元，资产总额为</w:t>
      </w:r>
      <w:r>
        <w:rPr>
          <w:rFonts w:hint="eastAsia" w:ascii="宋体" w:hAnsi="宋体" w:eastAsia="宋体" w:cs="宋体"/>
          <w:kern w:val="24"/>
          <w:sz w:val="24"/>
          <w:highlight w:val="none"/>
          <w:u w:val="single"/>
        </w:rPr>
        <w:t xml:space="preserve">      </w:t>
      </w:r>
      <w:r>
        <w:rPr>
          <w:rFonts w:hint="eastAsia" w:ascii="宋体" w:hAnsi="宋体" w:eastAsia="宋体" w:cs="宋体"/>
          <w:kern w:val="24"/>
          <w:sz w:val="24"/>
          <w:highlight w:val="none"/>
        </w:rPr>
        <w:t>万元，属于</w:t>
      </w:r>
      <w:r>
        <w:rPr>
          <w:rFonts w:hint="eastAsia" w:ascii="宋体" w:hAnsi="宋体" w:eastAsia="宋体" w:cs="宋体"/>
          <w:kern w:val="24"/>
          <w:sz w:val="24"/>
          <w:highlight w:val="none"/>
          <w:u w:val="single"/>
        </w:rPr>
        <w:t>（中型企业、小型企业、微型企业）</w:t>
      </w:r>
      <w:r>
        <w:rPr>
          <w:rFonts w:hint="eastAsia" w:ascii="宋体" w:hAnsi="宋体" w:eastAsia="宋体" w:cs="宋体"/>
          <w:kern w:val="24"/>
          <w:sz w:val="24"/>
          <w:highlight w:val="none"/>
        </w:rPr>
        <w:t>；</w:t>
      </w:r>
    </w:p>
    <w:p w14:paraId="04DD9253">
      <w:pPr>
        <w:tabs>
          <w:tab w:val="left" w:pos="1065"/>
          <w:tab w:val="left" w:pos="6477"/>
        </w:tabs>
        <w:spacing w:line="360" w:lineRule="auto"/>
        <w:ind w:left="-426" w:right="-58" w:firstLine="655"/>
        <w:contextualSpacing/>
        <w:rPr>
          <w:rFonts w:hint="eastAsia" w:ascii="宋体" w:hAnsi="宋体" w:eastAsia="宋体" w:cs="宋体"/>
          <w:kern w:val="24"/>
          <w:sz w:val="24"/>
          <w:highlight w:val="none"/>
        </w:rPr>
      </w:pPr>
      <w:r>
        <w:rPr>
          <w:rFonts w:hint="eastAsia" w:ascii="宋体" w:hAnsi="宋体" w:eastAsia="宋体" w:cs="宋体"/>
          <w:kern w:val="24"/>
          <w:sz w:val="24"/>
          <w:highlight w:val="none"/>
        </w:rPr>
        <w:t>2.</w:t>
      </w:r>
      <w:r>
        <w:rPr>
          <w:rFonts w:hint="eastAsia" w:ascii="宋体" w:hAnsi="宋体" w:eastAsia="宋体" w:cs="宋体"/>
          <w:kern w:val="24"/>
          <w:sz w:val="24"/>
          <w:highlight w:val="none"/>
          <w:u w:val="single"/>
        </w:rPr>
        <w:t>（标的名称）</w:t>
      </w:r>
      <w:r>
        <w:rPr>
          <w:rFonts w:hint="eastAsia" w:ascii="宋体" w:hAnsi="宋体" w:eastAsia="宋体" w:cs="宋体"/>
          <w:kern w:val="24"/>
          <w:sz w:val="24"/>
          <w:highlight w:val="none"/>
        </w:rPr>
        <w:t>，属于</w:t>
      </w:r>
      <w:r>
        <w:rPr>
          <w:rFonts w:hint="eastAsia" w:ascii="宋体" w:hAnsi="宋体" w:eastAsia="宋体" w:cs="宋体"/>
          <w:kern w:val="24"/>
          <w:sz w:val="24"/>
          <w:highlight w:val="none"/>
          <w:u w:val="single"/>
        </w:rPr>
        <w:t>（采购文件中明确的所属行业）</w:t>
      </w:r>
      <w:r>
        <w:rPr>
          <w:rFonts w:hint="eastAsia" w:ascii="宋体" w:hAnsi="宋体" w:eastAsia="宋体" w:cs="宋体"/>
          <w:kern w:val="24"/>
          <w:sz w:val="24"/>
          <w:highlight w:val="none"/>
        </w:rPr>
        <w:t>行业；制造商为</w:t>
      </w:r>
      <w:r>
        <w:rPr>
          <w:rFonts w:hint="eastAsia" w:ascii="宋体" w:hAnsi="宋体" w:eastAsia="宋体" w:cs="宋体"/>
          <w:kern w:val="24"/>
          <w:sz w:val="24"/>
          <w:highlight w:val="none"/>
          <w:u w:val="single"/>
        </w:rPr>
        <w:t>（企业名称）</w:t>
      </w:r>
      <w:r>
        <w:rPr>
          <w:rFonts w:hint="eastAsia" w:ascii="宋体" w:hAnsi="宋体" w:eastAsia="宋体" w:cs="宋体"/>
          <w:kern w:val="24"/>
          <w:sz w:val="24"/>
          <w:highlight w:val="none"/>
        </w:rPr>
        <w:t>，从业人员</w:t>
      </w:r>
      <w:r>
        <w:rPr>
          <w:rFonts w:hint="eastAsia" w:ascii="宋体" w:hAnsi="宋体" w:eastAsia="宋体" w:cs="宋体"/>
          <w:kern w:val="24"/>
          <w:sz w:val="24"/>
          <w:highlight w:val="none"/>
          <w:u w:val="single"/>
        </w:rPr>
        <w:t xml:space="preserve">      </w:t>
      </w:r>
      <w:r>
        <w:rPr>
          <w:rFonts w:hint="eastAsia" w:ascii="宋体" w:hAnsi="宋体" w:eastAsia="宋体" w:cs="宋体"/>
          <w:kern w:val="24"/>
          <w:sz w:val="24"/>
          <w:highlight w:val="none"/>
        </w:rPr>
        <w:t>人，营业收入为</w:t>
      </w:r>
      <w:r>
        <w:rPr>
          <w:rFonts w:hint="eastAsia" w:ascii="宋体" w:hAnsi="宋体" w:eastAsia="宋体" w:cs="宋体"/>
          <w:kern w:val="24"/>
          <w:sz w:val="24"/>
          <w:highlight w:val="none"/>
          <w:u w:val="single"/>
        </w:rPr>
        <w:t xml:space="preserve">      </w:t>
      </w:r>
      <w:r>
        <w:rPr>
          <w:rFonts w:hint="eastAsia" w:ascii="宋体" w:hAnsi="宋体" w:eastAsia="宋体" w:cs="宋体"/>
          <w:kern w:val="24"/>
          <w:sz w:val="24"/>
          <w:highlight w:val="none"/>
        </w:rPr>
        <w:t>万元，资产总额为</w:t>
      </w:r>
      <w:r>
        <w:rPr>
          <w:rFonts w:hint="eastAsia" w:ascii="宋体" w:hAnsi="宋体" w:eastAsia="宋体" w:cs="宋体"/>
          <w:kern w:val="24"/>
          <w:sz w:val="24"/>
          <w:highlight w:val="none"/>
          <w:u w:val="single"/>
        </w:rPr>
        <w:t xml:space="preserve">      </w:t>
      </w:r>
      <w:r>
        <w:rPr>
          <w:rFonts w:hint="eastAsia" w:ascii="宋体" w:hAnsi="宋体" w:eastAsia="宋体" w:cs="宋体"/>
          <w:kern w:val="24"/>
          <w:sz w:val="24"/>
          <w:highlight w:val="none"/>
        </w:rPr>
        <w:t>万元，属于</w:t>
      </w:r>
      <w:r>
        <w:rPr>
          <w:rFonts w:hint="eastAsia" w:ascii="宋体" w:hAnsi="宋体" w:eastAsia="宋体" w:cs="宋体"/>
          <w:kern w:val="24"/>
          <w:sz w:val="24"/>
          <w:highlight w:val="none"/>
          <w:u w:val="single"/>
        </w:rPr>
        <w:t>（中型企业、小型企业、微型企业）</w:t>
      </w:r>
      <w:r>
        <w:rPr>
          <w:rFonts w:hint="eastAsia" w:ascii="宋体" w:hAnsi="宋体" w:eastAsia="宋体" w:cs="宋体"/>
          <w:kern w:val="24"/>
          <w:sz w:val="24"/>
          <w:highlight w:val="none"/>
        </w:rPr>
        <w:t>；</w:t>
      </w:r>
    </w:p>
    <w:p w14:paraId="138CDA07">
      <w:pPr>
        <w:pStyle w:val="19"/>
        <w:spacing w:line="360" w:lineRule="auto"/>
        <w:ind w:left="142" w:right="142"/>
        <w:contextualSpacing/>
        <w:rPr>
          <w:rFonts w:hint="eastAsia" w:ascii="宋体" w:hAnsi="宋体" w:eastAsia="宋体" w:cs="宋体"/>
          <w:kern w:val="24"/>
          <w:highlight w:val="none"/>
        </w:rPr>
      </w:pPr>
      <w:r>
        <w:rPr>
          <w:rFonts w:hint="eastAsia" w:ascii="宋体" w:hAnsi="宋体" w:eastAsia="宋体" w:cs="宋体"/>
          <w:kern w:val="24"/>
          <w:highlight w:val="none"/>
        </w:rPr>
        <w:t xml:space="preserve">…… </w:t>
      </w:r>
    </w:p>
    <w:p w14:paraId="217172E3">
      <w:pPr>
        <w:pStyle w:val="19"/>
        <w:spacing w:line="360" w:lineRule="auto"/>
        <w:ind w:left="-405" w:leftChars="-193" w:right="142" w:firstLine="453" w:firstLineChars="189"/>
        <w:contextualSpacing/>
        <w:rPr>
          <w:rFonts w:hint="eastAsia" w:ascii="宋体" w:hAnsi="宋体" w:eastAsia="宋体" w:cs="宋体"/>
          <w:kern w:val="24"/>
          <w:highlight w:val="none"/>
        </w:rPr>
      </w:pPr>
      <w:r>
        <w:rPr>
          <w:rFonts w:hint="eastAsia" w:ascii="宋体" w:hAnsi="宋体" w:eastAsia="宋体" w:cs="宋体"/>
          <w:kern w:val="24"/>
          <w:highlight w:val="none"/>
        </w:rPr>
        <w:t>以上企业，不属于大</w:t>
      </w:r>
      <w:r>
        <w:rPr>
          <w:rFonts w:hint="eastAsia" w:ascii="宋体" w:hAnsi="宋体" w:eastAsia="宋体" w:cs="宋体"/>
          <w:kern w:val="24"/>
          <w:highlight w:val="none"/>
          <w:lang w:eastAsia="zh-CN"/>
        </w:rPr>
        <w:t>（中）</w:t>
      </w:r>
      <w:r>
        <w:rPr>
          <w:rFonts w:hint="eastAsia" w:ascii="宋体" w:hAnsi="宋体" w:eastAsia="宋体" w:cs="宋体"/>
          <w:kern w:val="24"/>
          <w:highlight w:val="none"/>
        </w:rPr>
        <w:t>企业的分支机构，不存在控股股东为大</w:t>
      </w:r>
      <w:r>
        <w:rPr>
          <w:rFonts w:hint="eastAsia" w:ascii="宋体" w:hAnsi="宋体" w:eastAsia="宋体" w:cs="宋体"/>
          <w:kern w:val="24"/>
          <w:highlight w:val="none"/>
          <w:lang w:eastAsia="zh-CN"/>
        </w:rPr>
        <w:t>（中）</w:t>
      </w:r>
      <w:r>
        <w:rPr>
          <w:rFonts w:hint="eastAsia" w:ascii="宋体" w:hAnsi="宋体" w:eastAsia="宋体" w:cs="宋体"/>
          <w:kern w:val="24"/>
          <w:highlight w:val="none"/>
        </w:rPr>
        <w:t>企业的情形，也不存在与大</w:t>
      </w:r>
      <w:r>
        <w:rPr>
          <w:rFonts w:hint="eastAsia" w:ascii="宋体" w:hAnsi="宋体" w:eastAsia="宋体" w:cs="宋体"/>
          <w:kern w:val="24"/>
          <w:highlight w:val="none"/>
          <w:lang w:eastAsia="zh-CN"/>
        </w:rPr>
        <w:t>（中）</w:t>
      </w:r>
      <w:r>
        <w:rPr>
          <w:rFonts w:hint="eastAsia" w:ascii="宋体" w:hAnsi="宋体" w:eastAsia="宋体" w:cs="宋体"/>
          <w:kern w:val="24"/>
          <w:highlight w:val="none"/>
        </w:rPr>
        <w:t>企业的负责人为同一人的情形。</w:t>
      </w:r>
    </w:p>
    <w:p w14:paraId="7D1B70DA">
      <w:pPr>
        <w:pStyle w:val="19"/>
        <w:spacing w:line="360" w:lineRule="auto"/>
        <w:ind w:left="-426" w:right="142" w:firstLine="567"/>
        <w:contextualSpacing/>
        <w:rPr>
          <w:rFonts w:hint="eastAsia" w:ascii="宋体" w:hAnsi="宋体" w:eastAsia="宋体" w:cs="宋体"/>
          <w:kern w:val="24"/>
          <w:highlight w:val="none"/>
        </w:rPr>
      </w:pPr>
      <w:r>
        <w:rPr>
          <w:rFonts w:hint="eastAsia" w:ascii="宋体" w:hAnsi="宋体" w:eastAsia="宋体" w:cs="宋体"/>
          <w:kern w:val="24"/>
          <w:highlight w:val="none"/>
        </w:rPr>
        <w:t>本企业对上述声明内容的真实性负责。如有虚假，将依法承担相应责任。</w:t>
      </w:r>
    </w:p>
    <w:p w14:paraId="03A6D5A1">
      <w:pPr>
        <w:pStyle w:val="19"/>
        <w:spacing w:line="360" w:lineRule="auto"/>
        <w:ind w:left="3960" w:right="1808"/>
        <w:contextualSpacing/>
        <w:rPr>
          <w:rFonts w:hint="eastAsia" w:ascii="宋体" w:hAnsi="宋体" w:eastAsia="宋体" w:cs="宋体"/>
          <w:kern w:val="24"/>
          <w:highlight w:val="none"/>
        </w:rPr>
      </w:pPr>
    </w:p>
    <w:p w14:paraId="46EE28FC">
      <w:pPr>
        <w:pStyle w:val="19"/>
        <w:spacing w:line="360" w:lineRule="auto"/>
        <w:ind w:left="3960" w:right="1808"/>
        <w:contextualSpacing/>
        <w:rPr>
          <w:rFonts w:hint="eastAsia" w:ascii="宋体" w:hAnsi="宋体" w:eastAsia="宋体" w:cs="宋体"/>
          <w:kern w:val="24"/>
          <w:highlight w:val="none"/>
          <w:lang w:eastAsia="zh-CN"/>
        </w:rPr>
      </w:pPr>
      <w:r>
        <w:rPr>
          <w:rFonts w:hint="eastAsia" w:ascii="宋体" w:hAnsi="宋体" w:eastAsia="宋体" w:cs="宋体"/>
          <w:kern w:val="24"/>
          <w:highlight w:val="none"/>
        </w:rPr>
        <w:t>企业名称（电子签章）</w:t>
      </w:r>
      <w:r>
        <w:rPr>
          <w:rFonts w:hint="eastAsia" w:ascii="宋体" w:hAnsi="宋体" w:eastAsia="宋体" w:cs="宋体"/>
          <w:kern w:val="24"/>
          <w:highlight w:val="none"/>
          <w:lang w:eastAsia="zh-CN"/>
        </w:rPr>
        <w:t>：</w:t>
      </w:r>
    </w:p>
    <w:p w14:paraId="46240B3C">
      <w:pPr>
        <w:pStyle w:val="19"/>
        <w:spacing w:line="360" w:lineRule="auto"/>
        <w:ind w:left="3960" w:right="1808"/>
        <w:contextualSpacing/>
        <w:rPr>
          <w:rFonts w:hint="eastAsia" w:ascii="宋体" w:hAnsi="宋体" w:eastAsia="宋体" w:cs="宋体"/>
          <w:kern w:val="24"/>
          <w:highlight w:val="none"/>
        </w:rPr>
      </w:pPr>
      <w:r>
        <w:rPr>
          <w:rFonts w:hint="eastAsia" w:ascii="宋体" w:hAnsi="宋体" w:eastAsia="宋体" w:cs="宋体"/>
          <w:kern w:val="24"/>
          <w:highlight w:val="none"/>
        </w:rPr>
        <w:t>日 期：</w:t>
      </w:r>
    </w:p>
    <w:p w14:paraId="3AFDD7A4">
      <w:pPr>
        <w:pStyle w:val="19"/>
        <w:spacing w:line="360" w:lineRule="auto"/>
        <w:ind w:left="3960" w:right="1808"/>
        <w:contextualSpacing/>
        <w:rPr>
          <w:rFonts w:hint="eastAsia" w:ascii="宋体" w:hAnsi="宋体" w:eastAsia="宋体" w:cs="宋体"/>
          <w:kern w:val="24"/>
          <w:highlight w:val="none"/>
        </w:rPr>
      </w:pPr>
    </w:p>
    <w:p w14:paraId="02A23FFE">
      <w:pPr>
        <w:pStyle w:val="19"/>
        <w:spacing w:line="360" w:lineRule="auto"/>
        <w:ind w:left="3960" w:right="1808"/>
        <w:contextualSpacing/>
        <w:rPr>
          <w:rFonts w:hint="eastAsia" w:ascii="宋体" w:hAnsi="宋体" w:eastAsia="宋体" w:cs="宋体"/>
          <w:kern w:val="24"/>
          <w:highlight w:val="none"/>
        </w:rPr>
      </w:pPr>
    </w:p>
    <w:p w14:paraId="72C66C25">
      <w:pPr>
        <w:pStyle w:val="19"/>
        <w:spacing w:line="360" w:lineRule="auto"/>
        <w:ind w:left="-426" w:right="142" w:firstLine="567"/>
        <w:contextualSpacing/>
        <w:rPr>
          <w:rFonts w:hint="eastAsia" w:ascii="宋体" w:hAnsi="宋体" w:eastAsia="宋体" w:cs="宋体"/>
          <w:kern w:val="24"/>
          <w:highlight w:val="none"/>
        </w:rPr>
      </w:pPr>
      <w:r>
        <w:rPr>
          <w:rFonts w:hint="eastAsia" w:ascii="宋体" w:hAnsi="宋体" w:eastAsia="宋体" w:cs="宋体"/>
          <w:kern w:val="24"/>
          <w:highlight w:val="none"/>
        </w:rPr>
        <w:t>注：享受《政府采购促进中小企业发展管理办法》（财库〔2020〕46号）规定的中小企业扶持政策的，采购人、采购代理机构应当随中标结果公开</w:t>
      </w:r>
      <w:r>
        <w:rPr>
          <w:rFonts w:hint="eastAsia" w:ascii="宋体" w:hAnsi="宋体" w:cs="宋体"/>
          <w:kern w:val="24"/>
          <w:highlight w:val="none"/>
          <w:lang w:eastAsia="zh-CN"/>
        </w:rPr>
        <w:t>中标人</w:t>
      </w:r>
      <w:r>
        <w:rPr>
          <w:rFonts w:hint="eastAsia" w:ascii="宋体" w:hAnsi="宋体" w:eastAsia="宋体" w:cs="宋体"/>
          <w:kern w:val="24"/>
          <w:highlight w:val="none"/>
        </w:rPr>
        <w:t>的《中小</w:t>
      </w:r>
      <w:r>
        <w:rPr>
          <w:rFonts w:hint="eastAsia" w:ascii="宋体" w:hAnsi="宋体" w:eastAsia="宋体" w:cs="宋体"/>
          <w:kern w:val="24"/>
          <w:highlight w:val="none"/>
          <w:lang w:eastAsia="zh-CN"/>
        </w:rPr>
        <w:t>（小微）</w:t>
      </w:r>
      <w:r>
        <w:rPr>
          <w:rFonts w:hint="eastAsia" w:ascii="宋体" w:hAnsi="宋体" w:eastAsia="宋体" w:cs="宋体"/>
          <w:kern w:val="24"/>
          <w:highlight w:val="none"/>
        </w:rPr>
        <w:t>企业声明函》。从业人员、营业收入、资产总额填报上一年度数据，无上一年度数据的新成立企业可不填报。</w:t>
      </w:r>
    </w:p>
    <w:p w14:paraId="3E5F23B2">
      <w:pPr>
        <w:rPr>
          <w:rFonts w:hint="eastAsia" w:ascii="宋体" w:hAnsi="宋体" w:eastAsia="宋体" w:cs="宋体"/>
          <w:kern w:val="24"/>
          <w:highlight w:val="none"/>
        </w:rPr>
      </w:pPr>
      <w:r>
        <w:rPr>
          <w:rFonts w:hint="eastAsia" w:ascii="宋体" w:hAnsi="宋体" w:eastAsia="宋体" w:cs="宋体"/>
          <w:kern w:val="24"/>
          <w:highlight w:val="none"/>
        </w:rPr>
        <w:br w:type="page"/>
      </w:r>
    </w:p>
    <w:p w14:paraId="5676D3B2">
      <w:pPr>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中小（小微）企业声明函（</w:t>
      </w:r>
      <w:r>
        <w:rPr>
          <w:rFonts w:hint="eastAsia" w:ascii="宋体" w:hAnsi="宋体" w:eastAsia="宋体" w:cs="宋体"/>
          <w:sz w:val="44"/>
          <w:szCs w:val="44"/>
          <w:highlight w:val="none"/>
          <w:lang w:eastAsia="zh-CN"/>
        </w:rPr>
        <w:t>工程、服务</w:t>
      </w:r>
      <w:r>
        <w:rPr>
          <w:rFonts w:hint="eastAsia" w:ascii="宋体" w:hAnsi="宋体" w:eastAsia="宋体" w:cs="宋体"/>
          <w:sz w:val="44"/>
          <w:szCs w:val="44"/>
          <w:highlight w:val="none"/>
        </w:rPr>
        <w:t>）</w:t>
      </w:r>
    </w:p>
    <w:p w14:paraId="27091E89">
      <w:pPr>
        <w:spacing w:before="2" w:line="500" w:lineRule="exact"/>
        <w:rPr>
          <w:rFonts w:hint="eastAsia" w:ascii="宋体" w:hAnsi="宋体" w:eastAsia="宋体" w:cs="宋体"/>
          <w:b/>
          <w:bCs/>
          <w:sz w:val="27"/>
          <w:szCs w:val="27"/>
          <w:highlight w:val="none"/>
        </w:rPr>
      </w:pPr>
    </w:p>
    <w:p w14:paraId="0BC3ADFC">
      <w:pPr>
        <w:pStyle w:val="19"/>
        <w:spacing w:line="500" w:lineRule="exact"/>
        <w:ind w:right="142" w:firstLine="705" w:firstLineChars="294"/>
        <w:rPr>
          <w:rFonts w:hint="eastAsia" w:ascii="宋体" w:hAnsi="宋体" w:cs="宋体"/>
          <w:color w:val="000000"/>
          <w:sz w:val="24"/>
        </w:rPr>
      </w:pPr>
      <w:r>
        <w:rPr>
          <w:rFonts w:hint="eastAsia" w:ascii="宋体" w:hAnsi="宋体" w:cs="宋体"/>
          <w:color w:val="000000"/>
          <w:sz w:val="24"/>
        </w:rPr>
        <w:t>本公司（联合体）郑重声明，根据《政府采购促进中小企业发展管理办法》（财库﹝2020﹞46号）的规定，本公司（联合体）参加</w:t>
      </w:r>
      <w:r>
        <w:rPr>
          <w:rFonts w:hint="eastAsia" w:ascii="宋体" w:hAnsi="宋体" w:cs="宋体"/>
          <w:color w:val="000000"/>
          <w:sz w:val="24"/>
          <w:u w:val="single"/>
        </w:rPr>
        <w:t>（单位名称）</w:t>
      </w:r>
      <w:r>
        <w:rPr>
          <w:rFonts w:hint="eastAsia" w:ascii="宋体" w:hAnsi="宋体" w:cs="宋体"/>
          <w:color w:val="000000"/>
          <w:sz w:val="24"/>
        </w:rPr>
        <w:t>的</w:t>
      </w:r>
      <w:r>
        <w:rPr>
          <w:rFonts w:hint="eastAsia" w:ascii="宋体" w:hAnsi="宋体" w:cs="宋体"/>
          <w:color w:val="000000"/>
          <w:sz w:val="24"/>
          <w:u w:val="single"/>
        </w:rPr>
        <w:t>（项目名称）</w:t>
      </w:r>
      <w:r>
        <w:rPr>
          <w:rFonts w:hint="eastAsia" w:ascii="宋体" w:hAnsi="宋体" w:cs="宋体"/>
          <w:color w:val="000000"/>
          <w:sz w:val="24"/>
        </w:rPr>
        <w:t>采购活动，服务全部由符合政策要求的中小企业承接。相关企业（含联合体中的中小企业、签订分包意向协议的中小企业）的具体情况如下：</w:t>
      </w:r>
    </w:p>
    <w:p w14:paraId="1C39B0FA">
      <w:pPr>
        <w:tabs>
          <w:tab w:val="left" w:pos="1384"/>
          <w:tab w:val="left" w:pos="4562"/>
          <w:tab w:val="left" w:pos="6803"/>
        </w:tabs>
        <w:spacing w:before="13" w:line="500" w:lineRule="exact"/>
        <w:ind w:right="142" w:firstLine="772" w:firstLineChars="322"/>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w:t>
      </w:r>
      <w:r>
        <w:rPr>
          <w:rFonts w:hint="eastAsia" w:ascii="宋体" w:hAnsi="宋体" w:cs="宋体"/>
          <w:color w:val="000000"/>
          <w:sz w:val="24"/>
          <w:u w:val="single"/>
          <w:lang w:eastAsia="zh-CN"/>
        </w:rPr>
        <w:t>招标文件</w:t>
      </w:r>
      <w:r>
        <w:rPr>
          <w:rFonts w:hint="eastAsia" w:ascii="宋体" w:hAnsi="宋体" w:cs="宋体"/>
          <w:color w:val="000000"/>
          <w:sz w:val="24"/>
          <w:u w:val="single"/>
        </w:rPr>
        <w:t>中明确的所属行业）</w:t>
      </w:r>
      <w:r>
        <w:rPr>
          <w:rFonts w:hint="eastAsia" w:ascii="宋体" w:hAnsi="宋体" w:cs="宋体"/>
          <w:color w:val="000000"/>
          <w:sz w:val="24"/>
        </w:rPr>
        <w:t>；承接企业为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6D9CD952">
      <w:pPr>
        <w:tabs>
          <w:tab w:val="left" w:pos="1065"/>
          <w:tab w:val="left" w:pos="4262"/>
          <w:tab w:val="left" w:pos="6477"/>
        </w:tabs>
        <w:spacing w:before="20" w:line="500" w:lineRule="exact"/>
        <w:ind w:right="84" w:firstLine="772" w:firstLineChars="322"/>
        <w:rPr>
          <w:rFonts w:hint="eastAsia" w:ascii="宋体" w:hAnsi="宋体" w:cs="宋体"/>
          <w:color w:val="000000"/>
          <w:sz w:val="24"/>
          <w:u w:val="single"/>
        </w:rPr>
      </w:pPr>
      <w:r>
        <w:rPr>
          <w:rFonts w:hint="eastAsia" w:ascii="宋体" w:hAnsi="宋体" w:cs="宋体"/>
          <w:color w:val="000000"/>
          <w:sz w:val="24"/>
        </w:rPr>
        <w:t>2.</w:t>
      </w:r>
      <w:r>
        <w:rPr>
          <w:rFonts w:hint="eastAsia" w:ascii="宋体" w:hAnsi="宋体" w:cs="宋体"/>
          <w:color w:val="000000"/>
          <w:sz w:val="24"/>
          <w:u w:val="single"/>
        </w:rPr>
        <w:t>（标的名称）</w:t>
      </w:r>
      <w:r>
        <w:rPr>
          <w:rFonts w:hint="eastAsia" w:ascii="宋体" w:hAnsi="宋体" w:cs="宋体"/>
          <w:color w:val="000000"/>
          <w:sz w:val="24"/>
        </w:rPr>
        <w:t>，属于</w:t>
      </w:r>
      <w:r>
        <w:rPr>
          <w:rFonts w:hint="eastAsia" w:ascii="宋体" w:hAnsi="宋体" w:cs="宋体"/>
          <w:color w:val="000000"/>
          <w:sz w:val="24"/>
          <w:u w:val="single"/>
        </w:rPr>
        <w:t>（</w:t>
      </w:r>
      <w:r>
        <w:rPr>
          <w:rFonts w:hint="eastAsia" w:ascii="宋体" w:hAnsi="宋体" w:cs="宋体"/>
          <w:color w:val="000000"/>
          <w:sz w:val="24"/>
          <w:u w:val="single"/>
          <w:lang w:eastAsia="zh-CN"/>
        </w:rPr>
        <w:t>招标文件</w:t>
      </w:r>
      <w:r>
        <w:rPr>
          <w:rFonts w:hint="eastAsia" w:ascii="宋体" w:hAnsi="宋体" w:cs="宋体"/>
          <w:color w:val="000000"/>
          <w:sz w:val="24"/>
          <w:u w:val="single"/>
        </w:rPr>
        <w:t>中明确的所属行业）</w:t>
      </w:r>
      <w:r>
        <w:rPr>
          <w:rFonts w:hint="eastAsia" w:ascii="宋体" w:hAnsi="宋体" w:cs="宋体"/>
          <w:color w:val="000000"/>
          <w:sz w:val="24"/>
        </w:rPr>
        <w:t>；承接企业为</w:t>
      </w:r>
      <w:r>
        <w:rPr>
          <w:rFonts w:hint="eastAsia" w:ascii="宋体" w:hAnsi="宋体" w:cs="宋体"/>
          <w:color w:val="000000"/>
          <w:sz w:val="24"/>
          <w:u w:val="single"/>
        </w:rPr>
        <w:t>（企业名称）</w:t>
      </w:r>
      <w:r>
        <w:rPr>
          <w:rFonts w:hint="eastAsia" w:ascii="宋体" w:hAnsi="宋体" w:cs="宋体"/>
          <w:color w:val="000000"/>
          <w:sz w:val="24"/>
        </w:rPr>
        <w:t>，从业人员</w:t>
      </w:r>
      <w:r>
        <w:rPr>
          <w:rFonts w:hint="eastAsia" w:ascii="宋体" w:hAnsi="宋体" w:cs="宋体"/>
          <w:color w:val="000000"/>
          <w:sz w:val="24"/>
          <w:u w:val="single"/>
        </w:rPr>
        <w:t xml:space="preserve">      </w:t>
      </w:r>
      <w:r>
        <w:rPr>
          <w:rFonts w:hint="eastAsia" w:ascii="宋体" w:hAnsi="宋体" w:cs="宋体"/>
          <w:color w:val="000000"/>
          <w:sz w:val="24"/>
        </w:rPr>
        <w:t>人，营业收入为</w:t>
      </w:r>
      <w:r>
        <w:rPr>
          <w:rFonts w:hint="eastAsia" w:ascii="宋体" w:hAnsi="宋体" w:cs="宋体"/>
          <w:color w:val="000000"/>
          <w:sz w:val="24"/>
          <w:u w:val="single"/>
        </w:rPr>
        <w:t xml:space="preserve">      </w:t>
      </w:r>
      <w:r>
        <w:rPr>
          <w:rFonts w:hint="eastAsia" w:ascii="宋体" w:hAnsi="宋体" w:cs="宋体"/>
          <w:color w:val="000000"/>
          <w:sz w:val="24"/>
        </w:rPr>
        <w:t>万元，资产总额为</w:t>
      </w:r>
      <w:r>
        <w:rPr>
          <w:rFonts w:hint="eastAsia" w:ascii="宋体" w:hAnsi="宋体" w:cs="宋体"/>
          <w:color w:val="000000"/>
          <w:sz w:val="24"/>
          <w:u w:val="single"/>
        </w:rPr>
        <w:t xml:space="preserve">      </w:t>
      </w:r>
      <w:r>
        <w:rPr>
          <w:rFonts w:hint="eastAsia" w:ascii="宋体" w:hAnsi="宋体" w:cs="宋体"/>
          <w:color w:val="000000"/>
          <w:sz w:val="24"/>
        </w:rPr>
        <w:t>万元，属于</w:t>
      </w:r>
      <w:r>
        <w:rPr>
          <w:rFonts w:hint="eastAsia" w:ascii="宋体" w:hAnsi="宋体" w:cs="宋体"/>
          <w:color w:val="000000"/>
          <w:sz w:val="24"/>
          <w:u w:val="single"/>
        </w:rPr>
        <w:t>（中型企业、小型企业、微型企业）</w:t>
      </w:r>
      <w:r>
        <w:rPr>
          <w:rFonts w:hint="eastAsia" w:ascii="宋体" w:hAnsi="宋体" w:cs="宋体"/>
          <w:color w:val="000000"/>
          <w:sz w:val="24"/>
        </w:rPr>
        <w:t>；</w:t>
      </w:r>
    </w:p>
    <w:p w14:paraId="543AB5D5">
      <w:pPr>
        <w:pStyle w:val="19"/>
        <w:spacing w:before="34" w:line="500" w:lineRule="exact"/>
        <w:ind w:right="142" w:firstLine="705" w:firstLineChars="294"/>
        <w:rPr>
          <w:rFonts w:hint="eastAsia" w:ascii="宋体" w:hAnsi="宋体" w:cs="宋体"/>
          <w:color w:val="000000"/>
          <w:sz w:val="24"/>
        </w:rPr>
      </w:pPr>
      <w:r>
        <w:rPr>
          <w:rFonts w:hint="eastAsia" w:ascii="宋体" w:hAnsi="宋体" w:cs="宋体"/>
          <w:color w:val="000000"/>
          <w:sz w:val="24"/>
        </w:rPr>
        <w:t xml:space="preserve">…… </w:t>
      </w:r>
    </w:p>
    <w:p w14:paraId="29672832">
      <w:pPr>
        <w:pStyle w:val="19"/>
        <w:spacing w:before="34" w:line="500" w:lineRule="exact"/>
        <w:ind w:right="142" w:firstLine="705" w:firstLineChars="294"/>
        <w:rPr>
          <w:rFonts w:hint="eastAsia" w:ascii="宋体" w:hAnsi="宋体" w:cs="宋体"/>
          <w:color w:val="000000"/>
          <w:sz w:val="24"/>
        </w:rPr>
      </w:pPr>
      <w:r>
        <w:rPr>
          <w:rFonts w:hint="eastAsia" w:ascii="宋体" w:hAnsi="宋体" w:cs="宋体"/>
          <w:color w:val="000000"/>
          <w:sz w:val="24"/>
        </w:rPr>
        <w:t>以上企业，不属于大企业的分支机构，不存在控股股东为大企业的情形，也不存在与大企业的负责人为同一人的情形。</w:t>
      </w:r>
    </w:p>
    <w:p w14:paraId="134F8385">
      <w:pPr>
        <w:pStyle w:val="19"/>
        <w:spacing w:before="25" w:line="500" w:lineRule="exact"/>
        <w:ind w:right="142" w:firstLine="705" w:firstLineChars="294"/>
        <w:rPr>
          <w:rFonts w:hint="eastAsia" w:ascii="宋体" w:hAnsi="宋体" w:cs="宋体"/>
          <w:color w:val="000000"/>
          <w:sz w:val="24"/>
        </w:rPr>
      </w:pPr>
      <w:r>
        <w:rPr>
          <w:rFonts w:hint="eastAsia" w:ascii="宋体" w:hAnsi="宋体" w:cs="宋体"/>
          <w:color w:val="000000"/>
          <w:sz w:val="24"/>
        </w:rPr>
        <w:t>本企业对上述声明内容的真实性负责。如有虚假，将依法承担相应责任。</w:t>
      </w:r>
    </w:p>
    <w:p w14:paraId="37136473">
      <w:pPr>
        <w:pStyle w:val="19"/>
        <w:spacing w:before="56" w:line="500" w:lineRule="exact"/>
        <w:ind w:right="1808" w:firstLine="705" w:firstLineChars="294"/>
        <w:rPr>
          <w:rFonts w:hint="eastAsia" w:ascii="宋体" w:hAnsi="宋体" w:cs="宋体"/>
          <w:color w:val="000000"/>
          <w:sz w:val="24"/>
        </w:rPr>
      </w:pPr>
    </w:p>
    <w:p w14:paraId="4F7A85F2">
      <w:pPr>
        <w:pStyle w:val="19"/>
        <w:spacing w:before="56" w:line="500" w:lineRule="exact"/>
        <w:ind w:right="650" w:firstLine="5625" w:firstLineChars="2344"/>
        <w:rPr>
          <w:rFonts w:hint="eastAsia" w:ascii="宋体" w:hAnsi="宋体" w:cs="宋体"/>
          <w:color w:val="000000"/>
          <w:sz w:val="24"/>
        </w:rPr>
      </w:pPr>
      <w:r>
        <w:rPr>
          <w:rFonts w:hint="eastAsia" w:ascii="宋体" w:hAnsi="宋体" w:cs="宋体"/>
          <w:color w:val="000000"/>
          <w:sz w:val="24"/>
        </w:rPr>
        <w:t>企业名称（章）：</w:t>
      </w:r>
    </w:p>
    <w:p w14:paraId="5182A2BD">
      <w:pPr>
        <w:pStyle w:val="19"/>
        <w:spacing w:before="56" w:line="500" w:lineRule="exact"/>
        <w:ind w:right="1808" w:firstLine="5625" w:firstLineChars="2344"/>
        <w:rPr>
          <w:rFonts w:hint="eastAsia" w:ascii="宋体" w:hAnsi="宋体" w:cs="宋体"/>
          <w:color w:val="000000"/>
          <w:sz w:val="24"/>
        </w:rPr>
      </w:pPr>
      <w:r>
        <w:rPr>
          <w:rFonts w:hint="eastAsia" w:ascii="宋体" w:hAnsi="宋体" w:cs="宋体"/>
          <w:color w:val="000000"/>
          <w:sz w:val="24"/>
        </w:rPr>
        <w:t>日 期：</w:t>
      </w:r>
    </w:p>
    <w:p w14:paraId="67184FBC">
      <w:pPr>
        <w:rPr>
          <w:rFonts w:hint="eastAsia"/>
        </w:rPr>
      </w:pPr>
      <w:r>
        <w:rPr>
          <w:rFonts w:hint="eastAsia" w:ascii="宋体" w:hAnsi="宋体" w:cs="宋体"/>
          <w:color w:val="000000"/>
          <w:sz w:val="24"/>
        </w:rPr>
        <w:t>注：享受《政府采购促进中小企业发展管理办法》（财库〔2020〕46号）规定的中小企业扶持政策的，采购人、采购代理机构应当随成交结果公开</w:t>
      </w:r>
      <w:r>
        <w:rPr>
          <w:rFonts w:hint="eastAsia" w:ascii="宋体" w:hAnsi="宋体" w:cs="宋体"/>
          <w:color w:val="000000"/>
          <w:sz w:val="24"/>
          <w:lang w:eastAsia="zh-CN"/>
        </w:rPr>
        <w:t>中标人</w:t>
      </w:r>
      <w:r>
        <w:rPr>
          <w:rFonts w:hint="eastAsia" w:ascii="宋体" w:hAnsi="宋体" w:cs="宋体"/>
          <w:color w:val="000000"/>
          <w:sz w:val="24"/>
        </w:rPr>
        <w:t>的《中小企业声明函》。从业人员、营业收入、资产总额填报上一年度数据，无上一年度数据的新成立企业可不填报。</w:t>
      </w:r>
    </w:p>
    <w:p w14:paraId="11402DA8">
      <w:pPr>
        <w:snapToGrid w:val="0"/>
        <w:spacing w:before="120" w:beforeLines="50" w:after="50"/>
        <w:ind w:left="142"/>
        <w:jc w:val="left"/>
        <w:rPr>
          <w:rFonts w:hint="eastAsia" w:ascii="宋体" w:hAnsi="宋体" w:eastAsia="宋体" w:cs="宋体"/>
          <w:b/>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3.残疾人福利性单位声明函格式</w:t>
      </w:r>
    </w:p>
    <w:p w14:paraId="321DB30D">
      <w:pPr>
        <w:spacing w:line="588" w:lineRule="exact"/>
        <w:jc w:val="center"/>
        <w:rPr>
          <w:rFonts w:hint="eastAsia" w:ascii="宋体" w:hAnsi="宋体" w:eastAsia="宋体" w:cs="宋体"/>
          <w:b/>
          <w:spacing w:val="6"/>
          <w:sz w:val="32"/>
          <w:szCs w:val="32"/>
          <w:highlight w:val="none"/>
        </w:rPr>
      </w:pPr>
    </w:p>
    <w:p w14:paraId="002E1548">
      <w:pPr>
        <w:spacing w:line="588" w:lineRule="exact"/>
        <w:jc w:val="center"/>
        <w:rPr>
          <w:rFonts w:hint="eastAsia" w:ascii="宋体" w:hAnsi="宋体" w:eastAsia="宋体" w:cs="宋体"/>
          <w:bCs/>
          <w:spacing w:val="6"/>
          <w:sz w:val="44"/>
          <w:szCs w:val="44"/>
          <w:highlight w:val="none"/>
        </w:rPr>
      </w:pPr>
      <w:r>
        <w:rPr>
          <w:rFonts w:hint="eastAsia" w:ascii="宋体" w:hAnsi="宋体" w:eastAsia="宋体" w:cs="宋体"/>
          <w:bCs/>
          <w:spacing w:val="6"/>
          <w:sz w:val="44"/>
          <w:szCs w:val="44"/>
          <w:highlight w:val="none"/>
        </w:rPr>
        <w:t>残疾人福利性单位声明函</w:t>
      </w:r>
    </w:p>
    <w:p w14:paraId="257CC391">
      <w:pPr>
        <w:spacing w:line="360" w:lineRule="auto"/>
        <w:contextualSpacing/>
        <w:rPr>
          <w:rFonts w:hint="eastAsia" w:ascii="宋体" w:hAnsi="宋体" w:eastAsia="宋体" w:cs="宋体"/>
          <w:bCs/>
          <w:spacing w:val="6"/>
          <w:sz w:val="30"/>
          <w:szCs w:val="30"/>
          <w:highlight w:val="none"/>
        </w:rPr>
      </w:pPr>
    </w:p>
    <w:p w14:paraId="1806E97B">
      <w:pPr>
        <w:spacing w:line="360" w:lineRule="auto"/>
        <w:ind w:firstLine="504" w:firstLineChars="200"/>
        <w:contextualSpacing/>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spacing w:val="-6"/>
          <w:sz w:val="24"/>
          <w:highlight w:val="none"/>
        </w:rPr>
        <w:t>疾人福利性单位制造的货物（不包括使用非残疾人福利性单位注册商标的货物）。</w:t>
      </w:r>
    </w:p>
    <w:p w14:paraId="764784C7">
      <w:pPr>
        <w:spacing w:line="360" w:lineRule="auto"/>
        <w:ind w:firstLine="504" w:firstLineChars="200"/>
        <w:contextualSpacing/>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本单位对上述声明的真实性负责。如有虚假，将依法承担相应责任。</w:t>
      </w:r>
    </w:p>
    <w:p w14:paraId="344D5242">
      <w:pPr>
        <w:spacing w:line="360" w:lineRule="auto"/>
        <w:ind w:firstLine="504" w:firstLineChars="200"/>
        <w:contextualSpacing/>
        <w:rPr>
          <w:rFonts w:hint="eastAsia" w:ascii="宋体" w:hAnsi="宋体" w:eastAsia="宋体" w:cs="宋体"/>
          <w:spacing w:val="6"/>
          <w:sz w:val="24"/>
          <w:highlight w:val="none"/>
        </w:rPr>
      </w:pPr>
    </w:p>
    <w:p w14:paraId="6D6B14E4">
      <w:pPr>
        <w:spacing w:line="360" w:lineRule="auto"/>
        <w:ind w:firstLine="504" w:firstLineChars="200"/>
        <w:contextualSpacing/>
        <w:rPr>
          <w:rFonts w:hint="eastAsia" w:ascii="宋体" w:hAnsi="宋体" w:eastAsia="宋体" w:cs="宋体"/>
          <w:spacing w:val="6"/>
          <w:sz w:val="24"/>
          <w:highlight w:val="none"/>
        </w:rPr>
      </w:pPr>
    </w:p>
    <w:p w14:paraId="5F485E85">
      <w:pPr>
        <w:tabs>
          <w:tab w:val="left" w:pos="4860"/>
        </w:tabs>
        <w:spacing w:line="360" w:lineRule="auto"/>
        <w:ind w:right="1560" w:firstLine="504" w:firstLineChars="200"/>
        <w:contextualSpacing/>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单位名称（电子签章）：</w:t>
      </w:r>
    </w:p>
    <w:p w14:paraId="7540A7EB">
      <w:pPr>
        <w:tabs>
          <w:tab w:val="left" w:pos="4860"/>
        </w:tabs>
        <w:spacing w:line="360" w:lineRule="auto"/>
        <w:ind w:right="1560" w:firstLine="504" w:firstLineChars="200"/>
        <w:contextualSpacing/>
        <w:jc w:val="center"/>
        <w:rPr>
          <w:rFonts w:hint="eastAsia" w:ascii="宋体" w:hAnsi="宋体" w:eastAsia="宋体" w:cs="宋体"/>
          <w:spacing w:val="6"/>
          <w:sz w:val="24"/>
          <w:highlight w:val="none"/>
        </w:rPr>
      </w:pPr>
      <w:r>
        <w:rPr>
          <w:rFonts w:hint="eastAsia" w:ascii="宋体" w:hAnsi="宋体" w:eastAsia="宋体" w:cs="宋体"/>
          <w:spacing w:val="6"/>
          <w:sz w:val="24"/>
          <w:highlight w:val="none"/>
        </w:rPr>
        <w:t>日  期：</w:t>
      </w:r>
    </w:p>
    <w:p w14:paraId="32F91D1E">
      <w:pPr>
        <w:spacing w:line="360" w:lineRule="auto"/>
        <w:contextualSpacing/>
        <w:rPr>
          <w:rFonts w:hint="eastAsia" w:ascii="宋体" w:hAnsi="宋体" w:eastAsia="宋体" w:cs="宋体"/>
          <w:sz w:val="24"/>
          <w:highlight w:val="none"/>
        </w:rPr>
      </w:pPr>
    </w:p>
    <w:p w14:paraId="1B940B97">
      <w:pPr>
        <w:spacing w:line="360" w:lineRule="auto"/>
        <w:contextualSpacing/>
        <w:rPr>
          <w:rFonts w:hint="eastAsia" w:ascii="宋体" w:hAnsi="宋体" w:eastAsia="宋体" w:cs="宋体"/>
          <w:sz w:val="24"/>
          <w:highlight w:val="none"/>
        </w:rPr>
      </w:pPr>
    </w:p>
    <w:p w14:paraId="2E6FCD28">
      <w:pPr>
        <w:spacing w:line="360" w:lineRule="auto"/>
        <w:contextualSpacing/>
        <w:rPr>
          <w:rFonts w:hint="eastAsia" w:ascii="宋体" w:hAnsi="宋体" w:eastAsia="宋体" w:cs="宋体"/>
          <w:sz w:val="24"/>
          <w:highlight w:val="none"/>
        </w:rPr>
      </w:pPr>
    </w:p>
    <w:p w14:paraId="399371E1">
      <w:pPr>
        <w:spacing w:line="360" w:lineRule="auto"/>
        <w:contextualSpacing/>
        <w:rPr>
          <w:rFonts w:hint="eastAsia" w:ascii="宋体" w:hAnsi="宋体" w:eastAsia="宋体" w:cs="宋体"/>
          <w:sz w:val="24"/>
          <w:highlight w:val="none"/>
        </w:rPr>
      </w:pPr>
      <w:r>
        <w:rPr>
          <w:rFonts w:hint="eastAsia" w:ascii="宋体" w:hAnsi="宋体" w:eastAsia="宋体" w:cs="宋体"/>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602F2E2">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br w:type="page"/>
      </w:r>
      <w:r>
        <w:rPr>
          <w:rFonts w:hint="eastAsia" w:ascii="宋体" w:hAnsi="宋体" w:eastAsia="宋体" w:cs="宋体"/>
          <w:b/>
          <w:sz w:val="24"/>
          <w:highlight w:val="none"/>
        </w:rPr>
        <w:t>4.质疑函（格式）</w:t>
      </w:r>
    </w:p>
    <w:p w14:paraId="410DC203">
      <w:pPr>
        <w:spacing w:line="360" w:lineRule="auto"/>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质疑函（格式）</w:t>
      </w:r>
    </w:p>
    <w:p w14:paraId="2CAEC1D7">
      <w:pPr>
        <w:pStyle w:val="27"/>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一、质疑供应商基本信息：</w:t>
      </w:r>
    </w:p>
    <w:p w14:paraId="36BF7FA9">
      <w:pPr>
        <w:pStyle w:val="27"/>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质疑供应商</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p>
    <w:p w14:paraId="3AD62EF2">
      <w:pPr>
        <w:pStyle w:val="27"/>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邮编</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p>
    <w:p w14:paraId="3561579C">
      <w:pPr>
        <w:pStyle w:val="27"/>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17D41313">
      <w:pPr>
        <w:pStyle w:val="27"/>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授权代表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7814E6F6">
      <w:pPr>
        <w:pStyle w:val="27"/>
        <w:snapToGrid w:val="0"/>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1C0962C0">
      <w:pPr>
        <w:pStyle w:val="27"/>
        <w:snapToGrid w:val="0"/>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邮编</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p>
    <w:p w14:paraId="27B31668">
      <w:pPr>
        <w:pStyle w:val="27"/>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二、质疑项目基本情况：</w:t>
      </w:r>
    </w:p>
    <w:p w14:paraId="4ADC4A1B">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bCs/>
          <w:sz w:val="24"/>
          <w:szCs w:val="24"/>
          <w:highlight w:val="none"/>
        </w:rPr>
        <w:t>质疑</w:t>
      </w:r>
      <w:r>
        <w:rPr>
          <w:rFonts w:hint="eastAsia" w:ascii="宋体" w:hAnsi="宋体" w:eastAsia="宋体" w:cs="宋体"/>
          <w:sz w:val="24"/>
          <w:szCs w:val="24"/>
          <w:highlight w:val="none"/>
        </w:rPr>
        <w:t>项目的名称</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055CEB8D">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bCs/>
          <w:sz w:val="24"/>
          <w:szCs w:val="24"/>
          <w:highlight w:val="none"/>
        </w:rPr>
        <w:t>质疑</w:t>
      </w:r>
      <w:r>
        <w:rPr>
          <w:rFonts w:hint="eastAsia" w:ascii="宋体" w:hAnsi="宋体" w:eastAsia="宋体" w:cs="宋体"/>
          <w:sz w:val="24"/>
          <w:szCs w:val="24"/>
          <w:highlight w:val="none"/>
        </w:rPr>
        <w:t>项目的编号</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7E212DF1">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6B219AF4">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质疑事项：</w:t>
      </w:r>
    </w:p>
    <w:p w14:paraId="23B70EBB">
      <w:pPr>
        <w:pStyle w:val="27"/>
        <w:spacing w:line="360" w:lineRule="auto"/>
        <w:ind w:left="25" w:leftChars="12" w:firstLine="352" w:firstLineChars="147"/>
        <w:rPr>
          <w:rFonts w:hint="eastAsia" w:ascii="宋体" w:hAnsi="宋体" w:eastAsia="宋体" w:cs="宋体"/>
          <w:sz w:val="24"/>
          <w:szCs w:val="24"/>
          <w:highlight w:val="none"/>
        </w:rPr>
      </w:pPr>
      <w:r>
        <w:rPr>
          <w:rFonts w:hint="eastAsia" w:ascii="宋体" w:hAnsi="宋体" w:eastAsia="宋体" w:cs="宋体"/>
          <w:sz w:val="24"/>
          <w:szCs w:val="24"/>
          <w:highlight w:val="none"/>
        </w:rPr>
        <w:t>□采购文件   采购文件获取日期</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628D2038">
      <w:pPr>
        <w:pStyle w:val="27"/>
        <w:spacing w:line="360" w:lineRule="auto"/>
        <w:ind w:left="25" w:leftChars="12" w:firstLine="352" w:firstLineChars="147"/>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□采购过程   </w:t>
      </w:r>
    </w:p>
    <w:p w14:paraId="7C63B2F9">
      <w:pPr>
        <w:pStyle w:val="27"/>
        <w:spacing w:line="360" w:lineRule="auto"/>
        <w:ind w:left="25" w:leftChars="12" w:firstLine="352" w:firstLineChars="147"/>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 xml:space="preserve">□采购结果   </w:t>
      </w:r>
    </w:p>
    <w:p w14:paraId="731712A5">
      <w:pPr>
        <w:pStyle w:val="27"/>
        <w:spacing w:line="360" w:lineRule="auto"/>
        <w:ind w:left="25" w:leftChars="12"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三、质疑事项具体内容</w:t>
      </w:r>
    </w:p>
    <w:p w14:paraId="0D38CFAD">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07BCC290">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74654916">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bCs/>
          <w:sz w:val="24"/>
          <w:szCs w:val="24"/>
          <w:highlight w:val="none"/>
          <w:u w:val="single"/>
        </w:rPr>
        <w:t xml:space="preserve">               </w:t>
      </w:r>
    </w:p>
    <w:p w14:paraId="5BA69C1C">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质疑事项2</w:t>
      </w:r>
    </w:p>
    <w:p w14:paraId="15B1EDFB">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E1967F8">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四、与质疑事项相关的质疑请求：</w:t>
      </w:r>
    </w:p>
    <w:p w14:paraId="4BC42E86">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7494CBE3">
      <w:pPr>
        <w:pStyle w:val="27"/>
        <w:spacing w:line="360" w:lineRule="auto"/>
        <w:ind w:left="25" w:leftChars="12" w:firstLine="352" w:firstLineChars="147"/>
        <w:rPr>
          <w:rFonts w:hint="eastAsia" w:ascii="宋体" w:hAnsi="宋体" w:eastAsia="宋体" w:cs="宋体"/>
          <w:sz w:val="24"/>
          <w:szCs w:val="24"/>
          <w:highlight w:val="none"/>
        </w:rPr>
      </w:pPr>
    </w:p>
    <w:p w14:paraId="58DEB29A">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签字（签章）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公章：</w:t>
      </w:r>
    </w:p>
    <w:p w14:paraId="0B7228A6">
      <w:pPr>
        <w:pStyle w:val="27"/>
        <w:spacing w:line="360" w:lineRule="auto"/>
        <w:ind w:left="25" w:leftChars="12" w:firstLine="352" w:firstLineChars="147"/>
        <w:rPr>
          <w:rFonts w:hint="eastAsia" w:ascii="宋体" w:hAnsi="宋体" w:eastAsia="宋体" w:cs="宋体"/>
          <w:sz w:val="24"/>
          <w:szCs w:val="24"/>
          <w:highlight w:val="none"/>
        </w:rPr>
      </w:pPr>
    </w:p>
    <w:p w14:paraId="384BAA08">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71372F62">
      <w:pPr>
        <w:pStyle w:val="27"/>
        <w:snapToGrid w:val="0"/>
        <w:spacing w:line="360" w:lineRule="auto"/>
        <w:rPr>
          <w:rFonts w:hint="eastAsia" w:ascii="宋体" w:hAnsi="宋体" w:eastAsia="宋体" w:cs="宋体"/>
          <w:b/>
          <w:sz w:val="24"/>
          <w:szCs w:val="24"/>
          <w:highlight w:val="none"/>
        </w:rPr>
      </w:pPr>
    </w:p>
    <w:p w14:paraId="2B73EDE6">
      <w:pPr>
        <w:pStyle w:val="27"/>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p w14:paraId="4A34CF68">
      <w:pPr>
        <w:pStyle w:val="27"/>
        <w:spacing w:line="360" w:lineRule="auto"/>
        <w:ind w:left="25" w:leftChars="12" w:firstLine="354" w:firstLineChars="147"/>
        <w:rPr>
          <w:rFonts w:hint="eastAsia" w:ascii="宋体" w:hAnsi="宋体" w:eastAsia="宋体" w:cs="宋体"/>
          <w:b/>
          <w:bCs/>
          <w:sz w:val="24"/>
          <w:szCs w:val="24"/>
          <w:highlight w:val="none"/>
        </w:rPr>
      </w:pPr>
      <w:r>
        <w:rPr>
          <w:rFonts w:hint="eastAsia" w:ascii="宋体" w:hAnsi="宋体" w:eastAsia="宋体" w:cs="宋体"/>
          <w:b/>
          <w:sz w:val="24"/>
          <w:szCs w:val="24"/>
          <w:highlight w:val="none"/>
        </w:rPr>
        <w:t>1.供应商提出质疑时，应提交质疑函和必要的证明材料</w:t>
      </w:r>
      <w:r>
        <w:rPr>
          <w:rFonts w:hint="eastAsia" w:ascii="宋体" w:hAnsi="宋体" w:eastAsia="宋体" w:cs="宋体"/>
          <w:b/>
          <w:bCs/>
          <w:sz w:val="24"/>
          <w:szCs w:val="24"/>
          <w:highlight w:val="none"/>
        </w:rPr>
        <w:t>。</w:t>
      </w:r>
    </w:p>
    <w:p w14:paraId="0A4F28BD">
      <w:pPr>
        <w:pStyle w:val="27"/>
        <w:spacing w:line="360" w:lineRule="auto"/>
        <w:ind w:left="25" w:leftChars="12"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B65035">
      <w:pPr>
        <w:pStyle w:val="27"/>
        <w:spacing w:line="360" w:lineRule="auto"/>
        <w:ind w:left="25" w:leftChars="12"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3.质疑函的质疑事项应具体、明确，并有必要的事实依据和法律依据。</w:t>
      </w:r>
    </w:p>
    <w:p w14:paraId="0D58F11C">
      <w:pPr>
        <w:pStyle w:val="27"/>
        <w:spacing w:line="360" w:lineRule="auto"/>
        <w:ind w:left="25" w:leftChars="12"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4.质疑函的质疑请求应与质疑事项相关。</w:t>
      </w:r>
    </w:p>
    <w:p w14:paraId="11EB7593">
      <w:pPr>
        <w:pStyle w:val="27"/>
        <w:spacing w:line="360" w:lineRule="auto"/>
        <w:ind w:left="25" w:leftChars="12" w:firstLine="354" w:firstLineChars="147"/>
        <w:rPr>
          <w:rFonts w:hint="eastAsia" w:ascii="宋体" w:hAnsi="宋体" w:eastAsia="宋体" w:cs="宋体"/>
          <w:b/>
          <w:highlight w:val="none"/>
        </w:rPr>
      </w:pPr>
      <w:r>
        <w:rPr>
          <w:rFonts w:hint="eastAsia" w:ascii="宋体" w:hAnsi="宋体" w:eastAsia="宋体" w:cs="宋体"/>
          <w:b/>
          <w:sz w:val="24"/>
          <w:szCs w:val="24"/>
          <w:highlight w:val="none"/>
        </w:rPr>
        <w:t>5.质疑供应商为法人或者其他组织的，质疑函应由法定代表人、主要负责人，或者其授权代表签字或者盖章，并加盖公章。</w:t>
      </w:r>
    </w:p>
    <w:p w14:paraId="5C48F079">
      <w:pPr>
        <w:pStyle w:val="27"/>
        <w:snapToGrid w:val="0"/>
        <w:rPr>
          <w:rFonts w:hint="eastAsia" w:ascii="宋体" w:hAnsi="宋体" w:eastAsia="宋体" w:cs="宋体"/>
          <w:b/>
          <w:sz w:val="24"/>
          <w:szCs w:val="24"/>
          <w:highlight w:val="none"/>
        </w:rPr>
      </w:pPr>
    </w:p>
    <w:p w14:paraId="53060E19">
      <w:pPr>
        <w:spacing w:line="360" w:lineRule="auto"/>
        <w:jc w:val="left"/>
        <w:rPr>
          <w:rFonts w:hint="eastAsia" w:ascii="宋体" w:hAnsi="宋体" w:eastAsia="宋体" w:cs="宋体"/>
          <w:b/>
          <w:bCs/>
          <w:sz w:val="32"/>
          <w:szCs w:val="32"/>
          <w:highlight w:val="none"/>
        </w:rPr>
      </w:pPr>
      <w:r>
        <w:rPr>
          <w:rFonts w:hint="eastAsia" w:ascii="宋体" w:hAnsi="宋体" w:eastAsia="宋体" w:cs="宋体"/>
          <w:sz w:val="44"/>
          <w:highlight w:val="none"/>
        </w:rPr>
        <w:br w:type="page"/>
      </w:r>
      <w:r>
        <w:rPr>
          <w:rFonts w:hint="eastAsia" w:ascii="宋体" w:hAnsi="宋体" w:eastAsia="宋体" w:cs="宋体"/>
          <w:b/>
          <w:sz w:val="24"/>
          <w:highlight w:val="none"/>
        </w:rPr>
        <w:t>5.投诉书（格式）</w:t>
      </w:r>
    </w:p>
    <w:p w14:paraId="3AF2DA5C">
      <w:pPr>
        <w:spacing w:line="360" w:lineRule="auto"/>
        <w:jc w:val="center"/>
        <w:rPr>
          <w:rFonts w:hint="eastAsia" w:ascii="宋体" w:hAnsi="宋体" w:eastAsia="宋体" w:cs="宋体"/>
          <w:sz w:val="44"/>
          <w:szCs w:val="44"/>
          <w:highlight w:val="none"/>
        </w:rPr>
      </w:pPr>
      <w:r>
        <w:rPr>
          <w:rFonts w:hint="eastAsia" w:ascii="宋体" w:hAnsi="宋体" w:eastAsia="宋体" w:cs="宋体"/>
          <w:sz w:val="44"/>
          <w:szCs w:val="44"/>
          <w:highlight w:val="none"/>
        </w:rPr>
        <w:t>投诉书（格式）</w:t>
      </w:r>
    </w:p>
    <w:p w14:paraId="40072E86">
      <w:pPr>
        <w:pStyle w:val="27"/>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一、投诉相关主体基本情况：</w:t>
      </w:r>
    </w:p>
    <w:p w14:paraId="4353B7FD">
      <w:pPr>
        <w:pStyle w:val="27"/>
        <w:snapToGrid w:val="0"/>
        <w:spacing w:line="360" w:lineRule="auto"/>
        <w:ind w:firstLine="480" w:firstLineChars="200"/>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投标人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p>
    <w:p w14:paraId="5226345A">
      <w:pPr>
        <w:pStyle w:val="27"/>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邮编</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p>
    <w:p w14:paraId="3CC1CAAE">
      <w:pPr>
        <w:pStyle w:val="27"/>
        <w:snapToGrid w:val="0"/>
        <w:spacing w:line="360" w:lineRule="auto"/>
        <w:ind w:firstLine="480" w:firstLineChars="200"/>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法定代表人/主要负责人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513DBF70">
      <w:pPr>
        <w:pStyle w:val="27"/>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4419DA79">
      <w:pPr>
        <w:pStyle w:val="27"/>
        <w:snapToGrid w:val="0"/>
        <w:spacing w:line="360" w:lineRule="auto"/>
        <w:ind w:firstLine="480" w:firstLineChars="200"/>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授权代表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7D63469F">
      <w:pPr>
        <w:pStyle w:val="27"/>
        <w:snapToGrid w:val="0"/>
        <w:spacing w:line="360" w:lineRule="auto"/>
        <w:ind w:firstLine="480" w:firstLineChars="200"/>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地址</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19ABDB05">
      <w:pPr>
        <w:pStyle w:val="27"/>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邮编</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p>
    <w:p w14:paraId="6899BF53">
      <w:pPr>
        <w:pStyle w:val="27"/>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被投诉人1：</w:t>
      </w:r>
    </w:p>
    <w:p w14:paraId="4B0E8BB8">
      <w:pPr>
        <w:pStyle w:val="27"/>
        <w:snapToGrid w:val="0"/>
        <w:spacing w:line="360" w:lineRule="auto"/>
        <w:ind w:firstLine="480" w:firstLineChars="200"/>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地址</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41535B07">
      <w:pPr>
        <w:pStyle w:val="27"/>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邮编</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p>
    <w:p w14:paraId="3108F4A4">
      <w:pPr>
        <w:pStyle w:val="27"/>
        <w:snapToGrid w:val="0"/>
        <w:spacing w:line="360" w:lineRule="auto"/>
        <w:ind w:firstLine="480" w:firstLineChars="200"/>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联系人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1F2A801D">
      <w:pPr>
        <w:pStyle w:val="27"/>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被投诉人2：</w:t>
      </w:r>
    </w:p>
    <w:p w14:paraId="2E54901E">
      <w:pPr>
        <w:pStyle w:val="27"/>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p w14:paraId="19F0FA4D">
      <w:pPr>
        <w:pStyle w:val="27"/>
        <w:snapToGrid w:val="0"/>
        <w:spacing w:line="360" w:lineRule="auto"/>
        <w:ind w:firstLine="480" w:firstLineChars="200"/>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相关供应商</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663F5EF9">
      <w:pPr>
        <w:pStyle w:val="27"/>
        <w:snapToGrid w:val="0"/>
        <w:spacing w:line="360" w:lineRule="auto"/>
        <w:ind w:firstLine="480" w:firstLineChars="200"/>
        <w:jc w:val="left"/>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地址</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邮编</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1F4C4693">
      <w:pPr>
        <w:pStyle w:val="27"/>
        <w:snapToGrid w:val="0"/>
        <w:spacing w:line="360" w:lineRule="auto"/>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联系人</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联系电话</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 xml:space="preserve">                </w:t>
      </w:r>
    </w:p>
    <w:p w14:paraId="295751DD">
      <w:pPr>
        <w:pStyle w:val="27"/>
        <w:snapToGrid w:val="0"/>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二、投诉项目基本情况：</w:t>
      </w:r>
    </w:p>
    <w:p w14:paraId="5B061AF9">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bCs/>
          <w:sz w:val="24"/>
          <w:szCs w:val="24"/>
          <w:highlight w:val="none"/>
        </w:rPr>
        <w:t>采购</w:t>
      </w:r>
      <w:r>
        <w:rPr>
          <w:rFonts w:hint="eastAsia" w:ascii="宋体" w:hAnsi="宋体" w:eastAsia="宋体" w:cs="宋体"/>
          <w:sz w:val="24"/>
          <w:szCs w:val="24"/>
          <w:highlight w:val="none"/>
        </w:rPr>
        <w:t>项目的名称</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7CE00EDE">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bCs/>
          <w:sz w:val="24"/>
          <w:szCs w:val="24"/>
          <w:highlight w:val="none"/>
        </w:rPr>
        <w:t>采购</w:t>
      </w:r>
      <w:r>
        <w:rPr>
          <w:rFonts w:hint="eastAsia" w:ascii="宋体" w:hAnsi="宋体" w:eastAsia="宋体" w:cs="宋体"/>
          <w:sz w:val="24"/>
          <w:szCs w:val="24"/>
          <w:highlight w:val="none"/>
        </w:rPr>
        <w:t>项目的编号</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12F1C396">
      <w:pPr>
        <w:pStyle w:val="27"/>
        <w:spacing w:line="360" w:lineRule="auto"/>
        <w:ind w:left="25" w:leftChars="12" w:firstLine="472" w:firstLineChars="197"/>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556C05BB">
      <w:pPr>
        <w:pStyle w:val="27"/>
        <w:spacing w:line="360" w:lineRule="auto"/>
        <w:ind w:left="25" w:leftChars="12" w:firstLine="472" w:firstLineChars="197"/>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464DD1BD">
      <w:pPr>
        <w:pStyle w:val="27"/>
        <w:spacing w:line="360" w:lineRule="auto"/>
        <w:ind w:left="25" w:leftChars="12" w:firstLine="472" w:firstLineChars="197"/>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采购文件公告：</w:t>
      </w:r>
      <w:r>
        <w:rPr>
          <w:rFonts w:hint="eastAsia" w:ascii="宋体" w:hAnsi="宋体" w:eastAsia="宋体" w:cs="宋体"/>
          <w:bCs/>
          <w:sz w:val="24"/>
          <w:szCs w:val="24"/>
          <w:highlight w:val="none"/>
          <w:u w:val="single"/>
        </w:rPr>
        <w:t>是/否</w:t>
      </w:r>
      <w:r>
        <w:rPr>
          <w:rFonts w:hint="eastAsia" w:ascii="宋体" w:hAnsi="宋体" w:eastAsia="宋体" w:cs="宋体"/>
          <w:bCs/>
          <w:sz w:val="24"/>
          <w:szCs w:val="24"/>
          <w:highlight w:val="none"/>
        </w:rPr>
        <w:t>公告期限</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051E6AFE">
      <w:pPr>
        <w:pStyle w:val="27"/>
        <w:spacing w:line="360" w:lineRule="auto"/>
        <w:ind w:left="25" w:leftChars="12" w:firstLine="472" w:firstLineChars="197"/>
        <w:rPr>
          <w:rFonts w:hint="eastAsia" w:ascii="宋体" w:hAnsi="宋体" w:eastAsia="宋体" w:cs="宋体"/>
          <w:b/>
          <w:sz w:val="24"/>
          <w:szCs w:val="24"/>
          <w:highlight w:val="none"/>
        </w:rPr>
      </w:pPr>
      <w:r>
        <w:rPr>
          <w:rFonts w:hint="eastAsia" w:ascii="宋体" w:hAnsi="宋体" w:eastAsia="宋体" w:cs="宋体"/>
          <w:bCs/>
          <w:sz w:val="24"/>
          <w:szCs w:val="24"/>
          <w:highlight w:val="none"/>
        </w:rPr>
        <w:t>采购结果公告：</w:t>
      </w:r>
      <w:r>
        <w:rPr>
          <w:rFonts w:hint="eastAsia" w:ascii="宋体" w:hAnsi="宋体" w:eastAsia="宋体" w:cs="宋体"/>
          <w:bCs/>
          <w:sz w:val="24"/>
          <w:szCs w:val="24"/>
          <w:highlight w:val="none"/>
          <w:u w:val="single"/>
        </w:rPr>
        <w:t>是/否</w:t>
      </w:r>
      <w:r>
        <w:rPr>
          <w:rFonts w:hint="eastAsia" w:ascii="宋体" w:hAnsi="宋体" w:eastAsia="宋体" w:cs="宋体"/>
          <w:bCs/>
          <w:sz w:val="24"/>
          <w:szCs w:val="24"/>
          <w:highlight w:val="none"/>
        </w:rPr>
        <w:t>公告期限</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2004FE2E">
      <w:pPr>
        <w:pStyle w:val="27"/>
        <w:spacing w:line="360" w:lineRule="auto"/>
        <w:ind w:left="25" w:leftChars="12"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三、质疑基本情况</w:t>
      </w:r>
    </w:p>
    <w:p w14:paraId="6308E0FB">
      <w:pPr>
        <w:pStyle w:val="27"/>
        <w:spacing w:line="360" w:lineRule="auto"/>
        <w:ind w:left="25" w:leftChars="12"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提出质疑，质疑事项为：</w:t>
      </w:r>
    </w:p>
    <w:p w14:paraId="429ED06B">
      <w:pPr>
        <w:pStyle w:val="27"/>
        <w:spacing w:line="360" w:lineRule="auto"/>
        <w:ind w:firstLine="241"/>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u w:val="single"/>
        </w:rPr>
        <w:t xml:space="preserve">                                                                                      </w:t>
      </w:r>
    </w:p>
    <w:p w14:paraId="1B5DD246">
      <w:pPr>
        <w:pStyle w:val="27"/>
        <w:spacing w:line="360" w:lineRule="auto"/>
        <w:ind w:firstLine="241"/>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rPr>
        <w:t xml:space="preserve">                                                                                      </w:t>
      </w:r>
    </w:p>
    <w:p w14:paraId="199F7DF7">
      <w:pPr>
        <w:pStyle w:val="2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采购人/代理机构</w:t>
      </w:r>
      <w:r>
        <w:rPr>
          <w:rFonts w:hint="eastAsia" w:ascii="宋体" w:hAnsi="宋体" w:eastAsia="宋体" w:cs="宋体"/>
          <w:bCs/>
          <w:sz w:val="24"/>
          <w:szCs w:val="24"/>
          <w:highlight w:val="none"/>
        </w:rPr>
        <w:t>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bCs/>
          <w:sz w:val="24"/>
          <w:szCs w:val="24"/>
          <w:highlight w:val="none"/>
        </w:rPr>
        <w:t xml:space="preserve">就质疑事项作出了答复/没有在法定期限内作出答复。                                                                                             </w:t>
      </w:r>
    </w:p>
    <w:p w14:paraId="19522623">
      <w:pPr>
        <w:pStyle w:val="27"/>
        <w:spacing w:line="360" w:lineRule="auto"/>
        <w:ind w:left="25" w:leftChars="12"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四、投诉事项具体内容</w:t>
      </w:r>
    </w:p>
    <w:p w14:paraId="6C148DD6">
      <w:pPr>
        <w:pStyle w:val="27"/>
        <w:spacing w:line="360" w:lineRule="auto"/>
        <w:ind w:left="25" w:leftChars="12" w:firstLine="472" w:firstLineChars="197"/>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投诉事项1</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61CD711B">
      <w:pPr>
        <w:pStyle w:val="27"/>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事实依据</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67BBC1DE">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 xml:space="preserve">                                                                                        </w:t>
      </w:r>
    </w:p>
    <w:p w14:paraId="4BB66887">
      <w:pPr>
        <w:pStyle w:val="27"/>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法律依据</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p>
    <w:p w14:paraId="15174450">
      <w:pPr>
        <w:pStyle w:val="27"/>
        <w:spacing w:line="360" w:lineRule="auto"/>
        <w:ind w:left="25" w:leftChars="12" w:firstLine="352" w:firstLineChars="147"/>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u w:val="single"/>
        </w:rPr>
        <w:t xml:space="preserve">                                                                                        </w:t>
      </w:r>
    </w:p>
    <w:p w14:paraId="26662051">
      <w:pPr>
        <w:pStyle w:val="27"/>
        <w:spacing w:line="360" w:lineRule="auto"/>
        <w:ind w:left="25" w:leftChars="12" w:firstLine="472" w:firstLineChars="197"/>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投诉事项2  </w:t>
      </w:r>
      <w:r>
        <w:rPr>
          <w:rFonts w:hint="eastAsia" w:ascii="宋体" w:hAnsi="宋体" w:eastAsia="宋体" w:cs="宋体"/>
          <w:bCs/>
          <w:sz w:val="24"/>
          <w:szCs w:val="24"/>
          <w:highlight w:val="none"/>
        </w:rPr>
        <w:t xml:space="preserve">   </w:t>
      </w:r>
    </w:p>
    <w:p w14:paraId="3264B4D2">
      <w:pPr>
        <w:pStyle w:val="27"/>
        <w:spacing w:line="360" w:lineRule="auto"/>
        <w:ind w:left="25" w:leftChars="12" w:firstLine="472" w:firstLineChars="197"/>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p>
    <w:p w14:paraId="05FFB8D3">
      <w:pPr>
        <w:pStyle w:val="27"/>
        <w:spacing w:line="360" w:lineRule="auto"/>
        <w:ind w:left="25" w:leftChars="12"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五、与投诉事项相关的投诉请求：</w:t>
      </w:r>
    </w:p>
    <w:p w14:paraId="2070F077">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u w:val="single"/>
        </w:rPr>
        <w:t xml:space="preserve">                                                                                </w:t>
      </w:r>
    </w:p>
    <w:p w14:paraId="53FDAA0F">
      <w:pPr>
        <w:pStyle w:val="27"/>
        <w:spacing w:line="360" w:lineRule="auto"/>
        <w:ind w:left="25" w:leftChars="12" w:firstLine="352" w:firstLineChars="147"/>
        <w:rPr>
          <w:rFonts w:hint="eastAsia" w:ascii="宋体" w:hAnsi="宋体" w:eastAsia="宋体" w:cs="宋体"/>
          <w:sz w:val="24"/>
          <w:szCs w:val="24"/>
          <w:highlight w:val="none"/>
        </w:rPr>
      </w:pPr>
    </w:p>
    <w:p w14:paraId="1DC01E6F">
      <w:pPr>
        <w:pStyle w:val="27"/>
        <w:spacing w:line="360" w:lineRule="auto"/>
        <w:ind w:left="25" w:leftChars="12" w:firstLine="472" w:firstLineChars="197"/>
        <w:rPr>
          <w:rFonts w:hint="eastAsia" w:ascii="宋体" w:hAnsi="宋体" w:eastAsia="宋体" w:cs="宋体"/>
          <w:sz w:val="24"/>
          <w:szCs w:val="24"/>
          <w:highlight w:val="none"/>
        </w:rPr>
      </w:pPr>
      <w:r>
        <w:rPr>
          <w:rFonts w:hint="eastAsia" w:ascii="宋体" w:hAnsi="宋体" w:eastAsia="宋体" w:cs="宋体"/>
          <w:sz w:val="24"/>
          <w:szCs w:val="24"/>
          <w:highlight w:val="none"/>
        </w:rPr>
        <w:t>签字（签章）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公章：</w:t>
      </w:r>
    </w:p>
    <w:p w14:paraId="4FAE6519">
      <w:pPr>
        <w:pStyle w:val="27"/>
        <w:spacing w:line="360" w:lineRule="auto"/>
        <w:ind w:left="25" w:leftChars="12" w:firstLine="352" w:firstLineChars="147"/>
        <w:rPr>
          <w:rFonts w:hint="eastAsia" w:ascii="宋体" w:hAnsi="宋体" w:eastAsia="宋体" w:cs="宋体"/>
          <w:sz w:val="24"/>
          <w:szCs w:val="24"/>
          <w:highlight w:val="none"/>
        </w:rPr>
      </w:pPr>
    </w:p>
    <w:p w14:paraId="03F828C6">
      <w:pPr>
        <w:pStyle w:val="27"/>
        <w:spacing w:line="360" w:lineRule="auto"/>
        <w:ind w:left="25" w:leftChars="12" w:firstLine="472" w:firstLineChars="197"/>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lang w:eastAsia="zh-CN"/>
        </w:rPr>
        <w:t>：</w:t>
      </w:r>
    </w:p>
    <w:p w14:paraId="1EAEDBE4">
      <w:pPr>
        <w:pStyle w:val="27"/>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p w14:paraId="64490973">
      <w:pPr>
        <w:pStyle w:val="27"/>
        <w:spacing w:line="360" w:lineRule="auto"/>
        <w:ind w:left="25" w:leftChars="12" w:firstLine="354" w:firstLineChars="147"/>
        <w:rPr>
          <w:rFonts w:hint="eastAsia" w:ascii="宋体" w:hAnsi="宋体" w:eastAsia="宋体" w:cs="宋体"/>
          <w:b/>
          <w:bCs/>
          <w:sz w:val="24"/>
          <w:szCs w:val="24"/>
          <w:highlight w:val="none"/>
        </w:rPr>
      </w:pPr>
      <w:r>
        <w:rPr>
          <w:rFonts w:hint="eastAsia" w:ascii="宋体" w:hAnsi="宋体" w:eastAsia="宋体" w:cs="宋体"/>
          <w:b/>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sz w:val="24"/>
          <w:szCs w:val="24"/>
          <w:highlight w:val="none"/>
        </w:rPr>
        <w:t>。</w:t>
      </w:r>
    </w:p>
    <w:p w14:paraId="7D15B1BB">
      <w:pPr>
        <w:pStyle w:val="27"/>
        <w:spacing w:line="360" w:lineRule="auto"/>
        <w:ind w:left="25" w:leftChars="12"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3689718">
      <w:pPr>
        <w:pStyle w:val="27"/>
        <w:spacing w:line="360" w:lineRule="auto"/>
        <w:ind w:left="25" w:leftChars="12"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3.投诉书应简要列明质疑事项，质疑函、质疑答复等作为附件材料提供。</w:t>
      </w:r>
    </w:p>
    <w:p w14:paraId="762E6BCA">
      <w:pPr>
        <w:pStyle w:val="27"/>
        <w:spacing w:line="360" w:lineRule="auto"/>
        <w:ind w:left="25" w:leftChars="12"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4.投诉书的投诉事项应具体、明确，并有必要的事实依据和法律依据。</w:t>
      </w:r>
    </w:p>
    <w:p w14:paraId="3C87BE07">
      <w:pPr>
        <w:pStyle w:val="27"/>
        <w:spacing w:line="360" w:lineRule="auto"/>
        <w:ind w:left="25" w:leftChars="12"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5.投诉书的投诉请求应与投诉事项相关。</w:t>
      </w:r>
    </w:p>
    <w:p w14:paraId="53D4E4D4">
      <w:pPr>
        <w:pStyle w:val="27"/>
        <w:spacing w:line="440" w:lineRule="exact"/>
        <w:ind w:left="25" w:leftChars="12" w:firstLine="354" w:firstLineChars="147"/>
        <w:rPr>
          <w:rFonts w:hint="eastAsia" w:ascii="宋体" w:hAnsi="宋体" w:eastAsia="宋体" w:cs="宋体"/>
          <w:b/>
          <w:sz w:val="24"/>
          <w:szCs w:val="24"/>
          <w:highlight w:val="none"/>
        </w:rPr>
      </w:pPr>
      <w:r>
        <w:rPr>
          <w:rFonts w:hint="eastAsia" w:ascii="宋体" w:hAnsi="宋体" w:eastAsia="宋体" w:cs="宋体"/>
          <w:b/>
          <w:sz w:val="24"/>
          <w:szCs w:val="24"/>
          <w:highlight w:val="none"/>
        </w:rPr>
        <w:t>6.投诉人为法人或者其他组织的，投诉书应由法定代表人、主要负责人，或者其授权代表签字或者盖章，并加盖公章。</w:t>
      </w:r>
    </w:p>
    <w:p w14:paraId="3AB22F06">
      <w:pPr>
        <w:pStyle w:val="27"/>
        <w:spacing w:line="440" w:lineRule="exact"/>
        <w:ind w:left="25" w:leftChars="12" w:firstLine="354" w:firstLineChars="147"/>
        <w:rPr>
          <w:rFonts w:hint="eastAsia" w:ascii="宋体" w:hAnsi="宋体" w:eastAsia="宋体" w:cs="宋体"/>
          <w:b/>
          <w:sz w:val="24"/>
          <w:szCs w:val="24"/>
          <w:highlight w:val="none"/>
        </w:rPr>
      </w:pPr>
    </w:p>
    <w:p w14:paraId="42BBBD51">
      <w:pPr>
        <w:widowControl/>
        <w:jc w:val="left"/>
        <w:rPr>
          <w:rFonts w:hint="eastAsia" w:ascii="宋体" w:hAnsi="宋体" w:eastAsia="宋体" w:cs="宋体"/>
          <w:color w:val="auto"/>
          <w:szCs w:val="21"/>
          <w:highlight w:val="none"/>
        </w:rPr>
      </w:pPr>
    </w:p>
    <w:sectPr>
      <w:headerReference r:id="rId17" w:type="default"/>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231BC">
    <w:pPr>
      <w:pStyle w:val="32"/>
      <w:framePr w:wrap="around" w:vAnchor="text" w:hAnchor="margin" w:xAlign="center" w:y="1"/>
      <w:rPr>
        <w:rStyle w:val="56"/>
      </w:rPr>
    </w:pPr>
    <w:r>
      <w:fldChar w:fldCharType="begin"/>
    </w:r>
    <w:r>
      <w:rPr>
        <w:rStyle w:val="56"/>
      </w:rPr>
      <w:instrText xml:space="preserve">PAGE  </w:instrText>
    </w:r>
    <w:r>
      <w:fldChar w:fldCharType="end"/>
    </w:r>
  </w:p>
  <w:p w14:paraId="5BA4165E">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8A76F">
    <w:pPr>
      <w:pStyle w:val="32"/>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5802289"/>
    </w:sdtPr>
    <w:sdtContent>
      <w:p w14:paraId="33472D60">
        <w:pPr>
          <w:pStyle w:val="32"/>
          <w:jc w:val="center"/>
        </w:pPr>
        <w:r>
          <w:fldChar w:fldCharType="begin"/>
        </w:r>
        <w:r>
          <w:instrText xml:space="preserve">PAGE   \* MERGEFORMAT</w:instrText>
        </w:r>
        <w:r>
          <w:fldChar w:fldCharType="separate"/>
        </w:r>
        <w:r>
          <w:rPr>
            <w:lang w:val="zh-CN"/>
          </w:rPr>
          <w:t>35</w:t>
        </w:r>
        <w:r>
          <w:fldChar w:fldCharType="end"/>
        </w:r>
      </w:p>
    </w:sdtContent>
  </w:sdt>
  <w:p w14:paraId="66AFBEE6">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EBB84">
    <w:pPr>
      <w:pStyle w:val="32"/>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5414"/>
    </w:sdtPr>
    <w:sdtContent>
      <w:p w14:paraId="022EE32F">
        <w:pPr>
          <w:pStyle w:val="32"/>
          <w:jc w:val="center"/>
        </w:pPr>
        <w:r>
          <w:fldChar w:fldCharType="begin"/>
        </w:r>
        <w:r>
          <w:instrText xml:space="preserve">PAGE   \* MERGEFORMAT</w:instrText>
        </w:r>
        <w:r>
          <w:fldChar w:fldCharType="separate"/>
        </w:r>
        <w:r>
          <w:rPr>
            <w:lang w:val="zh-CN"/>
          </w:rPr>
          <w:t>35</w:t>
        </w:r>
        <w:r>
          <w:fldChar w:fldCharType="end"/>
        </w:r>
      </w:p>
    </w:sdtContent>
  </w:sdt>
  <w:p w14:paraId="52748C1E">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115"/>
    </w:sdtPr>
    <w:sdtContent>
      <w:p w14:paraId="4EBFE6C2">
        <w:pPr>
          <w:pStyle w:val="32"/>
          <w:jc w:val="center"/>
        </w:pPr>
        <w:r>
          <w:fldChar w:fldCharType="begin"/>
        </w:r>
        <w:r>
          <w:instrText xml:space="preserve">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7B24">
    <w:pPr>
      <w:pStyle w:val="32"/>
      <w:jc w:val="center"/>
    </w:pPr>
    <w:r>
      <w:fldChar w:fldCharType="begin"/>
    </w:r>
    <w:r>
      <w:instrText xml:space="preserve"> PAGE   \* MERGEFORMAT </w:instrText>
    </w:r>
    <w:r>
      <w:fldChar w:fldCharType="separate"/>
    </w:r>
    <w:r>
      <w:rPr>
        <w:lang w:val="zh-CN"/>
      </w:rPr>
      <w:t>95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E35BC">
    <w:pPr>
      <w:pStyle w:val="32"/>
      <w:framePr w:wrap="around" w:vAnchor="text" w:hAnchor="margin" w:xAlign="center" w:y="1"/>
      <w:rPr>
        <w:rStyle w:val="56"/>
      </w:rPr>
    </w:pPr>
    <w:r>
      <w:fldChar w:fldCharType="begin"/>
    </w:r>
    <w:r>
      <w:rPr>
        <w:rStyle w:val="56"/>
      </w:rPr>
      <w:instrText xml:space="preserve">PAGE  </w:instrText>
    </w:r>
    <w:r>
      <w:fldChar w:fldCharType="end"/>
    </w:r>
  </w:p>
  <w:p w14:paraId="361A7603">
    <w:pPr>
      <w:pStyle w:val="3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8988">
    <w:pPr>
      <w:pStyle w:val="32"/>
      <w:jc w:val="center"/>
    </w:pPr>
    <w:r>
      <w:fldChar w:fldCharType="begin"/>
    </w:r>
    <w:r>
      <w:instrText xml:space="preserve">PAGE   \* MERGEFORMAT</w:instrText>
    </w:r>
    <w:r>
      <w:fldChar w:fldCharType="separate"/>
    </w:r>
    <w:r>
      <w:rPr>
        <w:lang w:val="zh-CN"/>
      </w:rPr>
      <w:t>77</w:t>
    </w:r>
    <w:r>
      <w:fldChar w:fldCharType="end"/>
    </w:r>
  </w:p>
  <w:p w14:paraId="385360DA">
    <w:pPr>
      <w:pStyle w:val="3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5E3B0">
    <w:pPr>
      <w:pStyle w:val="33"/>
      <w:pBdr>
        <w:bottom w:val="none" w:color="auto" w:sz="0" w:space="0"/>
      </w:pBdr>
      <w:tabs>
        <w:tab w:val="center" w:pos="0"/>
        <w:tab w:val="left" w:pos="8306"/>
        <w:tab w:val="clear" w:pos="4153"/>
      </w:tabs>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D5E44">
    <w:pPr>
      <w:pStyle w:val="33"/>
      <w:jc w:val="left"/>
    </w:pPr>
    <w:r>
      <w:rPr>
        <w:rFonts w:hint="eastAsia"/>
        <w:lang w:eastAsia="zh-CN"/>
      </w:rPr>
      <w:t>广西汉昌工程咨询有限公司</w:t>
    </w:r>
    <w:r>
      <w:rPr>
        <w:rFonts w:hint="eastAsia"/>
      </w:rPr>
      <w:t xml:space="preserve">招标文件                                                               </w:t>
    </w:r>
  </w:p>
  <w:p w14:paraId="1A4A5176">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5FDE">
    <w:pPr>
      <w:pStyle w:val="33"/>
      <w:jc w:val="left"/>
    </w:pPr>
    <w:r>
      <w:rPr>
        <w:rFonts w:hint="eastAsia"/>
        <w:lang w:eastAsia="zh-CN"/>
      </w:rPr>
      <w:t>广西汉昌工程咨询有限公司</w:t>
    </w:r>
    <w:r>
      <w:rPr>
        <w:rFonts w:hint="eastAsia"/>
      </w:rPr>
      <w:t xml:space="preserve">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44B2E">
    <w:pPr>
      <w:pStyle w:val="33"/>
      <w:jc w:val="left"/>
    </w:pPr>
    <w:r>
      <w:rPr>
        <w:rFonts w:hint="eastAsia"/>
        <w:lang w:eastAsia="zh-CN"/>
      </w:rPr>
      <w:t>广西汉昌工程咨询有限公司</w:t>
    </w:r>
    <w:r>
      <w:rPr>
        <w:rFonts w:hint="eastAsia"/>
      </w:rPr>
      <w:t xml:space="preserve">招标文件                                                           </w:t>
    </w:r>
  </w:p>
  <w:p w14:paraId="1CFBB598">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FFD18">
    <w:pPr>
      <w:pStyle w:val="33"/>
      <w:jc w:val="left"/>
    </w:pPr>
    <w:r>
      <w:rPr>
        <w:rFonts w:hint="eastAsia"/>
        <w:lang w:eastAsia="zh-CN"/>
      </w:rPr>
      <w:t>广西汉昌工程咨询有限公司</w:t>
    </w:r>
    <w:r>
      <w:rPr>
        <w:rFonts w:hint="eastAsia"/>
      </w:rPr>
      <w:t xml:space="preserve">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F6ED">
    <w:pPr>
      <w:rPr>
        <w:sz w:val="18"/>
        <w:szCs w:val="18"/>
        <w:u w:val="single"/>
      </w:rPr>
    </w:pPr>
    <w:r>
      <w:rPr>
        <w:rFonts w:hint="eastAsia"/>
        <w:sz w:val="18"/>
        <w:szCs w:val="18"/>
        <w:u w:val="single"/>
        <w:lang w:eastAsia="zh-CN"/>
      </w:rPr>
      <w:t>广西汉昌工程咨询有限公司</w:t>
    </w:r>
    <w:r>
      <w:rPr>
        <w:rFonts w:hint="eastAsia"/>
        <w:sz w:val="18"/>
        <w:szCs w:val="18"/>
        <w:u w:val="single"/>
      </w:rPr>
      <w:t xml:space="preserve">招标文件                                             </w:t>
    </w:r>
    <w:r>
      <w:rPr>
        <w:sz w:val="18"/>
        <w:szCs w:val="18"/>
        <w:u w:val="single"/>
      </w:rPr>
      <w:t xml:space="preserve">            </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zZmJkM2VmYzAzMzUxNmViMjJkYzg5YmJkYmY0YjEifQ=="/>
  </w:docVars>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087"/>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DE0"/>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747"/>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28"/>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979"/>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5D2A"/>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693"/>
    <w:rsid w:val="00056770"/>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6E5A"/>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5EC2"/>
    <w:rsid w:val="00086067"/>
    <w:rsid w:val="000866A9"/>
    <w:rsid w:val="00086975"/>
    <w:rsid w:val="00086BA6"/>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0E2"/>
    <w:rsid w:val="000955B6"/>
    <w:rsid w:val="0009592E"/>
    <w:rsid w:val="00095AAF"/>
    <w:rsid w:val="00095B76"/>
    <w:rsid w:val="00095C87"/>
    <w:rsid w:val="00095ECB"/>
    <w:rsid w:val="00096791"/>
    <w:rsid w:val="00096D28"/>
    <w:rsid w:val="0009715C"/>
    <w:rsid w:val="000971A2"/>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C2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00A"/>
    <w:rsid w:val="000D55FD"/>
    <w:rsid w:val="000D562F"/>
    <w:rsid w:val="000D56C7"/>
    <w:rsid w:val="000D672C"/>
    <w:rsid w:val="000D68F4"/>
    <w:rsid w:val="000D6A04"/>
    <w:rsid w:val="000D6A61"/>
    <w:rsid w:val="000D6B49"/>
    <w:rsid w:val="000D6C78"/>
    <w:rsid w:val="000D74B9"/>
    <w:rsid w:val="000D77A9"/>
    <w:rsid w:val="000D7DAA"/>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B98"/>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79C"/>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3C"/>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CE"/>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0E1B"/>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477"/>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9"/>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2F62"/>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C84"/>
    <w:rsid w:val="00166EE6"/>
    <w:rsid w:val="001672AF"/>
    <w:rsid w:val="00167454"/>
    <w:rsid w:val="00167460"/>
    <w:rsid w:val="00167517"/>
    <w:rsid w:val="0016764C"/>
    <w:rsid w:val="001678AF"/>
    <w:rsid w:val="00170307"/>
    <w:rsid w:val="00170377"/>
    <w:rsid w:val="001706B2"/>
    <w:rsid w:val="00170A14"/>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2B7"/>
    <w:rsid w:val="0017339D"/>
    <w:rsid w:val="00173686"/>
    <w:rsid w:val="001737FE"/>
    <w:rsid w:val="00173893"/>
    <w:rsid w:val="00173E1F"/>
    <w:rsid w:val="00173F0C"/>
    <w:rsid w:val="0017426E"/>
    <w:rsid w:val="00174691"/>
    <w:rsid w:val="00175014"/>
    <w:rsid w:val="0017504C"/>
    <w:rsid w:val="001751EE"/>
    <w:rsid w:val="001753D1"/>
    <w:rsid w:val="00175B11"/>
    <w:rsid w:val="00175B5B"/>
    <w:rsid w:val="00175F46"/>
    <w:rsid w:val="00176AFA"/>
    <w:rsid w:val="00176B0A"/>
    <w:rsid w:val="00176C25"/>
    <w:rsid w:val="00176E50"/>
    <w:rsid w:val="00176EB7"/>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06BE"/>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6D6"/>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92C"/>
    <w:rsid w:val="001A5AAB"/>
    <w:rsid w:val="001A5DA1"/>
    <w:rsid w:val="001A66E5"/>
    <w:rsid w:val="001A6A4C"/>
    <w:rsid w:val="001A7328"/>
    <w:rsid w:val="001A775C"/>
    <w:rsid w:val="001A7CA4"/>
    <w:rsid w:val="001A7CBA"/>
    <w:rsid w:val="001B0281"/>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D2A"/>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C0C"/>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669"/>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3AAE"/>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32F"/>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7B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29"/>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915"/>
    <w:rsid w:val="00200A84"/>
    <w:rsid w:val="00200A89"/>
    <w:rsid w:val="00200C40"/>
    <w:rsid w:val="00200D7D"/>
    <w:rsid w:val="00201213"/>
    <w:rsid w:val="00201229"/>
    <w:rsid w:val="002013AF"/>
    <w:rsid w:val="002014F7"/>
    <w:rsid w:val="0020175B"/>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6FA"/>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73E"/>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E23"/>
    <w:rsid w:val="00211F07"/>
    <w:rsid w:val="00211F79"/>
    <w:rsid w:val="0021206E"/>
    <w:rsid w:val="00212451"/>
    <w:rsid w:val="002127B9"/>
    <w:rsid w:val="00212B08"/>
    <w:rsid w:val="00212B38"/>
    <w:rsid w:val="00213289"/>
    <w:rsid w:val="002132ED"/>
    <w:rsid w:val="00213825"/>
    <w:rsid w:val="00213CEF"/>
    <w:rsid w:val="00213CF6"/>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123"/>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8DB"/>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2E3A"/>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224"/>
    <w:rsid w:val="002577B5"/>
    <w:rsid w:val="00257923"/>
    <w:rsid w:val="002579BB"/>
    <w:rsid w:val="00257AB4"/>
    <w:rsid w:val="00257ABE"/>
    <w:rsid w:val="00257C49"/>
    <w:rsid w:val="00260299"/>
    <w:rsid w:val="002603B3"/>
    <w:rsid w:val="0026072F"/>
    <w:rsid w:val="00260952"/>
    <w:rsid w:val="002609A9"/>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28"/>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847"/>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3F"/>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60"/>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923"/>
    <w:rsid w:val="002B6D69"/>
    <w:rsid w:val="002B6E4E"/>
    <w:rsid w:val="002B6E5B"/>
    <w:rsid w:val="002B6F67"/>
    <w:rsid w:val="002B7411"/>
    <w:rsid w:val="002B7488"/>
    <w:rsid w:val="002B7F1B"/>
    <w:rsid w:val="002C0083"/>
    <w:rsid w:val="002C0186"/>
    <w:rsid w:val="002C0303"/>
    <w:rsid w:val="002C032E"/>
    <w:rsid w:val="002C0502"/>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5FD4"/>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D00"/>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36F"/>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8B"/>
    <w:rsid w:val="00305BB3"/>
    <w:rsid w:val="00305CC7"/>
    <w:rsid w:val="00305F62"/>
    <w:rsid w:val="0030655A"/>
    <w:rsid w:val="003067B8"/>
    <w:rsid w:val="003067DB"/>
    <w:rsid w:val="0030688B"/>
    <w:rsid w:val="00306AAF"/>
    <w:rsid w:val="00306E35"/>
    <w:rsid w:val="003070FD"/>
    <w:rsid w:val="003074FD"/>
    <w:rsid w:val="00307728"/>
    <w:rsid w:val="003077BC"/>
    <w:rsid w:val="00307A2D"/>
    <w:rsid w:val="003100AB"/>
    <w:rsid w:val="00310128"/>
    <w:rsid w:val="00310204"/>
    <w:rsid w:val="00310272"/>
    <w:rsid w:val="0031027D"/>
    <w:rsid w:val="003102C3"/>
    <w:rsid w:val="003107D8"/>
    <w:rsid w:val="00310BEF"/>
    <w:rsid w:val="00310D86"/>
    <w:rsid w:val="00310EC5"/>
    <w:rsid w:val="00310F34"/>
    <w:rsid w:val="0031157E"/>
    <w:rsid w:val="003119B0"/>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5F4"/>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2FE"/>
    <w:rsid w:val="003534CB"/>
    <w:rsid w:val="003534E9"/>
    <w:rsid w:val="00353803"/>
    <w:rsid w:val="00353832"/>
    <w:rsid w:val="00353C27"/>
    <w:rsid w:val="00353C29"/>
    <w:rsid w:val="00353C8B"/>
    <w:rsid w:val="00353D5D"/>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6A47"/>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4D"/>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26"/>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752"/>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53E"/>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1342"/>
    <w:rsid w:val="003A1719"/>
    <w:rsid w:val="003A18B8"/>
    <w:rsid w:val="003A1935"/>
    <w:rsid w:val="003A19D6"/>
    <w:rsid w:val="003A1AA1"/>
    <w:rsid w:val="003A1AF0"/>
    <w:rsid w:val="003A230D"/>
    <w:rsid w:val="003A269E"/>
    <w:rsid w:val="003A2C10"/>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21"/>
    <w:rsid w:val="003B1539"/>
    <w:rsid w:val="003B16D4"/>
    <w:rsid w:val="003B1719"/>
    <w:rsid w:val="003B1BB7"/>
    <w:rsid w:val="003B1E0D"/>
    <w:rsid w:val="003B2427"/>
    <w:rsid w:val="003B28A8"/>
    <w:rsid w:val="003B2904"/>
    <w:rsid w:val="003B2D2B"/>
    <w:rsid w:val="003B2D7D"/>
    <w:rsid w:val="003B2D8C"/>
    <w:rsid w:val="003B2F6C"/>
    <w:rsid w:val="003B3324"/>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58"/>
    <w:rsid w:val="003C19A5"/>
    <w:rsid w:val="003C1C85"/>
    <w:rsid w:val="003C1F69"/>
    <w:rsid w:val="003C2010"/>
    <w:rsid w:val="003C2323"/>
    <w:rsid w:val="003C25F9"/>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8EA"/>
    <w:rsid w:val="003E4B5F"/>
    <w:rsid w:val="003E50BB"/>
    <w:rsid w:val="003E530F"/>
    <w:rsid w:val="003E5A33"/>
    <w:rsid w:val="003E5E27"/>
    <w:rsid w:val="003E5E65"/>
    <w:rsid w:val="003E65FD"/>
    <w:rsid w:val="003E69CF"/>
    <w:rsid w:val="003E6C56"/>
    <w:rsid w:val="003E6DA0"/>
    <w:rsid w:val="003E6DBF"/>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6D7"/>
    <w:rsid w:val="003F58E5"/>
    <w:rsid w:val="003F58F4"/>
    <w:rsid w:val="003F5990"/>
    <w:rsid w:val="003F5DFF"/>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2E"/>
    <w:rsid w:val="00406C91"/>
    <w:rsid w:val="00407363"/>
    <w:rsid w:val="0040798D"/>
    <w:rsid w:val="00407E6E"/>
    <w:rsid w:val="00410179"/>
    <w:rsid w:val="00410441"/>
    <w:rsid w:val="0041074C"/>
    <w:rsid w:val="0041078F"/>
    <w:rsid w:val="00410B78"/>
    <w:rsid w:val="00410FBE"/>
    <w:rsid w:val="0041102C"/>
    <w:rsid w:val="00411154"/>
    <w:rsid w:val="00411208"/>
    <w:rsid w:val="004114A9"/>
    <w:rsid w:val="004114C9"/>
    <w:rsid w:val="00411645"/>
    <w:rsid w:val="00411863"/>
    <w:rsid w:val="00411BD7"/>
    <w:rsid w:val="00411D31"/>
    <w:rsid w:val="004121B1"/>
    <w:rsid w:val="004128FF"/>
    <w:rsid w:val="00412A69"/>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718"/>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27C71"/>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410A"/>
    <w:rsid w:val="00444188"/>
    <w:rsid w:val="00444473"/>
    <w:rsid w:val="0044482D"/>
    <w:rsid w:val="00444927"/>
    <w:rsid w:val="004449A6"/>
    <w:rsid w:val="00444D84"/>
    <w:rsid w:val="00444FEA"/>
    <w:rsid w:val="0044530D"/>
    <w:rsid w:val="0044536C"/>
    <w:rsid w:val="004455BB"/>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31B"/>
    <w:rsid w:val="00453D2C"/>
    <w:rsid w:val="00453DB3"/>
    <w:rsid w:val="00453DC1"/>
    <w:rsid w:val="00453F48"/>
    <w:rsid w:val="00453FCD"/>
    <w:rsid w:val="004547A2"/>
    <w:rsid w:val="00454A21"/>
    <w:rsid w:val="00454B72"/>
    <w:rsid w:val="00454B8F"/>
    <w:rsid w:val="00454B95"/>
    <w:rsid w:val="00454C05"/>
    <w:rsid w:val="00454C20"/>
    <w:rsid w:val="00454C37"/>
    <w:rsid w:val="00454F4E"/>
    <w:rsid w:val="0045546F"/>
    <w:rsid w:val="004558FA"/>
    <w:rsid w:val="00455CAE"/>
    <w:rsid w:val="00455E9B"/>
    <w:rsid w:val="00456437"/>
    <w:rsid w:val="00456438"/>
    <w:rsid w:val="00456A0A"/>
    <w:rsid w:val="00456D15"/>
    <w:rsid w:val="00456DC0"/>
    <w:rsid w:val="004570D5"/>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24B"/>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5FB"/>
    <w:rsid w:val="00475FB6"/>
    <w:rsid w:val="004762DE"/>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614"/>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81"/>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4F5"/>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5E1C"/>
    <w:rsid w:val="004C600D"/>
    <w:rsid w:val="004C6374"/>
    <w:rsid w:val="004C64D0"/>
    <w:rsid w:val="004C6641"/>
    <w:rsid w:val="004C66FF"/>
    <w:rsid w:val="004C683A"/>
    <w:rsid w:val="004C6B4F"/>
    <w:rsid w:val="004C6D63"/>
    <w:rsid w:val="004C6DF5"/>
    <w:rsid w:val="004C7754"/>
    <w:rsid w:val="004C79D9"/>
    <w:rsid w:val="004D059B"/>
    <w:rsid w:val="004D0705"/>
    <w:rsid w:val="004D0EBA"/>
    <w:rsid w:val="004D14E1"/>
    <w:rsid w:val="004D1884"/>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CE"/>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5C1"/>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BB6"/>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6E7"/>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B36"/>
    <w:rsid w:val="00530DE9"/>
    <w:rsid w:val="00530EBF"/>
    <w:rsid w:val="00531469"/>
    <w:rsid w:val="005314FB"/>
    <w:rsid w:val="0053199B"/>
    <w:rsid w:val="00531B9E"/>
    <w:rsid w:val="005320EA"/>
    <w:rsid w:val="00533561"/>
    <w:rsid w:val="00533C9D"/>
    <w:rsid w:val="005348CE"/>
    <w:rsid w:val="00534A7B"/>
    <w:rsid w:val="00534FA1"/>
    <w:rsid w:val="00535377"/>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BE"/>
    <w:rsid w:val="005574CD"/>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D5C"/>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10"/>
    <w:rsid w:val="00574923"/>
    <w:rsid w:val="005749F3"/>
    <w:rsid w:val="00574BE3"/>
    <w:rsid w:val="00574D59"/>
    <w:rsid w:val="0057512E"/>
    <w:rsid w:val="00575146"/>
    <w:rsid w:val="0057535A"/>
    <w:rsid w:val="005755FD"/>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AEC"/>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1C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115"/>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7AB"/>
    <w:rsid w:val="005C0873"/>
    <w:rsid w:val="005C0982"/>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4F"/>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D6"/>
    <w:rsid w:val="005D64BF"/>
    <w:rsid w:val="005D6BF4"/>
    <w:rsid w:val="005D6CA0"/>
    <w:rsid w:val="005D72C3"/>
    <w:rsid w:val="005D7B39"/>
    <w:rsid w:val="005D7ED3"/>
    <w:rsid w:val="005D7FFC"/>
    <w:rsid w:val="005E06C9"/>
    <w:rsid w:val="005E0862"/>
    <w:rsid w:val="005E08CF"/>
    <w:rsid w:val="005E0E57"/>
    <w:rsid w:val="005E129D"/>
    <w:rsid w:val="005E1375"/>
    <w:rsid w:val="005E147F"/>
    <w:rsid w:val="005E14D8"/>
    <w:rsid w:val="005E178A"/>
    <w:rsid w:val="005E19FF"/>
    <w:rsid w:val="005E1CEB"/>
    <w:rsid w:val="005E2281"/>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71B"/>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14"/>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093"/>
    <w:rsid w:val="00603105"/>
    <w:rsid w:val="00603128"/>
    <w:rsid w:val="006036E2"/>
    <w:rsid w:val="00603705"/>
    <w:rsid w:val="006037C5"/>
    <w:rsid w:val="00603976"/>
    <w:rsid w:val="00603A7A"/>
    <w:rsid w:val="00603DC6"/>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3FA8"/>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962"/>
    <w:rsid w:val="006559C6"/>
    <w:rsid w:val="00655E4B"/>
    <w:rsid w:val="006560A2"/>
    <w:rsid w:val="006560CF"/>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54C"/>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19F"/>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3CB"/>
    <w:rsid w:val="0068441B"/>
    <w:rsid w:val="0068476F"/>
    <w:rsid w:val="00684C89"/>
    <w:rsid w:val="00685196"/>
    <w:rsid w:val="0068553C"/>
    <w:rsid w:val="006856C2"/>
    <w:rsid w:val="006857F9"/>
    <w:rsid w:val="006866BE"/>
    <w:rsid w:val="00686933"/>
    <w:rsid w:val="00686F72"/>
    <w:rsid w:val="0068739D"/>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68A"/>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198"/>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48F"/>
    <w:rsid w:val="006D7E02"/>
    <w:rsid w:val="006D7EAC"/>
    <w:rsid w:val="006E03A8"/>
    <w:rsid w:val="006E04A0"/>
    <w:rsid w:val="006E0520"/>
    <w:rsid w:val="006E0CFF"/>
    <w:rsid w:val="006E0F5E"/>
    <w:rsid w:val="006E14FD"/>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4D5"/>
    <w:rsid w:val="006E6B3F"/>
    <w:rsid w:val="006E6F67"/>
    <w:rsid w:val="006E7035"/>
    <w:rsid w:val="006E737E"/>
    <w:rsid w:val="006E74B5"/>
    <w:rsid w:val="006E783E"/>
    <w:rsid w:val="006E7889"/>
    <w:rsid w:val="006E7CBD"/>
    <w:rsid w:val="006E7D8B"/>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F78"/>
    <w:rsid w:val="00702F7F"/>
    <w:rsid w:val="00703156"/>
    <w:rsid w:val="0070326E"/>
    <w:rsid w:val="00703416"/>
    <w:rsid w:val="00703425"/>
    <w:rsid w:val="0070369A"/>
    <w:rsid w:val="00703706"/>
    <w:rsid w:val="00703C9A"/>
    <w:rsid w:val="00703CFD"/>
    <w:rsid w:val="00703E2E"/>
    <w:rsid w:val="00703FAC"/>
    <w:rsid w:val="00704839"/>
    <w:rsid w:val="00704A0E"/>
    <w:rsid w:val="00704A76"/>
    <w:rsid w:val="00704B01"/>
    <w:rsid w:val="00704E72"/>
    <w:rsid w:val="00705061"/>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14E"/>
    <w:rsid w:val="00714306"/>
    <w:rsid w:val="00714870"/>
    <w:rsid w:val="007150D4"/>
    <w:rsid w:val="0071544C"/>
    <w:rsid w:val="00715633"/>
    <w:rsid w:val="00715664"/>
    <w:rsid w:val="00715A72"/>
    <w:rsid w:val="00715BF6"/>
    <w:rsid w:val="00715EA4"/>
    <w:rsid w:val="00716166"/>
    <w:rsid w:val="00716220"/>
    <w:rsid w:val="00716994"/>
    <w:rsid w:val="007177FC"/>
    <w:rsid w:val="00717B75"/>
    <w:rsid w:val="00717ECB"/>
    <w:rsid w:val="00717FE8"/>
    <w:rsid w:val="00720025"/>
    <w:rsid w:val="00720297"/>
    <w:rsid w:val="007203E3"/>
    <w:rsid w:val="0072064C"/>
    <w:rsid w:val="00720710"/>
    <w:rsid w:val="00720C72"/>
    <w:rsid w:val="00720FE8"/>
    <w:rsid w:val="007213E4"/>
    <w:rsid w:val="0072154F"/>
    <w:rsid w:val="0072161F"/>
    <w:rsid w:val="0072163E"/>
    <w:rsid w:val="007218C4"/>
    <w:rsid w:val="007219FB"/>
    <w:rsid w:val="00721B66"/>
    <w:rsid w:val="00721D3E"/>
    <w:rsid w:val="007225EF"/>
    <w:rsid w:val="00722CDF"/>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30355"/>
    <w:rsid w:val="007303CE"/>
    <w:rsid w:val="00730825"/>
    <w:rsid w:val="00730894"/>
    <w:rsid w:val="00730A5F"/>
    <w:rsid w:val="00730D1A"/>
    <w:rsid w:val="00730E75"/>
    <w:rsid w:val="007311D1"/>
    <w:rsid w:val="00731368"/>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8BD"/>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5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4D6"/>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88"/>
    <w:rsid w:val="00761AC8"/>
    <w:rsid w:val="00761AEE"/>
    <w:rsid w:val="00761DB1"/>
    <w:rsid w:val="0076206F"/>
    <w:rsid w:val="00762226"/>
    <w:rsid w:val="00762400"/>
    <w:rsid w:val="007624F5"/>
    <w:rsid w:val="007629E6"/>
    <w:rsid w:val="00762CF0"/>
    <w:rsid w:val="00762D38"/>
    <w:rsid w:val="007632E0"/>
    <w:rsid w:val="0076345B"/>
    <w:rsid w:val="007634AC"/>
    <w:rsid w:val="00763566"/>
    <w:rsid w:val="007636AE"/>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46"/>
    <w:rsid w:val="0079775B"/>
    <w:rsid w:val="00797A88"/>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283"/>
    <w:rsid w:val="007B139D"/>
    <w:rsid w:val="007B16E5"/>
    <w:rsid w:val="007B1F57"/>
    <w:rsid w:val="007B2135"/>
    <w:rsid w:val="007B216F"/>
    <w:rsid w:val="007B25D1"/>
    <w:rsid w:val="007B2616"/>
    <w:rsid w:val="007B2926"/>
    <w:rsid w:val="007B3057"/>
    <w:rsid w:val="007B3E8D"/>
    <w:rsid w:val="007B418D"/>
    <w:rsid w:val="007B41B5"/>
    <w:rsid w:val="007B4227"/>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35"/>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27"/>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0A2"/>
    <w:rsid w:val="007D226F"/>
    <w:rsid w:val="007D22CE"/>
    <w:rsid w:val="007D2B9F"/>
    <w:rsid w:val="007D2C50"/>
    <w:rsid w:val="007D2FE3"/>
    <w:rsid w:val="007D3398"/>
    <w:rsid w:val="007D33FA"/>
    <w:rsid w:val="007D363F"/>
    <w:rsid w:val="007D3786"/>
    <w:rsid w:val="007D37FA"/>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C09"/>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2B7E"/>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27C09"/>
    <w:rsid w:val="0083026B"/>
    <w:rsid w:val="008307F9"/>
    <w:rsid w:val="00830845"/>
    <w:rsid w:val="0083098F"/>
    <w:rsid w:val="008309E1"/>
    <w:rsid w:val="00830DA4"/>
    <w:rsid w:val="00831472"/>
    <w:rsid w:val="0083171A"/>
    <w:rsid w:val="00831ABE"/>
    <w:rsid w:val="008320C3"/>
    <w:rsid w:val="008322BB"/>
    <w:rsid w:val="008322DF"/>
    <w:rsid w:val="008322F6"/>
    <w:rsid w:val="008327F0"/>
    <w:rsid w:val="00832922"/>
    <w:rsid w:val="008329FF"/>
    <w:rsid w:val="00832ECB"/>
    <w:rsid w:val="0083302B"/>
    <w:rsid w:val="00833125"/>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0C7"/>
    <w:rsid w:val="0084016E"/>
    <w:rsid w:val="008404E0"/>
    <w:rsid w:val="008409BF"/>
    <w:rsid w:val="008416E5"/>
    <w:rsid w:val="00841A00"/>
    <w:rsid w:val="00841D29"/>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077"/>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52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1E23"/>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1B33"/>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56"/>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5A2"/>
    <w:rsid w:val="008B0BA7"/>
    <w:rsid w:val="008B0E9B"/>
    <w:rsid w:val="008B103F"/>
    <w:rsid w:val="008B12FC"/>
    <w:rsid w:val="008B19DC"/>
    <w:rsid w:val="008B1C8C"/>
    <w:rsid w:val="008B1DFA"/>
    <w:rsid w:val="008B1E06"/>
    <w:rsid w:val="008B200F"/>
    <w:rsid w:val="008B20A4"/>
    <w:rsid w:val="008B2520"/>
    <w:rsid w:val="008B2582"/>
    <w:rsid w:val="008B2720"/>
    <w:rsid w:val="008B2EAB"/>
    <w:rsid w:val="008B2F1A"/>
    <w:rsid w:val="008B31AD"/>
    <w:rsid w:val="008B329A"/>
    <w:rsid w:val="008B331F"/>
    <w:rsid w:val="008B3960"/>
    <w:rsid w:val="008B3A87"/>
    <w:rsid w:val="008B3B8E"/>
    <w:rsid w:val="008B3C1B"/>
    <w:rsid w:val="008B3C1F"/>
    <w:rsid w:val="008B3D7A"/>
    <w:rsid w:val="008B4243"/>
    <w:rsid w:val="008B4700"/>
    <w:rsid w:val="008B47F4"/>
    <w:rsid w:val="008B493E"/>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6CA"/>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1FBE"/>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B10"/>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49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01"/>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4F19"/>
    <w:rsid w:val="0090516B"/>
    <w:rsid w:val="00905456"/>
    <w:rsid w:val="0090560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23C"/>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11"/>
    <w:rsid w:val="00917458"/>
    <w:rsid w:val="00917CA8"/>
    <w:rsid w:val="0092096D"/>
    <w:rsid w:val="00920975"/>
    <w:rsid w:val="009214FB"/>
    <w:rsid w:val="009217B9"/>
    <w:rsid w:val="00921D9C"/>
    <w:rsid w:val="00921E56"/>
    <w:rsid w:val="009221ED"/>
    <w:rsid w:val="00922500"/>
    <w:rsid w:val="0092259C"/>
    <w:rsid w:val="009227F6"/>
    <w:rsid w:val="009228A9"/>
    <w:rsid w:val="00923385"/>
    <w:rsid w:val="009234E2"/>
    <w:rsid w:val="00923EDA"/>
    <w:rsid w:val="009243BC"/>
    <w:rsid w:val="00924CD8"/>
    <w:rsid w:val="00925099"/>
    <w:rsid w:val="009261AF"/>
    <w:rsid w:val="00926AD0"/>
    <w:rsid w:val="00926C3A"/>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8B"/>
    <w:rsid w:val="00933690"/>
    <w:rsid w:val="00933AC3"/>
    <w:rsid w:val="0093423C"/>
    <w:rsid w:val="00934641"/>
    <w:rsid w:val="00934A83"/>
    <w:rsid w:val="00934DDC"/>
    <w:rsid w:val="00934DE7"/>
    <w:rsid w:val="00934E11"/>
    <w:rsid w:val="00935130"/>
    <w:rsid w:val="00935153"/>
    <w:rsid w:val="009352C5"/>
    <w:rsid w:val="0093546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68"/>
    <w:rsid w:val="00944BA5"/>
    <w:rsid w:val="00944E59"/>
    <w:rsid w:val="00944FD3"/>
    <w:rsid w:val="009451D2"/>
    <w:rsid w:val="009451F0"/>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16"/>
    <w:rsid w:val="009522A9"/>
    <w:rsid w:val="00952767"/>
    <w:rsid w:val="00952E7D"/>
    <w:rsid w:val="0095315A"/>
    <w:rsid w:val="009534DD"/>
    <w:rsid w:val="009535C2"/>
    <w:rsid w:val="0095369D"/>
    <w:rsid w:val="00953A73"/>
    <w:rsid w:val="0095432C"/>
    <w:rsid w:val="009543FE"/>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44C"/>
    <w:rsid w:val="0096384B"/>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0C4"/>
    <w:rsid w:val="00973C2B"/>
    <w:rsid w:val="00973FB8"/>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CFC"/>
    <w:rsid w:val="009A4E70"/>
    <w:rsid w:val="009A534C"/>
    <w:rsid w:val="009A54A0"/>
    <w:rsid w:val="009A5F39"/>
    <w:rsid w:val="009A640C"/>
    <w:rsid w:val="009A671A"/>
    <w:rsid w:val="009A6A04"/>
    <w:rsid w:val="009A6A34"/>
    <w:rsid w:val="009A707C"/>
    <w:rsid w:val="009A74C7"/>
    <w:rsid w:val="009A7805"/>
    <w:rsid w:val="009A78A6"/>
    <w:rsid w:val="009A7BB0"/>
    <w:rsid w:val="009B01AE"/>
    <w:rsid w:val="009B020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57"/>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829"/>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E7D26"/>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DAE"/>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69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3AF"/>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0E2"/>
    <w:rsid w:val="00A411CC"/>
    <w:rsid w:val="00A4164A"/>
    <w:rsid w:val="00A419C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1AFF"/>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29F"/>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8A3"/>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E08"/>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41A"/>
    <w:rsid w:val="00A777C4"/>
    <w:rsid w:val="00A7783C"/>
    <w:rsid w:val="00A77840"/>
    <w:rsid w:val="00A77933"/>
    <w:rsid w:val="00A77F98"/>
    <w:rsid w:val="00A77FCB"/>
    <w:rsid w:val="00A80559"/>
    <w:rsid w:val="00A8081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D0"/>
    <w:rsid w:val="00A87E75"/>
    <w:rsid w:val="00A87E9E"/>
    <w:rsid w:val="00A901BE"/>
    <w:rsid w:val="00A904E2"/>
    <w:rsid w:val="00A90B99"/>
    <w:rsid w:val="00A90D2E"/>
    <w:rsid w:val="00A910C4"/>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6F76"/>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826"/>
    <w:rsid w:val="00AA2AA1"/>
    <w:rsid w:val="00AA2BA2"/>
    <w:rsid w:val="00AA2C89"/>
    <w:rsid w:val="00AA3451"/>
    <w:rsid w:val="00AA3C1A"/>
    <w:rsid w:val="00AA3D23"/>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6D4"/>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AAC"/>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070"/>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726"/>
    <w:rsid w:val="00AE48A4"/>
    <w:rsid w:val="00AE4D24"/>
    <w:rsid w:val="00AE4F24"/>
    <w:rsid w:val="00AE4F38"/>
    <w:rsid w:val="00AE507F"/>
    <w:rsid w:val="00AE5095"/>
    <w:rsid w:val="00AE521A"/>
    <w:rsid w:val="00AE5380"/>
    <w:rsid w:val="00AE5AEC"/>
    <w:rsid w:val="00AE5B4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9BB"/>
    <w:rsid w:val="00AF6A75"/>
    <w:rsid w:val="00AF6EE6"/>
    <w:rsid w:val="00AF7341"/>
    <w:rsid w:val="00AF7555"/>
    <w:rsid w:val="00AF76B8"/>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DEE"/>
    <w:rsid w:val="00B04053"/>
    <w:rsid w:val="00B04B8B"/>
    <w:rsid w:val="00B04BF9"/>
    <w:rsid w:val="00B04C10"/>
    <w:rsid w:val="00B04D6B"/>
    <w:rsid w:val="00B04F0F"/>
    <w:rsid w:val="00B05053"/>
    <w:rsid w:val="00B05330"/>
    <w:rsid w:val="00B0558D"/>
    <w:rsid w:val="00B0575B"/>
    <w:rsid w:val="00B05D1F"/>
    <w:rsid w:val="00B068E4"/>
    <w:rsid w:val="00B068FF"/>
    <w:rsid w:val="00B069DE"/>
    <w:rsid w:val="00B06A46"/>
    <w:rsid w:val="00B06ED6"/>
    <w:rsid w:val="00B073D4"/>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4"/>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4E"/>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5C5"/>
    <w:rsid w:val="00B46775"/>
    <w:rsid w:val="00B46C8E"/>
    <w:rsid w:val="00B47117"/>
    <w:rsid w:val="00B47236"/>
    <w:rsid w:val="00B475E1"/>
    <w:rsid w:val="00B4762E"/>
    <w:rsid w:val="00B47D1C"/>
    <w:rsid w:val="00B47D23"/>
    <w:rsid w:val="00B47EE6"/>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2C4"/>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3CB"/>
    <w:rsid w:val="00B63594"/>
    <w:rsid w:val="00B63815"/>
    <w:rsid w:val="00B6385C"/>
    <w:rsid w:val="00B63CE9"/>
    <w:rsid w:val="00B6435F"/>
    <w:rsid w:val="00B64887"/>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DAC"/>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AA8"/>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45"/>
    <w:rsid w:val="00BA74ED"/>
    <w:rsid w:val="00BA771E"/>
    <w:rsid w:val="00BA77DE"/>
    <w:rsid w:val="00BA782E"/>
    <w:rsid w:val="00BA7A25"/>
    <w:rsid w:val="00BA7C2F"/>
    <w:rsid w:val="00BB0392"/>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DBE"/>
    <w:rsid w:val="00BB5E0F"/>
    <w:rsid w:val="00BB6030"/>
    <w:rsid w:val="00BB6067"/>
    <w:rsid w:val="00BB6172"/>
    <w:rsid w:val="00BB6853"/>
    <w:rsid w:val="00BB6B0B"/>
    <w:rsid w:val="00BB6C0B"/>
    <w:rsid w:val="00BB6DEB"/>
    <w:rsid w:val="00BB6E7F"/>
    <w:rsid w:val="00BB6F1C"/>
    <w:rsid w:val="00BB716B"/>
    <w:rsid w:val="00BB730A"/>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89A"/>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21"/>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83A"/>
    <w:rsid w:val="00BF3A74"/>
    <w:rsid w:val="00BF3C80"/>
    <w:rsid w:val="00BF3E7D"/>
    <w:rsid w:val="00BF3F81"/>
    <w:rsid w:val="00BF4606"/>
    <w:rsid w:val="00BF4733"/>
    <w:rsid w:val="00BF498B"/>
    <w:rsid w:val="00BF4ADB"/>
    <w:rsid w:val="00BF4C8A"/>
    <w:rsid w:val="00BF4E4A"/>
    <w:rsid w:val="00BF4EB8"/>
    <w:rsid w:val="00BF5104"/>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5E23"/>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8AC"/>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3ED"/>
    <w:rsid w:val="00C224BA"/>
    <w:rsid w:val="00C224D0"/>
    <w:rsid w:val="00C22655"/>
    <w:rsid w:val="00C226DB"/>
    <w:rsid w:val="00C2285B"/>
    <w:rsid w:val="00C22E4B"/>
    <w:rsid w:val="00C22E9F"/>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009"/>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39"/>
    <w:rsid w:val="00C34193"/>
    <w:rsid w:val="00C342E8"/>
    <w:rsid w:val="00C34A0A"/>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3C7"/>
    <w:rsid w:val="00C44816"/>
    <w:rsid w:val="00C448AE"/>
    <w:rsid w:val="00C44997"/>
    <w:rsid w:val="00C44AD1"/>
    <w:rsid w:val="00C44B2F"/>
    <w:rsid w:val="00C44B92"/>
    <w:rsid w:val="00C44D9B"/>
    <w:rsid w:val="00C44E74"/>
    <w:rsid w:val="00C44FF2"/>
    <w:rsid w:val="00C4508E"/>
    <w:rsid w:val="00C45CAE"/>
    <w:rsid w:val="00C45D14"/>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252"/>
    <w:rsid w:val="00C503D7"/>
    <w:rsid w:val="00C50543"/>
    <w:rsid w:val="00C505BA"/>
    <w:rsid w:val="00C508DA"/>
    <w:rsid w:val="00C50ADB"/>
    <w:rsid w:val="00C50B3A"/>
    <w:rsid w:val="00C51470"/>
    <w:rsid w:val="00C5157D"/>
    <w:rsid w:val="00C519DA"/>
    <w:rsid w:val="00C51A3B"/>
    <w:rsid w:val="00C51BEA"/>
    <w:rsid w:val="00C51C54"/>
    <w:rsid w:val="00C51D96"/>
    <w:rsid w:val="00C522FC"/>
    <w:rsid w:val="00C5236A"/>
    <w:rsid w:val="00C5257B"/>
    <w:rsid w:val="00C52CEE"/>
    <w:rsid w:val="00C530B7"/>
    <w:rsid w:val="00C531EE"/>
    <w:rsid w:val="00C5356A"/>
    <w:rsid w:val="00C53C97"/>
    <w:rsid w:val="00C542B6"/>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D15"/>
    <w:rsid w:val="00C66FFA"/>
    <w:rsid w:val="00C671E2"/>
    <w:rsid w:val="00C67745"/>
    <w:rsid w:val="00C6779C"/>
    <w:rsid w:val="00C67881"/>
    <w:rsid w:val="00C67ADB"/>
    <w:rsid w:val="00C67BA4"/>
    <w:rsid w:val="00C67C07"/>
    <w:rsid w:val="00C67EC4"/>
    <w:rsid w:val="00C700B4"/>
    <w:rsid w:val="00C703AA"/>
    <w:rsid w:val="00C70412"/>
    <w:rsid w:val="00C70536"/>
    <w:rsid w:val="00C7112E"/>
    <w:rsid w:val="00C71A7E"/>
    <w:rsid w:val="00C71C06"/>
    <w:rsid w:val="00C7254D"/>
    <w:rsid w:val="00C7268E"/>
    <w:rsid w:val="00C72A44"/>
    <w:rsid w:val="00C72A72"/>
    <w:rsid w:val="00C72B46"/>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B60"/>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3DA"/>
    <w:rsid w:val="00C93512"/>
    <w:rsid w:val="00C935FF"/>
    <w:rsid w:val="00C93944"/>
    <w:rsid w:val="00C93964"/>
    <w:rsid w:val="00C93BBF"/>
    <w:rsid w:val="00C94149"/>
    <w:rsid w:val="00C9424C"/>
    <w:rsid w:val="00C944E6"/>
    <w:rsid w:val="00C945FB"/>
    <w:rsid w:val="00C94660"/>
    <w:rsid w:val="00C94796"/>
    <w:rsid w:val="00C948CE"/>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D40"/>
    <w:rsid w:val="00CA1E6F"/>
    <w:rsid w:val="00CA1EDA"/>
    <w:rsid w:val="00CA2076"/>
    <w:rsid w:val="00CA264C"/>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253"/>
    <w:rsid w:val="00CB0479"/>
    <w:rsid w:val="00CB0A16"/>
    <w:rsid w:val="00CB0A84"/>
    <w:rsid w:val="00CB0F0C"/>
    <w:rsid w:val="00CB10F5"/>
    <w:rsid w:val="00CB11E2"/>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72"/>
    <w:rsid w:val="00CB70E1"/>
    <w:rsid w:val="00CB72B4"/>
    <w:rsid w:val="00CB731B"/>
    <w:rsid w:val="00CB73E5"/>
    <w:rsid w:val="00CB7F3B"/>
    <w:rsid w:val="00CC01EB"/>
    <w:rsid w:val="00CC0A7F"/>
    <w:rsid w:val="00CC0DEE"/>
    <w:rsid w:val="00CC0FCF"/>
    <w:rsid w:val="00CC10DE"/>
    <w:rsid w:val="00CC1147"/>
    <w:rsid w:val="00CC150E"/>
    <w:rsid w:val="00CC1768"/>
    <w:rsid w:val="00CC18AD"/>
    <w:rsid w:val="00CC19E7"/>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67F"/>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771"/>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B99"/>
    <w:rsid w:val="00CD7FB3"/>
    <w:rsid w:val="00CE0055"/>
    <w:rsid w:val="00CE00EB"/>
    <w:rsid w:val="00CE02A8"/>
    <w:rsid w:val="00CE02E6"/>
    <w:rsid w:val="00CE088E"/>
    <w:rsid w:val="00CE0912"/>
    <w:rsid w:val="00CE0B32"/>
    <w:rsid w:val="00CE0C8D"/>
    <w:rsid w:val="00CE0E31"/>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5CA"/>
    <w:rsid w:val="00CE48FB"/>
    <w:rsid w:val="00CE4E97"/>
    <w:rsid w:val="00CE5085"/>
    <w:rsid w:val="00CE5186"/>
    <w:rsid w:val="00CE53AD"/>
    <w:rsid w:val="00CE5760"/>
    <w:rsid w:val="00CE5A59"/>
    <w:rsid w:val="00CE5FB5"/>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E7F70"/>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48A"/>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B85"/>
    <w:rsid w:val="00D06E9F"/>
    <w:rsid w:val="00D06FFF"/>
    <w:rsid w:val="00D07200"/>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3EBF"/>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1F77"/>
    <w:rsid w:val="00D22039"/>
    <w:rsid w:val="00D22381"/>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1F"/>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2DE1"/>
    <w:rsid w:val="00D3345B"/>
    <w:rsid w:val="00D33974"/>
    <w:rsid w:val="00D33BA6"/>
    <w:rsid w:val="00D34629"/>
    <w:rsid w:val="00D346EB"/>
    <w:rsid w:val="00D34B45"/>
    <w:rsid w:val="00D34C7F"/>
    <w:rsid w:val="00D35190"/>
    <w:rsid w:val="00D35A16"/>
    <w:rsid w:val="00D35B08"/>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57EBE"/>
    <w:rsid w:val="00D600EC"/>
    <w:rsid w:val="00D60147"/>
    <w:rsid w:val="00D6036C"/>
    <w:rsid w:val="00D60747"/>
    <w:rsid w:val="00D60CB8"/>
    <w:rsid w:val="00D60DEF"/>
    <w:rsid w:val="00D6110E"/>
    <w:rsid w:val="00D61D9D"/>
    <w:rsid w:val="00D61E8B"/>
    <w:rsid w:val="00D6215D"/>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4B6"/>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98"/>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2AD"/>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9E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10A"/>
    <w:rsid w:val="00DC4CD9"/>
    <w:rsid w:val="00DC56E3"/>
    <w:rsid w:val="00DC591F"/>
    <w:rsid w:val="00DC5DB6"/>
    <w:rsid w:val="00DC5EC0"/>
    <w:rsid w:val="00DC6192"/>
    <w:rsid w:val="00DC6EC3"/>
    <w:rsid w:val="00DC737F"/>
    <w:rsid w:val="00DC77BD"/>
    <w:rsid w:val="00DC7A2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D6"/>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392"/>
    <w:rsid w:val="00DD7848"/>
    <w:rsid w:val="00DD7EAF"/>
    <w:rsid w:val="00DE01F6"/>
    <w:rsid w:val="00DE0520"/>
    <w:rsid w:val="00DE0857"/>
    <w:rsid w:val="00DE0CD5"/>
    <w:rsid w:val="00DE0FBE"/>
    <w:rsid w:val="00DE1031"/>
    <w:rsid w:val="00DE13A3"/>
    <w:rsid w:val="00DE14D8"/>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19D"/>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996"/>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A7C"/>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6D42"/>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BC9"/>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CE4"/>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5FE6"/>
    <w:rsid w:val="00E3617F"/>
    <w:rsid w:val="00E3638F"/>
    <w:rsid w:val="00E368F9"/>
    <w:rsid w:val="00E36CE6"/>
    <w:rsid w:val="00E37094"/>
    <w:rsid w:val="00E37667"/>
    <w:rsid w:val="00E37CCA"/>
    <w:rsid w:val="00E37DF4"/>
    <w:rsid w:val="00E4024F"/>
    <w:rsid w:val="00E40398"/>
    <w:rsid w:val="00E406DA"/>
    <w:rsid w:val="00E40ADA"/>
    <w:rsid w:val="00E40B1E"/>
    <w:rsid w:val="00E415FC"/>
    <w:rsid w:val="00E4170E"/>
    <w:rsid w:val="00E41ADA"/>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61E"/>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92E"/>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951"/>
    <w:rsid w:val="00E84AB4"/>
    <w:rsid w:val="00E84B48"/>
    <w:rsid w:val="00E84CC9"/>
    <w:rsid w:val="00E84EBF"/>
    <w:rsid w:val="00E85268"/>
    <w:rsid w:val="00E85432"/>
    <w:rsid w:val="00E8590A"/>
    <w:rsid w:val="00E85931"/>
    <w:rsid w:val="00E85A29"/>
    <w:rsid w:val="00E85BD3"/>
    <w:rsid w:val="00E85F38"/>
    <w:rsid w:val="00E86062"/>
    <w:rsid w:val="00E861A8"/>
    <w:rsid w:val="00E8628F"/>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2D4"/>
    <w:rsid w:val="00EA084B"/>
    <w:rsid w:val="00EA0D57"/>
    <w:rsid w:val="00EA0E45"/>
    <w:rsid w:val="00EA15DF"/>
    <w:rsid w:val="00EA1EAD"/>
    <w:rsid w:val="00EA205B"/>
    <w:rsid w:val="00EA2279"/>
    <w:rsid w:val="00EA2615"/>
    <w:rsid w:val="00EA2E86"/>
    <w:rsid w:val="00EA3628"/>
    <w:rsid w:val="00EA36AF"/>
    <w:rsid w:val="00EA36D3"/>
    <w:rsid w:val="00EA3702"/>
    <w:rsid w:val="00EA38FA"/>
    <w:rsid w:val="00EA3A96"/>
    <w:rsid w:val="00EA3C89"/>
    <w:rsid w:val="00EA3E9B"/>
    <w:rsid w:val="00EA4375"/>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81D"/>
    <w:rsid w:val="00EC2BC2"/>
    <w:rsid w:val="00EC2C2F"/>
    <w:rsid w:val="00EC2CF2"/>
    <w:rsid w:val="00EC2D72"/>
    <w:rsid w:val="00EC2DE4"/>
    <w:rsid w:val="00EC3092"/>
    <w:rsid w:val="00EC3159"/>
    <w:rsid w:val="00EC31D0"/>
    <w:rsid w:val="00EC323A"/>
    <w:rsid w:val="00EC34E3"/>
    <w:rsid w:val="00EC3700"/>
    <w:rsid w:val="00EC37CE"/>
    <w:rsid w:val="00EC3C14"/>
    <w:rsid w:val="00EC3D4A"/>
    <w:rsid w:val="00EC3F8F"/>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08E"/>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0178"/>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D00"/>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275"/>
    <w:rsid w:val="00F10625"/>
    <w:rsid w:val="00F1079D"/>
    <w:rsid w:val="00F108AB"/>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2AF"/>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1B9"/>
    <w:rsid w:val="00F15443"/>
    <w:rsid w:val="00F1550B"/>
    <w:rsid w:val="00F15856"/>
    <w:rsid w:val="00F15866"/>
    <w:rsid w:val="00F15BD1"/>
    <w:rsid w:val="00F1640D"/>
    <w:rsid w:val="00F1643A"/>
    <w:rsid w:val="00F16440"/>
    <w:rsid w:val="00F16469"/>
    <w:rsid w:val="00F16554"/>
    <w:rsid w:val="00F1677E"/>
    <w:rsid w:val="00F16AC1"/>
    <w:rsid w:val="00F16ED0"/>
    <w:rsid w:val="00F172BD"/>
    <w:rsid w:val="00F174DB"/>
    <w:rsid w:val="00F1767B"/>
    <w:rsid w:val="00F17B2F"/>
    <w:rsid w:val="00F17DEB"/>
    <w:rsid w:val="00F2042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A0"/>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C9F"/>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9D0"/>
    <w:rsid w:val="00F36CD4"/>
    <w:rsid w:val="00F3703F"/>
    <w:rsid w:val="00F3767D"/>
    <w:rsid w:val="00F37743"/>
    <w:rsid w:val="00F37BA2"/>
    <w:rsid w:val="00F4012C"/>
    <w:rsid w:val="00F4063A"/>
    <w:rsid w:val="00F4093E"/>
    <w:rsid w:val="00F40A54"/>
    <w:rsid w:val="00F4170C"/>
    <w:rsid w:val="00F41879"/>
    <w:rsid w:val="00F418C1"/>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51E"/>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5BE"/>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213"/>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778"/>
    <w:rsid w:val="00FB4EAA"/>
    <w:rsid w:val="00FB529F"/>
    <w:rsid w:val="00FB5A06"/>
    <w:rsid w:val="00FB709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E1B"/>
    <w:rsid w:val="00FC3FA0"/>
    <w:rsid w:val="00FC43AF"/>
    <w:rsid w:val="00FC4717"/>
    <w:rsid w:val="00FC49E2"/>
    <w:rsid w:val="00FC4B61"/>
    <w:rsid w:val="00FC503A"/>
    <w:rsid w:val="00FC5254"/>
    <w:rsid w:val="00FC56FB"/>
    <w:rsid w:val="00FC58F4"/>
    <w:rsid w:val="00FC5A4B"/>
    <w:rsid w:val="00FC5A8E"/>
    <w:rsid w:val="00FC5AC8"/>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051"/>
    <w:rsid w:val="00FD4326"/>
    <w:rsid w:val="00FD4BC6"/>
    <w:rsid w:val="00FD5061"/>
    <w:rsid w:val="00FD50F3"/>
    <w:rsid w:val="00FD5135"/>
    <w:rsid w:val="00FD537E"/>
    <w:rsid w:val="00FD568D"/>
    <w:rsid w:val="00FD59E3"/>
    <w:rsid w:val="00FD5C7D"/>
    <w:rsid w:val="00FD5FF7"/>
    <w:rsid w:val="00FD61CF"/>
    <w:rsid w:val="00FD63C4"/>
    <w:rsid w:val="00FD69F4"/>
    <w:rsid w:val="00FD6A99"/>
    <w:rsid w:val="00FD6AEA"/>
    <w:rsid w:val="00FD6E3A"/>
    <w:rsid w:val="00FD6F47"/>
    <w:rsid w:val="00FD6FB2"/>
    <w:rsid w:val="00FD7417"/>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E7B94"/>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384D8D"/>
    <w:rsid w:val="01405559"/>
    <w:rsid w:val="014B5B44"/>
    <w:rsid w:val="0182219D"/>
    <w:rsid w:val="018C5F7F"/>
    <w:rsid w:val="01BE4069"/>
    <w:rsid w:val="01BE5800"/>
    <w:rsid w:val="01E46F65"/>
    <w:rsid w:val="01EF1AFB"/>
    <w:rsid w:val="01FF3BC3"/>
    <w:rsid w:val="025F1A63"/>
    <w:rsid w:val="02607EEC"/>
    <w:rsid w:val="026E454C"/>
    <w:rsid w:val="02816CCE"/>
    <w:rsid w:val="02AD361F"/>
    <w:rsid w:val="02C3239F"/>
    <w:rsid w:val="02E536DD"/>
    <w:rsid w:val="031D3DFA"/>
    <w:rsid w:val="035E737B"/>
    <w:rsid w:val="037D3DF5"/>
    <w:rsid w:val="03C2481F"/>
    <w:rsid w:val="03E272F9"/>
    <w:rsid w:val="03F06C42"/>
    <w:rsid w:val="03FB4891"/>
    <w:rsid w:val="041B3357"/>
    <w:rsid w:val="04282768"/>
    <w:rsid w:val="04351B1E"/>
    <w:rsid w:val="043C544C"/>
    <w:rsid w:val="04410970"/>
    <w:rsid w:val="044A17E4"/>
    <w:rsid w:val="045A53CB"/>
    <w:rsid w:val="04653185"/>
    <w:rsid w:val="0466617C"/>
    <w:rsid w:val="04C34346"/>
    <w:rsid w:val="04E30437"/>
    <w:rsid w:val="04F72BF9"/>
    <w:rsid w:val="05077AF4"/>
    <w:rsid w:val="05410997"/>
    <w:rsid w:val="05465FD3"/>
    <w:rsid w:val="059959A2"/>
    <w:rsid w:val="059F0270"/>
    <w:rsid w:val="05D640FE"/>
    <w:rsid w:val="05F41FAA"/>
    <w:rsid w:val="05F45E3B"/>
    <w:rsid w:val="063B78DC"/>
    <w:rsid w:val="06971FEE"/>
    <w:rsid w:val="06C123D8"/>
    <w:rsid w:val="06D03D80"/>
    <w:rsid w:val="06E635A4"/>
    <w:rsid w:val="06F25E18"/>
    <w:rsid w:val="06FF13A2"/>
    <w:rsid w:val="070A0474"/>
    <w:rsid w:val="07161D4A"/>
    <w:rsid w:val="07364130"/>
    <w:rsid w:val="073E518E"/>
    <w:rsid w:val="0740520F"/>
    <w:rsid w:val="07612D98"/>
    <w:rsid w:val="076E0F6D"/>
    <w:rsid w:val="07BE74DF"/>
    <w:rsid w:val="07C02047"/>
    <w:rsid w:val="07DB29DD"/>
    <w:rsid w:val="07E84F31"/>
    <w:rsid w:val="080D2DB2"/>
    <w:rsid w:val="081573F8"/>
    <w:rsid w:val="082E7418"/>
    <w:rsid w:val="083772CA"/>
    <w:rsid w:val="0839529D"/>
    <w:rsid w:val="08916FEF"/>
    <w:rsid w:val="08A46822"/>
    <w:rsid w:val="08B576D2"/>
    <w:rsid w:val="08CA13FE"/>
    <w:rsid w:val="08D200D0"/>
    <w:rsid w:val="08DC60E8"/>
    <w:rsid w:val="08EA79DD"/>
    <w:rsid w:val="09491BC8"/>
    <w:rsid w:val="094B6BEC"/>
    <w:rsid w:val="09557917"/>
    <w:rsid w:val="09674656"/>
    <w:rsid w:val="09727BA4"/>
    <w:rsid w:val="097B0119"/>
    <w:rsid w:val="098826F0"/>
    <w:rsid w:val="098C558E"/>
    <w:rsid w:val="099147C9"/>
    <w:rsid w:val="09974C33"/>
    <w:rsid w:val="099E6E24"/>
    <w:rsid w:val="09B82947"/>
    <w:rsid w:val="09BC676A"/>
    <w:rsid w:val="09C90142"/>
    <w:rsid w:val="09CB04E3"/>
    <w:rsid w:val="09DD13F2"/>
    <w:rsid w:val="09E66735"/>
    <w:rsid w:val="0A115C54"/>
    <w:rsid w:val="0A5E782E"/>
    <w:rsid w:val="0A8C5FC6"/>
    <w:rsid w:val="0AB45767"/>
    <w:rsid w:val="0AB67731"/>
    <w:rsid w:val="0AC2744D"/>
    <w:rsid w:val="0B316DB7"/>
    <w:rsid w:val="0B512FB6"/>
    <w:rsid w:val="0B770C6E"/>
    <w:rsid w:val="0BB13318"/>
    <w:rsid w:val="0BC1319E"/>
    <w:rsid w:val="0BC97BB6"/>
    <w:rsid w:val="0BD86336"/>
    <w:rsid w:val="0BDF6FAF"/>
    <w:rsid w:val="0BEB6F66"/>
    <w:rsid w:val="0BF958C7"/>
    <w:rsid w:val="0C0369A6"/>
    <w:rsid w:val="0C2561A2"/>
    <w:rsid w:val="0C3352B4"/>
    <w:rsid w:val="0C3628D7"/>
    <w:rsid w:val="0C3F3332"/>
    <w:rsid w:val="0C517F6E"/>
    <w:rsid w:val="0C5A09A9"/>
    <w:rsid w:val="0C852A7A"/>
    <w:rsid w:val="0C8D4217"/>
    <w:rsid w:val="0CA03F46"/>
    <w:rsid w:val="0CC221A1"/>
    <w:rsid w:val="0CDB719E"/>
    <w:rsid w:val="0CE642FD"/>
    <w:rsid w:val="0D151FE4"/>
    <w:rsid w:val="0D1A47D4"/>
    <w:rsid w:val="0D3D7C96"/>
    <w:rsid w:val="0D49663A"/>
    <w:rsid w:val="0D56019D"/>
    <w:rsid w:val="0D603E55"/>
    <w:rsid w:val="0D633C64"/>
    <w:rsid w:val="0D8B6C53"/>
    <w:rsid w:val="0D8E6B48"/>
    <w:rsid w:val="0DD26D65"/>
    <w:rsid w:val="0E0812B7"/>
    <w:rsid w:val="0E407559"/>
    <w:rsid w:val="0E562298"/>
    <w:rsid w:val="0E5C239D"/>
    <w:rsid w:val="0EAB6A73"/>
    <w:rsid w:val="0F334EAC"/>
    <w:rsid w:val="0F4B3FBB"/>
    <w:rsid w:val="0F4D0707"/>
    <w:rsid w:val="0F657030"/>
    <w:rsid w:val="0F9D23DA"/>
    <w:rsid w:val="0FBA2A45"/>
    <w:rsid w:val="0FC41654"/>
    <w:rsid w:val="0FDE7285"/>
    <w:rsid w:val="0FE64614"/>
    <w:rsid w:val="10081CD9"/>
    <w:rsid w:val="101A606C"/>
    <w:rsid w:val="1042721E"/>
    <w:rsid w:val="104C05B8"/>
    <w:rsid w:val="10777A13"/>
    <w:rsid w:val="10F4304B"/>
    <w:rsid w:val="110A60E1"/>
    <w:rsid w:val="11250A02"/>
    <w:rsid w:val="1146569F"/>
    <w:rsid w:val="1147532F"/>
    <w:rsid w:val="118C2ED5"/>
    <w:rsid w:val="11B83D31"/>
    <w:rsid w:val="11C2008D"/>
    <w:rsid w:val="12145696"/>
    <w:rsid w:val="1231466D"/>
    <w:rsid w:val="125A4E46"/>
    <w:rsid w:val="126F5DEF"/>
    <w:rsid w:val="12795B29"/>
    <w:rsid w:val="128854F4"/>
    <w:rsid w:val="12B64DD7"/>
    <w:rsid w:val="12C5044A"/>
    <w:rsid w:val="12F62B63"/>
    <w:rsid w:val="13040F3D"/>
    <w:rsid w:val="1316658C"/>
    <w:rsid w:val="13405DEA"/>
    <w:rsid w:val="13433B2C"/>
    <w:rsid w:val="13637D2A"/>
    <w:rsid w:val="13696837"/>
    <w:rsid w:val="139879D4"/>
    <w:rsid w:val="13AA30FE"/>
    <w:rsid w:val="13AD4C07"/>
    <w:rsid w:val="13B31AEC"/>
    <w:rsid w:val="13DD188A"/>
    <w:rsid w:val="13E22FA8"/>
    <w:rsid w:val="13FE3FBA"/>
    <w:rsid w:val="140908D1"/>
    <w:rsid w:val="14092FD9"/>
    <w:rsid w:val="140E1568"/>
    <w:rsid w:val="14404369"/>
    <w:rsid w:val="145B2325"/>
    <w:rsid w:val="14904B4F"/>
    <w:rsid w:val="14A70913"/>
    <w:rsid w:val="14A8657C"/>
    <w:rsid w:val="14E1675A"/>
    <w:rsid w:val="14ED79F6"/>
    <w:rsid w:val="14FC1868"/>
    <w:rsid w:val="150B48F0"/>
    <w:rsid w:val="151268B0"/>
    <w:rsid w:val="15242345"/>
    <w:rsid w:val="1534372C"/>
    <w:rsid w:val="1582317C"/>
    <w:rsid w:val="15B716F5"/>
    <w:rsid w:val="15DB44F0"/>
    <w:rsid w:val="15F630D7"/>
    <w:rsid w:val="16225C7A"/>
    <w:rsid w:val="1633250B"/>
    <w:rsid w:val="16650BB3"/>
    <w:rsid w:val="166B7621"/>
    <w:rsid w:val="1687726D"/>
    <w:rsid w:val="16B07844"/>
    <w:rsid w:val="16BA5EB3"/>
    <w:rsid w:val="16BE3BF5"/>
    <w:rsid w:val="16CF7096"/>
    <w:rsid w:val="16D36F75"/>
    <w:rsid w:val="16DF2956"/>
    <w:rsid w:val="16F21AF1"/>
    <w:rsid w:val="17424826"/>
    <w:rsid w:val="175D674F"/>
    <w:rsid w:val="179055A0"/>
    <w:rsid w:val="17B53534"/>
    <w:rsid w:val="17CD2550"/>
    <w:rsid w:val="17F608F7"/>
    <w:rsid w:val="18114189"/>
    <w:rsid w:val="1824217E"/>
    <w:rsid w:val="18356139"/>
    <w:rsid w:val="184C35B3"/>
    <w:rsid w:val="187562EB"/>
    <w:rsid w:val="18B54B84"/>
    <w:rsid w:val="18EB2C9C"/>
    <w:rsid w:val="18F06F2D"/>
    <w:rsid w:val="19117739"/>
    <w:rsid w:val="19403824"/>
    <w:rsid w:val="19921369"/>
    <w:rsid w:val="199444A3"/>
    <w:rsid w:val="19A02C18"/>
    <w:rsid w:val="19AD7F51"/>
    <w:rsid w:val="19EF4196"/>
    <w:rsid w:val="1A1832D2"/>
    <w:rsid w:val="1A3F504D"/>
    <w:rsid w:val="1A970131"/>
    <w:rsid w:val="1A9E3747"/>
    <w:rsid w:val="1AAE21D3"/>
    <w:rsid w:val="1AB04461"/>
    <w:rsid w:val="1ABF1CEA"/>
    <w:rsid w:val="1AFF2902"/>
    <w:rsid w:val="1B046C13"/>
    <w:rsid w:val="1B306AFE"/>
    <w:rsid w:val="1B356450"/>
    <w:rsid w:val="1B397375"/>
    <w:rsid w:val="1B5C7199"/>
    <w:rsid w:val="1B9A336C"/>
    <w:rsid w:val="1BA50D14"/>
    <w:rsid w:val="1BA677E7"/>
    <w:rsid w:val="1C157D87"/>
    <w:rsid w:val="1C2C1601"/>
    <w:rsid w:val="1C352CA3"/>
    <w:rsid w:val="1C625D30"/>
    <w:rsid w:val="1C730FDE"/>
    <w:rsid w:val="1C7671E3"/>
    <w:rsid w:val="1C777601"/>
    <w:rsid w:val="1C7B6556"/>
    <w:rsid w:val="1C844F99"/>
    <w:rsid w:val="1C872CDB"/>
    <w:rsid w:val="1C8A493E"/>
    <w:rsid w:val="1CA719E6"/>
    <w:rsid w:val="1CBE5E33"/>
    <w:rsid w:val="1CCB6998"/>
    <w:rsid w:val="1CD6623F"/>
    <w:rsid w:val="1CE51297"/>
    <w:rsid w:val="1CF90898"/>
    <w:rsid w:val="1CFA0FE7"/>
    <w:rsid w:val="1D383050"/>
    <w:rsid w:val="1D4824C2"/>
    <w:rsid w:val="1D590204"/>
    <w:rsid w:val="1D830F3D"/>
    <w:rsid w:val="1D8C69C4"/>
    <w:rsid w:val="1E1C7C6C"/>
    <w:rsid w:val="1E786F00"/>
    <w:rsid w:val="1E7C1E81"/>
    <w:rsid w:val="1E9A4F48"/>
    <w:rsid w:val="1ECC2CA8"/>
    <w:rsid w:val="1EE26B01"/>
    <w:rsid w:val="1F0F7E68"/>
    <w:rsid w:val="1F147CCD"/>
    <w:rsid w:val="1F1F65F5"/>
    <w:rsid w:val="1F227F17"/>
    <w:rsid w:val="1F2F20C6"/>
    <w:rsid w:val="1F30529C"/>
    <w:rsid w:val="1F343C02"/>
    <w:rsid w:val="1F42113B"/>
    <w:rsid w:val="1F625D5B"/>
    <w:rsid w:val="1F9F1A13"/>
    <w:rsid w:val="1FA37E2C"/>
    <w:rsid w:val="1FAC7E53"/>
    <w:rsid w:val="1FC41B50"/>
    <w:rsid w:val="200008B3"/>
    <w:rsid w:val="20076707"/>
    <w:rsid w:val="2021565A"/>
    <w:rsid w:val="20254CE5"/>
    <w:rsid w:val="20517FE3"/>
    <w:rsid w:val="20597707"/>
    <w:rsid w:val="205B427C"/>
    <w:rsid w:val="206014D0"/>
    <w:rsid w:val="206425C2"/>
    <w:rsid w:val="209F331F"/>
    <w:rsid w:val="20C4607B"/>
    <w:rsid w:val="20CE2C18"/>
    <w:rsid w:val="210715A2"/>
    <w:rsid w:val="210E6E48"/>
    <w:rsid w:val="21577705"/>
    <w:rsid w:val="217C1DAF"/>
    <w:rsid w:val="218220DE"/>
    <w:rsid w:val="218B7932"/>
    <w:rsid w:val="21CB18BC"/>
    <w:rsid w:val="21FE096D"/>
    <w:rsid w:val="22166536"/>
    <w:rsid w:val="221B2C1C"/>
    <w:rsid w:val="222C76C6"/>
    <w:rsid w:val="22466CF3"/>
    <w:rsid w:val="2253067F"/>
    <w:rsid w:val="225B79A3"/>
    <w:rsid w:val="22603EAC"/>
    <w:rsid w:val="226513C9"/>
    <w:rsid w:val="226C3470"/>
    <w:rsid w:val="22744381"/>
    <w:rsid w:val="22851FD8"/>
    <w:rsid w:val="22A344E7"/>
    <w:rsid w:val="22C407E5"/>
    <w:rsid w:val="22C9107A"/>
    <w:rsid w:val="22DE3197"/>
    <w:rsid w:val="22FD3CF7"/>
    <w:rsid w:val="230E0741"/>
    <w:rsid w:val="230E1B9C"/>
    <w:rsid w:val="23104449"/>
    <w:rsid w:val="231477EB"/>
    <w:rsid w:val="2357263C"/>
    <w:rsid w:val="23776EA0"/>
    <w:rsid w:val="237C4C1C"/>
    <w:rsid w:val="23982678"/>
    <w:rsid w:val="23B459CF"/>
    <w:rsid w:val="23F63E16"/>
    <w:rsid w:val="23F87C5C"/>
    <w:rsid w:val="240510B5"/>
    <w:rsid w:val="242332EA"/>
    <w:rsid w:val="24355492"/>
    <w:rsid w:val="243A32C2"/>
    <w:rsid w:val="243F71F1"/>
    <w:rsid w:val="244849F1"/>
    <w:rsid w:val="2467274D"/>
    <w:rsid w:val="24945F95"/>
    <w:rsid w:val="249B11DF"/>
    <w:rsid w:val="24C62127"/>
    <w:rsid w:val="24F904EE"/>
    <w:rsid w:val="25093A3B"/>
    <w:rsid w:val="2513335E"/>
    <w:rsid w:val="251D666A"/>
    <w:rsid w:val="25236D0D"/>
    <w:rsid w:val="252F645D"/>
    <w:rsid w:val="25377290"/>
    <w:rsid w:val="253A4D8F"/>
    <w:rsid w:val="25577B0A"/>
    <w:rsid w:val="255E2F6B"/>
    <w:rsid w:val="258858A9"/>
    <w:rsid w:val="25AB64F5"/>
    <w:rsid w:val="25B20DC9"/>
    <w:rsid w:val="25C91C6F"/>
    <w:rsid w:val="25DF76E4"/>
    <w:rsid w:val="25E21C3F"/>
    <w:rsid w:val="25F64D5E"/>
    <w:rsid w:val="26306BB8"/>
    <w:rsid w:val="263321E9"/>
    <w:rsid w:val="263E440B"/>
    <w:rsid w:val="263E475E"/>
    <w:rsid w:val="263F3356"/>
    <w:rsid w:val="26757E2C"/>
    <w:rsid w:val="26790701"/>
    <w:rsid w:val="267C6969"/>
    <w:rsid w:val="26964247"/>
    <w:rsid w:val="26CA2142"/>
    <w:rsid w:val="26ED73EF"/>
    <w:rsid w:val="27210100"/>
    <w:rsid w:val="272E1852"/>
    <w:rsid w:val="273508EE"/>
    <w:rsid w:val="27483692"/>
    <w:rsid w:val="27486D81"/>
    <w:rsid w:val="274C6FFB"/>
    <w:rsid w:val="276F6E45"/>
    <w:rsid w:val="278066D7"/>
    <w:rsid w:val="27817875"/>
    <w:rsid w:val="27827B0F"/>
    <w:rsid w:val="27886287"/>
    <w:rsid w:val="27B150B0"/>
    <w:rsid w:val="27D4609F"/>
    <w:rsid w:val="27F53526"/>
    <w:rsid w:val="27FA5E76"/>
    <w:rsid w:val="28020AB1"/>
    <w:rsid w:val="28510862"/>
    <w:rsid w:val="28584D75"/>
    <w:rsid w:val="28690FE5"/>
    <w:rsid w:val="28760EC1"/>
    <w:rsid w:val="28775A25"/>
    <w:rsid w:val="288E2BD2"/>
    <w:rsid w:val="28996270"/>
    <w:rsid w:val="28A54C15"/>
    <w:rsid w:val="28C055AB"/>
    <w:rsid w:val="28DC50AB"/>
    <w:rsid w:val="28E55271"/>
    <w:rsid w:val="28E7739E"/>
    <w:rsid w:val="28F32F3C"/>
    <w:rsid w:val="2923374B"/>
    <w:rsid w:val="296B508E"/>
    <w:rsid w:val="29714B65"/>
    <w:rsid w:val="29BC2B74"/>
    <w:rsid w:val="29BD796F"/>
    <w:rsid w:val="29C25A4F"/>
    <w:rsid w:val="29D72A8A"/>
    <w:rsid w:val="29F85218"/>
    <w:rsid w:val="29FC3D9F"/>
    <w:rsid w:val="2A0143FB"/>
    <w:rsid w:val="2A0F70C8"/>
    <w:rsid w:val="2A1061A1"/>
    <w:rsid w:val="2A7E539E"/>
    <w:rsid w:val="2A85233C"/>
    <w:rsid w:val="2AAC3644"/>
    <w:rsid w:val="2AD05673"/>
    <w:rsid w:val="2AD05F31"/>
    <w:rsid w:val="2B3207F8"/>
    <w:rsid w:val="2B74128C"/>
    <w:rsid w:val="2B8946FF"/>
    <w:rsid w:val="2C0A4741"/>
    <w:rsid w:val="2C0E2AD1"/>
    <w:rsid w:val="2C267E1B"/>
    <w:rsid w:val="2C957CF5"/>
    <w:rsid w:val="2CBC6D61"/>
    <w:rsid w:val="2CF86E08"/>
    <w:rsid w:val="2D2F7591"/>
    <w:rsid w:val="2D5409B8"/>
    <w:rsid w:val="2D5428DA"/>
    <w:rsid w:val="2D69155B"/>
    <w:rsid w:val="2D9214E0"/>
    <w:rsid w:val="2D9B15EF"/>
    <w:rsid w:val="2DE60FE9"/>
    <w:rsid w:val="2DEA609B"/>
    <w:rsid w:val="2E304308"/>
    <w:rsid w:val="2E336D9D"/>
    <w:rsid w:val="2E6A084A"/>
    <w:rsid w:val="2E6B420B"/>
    <w:rsid w:val="2E6F2DE9"/>
    <w:rsid w:val="2E8928E3"/>
    <w:rsid w:val="2EA65243"/>
    <w:rsid w:val="2EB26D79"/>
    <w:rsid w:val="2EC33928"/>
    <w:rsid w:val="2EC565A3"/>
    <w:rsid w:val="2ED7303C"/>
    <w:rsid w:val="2F16026E"/>
    <w:rsid w:val="2F6A2714"/>
    <w:rsid w:val="2F7145F4"/>
    <w:rsid w:val="2FA15A0A"/>
    <w:rsid w:val="2FC00209"/>
    <w:rsid w:val="2FC516F9"/>
    <w:rsid w:val="2FC968E8"/>
    <w:rsid w:val="301C1F55"/>
    <w:rsid w:val="30580298"/>
    <w:rsid w:val="30646F90"/>
    <w:rsid w:val="30CB0402"/>
    <w:rsid w:val="310955F2"/>
    <w:rsid w:val="31197E88"/>
    <w:rsid w:val="311A7DC8"/>
    <w:rsid w:val="314B40CA"/>
    <w:rsid w:val="316F12EC"/>
    <w:rsid w:val="31DB3455"/>
    <w:rsid w:val="32043F88"/>
    <w:rsid w:val="321E42BD"/>
    <w:rsid w:val="323963CE"/>
    <w:rsid w:val="323A4620"/>
    <w:rsid w:val="324D2681"/>
    <w:rsid w:val="325A081E"/>
    <w:rsid w:val="326A3069"/>
    <w:rsid w:val="326B31A7"/>
    <w:rsid w:val="32AA4049"/>
    <w:rsid w:val="32B83797"/>
    <w:rsid w:val="32BD2B5B"/>
    <w:rsid w:val="32EA4583"/>
    <w:rsid w:val="33A81F62"/>
    <w:rsid w:val="33B45D0C"/>
    <w:rsid w:val="33C11732"/>
    <w:rsid w:val="33C817B8"/>
    <w:rsid w:val="33FB2450"/>
    <w:rsid w:val="34037E19"/>
    <w:rsid w:val="34056568"/>
    <w:rsid w:val="3415672C"/>
    <w:rsid w:val="34195F7F"/>
    <w:rsid w:val="341B5D8B"/>
    <w:rsid w:val="341E1D1F"/>
    <w:rsid w:val="34457450"/>
    <w:rsid w:val="34882465"/>
    <w:rsid w:val="348C0A37"/>
    <w:rsid w:val="34B14CB6"/>
    <w:rsid w:val="34BC749F"/>
    <w:rsid w:val="34E460B6"/>
    <w:rsid w:val="34E72409"/>
    <w:rsid w:val="35080AA4"/>
    <w:rsid w:val="350E185E"/>
    <w:rsid w:val="351F5D4F"/>
    <w:rsid w:val="35373F98"/>
    <w:rsid w:val="35871ED9"/>
    <w:rsid w:val="358866EC"/>
    <w:rsid w:val="35912C31"/>
    <w:rsid w:val="35973B37"/>
    <w:rsid w:val="35AD6EB7"/>
    <w:rsid w:val="361A0126"/>
    <w:rsid w:val="361E625E"/>
    <w:rsid w:val="36246068"/>
    <w:rsid w:val="363B7932"/>
    <w:rsid w:val="363E0288"/>
    <w:rsid w:val="3680281D"/>
    <w:rsid w:val="36AF6603"/>
    <w:rsid w:val="36B64491"/>
    <w:rsid w:val="36B66211"/>
    <w:rsid w:val="36BE70F6"/>
    <w:rsid w:val="36C24BE4"/>
    <w:rsid w:val="36D15C2A"/>
    <w:rsid w:val="36F317E6"/>
    <w:rsid w:val="36FA3B3C"/>
    <w:rsid w:val="36FA4BBC"/>
    <w:rsid w:val="37023232"/>
    <w:rsid w:val="370D2DA8"/>
    <w:rsid w:val="371D61FE"/>
    <w:rsid w:val="374B5AC3"/>
    <w:rsid w:val="37545ADD"/>
    <w:rsid w:val="37595EB0"/>
    <w:rsid w:val="37701086"/>
    <w:rsid w:val="37755EB7"/>
    <w:rsid w:val="37911AE3"/>
    <w:rsid w:val="37BB699A"/>
    <w:rsid w:val="37CA01F4"/>
    <w:rsid w:val="37EB016A"/>
    <w:rsid w:val="37F4701F"/>
    <w:rsid w:val="38187E4F"/>
    <w:rsid w:val="3820445B"/>
    <w:rsid w:val="38210467"/>
    <w:rsid w:val="38401B73"/>
    <w:rsid w:val="384B1D2A"/>
    <w:rsid w:val="3881462B"/>
    <w:rsid w:val="388436B1"/>
    <w:rsid w:val="388E544E"/>
    <w:rsid w:val="38966328"/>
    <w:rsid w:val="389A2B75"/>
    <w:rsid w:val="389B749B"/>
    <w:rsid w:val="38A65CAF"/>
    <w:rsid w:val="38DF5E24"/>
    <w:rsid w:val="38F24247"/>
    <w:rsid w:val="38FB43DD"/>
    <w:rsid w:val="38FD48BB"/>
    <w:rsid w:val="39780BBB"/>
    <w:rsid w:val="399267A7"/>
    <w:rsid w:val="39B73FC4"/>
    <w:rsid w:val="39C3314D"/>
    <w:rsid w:val="39CA4F29"/>
    <w:rsid w:val="39D617F2"/>
    <w:rsid w:val="39DA652D"/>
    <w:rsid w:val="39E94A0C"/>
    <w:rsid w:val="39EE5822"/>
    <w:rsid w:val="3A0A7CB4"/>
    <w:rsid w:val="3A0C0CA1"/>
    <w:rsid w:val="3A3C11B0"/>
    <w:rsid w:val="3A84407A"/>
    <w:rsid w:val="3A9974DB"/>
    <w:rsid w:val="3AF75099"/>
    <w:rsid w:val="3B167E73"/>
    <w:rsid w:val="3B253993"/>
    <w:rsid w:val="3B261813"/>
    <w:rsid w:val="3B4E6F37"/>
    <w:rsid w:val="3B581673"/>
    <w:rsid w:val="3B731AB5"/>
    <w:rsid w:val="3B833738"/>
    <w:rsid w:val="3B874762"/>
    <w:rsid w:val="3BB23B09"/>
    <w:rsid w:val="3BBD7C35"/>
    <w:rsid w:val="3BF7350A"/>
    <w:rsid w:val="3C2527C5"/>
    <w:rsid w:val="3C37397E"/>
    <w:rsid w:val="3C84642E"/>
    <w:rsid w:val="3CDB255C"/>
    <w:rsid w:val="3CEE028A"/>
    <w:rsid w:val="3D2A703F"/>
    <w:rsid w:val="3D3659E4"/>
    <w:rsid w:val="3D3A30B5"/>
    <w:rsid w:val="3D6F7148"/>
    <w:rsid w:val="3D6F75C9"/>
    <w:rsid w:val="3D9B6629"/>
    <w:rsid w:val="3DCE4F1C"/>
    <w:rsid w:val="3DE25B6C"/>
    <w:rsid w:val="3DE3304B"/>
    <w:rsid w:val="3DE90F01"/>
    <w:rsid w:val="3DF87C88"/>
    <w:rsid w:val="3E266E35"/>
    <w:rsid w:val="3E2B1CC9"/>
    <w:rsid w:val="3E6646EC"/>
    <w:rsid w:val="3E9C5D1B"/>
    <w:rsid w:val="3F090403"/>
    <w:rsid w:val="3F0F473E"/>
    <w:rsid w:val="3F2E1A93"/>
    <w:rsid w:val="3F3862DE"/>
    <w:rsid w:val="3F450160"/>
    <w:rsid w:val="3F4829A1"/>
    <w:rsid w:val="3F513C3F"/>
    <w:rsid w:val="3F7F04D5"/>
    <w:rsid w:val="3FC337AF"/>
    <w:rsid w:val="40804C79"/>
    <w:rsid w:val="40A005F0"/>
    <w:rsid w:val="40AA2111"/>
    <w:rsid w:val="40B53A14"/>
    <w:rsid w:val="40BD62C9"/>
    <w:rsid w:val="40CB28E7"/>
    <w:rsid w:val="40F04B84"/>
    <w:rsid w:val="41344930"/>
    <w:rsid w:val="414D77A0"/>
    <w:rsid w:val="41766CF7"/>
    <w:rsid w:val="417D76A0"/>
    <w:rsid w:val="417E1386"/>
    <w:rsid w:val="41943621"/>
    <w:rsid w:val="41A02373"/>
    <w:rsid w:val="41AA47B7"/>
    <w:rsid w:val="41BD66D4"/>
    <w:rsid w:val="41CA3008"/>
    <w:rsid w:val="41DB1250"/>
    <w:rsid w:val="422B6BF4"/>
    <w:rsid w:val="42347713"/>
    <w:rsid w:val="42585666"/>
    <w:rsid w:val="426D00FA"/>
    <w:rsid w:val="42CB3072"/>
    <w:rsid w:val="431B4121"/>
    <w:rsid w:val="431C2433"/>
    <w:rsid w:val="43307340"/>
    <w:rsid w:val="435636B8"/>
    <w:rsid w:val="43571252"/>
    <w:rsid w:val="43650E4D"/>
    <w:rsid w:val="43747266"/>
    <w:rsid w:val="43B00A8F"/>
    <w:rsid w:val="43B253F6"/>
    <w:rsid w:val="43B81849"/>
    <w:rsid w:val="43CC74D5"/>
    <w:rsid w:val="43D53E46"/>
    <w:rsid w:val="43E73117"/>
    <w:rsid w:val="441D78FE"/>
    <w:rsid w:val="442539BE"/>
    <w:rsid w:val="4465538A"/>
    <w:rsid w:val="448D5606"/>
    <w:rsid w:val="44956565"/>
    <w:rsid w:val="449D459A"/>
    <w:rsid w:val="44AD2BD5"/>
    <w:rsid w:val="44C10289"/>
    <w:rsid w:val="44D21A04"/>
    <w:rsid w:val="44EC107E"/>
    <w:rsid w:val="44FA30CA"/>
    <w:rsid w:val="451C4F8C"/>
    <w:rsid w:val="452545FE"/>
    <w:rsid w:val="453172FD"/>
    <w:rsid w:val="45372C41"/>
    <w:rsid w:val="453755B4"/>
    <w:rsid w:val="454B391C"/>
    <w:rsid w:val="455005EB"/>
    <w:rsid w:val="45511B47"/>
    <w:rsid w:val="4575287A"/>
    <w:rsid w:val="459557D9"/>
    <w:rsid w:val="45A15DDB"/>
    <w:rsid w:val="45A3513D"/>
    <w:rsid w:val="45B22926"/>
    <w:rsid w:val="45EE1552"/>
    <w:rsid w:val="4615116B"/>
    <w:rsid w:val="462D01BF"/>
    <w:rsid w:val="464A0752"/>
    <w:rsid w:val="4660217D"/>
    <w:rsid w:val="466B05BD"/>
    <w:rsid w:val="4681712C"/>
    <w:rsid w:val="468B6718"/>
    <w:rsid w:val="468F3C96"/>
    <w:rsid w:val="46D71FE6"/>
    <w:rsid w:val="473B23EB"/>
    <w:rsid w:val="4746716B"/>
    <w:rsid w:val="476250CF"/>
    <w:rsid w:val="47664F26"/>
    <w:rsid w:val="47B32EAB"/>
    <w:rsid w:val="47C40E8C"/>
    <w:rsid w:val="47C67829"/>
    <w:rsid w:val="47DB0153"/>
    <w:rsid w:val="47E1396E"/>
    <w:rsid w:val="481553CE"/>
    <w:rsid w:val="4823125B"/>
    <w:rsid w:val="482B4869"/>
    <w:rsid w:val="48641F10"/>
    <w:rsid w:val="48724537"/>
    <w:rsid w:val="48741AB6"/>
    <w:rsid w:val="489F7AC0"/>
    <w:rsid w:val="48B1218F"/>
    <w:rsid w:val="48B14AB0"/>
    <w:rsid w:val="48B7362C"/>
    <w:rsid w:val="48BB286C"/>
    <w:rsid w:val="48D6123C"/>
    <w:rsid w:val="49134B08"/>
    <w:rsid w:val="49150F51"/>
    <w:rsid w:val="49480BD4"/>
    <w:rsid w:val="49503DE1"/>
    <w:rsid w:val="4968786D"/>
    <w:rsid w:val="496E11C3"/>
    <w:rsid w:val="49942410"/>
    <w:rsid w:val="499F04DF"/>
    <w:rsid w:val="49CB3BFF"/>
    <w:rsid w:val="49F66B3A"/>
    <w:rsid w:val="4A080983"/>
    <w:rsid w:val="4A24534F"/>
    <w:rsid w:val="4A356F79"/>
    <w:rsid w:val="4A3F3EC7"/>
    <w:rsid w:val="4A69564B"/>
    <w:rsid w:val="4A791A90"/>
    <w:rsid w:val="4A8E0642"/>
    <w:rsid w:val="4AA4619B"/>
    <w:rsid w:val="4AAE7A16"/>
    <w:rsid w:val="4AC62161"/>
    <w:rsid w:val="4AD5665B"/>
    <w:rsid w:val="4AEA2B51"/>
    <w:rsid w:val="4AF13892"/>
    <w:rsid w:val="4B1E4578"/>
    <w:rsid w:val="4B284D77"/>
    <w:rsid w:val="4B32753C"/>
    <w:rsid w:val="4B4C652C"/>
    <w:rsid w:val="4B736055"/>
    <w:rsid w:val="4B904E59"/>
    <w:rsid w:val="4BDE5BC4"/>
    <w:rsid w:val="4BEC1507"/>
    <w:rsid w:val="4C080E93"/>
    <w:rsid w:val="4C255A6B"/>
    <w:rsid w:val="4CD363C9"/>
    <w:rsid w:val="4CE203D0"/>
    <w:rsid w:val="4CF237DA"/>
    <w:rsid w:val="4D0163B5"/>
    <w:rsid w:val="4D2FE792"/>
    <w:rsid w:val="4D301CEC"/>
    <w:rsid w:val="4D3A1CF8"/>
    <w:rsid w:val="4D6A1997"/>
    <w:rsid w:val="4D7C38E7"/>
    <w:rsid w:val="4D7F5185"/>
    <w:rsid w:val="4D7F6702"/>
    <w:rsid w:val="4DD0451E"/>
    <w:rsid w:val="4DD27ACF"/>
    <w:rsid w:val="4DE90850"/>
    <w:rsid w:val="4E0C779B"/>
    <w:rsid w:val="4E1A7ECD"/>
    <w:rsid w:val="4E5B34FC"/>
    <w:rsid w:val="4E924F42"/>
    <w:rsid w:val="4EAF2F38"/>
    <w:rsid w:val="4EFD45B3"/>
    <w:rsid w:val="4F123950"/>
    <w:rsid w:val="4F134C73"/>
    <w:rsid w:val="4F2E6E63"/>
    <w:rsid w:val="4F3A75B6"/>
    <w:rsid w:val="4F43714D"/>
    <w:rsid w:val="4F4A3571"/>
    <w:rsid w:val="4F5A1A06"/>
    <w:rsid w:val="4F6512F6"/>
    <w:rsid w:val="4F6B7506"/>
    <w:rsid w:val="4F744F91"/>
    <w:rsid w:val="4F8E3B30"/>
    <w:rsid w:val="50054615"/>
    <w:rsid w:val="502344EE"/>
    <w:rsid w:val="5025558D"/>
    <w:rsid w:val="505658E8"/>
    <w:rsid w:val="507519D9"/>
    <w:rsid w:val="507759B7"/>
    <w:rsid w:val="508D5E0B"/>
    <w:rsid w:val="50A62A29"/>
    <w:rsid w:val="50A75B54"/>
    <w:rsid w:val="50BB0282"/>
    <w:rsid w:val="50CA2BBB"/>
    <w:rsid w:val="50EC442B"/>
    <w:rsid w:val="51181B78"/>
    <w:rsid w:val="516D4167"/>
    <w:rsid w:val="517524CA"/>
    <w:rsid w:val="517C422B"/>
    <w:rsid w:val="51824CF6"/>
    <w:rsid w:val="519440A0"/>
    <w:rsid w:val="519B0539"/>
    <w:rsid w:val="519B6306"/>
    <w:rsid w:val="519F7BA4"/>
    <w:rsid w:val="51A84133"/>
    <w:rsid w:val="51CE66DB"/>
    <w:rsid w:val="51D535C6"/>
    <w:rsid w:val="520E65E0"/>
    <w:rsid w:val="52127D7D"/>
    <w:rsid w:val="52306A4E"/>
    <w:rsid w:val="52412A63"/>
    <w:rsid w:val="525672F6"/>
    <w:rsid w:val="5281374D"/>
    <w:rsid w:val="528172AA"/>
    <w:rsid w:val="52AD2EF9"/>
    <w:rsid w:val="52AF3E17"/>
    <w:rsid w:val="52B23907"/>
    <w:rsid w:val="52B45C45"/>
    <w:rsid w:val="530C74BB"/>
    <w:rsid w:val="53185E60"/>
    <w:rsid w:val="534179D1"/>
    <w:rsid w:val="534529CD"/>
    <w:rsid w:val="53476745"/>
    <w:rsid w:val="534F55FA"/>
    <w:rsid w:val="53763D4D"/>
    <w:rsid w:val="538E1256"/>
    <w:rsid w:val="53987EBC"/>
    <w:rsid w:val="53CF3CCA"/>
    <w:rsid w:val="53E73A84"/>
    <w:rsid w:val="54135280"/>
    <w:rsid w:val="54331D94"/>
    <w:rsid w:val="54660AAC"/>
    <w:rsid w:val="54687546"/>
    <w:rsid w:val="547E38A6"/>
    <w:rsid w:val="54815491"/>
    <w:rsid w:val="54921C42"/>
    <w:rsid w:val="54CB6E0A"/>
    <w:rsid w:val="5526139C"/>
    <w:rsid w:val="552B2D26"/>
    <w:rsid w:val="55432F3C"/>
    <w:rsid w:val="554E1470"/>
    <w:rsid w:val="55670C9F"/>
    <w:rsid w:val="55747599"/>
    <w:rsid w:val="55986D51"/>
    <w:rsid w:val="55B106CC"/>
    <w:rsid w:val="55B17B55"/>
    <w:rsid w:val="55D42624"/>
    <w:rsid w:val="55E02539"/>
    <w:rsid w:val="56133CA0"/>
    <w:rsid w:val="564156CE"/>
    <w:rsid w:val="56572130"/>
    <w:rsid w:val="5666654D"/>
    <w:rsid w:val="56767E35"/>
    <w:rsid w:val="56A8039B"/>
    <w:rsid w:val="56DD4ABD"/>
    <w:rsid w:val="56F049FE"/>
    <w:rsid w:val="5701633E"/>
    <w:rsid w:val="5703231E"/>
    <w:rsid w:val="57116442"/>
    <w:rsid w:val="57542D95"/>
    <w:rsid w:val="57711FE2"/>
    <w:rsid w:val="57792C45"/>
    <w:rsid w:val="578D3493"/>
    <w:rsid w:val="57CA34A1"/>
    <w:rsid w:val="57D61E46"/>
    <w:rsid w:val="57EE3633"/>
    <w:rsid w:val="581B1CCB"/>
    <w:rsid w:val="58306484"/>
    <w:rsid w:val="585614FD"/>
    <w:rsid w:val="586A7A45"/>
    <w:rsid w:val="58913FBE"/>
    <w:rsid w:val="58914C8B"/>
    <w:rsid w:val="58B72763"/>
    <w:rsid w:val="58D520FD"/>
    <w:rsid w:val="58E3423E"/>
    <w:rsid w:val="58EB7B73"/>
    <w:rsid w:val="58F033DB"/>
    <w:rsid w:val="58F23ED5"/>
    <w:rsid w:val="58FA2839"/>
    <w:rsid w:val="59184390"/>
    <w:rsid w:val="59215342"/>
    <w:rsid w:val="5956205C"/>
    <w:rsid w:val="59722042"/>
    <w:rsid w:val="59945468"/>
    <w:rsid w:val="599E6CB8"/>
    <w:rsid w:val="59E031E2"/>
    <w:rsid w:val="5A0053F8"/>
    <w:rsid w:val="5A5B5FB9"/>
    <w:rsid w:val="5A6945BD"/>
    <w:rsid w:val="5A865DA5"/>
    <w:rsid w:val="5A867B53"/>
    <w:rsid w:val="5A9764BF"/>
    <w:rsid w:val="5AA974E8"/>
    <w:rsid w:val="5AAF7F21"/>
    <w:rsid w:val="5AD0387F"/>
    <w:rsid w:val="5AD74D73"/>
    <w:rsid w:val="5ADF7F91"/>
    <w:rsid w:val="5AE86EFC"/>
    <w:rsid w:val="5AEC3A25"/>
    <w:rsid w:val="5B525C87"/>
    <w:rsid w:val="5B551AD3"/>
    <w:rsid w:val="5B664914"/>
    <w:rsid w:val="5B6B0AF7"/>
    <w:rsid w:val="5B774546"/>
    <w:rsid w:val="5B8340E7"/>
    <w:rsid w:val="5B8D0599"/>
    <w:rsid w:val="5B937814"/>
    <w:rsid w:val="5BA627EA"/>
    <w:rsid w:val="5BAA125C"/>
    <w:rsid w:val="5BF716DD"/>
    <w:rsid w:val="5BFC3849"/>
    <w:rsid w:val="5C11169E"/>
    <w:rsid w:val="5C254E10"/>
    <w:rsid w:val="5C344533"/>
    <w:rsid w:val="5C4A1EED"/>
    <w:rsid w:val="5C6E79F1"/>
    <w:rsid w:val="5C8657B1"/>
    <w:rsid w:val="5C8F2290"/>
    <w:rsid w:val="5C9C6E34"/>
    <w:rsid w:val="5CA73484"/>
    <w:rsid w:val="5CAD396D"/>
    <w:rsid w:val="5CB66DDB"/>
    <w:rsid w:val="5CD544A4"/>
    <w:rsid w:val="5CE5499C"/>
    <w:rsid w:val="5D27DE24"/>
    <w:rsid w:val="5D2F6417"/>
    <w:rsid w:val="5D77243C"/>
    <w:rsid w:val="5D97552A"/>
    <w:rsid w:val="5DC35510"/>
    <w:rsid w:val="5DD0445A"/>
    <w:rsid w:val="5DD0460F"/>
    <w:rsid w:val="5DD60CDA"/>
    <w:rsid w:val="5DE3706A"/>
    <w:rsid w:val="5E2F13E4"/>
    <w:rsid w:val="5E2F22B0"/>
    <w:rsid w:val="5E4C2B8A"/>
    <w:rsid w:val="5E973DA4"/>
    <w:rsid w:val="5EB6477F"/>
    <w:rsid w:val="5EBD4616"/>
    <w:rsid w:val="5EC546B7"/>
    <w:rsid w:val="5EC97DD7"/>
    <w:rsid w:val="5ED66209"/>
    <w:rsid w:val="5EE01513"/>
    <w:rsid w:val="5F3D4341"/>
    <w:rsid w:val="5F515511"/>
    <w:rsid w:val="5F742670"/>
    <w:rsid w:val="5F921A64"/>
    <w:rsid w:val="5FA9036D"/>
    <w:rsid w:val="5FB20CF3"/>
    <w:rsid w:val="5FB409DE"/>
    <w:rsid w:val="5FC726A6"/>
    <w:rsid w:val="5FDB09F9"/>
    <w:rsid w:val="5FE20A6A"/>
    <w:rsid w:val="5FE80DF1"/>
    <w:rsid w:val="5FED079B"/>
    <w:rsid w:val="5FEF3909"/>
    <w:rsid w:val="6014175D"/>
    <w:rsid w:val="60394F33"/>
    <w:rsid w:val="607A028C"/>
    <w:rsid w:val="607A6520"/>
    <w:rsid w:val="60932FCA"/>
    <w:rsid w:val="60A614B8"/>
    <w:rsid w:val="60B62419"/>
    <w:rsid w:val="60C969EB"/>
    <w:rsid w:val="60F65306"/>
    <w:rsid w:val="61204131"/>
    <w:rsid w:val="61312A28"/>
    <w:rsid w:val="61904268"/>
    <w:rsid w:val="61922827"/>
    <w:rsid w:val="61985AAE"/>
    <w:rsid w:val="619B21A0"/>
    <w:rsid w:val="61A24375"/>
    <w:rsid w:val="61C95215"/>
    <w:rsid w:val="61CF4043"/>
    <w:rsid w:val="61E3588B"/>
    <w:rsid w:val="62011A3F"/>
    <w:rsid w:val="620863D2"/>
    <w:rsid w:val="620F1CE8"/>
    <w:rsid w:val="62197E84"/>
    <w:rsid w:val="621D4F36"/>
    <w:rsid w:val="624125B1"/>
    <w:rsid w:val="626058BD"/>
    <w:rsid w:val="627C0D3E"/>
    <w:rsid w:val="629B7F14"/>
    <w:rsid w:val="62CD3833"/>
    <w:rsid w:val="62D70238"/>
    <w:rsid w:val="62DC368C"/>
    <w:rsid w:val="630014F2"/>
    <w:rsid w:val="630261E5"/>
    <w:rsid w:val="630737FB"/>
    <w:rsid w:val="630A1AD1"/>
    <w:rsid w:val="631B1054"/>
    <w:rsid w:val="63343EC4"/>
    <w:rsid w:val="634520EC"/>
    <w:rsid w:val="634D7E8E"/>
    <w:rsid w:val="634E5810"/>
    <w:rsid w:val="636310DD"/>
    <w:rsid w:val="636B656F"/>
    <w:rsid w:val="638E6600"/>
    <w:rsid w:val="63A81226"/>
    <w:rsid w:val="63A92582"/>
    <w:rsid w:val="63BA43DB"/>
    <w:rsid w:val="63E17AA6"/>
    <w:rsid w:val="6425747F"/>
    <w:rsid w:val="64722EF6"/>
    <w:rsid w:val="647A412F"/>
    <w:rsid w:val="64802062"/>
    <w:rsid w:val="64A2188E"/>
    <w:rsid w:val="64B33C3A"/>
    <w:rsid w:val="64CA4AE0"/>
    <w:rsid w:val="64CE2822"/>
    <w:rsid w:val="64D0100A"/>
    <w:rsid w:val="64DE571C"/>
    <w:rsid w:val="650A079C"/>
    <w:rsid w:val="6522491C"/>
    <w:rsid w:val="65240694"/>
    <w:rsid w:val="653F126A"/>
    <w:rsid w:val="65574587"/>
    <w:rsid w:val="657D1B52"/>
    <w:rsid w:val="65B955CF"/>
    <w:rsid w:val="65CC4888"/>
    <w:rsid w:val="65D8322D"/>
    <w:rsid w:val="65E5355A"/>
    <w:rsid w:val="65E63B9C"/>
    <w:rsid w:val="65FC32DF"/>
    <w:rsid w:val="662311E1"/>
    <w:rsid w:val="664525EB"/>
    <w:rsid w:val="664B0949"/>
    <w:rsid w:val="666F6F8E"/>
    <w:rsid w:val="66DF4845"/>
    <w:rsid w:val="66EA694C"/>
    <w:rsid w:val="66FD5C33"/>
    <w:rsid w:val="67024A05"/>
    <w:rsid w:val="670D6BD6"/>
    <w:rsid w:val="6713A500"/>
    <w:rsid w:val="673C65F0"/>
    <w:rsid w:val="674A3D4F"/>
    <w:rsid w:val="675B2367"/>
    <w:rsid w:val="675B26BF"/>
    <w:rsid w:val="679006E0"/>
    <w:rsid w:val="68221715"/>
    <w:rsid w:val="68406D67"/>
    <w:rsid w:val="6864772D"/>
    <w:rsid w:val="68657156"/>
    <w:rsid w:val="686B2D87"/>
    <w:rsid w:val="686F253D"/>
    <w:rsid w:val="68BC6A3B"/>
    <w:rsid w:val="68D0643D"/>
    <w:rsid w:val="68DA75FD"/>
    <w:rsid w:val="68EF720B"/>
    <w:rsid w:val="69216C99"/>
    <w:rsid w:val="69290CE5"/>
    <w:rsid w:val="69461A26"/>
    <w:rsid w:val="6948576C"/>
    <w:rsid w:val="69603C65"/>
    <w:rsid w:val="69EA4DEB"/>
    <w:rsid w:val="69FD748B"/>
    <w:rsid w:val="6A121AD7"/>
    <w:rsid w:val="6A242EE4"/>
    <w:rsid w:val="6A3C248C"/>
    <w:rsid w:val="6A6D488B"/>
    <w:rsid w:val="6ABA024E"/>
    <w:rsid w:val="6AD23B35"/>
    <w:rsid w:val="6AD959DC"/>
    <w:rsid w:val="6ADE12E5"/>
    <w:rsid w:val="6AF9611F"/>
    <w:rsid w:val="6B4D0219"/>
    <w:rsid w:val="6B607F4C"/>
    <w:rsid w:val="6B621F16"/>
    <w:rsid w:val="6B766A7B"/>
    <w:rsid w:val="6B7C613C"/>
    <w:rsid w:val="6B9C7DA4"/>
    <w:rsid w:val="6BB56F1C"/>
    <w:rsid w:val="6BC71D79"/>
    <w:rsid w:val="6BE413B1"/>
    <w:rsid w:val="6C2E1DF8"/>
    <w:rsid w:val="6C3226C6"/>
    <w:rsid w:val="6C346F29"/>
    <w:rsid w:val="6C545FF5"/>
    <w:rsid w:val="6C591BE2"/>
    <w:rsid w:val="6C97063E"/>
    <w:rsid w:val="6CE30E35"/>
    <w:rsid w:val="6D2E60F1"/>
    <w:rsid w:val="6D554232"/>
    <w:rsid w:val="6D617A03"/>
    <w:rsid w:val="6D7E290C"/>
    <w:rsid w:val="6DD32C57"/>
    <w:rsid w:val="6DDF5733"/>
    <w:rsid w:val="6DF332FA"/>
    <w:rsid w:val="6DF41AF1"/>
    <w:rsid w:val="6DF835FD"/>
    <w:rsid w:val="6E0A4A26"/>
    <w:rsid w:val="6E55366C"/>
    <w:rsid w:val="6E5A4385"/>
    <w:rsid w:val="6E5E1B6C"/>
    <w:rsid w:val="6E69536A"/>
    <w:rsid w:val="6E8977BA"/>
    <w:rsid w:val="6EDF5911"/>
    <w:rsid w:val="6EEF71D1"/>
    <w:rsid w:val="6EF04F82"/>
    <w:rsid w:val="6F001462"/>
    <w:rsid w:val="6F021A16"/>
    <w:rsid w:val="6F1D40CE"/>
    <w:rsid w:val="6F4230D3"/>
    <w:rsid w:val="6F5F2079"/>
    <w:rsid w:val="6FC14DE0"/>
    <w:rsid w:val="6FC50CC6"/>
    <w:rsid w:val="6FDC440C"/>
    <w:rsid w:val="6FFF79E3"/>
    <w:rsid w:val="700F3CEF"/>
    <w:rsid w:val="70433998"/>
    <w:rsid w:val="7051517A"/>
    <w:rsid w:val="705A140E"/>
    <w:rsid w:val="705E28A5"/>
    <w:rsid w:val="70A647A4"/>
    <w:rsid w:val="70CA3C94"/>
    <w:rsid w:val="70D77780"/>
    <w:rsid w:val="70D85BD1"/>
    <w:rsid w:val="71105F71"/>
    <w:rsid w:val="7113780F"/>
    <w:rsid w:val="711E068D"/>
    <w:rsid w:val="715B338A"/>
    <w:rsid w:val="71695F18"/>
    <w:rsid w:val="716A7ADC"/>
    <w:rsid w:val="71C938C1"/>
    <w:rsid w:val="71DE2E53"/>
    <w:rsid w:val="72192C03"/>
    <w:rsid w:val="721F39FF"/>
    <w:rsid w:val="723F61FD"/>
    <w:rsid w:val="72473C14"/>
    <w:rsid w:val="726E28BB"/>
    <w:rsid w:val="729E121E"/>
    <w:rsid w:val="72A46970"/>
    <w:rsid w:val="72BF05BB"/>
    <w:rsid w:val="72D03C09"/>
    <w:rsid w:val="72DF3FAB"/>
    <w:rsid w:val="72E23A7A"/>
    <w:rsid w:val="72F43335"/>
    <w:rsid w:val="72F6179B"/>
    <w:rsid w:val="733252F0"/>
    <w:rsid w:val="73526B44"/>
    <w:rsid w:val="735B2E64"/>
    <w:rsid w:val="73623E7B"/>
    <w:rsid w:val="73682094"/>
    <w:rsid w:val="738003CA"/>
    <w:rsid w:val="73917324"/>
    <w:rsid w:val="73A22B10"/>
    <w:rsid w:val="73A56005"/>
    <w:rsid w:val="73B76B77"/>
    <w:rsid w:val="73C56EED"/>
    <w:rsid w:val="73C67FC2"/>
    <w:rsid w:val="73CD3064"/>
    <w:rsid w:val="73E3796C"/>
    <w:rsid w:val="740704ED"/>
    <w:rsid w:val="7417655A"/>
    <w:rsid w:val="74180D50"/>
    <w:rsid w:val="741E3A74"/>
    <w:rsid w:val="746C188E"/>
    <w:rsid w:val="747800B5"/>
    <w:rsid w:val="74CC56DC"/>
    <w:rsid w:val="750008C6"/>
    <w:rsid w:val="75371F54"/>
    <w:rsid w:val="756A66A6"/>
    <w:rsid w:val="75735568"/>
    <w:rsid w:val="758D4AB4"/>
    <w:rsid w:val="75AB5AC1"/>
    <w:rsid w:val="75D12961"/>
    <w:rsid w:val="76070FF9"/>
    <w:rsid w:val="760D0CD1"/>
    <w:rsid w:val="7626246A"/>
    <w:rsid w:val="765941C5"/>
    <w:rsid w:val="766308F1"/>
    <w:rsid w:val="76772AC5"/>
    <w:rsid w:val="76992564"/>
    <w:rsid w:val="76CFB599"/>
    <w:rsid w:val="76D11CFE"/>
    <w:rsid w:val="76D66663"/>
    <w:rsid w:val="76E27660"/>
    <w:rsid w:val="76F12692"/>
    <w:rsid w:val="772C42EB"/>
    <w:rsid w:val="773B6CD4"/>
    <w:rsid w:val="77495E60"/>
    <w:rsid w:val="774B7D02"/>
    <w:rsid w:val="776E6423"/>
    <w:rsid w:val="777C6D83"/>
    <w:rsid w:val="777F79AC"/>
    <w:rsid w:val="77BB2108"/>
    <w:rsid w:val="77E30949"/>
    <w:rsid w:val="77F16A53"/>
    <w:rsid w:val="783525A0"/>
    <w:rsid w:val="784C76C2"/>
    <w:rsid w:val="786646C8"/>
    <w:rsid w:val="786F12BD"/>
    <w:rsid w:val="786F1AA9"/>
    <w:rsid w:val="7872551D"/>
    <w:rsid w:val="78964FAD"/>
    <w:rsid w:val="789A7122"/>
    <w:rsid w:val="789C633C"/>
    <w:rsid w:val="78A4106E"/>
    <w:rsid w:val="78B86EE8"/>
    <w:rsid w:val="78DD139E"/>
    <w:rsid w:val="790E7239"/>
    <w:rsid w:val="7920071D"/>
    <w:rsid w:val="7941548E"/>
    <w:rsid w:val="79495FC6"/>
    <w:rsid w:val="795A5511"/>
    <w:rsid w:val="797F1EE5"/>
    <w:rsid w:val="79986B03"/>
    <w:rsid w:val="79A951B4"/>
    <w:rsid w:val="79AD14ED"/>
    <w:rsid w:val="79B50936"/>
    <w:rsid w:val="79B56BC5"/>
    <w:rsid w:val="79C1605A"/>
    <w:rsid w:val="79C52BC7"/>
    <w:rsid w:val="79C747F6"/>
    <w:rsid w:val="79C773E8"/>
    <w:rsid w:val="79E16822"/>
    <w:rsid w:val="7A2861E8"/>
    <w:rsid w:val="7A36659D"/>
    <w:rsid w:val="7A3C3932"/>
    <w:rsid w:val="7A3D7DFA"/>
    <w:rsid w:val="7A4D5B40"/>
    <w:rsid w:val="7A5F4042"/>
    <w:rsid w:val="7A6027C1"/>
    <w:rsid w:val="7A644718"/>
    <w:rsid w:val="7A854A12"/>
    <w:rsid w:val="7A862E00"/>
    <w:rsid w:val="7A925C48"/>
    <w:rsid w:val="7AF16E13"/>
    <w:rsid w:val="7B1B79EC"/>
    <w:rsid w:val="7B237820"/>
    <w:rsid w:val="7B4E1B6F"/>
    <w:rsid w:val="7B503E5C"/>
    <w:rsid w:val="7B547269"/>
    <w:rsid w:val="7B96492E"/>
    <w:rsid w:val="7B974622"/>
    <w:rsid w:val="7BB86849"/>
    <w:rsid w:val="7BC57958"/>
    <w:rsid w:val="7BE61DA8"/>
    <w:rsid w:val="7C123F6D"/>
    <w:rsid w:val="7C2D79D7"/>
    <w:rsid w:val="7C3C1587"/>
    <w:rsid w:val="7C416BFD"/>
    <w:rsid w:val="7C6B3F7A"/>
    <w:rsid w:val="7C6B6C23"/>
    <w:rsid w:val="7CA52AE4"/>
    <w:rsid w:val="7CEC5AE4"/>
    <w:rsid w:val="7CEE7F2E"/>
    <w:rsid w:val="7D1D3EEF"/>
    <w:rsid w:val="7D2708CA"/>
    <w:rsid w:val="7D3028BF"/>
    <w:rsid w:val="7D33726F"/>
    <w:rsid w:val="7D4E72F0"/>
    <w:rsid w:val="7D6132A1"/>
    <w:rsid w:val="7D697023"/>
    <w:rsid w:val="7D793737"/>
    <w:rsid w:val="7D860B69"/>
    <w:rsid w:val="7D8C7689"/>
    <w:rsid w:val="7DB74B9B"/>
    <w:rsid w:val="7DD15417"/>
    <w:rsid w:val="7DE538EB"/>
    <w:rsid w:val="7DED1691"/>
    <w:rsid w:val="7DEF6E2C"/>
    <w:rsid w:val="7DFF4DF6"/>
    <w:rsid w:val="7E0806FB"/>
    <w:rsid w:val="7E3065BD"/>
    <w:rsid w:val="7E662EAD"/>
    <w:rsid w:val="7E9219F9"/>
    <w:rsid w:val="7E944A72"/>
    <w:rsid w:val="7EC14C30"/>
    <w:rsid w:val="7EF87B3E"/>
    <w:rsid w:val="7EFF7783"/>
    <w:rsid w:val="7F026CA8"/>
    <w:rsid w:val="7F3472CE"/>
    <w:rsid w:val="7F474277"/>
    <w:rsid w:val="7F52348C"/>
    <w:rsid w:val="7F645E05"/>
    <w:rsid w:val="7F7F91F6"/>
    <w:rsid w:val="7F8527B8"/>
    <w:rsid w:val="7F924DA0"/>
    <w:rsid w:val="7FC14743"/>
    <w:rsid w:val="7FF66C44"/>
    <w:rsid w:val="8FD9FB15"/>
    <w:rsid w:val="97AF8CE7"/>
    <w:rsid w:val="9CAFEA59"/>
    <w:rsid w:val="A7DFE00A"/>
    <w:rsid w:val="B1FF8E29"/>
    <w:rsid w:val="BBF73019"/>
    <w:rsid w:val="BDBB9EE3"/>
    <w:rsid w:val="BFF2FEFF"/>
    <w:rsid w:val="BFFB923A"/>
    <w:rsid w:val="CF7561D5"/>
    <w:rsid w:val="CF7F2E6D"/>
    <w:rsid w:val="CFDF32F0"/>
    <w:rsid w:val="DA6F5E51"/>
    <w:rsid w:val="DBFE8547"/>
    <w:rsid w:val="DDEFD521"/>
    <w:rsid w:val="DE7E477E"/>
    <w:rsid w:val="DFFFD24C"/>
    <w:rsid w:val="E99DE46F"/>
    <w:rsid w:val="EEFE05C2"/>
    <w:rsid w:val="F27F3707"/>
    <w:rsid w:val="F51BD544"/>
    <w:rsid w:val="FB494DEB"/>
    <w:rsid w:val="FDFD2186"/>
    <w:rsid w:val="FF7BAB1E"/>
    <w:rsid w:val="FFFE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2"/>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113"/>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0"/>
    <w:qFormat/>
    <w:uiPriority w:val="0"/>
    <w:pPr>
      <w:keepNext/>
      <w:keepLines/>
      <w:spacing w:before="260" w:after="260" w:line="413" w:lineRule="auto"/>
      <w:outlineLvl w:val="2"/>
    </w:pPr>
    <w:rPr>
      <w:b/>
      <w:bCs/>
      <w:sz w:val="32"/>
      <w:szCs w:val="32"/>
    </w:rPr>
  </w:style>
  <w:style w:type="paragraph" w:styleId="5">
    <w:name w:val="heading 4"/>
    <w:basedOn w:val="1"/>
    <w:next w:val="1"/>
    <w:link w:val="7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12"/>
    <w:qFormat/>
    <w:uiPriority w:val="0"/>
    <w:pPr>
      <w:keepNext/>
      <w:keepLines/>
      <w:spacing w:before="280" w:after="290" w:line="372" w:lineRule="auto"/>
      <w:outlineLvl w:val="4"/>
    </w:pPr>
    <w:rPr>
      <w:b/>
      <w:sz w:val="28"/>
    </w:rPr>
  </w:style>
  <w:style w:type="paragraph" w:styleId="7">
    <w:name w:val="heading 6"/>
    <w:basedOn w:val="1"/>
    <w:next w:val="8"/>
    <w:link w:val="116"/>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8"/>
    <w:link w:val="72"/>
    <w:qFormat/>
    <w:uiPriority w:val="0"/>
    <w:pPr>
      <w:keepNext/>
      <w:keepLines/>
      <w:spacing w:before="240" w:after="64" w:line="317" w:lineRule="auto"/>
      <w:outlineLvl w:val="6"/>
    </w:pPr>
    <w:rPr>
      <w:b/>
      <w:sz w:val="24"/>
    </w:rPr>
  </w:style>
  <w:style w:type="paragraph" w:styleId="10">
    <w:name w:val="heading 8"/>
    <w:basedOn w:val="1"/>
    <w:next w:val="8"/>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8"/>
    <w:link w:val="135"/>
    <w:qFormat/>
    <w:uiPriority w:val="0"/>
    <w:pPr>
      <w:keepNext/>
      <w:keepLines/>
      <w:spacing w:before="240" w:after="64" w:line="317" w:lineRule="auto"/>
      <w:outlineLvl w:val="8"/>
    </w:pPr>
    <w:rPr>
      <w:rFonts w:ascii="Arial" w:hAnsi="Arial" w:eastAsia="黑体"/>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126"/>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129"/>
    <w:qFormat/>
    <w:uiPriority w:val="0"/>
    <w:pPr>
      <w:jc w:val="left"/>
    </w:pPr>
  </w:style>
  <w:style w:type="paragraph" w:styleId="18">
    <w:name w:val="Body Text 3"/>
    <w:basedOn w:val="1"/>
    <w:link w:val="61"/>
    <w:qFormat/>
    <w:uiPriority w:val="0"/>
    <w:pPr>
      <w:spacing w:line="500" w:lineRule="exact"/>
    </w:pPr>
    <w:rPr>
      <w:b/>
      <w:bCs/>
      <w:sz w:val="24"/>
    </w:rPr>
  </w:style>
  <w:style w:type="paragraph" w:styleId="19">
    <w:name w:val="Body Text"/>
    <w:basedOn w:val="1"/>
    <w:next w:val="20"/>
    <w:link w:val="131"/>
    <w:qFormat/>
    <w:uiPriority w:val="99"/>
    <w:pPr>
      <w:spacing w:line="380" w:lineRule="exact"/>
    </w:pPr>
    <w:rPr>
      <w:sz w:val="24"/>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link w:val="62"/>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link w:val="130"/>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66"/>
    <w:qFormat/>
    <w:uiPriority w:val="0"/>
    <w:pPr>
      <w:ind w:left="100" w:leftChars="2500"/>
    </w:pPr>
    <w:rPr>
      <w:rFonts w:ascii="宋体" w:hAnsi="Courier New"/>
      <w:szCs w:val="21"/>
    </w:rPr>
  </w:style>
  <w:style w:type="paragraph" w:styleId="30">
    <w:name w:val="Body Text Indent 2"/>
    <w:basedOn w:val="1"/>
    <w:link w:val="134"/>
    <w:qFormat/>
    <w:uiPriority w:val="0"/>
    <w:pPr>
      <w:ind w:firstLine="630"/>
    </w:pPr>
    <w:rPr>
      <w:sz w:val="32"/>
      <w:szCs w:val="20"/>
    </w:rPr>
  </w:style>
  <w:style w:type="paragraph" w:styleId="31">
    <w:name w:val="Balloon Text"/>
    <w:basedOn w:val="1"/>
    <w:link w:val="93"/>
    <w:qFormat/>
    <w:uiPriority w:val="0"/>
    <w:rPr>
      <w:sz w:val="18"/>
      <w:szCs w:val="18"/>
    </w:rPr>
  </w:style>
  <w:style w:type="paragraph" w:styleId="32">
    <w:name w:val="footer"/>
    <w:basedOn w:val="1"/>
    <w:link w:val="94"/>
    <w:qFormat/>
    <w:uiPriority w:val="99"/>
    <w:pPr>
      <w:tabs>
        <w:tab w:val="center" w:pos="4153"/>
        <w:tab w:val="right" w:pos="8306"/>
      </w:tabs>
      <w:snapToGrid w:val="0"/>
      <w:jc w:val="left"/>
    </w:pPr>
    <w:rPr>
      <w:sz w:val="18"/>
      <w:szCs w:val="18"/>
    </w:rPr>
  </w:style>
  <w:style w:type="paragraph" w:styleId="33">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 w:val="right" w:pos="8610"/>
      </w:tabs>
      <w:spacing w:before="120" w:after="120"/>
      <w:ind w:firstLine="240" w:firstLineChars="100"/>
      <w:jc w:val="left"/>
    </w:pPr>
    <w:rPr>
      <w:rFonts w:ascii="宋体" w:hAnsi="宋体" w:eastAsia="宋体"/>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108"/>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120"/>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1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101"/>
    <w:qFormat/>
    <w:uiPriority w:val="0"/>
    <w:pPr>
      <w:jc w:val="center"/>
    </w:pPr>
    <w:rPr>
      <w:sz w:val="30"/>
    </w:rPr>
  </w:style>
  <w:style w:type="paragraph" w:styleId="49">
    <w:name w:val="annotation subject"/>
    <w:basedOn w:val="17"/>
    <w:next w:val="17"/>
    <w:link w:val="83"/>
    <w:qFormat/>
    <w:uiPriority w:val="0"/>
    <w:rPr>
      <w:b/>
      <w:bCs/>
    </w:rPr>
  </w:style>
  <w:style w:type="paragraph" w:styleId="50">
    <w:name w:val="Body Text First Indent"/>
    <w:basedOn w:val="19"/>
    <w:link w:val="127"/>
    <w:qFormat/>
    <w:uiPriority w:val="0"/>
    <w:pPr>
      <w:spacing w:after="120" w:line="240" w:lineRule="auto"/>
      <w:ind w:firstLine="420" w:firstLineChars="100"/>
    </w:pPr>
    <w:rPr>
      <w:sz w:val="21"/>
    </w:rPr>
  </w:style>
  <w:style w:type="paragraph" w:styleId="51">
    <w:name w:val="Body Text First Indent 2"/>
    <w:basedOn w:val="21"/>
    <w:next w:val="1"/>
    <w:link w:val="78"/>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字符1"/>
    <w:link w:val="4"/>
    <w:qFormat/>
    <w:uiPriority w:val="0"/>
    <w:rPr>
      <w:b/>
      <w:bCs/>
      <w:kern w:val="2"/>
      <w:sz w:val="32"/>
      <w:szCs w:val="32"/>
    </w:rPr>
  </w:style>
  <w:style w:type="character" w:customStyle="1" w:styleId="61">
    <w:name w:val="正文文本 3 字符1"/>
    <w:link w:val="18"/>
    <w:qFormat/>
    <w:uiPriority w:val="0"/>
    <w:rPr>
      <w:b/>
      <w:bCs/>
      <w:kern w:val="2"/>
      <w:sz w:val="24"/>
      <w:szCs w:val="24"/>
    </w:rPr>
  </w:style>
  <w:style w:type="character" w:customStyle="1" w:styleId="62">
    <w:name w:val="正文文本缩进 字符1"/>
    <w:link w:val="21"/>
    <w:qFormat/>
    <w:uiPriority w:val="99"/>
    <w:rPr>
      <w:rFonts w:ascii="仿宋_GB2312" w:eastAsia="仿宋_GB2312"/>
      <w:kern w:val="2"/>
      <w:sz w:val="32"/>
    </w:rPr>
  </w:style>
  <w:style w:type="character" w:customStyle="1" w:styleId="63">
    <w:name w:val="标题 4 字符"/>
    <w:semiHidden/>
    <w:qFormat/>
    <w:uiPriority w:val="9"/>
    <w:rPr>
      <w:rFonts w:ascii="等线 Light" w:hAnsi="等线 Light" w:eastAsia="等线 Light" w:cs="Times New Roman"/>
      <w:b/>
      <w:bCs/>
      <w:kern w:val="2"/>
      <w:sz w:val="28"/>
      <w:szCs w:val="28"/>
    </w:rPr>
  </w:style>
  <w:style w:type="character" w:customStyle="1" w:styleId="64">
    <w:name w:val="HTML 预设格式 字符"/>
    <w:semiHidden/>
    <w:qFormat/>
    <w:uiPriority w:val="99"/>
    <w:rPr>
      <w:rFonts w:ascii="Courier New" w:hAnsi="Courier New" w:cs="Courier New"/>
      <w:kern w:val="2"/>
    </w:rPr>
  </w:style>
  <w:style w:type="character" w:customStyle="1" w:styleId="65">
    <w:name w:val="graytext1"/>
    <w:qFormat/>
    <w:uiPriority w:val="0"/>
    <w:rPr>
      <w:color w:val="666666"/>
    </w:rPr>
  </w:style>
  <w:style w:type="character" w:customStyle="1" w:styleId="66">
    <w:name w:val="日期 字符1"/>
    <w:link w:val="29"/>
    <w:qFormat/>
    <w:uiPriority w:val="0"/>
    <w:rPr>
      <w:rFonts w:ascii="宋体" w:hAnsi="Courier New" w:cs="Courier New"/>
      <w:kern w:val="2"/>
      <w:sz w:val="21"/>
      <w:szCs w:val="21"/>
    </w:rPr>
  </w:style>
  <w:style w:type="character" w:customStyle="1" w:styleId="67">
    <w:name w:val="标题 8 字符1"/>
    <w:link w:val="10"/>
    <w:qFormat/>
    <w:uiPriority w:val="0"/>
    <w:rPr>
      <w:rFonts w:ascii="Arial" w:hAnsi="Arial" w:eastAsia="黑体"/>
      <w:kern w:val="2"/>
      <w:sz w:val="24"/>
      <w:szCs w:val="24"/>
    </w:rPr>
  </w:style>
  <w:style w:type="character" w:customStyle="1" w:styleId="68">
    <w:name w:val="标题 6 字符"/>
    <w:semiHidden/>
    <w:qFormat/>
    <w:uiPriority w:val="9"/>
    <w:rPr>
      <w:rFonts w:ascii="等线 Light" w:hAnsi="等线 Light" w:eastAsia="等线 Light" w:cs="Times New Roman"/>
      <w:b/>
      <w:bCs/>
      <w:kern w:val="2"/>
      <w:sz w:val="24"/>
      <w:szCs w:val="24"/>
    </w:rPr>
  </w:style>
  <w:style w:type="character" w:customStyle="1" w:styleId="69">
    <w:name w:val="white"/>
    <w:basedOn w:val="54"/>
    <w:qFormat/>
    <w:uiPriority w:val="0"/>
  </w:style>
  <w:style w:type="character" w:customStyle="1" w:styleId="70">
    <w:name w:val="text11"/>
    <w:qFormat/>
    <w:uiPriority w:val="0"/>
    <w:rPr>
      <w:rFonts w:hint="default" w:ascii="Verdana" w:hAnsi="Verdana"/>
      <w:color w:val="4E4E4E"/>
      <w:sz w:val="18"/>
      <w:szCs w:val="18"/>
    </w:rPr>
  </w:style>
  <w:style w:type="character" w:customStyle="1" w:styleId="71">
    <w:name w:val="gray12"/>
    <w:basedOn w:val="54"/>
    <w:qFormat/>
    <w:uiPriority w:val="0"/>
  </w:style>
  <w:style w:type="character" w:customStyle="1" w:styleId="72">
    <w:name w:val="标题 7 字符1"/>
    <w:link w:val="9"/>
    <w:qFormat/>
    <w:uiPriority w:val="0"/>
    <w:rPr>
      <w:b/>
      <w:kern w:val="2"/>
      <w:sz w:val="24"/>
      <w:szCs w:val="24"/>
    </w:rPr>
  </w:style>
  <w:style w:type="character" w:customStyle="1" w:styleId="73">
    <w:name w:val="font01"/>
    <w:qFormat/>
    <w:uiPriority w:val="0"/>
    <w:rPr>
      <w:rFonts w:hint="eastAsia" w:ascii="宋体" w:hAnsi="宋体" w:eastAsia="宋体"/>
      <w:color w:val="000000"/>
      <w:sz w:val="22"/>
      <w:szCs w:val="22"/>
      <w:u w:val="none"/>
    </w:rPr>
  </w:style>
  <w:style w:type="character" w:customStyle="1" w:styleId="74">
    <w:name w:val="mark8"/>
    <w:qFormat/>
    <w:uiPriority w:val="0"/>
    <w:rPr>
      <w:b/>
      <w:bCs/>
      <w:sz w:val="21"/>
      <w:szCs w:val="21"/>
    </w:rPr>
  </w:style>
  <w:style w:type="character" w:customStyle="1" w:styleId="75">
    <w:name w:val="纯文本 Char1"/>
    <w:qFormat/>
    <w:uiPriority w:val="0"/>
    <w:rPr>
      <w:rFonts w:ascii="宋体" w:hAnsi="Courier New" w:eastAsia="宋体" w:cs="Courier New"/>
      <w:kern w:val="2"/>
      <w:sz w:val="21"/>
      <w:szCs w:val="21"/>
      <w:lang w:val="en-US" w:eastAsia="zh-CN" w:bidi="ar-SA"/>
    </w:rPr>
  </w:style>
  <w:style w:type="character" w:customStyle="1" w:styleId="76">
    <w:name w:val="标题 4 字符1"/>
    <w:link w:val="5"/>
    <w:qFormat/>
    <w:uiPriority w:val="0"/>
    <w:rPr>
      <w:rFonts w:ascii="Arial" w:hAnsi="Arial" w:eastAsia="黑体"/>
      <w:sz w:val="28"/>
    </w:rPr>
  </w:style>
  <w:style w:type="character" w:customStyle="1" w:styleId="77">
    <w:name w:val="short_text1"/>
    <w:qFormat/>
    <w:uiPriority w:val="0"/>
    <w:rPr>
      <w:sz w:val="26"/>
    </w:rPr>
  </w:style>
  <w:style w:type="character" w:customStyle="1" w:styleId="78">
    <w:name w:val="正文文本首行缩进 2 字符1"/>
    <w:link w:val="51"/>
    <w:qFormat/>
    <w:uiPriority w:val="0"/>
    <w:rPr>
      <w:kern w:val="2"/>
      <w:sz w:val="21"/>
      <w:szCs w:val="24"/>
    </w:rPr>
  </w:style>
  <w:style w:type="character" w:customStyle="1" w:styleId="79">
    <w:name w:val="1ji Char"/>
    <w:link w:val="80"/>
    <w:qFormat/>
    <w:uiPriority w:val="0"/>
    <w:rPr>
      <w:rFonts w:ascii="宋体" w:hAnsi="宋体" w:eastAsia="宋体"/>
      <w:b/>
      <w:bCs/>
      <w:kern w:val="44"/>
      <w:sz w:val="36"/>
      <w:szCs w:val="44"/>
      <w:lang w:val="en-US" w:eastAsia="zh-CN" w:bidi="ar-SA"/>
    </w:rPr>
  </w:style>
  <w:style w:type="paragraph" w:customStyle="1" w:styleId="80">
    <w:name w:val="1ji"/>
    <w:basedOn w:val="2"/>
    <w:link w:val="79"/>
    <w:qFormat/>
    <w:uiPriority w:val="0"/>
    <w:pPr>
      <w:keepLines w:val="0"/>
      <w:widowControl/>
      <w:spacing w:before="0" w:after="0" w:line="240" w:lineRule="auto"/>
      <w:jc w:val="center"/>
    </w:pPr>
    <w:rPr>
      <w:rFonts w:ascii="宋体" w:hAnsi="宋体"/>
      <w:sz w:val="36"/>
    </w:rPr>
  </w:style>
  <w:style w:type="character" w:customStyle="1" w:styleId="81">
    <w:name w:val="标题 7 字符"/>
    <w:semiHidden/>
    <w:qFormat/>
    <w:uiPriority w:val="9"/>
    <w:rPr>
      <w:b/>
      <w:bCs/>
      <w:kern w:val="2"/>
      <w:sz w:val="24"/>
      <w:szCs w:val="24"/>
    </w:rPr>
  </w:style>
  <w:style w:type="character" w:customStyle="1" w:styleId="82">
    <w:name w:val="批注主题 字符"/>
    <w:semiHidden/>
    <w:qFormat/>
    <w:uiPriority w:val="99"/>
    <w:rPr>
      <w:b/>
      <w:bCs/>
      <w:kern w:val="2"/>
      <w:sz w:val="21"/>
      <w:szCs w:val="24"/>
    </w:rPr>
  </w:style>
  <w:style w:type="character" w:customStyle="1" w:styleId="83">
    <w:name w:val="批注主题 字符1"/>
    <w:link w:val="49"/>
    <w:qFormat/>
    <w:uiPriority w:val="0"/>
    <w:rPr>
      <w:b/>
      <w:bCs/>
      <w:kern w:val="2"/>
      <w:sz w:val="21"/>
      <w:szCs w:val="24"/>
    </w:rPr>
  </w:style>
  <w:style w:type="character" w:customStyle="1" w:styleId="84">
    <w:name w:val="正文文本首行缩进 字符"/>
    <w:semiHidden/>
    <w:qFormat/>
    <w:uiPriority w:val="99"/>
  </w:style>
  <w:style w:type="character" w:customStyle="1" w:styleId="85">
    <w:name w:val="f151"/>
    <w:qFormat/>
    <w:uiPriority w:val="0"/>
    <w:rPr>
      <w:sz w:val="23"/>
      <w:szCs w:val="23"/>
    </w:rPr>
  </w:style>
  <w:style w:type="character" w:customStyle="1" w:styleId="86">
    <w:name w:val="标题 5 字符"/>
    <w:semiHidden/>
    <w:qFormat/>
    <w:uiPriority w:val="9"/>
    <w:rPr>
      <w:b/>
      <w:bCs/>
      <w:kern w:val="2"/>
      <w:sz w:val="28"/>
      <w:szCs w:val="28"/>
    </w:rPr>
  </w:style>
  <w:style w:type="character" w:customStyle="1" w:styleId="87">
    <w:name w:val="content2"/>
    <w:basedOn w:val="54"/>
    <w:qFormat/>
    <w:uiPriority w:val="0"/>
  </w:style>
  <w:style w:type="character" w:customStyle="1" w:styleId="88">
    <w:name w:val="062"/>
    <w:qFormat/>
    <w:uiPriority w:val="0"/>
    <w:rPr>
      <w:rFonts w:ascii="宋体" w:hAnsi="宋体"/>
      <w:b/>
      <w:bCs/>
      <w:sz w:val="32"/>
    </w:rPr>
  </w:style>
  <w:style w:type="character" w:customStyle="1" w:styleId="89">
    <w:name w:val="正文文本缩进 字符"/>
    <w:semiHidden/>
    <w:qFormat/>
    <w:uiPriority w:val="99"/>
    <w:rPr>
      <w:kern w:val="2"/>
      <w:sz w:val="21"/>
      <w:szCs w:val="24"/>
    </w:rPr>
  </w:style>
  <w:style w:type="character" w:customStyle="1" w:styleId="90">
    <w:name w:val="small"/>
    <w:basedOn w:val="54"/>
    <w:qFormat/>
    <w:uiPriority w:val="0"/>
  </w:style>
  <w:style w:type="character" w:customStyle="1" w:styleId="91">
    <w:name w:val="页眉 字符"/>
    <w:semiHidden/>
    <w:qFormat/>
    <w:uiPriority w:val="99"/>
    <w:rPr>
      <w:kern w:val="2"/>
      <w:sz w:val="18"/>
      <w:szCs w:val="18"/>
    </w:rPr>
  </w:style>
  <w:style w:type="character" w:customStyle="1" w:styleId="92">
    <w:name w:val="标题 字符"/>
    <w:qFormat/>
    <w:uiPriority w:val="10"/>
    <w:rPr>
      <w:rFonts w:ascii="等线 Light" w:hAnsi="等线 Light" w:eastAsia="等线 Light" w:cs="Times New Roman"/>
      <w:b/>
      <w:bCs/>
      <w:kern w:val="2"/>
      <w:sz w:val="32"/>
      <w:szCs w:val="32"/>
    </w:rPr>
  </w:style>
  <w:style w:type="character" w:customStyle="1" w:styleId="93">
    <w:name w:val="批注框文本 字符1"/>
    <w:link w:val="31"/>
    <w:qFormat/>
    <w:uiPriority w:val="0"/>
    <w:rPr>
      <w:kern w:val="2"/>
      <w:sz w:val="18"/>
      <w:szCs w:val="18"/>
    </w:rPr>
  </w:style>
  <w:style w:type="character" w:customStyle="1" w:styleId="94">
    <w:name w:val="页脚 字符1"/>
    <w:link w:val="32"/>
    <w:qFormat/>
    <w:uiPriority w:val="0"/>
    <w:rPr>
      <w:kern w:val="2"/>
      <w:sz w:val="18"/>
      <w:szCs w:val="18"/>
    </w:rPr>
  </w:style>
  <w:style w:type="character" w:customStyle="1" w:styleId="95">
    <w:name w:val="批注文字 字符"/>
    <w:qFormat/>
    <w:uiPriority w:val="0"/>
    <w:rPr>
      <w:kern w:val="2"/>
      <w:sz w:val="21"/>
      <w:szCs w:val="24"/>
    </w:rPr>
  </w:style>
  <w:style w:type="character" w:customStyle="1" w:styleId="96">
    <w:name w:val="标题 2 字符"/>
    <w:semiHidden/>
    <w:qFormat/>
    <w:uiPriority w:val="9"/>
    <w:rPr>
      <w:rFonts w:ascii="等线 Light" w:hAnsi="等线 Light" w:eastAsia="等线 Light" w:cs="Times New Roman"/>
      <w:b/>
      <w:bCs/>
      <w:kern w:val="2"/>
      <w:sz w:val="32"/>
      <w:szCs w:val="32"/>
    </w:rPr>
  </w:style>
  <w:style w:type="character" w:customStyle="1" w:styleId="97">
    <w:name w:val="文档结构图 字符"/>
    <w:semiHidden/>
    <w:qFormat/>
    <w:uiPriority w:val="99"/>
    <w:rPr>
      <w:rFonts w:ascii="Microsoft YaHei UI" w:eastAsia="Microsoft YaHei UI"/>
      <w:kern w:val="2"/>
      <w:sz w:val="18"/>
      <w:szCs w:val="18"/>
    </w:rPr>
  </w:style>
  <w:style w:type="character" w:customStyle="1" w:styleId="98">
    <w:name w:val="z-窗体顶端 字符1"/>
    <w:link w:val="99"/>
    <w:qFormat/>
    <w:uiPriority w:val="0"/>
    <w:rPr>
      <w:rFonts w:ascii="Arial"/>
      <w:vanish/>
      <w:kern w:val="2"/>
      <w:sz w:val="16"/>
      <w:szCs w:val="24"/>
    </w:rPr>
  </w:style>
  <w:style w:type="paragraph" w:customStyle="1" w:styleId="99">
    <w:name w:val="z-窗体顶端1"/>
    <w:basedOn w:val="1"/>
    <w:next w:val="1"/>
    <w:link w:val="98"/>
    <w:qFormat/>
    <w:uiPriority w:val="0"/>
    <w:pPr>
      <w:pBdr>
        <w:bottom w:val="single" w:color="auto" w:sz="6" w:space="1"/>
      </w:pBdr>
      <w:jc w:val="center"/>
    </w:pPr>
    <w:rPr>
      <w:rFonts w:ascii="Arial"/>
      <w:vanish/>
      <w:sz w:val="16"/>
    </w:rPr>
  </w:style>
  <w:style w:type="character" w:customStyle="1" w:styleId="100">
    <w:name w:val="highlight"/>
    <w:qFormat/>
    <w:uiPriority w:val="0"/>
  </w:style>
  <w:style w:type="character" w:customStyle="1" w:styleId="101">
    <w:name w:val="标题 字符1"/>
    <w:link w:val="48"/>
    <w:qFormat/>
    <w:uiPriority w:val="0"/>
    <w:rPr>
      <w:kern w:val="2"/>
      <w:sz w:val="30"/>
      <w:szCs w:val="24"/>
    </w:rPr>
  </w:style>
  <w:style w:type="character" w:customStyle="1" w:styleId="102">
    <w:name w:val="标题 1 字符1"/>
    <w:link w:val="2"/>
    <w:qFormat/>
    <w:uiPriority w:val="9"/>
    <w:rPr>
      <w:rFonts w:eastAsia="宋体"/>
      <w:b/>
      <w:bCs/>
      <w:kern w:val="44"/>
      <w:sz w:val="44"/>
      <w:szCs w:val="44"/>
      <w:lang w:val="en-US" w:eastAsia="zh-CN" w:bidi="ar-SA"/>
    </w:rPr>
  </w:style>
  <w:style w:type="character" w:customStyle="1" w:styleId="103">
    <w:name w:val="1051"/>
    <w:qFormat/>
    <w:uiPriority w:val="0"/>
    <w:rPr>
      <w:sz w:val="21"/>
      <w:szCs w:val="21"/>
    </w:rPr>
  </w:style>
  <w:style w:type="character" w:customStyle="1" w:styleId="104">
    <w:name w:val="HTML 预设格式 字符1"/>
    <w:link w:val="45"/>
    <w:qFormat/>
    <w:uiPriority w:val="0"/>
    <w:rPr>
      <w:rFonts w:ascii="黑体" w:hAnsi="Courier New" w:eastAsia="黑体" w:cs="Courier New"/>
    </w:rPr>
  </w:style>
  <w:style w:type="character" w:customStyle="1" w:styleId="105">
    <w:name w:val="批注框文本 字符"/>
    <w:semiHidden/>
    <w:qFormat/>
    <w:uiPriority w:val="99"/>
    <w:rPr>
      <w:kern w:val="2"/>
      <w:sz w:val="18"/>
      <w:szCs w:val="18"/>
    </w:rPr>
  </w:style>
  <w:style w:type="character" w:customStyle="1" w:styleId="106">
    <w:name w:val="style21"/>
    <w:qFormat/>
    <w:uiPriority w:val="0"/>
    <w:rPr>
      <w:sz w:val="17"/>
      <w:szCs w:val="17"/>
    </w:rPr>
  </w:style>
  <w:style w:type="character" w:customStyle="1" w:styleId="107">
    <w:name w:val="正文文本 3 字符"/>
    <w:semiHidden/>
    <w:qFormat/>
    <w:uiPriority w:val="99"/>
    <w:rPr>
      <w:kern w:val="2"/>
      <w:sz w:val="16"/>
      <w:szCs w:val="16"/>
    </w:rPr>
  </w:style>
  <w:style w:type="character" w:customStyle="1" w:styleId="108">
    <w:name w:val="正文文本缩进 3 字符1"/>
    <w:link w:val="39"/>
    <w:qFormat/>
    <w:uiPriority w:val="0"/>
    <w:rPr>
      <w:kern w:val="2"/>
      <w:sz w:val="16"/>
      <w:szCs w:val="16"/>
    </w:rPr>
  </w:style>
  <w:style w:type="character" w:customStyle="1" w:styleId="109">
    <w:name w:val="unnamed3"/>
    <w:basedOn w:val="54"/>
    <w:qFormat/>
    <w:uiPriority w:val="0"/>
  </w:style>
  <w:style w:type="character" w:customStyle="1" w:styleId="110">
    <w:name w:val="fd"/>
    <w:qFormat/>
    <w:uiPriority w:val="0"/>
  </w:style>
  <w:style w:type="character" w:customStyle="1" w:styleId="111">
    <w:name w:val="标题 9 字符"/>
    <w:semiHidden/>
    <w:qFormat/>
    <w:uiPriority w:val="9"/>
    <w:rPr>
      <w:rFonts w:ascii="等线 Light" w:hAnsi="等线 Light" w:eastAsia="等线 Light" w:cs="Times New Roman"/>
      <w:kern w:val="2"/>
      <w:sz w:val="21"/>
      <w:szCs w:val="21"/>
    </w:rPr>
  </w:style>
  <w:style w:type="character" w:customStyle="1" w:styleId="112">
    <w:name w:val="标题 5 字符1"/>
    <w:link w:val="6"/>
    <w:qFormat/>
    <w:uiPriority w:val="0"/>
    <w:rPr>
      <w:b/>
      <w:kern w:val="2"/>
      <w:sz w:val="28"/>
      <w:szCs w:val="24"/>
    </w:rPr>
  </w:style>
  <w:style w:type="character" w:customStyle="1" w:styleId="113">
    <w:name w:val="标题 2 字符1"/>
    <w:link w:val="3"/>
    <w:qFormat/>
    <w:uiPriority w:val="0"/>
    <w:rPr>
      <w:rFonts w:ascii="Arial" w:hAnsi="Arial" w:eastAsia="黑体"/>
      <w:b/>
      <w:bCs/>
      <w:kern w:val="2"/>
      <w:sz w:val="32"/>
      <w:szCs w:val="32"/>
    </w:rPr>
  </w:style>
  <w:style w:type="character" w:customStyle="1" w:styleId="114">
    <w:name w:val="正文文本缩进 2 字符"/>
    <w:semiHidden/>
    <w:qFormat/>
    <w:uiPriority w:val="99"/>
    <w:rPr>
      <w:kern w:val="2"/>
      <w:sz w:val="21"/>
      <w:szCs w:val="24"/>
    </w:rPr>
  </w:style>
  <w:style w:type="character" w:customStyle="1" w:styleId="115">
    <w:name w:val="z-窗体顶端 字符"/>
    <w:semiHidden/>
    <w:qFormat/>
    <w:uiPriority w:val="99"/>
    <w:rPr>
      <w:rFonts w:ascii="Arial" w:hAnsi="Arial" w:cs="Arial"/>
      <w:vanish/>
      <w:kern w:val="2"/>
      <w:sz w:val="16"/>
      <w:szCs w:val="16"/>
    </w:rPr>
  </w:style>
  <w:style w:type="character" w:customStyle="1" w:styleId="116">
    <w:name w:val="标题 6 字符1"/>
    <w:link w:val="7"/>
    <w:qFormat/>
    <w:uiPriority w:val="0"/>
    <w:rPr>
      <w:rFonts w:ascii="Arial" w:hAnsi="Arial" w:eastAsia="黑体"/>
      <w:b/>
      <w:kern w:val="2"/>
      <w:sz w:val="24"/>
      <w:szCs w:val="24"/>
    </w:rPr>
  </w:style>
  <w:style w:type="character" w:customStyle="1" w:styleId="117">
    <w:name w:val="case31"/>
    <w:qFormat/>
    <w:uiPriority w:val="0"/>
    <w:rPr>
      <w:rFonts w:hint="default"/>
      <w:sz w:val="21"/>
      <w:szCs w:val="21"/>
    </w:rPr>
  </w:style>
  <w:style w:type="character" w:customStyle="1" w:styleId="118">
    <w:name w:val="标题3 Char"/>
    <w:link w:val="119"/>
    <w:qFormat/>
    <w:uiPriority w:val="0"/>
    <w:rPr>
      <w:rFonts w:ascii="宋体" w:hAnsi="宋体"/>
      <w:b/>
      <w:bCs/>
      <w:kern w:val="44"/>
      <w:sz w:val="24"/>
      <w:szCs w:val="24"/>
    </w:rPr>
  </w:style>
  <w:style w:type="paragraph" w:customStyle="1" w:styleId="119">
    <w:name w:val="标题3"/>
    <w:basedOn w:val="2"/>
    <w:link w:val="118"/>
    <w:qFormat/>
    <w:uiPriority w:val="0"/>
    <w:pPr>
      <w:spacing w:before="0" w:beforeLines="50" w:after="0" w:afterLines="50" w:line="400" w:lineRule="exact"/>
    </w:pPr>
    <w:rPr>
      <w:rFonts w:ascii="宋体" w:hAnsi="宋体"/>
      <w:sz w:val="24"/>
      <w:szCs w:val="24"/>
    </w:rPr>
  </w:style>
  <w:style w:type="character" w:customStyle="1" w:styleId="120">
    <w:name w:val="正文文本 2 字符1"/>
    <w:link w:val="42"/>
    <w:qFormat/>
    <w:uiPriority w:val="0"/>
    <w:rPr>
      <w:kern w:val="2"/>
      <w:sz w:val="21"/>
      <w:szCs w:val="24"/>
    </w:rPr>
  </w:style>
  <w:style w:type="character" w:customStyle="1" w:styleId="121">
    <w:name w:val="标题 3 字符"/>
    <w:semiHidden/>
    <w:qFormat/>
    <w:uiPriority w:val="9"/>
    <w:rPr>
      <w:b/>
      <w:bCs/>
      <w:kern w:val="2"/>
      <w:sz w:val="32"/>
      <w:szCs w:val="32"/>
    </w:rPr>
  </w:style>
  <w:style w:type="character" w:customStyle="1" w:styleId="122">
    <w:name w:val="正文文本 2 字符"/>
    <w:semiHidden/>
    <w:qFormat/>
    <w:uiPriority w:val="99"/>
    <w:rPr>
      <w:kern w:val="2"/>
      <w:sz w:val="21"/>
      <w:szCs w:val="24"/>
    </w:rPr>
  </w:style>
  <w:style w:type="character" w:customStyle="1" w:styleId="123">
    <w:name w:val="标题 1 字符"/>
    <w:qFormat/>
    <w:uiPriority w:val="9"/>
    <w:rPr>
      <w:b/>
      <w:bCs/>
      <w:kern w:val="44"/>
      <w:sz w:val="44"/>
      <w:szCs w:val="44"/>
    </w:rPr>
  </w:style>
  <w:style w:type="character" w:customStyle="1" w:styleId="124">
    <w:name w:val="页脚 字符"/>
    <w:qFormat/>
    <w:uiPriority w:val="99"/>
    <w:rPr>
      <w:kern w:val="2"/>
      <w:sz w:val="18"/>
      <w:szCs w:val="18"/>
    </w:rPr>
  </w:style>
  <w:style w:type="character" w:customStyle="1" w:styleId="125">
    <w:name w:val="正文文本首行缩进 2 字符"/>
    <w:semiHidden/>
    <w:qFormat/>
    <w:uiPriority w:val="99"/>
  </w:style>
  <w:style w:type="character" w:customStyle="1" w:styleId="126">
    <w:name w:val="文档结构图 字符1"/>
    <w:link w:val="16"/>
    <w:qFormat/>
    <w:uiPriority w:val="0"/>
    <w:rPr>
      <w:sz w:val="21"/>
      <w:shd w:val="clear" w:color="auto" w:fill="000080"/>
    </w:rPr>
  </w:style>
  <w:style w:type="character" w:customStyle="1" w:styleId="127">
    <w:name w:val="正文文本首行缩进 字符1"/>
    <w:link w:val="50"/>
    <w:qFormat/>
    <w:uiPriority w:val="0"/>
    <w:rPr>
      <w:kern w:val="2"/>
      <w:sz w:val="21"/>
      <w:szCs w:val="24"/>
    </w:rPr>
  </w:style>
  <w:style w:type="character" w:customStyle="1" w:styleId="128">
    <w:name w:val="apple-converted-space"/>
    <w:qFormat/>
    <w:uiPriority w:val="0"/>
  </w:style>
  <w:style w:type="character" w:customStyle="1" w:styleId="129">
    <w:name w:val="批注文字 字符1"/>
    <w:link w:val="17"/>
    <w:qFormat/>
    <w:uiPriority w:val="0"/>
    <w:rPr>
      <w:kern w:val="2"/>
      <w:sz w:val="21"/>
      <w:szCs w:val="24"/>
    </w:rPr>
  </w:style>
  <w:style w:type="character" w:customStyle="1" w:styleId="130">
    <w:name w:val="纯文本 字符1"/>
    <w:link w:val="27"/>
    <w:qFormat/>
    <w:uiPriority w:val="0"/>
    <w:rPr>
      <w:rFonts w:ascii="宋体" w:hAnsi="Courier New" w:eastAsia="宋体" w:cs="Courier New"/>
      <w:kern w:val="2"/>
      <w:sz w:val="21"/>
      <w:szCs w:val="21"/>
      <w:lang w:val="en-US" w:eastAsia="zh-CN" w:bidi="ar-SA"/>
    </w:rPr>
  </w:style>
  <w:style w:type="character" w:customStyle="1" w:styleId="131">
    <w:name w:val="正文文本 字符1"/>
    <w:link w:val="19"/>
    <w:qFormat/>
    <w:uiPriority w:val="99"/>
    <w:rPr>
      <w:kern w:val="2"/>
      <w:sz w:val="24"/>
      <w:szCs w:val="24"/>
    </w:rPr>
  </w:style>
  <w:style w:type="character" w:customStyle="1" w:styleId="132">
    <w:name w:val="日期 字符"/>
    <w:semiHidden/>
    <w:qFormat/>
    <w:uiPriority w:val="99"/>
    <w:rPr>
      <w:kern w:val="2"/>
      <w:sz w:val="21"/>
      <w:szCs w:val="24"/>
    </w:rPr>
  </w:style>
  <w:style w:type="character" w:customStyle="1" w:styleId="133">
    <w:name w:val="纯文本 字符"/>
    <w:qFormat/>
    <w:uiPriority w:val="0"/>
    <w:rPr>
      <w:rFonts w:ascii="等线" w:hAnsi="Courier New" w:eastAsia="等线" w:cs="Courier New"/>
      <w:kern w:val="2"/>
      <w:sz w:val="21"/>
      <w:szCs w:val="24"/>
    </w:rPr>
  </w:style>
  <w:style w:type="character" w:customStyle="1" w:styleId="134">
    <w:name w:val="正文文本缩进 2 字符1"/>
    <w:link w:val="30"/>
    <w:qFormat/>
    <w:uiPriority w:val="0"/>
    <w:rPr>
      <w:kern w:val="2"/>
      <w:sz w:val="32"/>
    </w:rPr>
  </w:style>
  <w:style w:type="character" w:customStyle="1" w:styleId="135">
    <w:name w:val="标题 9 字符1"/>
    <w:link w:val="11"/>
    <w:qFormat/>
    <w:uiPriority w:val="0"/>
    <w:rPr>
      <w:rFonts w:ascii="Arial" w:hAnsi="Arial" w:eastAsia="黑体"/>
      <w:kern w:val="2"/>
      <w:sz w:val="21"/>
      <w:szCs w:val="24"/>
    </w:rPr>
  </w:style>
  <w:style w:type="character" w:customStyle="1" w:styleId="136">
    <w:name w:val="style11"/>
    <w:qFormat/>
    <w:uiPriority w:val="0"/>
    <w:rPr>
      <w:rFonts w:hint="default" w:ascii="Arial" w:hAnsi="Arial" w:cs="Arial"/>
    </w:rPr>
  </w:style>
  <w:style w:type="character" w:customStyle="1" w:styleId="137">
    <w:name w:val="页眉 字符1"/>
    <w:link w:val="33"/>
    <w:qFormat/>
    <w:uiPriority w:val="99"/>
    <w:rPr>
      <w:kern w:val="2"/>
      <w:sz w:val="18"/>
      <w:szCs w:val="18"/>
    </w:rPr>
  </w:style>
  <w:style w:type="character" w:customStyle="1" w:styleId="138">
    <w:name w:val="标题 8 字符"/>
    <w:semiHidden/>
    <w:qFormat/>
    <w:uiPriority w:val="9"/>
    <w:rPr>
      <w:rFonts w:ascii="等线 Light" w:hAnsi="等线 Light" w:eastAsia="等线 Light" w:cs="Times New Roman"/>
      <w:kern w:val="2"/>
      <w:sz w:val="24"/>
      <w:szCs w:val="24"/>
    </w:rPr>
  </w:style>
  <w:style w:type="character" w:customStyle="1" w:styleId="139">
    <w:name w:val="正文文本缩进 3 字符"/>
    <w:semiHidden/>
    <w:qFormat/>
    <w:uiPriority w:val="99"/>
    <w:rPr>
      <w:kern w:val="2"/>
      <w:sz w:val="16"/>
      <w:szCs w:val="16"/>
    </w:rPr>
  </w:style>
  <w:style w:type="character" w:customStyle="1" w:styleId="140">
    <w:name w:val="正文文本 字符"/>
    <w:semiHidden/>
    <w:qFormat/>
    <w:uiPriority w:val="99"/>
    <w:rPr>
      <w:kern w:val="2"/>
      <w:sz w:val="21"/>
      <w:szCs w:val="24"/>
    </w:rPr>
  </w:style>
  <w:style w:type="paragraph" w:customStyle="1" w:styleId="141">
    <w:name w:val="Char Char Char Char Char Char Char"/>
    <w:basedOn w:val="1"/>
    <w:qFormat/>
    <w:uiPriority w:val="0"/>
  </w:style>
  <w:style w:type="paragraph" w:customStyle="1" w:styleId="142">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3">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4">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6">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7">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8">
    <w:name w:val="_Style 109"/>
    <w:basedOn w:val="1"/>
    <w:next w:val="149"/>
    <w:qFormat/>
    <w:uiPriority w:val="34"/>
    <w:pPr>
      <w:ind w:firstLine="420" w:firstLineChars="200"/>
    </w:pPr>
    <w:rPr>
      <w:rFonts w:ascii="Calibri" w:hAnsi="Calibri"/>
      <w:szCs w:val="22"/>
    </w:rPr>
  </w:style>
  <w:style w:type="paragraph" w:customStyle="1" w:styleId="149">
    <w:name w:val="List Paragraph"/>
    <w:basedOn w:val="1"/>
    <w:qFormat/>
    <w:uiPriority w:val="34"/>
    <w:pPr>
      <w:ind w:firstLine="420" w:firstLineChars="200"/>
    </w:pPr>
    <w:rPr>
      <w:rFonts w:ascii="Calibri" w:hAnsi="Calibri"/>
      <w:szCs w:val="22"/>
    </w:rPr>
  </w:style>
  <w:style w:type="paragraph" w:customStyle="1" w:styleId="15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4">
    <w:name w:val="Char Char Char Char Char Char Char1"/>
    <w:basedOn w:val="1"/>
    <w:qFormat/>
    <w:uiPriority w:val="0"/>
  </w:style>
  <w:style w:type="paragraph" w:customStyle="1" w:styleId="15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6">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7">
    <w:name w:val="tgt1"/>
    <w:basedOn w:val="1"/>
    <w:qFormat/>
    <w:uiPriority w:val="0"/>
    <w:pPr>
      <w:widowControl/>
      <w:spacing w:after="150"/>
      <w:jc w:val="left"/>
    </w:pPr>
    <w:rPr>
      <w:rFonts w:ascii="宋体" w:hAnsi="宋体" w:cs="宋体"/>
      <w:kern w:val="0"/>
      <w:sz w:val="24"/>
    </w:rPr>
  </w:style>
  <w:style w:type="paragraph" w:customStyle="1" w:styleId="158">
    <w:name w:val="444"/>
    <w:basedOn w:val="1"/>
    <w:qFormat/>
    <w:uiPriority w:val="0"/>
    <w:pPr>
      <w:adjustRightInd w:val="0"/>
      <w:spacing w:line="312" w:lineRule="atLeast"/>
      <w:jc w:val="center"/>
      <w:textAlignment w:val="baseline"/>
    </w:pPr>
    <w:rPr>
      <w:b/>
      <w:kern w:val="0"/>
      <w:sz w:val="36"/>
      <w:szCs w:val="36"/>
    </w:rPr>
  </w:style>
  <w:style w:type="paragraph" w:customStyle="1" w:styleId="159">
    <w:name w:val="表格"/>
    <w:basedOn w:val="1"/>
    <w:qFormat/>
    <w:uiPriority w:val="0"/>
    <w:pPr>
      <w:spacing w:line="400" w:lineRule="exact"/>
    </w:pPr>
    <w:rPr>
      <w:sz w:val="24"/>
    </w:rPr>
  </w:style>
  <w:style w:type="paragraph" w:customStyle="1" w:styleId="160">
    <w:name w:val="F2"/>
    <w:basedOn w:val="1"/>
    <w:qFormat/>
    <w:uiPriority w:val="0"/>
    <w:pPr>
      <w:autoSpaceDE w:val="0"/>
      <w:autoSpaceDN w:val="0"/>
      <w:adjustRightInd w:val="0"/>
      <w:ind w:firstLine="601"/>
      <w:textAlignment w:val="baseline"/>
    </w:pPr>
    <w:rPr>
      <w:kern w:val="0"/>
      <w:sz w:val="24"/>
      <w:szCs w:val="20"/>
    </w:rPr>
  </w:style>
  <w:style w:type="paragraph" w:customStyle="1" w:styleId="161">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2">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4">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5">
    <w:name w:val="次小点说明 Char"/>
    <w:basedOn w:val="8"/>
    <w:qFormat/>
    <w:uiPriority w:val="0"/>
    <w:pPr>
      <w:ind w:firstLine="0"/>
    </w:pPr>
    <w:rPr>
      <w:sz w:val="24"/>
      <w:szCs w:val="24"/>
    </w:rPr>
  </w:style>
  <w:style w:type="paragraph" w:customStyle="1" w:styleId="16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8">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9">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样式1"/>
    <w:basedOn w:val="1"/>
    <w:qFormat/>
    <w:uiPriority w:val="0"/>
    <w:pPr>
      <w:spacing w:before="120" w:after="120" w:line="300" w:lineRule="auto"/>
    </w:pPr>
    <w:rPr>
      <w:rFonts w:ascii="宋体" w:hAnsi="宋体"/>
      <w:b/>
      <w:sz w:val="24"/>
      <w:szCs w:val="20"/>
    </w:rPr>
  </w:style>
  <w:style w:type="paragraph" w:customStyle="1" w:styleId="172">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3">
    <w:name w:val="默认段落字体 Para Char"/>
    <w:basedOn w:val="1"/>
    <w:qFormat/>
    <w:uiPriority w:val="0"/>
    <w:pPr>
      <w:adjustRightInd w:val="0"/>
      <w:spacing w:line="360" w:lineRule="auto"/>
    </w:pPr>
    <w:rPr>
      <w:kern w:val="0"/>
      <w:sz w:val="24"/>
      <w:szCs w:val="20"/>
    </w:rPr>
  </w:style>
  <w:style w:type="paragraph" w:customStyle="1" w:styleId="174">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7">
    <w:name w:val="Char4"/>
    <w:basedOn w:val="1"/>
    <w:qFormat/>
    <w:uiPriority w:val="0"/>
    <w:pPr>
      <w:tabs>
        <w:tab w:val="left" w:pos="360"/>
      </w:tabs>
      <w:ind w:left="252" w:hanging="252" w:hangingChars="140"/>
    </w:pPr>
    <w:rPr>
      <w:rFonts w:ascii="宋体"/>
      <w:sz w:val="18"/>
      <w:szCs w:val="18"/>
    </w:rPr>
  </w:style>
  <w:style w:type="paragraph" w:customStyle="1" w:styleId="17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7"/>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customStyle="1" w:styleId="199">
    <w:name w:val="Placeholder Text"/>
    <w:basedOn w:val="54"/>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Theme="minorHAnsi" w:hAnsiTheme="minorHAnsi" w:eastAsiaTheme="minorEastAsia" w:cstheme="minorBidi"/>
    </w:rPr>
  </w:style>
  <w:style w:type="character" w:customStyle="1" w:styleId="203">
    <w:name w:val="未处理的提及2"/>
    <w:basedOn w:val="54"/>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basedOn w:val="54"/>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未处理的提及3"/>
    <w:basedOn w:val="54"/>
    <w:unhideWhenUsed/>
    <w:qFormat/>
    <w:uiPriority w:val="99"/>
    <w:rPr>
      <w:color w:val="605E5C"/>
      <w:shd w:val="clear" w:color="auto" w:fill="E1DFDD"/>
    </w:rPr>
  </w:style>
  <w:style w:type="paragraph" w:customStyle="1" w:styleId="20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10">
    <w:name w:val="标题 7 Char"/>
    <w:qFormat/>
    <w:uiPriority w:val="0"/>
    <w:rPr>
      <w:b/>
      <w:kern w:val="2"/>
      <w:sz w:val="24"/>
      <w:szCs w:val="24"/>
      <w:lang w:val="zh-CN" w:eastAsia="zh-CN"/>
    </w:rPr>
  </w:style>
  <w:style w:type="character" w:customStyle="1" w:styleId="211">
    <w:name w:val="font21"/>
    <w:basedOn w:val="54"/>
    <w:qFormat/>
    <w:uiPriority w:val="0"/>
    <w:rPr>
      <w:rFonts w:hint="eastAsia" w:ascii="宋体" w:hAnsi="宋体" w:eastAsia="宋体" w:cs="宋体"/>
      <w:color w:val="000000"/>
      <w:sz w:val="22"/>
      <w:szCs w:val="22"/>
      <w:u w:val="none"/>
    </w:rPr>
  </w:style>
  <w:style w:type="character" w:customStyle="1" w:styleId="212">
    <w:name w:val="font51"/>
    <w:basedOn w:val="54"/>
    <w:qFormat/>
    <w:uiPriority w:val="0"/>
    <w:rPr>
      <w:rFonts w:hint="eastAsia" w:ascii="宋体" w:hAnsi="宋体" w:eastAsia="宋体" w:cs="宋体"/>
      <w:color w:val="FF0000"/>
      <w:sz w:val="22"/>
      <w:szCs w:val="22"/>
      <w:u w:val="none"/>
    </w:rPr>
  </w:style>
  <w:style w:type="character" w:customStyle="1" w:styleId="213">
    <w:name w:val="font61"/>
    <w:basedOn w:val="54"/>
    <w:qFormat/>
    <w:uiPriority w:val="0"/>
    <w:rPr>
      <w:rFonts w:hint="eastAsia" w:ascii="宋体" w:hAnsi="宋体" w:eastAsia="宋体" w:cs="宋体"/>
      <w:strike/>
      <w:color w:val="FF0000"/>
      <w:sz w:val="22"/>
      <w:szCs w:val="22"/>
    </w:rPr>
  </w:style>
  <w:style w:type="paragraph" w:customStyle="1" w:styleId="214">
    <w:name w:val="Normal Indent1"/>
    <w:basedOn w:val="1"/>
    <w:qFormat/>
    <w:uiPriority w:val="0"/>
    <w:pPr>
      <w:widowControl/>
      <w:ind w:firstLine="420" w:firstLineChars="200"/>
    </w:pPr>
  </w:style>
  <w:style w:type="paragraph" w:customStyle="1" w:styleId="215">
    <w:name w:val="正文2"/>
    <w:basedOn w:val="1"/>
    <w:qFormat/>
    <w:uiPriority w:val="0"/>
    <w:pPr>
      <w:adjustRightInd w:val="0"/>
      <w:spacing w:before="156" w:line="360" w:lineRule="auto"/>
      <w:ind w:firstLine="510" w:firstLineChars="200"/>
    </w:pPr>
    <w:rPr>
      <w:sz w:val="24"/>
      <w:szCs w:val="20"/>
    </w:rPr>
  </w:style>
  <w:style w:type="paragraph" w:customStyle="1" w:styleId="216">
    <w:name w:val="正文文本缩进 21"/>
    <w:basedOn w:val="1"/>
    <w:next w:val="1"/>
    <w:qFormat/>
    <w:uiPriority w:val="0"/>
    <w:pPr>
      <w:spacing w:line="120" w:lineRule="auto"/>
      <w:ind w:firstLine="840" w:firstLineChars="400"/>
      <w:jc w:val="left"/>
    </w:pPr>
    <w:rPr>
      <w:rFonts w:ascii="宋体" w:hAnsi="宋体"/>
    </w:rPr>
  </w:style>
  <w:style w:type="paragraph" w:customStyle="1" w:styleId="2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126</Pages>
  <Words>33857</Words>
  <Characters>35592</Characters>
  <Lines>509</Lines>
  <Paragraphs>143</Paragraphs>
  <TotalTime>23</TotalTime>
  <ScaleCrop>false</ScaleCrop>
  <LinksUpToDate>false</LinksUpToDate>
  <CharactersWithSpaces>35702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2024-10-25T16:16:00Z</dcterms:created>
  <dc:creator>微软用户</dc:creator>
  <cp:lastModifiedBy>Administrator</cp:lastModifiedBy>
  <cp:lastPrinted>2025-10-12T09:33:00Z</cp:lastPrinted>
  <dcterms:modified xsi:type="dcterms:W3CDTF">2025-12-24T02:54:22Z</dcterms:modified>
  <dc:title>桂财采〔2009〕 号</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18FDF1FF0CD5416CBA83F84EA373380B_13</vt:lpwstr>
  </property>
  <property fmtid="{D5CDD505-2E9C-101B-9397-08002B2CF9AE}" pid="14" name="KSOTemplateDocerSaveRecord">
    <vt:lpwstr>eyJoZGlkIjoiZTc2YjY2OGQ4ZDRiNDdiMDhkYmY5MTA2NTYwYTVkNWQiLCJ1c2VySWQiOiI3MDI4ODA0MDYifQ==</vt:lpwstr>
  </property>
</Properties>
</file>