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A5F50">
      <w:pPr>
        <w:pStyle w:val="2"/>
        <w:snapToGrid w:val="0"/>
        <w:spacing w:before="120" w:after="120" w:line="320" w:lineRule="exact"/>
        <w:jc w:val="center"/>
        <w:outlineLvl w:val="0"/>
        <w:rPr>
          <w:rFonts w:ascii="Arial" w:hAnsi="Arial" w:cs="Arial"/>
          <w:color w:val="0D0D0D" w:themeColor="text1" w:themeTint="F2"/>
          <w:sz w:val="32"/>
          <w:szCs w:val="32"/>
          <w:highlight w:val="none"/>
          <w14:textFill>
            <w14:solidFill>
              <w14:schemeClr w14:val="tx1">
                <w14:lumMod w14:val="95000"/>
                <w14:lumOff w14:val="5000"/>
              </w14:schemeClr>
            </w14:solidFill>
          </w14:textFill>
        </w:rPr>
      </w:pPr>
      <w:r>
        <w:rPr>
          <w:rFonts w:ascii="Arial" w:hAnsi="Arial" w:cs="Arial"/>
          <w:color w:val="0D0D0D" w:themeColor="text1" w:themeTint="F2"/>
          <w:sz w:val="32"/>
          <w:szCs w:val="32"/>
          <w:highlight w:val="none"/>
          <w14:textFill>
            <w14:solidFill>
              <w14:schemeClr w14:val="tx1">
                <w14:lumMod w14:val="95000"/>
                <w14:lumOff w14:val="5000"/>
              </w14:schemeClr>
            </w14:solidFill>
          </w14:textFill>
        </w:rPr>
        <w:t>项目采购需求</w:t>
      </w:r>
    </w:p>
    <w:p w14:paraId="2F9786B6">
      <w:pPr>
        <w:pStyle w:val="2"/>
        <w:snapToGrid w:val="0"/>
        <w:jc w:val="center"/>
        <w:rPr>
          <w:rFonts w:ascii="Arial" w:hAnsi="Arial" w:cs="Arial"/>
          <w:b/>
          <w:color w:val="0D0D0D" w:themeColor="text1" w:themeTint="F2"/>
          <w:highlight w:val="none"/>
          <w14:textFill>
            <w14:solidFill>
              <w14:schemeClr w14:val="tx1">
                <w14:lumMod w14:val="95000"/>
                <w14:lumOff w14:val="5000"/>
              </w14:schemeClr>
            </w14:solidFill>
          </w14:textFill>
        </w:rPr>
      </w:pPr>
      <w:bookmarkStart w:id="0" w:name="_Toc254970631"/>
      <w:bookmarkStart w:id="1" w:name="_Toc254970490"/>
    </w:p>
    <w:tbl>
      <w:tblPr>
        <w:tblStyle w:val="5"/>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68"/>
        <w:gridCol w:w="1134"/>
        <w:gridCol w:w="34"/>
        <w:gridCol w:w="675"/>
        <w:gridCol w:w="4702"/>
        <w:gridCol w:w="538"/>
        <w:gridCol w:w="538"/>
        <w:gridCol w:w="1139"/>
      </w:tblGrid>
      <w:tr w14:paraId="1FE0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64" w:type="dxa"/>
            <w:gridSpan w:val="9"/>
            <w:shd w:val="clear" w:color="auto" w:fill="D9D9D9"/>
            <w:vAlign w:val="center"/>
          </w:tcPr>
          <w:p w14:paraId="6317B753">
            <w:pPr>
              <w:widowControl/>
              <w:spacing w:line="240" w:lineRule="exact"/>
              <w:jc w:val="left"/>
              <w:rPr>
                <w:rFonts w:ascii="Arial" w:hAnsi="Arial" w:cs="Arial"/>
                <w:b/>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b/>
                <w:color w:val="0D0D0D" w:themeColor="text1" w:themeTint="F2"/>
                <w:kern w:val="0"/>
                <w:szCs w:val="21"/>
                <w:highlight w:val="none"/>
                <w14:textFill>
                  <w14:solidFill>
                    <w14:schemeClr w14:val="tx1">
                      <w14:lumMod w14:val="95000"/>
                      <w14:lumOff w14:val="5000"/>
                    </w14:schemeClr>
                  </w14:solidFill>
                </w14:textFill>
              </w:rPr>
              <w:t>一、本项目需实现的功能或者目标</w:t>
            </w:r>
          </w:p>
        </w:tc>
      </w:tr>
      <w:tr w14:paraId="7A02F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1838" w:type="dxa"/>
            <w:gridSpan w:val="3"/>
            <w:vAlign w:val="center"/>
          </w:tcPr>
          <w:p w14:paraId="124D3843">
            <w:pPr>
              <w:spacing w:line="300" w:lineRule="exact"/>
              <w:jc w:val="center"/>
              <w:rPr>
                <w:rFonts w:ascii="Arial" w:hAnsi="Arial" w:cs="Arial"/>
                <w:b/>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需实现的功能或者目标</w:t>
            </w:r>
          </w:p>
        </w:tc>
        <w:tc>
          <w:tcPr>
            <w:tcW w:w="7626" w:type="dxa"/>
            <w:gridSpan w:val="6"/>
            <w:vAlign w:val="center"/>
          </w:tcPr>
          <w:p w14:paraId="37740C27">
            <w:pPr>
              <w:spacing w:line="300" w:lineRule="exac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满足采购人的采购需求，获得质量合格且价格合理的货物和服务。</w:t>
            </w:r>
          </w:p>
        </w:tc>
      </w:tr>
      <w:tr w14:paraId="7606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1838" w:type="dxa"/>
            <w:gridSpan w:val="3"/>
            <w:vAlign w:val="center"/>
          </w:tcPr>
          <w:p w14:paraId="5E889F13">
            <w:pPr>
              <w:spacing w:line="300" w:lineRule="exact"/>
              <w:jc w:val="center"/>
              <w:rPr>
                <w:rFonts w:ascii="Arial" w:hAnsi="Arial" w:cs="Arial"/>
                <w:b/>
                <w:color w:val="0D0D0D" w:themeColor="text1" w:themeTint="F2"/>
                <w:kern w:val="0"/>
                <w:szCs w:val="21"/>
                <w:highlight w:val="none"/>
                <w14:textFill>
                  <w14:solidFill>
                    <w14:schemeClr w14:val="tx1">
                      <w14:lumMod w14:val="95000"/>
                      <w14:lumOff w14:val="5000"/>
                    </w14:schemeClr>
                  </w14:solidFill>
                </w14:textFill>
              </w:rPr>
            </w:pPr>
            <w:r>
              <w:rPr>
                <w:rFonts w:hint="eastAsia"/>
                <w:color w:val="0D0D0D" w:themeColor="text1" w:themeTint="F2"/>
                <w:szCs w:val="21"/>
                <w:highlight w:val="none"/>
                <w14:textFill>
                  <w14:solidFill>
                    <w14:schemeClr w14:val="tx1">
                      <w14:lumMod w14:val="95000"/>
                      <w14:lumOff w14:val="5000"/>
                    </w14:schemeClr>
                  </w14:solidFill>
                </w14:textFill>
              </w:rPr>
              <w:t>是否接受进口产品</w:t>
            </w:r>
          </w:p>
        </w:tc>
        <w:tc>
          <w:tcPr>
            <w:tcW w:w="7626" w:type="dxa"/>
            <w:gridSpan w:val="6"/>
            <w:vAlign w:val="center"/>
          </w:tcPr>
          <w:p w14:paraId="4C9472D6">
            <w:pPr>
              <w:spacing w:line="300" w:lineRule="exact"/>
              <w:rPr>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sym w:font="Wingdings 2" w:char="F052"/>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否，本项目所有采购货物均不接受进口产品。</w:t>
            </w:r>
          </w:p>
        </w:tc>
      </w:tr>
      <w:tr w14:paraId="4D95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64" w:type="dxa"/>
            <w:gridSpan w:val="9"/>
            <w:shd w:val="clear" w:color="auto" w:fill="D9D9D9"/>
            <w:vAlign w:val="center"/>
          </w:tcPr>
          <w:p w14:paraId="6CCE9E22">
            <w:pPr>
              <w:widowControl/>
              <w:spacing w:line="240" w:lineRule="exact"/>
              <w:jc w:val="left"/>
              <w:rPr>
                <w:rFonts w:ascii="Arial" w:hAnsi="Arial" w:cs="Arial"/>
                <w:b/>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b/>
                <w:color w:val="0D0D0D" w:themeColor="text1" w:themeTint="F2"/>
                <w:kern w:val="0"/>
                <w:szCs w:val="21"/>
                <w:highlight w:val="none"/>
                <w14:textFill>
                  <w14:solidFill>
                    <w14:schemeClr w14:val="tx1">
                      <w14:lumMod w14:val="95000"/>
                      <w14:lumOff w14:val="5000"/>
                    </w14:schemeClr>
                  </w14:solidFill>
                </w14:textFill>
              </w:rPr>
              <w:t>二、本项目需执行的国家相关标准、行业标准、地方标准或者其他标准、规范</w:t>
            </w:r>
          </w:p>
        </w:tc>
      </w:tr>
      <w:tr w14:paraId="2770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464" w:type="dxa"/>
            <w:gridSpan w:val="9"/>
            <w:vAlign w:val="center"/>
          </w:tcPr>
          <w:p w14:paraId="79F42D0A">
            <w:pPr>
              <w:spacing w:line="36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4ABEE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64" w:type="dxa"/>
            <w:gridSpan w:val="9"/>
            <w:shd w:val="clear" w:color="auto" w:fill="D9D9D9"/>
            <w:vAlign w:val="center"/>
          </w:tcPr>
          <w:p w14:paraId="2CAED8C6">
            <w:pPr>
              <w:widowControl/>
              <w:spacing w:line="240" w:lineRule="exact"/>
              <w:jc w:val="left"/>
              <w:rPr>
                <w:rFonts w:ascii="Arial" w:hAnsi="Arial" w:cs="Arial"/>
                <w:b/>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b/>
                <w:color w:val="0D0D0D" w:themeColor="text1" w:themeTint="F2"/>
                <w:kern w:val="0"/>
                <w:szCs w:val="21"/>
                <w:highlight w:val="none"/>
                <w14:textFill>
                  <w14:solidFill>
                    <w14:schemeClr w14:val="tx1">
                      <w14:lumMod w14:val="95000"/>
                      <w14:lumOff w14:val="5000"/>
                    </w14:schemeClr>
                  </w14:solidFill>
                </w14:textFill>
              </w:rPr>
              <w:t>三、本项目技术要求</w:t>
            </w:r>
          </w:p>
        </w:tc>
      </w:tr>
      <w:tr w14:paraId="400F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1838" w:type="dxa"/>
            <w:gridSpan w:val="3"/>
            <w:vAlign w:val="center"/>
          </w:tcPr>
          <w:p w14:paraId="187F89C1">
            <w:pPr>
              <w:spacing w:line="30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总体要求</w:t>
            </w:r>
          </w:p>
        </w:tc>
        <w:tc>
          <w:tcPr>
            <w:tcW w:w="7626" w:type="dxa"/>
            <w:gridSpan w:val="6"/>
            <w:vAlign w:val="center"/>
          </w:tcPr>
          <w:p w14:paraId="6FD476A5">
            <w:pPr>
              <w:widowControl/>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1.标注“▲”的技术要求为实质性技术要求。供应商在响应文件中应就实质性技术要求提供技术支持资料，未提供的将视为未实质性响应该要求。技术支持资料可以为以下形式之一：</w:t>
            </w:r>
          </w:p>
          <w:p w14:paraId="44D8875C">
            <w:pPr>
              <w:widowControl/>
              <w:jc w:val="left"/>
              <w:rPr>
                <w:rFonts w:ascii="Arial" w:hAnsi="Arial" w:cs="Arial"/>
                <w:b/>
                <w:color w:val="0D0D0D" w:themeColor="text1" w:themeTint="F2"/>
                <w:szCs w:val="21"/>
                <w:highlight w:val="none"/>
                <w14:textFill>
                  <w14:solidFill>
                    <w14:schemeClr w14:val="tx1">
                      <w14:lumMod w14:val="95000"/>
                      <w14:lumOff w14:val="5000"/>
                    </w14:schemeClr>
                  </w14:solidFill>
                </w14:textFill>
              </w:rPr>
            </w:pPr>
            <w:r>
              <w:rPr>
                <w:rFonts w:ascii="Arial" w:hAnsi="Arial" w:cs="Arial"/>
                <w:b/>
                <w:color w:val="0D0D0D" w:themeColor="text1" w:themeTint="F2"/>
                <w:szCs w:val="21"/>
                <w:highlight w:val="none"/>
                <w14:textFill>
                  <w14:solidFill>
                    <w14:schemeClr w14:val="tx1">
                      <w14:lumMod w14:val="95000"/>
                      <w14:lumOff w14:val="5000"/>
                    </w14:schemeClr>
                  </w14:solidFill>
                </w14:textFill>
              </w:rPr>
              <w:t>（1）生产厂家公开发行的宣传彩页或技术参数（提供复印件加盖供应商公章）。</w:t>
            </w:r>
          </w:p>
          <w:p w14:paraId="41CDB228">
            <w:pPr>
              <w:widowControl/>
              <w:jc w:val="left"/>
              <w:rPr>
                <w:b/>
                <w:color w:val="0D0D0D" w:themeColor="text1" w:themeTint="F2"/>
                <w:szCs w:val="21"/>
                <w:highlight w:val="none"/>
                <w14:textFill>
                  <w14:solidFill>
                    <w14:schemeClr w14:val="tx1">
                      <w14:lumMod w14:val="95000"/>
                      <w14:lumOff w14:val="5000"/>
                    </w14:schemeClr>
                  </w14:solidFill>
                </w14:textFill>
              </w:rPr>
            </w:pPr>
            <w:r>
              <w:rPr>
                <w:rFonts w:hint="eastAsia"/>
                <w:b/>
                <w:color w:val="0D0D0D" w:themeColor="text1" w:themeTint="F2"/>
                <w:szCs w:val="21"/>
                <w:highlight w:val="none"/>
                <w14:textFill>
                  <w14:solidFill>
                    <w14:schemeClr w14:val="tx1">
                      <w14:lumMod w14:val="95000"/>
                      <w14:lumOff w14:val="5000"/>
                    </w14:schemeClr>
                  </w14:solidFill>
                </w14:textFill>
              </w:rPr>
              <w:t>（</w:t>
            </w:r>
            <w:r>
              <w:rPr>
                <w:b/>
                <w:color w:val="0D0D0D" w:themeColor="text1" w:themeTint="F2"/>
                <w:szCs w:val="21"/>
                <w:highlight w:val="none"/>
                <w14:textFill>
                  <w14:solidFill>
                    <w14:schemeClr w14:val="tx1">
                      <w14:lumMod w14:val="95000"/>
                      <w14:lumOff w14:val="5000"/>
                    </w14:schemeClr>
                  </w14:solidFill>
                </w14:textFill>
              </w:rPr>
              <w:t>2</w:t>
            </w:r>
            <w:r>
              <w:rPr>
                <w:rFonts w:hint="eastAsia"/>
                <w:b/>
                <w:color w:val="0D0D0D" w:themeColor="text1" w:themeTint="F2"/>
                <w:szCs w:val="21"/>
                <w:highlight w:val="none"/>
                <w14:textFill>
                  <w14:solidFill>
                    <w14:schemeClr w14:val="tx1">
                      <w14:lumMod w14:val="95000"/>
                      <w14:lumOff w14:val="5000"/>
                    </w14:schemeClr>
                  </w14:solidFill>
                </w14:textFill>
              </w:rPr>
              <w:t>）国家认定的认证（检测）机构</w:t>
            </w:r>
            <w:bookmarkStart w:id="2" w:name="_GoBack"/>
            <w:bookmarkEnd w:id="2"/>
            <w:r>
              <w:rPr>
                <w:rFonts w:hint="eastAsia"/>
                <w:b/>
                <w:color w:val="0D0D0D" w:themeColor="text1" w:themeTint="F2"/>
                <w:szCs w:val="21"/>
                <w:highlight w:val="none"/>
                <w14:textFill>
                  <w14:solidFill>
                    <w14:schemeClr w14:val="tx1">
                      <w14:lumMod w14:val="95000"/>
                      <w14:lumOff w14:val="5000"/>
                    </w14:schemeClr>
                  </w14:solidFill>
                </w14:textFill>
              </w:rPr>
              <w:t>出具认证证书（检测报告）或国际机构认证报告（提供复印件加盖供应商公章）。</w:t>
            </w:r>
          </w:p>
          <w:p w14:paraId="0B388B4A">
            <w:pPr>
              <w:spacing w:line="30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检测报告或认证报告内容中若涉及外文说明，必须同时提供对应中文翻译说明，评审依据以中文翻译内容为准，外文说明仅供参考；产品检测报告应为报告正面、背面和附件标注的全部具体内容；产品检验报告的尺寸和清晰度应该能够在电脑上被阅读、识别和判断。</w:t>
            </w:r>
          </w:p>
          <w:p w14:paraId="134458CC">
            <w:pPr>
              <w:spacing w:line="30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2.本表中如提及品牌型号，仅起参考作用。供应商可选用其他品牌型号替代，但这些替代的品牌型号要实质上参照或相当于或优于参考品牌型号及其技术参数性能（配置）要求。</w:t>
            </w:r>
          </w:p>
        </w:tc>
      </w:tr>
      <w:tr w14:paraId="2385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1838" w:type="dxa"/>
            <w:gridSpan w:val="3"/>
            <w:vAlign w:val="center"/>
          </w:tcPr>
          <w:p w14:paraId="24E84796">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备品备件及易损件</w:t>
            </w:r>
          </w:p>
        </w:tc>
        <w:tc>
          <w:tcPr>
            <w:tcW w:w="7626" w:type="dxa"/>
            <w:gridSpan w:val="6"/>
            <w:vAlign w:val="center"/>
          </w:tcPr>
          <w:p w14:paraId="7E0F142A">
            <w:pPr>
              <w:spacing w:line="30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 xml:space="preserve">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 </w:t>
            </w:r>
          </w:p>
        </w:tc>
      </w:tr>
      <w:tr w14:paraId="2B783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1838" w:type="dxa"/>
            <w:gridSpan w:val="3"/>
            <w:vAlign w:val="center"/>
          </w:tcPr>
          <w:p w14:paraId="544545FA">
            <w:pPr>
              <w:spacing w:line="360" w:lineRule="exact"/>
              <w:jc w:val="center"/>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核心产品</w:t>
            </w:r>
          </w:p>
        </w:tc>
        <w:tc>
          <w:tcPr>
            <w:tcW w:w="7626" w:type="dxa"/>
            <w:gridSpan w:val="6"/>
            <w:vAlign w:val="center"/>
          </w:tcPr>
          <w:p w14:paraId="6CEBC1D6">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本项目核心产品为</w:t>
            </w:r>
            <w:r>
              <w:rPr>
                <w:rFonts w:hint="eastAsia" w:ascii="Arial" w:hAnsi="Arial" w:cs="Arial"/>
                <w:b/>
                <w:bCs/>
                <w:color w:val="0D0D0D" w:themeColor="text1" w:themeTint="F2"/>
                <w:kern w:val="0"/>
                <w:szCs w:val="21"/>
                <w:highlight w:val="none"/>
                <w:u w:val="single"/>
                <w14:textFill>
                  <w14:solidFill>
                    <w14:schemeClr w14:val="tx1">
                      <w14:lumMod w14:val="95000"/>
                      <w14:lumOff w14:val="5000"/>
                    </w14:schemeClr>
                  </w14:solidFill>
                </w14:textFill>
              </w:rPr>
              <w:t>：8路高清视频调度机</w:t>
            </w:r>
          </w:p>
        </w:tc>
      </w:tr>
      <w:tr w14:paraId="5CA8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464" w:type="dxa"/>
            <w:gridSpan w:val="9"/>
            <w:vAlign w:val="center"/>
          </w:tcPr>
          <w:p w14:paraId="3D57641B">
            <w:pPr>
              <w:widowControl/>
              <w:spacing w:line="240" w:lineRule="exact"/>
              <w:rPr>
                <w:rFonts w:ascii="Arial" w:hAnsi="Arial" w:cs="Arial"/>
                <w:bCs/>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bCs/>
                <w:color w:val="0D0D0D" w:themeColor="text1" w:themeTint="F2"/>
                <w:kern w:val="0"/>
                <w:szCs w:val="21"/>
                <w:highlight w:val="none"/>
                <w14:textFill>
                  <w14:solidFill>
                    <w14:schemeClr w14:val="tx1">
                      <w14:lumMod w14:val="95000"/>
                      <w14:lumOff w14:val="5000"/>
                    </w14:schemeClr>
                  </w14:solidFill>
                </w14:textFill>
              </w:rPr>
              <w:t>标的名称、数量、需满足的质量、安全、技术规格、物理特性等要求详见下表：</w:t>
            </w:r>
          </w:p>
        </w:tc>
      </w:tr>
      <w:tr w14:paraId="5D8D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157">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序号</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F3F2">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货物名称</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90395">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技术参数要求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DCF">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单位</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F3D">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C408">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说明</w:t>
            </w:r>
          </w:p>
        </w:tc>
      </w:tr>
      <w:tr w14:paraId="2E02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0BE">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7DAF0">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8路高清视频调度机</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FC955">
            <w:pPr>
              <w:keepNext w:val="0"/>
              <w:keepLines w:val="0"/>
              <w:widowControl/>
              <w:suppressLineNumbers w:val="0"/>
              <w:jc w:val="both"/>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Linux嵌入式操作系统及专用硬件平台；集成多路图像解码、显示，</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编程中控应用等功能于一体；</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2.机箱高度：≤2U，后背板板卡可插拔式设计；</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3.视频输出接口：≥8路HDMI高清输出接口；</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4.接口视频分辨率：视频输出分辨率可调，最高支持1920x1080@60；</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5.音频输出接口：≥8路HDMI输出接口内嵌音频；</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6.可编程中控：≥16路全双工可编程RS-232端口；</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7.千兆网口：≥4路千兆网口；</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8.网络协议：支持TCP/UDP/HTTP/RTSP/RTMP；</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9.支持音频码率可调；</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10.支持前面板液晶屏解码视频预览。</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2A1">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12F5">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2F21">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每台调度机配置4块板卡，每块板卡支持2路</w:t>
            </w:r>
          </w:p>
        </w:tc>
      </w:tr>
      <w:tr w14:paraId="10E8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3"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090C">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1EDA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视频调度板卡（内嵌视频调度控制软件）</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B079E">
            <w:pPr>
              <w:keepNext w:val="0"/>
              <w:keepLines w:val="0"/>
              <w:widowControl/>
              <w:suppressLineNumbers w:val="0"/>
              <w:jc w:val="both"/>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嵌入式架构；每块板卡</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须</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支持2路输入/输出；</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须</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支持与视频调度管理系统软件进行无缝连接；</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3.支持多种音视频格式、多种流媒体协议的解码应用；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4.支持通过网络对嵌入式解码器软件进行远程升级；</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5.具备开放的接口，根据客户需求进行定制化开发；</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6.支持视频与案件信息同屏播放与显示；</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7.支持远程进行解码参数设置、解码控制、日志查询等操作；</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8.软件界面简洁实用，功能完整。</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1198">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套</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DD9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5C4C">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每块板卡配置一套视频调度控制软件</w:t>
            </w:r>
          </w:p>
        </w:tc>
      </w:tr>
      <w:tr w14:paraId="73B8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A6F">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91F73">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8路高清网络直播机</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E73DD">
            <w:pPr>
              <w:keepNext w:val="0"/>
              <w:keepLines w:val="0"/>
              <w:widowControl/>
              <w:suppressLineNumbers w:val="0"/>
              <w:jc w:val="both"/>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Linux嵌入式操作系统及专用硬件平台；集成多路图像编码、合成、实时画面录制存储，</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编程中控应用等功能于一体；</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2.系统管理：</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采用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BS后台管理系统，支持查看音视频直播，点播，设备控制，功能配置，系统维护，系统状态查询等；</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3.机箱高度：≤2U，后面板板卡可插拔式设计；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4.视频输入接口：≥8路HDMI高清输入采集；</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5.接口视频分辨率：视频输入分辨率自适应，最高可支持1920x1080@60；</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6.视频编码：H.264 /H.265，视频码率默认30帧/秒，可调；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7.可编程中控：≥8路全双工可编程RS-232端口；千兆网口：≥2路千兆网口；</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8.音频编码标准：支持AAC,G711A；</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9.网络协议：支持TCP/UDP/HTTP/RTSP/RTMP；</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10.硬盘存储：≥2TB存储，对音视频文件进行时存储，设备网页单个视频文件查看、下载与删除等；</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11.文件存储格式：视频文件存储格式支持.MP4（H.264/AVC）。</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9D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609">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636">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每台直播机配置2块板卡，每块板卡支持4路</w:t>
            </w:r>
          </w:p>
        </w:tc>
      </w:tr>
      <w:tr w14:paraId="56D5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40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47BB">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视频直播板卡（内嵌录播管理软件）</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07603">
            <w:pPr>
              <w:keepNext w:val="0"/>
              <w:keepLines w:val="0"/>
              <w:widowControl/>
              <w:suppressLineNumbers w:val="0"/>
              <w:jc w:val="both"/>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嵌入式架构，内嵌于高清网络直播机中；每块板卡</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须</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支持4路输入/输出；</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将庭审音视频重新编码压缩，转换为Flash格式，发送到第三方直播平台上进行直播和点播；</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3.支持自动将庭审录像文件自动上传到第三方直播平台的集中存储设备上进行保存；</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具备</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内置流媒体分发功能，在单播配置模式下，至少具备支持</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不少于</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50人同时观看庭审高清视频的单播或点播；</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5.支持IE浏览器直接访问，可通过Web进行参数设置、远程控制、状态监控、集中管理、软件系统升级等；</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6.支持实时监控主机运行状态，并可根据预设阀值进行状态异常报警。</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4F9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套</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0AA">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59D6">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每块板卡嵌入一套录播管理软件</w:t>
            </w:r>
          </w:p>
        </w:tc>
      </w:tr>
      <w:tr w14:paraId="1FA4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F6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CDBA2">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集中式流媒体服务管理</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1810">
            <w:pPr>
              <w:keepNext w:val="0"/>
              <w:keepLines w:val="0"/>
              <w:widowControl/>
              <w:suppressLineNumbers w:val="0"/>
              <w:jc w:val="both"/>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具备</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将辖区法院所有庭审直播机输出的直播视频流通过互联网转发到直播平台</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的能力</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对庭审音视频的流媒体分发功能；</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3.支持通过网络进行软件升级；</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4.支持应用接口定制化开发，具有二次开发能力；</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5.支持流媒体多路转发，在保证性能质量的前提下降低网络带宽占用；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6.支持多台流媒体分发服务器级联；</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7.支持单系统独立组网应用；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8.支持多系统级联组网应用；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9.支持以树状目录方式展现、配置与管理多级法院的内容分发与接收信息；</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10.支持不低于500并发数的直播与点播；</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11.支持对接中国庭审公开网进行音视频分发等。</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E4C5">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套</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01E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8832">
            <w:pPr>
              <w:jc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p>
        </w:tc>
      </w:tr>
      <w:tr w14:paraId="79C2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E68F">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6</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E1816">
            <w:pPr>
              <w:keepNext w:val="0"/>
              <w:keepLines w:val="0"/>
              <w:widowControl/>
              <w:suppressLineNumbers w:val="0"/>
              <w:jc w:val="left"/>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多业务HDMI高清光端机</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871F8">
            <w:pPr>
              <w:keepNext w:val="0"/>
              <w:keepLines w:val="0"/>
              <w:widowControl/>
              <w:suppressLineNumbers w:val="0"/>
              <w:jc w:val="left"/>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1.全数字、无压缩、高清光纤传输；</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2.支持8路单向或者4路双向HDMI输入输出接口；</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3.支持视频格式：支持最高1080P@60Hz分辨率；</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4.支持内嵌数字立体声音频、双向RS232/485/422数据、开关量、电话、磁石等信号；</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5.支持独立非平衡模拟立体声音；</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6.光纤WDM、CWDM、DWDM技术；</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7.单、多模光纤传输；</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8.无需软件设计，支持即插即用功能，支持热插拔；</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9.内置浪涌和静电保护，三级防雷设计；</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10.工业级设计，可靠性高。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AA46">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B159">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DF09">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每台支持8路正向（或4路双向）通道</w:t>
            </w:r>
          </w:p>
        </w:tc>
      </w:tr>
      <w:tr w14:paraId="2DC6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2DA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4B98C">
            <w:pPr>
              <w:keepNext w:val="0"/>
              <w:keepLines w:val="0"/>
              <w:widowControl/>
              <w:suppressLineNumbers w:val="0"/>
              <w:jc w:val="left"/>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磁盘阵列存储</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55689">
            <w:pPr>
              <w:keepNext w:val="0"/>
              <w:keepLines w:val="0"/>
              <w:widowControl/>
              <w:suppressLineNumbers w:val="0"/>
              <w:jc w:val="left"/>
              <w:textAlignment w:val="cente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1、磁盘阵列存储厂商</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须为</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信创知名存储厂商</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名单内的厂商</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，非联合品牌或者OEM产品，投标时提供生产厂家盖章的国家版权局颁发的计算机软件著作权登记证书复印件；</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采用SAN和NAS统一集成的控制器架构，设备同时支持NAS和SAN功能；</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3、本次配置控制器数量≥2；控制器冗余设计，支持在线更换控制器；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4、采用内置SSD盘作为存储系统盘，非机械硬盘做Raid模式；同时系统盘可以做cache数据掉电保护；</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双控制器配置高速缓存≥64GB（高速缓存不包含SSD磁盘、闪存及NAS控制器缓存等），系统最大支持256GB高速缓存；</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6、两个虚拟化控制器之间通过PCI-E 4.0内部总线连接通讯和缓存数据镜像，非外部交换设备连接；</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本次配置≥8个1Gb iSCSI（电口）前端主机接口，每个控制器配置≥4个前端IO插槽，可插8/16Gb FC接口卡和1/10Gb iSCSI接口卡；</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8、支持缓存保护，并配置BBU电池保护模组，保证掉电时Cache数据可安全写入Flash或硬盘永久保存，实现无限时断电保护Cache数据的目的；</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9、</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配置≥6块10TB 7.2K企业级硬盘；双控制器最大支持≥1025块硬盘；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10、支持RAID0,1,5,6,10，50,60等；</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11、配置基于存储阵列的安全控制管理软件，以保证在SAN环境下，不同主机系统对存储阵列访问的安全性，配置无限制分区数，不得额外收取许可费用；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12、配置路径冗余管理软件，以实现主机的多通道访问以及对应用透明的自动故障通道切换功能，确保在通道发生故障的情况下，仍可以连续访问信息；且未来增加主机数量，不得额外收取许可费用；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13、配置全容量</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快照功能，有效预防各种软故障的发生，快照无需预留空间，后续扩容无需额外购买许可，支持将快照直接备份到二级存储；</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14、</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配置全容量本地数据复制功能，采用写时复制（Copy On Write）原理，可以保证数据在线可用的状态下，创建一份即时可用的一致性拷贝，提供快照型本地复制、克隆型本地复制、增量备份型本地复制，供货时提供技术白皮书证明；</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15、配置全容量许可的克隆功能，后续扩容无需额外购买许可；</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16、</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配置QoS功能，实现卷级别的IOPS或者Mbps限制</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17、</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配置存储虚拟化试用功能，可以整合异构厂商的存储阵列，通过虚拟化功能将存储资源统一管理和分配；接管异构存储厂商的空间后，可以把异构空间作为存储的RAID资源池，并且资源池可以划分多个卷对主机提供存储服务；线无缝迁移到本地存储上，提供安全高效的数据迁移服务；提供性能自动优化功能，可以按业务的重要性分配存储的性能资源；</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18、支持远程复制技术；</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19、</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支持</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可通过GUI或CLI设置阵列；</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20、 支持云备份接口，支持存储数据直接备份到公有云和私有云；</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21、 支持VMware等集群软件，支持虚拟存储阵列API接口，使得虚拟机的部分操作能通过存储控制器来完成；支持VAAI和VASA；支持windows VSS等插件，方便windows主机做一致性快照等操作；支持SMI-S接口标准以及CIM等通用信息模块接口；</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22、</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所投产品生产厂商</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须</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具备SNIA存储网络工业协会会员资格，投标时提供可访问的SNIA存储网络工业协会官网链接和截图；</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23、</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所投产品生产厂商</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须为</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自 2020 年起任意一年进入 Gartner 分布式存储魔力象限，并且进入魔力象限的厂商品牌必须与投标产品的厂商品牌一致；</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24、</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设备制造商拥有属于自身品牌的电气和电子工程师协会IEEE OUI（组织唯一标识符）地址段，投标时提供可访问的官网链接和截图；</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25、</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投标时提供原厂盖章的售后服务承诺函：提供 3 年标准维保服务，原厂工程师实施调试服务，包括硬件保修电话支持、现场支持、软件升级。</w:t>
            </w:r>
          </w:p>
          <w:p w14:paraId="0DB6A93F">
            <w:pPr>
              <w:keepNext w:val="0"/>
              <w:keepLines w:val="0"/>
              <w:widowControl/>
              <w:suppressLineNumbers w:val="0"/>
              <w:jc w:val="left"/>
              <w:textAlignment w:val="center"/>
              <w:rPr>
                <w:rFonts w:hint="eastAsia" w:eastAsia="宋体"/>
                <w:lang w:eastAsia="zh-CN"/>
              </w:rPr>
            </w:pPr>
            <w:r>
              <w:rPr>
                <w:rFonts w:hint="eastAsia" w:ascii="宋体" w:hAnsi="宋体" w:cs="宋体"/>
                <w:b/>
                <w:bCs/>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注：原厂商提供售后服务承诺并盖章；供应商提供 3 年标准维保服务服务方案及实施细节，并加盖供应商公章。</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8C9">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647F">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9020">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含60T存储硬盘</w:t>
            </w:r>
          </w:p>
        </w:tc>
      </w:tr>
      <w:tr w14:paraId="6C5E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2E4C">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8</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F0B8A">
            <w:pPr>
              <w:keepNext w:val="0"/>
              <w:keepLines w:val="0"/>
              <w:widowControl/>
              <w:suppressLineNumbers w:val="0"/>
              <w:jc w:val="left"/>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六类非屏蔽跳线</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1AFC2">
            <w:pPr>
              <w:keepNext w:val="0"/>
              <w:keepLines w:val="0"/>
              <w:widowControl/>
              <w:suppressLineNumbers w:val="0"/>
              <w:jc w:val="left"/>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1.水晶头塑料材质：聚碳酸酯（PC）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2.跳线接头类型：注塑RJ45端子-注塑RJ45端子</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3.护套材质：PVC/LSZH（颜色：灰、黄、绿、蓝、红可选）</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4.采用8芯多股非屏蔽软线作为跳线主体</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5.端子接触簧片整体镀金50u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6.跳线线缆阻抗类型：100±15Ω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7.适用信号：六类非屏蔽信道</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8.跳线弯曲半径：≥4D(D：跳线外径)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9.外径：6.1±0.2mm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10.导体直径：23AWG</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11.传输带宽：250MHz</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12.跳线长度：</w:t>
            </w:r>
            <w:r>
              <w:rPr>
                <w:rFonts w:hint="eastAsia" w:ascii="宋体" w:hAnsi="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提供</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1m，2m，3m，5m，10m可选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 xml:space="preserve">13.电气性能：接触电阻≤20MΩ，绝缘电阻≥500MΩ </w:t>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14.机械性能： RJ45端拔插次数≥750次</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C9C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条</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233F">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D8E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p>
        </w:tc>
      </w:tr>
      <w:tr w14:paraId="5D39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7EFB">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9</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AE153">
            <w:pPr>
              <w:keepNext w:val="0"/>
              <w:keepLines w:val="0"/>
              <w:widowControl/>
              <w:suppressLineNumbers w:val="0"/>
              <w:jc w:val="left"/>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光纤跳线</w:t>
            </w:r>
          </w:p>
        </w:tc>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3CE83">
            <w:pPr>
              <w:keepNext w:val="0"/>
              <w:keepLines w:val="0"/>
              <w:widowControl/>
              <w:suppressLineNumbers w:val="0"/>
              <w:jc w:val="left"/>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光纤跳线LC-LC≥1.5米。含光纤点熔接。</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4F6B">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条</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AA4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439">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highlight w:val="none"/>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highlight w:val="none"/>
                <w:u w:val="none"/>
                <w:lang w:val="en-US" w:eastAsia="zh-CN" w:bidi="ar"/>
                <w14:textFill>
                  <w14:solidFill>
                    <w14:schemeClr w14:val="tx1">
                      <w14:lumMod w14:val="95000"/>
                      <w14:lumOff w14:val="5000"/>
                    </w14:schemeClr>
                  </w14:solidFill>
                </w14:textFill>
              </w:rPr>
              <w:t>/</w:t>
            </w:r>
          </w:p>
        </w:tc>
      </w:tr>
      <w:tr w14:paraId="7285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464" w:type="dxa"/>
            <w:gridSpan w:val="9"/>
            <w:tcBorders>
              <w:top w:val="single" w:color="auto" w:sz="4" w:space="0"/>
              <w:left w:val="single" w:color="auto" w:sz="4" w:space="0"/>
              <w:bottom w:val="single" w:color="auto" w:sz="4" w:space="0"/>
              <w:right w:val="single" w:color="auto" w:sz="4" w:space="0"/>
            </w:tcBorders>
            <w:shd w:val="clear" w:color="auto" w:fill="D9D9D9"/>
            <w:vAlign w:val="center"/>
          </w:tcPr>
          <w:p w14:paraId="3EEBAE2A">
            <w:pPr>
              <w:widowControl/>
              <w:spacing w:line="24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b/>
                <w:color w:val="0D0D0D" w:themeColor="text1" w:themeTint="F2"/>
                <w:kern w:val="0"/>
                <w:szCs w:val="21"/>
                <w:highlight w:val="none"/>
                <w14:textFill>
                  <w14:solidFill>
                    <w14:schemeClr w14:val="tx1">
                      <w14:lumMod w14:val="95000"/>
                      <w14:lumOff w14:val="5000"/>
                    </w14:schemeClr>
                  </w14:solidFill>
                </w14:textFill>
              </w:rPr>
              <w:t>四、</w:t>
            </w:r>
            <w:r>
              <w:rPr>
                <w:rFonts w:ascii="Arial" w:hAnsi="Arial" w:cs="Arial"/>
                <w:b/>
                <w:color w:val="0D0D0D" w:themeColor="text1" w:themeTint="F2"/>
                <w:kern w:val="0"/>
                <w:szCs w:val="21"/>
                <w:highlight w:val="none"/>
                <w:shd w:val="pct10" w:color="auto" w:fill="FFFFFF"/>
                <w14:textFill>
                  <w14:solidFill>
                    <w14:schemeClr w14:val="tx1">
                      <w14:lumMod w14:val="95000"/>
                      <w14:lumOff w14:val="5000"/>
                    </w14:schemeClr>
                  </w14:solidFill>
                </w14:textFill>
              </w:rPr>
              <w:t>本项目商务要求</w:t>
            </w:r>
          </w:p>
        </w:tc>
      </w:tr>
      <w:tr w14:paraId="2DF7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7EB75A43">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序号</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B0EBCFE">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商务条款</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5F753177">
            <w:pPr>
              <w:spacing w:line="300" w:lineRule="exact"/>
              <w:ind w:firstLine="420" w:firstLineChars="200"/>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商务</w:t>
            </w:r>
            <w:r>
              <w:rPr>
                <w:rFonts w:ascii="Arial" w:hAnsi="Arial" w:cs="Arial"/>
                <w:color w:val="0D0D0D" w:themeColor="text1" w:themeTint="F2"/>
                <w:szCs w:val="21"/>
                <w:highlight w:val="none"/>
                <w14:textFill>
                  <w14:solidFill>
                    <w14:schemeClr w14:val="tx1">
                      <w14:lumMod w14:val="95000"/>
                      <w14:lumOff w14:val="5000"/>
                    </w14:schemeClr>
                  </w14:solidFill>
                </w14:textFill>
              </w:rPr>
              <w:t>要求</w:t>
            </w:r>
          </w:p>
        </w:tc>
      </w:tr>
      <w:tr w14:paraId="6C8E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0D64CD6D">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1</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F298598">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报价要求</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26F6FE7F">
            <w:pPr>
              <w:spacing w:line="36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本次报价须为人民币报价，</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包含：产品价、运输费（含装卸费）、保险费、安装调试费、税费、培训费、产品检测费、产品质保期内维护等费用。</w:t>
            </w:r>
            <w:r>
              <w:rPr>
                <w:rFonts w:hint="eastAsia"/>
                <w:color w:val="0D0D0D" w:themeColor="text1" w:themeTint="F2"/>
                <w:szCs w:val="21"/>
                <w:highlight w:val="none"/>
                <w14:textFill>
                  <w14:solidFill>
                    <w14:schemeClr w14:val="tx1">
                      <w14:lumMod w14:val="95000"/>
                      <w14:lumOff w14:val="5000"/>
                    </w14:schemeClr>
                  </w14:solidFill>
                </w14:textFill>
              </w:rPr>
              <w:t>响应报价不能超出采购需求列出的每一项单价及总价。</w:t>
            </w:r>
            <w:r>
              <w:rPr>
                <w:rFonts w:ascii="Arial" w:hAnsi="Arial" w:cs="Arial"/>
                <w:color w:val="0D0D0D" w:themeColor="text1" w:themeTint="F2"/>
                <w:szCs w:val="21"/>
                <w:highlight w:val="none"/>
                <w14:textFill>
                  <w14:solidFill>
                    <w14:schemeClr w14:val="tx1">
                      <w14:lumMod w14:val="95000"/>
                      <w14:lumOff w14:val="5000"/>
                    </w14:schemeClr>
                  </w14:solidFill>
                </w14:textFill>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tc>
      </w:tr>
      <w:tr w14:paraId="7636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244A3760">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2</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4E3B1971">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质量保证</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4C4BED66">
            <w:pPr>
              <w:spacing w:line="30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1．</w:t>
            </w:r>
            <w:r>
              <w:rPr>
                <w:rFonts w:hint="eastAsia" w:ascii="Arial" w:hAnsi="Arial" w:cs="Arial"/>
                <w:color w:val="0D0D0D" w:themeColor="text1" w:themeTint="F2"/>
                <w:szCs w:val="21"/>
                <w:highlight w:val="none"/>
                <w14:textFill>
                  <w14:solidFill>
                    <w14:schemeClr w14:val="tx1">
                      <w14:lumMod w14:val="95000"/>
                      <w14:lumOff w14:val="5000"/>
                    </w14:schemeClr>
                  </w14:solidFill>
                </w14:textFill>
              </w:rPr>
              <w:t>供应商应明确承诺：技术参数要求表中如无特别要求，则质保期为自验收合格之日起一年，技术参数要求表中有特别要求的则以技术参数要求表为准。</w:t>
            </w:r>
          </w:p>
          <w:p w14:paraId="17DF4ABB">
            <w:pPr>
              <w:spacing w:line="30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szCs w:val="21"/>
                <w:highlight w:val="none"/>
                <w14:textFill>
                  <w14:solidFill>
                    <w14:schemeClr w14:val="tx1">
                      <w14:lumMod w14:val="95000"/>
                      <w14:lumOff w14:val="5000"/>
                    </w14:schemeClr>
                  </w14:solidFill>
                </w14:textFill>
              </w:rPr>
              <w:t>2．属于国家规定“三包”范围的，其质量保证期不得低于“三包”规定。</w:t>
            </w:r>
          </w:p>
          <w:p w14:paraId="6C42B841">
            <w:pPr>
              <w:spacing w:line="30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szCs w:val="21"/>
                <w:highlight w:val="none"/>
                <w14:textFill>
                  <w14:solidFill>
                    <w14:schemeClr w14:val="tx1">
                      <w14:lumMod w14:val="95000"/>
                      <w14:lumOff w14:val="5000"/>
                    </w14:schemeClr>
                  </w14:solidFill>
                </w14:textFill>
              </w:rPr>
              <w:t>3．质量保证期承诺优于国家“三包”规定的，或优于谈判文件规定的，按成交供应商实际承诺执行。</w:t>
            </w:r>
          </w:p>
          <w:p w14:paraId="56A38B06">
            <w:pPr>
              <w:spacing w:line="30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szCs w:val="21"/>
                <w:highlight w:val="none"/>
                <w14:textFill>
                  <w14:solidFill>
                    <w14:schemeClr w14:val="tx1">
                      <w14:lumMod w14:val="95000"/>
                      <w14:lumOff w14:val="5000"/>
                    </w14:schemeClr>
                  </w14:solidFill>
                </w14:textFill>
              </w:rPr>
              <w:t>3.  成交供应商售后服务中，维修使用的备品备件及易损件应为原厂配件，未经采购人同意不得使用非原厂配件，常用的、容易损坏的备品备件及易损件的价格清单须在响应文件中列出。</w:t>
            </w:r>
          </w:p>
          <w:p w14:paraId="5B19574B">
            <w:pPr>
              <w:spacing w:line="36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szCs w:val="21"/>
                <w:highlight w:val="none"/>
                <w14:textFill>
                  <w14:solidFill>
                    <w14:schemeClr w14:val="tx1">
                      <w14:lumMod w14:val="95000"/>
                      <w14:lumOff w14:val="5000"/>
                    </w14:schemeClr>
                  </w14:solidFill>
                </w14:textFill>
              </w:rPr>
              <w:t>4．合同产品或服务由制造商（指产品生产制造商或服务实际提供人）负责质保期内的售后服务的，应当在响应文件中予以明确说明，制造商提供的售后服务也应达到谈判文件要求的标准，相关的售后服务费用由供应商向制造商支付，供应商可视情况在响应报价中予以考虑，采购人不予另行支付。</w:t>
            </w:r>
          </w:p>
        </w:tc>
      </w:tr>
      <w:tr w14:paraId="681C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2F06BD60">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3</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309BE078">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合同签订日期</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66FF3834">
            <w:pPr>
              <w:spacing w:line="30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成交通知书发出后</w:t>
            </w:r>
            <w:r>
              <w:rPr>
                <w:rFonts w:hint="eastAsia" w:ascii="Arial" w:hAnsi="Arial" w:cs="Arial"/>
                <w:color w:val="0D0D0D" w:themeColor="text1" w:themeTint="F2"/>
                <w:kern w:val="0"/>
                <w:szCs w:val="21"/>
                <w:highlight w:val="none"/>
                <w:lang w:val="en-US" w:eastAsia="zh-CN"/>
                <w14:textFill>
                  <w14:solidFill>
                    <w14:schemeClr w14:val="tx1">
                      <w14:lumMod w14:val="95000"/>
                      <w14:lumOff w14:val="5000"/>
                    </w14:schemeClr>
                  </w14:solidFill>
                </w14:textFill>
              </w:rPr>
              <w:t>7</w:t>
            </w:r>
            <w:r>
              <w:rPr>
                <w:rFonts w:ascii="Arial" w:hAnsi="Arial" w:cs="Arial"/>
                <w:color w:val="0D0D0D" w:themeColor="text1" w:themeTint="F2"/>
                <w:szCs w:val="21"/>
                <w:highlight w:val="none"/>
                <w14:textFill>
                  <w14:solidFill>
                    <w14:schemeClr w14:val="tx1">
                      <w14:lumMod w14:val="95000"/>
                      <w14:lumOff w14:val="5000"/>
                    </w14:schemeClr>
                  </w14:solidFill>
                </w14:textFill>
              </w:rPr>
              <w:t>日内。</w:t>
            </w:r>
          </w:p>
        </w:tc>
      </w:tr>
      <w:tr w14:paraId="1A17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17A6C1FC">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4</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736C9645">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交货（实施）时间</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27CDB7F9">
            <w:pPr>
              <w:spacing w:line="300" w:lineRule="exac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自签订合同之日起</w:t>
            </w:r>
            <w:r>
              <w:rPr>
                <w:rFonts w:hint="eastAsia" w:ascii="Arial" w:hAnsi="Arial" w:cs="Arial"/>
                <w:color w:val="0D0D0D" w:themeColor="text1" w:themeTint="F2"/>
                <w:kern w:val="0"/>
                <w:szCs w:val="21"/>
                <w:highlight w:val="none"/>
                <w:lang w:val="en-US" w:eastAsia="zh-CN"/>
                <w14:textFill>
                  <w14:solidFill>
                    <w14:schemeClr w14:val="tx1">
                      <w14:lumMod w14:val="95000"/>
                      <w14:lumOff w14:val="5000"/>
                    </w14:schemeClr>
                  </w14:solidFill>
                </w14:textFill>
              </w:rPr>
              <w:t>1</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个月内全部货物交货完毕并完成安装调试。</w:t>
            </w:r>
          </w:p>
        </w:tc>
      </w:tr>
      <w:tr w14:paraId="185C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16D435CE">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5</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620CEAA">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交货地点或服务</w:t>
            </w:r>
          </w:p>
          <w:p w14:paraId="13A53DC1">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地点</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453EE177">
            <w:pPr>
              <w:spacing w:line="300" w:lineRule="exac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lang w:eastAsia="zh-CN"/>
                <w14:textFill>
                  <w14:solidFill>
                    <w14:schemeClr w14:val="tx1">
                      <w14:lumMod w14:val="95000"/>
                      <w14:lumOff w14:val="5000"/>
                    </w14:schemeClr>
                  </w14:solidFill>
                </w14:textFill>
              </w:rPr>
              <w:t>广西崇左市</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内</w:t>
            </w:r>
            <w:r>
              <w:rPr>
                <w:rFonts w:hint="eastAsia" w:ascii="Arial" w:hAnsi="Arial" w:cs="Arial"/>
                <w:color w:val="0D0D0D" w:themeColor="text1" w:themeTint="F2"/>
                <w:kern w:val="0"/>
                <w:szCs w:val="21"/>
                <w:highlight w:val="none"/>
                <w:lang w:eastAsia="zh-CN"/>
                <w14:textFill>
                  <w14:solidFill>
                    <w14:schemeClr w14:val="tx1">
                      <w14:lumMod w14:val="95000"/>
                      <w14:lumOff w14:val="5000"/>
                    </w14:schemeClr>
                  </w14:solidFill>
                </w14:textFill>
              </w:rPr>
              <w:t>，</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采购人指定地点。</w:t>
            </w:r>
          </w:p>
        </w:tc>
      </w:tr>
      <w:tr w14:paraId="54EF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2D31DA22">
            <w:pPr>
              <w:jc w:val="center"/>
              <w:rPr>
                <w:color w:val="0D0D0D" w:themeColor="text1" w:themeTint="F2"/>
                <w:szCs w:val="21"/>
                <w:highlight w:val="none"/>
                <w14:textFill>
                  <w14:solidFill>
                    <w14:schemeClr w14:val="tx1">
                      <w14:lumMod w14:val="95000"/>
                      <w14:lumOff w14:val="5000"/>
                    </w14:schemeClr>
                  </w14:solidFill>
                </w14:textFill>
              </w:rPr>
            </w:pPr>
            <w:r>
              <w:rPr>
                <w:color w:val="0D0D0D" w:themeColor="text1" w:themeTint="F2"/>
                <w:szCs w:val="21"/>
                <w:highlight w:val="none"/>
                <w14:textFill>
                  <w14:solidFill>
                    <w14:schemeClr w14:val="tx1">
                      <w14:lumMod w14:val="95000"/>
                      <w14:lumOff w14:val="5000"/>
                    </w14:schemeClr>
                  </w14:solidFill>
                </w14:textFill>
              </w:rPr>
              <w:t>5</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C8A21DE">
            <w:pPr>
              <w:spacing w:line="360" w:lineRule="exact"/>
              <w:jc w:val="center"/>
              <w:rPr>
                <w:color w:val="0D0D0D" w:themeColor="text1" w:themeTint="F2"/>
                <w:szCs w:val="21"/>
                <w:highlight w:val="none"/>
                <w14:textFill>
                  <w14:solidFill>
                    <w14:schemeClr w14:val="tx1">
                      <w14:lumMod w14:val="95000"/>
                      <w14:lumOff w14:val="5000"/>
                    </w14:schemeClr>
                  </w14:solidFill>
                </w14:textFill>
              </w:rPr>
            </w:pPr>
            <w:r>
              <w:rPr>
                <w:color w:val="0D0D0D" w:themeColor="text1" w:themeTint="F2"/>
                <w:szCs w:val="21"/>
                <w:highlight w:val="none"/>
                <w14:textFill>
                  <w14:solidFill>
                    <w14:schemeClr w14:val="tx1">
                      <w14:lumMod w14:val="95000"/>
                      <w14:lumOff w14:val="5000"/>
                    </w14:schemeClr>
                  </w14:solidFill>
                </w14:textFill>
              </w:rPr>
              <w:t>验收标准</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0A42217C">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1．检查供货范围或服务范围</w:t>
            </w:r>
          </w:p>
          <w:p w14:paraId="260B51D0">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产品到达现场后，成交供应商应在采购人单位人员在场情况下当面开箱，共同清点、检查外观，作出开箱记录，双方签字确认。成交供应商应保证货物到达采购人所在地完好无损，如有缺漏、损坏，由成交供应商负责调换、补齐或赔偿。</w:t>
            </w:r>
          </w:p>
          <w:p w14:paraId="2917E728">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2．成交供应商应提供完备的技术或服务资料、装箱单和合格证等，并派遣专业人员进行现场安装调试。验收合格条件如下：</w:t>
            </w:r>
          </w:p>
          <w:p w14:paraId="150BA879">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2.1货物或服务技术参数与</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响应文件中响应表或证明材料</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一致，性能或指标达到规定的标准。</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否则，以实际货物或服务技术参数与响应文件响应表参数或证明材料比较，按如下情况处理：</w:t>
            </w:r>
          </w:p>
          <w:p w14:paraId="7B4AF39C">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（1）供应商响应文件响应表或证明材料中满足或优于的技术参数，在验收时实际不满足技术参数要求的，视为供货商违约，采购人有权终止合同拒收货物，并追究供应商责任，同时报财政部门备案。</w:t>
            </w:r>
          </w:p>
          <w:p w14:paraId="057096B8">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（2）供应商响应文件响应表或证明材料中优于的技术参数，在验收时实际仅满足并未优于技术参数要求的，视为供货商违约，采购人有权终止合同拒收货物，并追究供应商责任，同时报财政部门备案。</w:t>
            </w:r>
          </w:p>
          <w:p w14:paraId="4B52CBD0">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 xml:space="preserve">（3）供应商响应文件响应表或证明材料中不满足的技术参数，在验收时实际满足技术参数的要求，以满足技术参数的要求验收。 </w:t>
            </w:r>
          </w:p>
          <w:p w14:paraId="4261C287">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4</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）供应商响应文件响应表或证明材料中满足的技术参数，在验收时实际优于技术参数的要求，以满足技术参数的要求验收。</w:t>
            </w:r>
          </w:p>
          <w:p w14:paraId="3B709853">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（5）供应商响应文件响应表或证明材料中优于的技术参数，在验收时实际也优于技术参数的要求，但没有达到响应表或证明材料中优于的程度，由采购人与供应商协商按是否满足要求验收。</w:t>
            </w:r>
          </w:p>
          <w:p w14:paraId="6990757A">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6</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实际货物与响应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65F7B48A">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2.2技术或资料、装箱单、合格证等资料齐全。</w:t>
            </w:r>
          </w:p>
          <w:p w14:paraId="6AD60F8F">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2.3在测试或试运行期间所出现的问题得到解决，并运行或工作正常。</w:t>
            </w:r>
          </w:p>
          <w:p w14:paraId="311FE3B3">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2.4在规定时间内完成交货及验收，并经采购人确认。</w:t>
            </w:r>
          </w:p>
          <w:p w14:paraId="2F6F2285">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3．产品或服务在安装调试并试运行符合要求后，才作为最终验收。</w:t>
            </w:r>
          </w:p>
          <w:p w14:paraId="558C0FA6">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4．成交供应商提供的货物或服务未达到谈判文件规定要求，且对采购人造成损失的，由成交供应商承担一切责任，并赔偿所造成的损失。</w:t>
            </w:r>
          </w:p>
          <w:p w14:paraId="79412A25">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5．采购人需要制造商对成交供应商交付的产品或服务（包括质量、参数等）进行确认的，制造商应予以配合并出具书面意见，相关配合事项由</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成交</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供应商与制造商协调。</w:t>
            </w:r>
          </w:p>
          <w:p w14:paraId="53FABB49">
            <w:pPr>
              <w:spacing w:line="300" w:lineRule="exact"/>
              <w:jc w:val="left"/>
              <w:rPr>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6．产品包装材料归采购人所有。</w:t>
            </w:r>
          </w:p>
        </w:tc>
      </w:tr>
      <w:tr w14:paraId="273D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0D503CF5">
            <w:pPr>
              <w:jc w:val="center"/>
              <w:rPr>
                <w:color w:val="0D0D0D" w:themeColor="text1" w:themeTint="F2"/>
                <w:szCs w:val="21"/>
                <w:highlight w:val="none"/>
                <w14:textFill>
                  <w14:solidFill>
                    <w14:schemeClr w14:val="tx1">
                      <w14:lumMod w14:val="95000"/>
                      <w14:lumOff w14:val="5000"/>
                    </w14:schemeClr>
                  </w14:solidFill>
                </w14:textFill>
              </w:rPr>
            </w:pPr>
            <w:r>
              <w:rPr>
                <w:color w:val="0D0D0D" w:themeColor="text1" w:themeTint="F2"/>
                <w:szCs w:val="21"/>
                <w:highlight w:val="none"/>
                <w14:textFill>
                  <w14:solidFill>
                    <w14:schemeClr w14:val="tx1">
                      <w14:lumMod w14:val="95000"/>
                      <w14:lumOff w14:val="5000"/>
                    </w14:schemeClr>
                  </w14:solidFill>
                </w14:textFill>
              </w:rPr>
              <w:t>6</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A3F39ED">
            <w:pPr>
              <w:jc w:val="center"/>
              <w:rPr>
                <w:color w:val="0D0D0D" w:themeColor="text1" w:themeTint="F2"/>
                <w:kern w:val="0"/>
                <w:szCs w:val="21"/>
                <w:highlight w:val="none"/>
                <w:shd w:val="pct10" w:color="auto" w:fill="FFFFFF"/>
                <w14:textFill>
                  <w14:solidFill>
                    <w14:schemeClr w14:val="tx1">
                      <w14:lumMod w14:val="95000"/>
                      <w14:lumOff w14:val="5000"/>
                    </w14:schemeClr>
                  </w14:solidFill>
                </w14:textFill>
              </w:rPr>
            </w:pPr>
            <w:r>
              <w:rPr>
                <w:color w:val="0D0D0D" w:themeColor="text1" w:themeTint="F2"/>
                <w:szCs w:val="21"/>
                <w:highlight w:val="none"/>
                <w14:textFill>
                  <w14:solidFill>
                    <w14:schemeClr w14:val="tx1">
                      <w14:lumMod w14:val="95000"/>
                      <w14:lumOff w14:val="5000"/>
                    </w14:schemeClr>
                  </w14:solidFill>
                </w14:textFill>
              </w:rPr>
              <w:t>服务标准、期限、效率</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469E1868">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1．成交供应商在质量保证期内应当为采购人提供以下技术支持和服务：</w:t>
            </w:r>
          </w:p>
          <w:p w14:paraId="3A1B296B">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1.1电话咨询</w:t>
            </w:r>
          </w:p>
          <w:p w14:paraId="3F10CD55">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成交供应商应当为采购人提供技术援助电话，解答采购人在使用中遇到的问题，及时为采购人提出解决问题的建议。</w:t>
            </w:r>
          </w:p>
          <w:p w14:paraId="02A1F918">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1.2现场响应</w:t>
            </w:r>
          </w:p>
          <w:p w14:paraId="1ADDBE93">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采购人遇到使用或技术问题，电话咨询不能解决的，</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成交供应商</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应在2小时内到达现场进行处理，到达现场后2小时内排除故障，恢复正常使用。</w:t>
            </w:r>
          </w:p>
          <w:p w14:paraId="47E4D15D">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1.3技术升级</w:t>
            </w:r>
          </w:p>
          <w:p w14:paraId="3040C3F6">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在质保期内，如果</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成交供应商</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的产品或服务升级，成交供应商应及时通知采购人，如采购人有相应要求，</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成交供应商</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应对采购人购买的产品或服务进行升级。</w:t>
            </w:r>
          </w:p>
          <w:p w14:paraId="3FAA92C7">
            <w:pPr>
              <w:spacing w:line="300" w:lineRule="exac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1.</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4</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质量保证期内的</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费用</w:t>
            </w:r>
          </w:p>
          <w:p w14:paraId="0DCDB10A">
            <w:pPr>
              <w:spacing w:line="300" w:lineRule="exact"/>
              <w:jc w:val="lef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质量保证期内供应商为采购人所提供的</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所有技术支持和</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服务</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费用以及</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上门维修、更换零部件费用</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均包含在响应报价中，</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采购人不再另行支付</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w:t>
            </w:r>
          </w:p>
          <w:p w14:paraId="270D90D2">
            <w:pPr>
              <w:spacing w:line="300" w:lineRule="exac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2．质保期</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过后</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的服务要求</w:t>
            </w:r>
          </w:p>
          <w:p w14:paraId="4E798701">
            <w:pPr>
              <w:spacing w:line="300" w:lineRule="exact"/>
              <w:rPr>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电话咨询</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产品质量保证期过后</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成交供应商应当为采购人提供技术援助电话，解答采购人在使用中遇到的问题，及时为采购人提出解决问题的建议</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并不予收费。</w:t>
            </w:r>
          </w:p>
        </w:tc>
      </w:tr>
      <w:tr w14:paraId="09E0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6C14795D">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7</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880C4D7">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培训</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2F0C6737">
            <w:pPr>
              <w:spacing w:line="30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szCs w:val="21"/>
                <w:highlight w:val="none"/>
                <w14:textFill>
                  <w14:solidFill>
                    <w14:schemeClr w14:val="tx1">
                      <w14:lumMod w14:val="95000"/>
                      <w14:lumOff w14:val="5000"/>
                    </w14:schemeClr>
                  </w14:solidFill>
                </w14:textFill>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7CEE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01C8C957">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8</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0EE0C35C">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知识产权</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5FB34F1A">
            <w:pPr>
              <w:spacing w:line="300" w:lineRule="exac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采购人在中华人民共和国境内使用供应商提供的产品及服务时免受第三方提出的侵犯其专利权或其它知识产权的起诉。如果第三方提出侵权指控，成交供应商应承担由此而引起的一切法律责任和费用。供应商在响应文件中提供承诺或证明材料。</w:t>
            </w:r>
          </w:p>
        </w:tc>
      </w:tr>
      <w:tr w14:paraId="4423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670439C1">
            <w:pPr>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9</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8287E8D">
            <w:pPr>
              <w:jc w:val="center"/>
              <w:rPr>
                <w:rFonts w:ascii="Arial" w:hAnsi="Arial" w:cs="Arial"/>
                <w:color w:val="0D0D0D" w:themeColor="text1" w:themeTint="F2"/>
                <w:kern w:val="0"/>
                <w:szCs w:val="21"/>
                <w:highlight w:val="none"/>
                <w:shd w:val="pct10" w:color="auto" w:fill="FFFFFF"/>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付款方式、时间及条件</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7FB2CDE5">
            <w:pPr>
              <w:spacing w:line="300" w:lineRule="exact"/>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1.双方签订合同后，供应商开具面额为合同价款的30%发票给采购人，采购人在收到30%合同款发票后向供应商支付30%合同款。</w:t>
            </w:r>
          </w:p>
          <w:p w14:paraId="2AE50BFC">
            <w:pPr>
              <w:spacing w:line="300" w:lineRule="exact"/>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2.货物交付使用并经双方验收合格后，供应商开具面额为合同价款的70%发票给采购人，采购人在收到有效发票后向供应商支付70%合同款。</w:t>
            </w:r>
          </w:p>
          <w:p w14:paraId="6564F745">
            <w:pPr>
              <w:spacing w:line="300" w:lineRule="exact"/>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3.每次拨付款项在收到发票之日起1</w:t>
            </w:r>
            <w:r>
              <w:rPr>
                <w:rFonts w:hint="eastAsia" w:ascii="Arial" w:hAnsi="Arial" w:cs="Arial"/>
                <w:color w:val="0D0D0D" w:themeColor="text1" w:themeTint="F2"/>
                <w:kern w:val="0"/>
                <w:szCs w:val="21"/>
                <w:highlight w:val="none"/>
                <w:lang w:val="en-US" w:eastAsia="zh-CN"/>
                <w14:textFill>
                  <w14:solidFill>
                    <w14:schemeClr w14:val="tx1">
                      <w14:lumMod w14:val="95000"/>
                      <w14:lumOff w14:val="5000"/>
                    </w14:schemeClr>
                  </w14:solidFill>
                </w14:textFill>
              </w:rPr>
              <w:t>5</w:t>
            </w:r>
            <w:r>
              <w:rPr>
                <w:rFonts w:hint="eastAsia" w:ascii="Arial" w:hAnsi="Arial" w:cs="Arial"/>
                <w:color w:val="0D0D0D" w:themeColor="text1" w:themeTint="F2"/>
                <w:kern w:val="0"/>
                <w:szCs w:val="21"/>
                <w:highlight w:val="none"/>
                <w14:textFill>
                  <w14:solidFill>
                    <w14:schemeClr w14:val="tx1">
                      <w14:lumMod w14:val="95000"/>
                      <w14:lumOff w14:val="5000"/>
                    </w14:schemeClr>
                  </w14:solidFill>
                </w14:textFill>
              </w:rPr>
              <w:t>个工作日内将资金支付到合同约定的供应商账户。</w:t>
            </w:r>
          </w:p>
          <w:p w14:paraId="6055517C">
            <w:pPr>
              <w:spacing w:line="300" w:lineRule="exact"/>
              <w:rPr>
                <w:rFonts w:ascii="Arial" w:hAnsi="Arial" w:cs="Arial"/>
                <w:color w:val="0D0D0D" w:themeColor="text1" w:themeTint="F2"/>
                <w:kern w:val="0"/>
                <w:szCs w:val="21"/>
                <w:highlight w:val="none"/>
                <w14:textFill>
                  <w14:solidFill>
                    <w14:schemeClr w14:val="tx1">
                      <w14:lumMod w14:val="95000"/>
                      <w14:lumOff w14:val="5000"/>
                    </w14:schemeClr>
                  </w14:solidFill>
                </w14:textFill>
              </w:rPr>
            </w:pPr>
            <w:r>
              <w:rPr>
                <w:rFonts w:hint="eastAsia" w:ascii="Arial" w:hAnsi="Arial" w:cs="Arial"/>
                <w:color w:val="0D0D0D" w:themeColor="text1" w:themeTint="F2"/>
                <w:kern w:val="0"/>
                <w:szCs w:val="21"/>
                <w:highlight w:val="none"/>
                <w:lang w:val="en-US" w:eastAsia="zh-CN"/>
                <w14:textFill>
                  <w14:solidFill>
                    <w14:schemeClr w14:val="tx1">
                      <w14:lumMod w14:val="95000"/>
                      <w14:lumOff w14:val="5000"/>
                    </w14:schemeClr>
                  </w14:solidFill>
                </w14:textFill>
              </w:rPr>
              <w:t>4</w:t>
            </w:r>
            <w:r>
              <w:rPr>
                <w:rFonts w:ascii="Arial" w:hAnsi="Arial" w:cs="Arial"/>
                <w:color w:val="0D0D0D" w:themeColor="text1" w:themeTint="F2"/>
                <w:kern w:val="0"/>
                <w:szCs w:val="21"/>
                <w:highlight w:val="none"/>
                <w14:textFill>
                  <w14:solidFill>
                    <w14:schemeClr w14:val="tx1">
                      <w14:lumMod w14:val="95000"/>
                      <w14:lumOff w14:val="5000"/>
                    </w14:schemeClr>
                  </w14:solidFill>
                </w14:textFill>
              </w:rPr>
              <w:t>．本合同使用货币币制如未作特别说明均为人民币。</w:t>
            </w:r>
          </w:p>
        </w:tc>
      </w:tr>
      <w:tr w14:paraId="2F61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337D0E2D">
            <w:pPr>
              <w:jc w:val="center"/>
              <w:rPr>
                <w:color w:val="0D0D0D" w:themeColor="text1" w:themeTint="F2"/>
                <w:szCs w:val="21"/>
                <w:highlight w:val="none"/>
                <w14:textFill>
                  <w14:solidFill>
                    <w14:schemeClr w14:val="tx1">
                      <w14:lumMod w14:val="95000"/>
                      <w14:lumOff w14:val="5000"/>
                    </w14:schemeClr>
                  </w14:solidFill>
                </w14:textFill>
              </w:rPr>
            </w:pPr>
            <w:r>
              <w:rPr>
                <w:color w:val="0D0D0D" w:themeColor="text1" w:themeTint="F2"/>
                <w:szCs w:val="21"/>
                <w:highlight w:val="none"/>
                <w14:textFill>
                  <w14:solidFill>
                    <w14:schemeClr w14:val="tx1">
                      <w14:lumMod w14:val="95000"/>
                      <w14:lumOff w14:val="5000"/>
                    </w14:schemeClr>
                  </w14:solidFill>
                </w14:textFill>
              </w:rPr>
              <w:t>10</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F9594A2">
            <w:pPr>
              <w:spacing w:line="300" w:lineRule="exact"/>
              <w:jc w:val="center"/>
              <w:rPr>
                <w:color w:val="0D0D0D" w:themeColor="text1" w:themeTint="F2"/>
                <w:szCs w:val="21"/>
                <w:highlight w:val="none"/>
                <w14:textFill>
                  <w14:solidFill>
                    <w14:schemeClr w14:val="tx1">
                      <w14:lumMod w14:val="95000"/>
                      <w14:lumOff w14:val="5000"/>
                    </w14:schemeClr>
                  </w14:solidFill>
                </w14:textFill>
              </w:rPr>
            </w:pPr>
            <w:r>
              <w:rPr>
                <w:color w:val="0D0D0D" w:themeColor="text1" w:themeTint="F2"/>
                <w:szCs w:val="21"/>
                <w:highlight w:val="none"/>
                <w14:textFill>
                  <w14:solidFill>
                    <w14:schemeClr w14:val="tx1">
                      <w14:lumMod w14:val="95000"/>
                      <w14:lumOff w14:val="5000"/>
                    </w14:schemeClr>
                  </w14:solidFill>
                </w14:textFill>
              </w:rPr>
              <w:t>履约保证金</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2E19D083">
            <w:pPr>
              <w:spacing w:line="300" w:lineRule="exact"/>
              <w:jc w:val="left"/>
              <w:rPr>
                <w:color w:val="0D0D0D" w:themeColor="text1" w:themeTint="F2"/>
                <w:szCs w:val="21"/>
                <w:highlight w:val="none"/>
                <w14:textFill>
                  <w14:solidFill>
                    <w14:schemeClr w14:val="tx1">
                      <w14:lumMod w14:val="95000"/>
                      <w14:lumOff w14:val="5000"/>
                    </w14:schemeClr>
                  </w14:solidFill>
                </w14:textFill>
              </w:rPr>
            </w:pPr>
            <w:r>
              <w:rPr>
                <w:color w:val="0D0D0D" w:themeColor="text1" w:themeTint="F2"/>
                <w:szCs w:val="21"/>
                <w:highlight w:val="none"/>
                <w14:textFill>
                  <w14:solidFill>
                    <w14:schemeClr w14:val="tx1">
                      <w14:lumMod w14:val="95000"/>
                      <w14:lumOff w14:val="5000"/>
                    </w14:schemeClr>
                  </w14:solidFill>
                </w14:textFill>
              </w:rPr>
              <w:t>本项目履约保证金</w:t>
            </w:r>
            <w:r>
              <w:rPr>
                <w:color w:val="0D0D0D" w:themeColor="text1" w:themeTint="F2"/>
                <w:szCs w:val="21"/>
                <w:highlight w:val="none"/>
                <w14:textFill>
                  <w14:solidFill>
                    <w14:schemeClr w14:val="tx1">
                      <w14:lumMod w14:val="95000"/>
                      <w14:lumOff w14:val="5000"/>
                    </w14:schemeClr>
                  </w14:solidFill>
                </w14:textFill>
              </w:rPr>
              <w:sym w:font="Wingdings 2" w:char="F052"/>
            </w:r>
            <w:r>
              <w:rPr>
                <w:color w:val="0D0D0D" w:themeColor="text1" w:themeTint="F2"/>
                <w:szCs w:val="21"/>
                <w:highlight w:val="none"/>
                <w14:textFill>
                  <w14:solidFill>
                    <w14:schemeClr w14:val="tx1">
                      <w14:lumMod w14:val="95000"/>
                      <w14:lumOff w14:val="5000"/>
                    </w14:schemeClr>
                  </w14:solidFill>
                </w14:textFill>
              </w:rPr>
              <w:t>无；</w:t>
            </w:r>
          </w:p>
        </w:tc>
      </w:tr>
      <w:tr w14:paraId="22AD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464" w:type="dxa"/>
            <w:gridSpan w:val="9"/>
            <w:tcBorders>
              <w:top w:val="single" w:color="auto" w:sz="4" w:space="0"/>
              <w:left w:val="single" w:color="auto" w:sz="4" w:space="0"/>
              <w:bottom w:val="single" w:color="auto" w:sz="4" w:space="0"/>
              <w:right w:val="single" w:color="auto" w:sz="4" w:space="0"/>
            </w:tcBorders>
            <w:shd w:val="clear" w:color="auto" w:fill="D9D9D9"/>
            <w:vAlign w:val="center"/>
          </w:tcPr>
          <w:p w14:paraId="377F1DF7">
            <w:pPr>
              <w:widowControl/>
              <w:spacing w:line="24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b/>
                <w:color w:val="0D0D0D" w:themeColor="text1" w:themeTint="F2"/>
                <w:kern w:val="0"/>
                <w:szCs w:val="21"/>
                <w:highlight w:val="none"/>
                <w14:textFill>
                  <w14:solidFill>
                    <w14:schemeClr w14:val="tx1">
                      <w14:lumMod w14:val="95000"/>
                      <w14:lumOff w14:val="5000"/>
                    </w14:schemeClr>
                  </w14:solidFill>
                </w14:textFill>
              </w:rPr>
              <w:t>五、本项目其他要求及说明</w:t>
            </w:r>
          </w:p>
        </w:tc>
      </w:tr>
      <w:tr w14:paraId="50EC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04" w:type="dxa"/>
            <w:gridSpan w:val="2"/>
            <w:tcBorders>
              <w:top w:val="single" w:color="auto" w:sz="4" w:space="0"/>
              <w:left w:val="single" w:color="auto" w:sz="4" w:space="0"/>
              <w:bottom w:val="single" w:color="auto" w:sz="4" w:space="0"/>
              <w:right w:val="single" w:color="auto" w:sz="4" w:space="0"/>
            </w:tcBorders>
            <w:vAlign w:val="center"/>
          </w:tcPr>
          <w:p w14:paraId="1BEE5F08">
            <w:pPr>
              <w:jc w:val="center"/>
              <w:rPr>
                <w:rFonts w:hint="eastAsia" w:ascii="Arial" w:hAnsi="Arial" w:eastAsia="宋体" w:cs="Arial"/>
                <w:color w:val="0D0D0D" w:themeColor="text1" w:themeTint="F2"/>
                <w:szCs w:val="21"/>
                <w:highlight w:val="none"/>
                <w:lang w:eastAsia="zh-CN"/>
                <w14:textFill>
                  <w14:solidFill>
                    <w14:schemeClr w14:val="tx1">
                      <w14:lumMod w14:val="95000"/>
                      <w14:lumOff w14:val="5000"/>
                    </w14:schemeClr>
                  </w14:solidFill>
                </w14:textFill>
              </w:rPr>
            </w:pPr>
            <w:r>
              <w:rPr>
                <w:rFonts w:hint="eastAsia" w:ascii="Arial" w:hAnsi="Arial" w:cs="Arial"/>
                <w:color w:val="0D0D0D" w:themeColor="text1" w:themeTint="F2"/>
                <w:szCs w:val="21"/>
                <w:highlight w:val="none"/>
                <w:lang w:val="en-US" w:eastAsia="zh-CN"/>
                <w14:textFill>
                  <w14:solidFill>
                    <w14:schemeClr w14:val="tx1">
                      <w14:lumMod w14:val="95000"/>
                      <w14:lumOff w14:val="5000"/>
                    </w14:schemeClr>
                  </w14:solidFill>
                </w14:textFill>
              </w:rPr>
              <w:t>1</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2C08987">
            <w:pPr>
              <w:spacing w:line="360" w:lineRule="exact"/>
              <w:jc w:val="center"/>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其他</w:t>
            </w:r>
          </w:p>
        </w:tc>
        <w:tc>
          <w:tcPr>
            <w:tcW w:w="6917" w:type="dxa"/>
            <w:gridSpan w:val="4"/>
            <w:tcBorders>
              <w:top w:val="single" w:color="auto" w:sz="4" w:space="0"/>
              <w:left w:val="single" w:color="auto" w:sz="4" w:space="0"/>
              <w:bottom w:val="single" w:color="auto" w:sz="4" w:space="0"/>
              <w:right w:val="single" w:color="auto" w:sz="4" w:space="0"/>
            </w:tcBorders>
            <w:vAlign w:val="center"/>
          </w:tcPr>
          <w:p w14:paraId="4F68CECB">
            <w:pPr>
              <w:spacing w:line="30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（1）其他未尽事宜由供需双方在采购合同中详细约定。</w:t>
            </w:r>
          </w:p>
          <w:p w14:paraId="02D217EB">
            <w:pPr>
              <w:spacing w:line="300" w:lineRule="exact"/>
              <w:jc w:val="left"/>
              <w:rPr>
                <w:rFonts w:ascii="Arial" w:hAnsi="Arial" w:cs="Arial"/>
                <w:color w:val="0D0D0D" w:themeColor="text1" w:themeTint="F2"/>
                <w:szCs w:val="21"/>
                <w:highlight w:val="none"/>
                <w14:textFill>
                  <w14:solidFill>
                    <w14:schemeClr w14:val="tx1">
                      <w14:lumMod w14:val="95000"/>
                      <w14:lumOff w14:val="5000"/>
                    </w14:schemeClr>
                  </w14:solidFill>
                </w14:textFill>
              </w:rPr>
            </w:pPr>
            <w:r>
              <w:rPr>
                <w:rFonts w:ascii="Arial" w:hAnsi="Arial" w:cs="Arial"/>
                <w:color w:val="0D0D0D" w:themeColor="text1" w:themeTint="F2"/>
                <w:szCs w:val="21"/>
                <w:highlight w:val="none"/>
                <w14:textFill>
                  <w14:solidFill>
                    <w14:schemeClr w14:val="tx1">
                      <w14:lumMod w14:val="95000"/>
                      <w14:lumOff w14:val="5000"/>
                    </w14:schemeClr>
                  </w14:solidFill>
                </w14:textFill>
              </w:rPr>
              <w:t>（2）标注“▲”的条款或要求系指实质性条款或实质性要求，必须满足，如存在负偏离将导致响应被否决。</w:t>
            </w:r>
          </w:p>
        </w:tc>
      </w:tr>
    </w:tbl>
    <w:p w14:paraId="1299AF03">
      <w:pPr>
        <w:spacing w:line="380" w:lineRule="exact"/>
        <w:rPr>
          <w:rFonts w:ascii="Arial" w:hAnsi="Arial" w:eastAsia="楷体_GB2312" w:cs="Arial"/>
          <w:b/>
          <w:color w:val="0D0D0D" w:themeColor="text1" w:themeTint="F2"/>
          <w:szCs w:val="21"/>
          <w:highlight w:val="none"/>
          <w14:textFill>
            <w14:solidFill>
              <w14:schemeClr w14:val="tx1">
                <w14:lumMod w14:val="95000"/>
                <w14:lumOff w14:val="5000"/>
              </w14:schemeClr>
            </w14:solidFill>
          </w14:textFill>
        </w:rPr>
      </w:pPr>
    </w:p>
    <w:bookmarkEnd w:id="0"/>
    <w:bookmarkEnd w:id="1"/>
    <w:p w14:paraId="185289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D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2025-12-23T10:21:13Z</dcterms:created>
  <dc:creator>Administrator</dc:creator>
  <cp:lastModifiedBy>admin</cp:lastModifiedBy>
  <dcterms:modified xsi:type="dcterms:W3CDTF">2025-12-23T10:21:58Z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eyJoZGlkIjoiNTZlMzdlMTY3NDA3NDgzMmMwYjVjMDZiNjFlNWI5MTIiLCJ1c2VySWQiOiIxMDg2Nzc2Mzg1In0=</vt:lpwstr>
  </property>
  <property fmtid="{D5CDD505-2E9C-101B-9397-08002B2CF9AE}" pid="4" name="ICV">
    <vt:lpwstr>2D53A4B579E54FB2B48E0B6E4297C23A_12</vt:lpwstr>
  </property>
</Properties>
</file>