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D01C61">
      <w:pPr>
        <w:pStyle w:val="4"/>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0" w:name="_Toc12230"/>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0"/>
    </w:p>
    <w:p w14:paraId="6FDDB6DD">
      <w:pPr>
        <w:spacing w:before="120"/>
        <w:rPr>
          <w:rFonts w:ascii="宋体" w:hAnsi="宋体" w:cs="宋体"/>
          <w:b/>
          <w:bCs/>
          <w:color w:val="000000" w:themeColor="text1"/>
          <w:sz w:val="28"/>
          <w:szCs w:val="28"/>
          <w:highlight w:val="none"/>
          <w14:textFill>
            <w14:solidFill>
              <w14:schemeClr w14:val="tx1"/>
            </w14:solidFill>
          </w14:textFill>
        </w:rPr>
      </w:pPr>
    </w:p>
    <w:p w14:paraId="27BD1F44">
      <w:pPr>
        <w:spacing w:line="360" w:lineRule="auto"/>
        <w:rPr>
          <w:rFonts w:ascii="黑体" w:hAnsi="黑体" w:eastAsia="黑体" w:cs="Arial"/>
          <w:b/>
          <w:color w:val="000000" w:themeColor="text1"/>
          <w:kern w:val="0"/>
          <w:sz w:val="28"/>
          <w:szCs w:val="28"/>
          <w:highlight w:val="none"/>
          <w14:textFill>
            <w14:solidFill>
              <w14:schemeClr w14:val="tx1"/>
            </w14:solidFill>
          </w14:textFill>
        </w:rPr>
      </w:pPr>
      <w:r>
        <w:rPr>
          <w:rFonts w:ascii="黑体" w:hAnsi="黑体" w:eastAsia="黑体" w:cs="Arial"/>
          <w:b/>
          <w:color w:val="000000" w:themeColor="text1"/>
          <w:kern w:val="0"/>
          <w:sz w:val="28"/>
          <w:szCs w:val="28"/>
          <w:highlight w:val="none"/>
          <w14:textFill>
            <w14:solidFill>
              <w14:schemeClr w14:val="tx1"/>
            </w14:solidFill>
          </w14:textFill>
        </w:rPr>
        <w:t>一、</w:t>
      </w:r>
      <w:r>
        <w:rPr>
          <w:rFonts w:hint="eastAsia" w:ascii="黑体" w:hAnsi="黑体" w:eastAsia="黑体" w:cs="Arial"/>
          <w:b/>
          <w:color w:val="000000" w:themeColor="text1"/>
          <w:kern w:val="0"/>
          <w:sz w:val="28"/>
          <w:szCs w:val="28"/>
          <w:highlight w:val="none"/>
          <w14:textFill>
            <w14:solidFill>
              <w14:schemeClr w14:val="tx1"/>
            </w14:solidFill>
          </w14:textFill>
        </w:rPr>
        <w:t>总体</w:t>
      </w:r>
      <w:r>
        <w:rPr>
          <w:rFonts w:ascii="黑体" w:hAnsi="黑体" w:eastAsia="黑体" w:cs="Arial"/>
          <w:b/>
          <w:color w:val="000000" w:themeColor="text1"/>
          <w:kern w:val="0"/>
          <w:sz w:val="28"/>
          <w:szCs w:val="28"/>
          <w:highlight w:val="none"/>
          <w14:textFill>
            <w14:solidFill>
              <w14:schemeClr w14:val="tx1"/>
            </w14:solidFill>
          </w14:textFill>
        </w:rPr>
        <w:t>要求</w:t>
      </w:r>
    </w:p>
    <w:p w14:paraId="1D654B9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.政府采购政策的应用</w:t>
      </w:r>
    </w:p>
    <w:p w14:paraId="5211E288">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详见招标文件“评审方法及标准</w:t>
      </w:r>
      <w:r>
        <w:rPr>
          <w:color w:val="000000" w:themeColor="text1"/>
          <w:szCs w:val="21"/>
          <w:highlight w:val="none"/>
          <w14:textFill>
            <w14:solidFill>
              <w14:schemeClr w14:val="tx1"/>
            </w14:solidFill>
          </w14:textFill>
        </w:rPr>
        <w:t>/政府采购政策应用说明”。</w:t>
      </w:r>
    </w:p>
    <w:p w14:paraId="132C4CD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.采购需求要求未尽事宜</w:t>
      </w:r>
      <w:r>
        <w:rPr>
          <w:color w:val="000000" w:themeColor="text1"/>
          <w:szCs w:val="21"/>
          <w:highlight w:val="none"/>
          <w14:textFill>
            <w14:solidFill>
              <w14:schemeClr w14:val="tx1"/>
            </w14:solidFill>
          </w14:textFill>
        </w:rPr>
        <w:t>由</w:t>
      </w:r>
      <w:r>
        <w:rPr>
          <w:rFonts w:hint="eastAsia"/>
          <w:color w:val="000000" w:themeColor="text1"/>
          <w:szCs w:val="21"/>
          <w:highlight w:val="none"/>
          <w14:textFill>
            <w14:solidFill>
              <w14:schemeClr w14:val="tx1"/>
            </w14:solidFill>
          </w14:textFill>
        </w:rPr>
        <w:t>采购人与中标供应商</w:t>
      </w:r>
      <w:r>
        <w:rPr>
          <w:color w:val="000000" w:themeColor="text1"/>
          <w:szCs w:val="21"/>
          <w:highlight w:val="none"/>
          <w14:textFill>
            <w14:solidFill>
              <w14:schemeClr w14:val="tx1"/>
            </w14:solidFill>
          </w14:textFill>
        </w:rPr>
        <w:t>在采购合同中约定。</w:t>
      </w:r>
    </w:p>
    <w:p w14:paraId="258D320C">
      <w:pPr>
        <w:spacing w:line="360"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3.标注“▲”的条款或要求系指实质性条款或实质性要求，必须满足，如存在负偏离将导致投标被否决。</w:t>
      </w:r>
    </w:p>
    <w:p w14:paraId="34C5AA96">
      <w:pPr>
        <w:spacing w:line="360" w:lineRule="auto"/>
        <w:rPr>
          <w:rFonts w:ascii="黑体" w:hAnsi="黑体" w:eastAsia="黑体" w:cs="Arial"/>
          <w:b/>
          <w:color w:val="000000" w:themeColor="text1"/>
          <w:kern w:val="0"/>
          <w:sz w:val="28"/>
          <w:szCs w:val="28"/>
          <w:highlight w:val="none"/>
          <w14:textFill>
            <w14:solidFill>
              <w14:schemeClr w14:val="tx1"/>
            </w14:solidFill>
          </w14:textFill>
        </w:rPr>
      </w:pPr>
      <w:r>
        <w:rPr>
          <w:rFonts w:hint="eastAsia" w:ascii="黑体" w:hAnsi="黑体" w:eastAsia="黑体" w:cs="Arial"/>
          <w:b/>
          <w:color w:val="000000" w:themeColor="text1"/>
          <w:kern w:val="0"/>
          <w:sz w:val="28"/>
          <w:szCs w:val="28"/>
          <w:highlight w:val="none"/>
          <w14:textFill>
            <w14:solidFill>
              <w14:schemeClr w14:val="tx1"/>
            </w14:solidFill>
          </w14:textFill>
        </w:rPr>
        <w:t>二、技术要求</w:t>
      </w:r>
    </w:p>
    <w:p w14:paraId="1E2E0720">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1.需实现的功能、目标及应用场景</w:t>
      </w:r>
    </w:p>
    <w:p w14:paraId="66D406CD">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满足招标文件要求，验收达到合格标准。</w:t>
      </w:r>
    </w:p>
    <w:p w14:paraId="6F15DEC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.是否接受进口产品：</w:t>
      </w:r>
      <w:r>
        <w:rPr>
          <w:color w:val="000000" w:themeColor="text1"/>
          <w:szCs w:val="21"/>
          <w:highlight w:val="none"/>
          <w14:textFill>
            <w14:solidFill>
              <w14:schemeClr w14:val="tx1"/>
            </w14:solidFill>
          </w14:textFill>
        </w:rPr>
        <w:sym w:font="Wingdings 2" w:char="F052"/>
      </w:r>
      <w:r>
        <w:rPr>
          <w:rFonts w:hint="eastAsia"/>
          <w:color w:val="000000" w:themeColor="text1"/>
          <w:szCs w:val="21"/>
          <w:highlight w:val="none"/>
          <w14:textFill>
            <w14:solidFill>
              <w14:schemeClr w14:val="tx1"/>
            </w14:solidFill>
          </w14:textFill>
        </w:rPr>
        <w:t>否</w:t>
      </w:r>
    </w:p>
    <w:p w14:paraId="35117A1A">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w:t>
      </w:r>
      <w:r>
        <w:rPr>
          <w:color w:val="000000" w:themeColor="text1"/>
          <w:szCs w:val="21"/>
          <w:highlight w:val="none"/>
          <w14:textFill>
            <w14:solidFill>
              <w14:schemeClr w14:val="tx1"/>
            </w14:solidFill>
          </w14:textFill>
        </w:rPr>
        <w:t>需执行的国家相关标准、行业标准、地方标准或者其他标准、规范</w:t>
      </w:r>
    </w:p>
    <w:p w14:paraId="7A85F542">
      <w:pPr>
        <w:spacing w:line="360" w:lineRule="auto"/>
        <w:rPr>
          <w:i/>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本项目应执行的国家相关标准、行业标准、地方标准或者其他标准、规范为：</w:t>
      </w:r>
      <w:r>
        <w:rPr>
          <w:rFonts w:hint="eastAsia"/>
          <w:color w:val="000000" w:themeColor="text1"/>
          <w:szCs w:val="21"/>
          <w:highlight w:val="none"/>
          <w:u w:val="single"/>
          <w14:textFill>
            <w14:solidFill>
              <w14:schemeClr w14:val="tx1"/>
            </w14:solidFill>
          </w14:textFill>
        </w:rPr>
        <w:t xml:space="preserve"> </w:t>
      </w:r>
      <w:r>
        <w:rPr>
          <w:rFonts w:hint="eastAsia"/>
          <w:i/>
          <w:color w:val="000000" w:themeColor="text1"/>
          <w:szCs w:val="21"/>
          <w:highlight w:val="none"/>
          <w:u w:val="single"/>
          <w14:textFill>
            <w14:solidFill>
              <w14:schemeClr w14:val="tx1"/>
            </w14:solidFill>
          </w14:textFill>
        </w:rPr>
        <w:t>详见技术指标要求.</w:t>
      </w:r>
    </w:p>
    <w:p w14:paraId="001EDF90">
      <w:pPr>
        <w:spacing w:line="360" w:lineRule="auto"/>
        <w:rPr>
          <w:color w:val="000000" w:themeColor="text1"/>
          <w:szCs w:val="21"/>
          <w:highlight w:val="none"/>
          <w:u w:val="single"/>
          <w14:textFill>
            <w14:solidFill>
              <w14:schemeClr w14:val="tx1"/>
            </w14:solidFill>
          </w14:textFill>
        </w:rPr>
      </w:pPr>
      <w:bookmarkStart w:id="1" w:name="_Hlk132878373"/>
      <w:r>
        <w:rPr>
          <w:rFonts w:hint="eastAsia"/>
          <w:color w:val="000000" w:themeColor="text1"/>
          <w:szCs w:val="21"/>
          <w:highlight w:val="none"/>
          <w14:textFill>
            <w14:solidFill>
              <w14:schemeClr w14:val="tx1"/>
            </w14:solidFill>
          </w14:textFill>
        </w:rPr>
        <w:t>【备注：查询网址：国标</w:t>
      </w:r>
      <w:r>
        <w:rPr>
          <w:highlight w:val="none"/>
        </w:rPr>
        <w:fldChar w:fldCharType="begin"/>
      </w:r>
      <w:r>
        <w:rPr>
          <w:highlight w:val="none"/>
        </w:rPr>
        <w:instrText xml:space="preserve"> HYPERLINK "https://openstd.samr.gov.cn/bzgk/gb/index" </w:instrText>
      </w:r>
      <w:r>
        <w:rPr>
          <w:highlight w:val="none"/>
        </w:rPr>
        <w:fldChar w:fldCharType="separate"/>
      </w:r>
      <w:r>
        <w:rPr>
          <w:rStyle w:val="7"/>
          <w:color w:val="000000" w:themeColor="text1"/>
          <w:szCs w:val="21"/>
          <w:highlight w:val="none"/>
          <w14:textFill>
            <w14:solidFill>
              <w14:schemeClr w14:val="tx1"/>
            </w14:solidFill>
          </w14:textFill>
        </w:rPr>
        <w:t>https://openstd.samr.gov.cn/bzgk/gb/index</w:t>
      </w:r>
      <w:r>
        <w:rPr>
          <w:rStyle w:val="7"/>
          <w:color w:val="000000" w:themeColor="text1"/>
          <w:szCs w:val="21"/>
          <w:highlight w:val="none"/>
          <w14:textFill>
            <w14:solidFill>
              <w14:schemeClr w14:val="tx1"/>
            </w14:solidFill>
          </w14:textFill>
        </w:rPr>
        <w:fldChar w:fldCharType="end"/>
      </w:r>
      <w:r>
        <w:rPr>
          <w:rFonts w:hint="eastAsia"/>
          <w:color w:val="000000" w:themeColor="text1"/>
          <w:szCs w:val="21"/>
          <w:highlight w:val="none"/>
          <w14:textFill>
            <w14:solidFill>
              <w14:schemeClr w14:val="tx1"/>
            </w14:solidFill>
          </w14:textFill>
        </w:rPr>
        <w:t>，行标</w:t>
      </w:r>
      <w:r>
        <w:rPr>
          <w:highlight w:val="none"/>
        </w:rPr>
        <w:fldChar w:fldCharType="begin"/>
      </w:r>
      <w:r>
        <w:rPr>
          <w:highlight w:val="none"/>
        </w:rPr>
        <w:instrText xml:space="preserve"> HYPERLINK "https://hbba.sacinfo.org.cn/" </w:instrText>
      </w:r>
      <w:r>
        <w:rPr>
          <w:highlight w:val="none"/>
        </w:rPr>
        <w:fldChar w:fldCharType="separate"/>
      </w:r>
      <w:r>
        <w:rPr>
          <w:rStyle w:val="7"/>
          <w:color w:val="000000" w:themeColor="text1"/>
          <w:szCs w:val="21"/>
          <w:highlight w:val="none"/>
          <w14:textFill>
            <w14:solidFill>
              <w14:schemeClr w14:val="tx1"/>
            </w14:solidFill>
          </w14:textFill>
        </w:rPr>
        <w:t>https://hbba.sacinfo.org.cn/</w:t>
      </w:r>
      <w:r>
        <w:rPr>
          <w:rStyle w:val="7"/>
          <w:color w:val="000000" w:themeColor="text1"/>
          <w:szCs w:val="21"/>
          <w:highlight w:val="none"/>
          <w14:textFill>
            <w14:solidFill>
              <w14:schemeClr w14:val="tx1"/>
            </w14:solidFill>
          </w14:textFill>
        </w:rPr>
        <w:fldChar w:fldCharType="end"/>
      </w:r>
      <w:r>
        <w:rPr>
          <w:rStyle w:val="7"/>
          <w:rFonts w:hint="eastAsia"/>
          <w:color w:val="000000" w:themeColor="text1"/>
          <w:szCs w:val="21"/>
          <w:highlight w:val="none"/>
          <w14:textFill>
            <w14:solidFill>
              <w14:schemeClr w14:val="tx1"/>
            </w14:solidFill>
          </w14:textFill>
        </w:rPr>
        <w:t>】</w:t>
      </w:r>
    </w:p>
    <w:bookmarkEnd w:id="1"/>
    <w:p w14:paraId="3B735115">
      <w:pPr>
        <w:spacing w:line="360" w:lineRule="auto"/>
        <w:rPr>
          <w:color w:val="000000" w:themeColor="text1"/>
          <w:szCs w:val="21"/>
          <w:highlight w:val="none"/>
          <w14:textFill>
            <w14:solidFill>
              <w14:schemeClr w14:val="tx1"/>
            </w14:solidFill>
          </w14:textFill>
        </w:rPr>
      </w:pPr>
      <w:bookmarkStart w:id="2" w:name="_Hlk132878382"/>
      <w:r>
        <w:rPr>
          <w:rFonts w:hint="eastAsia"/>
          <w:color w:val="000000" w:themeColor="text1"/>
          <w:szCs w:val="21"/>
          <w:highlight w:val="none"/>
          <w14:textFill>
            <w14:solidFill>
              <w14:schemeClr w14:val="tx1"/>
            </w14:solidFill>
          </w14:textFill>
        </w:rPr>
        <w:t>【备注：所属行业根据《关于印发中小企业划型标准规定的通知》（工信部联企业〔2011〕300号）</w:t>
      </w:r>
    </w:p>
    <w:p w14:paraId="51FA6E31">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以及《金融业企业划型标准规定》（银发〔2015〕309号）认定】</w:t>
      </w:r>
    </w:p>
    <w:p w14:paraId="0F6234AE">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4.标的所属行业：</w:t>
      </w:r>
      <w:r>
        <w:rPr>
          <w:rFonts w:hint="eastAsia"/>
          <w:color w:val="000000" w:themeColor="text1"/>
          <w:szCs w:val="21"/>
          <w:highlight w:val="none"/>
          <w:u w:val="single"/>
          <w14:textFill>
            <w14:solidFill>
              <w14:schemeClr w14:val="tx1"/>
            </w14:solidFill>
          </w14:textFill>
        </w:rPr>
        <w:t>批发业</w:t>
      </w:r>
    </w:p>
    <w:bookmarkEnd w:id="2"/>
    <w:p w14:paraId="458BB9BF">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r>
        <w:rPr>
          <w:rFonts w:hint="eastAsia"/>
          <w:color w:val="000000" w:themeColor="text1"/>
          <w:szCs w:val="21"/>
          <w:highlight w:val="none"/>
          <w14:textFill>
            <w14:solidFill>
              <w14:schemeClr w14:val="tx1"/>
            </w14:solidFill>
          </w14:textFill>
        </w:rPr>
        <w:t>.核心产品：本项目为服务项目，不适用核心产品规定。</w:t>
      </w:r>
    </w:p>
    <w:p w14:paraId="1C61B99E">
      <w:pPr>
        <w:spacing w:line="360" w:lineRule="auto"/>
        <w:rPr>
          <w:b/>
          <w:bCs/>
          <w:color w:val="000000" w:themeColor="text1"/>
          <w:szCs w:val="21"/>
          <w:highlight w:val="none"/>
          <w14:textFill>
            <w14:solidFill>
              <w14:schemeClr w14:val="tx1"/>
            </w14:solidFill>
          </w14:textFill>
        </w:rPr>
      </w:pPr>
      <w:r>
        <w:rPr>
          <w:rFonts w:hint="eastAsia"/>
          <w:b/>
          <w:bCs/>
          <w:color w:val="000000" w:themeColor="text1"/>
          <w:szCs w:val="21"/>
          <w:highlight w:val="none"/>
          <w14:textFill>
            <w14:solidFill>
              <w14:schemeClr w14:val="tx1"/>
            </w14:solidFill>
          </w14:textFill>
        </w:rPr>
        <w:t>6.服务内容和标准如下表：</w:t>
      </w:r>
    </w:p>
    <w:p w14:paraId="6C1AA515">
      <w:pPr>
        <w:spacing w:line="360" w:lineRule="auto"/>
        <w:rPr>
          <w:b/>
          <w:bCs/>
          <w:color w:val="000000" w:themeColor="text1"/>
          <w:szCs w:val="21"/>
          <w:highlight w:val="none"/>
          <w14:textFill>
            <w14:solidFill>
              <w14:schemeClr w14:val="tx1"/>
            </w14:solidFill>
          </w14:textFill>
        </w:rPr>
      </w:pPr>
      <w:r>
        <w:rPr>
          <w:rFonts w:hint="eastAsia"/>
          <w:b/>
          <w:bCs/>
          <w:color w:val="000000" w:themeColor="text1"/>
          <w:szCs w:val="21"/>
          <w:highlight w:val="none"/>
          <w14:textFill>
            <w14:solidFill>
              <w14:schemeClr w14:val="tx1"/>
            </w14:solidFill>
          </w14:textFill>
        </w:rPr>
        <w:t>6.1采购参数及</w:t>
      </w:r>
      <w:r>
        <w:rPr>
          <w:rFonts w:hint="eastAsia"/>
          <w:b/>
          <w:bCs/>
          <w:color w:val="000000" w:themeColor="text1"/>
          <w:szCs w:val="21"/>
          <w:highlight w:val="none"/>
          <w:lang w:eastAsia="zh-CN"/>
          <w14:textFill>
            <w14:solidFill>
              <w14:schemeClr w14:val="tx1"/>
            </w14:solidFill>
          </w14:textFill>
        </w:rPr>
        <w:t>规格</w:t>
      </w:r>
      <w:r>
        <w:rPr>
          <w:rFonts w:hint="eastAsia"/>
          <w:b/>
          <w:bCs/>
          <w:color w:val="000000" w:themeColor="text1"/>
          <w:szCs w:val="21"/>
          <w:highlight w:val="none"/>
          <w14:textFill>
            <w14:solidFill>
              <w14:schemeClr w14:val="tx1"/>
            </w14:solidFill>
          </w14:textFill>
        </w:rPr>
        <w:t>要求：</w:t>
      </w:r>
    </w:p>
    <w:p w14:paraId="34D9E16A">
      <w:pPr>
        <w:spacing w:line="360" w:lineRule="auto"/>
        <w:rPr>
          <w:rFonts w:hint="eastAsia" w:eastAsia="宋体"/>
          <w:color w:val="000000" w:themeColor="text1"/>
          <w:szCs w:val="21"/>
          <w:highlight w:val="none"/>
          <w:lang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采购货物或服务一览表</w:t>
      </w:r>
    </w:p>
    <w:tbl>
      <w:tblPr>
        <w:tblStyle w:val="5"/>
        <w:tblW w:w="426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04"/>
        <w:gridCol w:w="2404"/>
        <w:gridCol w:w="1992"/>
        <w:gridCol w:w="1790"/>
      </w:tblGrid>
      <w:tr w14:paraId="0BACE0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jc w:val="center"/>
        </w:trPr>
        <w:tc>
          <w:tcPr>
            <w:tcW w:w="637" w:type="pct"/>
            <w:noWrap/>
            <w:vAlign w:val="center"/>
          </w:tcPr>
          <w:p w14:paraId="0121B7BB">
            <w:pPr>
              <w:spacing w:line="360" w:lineRule="auto"/>
              <w:jc w:val="center"/>
              <w:rPr>
                <w:rFonts w:ascii="宋体" w:hAnsi="宋体" w:cs="宋体"/>
                <w:b/>
                <w:bCs/>
                <w:color w:val="000000" w:themeColor="text1"/>
                <w:szCs w:val="21"/>
                <w:highlight w:val="none"/>
                <w14:textFill>
                  <w14:solidFill>
                    <w14:schemeClr w14:val="tx1"/>
                  </w14:solidFill>
                </w14:textFill>
              </w:rPr>
            </w:pPr>
            <w:bookmarkStart w:id="3" w:name="_Hlk132815104"/>
            <w:r>
              <w:rPr>
                <w:rFonts w:hint="eastAsia" w:ascii="宋体" w:hAnsi="宋体" w:cs="宋体"/>
                <w:b/>
                <w:bCs/>
                <w:color w:val="000000" w:themeColor="text1"/>
                <w:szCs w:val="21"/>
                <w:highlight w:val="none"/>
                <w14:textFill>
                  <w14:solidFill>
                    <w14:schemeClr w14:val="tx1"/>
                  </w14:solidFill>
                </w14:textFill>
              </w:rPr>
              <w:t>序号</w:t>
            </w:r>
          </w:p>
        </w:tc>
        <w:tc>
          <w:tcPr>
            <w:tcW w:w="1695" w:type="pct"/>
            <w:noWrap/>
            <w:vAlign w:val="center"/>
          </w:tcPr>
          <w:p w14:paraId="10340E6E">
            <w:pPr>
              <w:spacing w:line="360" w:lineRule="auto"/>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名称</w:t>
            </w:r>
          </w:p>
        </w:tc>
        <w:tc>
          <w:tcPr>
            <w:tcW w:w="1404" w:type="pct"/>
            <w:noWrap/>
            <w:vAlign w:val="center"/>
          </w:tcPr>
          <w:p w14:paraId="452B4F20">
            <w:pPr>
              <w:widowControl/>
              <w:kinsoku w:val="0"/>
              <w:adjustRightInd w:val="0"/>
              <w:spacing w:line="360" w:lineRule="auto"/>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规格</w:t>
            </w:r>
          </w:p>
        </w:tc>
        <w:tc>
          <w:tcPr>
            <w:tcW w:w="1262" w:type="pct"/>
            <w:noWrap/>
            <w:vAlign w:val="center"/>
          </w:tcPr>
          <w:p w14:paraId="43276BC0">
            <w:pPr>
              <w:widowControl/>
              <w:kinsoku w:val="0"/>
              <w:adjustRightInd w:val="0"/>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最高控制单价</w:t>
            </w:r>
          </w:p>
        </w:tc>
      </w:tr>
      <w:tr w14:paraId="012F3E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jc w:val="center"/>
        </w:trPr>
        <w:tc>
          <w:tcPr>
            <w:tcW w:w="637" w:type="pct"/>
            <w:noWrap/>
            <w:vAlign w:val="center"/>
          </w:tcPr>
          <w:p w14:paraId="0978A414">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p>
        </w:tc>
        <w:tc>
          <w:tcPr>
            <w:tcW w:w="1695" w:type="pct"/>
            <w:noWrap/>
            <w:vAlign w:val="center"/>
          </w:tcPr>
          <w:p w14:paraId="7494C8C0">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医用液氧</w:t>
            </w:r>
          </w:p>
        </w:tc>
        <w:tc>
          <w:tcPr>
            <w:tcW w:w="1404" w:type="pct"/>
            <w:noWrap/>
            <w:vAlign w:val="center"/>
          </w:tcPr>
          <w:p w14:paraId="398B13FB">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c>
          <w:tcPr>
            <w:tcW w:w="1262" w:type="pct"/>
            <w:noWrap/>
            <w:vAlign w:val="center"/>
          </w:tcPr>
          <w:p w14:paraId="28DAA5CE">
            <w:pPr>
              <w:widowControl/>
              <w:jc w:val="center"/>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2250元/吨</w:t>
            </w:r>
          </w:p>
        </w:tc>
      </w:tr>
      <w:tr w14:paraId="30FADF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jc w:val="center"/>
        </w:trPr>
        <w:tc>
          <w:tcPr>
            <w:tcW w:w="637" w:type="pct"/>
            <w:noWrap/>
            <w:vAlign w:val="center"/>
          </w:tcPr>
          <w:p w14:paraId="287F1E0A">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p>
        </w:tc>
        <w:tc>
          <w:tcPr>
            <w:tcW w:w="1695" w:type="pct"/>
            <w:noWrap/>
            <w:vAlign w:val="center"/>
          </w:tcPr>
          <w:p w14:paraId="18E9E077">
            <w:pPr>
              <w:widowControl/>
              <w:kinsoku w:val="0"/>
              <w:adjustRightInd w:val="0"/>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医用氧气</w:t>
            </w:r>
          </w:p>
        </w:tc>
        <w:tc>
          <w:tcPr>
            <w:tcW w:w="1404" w:type="pct"/>
            <w:noWrap/>
            <w:vAlign w:val="center"/>
          </w:tcPr>
          <w:p w14:paraId="0BE30497">
            <w:pPr>
              <w:pStyle w:val="3"/>
              <w:widowControl/>
              <w:kinsoku w:val="0"/>
              <w:adjustRightInd w:val="0"/>
              <w:spacing w:line="360" w:lineRule="auto"/>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40L</w:t>
            </w:r>
          </w:p>
        </w:tc>
        <w:tc>
          <w:tcPr>
            <w:tcW w:w="1262" w:type="pct"/>
            <w:noWrap/>
            <w:vAlign w:val="center"/>
          </w:tcPr>
          <w:p w14:paraId="0FA6778B">
            <w:pPr>
              <w:widowControl/>
              <w:jc w:val="center"/>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30元/瓶</w:t>
            </w:r>
          </w:p>
        </w:tc>
      </w:tr>
      <w:tr w14:paraId="61940A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jc w:val="center"/>
        </w:trPr>
        <w:tc>
          <w:tcPr>
            <w:tcW w:w="637" w:type="pct"/>
            <w:noWrap/>
            <w:vAlign w:val="center"/>
          </w:tcPr>
          <w:p w14:paraId="3E1F5E3B">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p>
        </w:tc>
        <w:tc>
          <w:tcPr>
            <w:tcW w:w="1695" w:type="pct"/>
            <w:noWrap/>
            <w:vAlign w:val="center"/>
          </w:tcPr>
          <w:p w14:paraId="44158A7D">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医用氧气</w:t>
            </w:r>
          </w:p>
        </w:tc>
        <w:tc>
          <w:tcPr>
            <w:tcW w:w="1404" w:type="pct"/>
            <w:noWrap/>
            <w:vAlign w:val="center"/>
          </w:tcPr>
          <w:p w14:paraId="46E54D21">
            <w:pPr>
              <w:pStyle w:val="3"/>
              <w:widowControl/>
              <w:kinsoku w:val="0"/>
              <w:adjustRightInd w:val="0"/>
              <w:spacing w:line="360" w:lineRule="auto"/>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10L</w:t>
            </w:r>
          </w:p>
        </w:tc>
        <w:tc>
          <w:tcPr>
            <w:tcW w:w="1262" w:type="pct"/>
            <w:noWrap/>
            <w:vAlign w:val="center"/>
          </w:tcPr>
          <w:p w14:paraId="6F4F884B">
            <w:pPr>
              <w:widowControl/>
              <w:jc w:val="center"/>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22元/瓶</w:t>
            </w:r>
          </w:p>
        </w:tc>
      </w:tr>
      <w:tr w14:paraId="7B2972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637" w:type="pct"/>
            <w:noWrap/>
            <w:vAlign w:val="center"/>
          </w:tcPr>
          <w:p w14:paraId="75AD876E">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w:t>
            </w:r>
          </w:p>
        </w:tc>
        <w:tc>
          <w:tcPr>
            <w:tcW w:w="1695" w:type="pct"/>
            <w:noWrap/>
            <w:vAlign w:val="center"/>
          </w:tcPr>
          <w:p w14:paraId="731EDB2C">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医用氧气</w:t>
            </w:r>
          </w:p>
        </w:tc>
        <w:tc>
          <w:tcPr>
            <w:tcW w:w="1404" w:type="pct"/>
            <w:noWrap/>
            <w:vAlign w:val="center"/>
          </w:tcPr>
          <w:p w14:paraId="538412AE">
            <w:pPr>
              <w:pStyle w:val="3"/>
              <w:widowControl/>
              <w:kinsoku w:val="0"/>
              <w:adjustRightInd w:val="0"/>
              <w:spacing w:line="360" w:lineRule="auto"/>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6.3L</w:t>
            </w:r>
          </w:p>
        </w:tc>
        <w:tc>
          <w:tcPr>
            <w:tcW w:w="1262" w:type="pct"/>
            <w:noWrap/>
            <w:vAlign w:val="center"/>
          </w:tcPr>
          <w:p w14:paraId="748CBB0B">
            <w:pPr>
              <w:widowControl/>
              <w:jc w:val="center"/>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20元/瓶</w:t>
            </w:r>
          </w:p>
        </w:tc>
      </w:tr>
      <w:tr w14:paraId="1290A5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jc w:val="center"/>
        </w:trPr>
        <w:tc>
          <w:tcPr>
            <w:tcW w:w="637" w:type="pct"/>
            <w:noWrap/>
            <w:vAlign w:val="center"/>
          </w:tcPr>
          <w:p w14:paraId="3F197000">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w:t>
            </w:r>
          </w:p>
        </w:tc>
        <w:tc>
          <w:tcPr>
            <w:tcW w:w="1695" w:type="pct"/>
            <w:noWrap/>
            <w:vAlign w:val="center"/>
          </w:tcPr>
          <w:p w14:paraId="5E7D6A20">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医用氧气</w:t>
            </w:r>
          </w:p>
        </w:tc>
        <w:tc>
          <w:tcPr>
            <w:tcW w:w="1404" w:type="pct"/>
            <w:noWrap/>
            <w:vAlign w:val="center"/>
          </w:tcPr>
          <w:p w14:paraId="710056E8">
            <w:pPr>
              <w:pStyle w:val="3"/>
              <w:widowControl/>
              <w:kinsoku w:val="0"/>
              <w:adjustRightInd w:val="0"/>
              <w:spacing w:line="360" w:lineRule="auto"/>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4.2L</w:t>
            </w:r>
          </w:p>
        </w:tc>
        <w:tc>
          <w:tcPr>
            <w:tcW w:w="1262" w:type="pct"/>
            <w:noWrap/>
            <w:vAlign w:val="center"/>
          </w:tcPr>
          <w:p w14:paraId="2CD03DD9">
            <w:pPr>
              <w:widowControl/>
              <w:jc w:val="center"/>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16元/瓶</w:t>
            </w:r>
          </w:p>
        </w:tc>
      </w:tr>
      <w:tr w14:paraId="7F95E1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jc w:val="center"/>
        </w:trPr>
        <w:tc>
          <w:tcPr>
            <w:tcW w:w="637" w:type="pct"/>
            <w:noWrap/>
            <w:vAlign w:val="center"/>
          </w:tcPr>
          <w:p w14:paraId="4E807742">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w:t>
            </w:r>
          </w:p>
        </w:tc>
        <w:tc>
          <w:tcPr>
            <w:tcW w:w="1695" w:type="pct"/>
            <w:noWrap/>
            <w:vAlign w:val="center"/>
          </w:tcPr>
          <w:p w14:paraId="50A5BCD4">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医用氧气</w:t>
            </w:r>
          </w:p>
        </w:tc>
        <w:tc>
          <w:tcPr>
            <w:tcW w:w="1404" w:type="pct"/>
            <w:noWrap/>
            <w:vAlign w:val="center"/>
          </w:tcPr>
          <w:p w14:paraId="30E3C63C">
            <w:pPr>
              <w:pStyle w:val="3"/>
              <w:widowControl/>
              <w:kinsoku w:val="0"/>
              <w:adjustRightInd w:val="0"/>
              <w:spacing w:line="360" w:lineRule="auto"/>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3.2L</w:t>
            </w:r>
          </w:p>
        </w:tc>
        <w:tc>
          <w:tcPr>
            <w:tcW w:w="1262" w:type="pct"/>
            <w:noWrap/>
            <w:vAlign w:val="center"/>
          </w:tcPr>
          <w:p w14:paraId="69E7AA6D">
            <w:pPr>
              <w:widowControl/>
              <w:jc w:val="center"/>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14元/瓶</w:t>
            </w:r>
          </w:p>
        </w:tc>
      </w:tr>
      <w:tr w14:paraId="725FC1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jc w:val="center"/>
        </w:trPr>
        <w:tc>
          <w:tcPr>
            <w:tcW w:w="637" w:type="pct"/>
            <w:noWrap/>
            <w:vAlign w:val="center"/>
          </w:tcPr>
          <w:p w14:paraId="7C33E8E5">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w:t>
            </w:r>
          </w:p>
        </w:tc>
        <w:tc>
          <w:tcPr>
            <w:tcW w:w="1695" w:type="pct"/>
            <w:noWrap/>
            <w:vAlign w:val="center"/>
          </w:tcPr>
          <w:p w14:paraId="0C9B2357">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二氧化碳</w:t>
            </w:r>
          </w:p>
        </w:tc>
        <w:tc>
          <w:tcPr>
            <w:tcW w:w="1404" w:type="pct"/>
            <w:noWrap/>
            <w:vAlign w:val="center"/>
          </w:tcPr>
          <w:p w14:paraId="62694DFC">
            <w:pPr>
              <w:pStyle w:val="3"/>
              <w:widowControl/>
              <w:kinsoku w:val="0"/>
              <w:adjustRightInd w:val="0"/>
              <w:spacing w:line="360" w:lineRule="auto"/>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40L</w:t>
            </w:r>
          </w:p>
        </w:tc>
        <w:tc>
          <w:tcPr>
            <w:tcW w:w="1262" w:type="pct"/>
            <w:noWrap/>
            <w:vAlign w:val="center"/>
          </w:tcPr>
          <w:p w14:paraId="354649BC">
            <w:pPr>
              <w:widowControl/>
              <w:jc w:val="center"/>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50元/瓶</w:t>
            </w:r>
          </w:p>
        </w:tc>
      </w:tr>
      <w:tr w14:paraId="09134E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jc w:val="center"/>
        </w:trPr>
        <w:tc>
          <w:tcPr>
            <w:tcW w:w="637" w:type="pct"/>
            <w:noWrap/>
            <w:vAlign w:val="center"/>
          </w:tcPr>
          <w:p w14:paraId="3B56CC34">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8</w:t>
            </w:r>
          </w:p>
        </w:tc>
        <w:tc>
          <w:tcPr>
            <w:tcW w:w="1695" w:type="pct"/>
            <w:noWrap/>
            <w:vAlign w:val="center"/>
          </w:tcPr>
          <w:p w14:paraId="61C0098A">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氩气</w:t>
            </w:r>
          </w:p>
        </w:tc>
        <w:tc>
          <w:tcPr>
            <w:tcW w:w="1404" w:type="pct"/>
            <w:noWrap/>
            <w:vAlign w:val="center"/>
          </w:tcPr>
          <w:p w14:paraId="0F008EE2">
            <w:pPr>
              <w:pStyle w:val="3"/>
              <w:widowControl/>
              <w:kinsoku w:val="0"/>
              <w:adjustRightInd w:val="0"/>
              <w:spacing w:line="360" w:lineRule="auto"/>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40L</w:t>
            </w:r>
          </w:p>
        </w:tc>
        <w:tc>
          <w:tcPr>
            <w:tcW w:w="1262" w:type="pct"/>
            <w:noWrap/>
            <w:vAlign w:val="center"/>
          </w:tcPr>
          <w:p w14:paraId="5EA0F03D">
            <w:pPr>
              <w:widowControl/>
              <w:jc w:val="center"/>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120元/瓶</w:t>
            </w:r>
          </w:p>
        </w:tc>
      </w:tr>
      <w:tr w14:paraId="7C7994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jc w:val="center"/>
        </w:trPr>
        <w:tc>
          <w:tcPr>
            <w:tcW w:w="637" w:type="pct"/>
            <w:noWrap/>
            <w:vAlign w:val="center"/>
          </w:tcPr>
          <w:p w14:paraId="7B675AFE">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9</w:t>
            </w:r>
          </w:p>
        </w:tc>
        <w:tc>
          <w:tcPr>
            <w:tcW w:w="1695" w:type="pct"/>
            <w:noWrap/>
            <w:vAlign w:val="center"/>
          </w:tcPr>
          <w:p w14:paraId="02157FC7">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乙炔</w:t>
            </w:r>
          </w:p>
        </w:tc>
        <w:tc>
          <w:tcPr>
            <w:tcW w:w="1404" w:type="pct"/>
            <w:noWrap/>
            <w:vAlign w:val="center"/>
          </w:tcPr>
          <w:p w14:paraId="0A29DB9D">
            <w:pPr>
              <w:pStyle w:val="3"/>
              <w:widowControl/>
              <w:kinsoku w:val="0"/>
              <w:adjustRightInd w:val="0"/>
              <w:spacing w:line="360" w:lineRule="auto"/>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40L</w:t>
            </w:r>
          </w:p>
        </w:tc>
        <w:tc>
          <w:tcPr>
            <w:tcW w:w="1262" w:type="pct"/>
            <w:noWrap/>
            <w:vAlign w:val="center"/>
          </w:tcPr>
          <w:p w14:paraId="56DBB23D">
            <w:pPr>
              <w:widowControl/>
              <w:jc w:val="center"/>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105元/瓶</w:t>
            </w:r>
          </w:p>
        </w:tc>
      </w:tr>
      <w:tr w14:paraId="13BA37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jc w:val="center"/>
        </w:trPr>
        <w:tc>
          <w:tcPr>
            <w:tcW w:w="637" w:type="pct"/>
            <w:noWrap/>
            <w:vAlign w:val="center"/>
          </w:tcPr>
          <w:p w14:paraId="4A6F527E">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10</w:t>
            </w:r>
          </w:p>
        </w:tc>
        <w:tc>
          <w:tcPr>
            <w:tcW w:w="1695" w:type="pct"/>
            <w:noWrap/>
            <w:vAlign w:val="center"/>
          </w:tcPr>
          <w:p w14:paraId="73491943">
            <w:pPr>
              <w:widowControl/>
              <w:kinsoku w:val="0"/>
              <w:adjustRightInd w:val="0"/>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高纯氮</w:t>
            </w:r>
            <w:r>
              <w:rPr>
                <w:rFonts w:hint="eastAsia" w:ascii="宋体" w:hAnsi="宋体" w:cs="宋体"/>
                <w:color w:val="000000" w:themeColor="text1"/>
                <w:szCs w:val="21"/>
                <w:highlight w:val="none"/>
                <w:lang w:eastAsia="zh-CN"/>
                <w14:textFill>
                  <w14:solidFill>
                    <w14:schemeClr w14:val="tx1"/>
                  </w14:solidFill>
                </w14:textFill>
              </w:rPr>
              <w:t>气</w:t>
            </w:r>
          </w:p>
        </w:tc>
        <w:tc>
          <w:tcPr>
            <w:tcW w:w="1404" w:type="pct"/>
            <w:noWrap/>
            <w:vAlign w:val="center"/>
          </w:tcPr>
          <w:p w14:paraId="53DD12DF">
            <w:pPr>
              <w:pStyle w:val="3"/>
              <w:widowControl/>
              <w:kinsoku w:val="0"/>
              <w:adjustRightInd w:val="0"/>
              <w:spacing w:line="360" w:lineRule="auto"/>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40L</w:t>
            </w:r>
          </w:p>
        </w:tc>
        <w:tc>
          <w:tcPr>
            <w:tcW w:w="1262" w:type="pct"/>
            <w:noWrap/>
            <w:vAlign w:val="center"/>
          </w:tcPr>
          <w:p w14:paraId="4A1149A1">
            <w:pPr>
              <w:widowControl/>
              <w:jc w:val="center"/>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600元/瓶</w:t>
            </w:r>
          </w:p>
        </w:tc>
      </w:tr>
      <w:tr w14:paraId="52A5A0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jc w:val="center"/>
        </w:trPr>
        <w:tc>
          <w:tcPr>
            <w:tcW w:w="637" w:type="pct"/>
            <w:noWrap/>
            <w:vAlign w:val="center"/>
          </w:tcPr>
          <w:p w14:paraId="7065C946">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w:t>
            </w:r>
          </w:p>
        </w:tc>
        <w:tc>
          <w:tcPr>
            <w:tcW w:w="1695" w:type="pct"/>
            <w:noWrap/>
            <w:vAlign w:val="center"/>
          </w:tcPr>
          <w:p w14:paraId="0B5F1598">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混合气</w:t>
            </w:r>
          </w:p>
        </w:tc>
        <w:tc>
          <w:tcPr>
            <w:tcW w:w="1404" w:type="pct"/>
            <w:noWrap/>
            <w:vAlign w:val="center"/>
          </w:tcPr>
          <w:p w14:paraId="50663177">
            <w:pPr>
              <w:pStyle w:val="3"/>
              <w:widowControl/>
              <w:kinsoku w:val="0"/>
              <w:adjustRightInd w:val="0"/>
              <w:spacing w:line="360" w:lineRule="auto"/>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40L</w:t>
            </w:r>
          </w:p>
        </w:tc>
        <w:tc>
          <w:tcPr>
            <w:tcW w:w="1262" w:type="pct"/>
            <w:noWrap/>
            <w:vAlign w:val="center"/>
          </w:tcPr>
          <w:p w14:paraId="49916870">
            <w:pPr>
              <w:widowControl/>
              <w:jc w:val="center"/>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1900元/瓶</w:t>
            </w:r>
          </w:p>
        </w:tc>
      </w:tr>
      <w:tr w14:paraId="6A8B96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8" w:hRule="atLeast"/>
          <w:jc w:val="center"/>
        </w:trPr>
        <w:tc>
          <w:tcPr>
            <w:tcW w:w="637" w:type="pct"/>
            <w:noWrap/>
            <w:vAlign w:val="center"/>
          </w:tcPr>
          <w:p w14:paraId="541913D7">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w:t>
            </w:r>
          </w:p>
        </w:tc>
        <w:tc>
          <w:tcPr>
            <w:tcW w:w="1695" w:type="pct"/>
            <w:noWrap/>
            <w:vAlign w:val="center"/>
          </w:tcPr>
          <w:p w14:paraId="2482BC8C">
            <w:pPr>
              <w:widowControl/>
              <w:kinsoku w:val="0"/>
              <w:adjustRightIn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气瓶定期检验</w:t>
            </w:r>
          </w:p>
        </w:tc>
        <w:tc>
          <w:tcPr>
            <w:tcW w:w="1404" w:type="pct"/>
            <w:noWrap/>
            <w:vAlign w:val="center"/>
          </w:tcPr>
          <w:p w14:paraId="3B8C0436">
            <w:pPr>
              <w:pStyle w:val="3"/>
              <w:widowControl/>
              <w:kinsoku w:val="0"/>
              <w:adjustRightInd w:val="0"/>
              <w:spacing w:line="360" w:lineRule="auto"/>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w:t>
            </w:r>
          </w:p>
        </w:tc>
        <w:tc>
          <w:tcPr>
            <w:tcW w:w="1262" w:type="pct"/>
            <w:noWrap/>
            <w:vAlign w:val="center"/>
          </w:tcPr>
          <w:p w14:paraId="4120B831">
            <w:pPr>
              <w:widowControl/>
              <w:jc w:val="center"/>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40元/瓶</w:t>
            </w:r>
          </w:p>
        </w:tc>
      </w:tr>
      <w:tr w14:paraId="38C14B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jc w:val="center"/>
        </w:trPr>
        <w:tc>
          <w:tcPr>
            <w:tcW w:w="637" w:type="pct"/>
            <w:noWrap/>
            <w:vAlign w:val="center"/>
          </w:tcPr>
          <w:p w14:paraId="62D5CF32">
            <w:pPr>
              <w:widowControl/>
              <w:kinsoku w:val="0"/>
              <w:adjustRightIn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13</w:t>
            </w:r>
          </w:p>
        </w:tc>
        <w:tc>
          <w:tcPr>
            <w:tcW w:w="1695" w:type="pct"/>
            <w:noWrap/>
            <w:vAlign w:val="center"/>
          </w:tcPr>
          <w:p w14:paraId="0023E417">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气瓶清洗</w:t>
            </w:r>
          </w:p>
        </w:tc>
        <w:tc>
          <w:tcPr>
            <w:tcW w:w="1404" w:type="pct"/>
            <w:noWrap/>
            <w:vAlign w:val="center"/>
          </w:tcPr>
          <w:p w14:paraId="3B9154F1">
            <w:pPr>
              <w:pStyle w:val="3"/>
              <w:widowControl/>
              <w:kinsoku w:val="0"/>
              <w:adjustRightInd w:val="0"/>
              <w:spacing w:line="360" w:lineRule="auto"/>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w:t>
            </w:r>
          </w:p>
        </w:tc>
        <w:tc>
          <w:tcPr>
            <w:tcW w:w="1262" w:type="pct"/>
            <w:noWrap/>
            <w:vAlign w:val="center"/>
          </w:tcPr>
          <w:p w14:paraId="3141A29B">
            <w:pPr>
              <w:widowControl/>
              <w:jc w:val="center"/>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30元/瓶</w:t>
            </w:r>
          </w:p>
        </w:tc>
      </w:tr>
      <w:tr w14:paraId="675C6A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jc w:val="center"/>
        </w:trPr>
        <w:tc>
          <w:tcPr>
            <w:tcW w:w="637" w:type="pct"/>
            <w:noWrap/>
            <w:vAlign w:val="center"/>
          </w:tcPr>
          <w:p w14:paraId="15BED473">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14</w:t>
            </w:r>
          </w:p>
        </w:tc>
        <w:tc>
          <w:tcPr>
            <w:tcW w:w="1695" w:type="pct"/>
            <w:noWrap/>
            <w:vAlign w:val="center"/>
          </w:tcPr>
          <w:p w14:paraId="7760DA1D">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气瓶试压</w:t>
            </w:r>
          </w:p>
        </w:tc>
        <w:tc>
          <w:tcPr>
            <w:tcW w:w="1404" w:type="pct"/>
            <w:noWrap/>
            <w:vAlign w:val="center"/>
          </w:tcPr>
          <w:p w14:paraId="5C2D9966">
            <w:pPr>
              <w:pStyle w:val="3"/>
              <w:widowControl/>
              <w:kinsoku w:val="0"/>
              <w:adjustRightInd w:val="0"/>
              <w:spacing w:line="360" w:lineRule="auto"/>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w:t>
            </w:r>
          </w:p>
        </w:tc>
        <w:tc>
          <w:tcPr>
            <w:tcW w:w="1262" w:type="pct"/>
            <w:noWrap/>
            <w:vAlign w:val="center"/>
          </w:tcPr>
          <w:p w14:paraId="3EF22201">
            <w:pPr>
              <w:widowControl/>
              <w:jc w:val="center"/>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30元/瓶</w:t>
            </w:r>
          </w:p>
        </w:tc>
      </w:tr>
      <w:tr w14:paraId="79886A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jc w:val="center"/>
        </w:trPr>
        <w:tc>
          <w:tcPr>
            <w:tcW w:w="637" w:type="pct"/>
            <w:noWrap/>
            <w:vAlign w:val="center"/>
          </w:tcPr>
          <w:p w14:paraId="78F516CC">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15</w:t>
            </w:r>
          </w:p>
        </w:tc>
        <w:tc>
          <w:tcPr>
            <w:tcW w:w="1695" w:type="pct"/>
            <w:noWrap/>
            <w:vAlign w:val="center"/>
          </w:tcPr>
          <w:p w14:paraId="1F735003">
            <w:pPr>
              <w:widowControl/>
              <w:kinsoku w:val="0"/>
              <w:adjustRightInd w:val="0"/>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气瓶总阀</w:t>
            </w:r>
          </w:p>
        </w:tc>
        <w:tc>
          <w:tcPr>
            <w:tcW w:w="1404" w:type="pct"/>
            <w:noWrap/>
            <w:vAlign w:val="center"/>
          </w:tcPr>
          <w:p w14:paraId="0D13CC0E">
            <w:pPr>
              <w:pStyle w:val="3"/>
              <w:widowControl/>
              <w:kinsoku w:val="0"/>
              <w:adjustRightInd w:val="0"/>
              <w:spacing w:line="360" w:lineRule="auto"/>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w:t>
            </w:r>
          </w:p>
        </w:tc>
        <w:tc>
          <w:tcPr>
            <w:tcW w:w="1262" w:type="pct"/>
            <w:noWrap/>
            <w:vAlign w:val="center"/>
          </w:tcPr>
          <w:p w14:paraId="20E87EE3">
            <w:pPr>
              <w:widowControl/>
              <w:jc w:val="center"/>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50元/套</w:t>
            </w:r>
          </w:p>
        </w:tc>
      </w:tr>
    </w:tbl>
    <w:p w14:paraId="5288C3C4">
      <w:pPr>
        <w:topLinePunct/>
        <w:spacing w:line="360" w:lineRule="auto"/>
        <w:rPr>
          <w:rFonts w:hint="eastAsia"/>
          <w:color w:val="000000" w:themeColor="text1"/>
          <w:szCs w:val="21"/>
          <w:highlight w:val="none"/>
          <w14:textFill>
            <w14:solidFill>
              <w14:schemeClr w14:val="tx1"/>
            </w14:solidFill>
          </w14:textFill>
        </w:rPr>
      </w:pPr>
    </w:p>
    <w:p w14:paraId="4C86CBFD">
      <w:pPr>
        <w:topLinePunct/>
        <w:spacing w:line="360" w:lineRule="auto"/>
        <w:rPr>
          <w:rFonts w:hint="default" w:ascii="Times New Roman" w:hAnsi="Times New Roman" w:eastAsia="宋体" w:cs="Times New Roman"/>
          <w:b/>
          <w:bCs/>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w:t>
      </w:r>
      <w:r>
        <w:rPr>
          <w:rFonts w:hint="eastAsia" w:ascii="Times New Roman" w:hAnsi="Times New Roman" w:eastAsia="宋体" w:cs="Times New Roman"/>
          <w:b/>
          <w:bCs/>
          <w:color w:val="000000" w:themeColor="text1"/>
          <w:szCs w:val="21"/>
          <w:highlight w:val="none"/>
          <w:lang w:val="en-US" w:eastAsia="zh-CN"/>
          <w14:textFill>
            <w14:solidFill>
              <w14:schemeClr w14:val="tx1"/>
            </w14:solidFill>
          </w14:textFill>
        </w:rPr>
        <w:t>6.2</w:t>
      </w:r>
      <w:r>
        <w:rPr>
          <w:rFonts w:hint="eastAsia" w:ascii="Times New Roman" w:hAnsi="Times New Roman" w:eastAsia="宋体" w:cs="Times New Roman"/>
          <w:b/>
          <w:bCs/>
          <w:color w:val="000000" w:themeColor="text1"/>
          <w:szCs w:val="21"/>
          <w:highlight w:val="none"/>
          <w14:textFill>
            <w14:solidFill>
              <w14:schemeClr w14:val="tx1"/>
            </w14:solidFill>
          </w14:textFill>
        </w:rPr>
        <w:t>质量</w:t>
      </w:r>
      <w:r>
        <w:rPr>
          <w:rFonts w:hint="eastAsia" w:ascii="Times New Roman" w:hAnsi="Times New Roman" w:eastAsia="宋体" w:cs="Times New Roman"/>
          <w:b/>
          <w:bCs/>
          <w:color w:val="000000" w:themeColor="text1"/>
          <w:szCs w:val="21"/>
          <w:highlight w:val="none"/>
          <w:lang w:eastAsia="zh-CN"/>
          <w14:textFill>
            <w14:solidFill>
              <w14:schemeClr w14:val="tx1"/>
            </w14:solidFill>
          </w14:textFill>
        </w:rPr>
        <w:t>要求</w:t>
      </w:r>
    </w:p>
    <w:p w14:paraId="3783B67F">
      <w:pPr>
        <w:pStyle w:val="3"/>
        <w:keepNext w:val="0"/>
        <w:keepLines w:val="0"/>
        <w:pageBreakBefore w:val="0"/>
        <w:widowControl/>
        <w:kinsoku w:val="0"/>
        <w:wordWrap/>
        <w:overflowPunct/>
        <w:topLinePunct w:val="0"/>
        <w:autoSpaceDE/>
        <w:autoSpaceDN/>
        <w:bidi w:val="0"/>
        <w:adjustRightInd w:val="0"/>
        <w:snapToGrid/>
        <w:spacing w:line="360" w:lineRule="auto"/>
        <w:ind w:firstLine="422" w:firstLineChars="200"/>
        <w:jc w:val="left"/>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6.2.</w:t>
      </w:r>
      <w:r>
        <w:rPr>
          <w:rFonts w:hint="eastAsia" w:ascii="宋体" w:hAnsi="宋体" w:cs="宋体"/>
          <w:b/>
          <w:bCs/>
          <w:color w:val="000000" w:themeColor="text1"/>
          <w:sz w:val="21"/>
          <w:szCs w:val="21"/>
          <w:highlight w:val="none"/>
          <w14:textFill>
            <w14:solidFill>
              <w14:schemeClr w14:val="tx1"/>
            </w14:solidFill>
          </w14:textFill>
        </w:rPr>
        <w:t>1. 医用氧质量标准</w:t>
      </w:r>
    </w:p>
    <w:p w14:paraId="66584A63">
      <w:pPr>
        <w:pStyle w:val="3"/>
        <w:keepNext w:val="0"/>
        <w:keepLines w:val="0"/>
        <w:pageBreakBefore w:val="0"/>
        <w:widowControl/>
        <w:kinsoku w:val="0"/>
        <w:wordWrap/>
        <w:overflowPunct/>
        <w:topLinePunct w:val="0"/>
        <w:autoSpaceDE/>
        <w:autoSpaceDN/>
        <w:bidi w:val="0"/>
        <w:adjustRightInd w:val="0"/>
        <w:snapToGrid/>
        <w:spacing w:line="360" w:lineRule="auto"/>
        <w:ind w:firstLine="420" w:firstLineChars="200"/>
        <w:jc w:val="left"/>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6.2.</w:t>
      </w:r>
      <w:r>
        <w:rPr>
          <w:rFonts w:hint="eastAsia" w:ascii="宋体" w:hAnsi="宋体" w:cs="宋体"/>
          <w:color w:val="000000" w:themeColor="text1"/>
          <w:sz w:val="21"/>
          <w:szCs w:val="21"/>
          <w:highlight w:val="none"/>
          <w14:textFill>
            <w14:solidFill>
              <w14:schemeClr w14:val="tx1"/>
            </w14:solidFill>
          </w14:textFill>
        </w:rPr>
        <w:t>1.1按《中国药典》2025年版二部“氧”、《药品生产质量管理规范》2010年的标准执行，如合同履行期间有新标准按新标准执行。</w:t>
      </w:r>
    </w:p>
    <w:p w14:paraId="46E4A3B7">
      <w:pPr>
        <w:pStyle w:val="3"/>
        <w:keepNext w:val="0"/>
        <w:keepLines w:val="0"/>
        <w:pageBreakBefore w:val="0"/>
        <w:widowControl/>
        <w:kinsoku w:val="0"/>
        <w:wordWrap/>
        <w:overflowPunct/>
        <w:topLinePunct w:val="0"/>
        <w:autoSpaceDE/>
        <w:autoSpaceDN/>
        <w:bidi w:val="0"/>
        <w:adjustRightInd w:val="0"/>
        <w:snapToGrid/>
        <w:spacing w:line="360" w:lineRule="auto"/>
        <w:ind w:firstLine="420" w:firstLineChars="200"/>
        <w:jc w:val="left"/>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6.2.</w:t>
      </w:r>
      <w:r>
        <w:rPr>
          <w:rFonts w:hint="eastAsia" w:ascii="宋体" w:hAnsi="宋体" w:cs="宋体"/>
          <w:color w:val="000000" w:themeColor="text1"/>
          <w:sz w:val="21"/>
          <w:szCs w:val="21"/>
          <w:highlight w:val="none"/>
          <w14:textFill>
            <w14:solidFill>
              <w14:schemeClr w14:val="tx1"/>
            </w14:solidFill>
          </w14:textFill>
        </w:rPr>
        <w:t>1.2医用氧性状为无色气体：无臭、无味。</w:t>
      </w:r>
    </w:p>
    <w:p w14:paraId="65E89B57">
      <w:pPr>
        <w:pStyle w:val="3"/>
        <w:keepNext w:val="0"/>
        <w:keepLines w:val="0"/>
        <w:pageBreakBefore w:val="0"/>
        <w:widowControl/>
        <w:kinsoku w:val="0"/>
        <w:wordWrap/>
        <w:overflowPunct/>
        <w:topLinePunct w:val="0"/>
        <w:autoSpaceDE/>
        <w:autoSpaceDN/>
        <w:bidi w:val="0"/>
        <w:adjustRightInd w:val="0"/>
        <w:snapToGrid/>
        <w:spacing w:line="360" w:lineRule="auto"/>
        <w:ind w:firstLine="420" w:firstLineChars="200"/>
        <w:jc w:val="left"/>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6.2.</w:t>
      </w:r>
      <w:r>
        <w:rPr>
          <w:rFonts w:hint="eastAsia" w:ascii="宋体" w:hAnsi="宋体" w:cs="宋体"/>
          <w:color w:val="000000" w:themeColor="text1"/>
          <w:sz w:val="21"/>
          <w:szCs w:val="21"/>
          <w:highlight w:val="none"/>
          <w14:textFill>
            <w14:solidFill>
              <w14:schemeClr w14:val="tx1"/>
            </w14:solidFill>
          </w14:textFill>
        </w:rPr>
        <w:t>1.3配送的医用氧含氧量≥99.5%（根据铜氨吸收法或顺磁式氧分析仪检测）、一氧化碳含量≤0.0005%；二氧化碳含量≤0.03%；水分含量≤0.0067%，要符合《中国药典》2025版二部氧质量要求。</w:t>
      </w:r>
    </w:p>
    <w:p w14:paraId="4B98E1EE">
      <w:pPr>
        <w:pStyle w:val="3"/>
        <w:keepNext w:val="0"/>
        <w:keepLines w:val="0"/>
        <w:pageBreakBefore w:val="0"/>
        <w:widowControl/>
        <w:kinsoku w:val="0"/>
        <w:wordWrap/>
        <w:overflowPunct/>
        <w:topLinePunct w:val="0"/>
        <w:autoSpaceDE/>
        <w:autoSpaceDN/>
        <w:bidi w:val="0"/>
        <w:adjustRightInd w:val="0"/>
        <w:snapToGrid/>
        <w:spacing w:line="360" w:lineRule="auto"/>
        <w:ind w:firstLine="422" w:firstLineChars="200"/>
        <w:jc w:val="left"/>
        <w:textAlignment w:val="auto"/>
        <w:rPr>
          <w:rFonts w:hint="eastAsia" w:ascii="宋体" w:hAnsi="宋体" w:cs="宋体"/>
          <w:b/>
          <w:bCs/>
          <w:color w:val="000000" w:themeColor="text1"/>
          <w:sz w:val="21"/>
          <w:szCs w:val="21"/>
          <w:highlight w:val="none"/>
          <w:lang w:eastAsia="zh-CN"/>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6.2.2</w:t>
      </w:r>
      <w:r>
        <w:rPr>
          <w:rFonts w:hint="eastAsia" w:ascii="宋体" w:hAnsi="宋体" w:cs="宋体"/>
          <w:b/>
          <w:bCs/>
          <w:color w:val="000000" w:themeColor="text1"/>
          <w:sz w:val="21"/>
          <w:szCs w:val="21"/>
          <w:highlight w:val="none"/>
          <w14:textFill>
            <w14:solidFill>
              <w14:schemeClr w14:val="tx1"/>
            </w14:solidFill>
          </w14:textFill>
        </w:rPr>
        <w:t xml:space="preserve"> 其他气体标准执行</w:t>
      </w:r>
      <w:r>
        <w:rPr>
          <w:rFonts w:hint="eastAsia" w:ascii="宋体" w:hAnsi="宋体" w:cs="宋体"/>
          <w:b/>
          <w:bCs/>
          <w:color w:val="000000" w:themeColor="text1"/>
          <w:sz w:val="21"/>
          <w:szCs w:val="21"/>
          <w:highlight w:val="none"/>
          <w:lang w:eastAsia="zh-CN"/>
          <w14:textFill>
            <w14:solidFill>
              <w14:schemeClr w14:val="tx1"/>
            </w14:solidFill>
          </w14:textFill>
        </w:rPr>
        <w:t>标准如下：</w:t>
      </w:r>
    </w:p>
    <w:p w14:paraId="44EB003B">
      <w:pPr>
        <w:pStyle w:val="3"/>
        <w:keepNext w:val="0"/>
        <w:keepLines w:val="0"/>
        <w:pageBreakBefore w:val="0"/>
        <w:widowControl/>
        <w:kinsoku w:val="0"/>
        <w:wordWrap/>
        <w:overflowPunct/>
        <w:topLinePunct w:val="0"/>
        <w:autoSpaceDE/>
        <w:autoSpaceDN/>
        <w:bidi w:val="0"/>
        <w:adjustRightInd w:val="0"/>
        <w:snapToGrid/>
        <w:spacing w:line="360" w:lineRule="auto"/>
        <w:ind w:firstLine="420" w:firstLineChars="200"/>
        <w:jc w:val="left"/>
        <w:textAlignment w:val="auto"/>
        <w:rPr>
          <w:rFonts w:hint="eastAsia" w:ascii="宋体" w:hAnsi="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二氧化碳：GBT 6052-2025《工业液体二氧化碳》，纯度≥99.5%（非焊接用途）；</w:t>
      </w:r>
    </w:p>
    <w:p w14:paraId="0DA14FA0">
      <w:pPr>
        <w:pStyle w:val="3"/>
        <w:keepNext w:val="0"/>
        <w:keepLines w:val="0"/>
        <w:pageBreakBefore w:val="0"/>
        <w:widowControl/>
        <w:kinsoku w:val="0"/>
        <w:wordWrap/>
        <w:overflowPunct/>
        <w:topLinePunct w:val="0"/>
        <w:autoSpaceDE/>
        <w:autoSpaceDN/>
        <w:bidi w:val="0"/>
        <w:adjustRightInd w:val="0"/>
        <w:snapToGrid/>
        <w:spacing w:line="360" w:lineRule="auto"/>
        <w:ind w:firstLine="420" w:firstLineChars="200"/>
        <w:jc w:val="left"/>
        <w:textAlignment w:val="auto"/>
        <w:rPr>
          <w:rFonts w:hint="eastAsia" w:ascii="宋体" w:hAnsi="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氩气：国家标准：‌GB/T 4842-2017《氩‌》，纯度≥ 99.99%；</w:t>
      </w:r>
    </w:p>
    <w:p w14:paraId="313EA07A">
      <w:pPr>
        <w:pStyle w:val="3"/>
        <w:keepNext w:val="0"/>
        <w:keepLines w:val="0"/>
        <w:pageBreakBefore w:val="0"/>
        <w:widowControl/>
        <w:kinsoku w:val="0"/>
        <w:wordWrap/>
        <w:overflowPunct/>
        <w:topLinePunct w:val="0"/>
        <w:autoSpaceDE/>
        <w:autoSpaceDN/>
        <w:bidi w:val="0"/>
        <w:adjustRightInd w:val="0"/>
        <w:snapToGrid/>
        <w:spacing w:line="360" w:lineRule="auto"/>
        <w:ind w:firstLine="420" w:firstLineChars="200"/>
        <w:jc w:val="left"/>
        <w:textAlignment w:val="auto"/>
        <w:rPr>
          <w:rFonts w:hint="eastAsia" w:ascii="宋体" w:hAnsi="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乙炔：国家标准：《溶解乙炔》GB 6819-2004，纯度≥ 98.0%；</w:t>
      </w:r>
    </w:p>
    <w:p w14:paraId="5A312913">
      <w:pPr>
        <w:pStyle w:val="3"/>
        <w:keepNext w:val="0"/>
        <w:keepLines w:val="0"/>
        <w:pageBreakBefore w:val="0"/>
        <w:widowControl/>
        <w:kinsoku w:val="0"/>
        <w:wordWrap/>
        <w:overflowPunct/>
        <w:topLinePunct w:val="0"/>
        <w:autoSpaceDE/>
        <w:autoSpaceDN/>
        <w:bidi w:val="0"/>
        <w:adjustRightInd w:val="0"/>
        <w:snapToGrid/>
        <w:spacing w:line="360" w:lineRule="auto"/>
        <w:ind w:firstLine="420" w:firstLineChars="200"/>
        <w:jc w:val="left"/>
        <w:textAlignment w:val="auto"/>
        <w:rPr>
          <w:rFonts w:hint="eastAsia" w:ascii="宋体" w:hAnsi="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高纯氮气体：国家标准‌GB/T 8979-2008；纯度≥‌99.999%</w:t>
      </w:r>
    </w:p>
    <w:p w14:paraId="06AFA928">
      <w:pPr>
        <w:pStyle w:val="3"/>
        <w:keepNext w:val="0"/>
        <w:keepLines w:val="0"/>
        <w:pageBreakBefore w:val="0"/>
        <w:widowControl/>
        <w:kinsoku w:val="0"/>
        <w:wordWrap/>
        <w:overflowPunct/>
        <w:topLinePunct w:val="0"/>
        <w:autoSpaceDE/>
        <w:autoSpaceDN/>
        <w:bidi w:val="0"/>
        <w:adjustRightInd w:val="0"/>
        <w:snapToGrid/>
        <w:spacing w:line="360" w:lineRule="auto"/>
        <w:ind w:firstLine="420" w:firstLineChars="200"/>
        <w:jc w:val="left"/>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混合气体：中国工业气体工业协会团体标准：T/CCGA 系列标准</w:t>
      </w:r>
      <w:r>
        <w:rPr>
          <w:rFonts w:hint="eastAsia" w:ascii="宋体" w:hAnsi="宋体" w:cs="宋体"/>
          <w:color w:val="000000" w:themeColor="text1"/>
          <w:sz w:val="21"/>
          <w:szCs w:val="21"/>
          <w:highlight w:val="none"/>
          <w14:textFill>
            <w14:solidFill>
              <w14:schemeClr w14:val="tx1"/>
            </w14:solidFill>
          </w14:textFill>
        </w:rPr>
        <w:t>。</w:t>
      </w:r>
    </w:p>
    <w:p w14:paraId="4125324A">
      <w:pPr>
        <w:pStyle w:val="3"/>
        <w:keepNext w:val="0"/>
        <w:keepLines w:val="0"/>
        <w:pageBreakBefore w:val="0"/>
        <w:widowControl/>
        <w:kinsoku w:val="0"/>
        <w:wordWrap/>
        <w:overflowPunct/>
        <w:topLinePunct w:val="0"/>
        <w:autoSpaceDE/>
        <w:autoSpaceDN/>
        <w:bidi w:val="0"/>
        <w:adjustRightInd w:val="0"/>
        <w:snapToGrid/>
        <w:spacing w:line="360" w:lineRule="auto"/>
        <w:ind w:firstLine="422" w:firstLineChars="200"/>
        <w:jc w:val="left"/>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6.2.</w:t>
      </w:r>
      <w:r>
        <w:rPr>
          <w:rFonts w:hint="eastAsia" w:ascii="宋体" w:hAnsi="宋体" w:cs="宋体"/>
          <w:b/>
          <w:bCs/>
          <w:color w:val="000000" w:themeColor="text1"/>
          <w:sz w:val="21"/>
          <w:szCs w:val="21"/>
          <w:highlight w:val="none"/>
          <w14:textFill>
            <w14:solidFill>
              <w14:schemeClr w14:val="tx1"/>
            </w14:solidFill>
          </w14:textFill>
        </w:rPr>
        <w:t>3产品有效期必须≥12个月。</w:t>
      </w:r>
    </w:p>
    <w:bookmarkEnd w:id="3"/>
    <w:p w14:paraId="2A7A8946">
      <w:pPr>
        <w:topLinePunct/>
        <w:spacing w:line="360" w:lineRule="auto"/>
        <w:rPr>
          <w:rFonts w:hint="eastAsia" w:ascii="宋体" w:hAns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注:①医用氧执行标准及要求须提供国家认可的第三方认证(检验)机构出具认证证书或检验报告(提供的证明材料须体现标记的技术参数)，提供加盖供应商电子签章的扫描件。②其他气体(混合气除外)需提供产品出厂检验报告（提供的证明材料须体现标记的技术参数），提供加盖供应商电子签章的扫描件。</w:t>
      </w:r>
    </w:p>
    <w:p w14:paraId="56D44FF7">
      <w:pPr>
        <w:topLinePunct/>
        <w:spacing w:line="360" w:lineRule="auto"/>
        <w:rPr>
          <w:rFonts w:hint="eastAsia" w:eastAsia="宋体"/>
          <w:b/>
          <w:bCs/>
          <w:color w:val="000000" w:themeColor="text1"/>
          <w:szCs w:val="21"/>
          <w:highlight w:val="none"/>
          <w:lang w:eastAsia="zh-CN"/>
          <w14:textFill>
            <w14:solidFill>
              <w14:schemeClr w14:val="tx1"/>
            </w14:solidFill>
          </w14:textFill>
        </w:rPr>
      </w:pPr>
      <w:r>
        <w:rPr>
          <w:rFonts w:hint="eastAsia"/>
          <w:b/>
          <w:bCs/>
          <w:color w:val="000000" w:themeColor="text1"/>
          <w:szCs w:val="21"/>
          <w:highlight w:val="none"/>
          <w14:textFill>
            <w14:solidFill>
              <w14:schemeClr w14:val="tx1"/>
            </w14:solidFill>
          </w14:textFill>
        </w:rPr>
        <w:t>6.</w:t>
      </w:r>
      <w:r>
        <w:rPr>
          <w:rFonts w:hint="eastAsia"/>
          <w:b/>
          <w:bCs/>
          <w:color w:val="000000" w:themeColor="text1"/>
          <w:szCs w:val="21"/>
          <w:highlight w:val="none"/>
          <w:lang w:val="en-US" w:eastAsia="zh-CN"/>
          <w14:textFill>
            <w14:solidFill>
              <w14:schemeClr w14:val="tx1"/>
            </w14:solidFill>
          </w14:textFill>
        </w:rPr>
        <w:t>3</w:t>
      </w:r>
      <w:r>
        <w:rPr>
          <w:rFonts w:hint="eastAsia"/>
          <w:b/>
          <w:bCs/>
          <w:color w:val="000000" w:themeColor="text1"/>
          <w:szCs w:val="21"/>
          <w:highlight w:val="none"/>
          <w14:textFill>
            <w14:solidFill>
              <w14:schemeClr w14:val="tx1"/>
            </w14:solidFill>
          </w14:textFill>
        </w:rPr>
        <w:t xml:space="preserve"> 医用氧专用设备要求(最终归属权为采购人)。</w:t>
      </w:r>
    </w:p>
    <w:p w14:paraId="2A0C9F68">
      <w:pPr>
        <w:topLinePunct/>
        <w:spacing w:line="36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合同供氧期间，投标人负责在医院建设低温液氧站点，提供医用氧专用设备供医院使用，投入有全套设备及施工，并负责该设备的日常维护、维修，压力表、安全阀、液氧储罐等应按国家要求给予检定，保持安全有效使用，不再收取任何费用（须</w:t>
      </w:r>
      <w:r>
        <w:rPr>
          <w:rFonts w:hint="eastAsia" w:ascii="Arial" w:hAnsi="Arial" w:cs="Arial"/>
          <w:color w:val="000000" w:themeColor="text1"/>
          <w:szCs w:val="21"/>
          <w:highlight w:val="none"/>
          <w14:textFill>
            <w14:solidFill>
              <w14:schemeClr w14:val="tx1"/>
            </w14:solidFill>
          </w14:textFill>
        </w:rPr>
        <w:t>提供承诺函，格式自拟</w:t>
      </w:r>
      <w:r>
        <w:rPr>
          <w:rFonts w:hint="eastAsia"/>
          <w:color w:val="000000" w:themeColor="text1"/>
          <w:szCs w:val="21"/>
          <w:highlight w:val="none"/>
          <w14:textFill>
            <w14:solidFill>
              <w14:schemeClr w14:val="tx1"/>
            </w14:solidFill>
          </w14:textFill>
        </w:rPr>
        <w:t>）。</w:t>
      </w:r>
    </w:p>
    <w:p w14:paraId="414C291B">
      <w:pPr>
        <w:topLinePunct/>
        <w:spacing w:line="36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▲2投标人中标后在合同期内须为医院提供以下设备（须</w:t>
      </w:r>
      <w:r>
        <w:rPr>
          <w:rFonts w:hint="eastAsia" w:ascii="Arial" w:hAnsi="Arial" w:cs="Arial"/>
          <w:color w:val="000000" w:themeColor="text1"/>
          <w:szCs w:val="21"/>
          <w:highlight w:val="none"/>
          <w14:textFill>
            <w14:solidFill>
              <w14:schemeClr w14:val="tx1"/>
            </w14:solidFill>
          </w14:textFill>
        </w:rPr>
        <w:t>提供承诺函，格式自拟</w:t>
      </w:r>
      <w:r>
        <w:rPr>
          <w:rFonts w:hint="eastAsia"/>
          <w:color w:val="000000" w:themeColor="text1"/>
          <w:szCs w:val="21"/>
          <w:highlight w:val="none"/>
          <w14:textFill>
            <w14:solidFill>
              <w14:schemeClr w14:val="tx1"/>
            </w14:solidFill>
          </w14:textFill>
        </w:rPr>
        <w:t>）：</w:t>
      </w:r>
    </w:p>
    <w:p w14:paraId="21D1BFDC">
      <w:pPr>
        <w:topLinePunct/>
        <w:spacing w:line="36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2.1按照医院的安全运行储量要求≥20 m³及规范要求提供低温液氧储槽：</w:t>
      </w:r>
    </w:p>
    <w:p w14:paraId="06BA269A">
      <w:pPr>
        <w:topLinePunct/>
        <w:spacing w:line="36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（1）设计压力：0.8/-0.1MPa</w:t>
      </w:r>
    </w:p>
    <w:p w14:paraId="2E67A6F5">
      <w:pPr>
        <w:topLinePunct/>
        <w:spacing w:line="36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（2）设计温度：-196/20℃（3）储槽要求液相、气相均为双阀，达到储槽和汽化器并联交替使用；</w:t>
      </w:r>
    </w:p>
    <w:p w14:paraId="597CC3A5">
      <w:pPr>
        <w:topLinePunct/>
        <w:spacing w:line="36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2.2汽化器3套；</w:t>
      </w:r>
    </w:p>
    <w:p w14:paraId="226A6517">
      <w:pPr>
        <w:topLinePunct/>
        <w:spacing w:line="36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3阀门要求：</w:t>
      </w:r>
    </w:p>
    <w:p w14:paraId="66B4D628">
      <w:pPr>
        <w:topLinePunct/>
        <w:spacing w:line="36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3.1低温阀材质为不锈钢（CF8）；适应温度：-196～+60℃；</w:t>
      </w:r>
    </w:p>
    <w:p w14:paraId="42889C37">
      <w:pPr>
        <w:topLinePunct/>
        <w:spacing w:line="36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3.2安全阀材质为不锈钢（CF8）；</w:t>
      </w:r>
    </w:p>
    <w:p w14:paraId="0DDDC219">
      <w:pPr>
        <w:topLinePunct/>
        <w:spacing w:line="36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▲4安装要求：</w:t>
      </w:r>
    </w:p>
    <w:p w14:paraId="0F6C03F0">
      <w:pPr>
        <w:topLinePunct/>
        <w:spacing w:line="36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4.1.设备安装产生的费用由</w:t>
      </w:r>
      <w:r>
        <w:rPr>
          <w:rFonts w:hint="eastAsia"/>
          <w:color w:val="000000" w:themeColor="text1"/>
          <w:szCs w:val="21"/>
          <w:highlight w:val="none"/>
          <w:lang w:eastAsia="zh-CN"/>
          <w14:textFill>
            <w14:solidFill>
              <w14:schemeClr w14:val="tx1"/>
            </w14:solidFill>
          </w14:textFill>
        </w:rPr>
        <w:t>中标</w:t>
      </w:r>
      <w:r>
        <w:rPr>
          <w:rFonts w:hint="eastAsia"/>
          <w:color w:val="000000" w:themeColor="text1"/>
          <w:szCs w:val="21"/>
          <w:highlight w:val="none"/>
          <w14:textFill>
            <w14:solidFill>
              <w14:schemeClr w14:val="tx1"/>
            </w14:solidFill>
          </w14:textFill>
        </w:rPr>
        <w:t>人承担，设备安装时配备供氧方的数显液位、压力远程监控装置。</w:t>
      </w:r>
    </w:p>
    <w:p w14:paraId="3DDFD346">
      <w:pPr>
        <w:topLinePunct/>
        <w:spacing w:line="36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4.2. 自签订合同之日起 60日内设备安装完毕并办好手续交付使用，低温液氧储罐必须办好《特种设备使用证》。</w:t>
      </w:r>
    </w:p>
    <w:p w14:paraId="4EB8EA0A">
      <w:pPr>
        <w:topLinePunct/>
        <w:spacing w:line="360" w:lineRule="auto"/>
        <w:rPr>
          <w:b/>
          <w:bCs/>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r>
        <w:rPr>
          <w:rFonts w:hint="eastAsia"/>
          <w:b/>
          <w:bCs/>
          <w:color w:val="000000" w:themeColor="text1"/>
          <w:szCs w:val="21"/>
          <w:highlight w:val="none"/>
          <w14:textFill>
            <w14:solidFill>
              <w14:schemeClr w14:val="tx1"/>
            </w14:solidFill>
          </w14:textFill>
        </w:rPr>
        <w:t>6.</w:t>
      </w:r>
      <w:r>
        <w:rPr>
          <w:rFonts w:hint="eastAsia"/>
          <w:b/>
          <w:bCs/>
          <w:color w:val="000000" w:themeColor="text1"/>
          <w:szCs w:val="21"/>
          <w:highlight w:val="none"/>
          <w:lang w:val="en-US" w:eastAsia="zh-CN"/>
          <w14:textFill>
            <w14:solidFill>
              <w14:schemeClr w14:val="tx1"/>
            </w14:solidFill>
          </w14:textFill>
        </w:rPr>
        <w:t>4</w:t>
      </w:r>
      <w:r>
        <w:rPr>
          <w:rFonts w:hint="eastAsia"/>
          <w:b/>
          <w:bCs/>
          <w:color w:val="000000" w:themeColor="text1"/>
          <w:szCs w:val="21"/>
          <w:highlight w:val="none"/>
          <w14:textFill>
            <w14:solidFill>
              <w14:schemeClr w14:val="tx1"/>
            </w14:solidFill>
          </w14:textFill>
        </w:rPr>
        <w:t>投标人具备的其他要求</w:t>
      </w:r>
    </w:p>
    <w:p w14:paraId="26F751A8">
      <w:pPr>
        <w:topLinePunct/>
        <w:spacing w:line="360" w:lineRule="auto"/>
        <w:ind w:firstLine="420"/>
        <w:rPr>
          <w:rFonts w:ascii="Arial" w:hAnsi="Arial" w:cs="Arial"/>
          <w:color w:val="000000" w:themeColor="text1"/>
          <w:szCs w:val="21"/>
          <w:highlight w:val="none"/>
          <w14:textFill>
            <w14:solidFill>
              <w14:schemeClr w14:val="tx1"/>
            </w14:solidFill>
          </w14:textFill>
        </w:rPr>
      </w:pPr>
      <w:r>
        <w:rPr>
          <w:rFonts w:hint="eastAsia" w:ascii="Arial" w:hAnsi="Arial" w:cs="Arial"/>
          <w:color w:val="000000" w:themeColor="text1"/>
          <w:szCs w:val="21"/>
          <w:highlight w:val="none"/>
          <w14:textFill>
            <w14:solidFill>
              <w14:schemeClr w14:val="tx1"/>
            </w14:solidFill>
          </w14:textFill>
        </w:rPr>
        <w:t>1</w:t>
      </w:r>
      <w:r>
        <w:rPr>
          <w:rFonts w:ascii="Arial" w:hAnsi="Arial" w:cs="Arial"/>
          <w:color w:val="000000" w:themeColor="text1"/>
          <w:szCs w:val="21"/>
          <w:highlight w:val="none"/>
          <w14:textFill>
            <w14:solidFill>
              <w14:schemeClr w14:val="tx1"/>
            </w14:solidFill>
          </w14:textFill>
        </w:rPr>
        <w:t>投标人拟投入人员必须具有中华人民共和国特种设备安全管理和作业人员证，其中A证持证人员不少于1人，R2证持证人员不少于2人。持证人员必须为本公司员工，投标时提供相关人员证书及投标人最近</w:t>
      </w:r>
      <w:r>
        <w:rPr>
          <w:rFonts w:hint="eastAsia" w:ascii="Arial" w:hAnsi="Arial" w:cs="Arial"/>
          <w:color w:val="000000" w:themeColor="text1"/>
          <w:szCs w:val="21"/>
          <w:highlight w:val="none"/>
          <w:lang w:eastAsia="zh-CN"/>
          <w14:textFill>
            <w14:solidFill>
              <w14:schemeClr w14:val="tx1"/>
            </w14:solidFill>
          </w14:textFill>
        </w:rPr>
        <w:t>一</w:t>
      </w:r>
      <w:r>
        <w:rPr>
          <w:rFonts w:ascii="Arial" w:hAnsi="Arial" w:cs="Arial"/>
          <w:color w:val="000000" w:themeColor="text1"/>
          <w:szCs w:val="21"/>
          <w:highlight w:val="none"/>
          <w14:textFill>
            <w14:solidFill>
              <w14:schemeClr w14:val="tx1"/>
            </w14:solidFill>
          </w14:textFill>
        </w:rPr>
        <w:t>个月为持证人员交纳社保的证明材料复印件。</w:t>
      </w:r>
    </w:p>
    <w:p w14:paraId="79047391">
      <w:pPr>
        <w:topLinePunct/>
        <w:spacing w:line="360" w:lineRule="auto"/>
        <w:ind w:firstLine="420"/>
        <w:rPr>
          <w:rFonts w:ascii="Arial" w:hAnsi="Arial" w:cs="Arial"/>
          <w:color w:val="000000" w:themeColor="text1"/>
          <w:szCs w:val="21"/>
          <w:highlight w:val="none"/>
          <w14:textFill>
            <w14:solidFill>
              <w14:schemeClr w14:val="tx1"/>
            </w14:solidFill>
          </w14:textFill>
        </w:rPr>
      </w:pPr>
      <w:r>
        <w:rPr>
          <w:rFonts w:hint="eastAsia" w:ascii="Arial" w:hAnsi="Arial" w:cs="Arial"/>
          <w:color w:val="000000" w:themeColor="text1"/>
          <w:szCs w:val="21"/>
          <w:highlight w:val="none"/>
          <w14:textFill>
            <w14:solidFill>
              <w14:schemeClr w14:val="tx1"/>
            </w14:solidFill>
          </w14:textFill>
        </w:rPr>
        <w:t>2</w:t>
      </w:r>
      <w:r>
        <w:rPr>
          <w:rFonts w:ascii="Arial" w:hAnsi="Arial" w:cs="Arial"/>
          <w:color w:val="000000" w:themeColor="text1"/>
          <w:szCs w:val="21"/>
          <w:highlight w:val="none"/>
          <w14:textFill>
            <w14:solidFill>
              <w14:schemeClr w14:val="tx1"/>
            </w14:solidFill>
          </w14:textFill>
        </w:rPr>
        <w:t>为保证服务质量，投标人或其委托的运输单位须具备2 辆（含）以上的医用氧低温配送车（载重量 25 吨以上）、1 辆小型单体（载重量5-10吨）紧急供气槽车，以满足招标人实际业务开展中各种状况下的需求。</w:t>
      </w:r>
      <w:r>
        <w:rPr>
          <w:rFonts w:ascii="Arial" w:hAnsi="Arial" w:cs="Arial"/>
          <w:b/>
          <w:bCs/>
          <w:color w:val="000000" w:themeColor="text1"/>
          <w:szCs w:val="21"/>
          <w:highlight w:val="none"/>
          <w14:textFill>
            <w14:solidFill>
              <w14:schemeClr w14:val="tx1"/>
            </w14:solidFill>
          </w14:textFill>
        </w:rPr>
        <w:t>【投标时提供车辆相关证明材料，包括但不限于行驶证、道路运输证、委托运输协议（委托运输的必须提供）等】</w:t>
      </w:r>
    </w:p>
    <w:p w14:paraId="3AD28434">
      <w:pPr>
        <w:topLinePunct/>
        <w:spacing w:line="360" w:lineRule="auto"/>
        <w:ind w:firstLine="420"/>
        <w:rPr>
          <w:rFonts w:ascii="Arial" w:hAnsi="Arial" w:cs="Arial"/>
          <w:color w:val="000000" w:themeColor="text1"/>
          <w:szCs w:val="21"/>
          <w:highlight w:val="none"/>
          <w14:textFill>
            <w14:solidFill>
              <w14:schemeClr w14:val="tx1"/>
            </w14:solidFill>
          </w14:textFill>
        </w:rPr>
      </w:pPr>
      <w:r>
        <w:rPr>
          <w:rFonts w:hint="eastAsia" w:ascii="Arial" w:hAnsi="Arial" w:cs="Arial"/>
          <w:color w:val="000000" w:themeColor="text1"/>
          <w:szCs w:val="21"/>
          <w:highlight w:val="none"/>
          <w14:textFill>
            <w14:solidFill>
              <w14:schemeClr w14:val="tx1"/>
            </w14:solidFill>
          </w14:textFill>
        </w:rPr>
        <w:t>3投标人需具备按采购方需求及时提供医用氧的能力，不设最低储存量要求，但需确保供应时效性和稳定性。须提供证明材料，若为自有储罐，须提供自有储罐证明文件，证明文件包含储罐产权证明、第三方检测机构出具的储罐检验报告、储罐现场照片及位置说明（需体现储罐编号、容积标识）；若储罐为租赁，需提供：与产权方签订的长期租赁合同（租期覆盖投标项目周期）、产权方出具的储罐容积证明（需盖章确认）、产权方营业执照等</w:t>
      </w:r>
      <w:r>
        <w:rPr>
          <w:rFonts w:ascii="Arial" w:hAnsi="Arial" w:cs="Arial"/>
          <w:color w:val="000000" w:themeColor="text1"/>
          <w:szCs w:val="21"/>
          <w:highlight w:val="none"/>
          <w14:textFill>
            <w14:solidFill>
              <w14:schemeClr w14:val="tx1"/>
            </w14:solidFill>
          </w14:textFill>
        </w:rPr>
        <w:t>。</w:t>
      </w:r>
    </w:p>
    <w:p w14:paraId="3926828D">
      <w:pPr>
        <w:topLinePunct/>
        <w:spacing w:line="360" w:lineRule="auto"/>
        <w:rPr>
          <w:b/>
          <w:bCs/>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r>
        <w:rPr>
          <w:rFonts w:hint="eastAsia"/>
          <w:b/>
          <w:bCs/>
          <w:color w:val="000000" w:themeColor="text1"/>
          <w:szCs w:val="21"/>
          <w:highlight w:val="none"/>
          <w14:textFill>
            <w14:solidFill>
              <w14:schemeClr w14:val="tx1"/>
            </w14:solidFill>
          </w14:textFill>
        </w:rPr>
        <w:t>6.</w:t>
      </w:r>
      <w:r>
        <w:rPr>
          <w:rFonts w:hint="eastAsia"/>
          <w:b/>
          <w:bCs/>
          <w:color w:val="000000" w:themeColor="text1"/>
          <w:szCs w:val="21"/>
          <w:highlight w:val="none"/>
          <w:lang w:val="en-US" w:eastAsia="zh-CN"/>
          <w14:textFill>
            <w14:solidFill>
              <w14:schemeClr w14:val="tx1"/>
            </w14:solidFill>
          </w14:textFill>
        </w:rPr>
        <w:t>5</w:t>
      </w:r>
      <w:r>
        <w:rPr>
          <w:rFonts w:hint="eastAsia"/>
          <w:b/>
          <w:bCs/>
          <w:color w:val="000000" w:themeColor="text1"/>
          <w:szCs w:val="21"/>
          <w:highlight w:val="none"/>
          <w14:textFill>
            <w14:solidFill>
              <w14:schemeClr w14:val="tx1"/>
            </w14:solidFill>
          </w14:textFill>
        </w:rPr>
        <w:t>过渡交接方案</w:t>
      </w:r>
    </w:p>
    <w:p w14:paraId="156B35E4">
      <w:pPr>
        <w:spacing w:line="360" w:lineRule="auto"/>
        <w:rPr>
          <w:color w:val="000000" w:themeColor="text1"/>
          <w:szCs w:val="21"/>
          <w:highlight w:val="none"/>
          <w14:textFill>
            <w14:solidFill>
              <w14:schemeClr w14:val="tx1"/>
            </w14:solidFill>
          </w14:textFill>
        </w:rPr>
      </w:pPr>
      <w:r>
        <w:rPr>
          <w:rFonts w:hint="eastAsia" w:ascii="Arial" w:hAnsi="Arial" w:cs="Arial"/>
          <w:color w:val="000000" w:themeColor="text1"/>
          <w:szCs w:val="21"/>
          <w:highlight w:val="none"/>
          <w14:textFill>
            <w14:solidFill>
              <w14:schemeClr w14:val="tx1"/>
            </w14:solidFill>
          </w14:textFill>
        </w:rPr>
        <w:t>投标人需提供配送服务过渡交接方案，保证与原提供服务的公司就本项目的所有工作内容无缝对接（</w:t>
      </w:r>
      <w:r>
        <w:rPr>
          <w:rFonts w:hint="eastAsia" w:ascii="Arial" w:hAnsi="Arial" w:cs="Arial"/>
          <w:color w:val="000000" w:themeColor="text1"/>
          <w:szCs w:val="21"/>
          <w:highlight w:val="none"/>
          <w:lang w:eastAsia="zh-CN"/>
          <w14:textFill>
            <w14:solidFill>
              <w14:schemeClr w14:val="tx1"/>
            </w14:solidFill>
          </w14:textFill>
        </w:rPr>
        <w:t>须</w:t>
      </w:r>
      <w:r>
        <w:rPr>
          <w:rFonts w:hint="eastAsia" w:ascii="Arial" w:hAnsi="Arial" w:cs="Arial"/>
          <w:color w:val="000000" w:themeColor="text1"/>
          <w:szCs w:val="21"/>
          <w:highlight w:val="none"/>
          <w14:textFill>
            <w14:solidFill>
              <w14:schemeClr w14:val="tx1"/>
            </w14:solidFill>
          </w14:textFill>
        </w:rPr>
        <w:t>提供承诺函，格式自拟）。</w:t>
      </w:r>
    </w:p>
    <w:p w14:paraId="7124933B">
      <w:pPr>
        <w:spacing w:line="360" w:lineRule="auto"/>
        <w:rPr>
          <w:rFonts w:ascii="黑体" w:hAnsi="黑体" w:eastAsia="黑体" w:cs="Arial"/>
          <w:b/>
          <w:color w:val="000000" w:themeColor="text1"/>
          <w:kern w:val="0"/>
          <w:sz w:val="28"/>
          <w:szCs w:val="28"/>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r>
        <w:rPr>
          <w:rFonts w:hint="eastAsia" w:ascii="黑体" w:hAnsi="黑体" w:eastAsia="黑体" w:cs="Arial"/>
          <w:b/>
          <w:color w:val="000000" w:themeColor="text1"/>
          <w:kern w:val="0"/>
          <w:sz w:val="28"/>
          <w:szCs w:val="28"/>
          <w:highlight w:val="none"/>
          <w14:textFill>
            <w14:solidFill>
              <w14:schemeClr w14:val="tx1"/>
            </w14:solidFill>
          </w14:textFill>
        </w:rPr>
        <w:t>三、商务要求</w:t>
      </w:r>
    </w:p>
    <w:p w14:paraId="23313725">
      <w:pPr>
        <w:spacing w:line="360"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1．报价要求</w:t>
      </w:r>
    </w:p>
    <w:p w14:paraId="1FF7F20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color w:val="000000" w:themeColor="text1"/>
          <w:sz w:val="2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1.1</w:t>
      </w:r>
      <w:r>
        <w:rPr>
          <w:rFonts w:hint="eastAsia" w:ascii="宋体" w:hAnsi="宋体" w:cs="宋体"/>
          <w:color w:val="000000" w:themeColor="text1"/>
          <w:sz w:val="21"/>
          <w:szCs w:val="21"/>
          <w:highlight w:val="none"/>
          <w14:textFill>
            <w14:solidFill>
              <w14:schemeClr w14:val="tx1"/>
            </w14:solidFill>
          </w14:textFill>
        </w:rPr>
        <w:t>本次报价须为人民币报价，本项目为</w:t>
      </w:r>
      <w:r>
        <w:rPr>
          <w:rFonts w:hint="eastAsia" w:ascii="宋体" w:hAnsi="宋体" w:cs="宋体"/>
          <w:color w:val="000000" w:themeColor="text1"/>
          <w:sz w:val="21"/>
          <w:szCs w:val="21"/>
          <w:highlight w:val="none"/>
          <w:lang w:eastAsia="zh-CN"/>
          <w14:textFill>
            <w14:solidFill>
              <w14:schemeClr w14:val="tx1"/>
            </w14:solidFill>
          </w14:textFill>
        </w:rPr>
        <w:t>单价</w:t>
      </w:r>
      <w:r>
        <w:rPr>
          <w:rFonts w:hint="eastAsia" w:ascii="宋体" w:hAnsi="宋体" w:cs="宋体"/>
          <w:color w:val="000000" w:themeColor="text1"/>
          <w:sz w:val="21"/>
          <w:szCs w:val="21"/>
          <w:highlight w:val="none"/>
          <w14:textFill>
            <w14:solidFill>
              <w14:schemeClr w14:val="tx1"/>
            </w14:solidFill>
          </w14:textFill>
        </w:rPr>
        <w:t>报价(须对采购货物或服务一览表进行逐项报价，且不得高于最高控制单价)，报价包括货物的价款、产品的包装费用、运输费、装卸费用、各种气瓶的检测费、派驻人员人工费用、保险、管理服务成本、法定税费和服务企业的利润等一切应尽费用对于本文件中未列明，而供应商认为必需的费用也需列入总报价。</w:t>
      </w:r>
    </w:p>
    <w:p w14:paraId="3B3223E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1.2投标人自行考虑完成项目所需的辅材、杂配件等数量，投标报价中应包含全部内容，中标后采购人不再另行支付额外费用；投标人根据项目所需自行配备的所有辅助材料必须符合国家有关规定的合格产品。</w:t>
      </w:r>
    </w:p>
    <w:p w14:paraId="44B202C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1.3本项目仅采购固定单价，要求供应商按实际需求数量及采购所确定的固定单价进行分批次配送，最终按实际采购数量结算。最终结算金额=实际供货数量×中标报价单价。</w:t>
      </w:r>
    </w:p>
    <w:p w14:paraId="29DB94A9">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2.合同签订日期</w:t>
      </w:r>
    </w:p>
    <w:p w14:paraId="67E2E265">
      <w:pPr>
        <w:spacing w:line="360" w:lineRule="auto"/>
        <w:rPr>
          <w:rFonts w:ascii="宋体" w:hAnsi="宋体"/>
          <w:i/>
          <w:color w:val="000000" w:themeColor="text1"/>
          <w:sz w:val="28"/>
          <w:szCs w:val="28"/>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中标通知书发出后15日内。</w:t>
      </w:r>
    </w:p>
    <w:p w14:paraId="06143614">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3.交货（实施）时间</w:t>
      </w:r>
    </w:p>
    <w:p w14:paraId="506B5AA2">
      <w:pPr>
        <w:spacing w:line="360" w:lineRule="auto"/>
        <w:rPr>
          <w:color w:val="000000" w:themeColor="text1"/>
          <w:szCs w:val="21"/>
          <w:highlight w:val="none"/>
          <w14:textFill>
            <w14:solidFill>
              <w14:schemeClr w14:val="tx1"/>
            </w14:solidFill>
          </w14:textFill>
        </w:rPr>
      </w:pPr>
      <w:bookmarkStart w:id="4" w:name="_Hlk132878479"/>
      <w:r>
        <w:rPr>
          <w:rFonts w:hint="eastAsia"/>
          <w:color w:val="000000" w:themeColor="text1"/>
          <w:szCs w:val="21"/>
          <w:highlight w:val="none"/>
          <w14:textFill>
            <w14:solidFill>
              <w14:schemeClr w14:val="tx1"/>
            </w14:solidFill>
          </w14:textFill>
        </w:rPr>
        <w:t>自签订合同之日起3年</w:t>
      </w:r>
    </w:p>
    <w:bookmarkEnd w:id="4"/>
    <w:p w14:paraId="4180C9A0">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4.交货地点或服务地点</w:t>
      </w:r>
    </w:p>
    <w:p w14:paraId="04C3D1A0">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广西崇左市扶绥县人民医院内，招标人指定地点。</w:t>
      </w:r>
    </w:p>
    <w:p w14:paraId="674D9A13">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5.验收标准</w:t>
      </w:r>
    </w:p>
    <w:p w14:paraId="271CB886">
      <w:pPr>
        <w:spacing w:line="360" w:lineRule="auto"/>
        <w:rPr>
          <w:color w:val="000000" w:themeColor="text1"/>
          <w:szCs w:val="21"/>
          <w:highlight w:val="none"/>
          <w14:textFill>
            <w14:solidFill>
              <w14:schemeClr w14:val="tx1"/>
            </w14:solidFill>
          </w14:textFill>
        </w:rPr>
      </w:pPr>
      <w:bookmarkStart w:id="5" w:name="_Hlk77607553"/>
      <w:r>
        <w:rPr>
          <w:rFonts w:hint="eastAsia"/>
          <w:color w:val="000000" w:themeColor="text1"/>
          <w:szCs w:val="21"/>
          <w:highlight w:val="none"/>
          <w14:textFill>
            <w14:solidFill>
              <w14:schemeClr w14:val="tx1"/>
            </w14:solidFill>
          </w14:textFill>
        </w:rPr>
        <w:t>详见招标文件合同主要条款格式部分</w:t>
      </w:r>
    </w:p>
    <w:bookmarkEnd w:id="5"/>
    <w:p w14:paraId="13DFBC8E">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6.服务标准、期限、效率</w:t>
      </w:r>
    </w:p>
    <w:p w14:paraId="09515F31">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6.1中标供应商在质量保证期内应当为采购人提供以下技术支持和服务：</w:t>
      </w:r>
    </w:p>
    <w:p w14:paraId="11BD98D8">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6.1.1电话咨询</w:t>
      </w:r>
    </w:p>
    <w:p w14:paraId="319D593B">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中标供应商应当为采购人提供技术援助电话，解答采购人在使用中遇到的问题，及时为采购人提出解决问题的建议。</w:t>
      </w:r>
    </w:p>
    <w:p w14:paraId="7C750033">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6.1.2现场响应</w:t>
      </w:r>
    </w:p>
    <w:p w14:paraId="2F95A794">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采购人遇到使用或技术问题，电话咨询不能解决的，中标供应商应在</w:t>
      </w:r>
      <w:r>
        <w:rPr>
          <w:rFonts w:hint="eastAsia"/>
          <w:color w:val="000000" w:themeColor="text1"/>
          <w:szCs w:val="21"/>
          <w:highlight w:val="none"/>
          <w:lang w:val="en-US" w:eastAsia="zh-CN"/>
          <w14:textFill>
            <w14:solidFill>
              <w14:schemeClr w14:val="tx1"/>
            </w14:solidFill>
          </w14:textFill>
        </w:rPr>
        <w:t>3</w:t>
      </w:r>
      <w:r>
        <w:rPr>
          <w:rFonts w:hint="eastAsia"/>
          <w:color w:val="000000" w:themeColor="text1"/>
          <w:szCs w:val="21"/>
          <w:highlight w:val="none"/>
          <w14:textFill>
            <w14:solidFill>
              <w14:schemeClr w14:val="tx1"/>
            </w14:solidFill>
          </w14:textFill>
        </w:rPr>
        <w:t>小时内到达现场进行处理，到达现场后1.5小时内排除故障，恢复正常使用。</w:t>
      </w:r>
    </w:p>
    <w:p w14:paraId="1B4AA6C5">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6.1.3技术升级</w:t>
      </w:r>
    </w:p>
    <w:p w14:paraId="19EC8A6B">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在质保期内，如果中标供应商的产品或服务升级，中标供应商应及时通知采购人，如采购人有相应要求，中标供应商应对采购人购买的产品或服务进行升级。</w:t>
      </w:r>
    </w:p>
    <w:p w14:paraId="2286DCDA">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6.14提供7天*24小时全天侯服务（包括送氧及供氧设备维修）。</w:t>
      </w:r>
    </w:p>
    <w:p w14:paraId="2AD35098">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7.培训</w:t>
      </w:r>
    </w:p>
    <w:p w14:paraId="07C78FF1">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供应商对其提供产品或服务的使用和操作应尽培训义务。供应商应提供对采购人的基本培训，使采购人使用人员熟练掌握所培训内容，熟练掌握全部功能，培训的相关费用包括在投标报价中，采购人不再另行支付。</w:t>
      </w:r>
    </w:p>
    <w:p w14:paraId="0DE9D749">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8.付款方式、时间及条件</w:t>
      </w:r>
    </w:p>
    <w:p w14:paraId="5EF4D0FA">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详见招标文件合同主要条款格式部分</w:t>
      </w:r>
    </w:p>
    <w:p w14:paraId="7101EF45">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9.履约保证金</w:t>
      </w:r>
    </w:p>
    <w:p w14:paraId="72450BD8">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详见招标文件合同主要条款格式部分</w:t>
      </w:r>
    </w:p>
    <w:p w14:paraId="5DE45F51">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10.包装和运输要求</w:t>
      </w:r>
    </w:p>
    <w:p w14:paraId="1D299E63">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根据《财政部等三部门联合印发商品包装和快递包装政府采购需求标准（试行）》财办库〔2020〕123号文规定，若投标产品使用塑料、纸质、木质等包装材料时应满足《商品包装政府采购需求标准（试行）》要求，若投标产品需要快递包装，快递封装材料应满足《快递包装政府采购需求标准（试行）》要求。</w:t>
      </w:r>
    </w:p>
    <w:p w14:paraId="60AE0E62">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运输要求详见招标文件合同主要条款格式部分</w:t>
      </w:r>
    </w:p>
    <w:p w14:paraId="106ABE50">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11.售后服务</w:t>
      </w:r>
    </w:p>
    <w:p w14:paraId="6A13CE70">
      <w:pPr>
        <w:spacing w:line="360" w:lineRule="auto"/>
        <w:rPr>
          <w:color w:val="000000" w:themeColor="text1"/>
          <w:szCs w:val="21"/>
          <w:highlight w:val="none"/>
          <w14:textFill>
            <w14:solidFill>
              <w14:schemeClr w14:val="tx1"/>
            </w14:solidFill>
          </w14:textFill>
        </w:rPr>
      </w:pPr>
      <w:bookmarkStart w:id="6" w:name="_Hlk132878510"/>
      <w:r>
        <w:rPr>
          <w:rFonts w:hint="eastAsia"/>
          <w:color w:val="000000" w:themeColor="text1"/>
          <w:szCs w:val="21"/>
          <w:highlight w:val="none"/>
          <w14:textFill>
            <w14:solidFill>
              <w14:schemeClr w14:val="tx1"/>
            </w14:solidFill>
          </w14:textFill>
        </w:rPr>
        <w:t>11.1中标供应商应按照国家有关法律法规和“三包”规定以及招标文件、投标文件、合同及附件的规定，为采购人提供售后服务。中标供应商承诺质量保证期优于国家“三包”规定的，或优于招标文件规定的，按中标供应商实际承诺执行。</w:t>
      </w:r>
    </w:p>
    <w:p w14:paraId="14E3948D">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11.2中标供应商应明确承诺招标文件采购需求部分如无特别要求，则质保期为自验收合格之日起一年，招标文件采购需求部分有特别要求的则以技术参数要求表为准。</w:t>
      </w:r>
    </w:p>
    <w:p w14:paraId="79C6B458">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11.3</w:t>
      </w:r>
      <w:r>
        <w:rPr>
          <w:rFonts w:hint="eastAsia"/>
          <w:color w:val="000000" w:themeColor="text1"/>
          <w:szCs w:val="21"/>
          <w:highlight w:val="none"/>
          <w14:textFill>
            <w14:solidFill>
              <w14:schemeClr w14:val="tx1"/>
            </w14:solidFill>
          </w14:textFill>
        </w:rPr>
        <w:t>质保期过后的服务要求</w:t>
      </w:r>
    </w:p>
    <w:p w14:paraId="57018CFA">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电话咨询：产品质量保证期过后，中标供应商应当为采购人提供技术援助电话，解答采购人在使用中遇到的问题，及时为采购人提出解决问题的建议，并不予收费。</w:t>
      </w:r>
    </w:p>
    <w:bookmarkEnd w:id="6"/>
    <w:p w14:paraId="718A3A25">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12.保险</w:t>
      </w:r>
    </w:p>
    <w:p w14:paraId="5EE589C9">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供应商负责办理运输和保险，将货物运抵交货地点。与运输、保险相关的费用由供应商承担。</w:t>
      </w:r>
    </w:p>
    <w:p w14:paraId="26E3D709">
      <w:pPr>
        <w:spacing w:line="360" w:lineRule="auto"/>
        <w:rPr>
          <w:rFonts w:ascii="黑体" w:hAnsi="黑体" w:eastAsia="黑体" w:cs="Arial"/>
          <w:b/>
          <w:color w:val="000000" w:themeColor="text1"/>
          <w:kern w:val="0"/>
          <w:sz w:val="28"/>
          <w:szCs w:val="28"/>
          <w:highlight w:val="none"/>
          <w14:textFill>
            <w14:solidFill>
              <w14:schemeClr w14:val="tx1"/>
            </w14:solidFill>
          </w14:textFill>
        </w:rPr>
      </w:pPr>
      <w:r>
        <w:rPr>
          <w:rFonts w:hint="eastAsia" w:ascii="黑体" w:hAnsi="黑体" w:eastAsia="黑体" w:cs="Arial"/>
          <w:b/>
          <w:color w:val="000000" w:themeColor="text1"/>
          <w:kern w:val="0"/>
          <w:sz w:val="28"/>
          <w:szCs w:val="28"/>
          <w:highlight w:val="none"/>
          <w14:textFill>
            <w14:solidFill>
              <w14:schemeClr w14:val="tx1"/>
            </w14:solidFill>
          </w14:textFill>
        </w:rPr>
        <w:t>四、其他要求</w:t>
      </w:r>
    </w:p>
    <w:p w14:paraId="0DBD4725">
      <w:pPr>
        <w:spacing w:line="528" w:lineRule="exact"/>
        <w:ind w:firstLine="281" w:firstLineChars="100"/>
        <w:rPr>
          <w:rFonts w:ascii="黑体" w:hAnsi="黑体" w:eastAsia="黑体" w:cs="Arial"/>
          <w:b/>
          <w:color w:val="000000" w:themeColor="text1"/>
          <w:kern w:val="0"/>
          <w:sz w:val="28"/>
          <w:szCs w:val="28"/>
          <w:highlight w:val="none"/>
          <w14:textFill>
            <w14:solidFill>
              <w14:schemeClr w14:val="tx1"/>
            </w14:solidFill>
          </w14:textFill>
        </w:rPr>
      </w:pPr>
      <w:r>
        <w:rPr>
          <w:rFonts w:hint="eastAsia" w:ascii="黑体" w:hAnsi="黑体" w:eastAsia="黑体" w:cs="Arial"/>
          <w:b/>
          <w:color w:val="000000" w:themeColor="text1"/>
          <w:kern w:val="0"/>
          <w:sz w:val="28"/>
          <w:szCs w:val="28"/>
          <w:highlight w:val="none"/>
          <w14:textFill>
            <w14:solidFill>
              <w14:schemeClr w14:val="tx1"/>
            </w14:solidFill>
          </w14:textFill>
        </w:rPr>
        <w:t>无</w:t>
      </w:r>
    </w:p>
    <w:p w14:paraId="0CA35118">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AF2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index 8"/>
    <w:basedOn w:val="1"/>
    <w:next w:val="1"/>
    <w:qFormat/>
    <w:uiPriority w:val="0"/>
    <w:pPr>
      <w:ind w:left="2940"/>
    </w:pPr>
  </w:style>
  <w:style w:type="paragraph" w:styleId="3">
    <w:name w:val="Body Text"/>
    <w:basedOn w:val="1"/>
    <w:qFormat/>
    <w:uiPriority w:val="99"/>
    <w:pPr>
      <w:spacing w:line="380" w:lineRule="exact"/>
    </w:pPr>
    <w:rPr>
      <w:sz w:val="24"/>
    </w:rPr>
  </w:style>
  <w:style w:type="paragraph" w:styleId="4">
    <w:name w:val="Plain Text"/>
    <w:basedOn w:val="1"/>
    <w:next w:val="2"/>
    <w:qFormat/>
    <w:uiPriority w:val="0"/>
    <w:rPr>
      <w:rFonts w:ascii="宋体" w:hAnsi="Courier New" w:cs="Courier New"/>
      <w:szCs w:val="21"/>
    </w:rPr>
  </w:style>
  <w:style w:type="character" w:styleId="7">
    <w:name w:val="Hyperlink"/>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2026-03-12T08:00:18Z</dcterms:created>
  <dc:creator>Administrator</dc:creator>
  <cp:lastModifiedBy>admin</cp:lastModifiedBy>
  <dcterms:modified xsi:type="dcterms:W3CDTF">2026-03-12T08:00:21Z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eyJoZGlkIjoiNTZlMzdlMTY3NDA3NDgzMmMwYjVjMDZiNjFlNWI5MTIiLCJ1c2VySWQiOiIxMDg2Nzc2Mzg1In0=</vt:lpwstr>
  </property>
  <property fmtid="{D5CDD505-2E9C-101B-9397-08002B2CF9AE}" pid="4" name="ICV">
    <vt:lpwstr>169972C101BD4938B24CAC915E6E6E3D_12</vt:lpwstr>
  </property>
</Properties>
</file>