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F67D0">
      <w:pP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609" w:name="_GoBack"/>
      <w:bookmarkEnd w:id="1609"/>
      <w:r>
        <w:rPr>
          <w:rFonts w:hint="eastAsia" w:ascii="宋体" w:hAnsi="宋体" w:eastAsia="宋体" w:cs="宋体"/>
          <w:b/>
          <w:bCs/>
          <w:color w:val="auto"/>
          <w:sz w:val="32"/>
          <w:szCs w:val="32"/>
          <w:highlight w:val="none"/>
          <w:lang w:eastAsia="zh-CN"/>
        </w:rPr>
        <w:drawing>
          <wp:inline distT="0" distB="0" distL="114300" distR="114300">
            <wp:extent cx="5594985" cy="1400175"/>
            <wp:effectExtent l="0" t="0" r="5715" b="0"/>
            <wp:docPr id="8" name="图片 8" descr="301c0ac54dbfafd3b755de20ff15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01c0ac54dbfafd3b755de20ff157bf"/>
                    <pic:cNvPicPr>
                      <a:picLocks noChangeAspect="1"/>
                    </pic:cNvPicPr>
                  </pic:nvPicPr>
                  <pic:blipFill>
                    <a:blip r:embed="rId14"/>
                    <a:stretch>
                      <a:fillRect/>
                    </a:stretch>
                  </pic:blipFill>
                  <pic:spPr>
                    <a:xfrm>
                      <a:off x="0" y="0"/>
                      <a:ext cx="5594985" cy="1400175"/>
                    </a:xfrm>
                    <a:prstGeom prst="rect">
                      <a:avLst/>
                    </a:prstGeom>
                  </pic:spPr>
                </pic:pic>
              </a:graphicData>
            </a:graphic>
          </wp:inline>
        </w:drawing>
      </w:r>
    </w:p>
    <w:p w14:paraId="0BCDBD43">
      <w:pP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6F21685A">
      <w:pPr>
        <w:pStyle w:val="2"/>
        <w:rPr>
          <w:rFonts w:hint="eastAsia" w:ascii="宋体" w:hAnsi="宋体" w:eastAsia="宋体" w:cs="宋体"/>
          <w:color w:val="auto"/>
          <w:kern w:val="0"/>
          <w:sz w:val="56"/>
          <w:szCs w:val="24"/>
          <w:highlight w:val="none"/>
        </w:rPr>
      </w:pPr>
    </w:p>
    <w:p w14:paraId="63840A21">
      <w:pPr>
        <w:pStyle w:val="2"/>
        <w:rPr>
          <w:rFonts w:hint="eastAsia" w:ascii="宋体" w:hAnsi="宋体" w:eastAsia="宋体" w:cs="宋体"/>
          <w:color w:val="auto"/>
          <w:kern w:val="0"/>
          <w:sz w:val="56"/>
          <w:szCs w:val="24"/>
          <w:highlight w:val="none"/>
        </w:rPr>
      </w:pPr>
    </w:p>
    <w:p w14:paraId="20072E5F">
      <w:pPr>
        <w:pStyle w:val="2"/>
        <w:rPr>
          <w:rFonts w:hint="eastAsia" w:ascii="宋体" w:hAnsi="宋体" w:eastAsia="宋体" w:cs="宋体"/>
          <w:color w:val="auto"/>
          <w:kern w:val="0"/>
          <w:sz w:val="56"/>
          <w:szCs w:val="24"/>
          <w:highlight w:val="none"/>
        </w:rPr>
      </w:pPr>
    </w:p>
    <w:p w14:paraId="155D42FF">
      <w:pPr>
        <w:pStyle w:val="2"/>
        <w:rPr>
          <w:rFonts w:hint="eastAsia" w:ascii="宋体" w:hAnsi="宋体" w:eastAsia="宋体" w:cs="宋体"/>
          <w:color w:val="auto"/>
          <w:kern w:val="0"/>
          <w:sz w:val="56"/>
          <w:szCs w:val="24"/>
          <w:highlight w:val="none"/>
        </w:rPr>
      </w:pPr>
    </w:p>
    <w:p w14:paraId="11D93A2F">
      <w:pPr>
        <w:pStyle w:val="2"/>
        <w:rPr>
          <w:rFonts w:hint="eastAsia" w:ascii="宋体" w:hAnsi="宋体" w:eastAsia="宋体" w:cs="宋体"/>
          <w:color w:val="auto"/>
          <w:kern w:val="0"/>
          <w:sz w:val="56"/>
          <w:szCs w:val="24"/>
          <w:highlight w:val="none"/>
        </w:rPr>
      </w:pPr>
    </w:p>
    <w:p w14:paraId="4EF85A2D">
      <w:pPr>
        <w:autoSpaceDE w:val="0"/>
        <w:autoSpaceDN w:val="0"/>
        <w:spacing w:line="312" w:lineRule="auto"/>
        <w:jc w:val="center"/>
        <w:rPr>
          <w:rFonts w:ascii="宋体" w:hAnsi="宋体" w:cs="宋体"/>
          <w:b/>
          <w:color w:val="auto"/>
          <w:sz w:val="72"/>
          <w:szCs w:val="72"/>
        </w:rPr>
      </w:pPr>
      <w:r>
        <w:rPr>
          <w:rFonts w:hint="eastAsia" w:ascii="宋体" w:hAnsi="宋体" w:cs="宋体"/>
          <w:b/>
          <w:color w:val="auto"/>
          <w:sz w:val="72"/>
          <w:szCs w:val="72"/>
        </w:rPr>
        <w:t>竞争性磋商采购文件</w:t>
      </w:r>
    </w:p>
    <w:p w14:paraId="059FA126">
      <w:pPr>
        <w:pStyle w:val="2"/>
        <w:rPr>
          <w:rFonts w:hint="eastAsia" w:ascii="宋体" w:hAnsi="宋体" w:eastAsia="宋体" w:cs="宋体"/>
          <w:color w:val="auto"/>
          <w:kern w:val="0"/>
          <w:sz w:val="56"/>
          <w:szCs w:val="24"/>
          <w:highlight w:val="none"/>
        </w:rPr>
      </w:pPr>
    </w:p>
    <w:p w14:paraId="7089D3A6">
      <w:pPr>
        <w:pStyle w:val="2"/>
        <w:rPr>
          <w:rFonts w:hint="eastAsia" w:ascii="宋体" w:hAnsi="宋体" w:eastAsia="宋体" w:cs="宋体"/>
          <w:color w:val="auto"/>
          <w:kern w:val="0"/>
          <w:sz w:val="56"/>
          <w:szCs w:val="24"/>
          <w:highlight w:val="none"/>
        </w:rPr>
      </w:pPr>
    </w:p>
    <w:p w14:paraId="51317B05">
      <w:pPr>
        <w:pStyle w:val="2"/>
        <w:rPr>
          <w:rFonts w:hint="eastAsia" w:ascii="宋体" w:hAnsi="宋体" w:eastAsia="宋体" w:cs="宋体"/>
          <w:color w:val="auto"/>
          <w:kern w:val="0"/>
          <w:sz w:val="56"/>
          <w:szCs w:val="24"/>
          <w:highlight w:val="none"/>
        </w:rPr>
      </w:pPr>
    </w:p>
    <w:p w14:paraId="2E15483D">
      <w:pPr>
        <w:pStyle w:val="2"/>
        <w:rPr>
          <w:rFonts w:hint="eastAsia" w:ascii="宋体" w:hAnsi="宋体" w:eastAsia="宋体" w:cs="宋体"/>
          <w:color w:val="auto"/>
          <w:kern w:val="0"/>
          <w:sz w:val="56"/>
          <w:szCs w:val="24"/>
          <w:highlight w:val="none"/>
        </w:rPr>
      </w:pPr>
    </w:p>
    <w:p w14:paraId="5A30588C">
      <w:pPr>
        <w:pStyle w:val="2"/>
        <w:rPr>
          <w:rFonts w:hint="eastAsia" w:ascii="宋体" w:hAnsi="宋体" w:eastAsia="宋体" w:cs="宋体"/>
          <w:color w:val="auto"/>
          <w:kern w:val="0"/>
          <w:sz w:val="56"/>
          <w:szCs w:val="24"/>
          <w:highlight w:val="none"/>
        </w:rPr>
      </w:pPr>
    </w:p>
    <w:p w14:paraId="13FA855E">
      <w:pPr>
        <w:pStyle w:val="2"/>
        <w:rPr>
          <w:rFonts w:hint="eastAsia" w:ascii="宋体" w:hAnsi="宋体" w:eastAsia="宋体" w:cs="宋体"/>
          <w:color w:val="auto"/>
          <w:kern w:val="0"/>
          <w:sz w:val="56"/>
          <w:szCs w:val="24"/>
          <w:highlight w:val="none"/>
        </w:rPr>
      </w:pPr>
    </w:p>
    <w:p w14:paraId="0A773EB5">
      <w:pPr>
        <w:pStyle w:val="2"/>
        <w:rPr>
          <w:rFonts w:hint="eastAsia" w:ascii="宋体" w:hAnsi="宋体" w:eastAsia="宋体" w:cs="宋体"/>
          <w:color w:val="auto"/>
          <w:kern w:val="0"/>
          <w:sz w:val="56"/>
          <w:szCs w:val="24"/>
          <w:highlight w:val="none"/>
        </w:rPr>
      </w:pPr>
    </w:p>
    <w:p w14:paraId="1055C280">
      <w:pPr>
        <w:pStyle w:val="2"/>
        <w:rPr>
          <w:rFonts w:hint="eastAsia" w:ascii="宋体" w:hAnsi="宋体" w:eastAsia="宋体" w:cs="宋体"/>
          <w:color w:val="auto"/>
          <w:kern w:val="0"/>
          <w:sz w:val="56"/>
          <w:szCs w:val="24"/>
          <w:highlight w:val="none"/>
        </w:rPr>
      </w:pPr>
    </w:p>
    <w:p w14:paraId="0CFD980C">
      <w:pPr>
        <w:pStyle w:val="2"/>
        <w:rPr>
          <w:rFonts w:hint="eastAsia" w:ascii="宋体" w:hAnsi="宋体" w:eastAsia="宋体" w:cs="宋体"/>
          <w:color w:val="auto"/>
          <w:kern w:val="0"/>
          <w:sz w:val="56"/>
          <w:szCs w:val="24"/>
          <w:highlight w:val="none"/>
        </w:rPr>
      </w:pPr>
    </w:p>
    <w:p w14:paraId="0F42D275">
      <w:pPr>
        <w:pStyle w:val="2"/>
        <w:rPr>
          <w:rFonts w:hint="eastAsia" w:ascii="宋体" w:hAnsi="宋体" w:eastAsia="宋体" w:cs="宋体"/>
          <w:color w:val="auto"/>
          <w:kern w:val="0"/>
          <w:sz w:val="56"/>
          <w:szCs w:val="24"/>
          <w:highlight w:val="none"/>
        </w:rPr>
      </w:pPr>
    </w:p>
    <w:p w14:paraId="0E7325FE">
      <w:pPr>
        <w:pStyle w:val="2"/>
        <w:rPr>
          <w:rFonts w:hint="eastAsia" w:ascii="宋体" w:hAnsi="宋体" w:eastAsia="宋体" w:cs="宋体"/>
          <w:color w:val="auto"/>
        </w:rPr>
      </w:pPr>
    </w:p>
    <w:p w14:paraId="39BBCFE2">
      <w:pPr>
        <w:keepNext w:val="0"/>
        <w:keepLines w:val="0"/>
        <w:pageBreakBefore w:val="0"/>
        <w:widowControl w:val="0"/>
        <w:kinsoku/>
        <w:wordWrap/>
        <w:overflowPunct/>
        <w:topLinePunct w:val="0"/>
        <w:autoSpaceDE w:val="0"/>
        <w:autoSpaceDN w:val="0"/>
        <w:bidi w:val="0"/>
        <w:adjustRightInd w:val="0"/>
        <w:snapToGrid/>
        <w:spacing w:line="360" w:lineRule="auto"/>
        <w:ind w:firstLine="1440" w:firstLineChars="600"/>
        <w:jc w:val="both"/>
        <w:textAlignment w:val="auto"/>
        <w:rPr>
          <w:rFonts w:hint="eastAsia" w:ascii="宋体" w:hAnsi="宋体" w:cs="宋体"/>
          <w:b w:val="0"/>
          <w:bCs w:val="0"/>
          <w:color w:val="auto"/>
          <w:kern w:val="0"/>
          <w:sz w:val="24"/>
          <w:szCs w:val="20"/>
          <w:highlight w:val="none"/>
          <w:lang w:eastAsia="zh-CN"/>
        </w:rPr>
      </w:pPr>
      <w:r>
        <w:rPr>
          <w:rFonts w:hint="eastAsia" w:ascii="宋体" w:hAnsi="宋体" w:eastAsia="宋体" w:cs="宋体"/>
          <w:b w:val="0"/>
          <w:bCs w:val="0"/>
          <w:color w:val="auto"/>
          <w:kern w:val="0"/>
          <w:sz w:val="24"/>
          <w:szCs w:val="20"/>
          <w:highlight w:val="none"/>
        </w:rPr>
        <w:t>项目名称</w:t>
      </w:r>
      <w:r>
        <w:rPr>
          <w:rFonts w:hint="eastAsia" w:ascii="宋体" w:hAnsi="宋体" w:cs="宋体"/>
          <w:b w:val="0"/>
          <w:bCs w:val="0"/>
          <w:color w:val="auto"/>
          <w:kern w:val="0"/>
          <w:sz w:val="24"/>
          <w:szCs w:val="20"/>
          <w:highlight w:val="none"/>
          <w:lang w:eastAsia="zh-CN"/>
        </w:rPr>
        <w:t>：2025年扶绥县新安灌区、新湾灌区农业水价综合改革巩固提升项目</w:t>
      </w:r>
    </w:p>
    <w:p w14:paraId="0F02F191">
      <w:pPr>
        <w:pStyle w:val="2"/>
        <w:keepNext w:val="0"/>
        <w:keepLines w:val="0"/>
        <w:pageBreakBefore w:val="0"/>
        <w:widowControl w:val="0"/>
        <w:kinsoku/>
        <w:wordWrap/>
        <w:overflowPunct/>
        <w:topLinePunct w:val="0"/>
        <w:bidi w:val="0"/>
        <w:snapToGrid/>
        <w:spacing w:line="360" w:lineRule="auto"/>
        <w:ind w:firstLine="1430" w:firstLineChars="550"/>
        <w:textAlignment w:val="auto"/>
        <w:rPr>
          <w:rFonts w:hint="eastAsia" w:ascii="宋体" w:hAnsi="宋体" w:eastAsia="宋体" w:cs="宋体"/>
          <w:b w:val="0"/>
          <w:bCs w:val="0"/>
          <w:color w:val="auto"/>
          <w:sz w:val="16"/>
          <w:szCs w:val="18"/>
          <w:highlight w:val="none"/>
          <w:lang w:eastAsia="zh-CN"/>
        </w:rPr>
      </w:pPr>
      <w:r>
        <w:rPr>
          <w:rFonts w:hint="eastAsia" w:ascii="宋体" w:hAnsi="宋体" w:eastAsia="宋体" w:cs="宋体"/>
          <w:b w:val="0"/>
          <w:bCs w:val="0"/>
          <w:color w:val="auto"/>
          <w:kern w:val="0"/>
          <w:sz w:val="24"/>
          <w:szCs w:val="20"/>
          <w:highlight w:val="none"/>
        </w:rPr>
        <w:t>项目编号：</w:t>
      </w:r>
      <w:r>
        <w:rPr>
          <w:rFonts w:hint="eastAsia" w:hAnsi="宋体" w:cs="宋体"/>
          <w:b w:val="0"/>
          <w:bCs w:val="0"/>
          <w:color w:val="auto"/>
          <w:kern w:val="0"/>
          <w:sz w:val="24"/>
          <w:szCs w:val="20"/>
          <w:highlight w:val="none"/>
          <w:lang w:eastAsia="zh-CN"/>
        </w:rPr>
        <w:t>CZZC2026-C2-210007-GXHL</w:t>
      </w:r>
    </w:p>
    <w:p w14:paraId="6240ECBF">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sz w:val="18"/>
          <w:szCs w:val="20"/>
          <w:highlight w:val="none"/>
        </w:rPr>
      </w:pPr>
    </w:p>
    <w:p w14:paraId="19DCD503">
      <w:pPr>
        <w:pStyle w:val="2"/>
        <w:rPr>
          <w:rFonts w:hint="eastAsia" w:ascii="宋体" w:hAnsi="宋体" w:eastAsia="宋体" w:cs="宋体"/>
          <w:color w:val="auto"/>
          <w:highlight w:val="none"/>
        </w:rPr>
      </w:pPr>
    </w:p>
    <w:p w14:paraId="66B32579">
      <w:pPr>
        <w:pStyle w:val="2"/>
        <w:rPr>
          <w:rFonts w:hint="eastAsia" w:ascii="宋体" w:hAnsi="宋体" w:eastAsia="宋体" w:cs="宋体"/>
          <w:color w:val="auto"/>
          <w:highlight w:val="none"/>
        </w:rPr>
      </w:pPr>
    </w:p>
    <w:p w14:paraId="2F7CC738">
      <w:pPr>
        <w:pStyle w:val="2"/>
        <w:rPr>
          <w:rFonts w:hint="eastAsia" w:ascii="宋体" w:hAnsi="宋体" w:eastAsia="宋体" w:cs="宋体"/>
          <w:color w:val="auto"/>
          <w:highlight w:val="none"/>
        </w:rPr>
      </w:pPr>
    </w:p>
    <w:p w14:paraId="19CA78E1">
      <w:pPr>
        <w:pStyle w:val="2"/>
        <w:rPr>
          <w:rFonts w:hint="eastAsia" w:ascii="宋体" w:hAnsi="宋体" w:eastAsia="宋体" w:cs="宋体"/>
          <w:color w:val="auto"/>
          <w:highlight w:val="none"/>
        </w:rPr>
      </w:pPr>
    </w:p>
    <w:p w14:paraId="1B1ABC11">
      <w:pPr>
        <w:pStyle w:val="2"/>
        <w:rPr>
          <w:rFonts w:hint="eastAsia" w:ascii="宋体" w:hAnsi="宋体" w:eastAsia="宋体" w:cs="宋体"/>
          <w:color w:val="auto"/>
          <w:highlight w:val="none"/>
        </w:rPr>
      </w:pPr>
    </w:p>
    <w:p w14:paraId="4AF2E566">
      <w:pPr>
        <w:pStyle w:val="2"/>
        <w:rPr>
          <w:rFonts w:hint="eastAsia" w:ascii="宋体" w:hAnsi="宋体" w:eastAsia="宋体" w:cs="宋体"/>
          <w:color w:val="auto"/>
          <w:highlight w:val="none"/>
        </w:rPr>
      </w:pPr>
    </w:p>
    <w:p w14:paraId="77F1039B">
      <w:pPr>
        <w:pStyle w:val="2"/>
        <w:rPr>
          <w:rFonts w:hint="eastAsia" w:ascii="宋体" w:hAnsi="宋体" w:eastAsia="宋体" w:cs="宋体"/>
          <w:color w:val="auto"/>
          <w:highlight w:val="none"/>
        </w:rPr>
      </w:pPr>
    </w:p>
    <w:p w14:paraId="7E1394C3">
      <w:pPr>
        <w:pStyle w:val="2"/>
        <w:rPr>
          <w:rFonts w:hint="eastAsia" w:ascii="宋体" w:hAnsi="宋体" w:eastAsia="宋体" w:cs="宋体"/>
          <w:color w:val="auto"/>
          <w:highlight w:val="none"/>
        </w:rPr>
      </w:pPr>
    </w:p>
    <w:p w14:paraId="2A8D8356">
      <w:pPr>
        <w:pStyle w:val="2"/>
        <w:rPr>
          <w:rFonts w:hint="eastAsia" w:ascii="宋体" w:hAnsi="宋体" w:eastAsia="宋体" w:cs="宋体"/>
          <w:color w:val="auto"/>
          <w:highlight w:val="none"/>
        </w:rPr>
      </w:pPr>
    </w:p>
    <w:p w14:paraId="5950464A">
      <w:pPr>
        <w:pStyle w:val="2"/>
        <w:rPr>
          <w:rFonts w:hint="eastAsia" w:ascii="宋体" w:hAnsi="宋体" w:eastAsia="宋体" w:cs="宋体"/>
          <w:color w:val="auto"/>
          <w:highlight w:val="none"/>
        </w:rPr>
      </w:pPr>
    </w:p>
    <w:p w14:paraId="56419EEC">
      <w:pPr>
        <w:pStyle w:val="2"/>
        <w:rPr>
          <w:rFonts w:hint="eastAsia" w:ascii="宋体" w:hAnsi="宋体" w:eastAsia="宋体" w:cs="宋体"/>
          <w:color w:val="auto"/>
          <w:kern w:val="0"/>
          <w:sz w:val="36"/>
          <w:szCs w:val="24"/>
          <w:highlight w:val="none"/>
        </w:rPr>
      </w:pPr>
    </w:p>
    <w:p w14:paraId="632DACE9">
      <w:pPr>
        <w:pStyle w:val="2"/>
        <w:rPr>
          <w:rFonts w:hint="eastAsia" w:ascii="宋体" w:hAnsi="宋体" w:eastAsia="宋体" w:cs="宋体"/>
          <w:color w:val="auto"/>
          <w:kern w:val="0"/>
          <w:sz w:val="36"/>
          <w:szCs w:val="24"/>
          <w:highlight w:val="none"/>
        </w:rPr>
      </w:pPr>
    </w:p>
    <w:p w14:paraId="3162F240">
      <w:pP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扶绥县水利工程管理站</w:t>
      </w:r>
      <w:r>
        <w:rPr>
          <w:rFonts w:hint="eastAsia" w:ascii="宋体" w:hAnsi="宋体" w:eastAsia="宋体" w:cs="宋体"/>
          <w:b/>
          <w:color w:val="auto"/>
          <w:spacing w:val="-6"/>
          <w:kern w:val="0"/>
          <w:sz w:val="30"/>
          <w:szCs w:val="30"/>
          <w:highlight w:val="none"/>
          <w:lang w:val="en-US" w:eastAsia="zh-CN"/>
        </w:rPr>
        <w:t xml:space="preserve"> </w:t>
      </w:r>
    </w:p>
    <w:p w14:paraId="106A37EA">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bookmarkStart w:id="1" w:name="_Toc11857"/>
      <w:r>
        <w:rPr>
          <w:rFonts w:hint="eastAsia" w:ascii="宋体" w:hAnsi="宋体" w:eastAsia="宋体" w:cs="宋体"/>
          <w:b/>
          <w:color w:val="auto"/>
          <w:kern w:val="0"/>
          <w:sz w:val="30"/>
          <w:szCs w:val="30"/>
          <w:highlight w:val="none"/>
          <w:u w:val="none"/>
        </w:rPr>
        <w:t>采购代理机构：</w:t>
      </w:r>
      <w:bookmarkEnd w:id="0"/>
      <w:bookmarkEnd w:id="1"/>
      <w:r>
        <w:rPr>
          <w:rFonts w:hint="eastAsia" w:ascii="宋体" w:hAnsi="宋体" w:cs="宋体"/>
          <w:b/>
          <w:color w:val="auto"/>
          <w:kern w:val="0"/>
          <w:sz w:val="30"/>
          <w:szCs w:val="30"/>
          <w:highlight w:val="none"/>
          <w:u w:val="none"/>
          <w:lang w:eastAsia="zh-CN"/>
        </w:rPr>
        <w:t xml:space="preserve">广西宏朗工程咨询服务有限公司  </w:t>
      </w:r>
      <w:r>
        <w:rPr>
          <w:rFonts w:hint="eastAsia" w:ascii="宋体" w:hAnsi="宋体" w:eastAsia="宋体" w:cs="宋体"/>
          <w:b/>
          <w:color w:val="auto"/>
          <w:kern w:val="0"/>
          <w:sz w:val="30"/>
          <w:szCs w:val="30"/>
          <w:highlight w:val="none"/>
          <w:u w:val="none"/>
          <w:lang w:val="en-US" w:eastAsia="zh-CN"/>
        </w:rPr>
        <w:t xml:space="preserve"> </w:t>
      </w:r>
    </w:p>
    <w:p w14:paraId="4B758E15">
      <w:pP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2026年1月</w:t>
      </w:r>
    </w:p>
    <w:p w14:paraId="028943C9">
      <w:pPr>
        <w:pStyle w:val="35"/>
        <w:spacing w:line="360" w:lineRule="auto"/>
        <w:jc w:val="center"/>
        <w:rPr>
          <w:rFonts w:ascii="宋体" w:hAnsi="宋体"/>
          <w:color w:val="auto"/>
          <w:highlight w:val="none"/>
        </w:rPr>
      </w:pPr>
    </w:p>
    <w:p w14:paraId="5524FDDE">
      <w:pPr>
        <w:pStyle w:val="35"/>
        <w:spacing w:line="360" w:lineRule="auto"/>
        <w:jc w:val="center"/>
        <w:rPr>
          <w:rFonts w:ascii="宋体" w:hAnsi="宋体"/>
          <w:b/>
          <w:color w:val="auto"/>
          <w:sz w:val="48"/>
          <w:szCs w:val="48"/>
          <w:highlight w:val="none"/>
        </w:rPr>
      </w:pPr>
    </w:p>
    <w:p w14:paraId="13CF973F">
      <w:pPr>
        <w:pStyle w:val="35"/>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3EE1D77E">
      <w:pPr>
        <w:pStyle w:val="21"/>
        <w:tabs>
          <w:tab w:val="right" w:leader="dot" w:pos="9355"/>
        </w:tabs>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p>
    <w:p w14:paraId="7A0D6635">
      <w:pPr>
        <w:pStyle w:val="21"/>
        <w:tabs>
          <w:tab w:val="right" w:leader="dot" w:pos="9355"/>
        </w:tabs>
        <w:spacing w:line="360" w:lineRule="auto"/>
        <w:rPr>
          <w:sz w:val="22"/>
          <w:szCs w:val="22"/>
        </w:rPr>
      </w:pPr>
      <w:r>
        <w:rPr>
          <w:color w:val="auto"/>
          <w:sz w:val="22"/>
          <w:szCs w:val="36"/>
          <w:highlight w:val="none"/>
        </w:rPr>
        <w:fldChar w:fldCharType="begin"/>
      </w:r>
      <w:r>
        <w:rPr>
          <w:sz w:val="22"/>
          <w:szCs w:val="36"/>
          <w:highlight w:val="none"/>
        </w:rPr>
        <w:instrText xml:space="preserve"> HYPERLINK \l _Toc10507 </w:instrText>
      </w:r>
      <w:r>
        <w:rPr>
          <w:sz w:val="22"/>
          <w:szCs w:val="36"/>
          <w:highlight w:val="none"/>
        </w:rPr>
        <w:fldChar w:fldCharType="separate"/>
      </w:r>
      <w:r>
        <w:rPr>
          <w:rFonts w:hint="eastAsia" w:ascii="宋体" w:hAnsi="宋体"/>
          <w:sz w:val="22"/>
          <w:szCs w:val="40"/>
        </w:rPr>
        <w:t xml:space="preserve">第一章 </w:t>
      </w:r>
      <w:r>
        <w:rPr>
          <w:rFonts w:ascii="宋体" w:hAnsi="宋体"/>
          <w:sz w:val="22"/>
          <w:szCs w:val="40"/>
          <w:highlight w:val="none"/>
        </w:rPr>
        <w:t>竞争性磋商公告</w:t>
      </w:r>
      <w:r>
        <w:rPr>
          <w:sz w:val="22"/>
          <w:szCs w:val="22"/>
        </w:rPr>
        <w:tab/>
      </w:r>
      <w:r>
        <w:rPr>
          <w:sz w:val="22"/>
          <w:szCs w:val="22"/>
        </w:rPr>
        <w:fldChar w:fldCharType="begin"/>
      </w:r>
      <w:r>
        <w:rPr>
          <w:sz w:val="22"/>
          <w:szCs w:val="22"/>
        </w:rPr>
        <w:instrText xml:space="preserve"> PAGEREF _Toc10507 \h </w:instrText>
      </w:r>
      <w:r>
        <w:rPr>
          <w:sz w:val="22"/>
          <w:szCs w:val="22"/>
        </w:rPr>
        <w:fldChar w:fldCharType="separate"/>
      </w:r>
      <w:r>
        <w:rPr>
          <w:sz w:val="22"/>
          <w:szCs w:val="22"/>
        </w:rPr>
        <w:t>1</w:t>
      </w:r>
      <w:r>
        <w:rPr>
          <w:sz w:val="22"/>
          <w:szCs w:val="22"/>
        </w:rPr>
        <w:fldChar w:fldCharType="end"/>
      </w:r>
      <w:r>
        <w:rPr>
          <w:color w:val="auto"/>
          <w:sz w:val="22"/>
          <w:szCs w:val="36"/>
          <w:highlight w:val="none"/>
        </w:rPr>
        <w:fldChar w:fldCharType="end"/>
      </w:r>
    </w:p>
    <w:p w14:paraId="6A444437">
      <w:pPr>
        <w:pStyle w:val="21"/>
        <w:tabs>
          <w:tab w:val="right" w:leader="dot" w:pos="9355"/>
        </w:tabs>
        <w:spacing w:line="360" w:lineRule="auto"/>
        <w:rPr>
          <w:sz w:val="22"/>
          <w:szCs w:val="22"/>
        </w:rPr>
      </w:pPr>
      <w:r>
        <w:rPr>
          <w:color w:val="auto"/>
          <w:sz w:val="22"/>
          <w:szCs w:val="36"/>
          <w:highlight w:val="none"/>
        </w:rPr>
        <w:fldChar w:fldCharType="begin"/>
      </w:r>
      <w:r>
        <w:rPr>
          <w:sz w:val="22"/>
          <w:szCs w:val="36"/>
          <w:highlight w:val="none"/>
        </w:rPr>
        <w:instrText xml:space="preserve"> HYPERLINK \l _Toc23156 </w:instrText>
      </w:r>
      <w:r>
        <w:rPr>
          <w:sz w:val="22"/>
          <w:szCs w:val="36"/>
          <w:highlight w:val="none"/>
        </w:rPr>
        <w:fldChar w:fldCharType="separate"/>
      </w:r>
      <w:r>
        <w:rPr>
          <w:rFonts w:ascii="宋体" w:hAnsi="宋体"/>
          <w:sz w:val="22"/>
          <w:szCs w:val="40"/>
          <w:highlight w:val="none"/>
        </w:rPr>
        <w:t>第二章 供应商须知</w:t>
      </w:r>
      <w:r>
        <w:rPr>
          <w:sz w:val="22"/>
          <w:szCs w:val="22"/>
        </w:rPr>
        <w:tab/>
      </w:r>
      <w:r>
        <w:rPr>
          <w:sz w:val="22"/>
          <w:szCs w:val="22"/>
        </w:rPr>
        <w:fldChar w:fldCharType="begin"/>
      </w:r>
      <w:r>
        <w:rPr>
          <w:sz w:val="22"/>
          <w:szCs w:val="22"/>
        </w:rPr>
        <w:instrText xml:space="preserve"> PAGEREF _Toc23156 \h </w:instrText>
      </w:r>
      <w:r>
        <w:rPr>
          <w:sz w:val="22"/>
          <w:szCs w:val="22"/>
        </w:rPr>
        <w:fldChar w:fldCharType="separate"/>
      </w:r>
      <w:r>
        <w:rPr>
          <w:sz w:val="22"/>
          <w:szCs w:val="22"/>
        </w:rPr>
        <w:t>4</w:t>
      </w:r>
      <w:r>
        <w:rPr>
          <w:sz w:val="22"/>
          <w:szCs w:val="22"/>
        </w:rPr>
        <w:fldChar w:fldCharType="end"/>
      </w:r>
      <w:r>
        <w:rPr>
          <w:color w:val="auto"/>
          <w:sz w:val="22"/>
          <w:szCs w:val="36"/>
          <w:highlight w:val="none"/>
        </w:rPr>
        <w:fldChar w:fldCharType="end"/>
      </w:r>
    </w:p>
    <w:p w14:paraId="59D71BAC">
      <w:pPr>
        <w:pStyle w:val="21"/>
        <w:tabs>
          <w:tab w:val="right" w:leader="dot" w:pos="9355"/>
        </w:tabs>
        <w:spacing w:line="360" w:lineRule="auto"/>
        <w:rPr>
          <w:sz w:val="22"/>
          <w:szCs w:val="22"/>
        </w:rPr>
      </w:pPr>
      <w:r>
        <w:rPr>
          <w:color w:val="auto"/>
          <w:sz w:val="22"/>
          <w:szCs w:val="36"/>
          <w:highlight w:val="none"/>
        </w:rPr>
        <w:fldChar w:fldCharType="begin"/>
      </w:r>
      <w:r>
        <w:rPr>
          <w:sz w:val="22"/>
          <w:szCs w:val="36"/>
          <w:highlight w:val="none"/>
        </w:rPr>
        <w:instrText xml:space="preserve"> HYPERLINK \l _Toc6764 </w:instrText>
      </w:r>
      <w:r>
        <w:rPr>
          <w:sz w:val="22"/>
          <w:szCs w:val="36"/>
          <w:highlight w:val="none"/>
        </w:rPr>
        <w:fldChar w:fldCharType="separate"/>
      </w:r>
      <w:r>
        <w:rPr>
          <w:rFonts w:ascii="宋体" w:hAnsi="宋体"/>
          <w:sz w:val="22"/>
          <w:szCs w:val="40"/>
          <w:highlight w:val="none"/>
        </w:rPr>
        <w:t>第三章 技术规范</w:t>
      </w:r>
      <w:r>
        <w:rPr>
          <w:sz w:val="22"/>
          <w:szCs w:val="22"/>
        </w:rPr>
        <w:tab/>
      </w:r>
      <w:r>
        <w:rPr>
          <w:sz w:val="22"/>
          <w:szCs w:val="22"/>
        </w:rPr>
        <w:fldChar w:fldCharType="begin"/>
      </w:r>
      <w:r>
        <w:rPr>
          <w:sz w:val="22"/>
          <w:szCs w:val="22"/>
        </w:rPr>
        <w:instrText xml:space="preserve"> PAGEREF _Toc6764 \h </w:instrText>
      </w:r>
      <w:r>
        <w:rPr>
          <w:sz w:val="22"/>
          <w:szCs w:val="22"/>
        </w:rPr>
        <w:fldChar w:fldCharType="separate"/>
      </w:r>
      <w:r>
        <w:rPr>
          <w:sz w:val="22"/>
          <w:szCs w:val="22"/>
        </w:rPr>
        <w:t>26</w:t>
      </w:r>
      <w:r>
        <w:rPr>
          <w:sz w:val="22"/>
          <w:szCs w:val="22"/>
        </w:rPr>
        <w:fldChar w:fldCharType="end"/>
      </w:r>
      <w:r>
        <w:rPr>
          <w:color w:val="auto"/>
          <w:sz w:val="22"/>
          <w:szCs w:val="36"/>
          <w:highlight w:val="none"/>
        </w:rPr>
        <w:fldChar w:fldCharType="end"/>
      </w:r>
    </w:p>
    <w:p w14:paraId="72F56425">
      <w:pPr>
        <w:pStyle w:val="21"/>
        <w:tabs>
          <w:tab w:val="right" w:leader="dot" w:pos="9355"/>
        </w:tabs>
        <w:spacing w:line="360" w:lineRule="auto"/>
        <w:rPr>
          <w:sz w:val="22"/>
          <w:szCs w:val="22"/>
        </w:rPr>
      </w:pPr>
      <w:r>
        <w:rPr>
          <w:color w:val="auto"/>
          <w:sz w:val="22"/>
          <w:szCs w:val="36"/>
          <w:highlight w:val="none"/>
        </w:rPr>
        <w:fldChar w:fldCharType="begin"/>
      </w:r>
      <w:r>
        <w:rPr>
          <w:sz w:val="22"/>
          <w:szCs w:val="36"/>
          <w:highlight w:val="none"/>
        </w:rPr>
        <w:instrText xml:space="preserve"> HYPERLINK \l _Toc11818 </w:instrText>
      </w:r>
      <w:r>
        <w:rPr>
          <w:sz w:val="22"/>
          <w:szCs w:val="36"/>
          <w:highlight w:val="none"/>
        </w:rPr>
        <w:fldChar w:fldCharType="separate"/>
      </w:r>
      <w:r>
        <w:rPr>
          <w:sz w:val="22"/>
          <w:szCs w:val="40"/>
          <w:highlight w:val="none"/>
        </w:rPr>
        <w:t>第四章 响应文件格式</w:t>
      </w:r>
      <w:r>
        <w:rPr>
          <w:sz w:val="22"/>
          <w:szCs w:val="22"/>
        </w:rPr>
        <w:tab/>
      </w:r>
      <w:r>
        <w:rPr>
          <w:sz w:val="22"/>
          <w:szCs w:val="22"/>
        </w:rPr>
        <w:fldChar w:fldCharType="begin"/>
      </w:r>
      <w:r>
        <w:rPr>
          <w:sz w:val="22"/>
          <w:szCs w:val="22"/>
        </w:rPr>
        <w:instrText xml:space="preserve"> PAGEREF _Toc11818 \h </w:instrText>
      </w:r>
      <w:r>
        <w:rPr>
          <w:sz w:val="22"/>
          <w:szCs w:val="22"/>
        </w:rPr>
        <w:fldChar w:fldCharType="separate"/>
      </w:r>
      <w:r>
        <w:rPr>
          <w:sz w:val="22"/>
          <w:szCs w:val="22"/>
        </w:rPr>
        <w:t>27</w:t>
      </w:r>
      <w:r>
        <w:rPr>
          <w:sz w:val="22"/>
          <w:szCs w:val="22"/>
        </w:rPr>
        <w:fldChar w:fldCharType="end"/>
      </w:r>
      <w:r>
        <w:rPr>
          <w:color w:val="auto"/>
          <w:sz w:val="22"/>
          <w:szCs w:val="36"/>
          <w:highlight w:val="none"/>
        </w:rPr>
        <w:fldChar w:fldCharType="end"/>
      </w:r>
    </w:p>
    <w:p w14:paraId="35C7EBDC">
      <w:pPr>
        <w:pStyle w:val="21"/>
        <w:tabs>
          <w:tab w:val="right" w:leader="dot" w:pos="9355"/>
        </w:tabs>
        <w:spacing w:line="360" w:lineRule="auto"/>
        <w:rPr>
          <w:sz w:val="22"/>
          <w:szCs w:val="22"/>
        </w:rPr>
      </w:pPr>
      <w:r>
        <w:rPr>
          <w:color w:val="auto"/>
          <w:sz w:val="22"/>
          <w:szCs w:val="36"/>
          <w:highlight w:val="none"/>
        </w:rPr>
        <w:fldChar w:fldCharType="begin"/>
      </w:r>
      <w:r>
        <w:rPr>
          <w:sz w:val="22"/>
          <w:szCs w:val="36"/>
          <w:highlight w:val="none"/>
        </w:rPr>
        <w:instrText xml:space="preserve"> HYPERLINK \l _Toc32028 </w:instrText>
      </w:r>
      <w:r>
        <w:rPr>
          <w:sz w:val="22"/>
          <w:szCs w:val="36"/>
          <w:highlight w:val="none"/>
        </w:rPr>
        <w:fldChar w:fldCharType="separate"/>
      </w:r>
      <w:r>
        <w:rPr>
          <w:rFonts w:hint="eastAsia"/>
          <w:sz w:val="22"/>
          <w:szCs w:val="40"/>
        </w:rPr>
        <w:t>第</w:t>
      </w:r>
      <w:r>
        <w:rPr>
          <w:rFonts w:hint="eastAsia"/>
          <w:sz w:val="22"/>
          <w:szCs w:val="40"/>
          <w:lang w:eastAsia="zh-CN"/>
        </w:rPr>
        <w:t>五</w:t>
      </w:r>
      <w:r>
        <w:rPr>
          <w:rFonts w:hint="eastAsia"/>
          <w:sz w:val="22"/>
          <w:szCs w:val="40"/>
        </w:rPr>
        <w:t>章</w:t>
      </w:r>
      <w:r>
        <w:rPr>
          <w:sz w:val="22"/>
          <w:szCs w:val="40"/>
        </w:rPr>
        <w:t xml:space="preserve"> </w:t>
      </w:r>
      <w:r>
        <w:rPr>
          <w:rFonts w:hint="eastAsia"/>
          <w:sz w:val="22"/>
          <w:szCs w:val="40"/>
        </w:rPr>
        <w:t>合同条款及格式</w:t>
      </w:r>
      <w:r>
        <w:rPr>
          <w:sz w:val="22"/>
          <w:szCs w:val="22"/>
        </w:rPr>
        <w:tab/>
      </w:r>
      <w:r>
        <w:rPr>
          <w:sz w:val="22"/>
          <w:szCs w:val="22"/>
        </w:rPr>
        <w:fldChar w:fldCharType="begin"/>
      </w:r>
      <w:r>
        <w:rPr>
          <w:sz w:val="22"/>
          <w:szCs w:val="22"/>
        </w:rPr>
        <w:instrText xml:space="preserve"> PAGEREF _Toc32028 \h </w:instrText>
      </w:r>
      <w:r>
        <w:rPr>
          <w:sz w:val="22"/>
          <w:szCs w:val="22"/>
        </w:rPr>
        <w:fldChar w:fldCharType="separate"/>
      </w:r>
      <w:r>
        <w:rPr>
          <w:sz w:val="22"/>
          <w:szCs w:val="22"/>
        </w:rPr>
        <w:t>54</w:t>
      </w:r>
      <w:r>
        <w:rPr>
          <w:sz w:val="22"/>
          <w:szCs w:val="22"/>
        </w:rPr>
        <w:fldChar w:fldCharType="end"/>
      </w:r>
      <w:r>
        <w:rPr>
          <w:color w:val="auto"/>
          <w:sz w:val="22"/>
          <w:szCs w:val="36"/>
          <w:highlight w:val="none"/>
        </w:rPr>
        <w:fldChar w:fldCharType="end"/>
      </w:r>
    </w:p>
    <w:p w14:paraId="59687A01">
      <w:pPr>
        <w:pStyle w:val="21"/>
        <w:tabs>
          <w:tab w:val="right" w:leader="dot" w:pos="9355"/>
        </w:tabs>
        <w:spacing w:line="360" w:lineRule="auto"/>
        <w:rPr>
          <w:rFonts w:hint="eastAsia" w:ascii="宋体" w:hAnsi="宋体" w:eastAsia="宋体" w:cs="宋体"/>
          <w:sz w:val="32"/>
          <w:szCs w:val="48"/>
        </w:rPr>
      </w:pPr>
      <w:r>
        <w:rPr>
          <w:color w:val="auto"/>
          <w:sz w:val="22"/>
          <w:szCs w:val="36"/>
          <w:highlight w:val="none"/>
        </w:rPr>
        <w:fldChar w:fldCharType="begin"/>
      </w:r>
      <w:r>
        <w:rPr>
          <w:sz w:val="22"/>
          <w:szCs w:val="36"/>
          <w:highlight w:val="none"/>
        </w:rPr>
        <w:instrText xml:space="preserve"> HYPERLINK \l _Toc15348 </w:instrText>
      </w:r>
      <w:r>
        <w:rPr>
          <w:sz w:val="22"/>
          <w:szCs w:val="36"/>
          <w:highlight w:val="none"/>
        </w:rPr>
        <w:fldChar w:fldCharType="separate"/>
      </w:r>
      <w:r>
        <w:rPr>
          <w:rFonts w:ascii="宋体" w:hAnsi="宋体"/>
          <w:sz w:val="22"/>
          <w:szCs w:val="40"/>
          <w:highlight w:val="none"/>
        </w:rPr>
        <w:t xml:space="preserve">第六章 </w:t>
      </w:r>
      <w:r>
        <w:rPr>
          <w:rFonts w:hint="eastAsia" w:ascii="宋体" w:hAnsi="宋体"/>
          <w:sz w:val="22"/>
          <w:szCs w:val="40"/>
          <w:highlight w:val="none"/>
          <w:lang w:eastAsia="zh-CN"/>
        </w:rPr>
        <w:t>评分办法和标准</w:t>
      </w:r>
      <w:r>
        <w:rPr>
          <w:sz w:val="22"/>
          <w:szCs w:val="22"/>
        </w:rPr>
        <w:tab/>
      </w:r>
      <w:r>
        <w:rPr>
          <w:sz w:val="22"/>
          <w:szCs w:val="22"/>
        </w:rPr>
        <w:fldChar w:fldCharType="begin"/>
      </w:r>
      <w:r>
        <w:rPr>
          <w:sz w:val="22"/>
          <w:szCs w:val="22"/>
        </w:rPr>
        <w:instrText xml:space="preserve"> PAGEREF _Toc15348 \h </w:instrText>
      </w:r>
      <w:r>
        <w:rPr>
          <w:sz w:val="22"/>
          <w:szCs w:val="22"/>
        </w:rPr>
        <w:fldChar w:fldCharType="separate"/>
      </w:r>
      <w:r>
        <w:rPr>
          <w:sz w:val="22"/>
          <w:szCs w:val="22"/>
        </w:rPr>
        <w:t>144</w:t>
      </w:r>
      <w:r>
        <w:rPr>
          <w:sz w:val="22"/>
          <w:szCs w:val="22"/>
        </w:rPr>
        <w:fldChar w:fldCharType="end"/>
      </w:r>
      <w:r>
        <w:rPr>
          <w:color w:val="auto"/>
          <w:sz w:val="22"/>
          <w:szCs w:val="36"/>
          <w:highlight w:val="none"/>
        </w:rPr>
        <w:fldChar w:fldCharType="end"/>
      </w:r>
    </w:p>
    <w:p w14:paraId="1814832A">
      <w:pPr>
        <w:pStyle w:val="21"/>
        <w:tabs>
          <w:tab w:val="right" w:leader="dot" w:pos="9355"/>
        </w:tabs>
        <w:spacing w:line="360" w:lineRule="auto"/>
      </w:pPr>
      <w:r>
        <w:rPr>
          <w:color w:val="auto"/>
          <w:sz w:val="22"/>
          <w:szCs w:val="36"/>
          <w:highlight w:val="none"/>
        </w:rPr>
        <w:fldChar w:fldCharType="begin"/>
      </w:r>
      <w:r>
        <w:rPr>
          <w:sz w:val="22"/>
          <w:szCs w:val="36"/>
          <w:highlight w:val="none"/>
        </w:rPr>
        <w:instrText xml:space="preserve"> HYPERLINK \l _Toc3198 </w:instrText>
      </w:r>
      <w:r>
        <w:rPr>
          <w:sz w:val="22"/>
          <w:szCs w:val="36"/>
          <w:highlight w:val="none"/>
        </w:rPr>
        <w:fldChar w:fldCharType="separate"/>
      </w:r>
      <w:r>
        <w:rPr>
          <w:rFonts w:hint="eastAsia" w:ascii="宋体" w:hAnsi="宋体"/>
          <w:sz w:val="22"/>
          <w:szCs w:val="40"/>
          <w:highlight w:val="none"/>
        </w:rPr>
        <w:t>第七章 施工图纸及工程量清单</w:t>
      </w:r>
      <w:r>
        <w:rPr>
          <w:sz w:val="22"/>
          <w:szCs w:val="22"/>
        </w:rPr>
        <w:tab/>
      </w:r>
      <w:r>
        <w:rPr>
          <w:sz w:val="22"/>
          <w:szCs w:val="22"/>
        </w:rPr>
        <w:fldChar w:fldCharType="begin"/>
      </w:r>
      <w:r>
        <w:rPr>
          <w:sz w:val="22"/>
          <w:szCs w:val="22"/>
        </w:rPr>
        <w:instrText xml:space="preserve"> PAGEREF _Toc3198 \h </w:instrText>
      </w:r>
      <w:r>
        <w:rPr>
          <w:sz w:val="22"/>
          <w:szCs w:val="22"/>
        </w:rPr>
        <w:fldChar w:fldCharType="separate"/>
      </w:r>
      <w:r>
        <w:rPr>
          <w:sz w:val="22"/>
          <w:szCs w:val="22"/>
        </w:rPr>
        <w:t>150</w:t>
      </w:r>
      <w:r>
        <w:rPr>
          <w:sz w:val="22"/>
          <w:szCs w:val="22"/>
        </w:rPr>
        <w:fldChar w:fldCharType="end"/>
      </w:r>
      <w:r>
        <w:rPr>
          <w:color w:val="auto"/>
          <w:sz w:val="22"/>
          <w:szCs w:val="36"/>
          <w:highlight w:val="none"/>
        </w:rPr>
        <w:fldChar w:fldCharType="end"/>
      </w:r>
    </w:p>
    <w:p w14:paraId="7BF06B5C">
      <w:pPr>
        <w:pStyle w:val="37"/>
        <w:spacing w:line="360" w:lineRule="auto"/>
        <w:rPr>
          <w:color w:val="auto"/>
          <w:highlight w:val="none"/>
        </w:rPr>
      </w:pPr>
      <w:r>
        <w:rPr>
          <w:color w:val="auto"/>
          <w:szCs w:val="28"/>
          <w:highlight w:val="none"/>
        </w:rPr>
        <w:fldChar w:fldCharType="end"/>
      </w:r>
    </w:p>
    <w:p w14:paraId="31CD9BAE">
      <w:pPr>
        <w:pStyle w:val="35"/>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45D0A3CE">
      <w:pPr>
        <w:pStyle w:val="36"/>
        <w:rPr>
          <w:color w:val="auto"/>
          <w:highlight w:val="none"/>
        </w:rPr>
      </w:pPr>
    </w:p>
    <w:p w14:paraId="631ABBF9">
      <w:pPr>
        <w:pStyle w:val="35"/>
        <w:numPr>
          <w:ilvl w:val="0"/>
          <w:numId w:val="1"/>
        </w:numPr>
        <w:spacing w:line="360" w:lineRule="auto"/>
        <w:jc w:val="center"/>
        <w:outlineLvl w:val="0"/>
        <w:rPr>
          <w:rFonts w:ascii="宋体" w:hAnsi="宋体"/>
          <w:b/>
          <w:color w:val="auto"/>
          <w:sz w:val="32"/>
          <w:szCs w:val="32"/>
          <w:highlight w:val="none"/>
        </w:rPr>
      </w:pPr>
      <w:r>
        <w:rPr>
          <w:rFonts w:ascii="宋体" w:hAnsi="宋体"/>
          <w:b/>
          <w:color w:val="auto"/>
          <w:sz w:val="32"/>
          <w:szCs w:val="32"/>
          <w:highlight w:val="none"/>
        </w:rPr>
        <w:t xml:space="preserve"> </w:t>
      </w:r>
      <w:bookmarkStart w:id="2" w:name="_Toc10507"/>
      <w:r>
        <w:rPr>
          <w:rFonts w:ascii="宋体" w:hAnsi="宋体"/>
          <w:b/>
          <w:color w:val="auto"/>
          <w:sz w:val="32"/>
          <w:szCs w:val="32"/>
          <w:highlight w:val="none"/>
        </w:rPr>
        <w:t>竞争性磋商公告</w:t>
      </w:r>
      <w:bookmarkEnd w:id="2"/>
    </w:p>
    <w:p w14:paraId="36F4A4E5">
      <w:pPr>
        <w:pStyle w:val="5"/>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 xml:space="preserve">广西宏朗工程咨询服务有限公司  </w:t>
      </w:r>
    </w:p>
    <w:p w14:paraId="0D515379">
      <w:pPr>
        <w:pStyle w:val="5"/>
        <w:spacing w:line="360" w:lineRule="auto"/>
        <w:jc w:val="center"/>
        <w:rPr>
          <w:rFonts w:hint="eastAsia" w:ascii="宋体" w:hAnsi="宋体" w:cs="宋体"/>
          <w:color w:val="auto"/>
          <w:sz w:val="28"/>
          <w:szCs w:val="20"/>
          <w:highlight w:val="none"/>
        </w:rPr>
      </w:pPr>
      <w:bookmarkStart w:id="3" w:name="_Toc13632"/>
      <w:r>
        <w:rPr>
          <w:rFonts w:hint="eastAsia" w:ascii="宋体" w:hAnsi="宋体" w:cs="宋体"/>
          <w:color w:val="auto"/>
          <w:sz w:val="28"/>
          <w:szCs w:val="20"/>
          <w:highlight w:val="none"/>
          <w:lang w:eastAsia="zh-CN"/>
        </w:rPr>
        <w:t>关于</w:t>
      </w:r>
      <w:bookmarkEnd w:id="3"/>
      <w:bookmarkStart w:id="4" w:name="_Toc12137"/>
      <w:bookmarkStart w:id="5" w:name="_Toc24127"/>
      <w:r>
        <w:rPr>
          <w:rFonts w:hint="eastAsia" w:ascii="宋体" w:hAnsi="宋体" w:cs="宋体"/>
          <w:color w:val="auto"/>
          <w:sz w:val="28"/>
          <w:szCs w:val="20"/>
          <w:highlight w:val="none"/>
          <w:lang w:eastAsia="zh-CN"/>
        </w:rPr>
        <w:t>2025年扶绥县新安灌区、新湾灌区农业水价综合改革巩固提升项目（项目编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CZZC2026-C2-210007-GXHL）</w:t>
      </w:r>
      <w:bookmarkStart w:id="6" w:name="_Toc22582_WPSOffice_Level1"/>
      <w:r>
        <w:rPr>
          <w:rFonts w:hint="eastAsia" w:ascii="宋体" w:hAnsi="宋体" w:cs="宋体"/>
          <w:color w:val="auto"/>
          <w:sz w:val="28"/>
          <w:szCs w:val="20"/>
          <w:highlight w:val="none"/>
          <w:lang w:eastAsia="zh-CN"/>
        </w:rPr>
        <w:t>竞争性磋商公告</w:t>
      </w:r>
      <w:bookmarkEnd w:id="4"/>
      <w:bookmarkEnd w:id="5"/>
      <w:bookmarkEnd w:id="6"/>
    </w:p>
    <w:p w14:paraId="0ADA9844">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6388FC8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2025年扶绥县新安灌区、新湾灌区农业水价综合改革巩固提升项目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 xml:space="preserve">2026年2月6日9时00分  </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618BF893">
      <w:pPr>
        <w:spacing w:line="360" w:lineRule="auto"/>
        <w:rPr>
          <w:b/>
          <w:bCs/>
          <w:color w:val="auto"/>
          <w:sz w:val="21"/>
          <w:szCs w:val="21"/>
          <w:highlight w:val="none"/>
        </w:rPr>
      </w:pPr>
      <w:bookmarkStart w:id="7" w:name="_Toc28359089"/>
      <w:bookmarkStart w:id="8" w:name="_Toc28359012"/>
      <w:bookmarkStart w:id="9" w:name="_Toc35393629"/>
      <w:bookmarkStart w:id="10" w:name="_Toc35393798"/>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7"/>
      <w:bookmarkEnd w:id="8"/>
      <w:bookmarkEnd w:id="9"/>
      <w:bookmarkEnd w:id="10"/>
      <w:r>
        <w:rPr>
          <w:rFonts w:hint="eastAsia"/>
          <w:b/>
          <w:bCs/>
          <w:color w:val="auto"/>
          <w:sz w:val="21"/>
          <w:szCs w:val="21"/>
          <w:highlight w:val="none"/>
        </w:rPr>
        <w:t>：</w:t>
      </w:r>
    </w:p>
    <w:p w14:paraId="3F69C961">
      <w:pPr>
        <w:spacing w:line="360" w:lineRule="auto"/>
        <w:ind w:firstLine="420" w:firstLineChars="200"/>
        <w:rPr>
          <w:rFonts w:hint="eastAsia" w:eastAsia="宋体"/>
          <w:color w:val="auto"/>
          <w:sz w:val="21"/>
          <w:szCs w:val="21"/>
          <w:highlight w:val="none"/>
          <w:lang w:eastAsia="zh-CN"/>
        </w:rPr>
      </w:pPr>
      <w:r>
        <w:rPr>
          <w:rFonts w:hint="eastAsia"/>
          <w:color w:val="auto"/>
          <w:sz w:val="21"/>
          <w:szCs w:val="21"/>
          <w:highlight w:val="none"/>
        </w:rPr>
        <w:t>1.项目编号：</w:t>
      </w:r>
      <w:r>
        <w:rPr>
          <w:rFonts w:hint="eastAsia"/>
          <w:color w:val="auto"/>
          <w:sz w:val="21"/>
          <w:szCs w:val="21"/>
          <w:highlight w:val="none"/>
          <w:lang w:eastAsia="zh-CN"/>
        </w:rPr>
        <w:t>CZZC2026-C2-210007-GXHL</w:t>
      </w:r>
    </w:p>
    <w:p w14:paraId="374FE797">
      <w:pP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2025年扶绥县新安灌区、新湾灌区农业水价综合改革巩固提升项目</w:t>
      </w:r>
      <w:r>
        <w:rPr>
          <w:rFonts w:hint="eastAsia"/>
          <w:color w:val="auto"/>
          <w:sz w:val="21"/>
          <w:szCs w:val="21"/>
          <w:highlight w:val="none"/>
        </w:rPr>
        <w:t>。</w:t>
      </w:r>
    </w:p>
    <w:p w14:paraId="7AE47DD9">
      <w:pPr>
        <w:spacing w:line="360" w:lineRule="auto"/>
        <w:ind w:firstLine="420" w:firstLineChars="200"/>
        <w:rPr>
          <w:rFonts w:hint="eastAsia"/>
          <w:color w:val="auto"/>
          <w:sz w:val="21"/>
          <w:szCs w:val="21"/>
          <w:highlight w:val="none"/>
        </w:rPr>
      </w:pPr>
      <w:r>
        <w:rPr>
          <w:rFonts w:hint="eastAsia"/>
          <w:color w:val="auto"/>
          <w:sz w:val="21"/>
          <w:szCs w:val="21"/>
          <w:highlight w:val="none"/>
        </w:rPr>
        <w:t>3.采购方式：竞争性磋商。</w:t>
      </w:r>
    </w:p>
    <w:p w14:paraId="1F057AA9">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4.采购预算金额：人民币</w:t>
      </w:r>
      <w:r>
        <w:rPr>
          <w:rFonts w:hint="eastAsia" w:ascii="Times New Roman" w:hAnsi="Times New Roman" w:cs="Times New Roman"/>
          <w:bCs w:val="0"/>
          <w:color w:val="auto"/>
          <w:spacing w:val="0"/>
          <w:sz w:val="21"/>
          <w:szCs w:val="21"/>
          <w:highlight w:val="none"/>
          <w:lang w:val="en-US" w:eastAsia="zh-CN" w:bidi="hi-IN"/>
        </w:rPr>
        <w:t>壹佰柒拾贰万壹仟零捌元贰角贰分（¥1721008.22）</w:t>
      </w:r>
      <w:r>
        <w:rPr>
          <w:rFonts w:hint="eastAsia" w:ascii="Times New Roman" w:hAnsi="Times New Roman" w:eastAsia="宋体" w:cs="Times New Roman"/>
          <w:bCs w:val="0"/>
          <w:color w:val="auto"/>
          <w:spacing w:val="0"/>
          <w:sz w:val="21"/>
          <w:szCs w:val="21"/>
          <w:highlight w:val="none"/>
          <w:lang w:val="en-US" w:eastAsia="zh-CN" w:bidi="hi-IN"/>
        </w:rPr>
        <w:t>。</w:t>
      </w:r>
    </w:p>
    <w:p w14:paraId="69B2D7D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最高限价：人民币</w:t>
      </w:r>
      <w:r>
        <w:rPr>
          <w:rFonts w:hint="eastAsia" w:ascii="Times New Roman" w:hAnsi="Times New Roman" w:cs="Times New Roman"/>
          <w:bCs w:val="0"/>
          <w:color w:val="auto"/>
          <w:spacing w:val="0"/>
          <w:sz w:val="21"/>
          <w:szCs w:val="21"/>
          <w:highlight w:val="none"/>
          <w:lang w:val="en-US" w:eastAsia="zh-CN" w:bidi="hi-IN"/>
        </w:rPr>
        <w:t>壹佰柒拾贰万壹仟零捌元贰角贰分（¥1721008.22）</w:t>
      </w:r>
      <w:r>
        <w:rPr>
          <w:rFonts w:hint="eastAsia" w:ascii="Times New Roman" w:hAnsi="Times New Roman" w:eastAsia="宋体" w:cs="Times New Roman"/>
          <w:bCs w:val="0"/>
          <w:color w:val="auto"/>
          <w:spacing w:val="0"/>
          <w:sz w:val="21"/>
          <w:szCs w:val="21"/>
          <w:highlight w:val="none"/>
          <w:lang w:val="en-US" w:eastAsia="zh-CN" w:bidi="hi-IN"/>
        </w:rPr>
        <w:t>。</w:t>
      </w:r>
    </w:p>
    <w:p w14:paraId="04E8B4A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6.采购需求：</w:t>
      </w:r>
      <w:r>
        <w:rPr>
          <w:rFonts w:hint="eastAsia" w:ascii="宋体" w:hAnsi="宋体" w:cs="宋体"/>
          <w:bCs/>
          <w:color w:val="auto"/>
          <w:sz w:val="21"/>
          <w:szCs w:val="21"/>
          <w:highlight w:val="none"/>
          <w:lang w:eastAsia="zh-CN"/>
        </w:rPr>
        <w:t>2025年扶绥县新安灌区、新湾灌区农业水价综合改革巩固提升项目建设内容包含：（1）新安灌区：总干渠左岸边墙砼底板拆除并重建，基础混凝土回填；重建东干渠那各段；边墙修补。（2)新湾灌区：昌平干渠混凝土路面加高，裂缝修复渠首，增加水表，电表箱；重建巴冒支渠；重建2座交通桥等；</w:t>
      </w:r>
      <w:r>
        <w:rPr>
          <w:rFonts w:hint="eastAsia" w:ascii="宋体" w:hAnsi="宋体" w:eastAsia="宋体" w:cs="宋体"/>
          <w:bCs/>
          <w:color w:val="auto"/>
          <w:sz w:val="21"/>
          <w:szCs w:val="21"/>
          <w:highlight w:val="none"/>
          <w:lang w:val="en-US" w:eastAsia="zh-CN"/>
        </w:rPr>
        <w:t>以工程量清单和图纸包含的内容为准。</w:t>
      </w:r>
      <w:r>
        <w:rPr>
          <w:rFonts w:hint="eastAsia" w:ascii="Times New Roman" w:hAnsi="Times New Roman" w:eastAsia="宋体" w:cs="Times New Roman"/>
          <w:bCs w:val="0"/>
          <w:color w:val="auto"/>
          <w:spacing w:val="0"/>
          <w:sz w:val="21"/>
          <w:szCs w:val="21"/>
          <w:highlight w:val="none"/>
          <w:lang w:val="en-US" w:eastAsia="zh-CN" w:bidi="hi-IN"/>
        </w:rPr>
        <w:t xml:space="preserve"> </w:t>
      </w:r>
    </w:p>
    <w:p w14:paraId="016FE5B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90日历天</w:t>
      </w:r>
      <w:r>
        <w:rPr>
          <w:rFonts w:hint="eastAsia"/>
          <w:color w:val="auto"/>
          <w:sz w:val="21"/>
          <w:szCs w:val="21"/>
          <w:highlight w:val="none"/>
        </w:rPr>
        <w:t>。</w:t>
      </w:r>
    </w:p>
    <w:p w14:paraId="60E42E02">
      <w:pP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442E3E5A">
      <w:pPr>
        <w:spacing w:line="360" w:lineRule="auto"/>
        <w:rPr>
          <w:b/>
          <w:bCs/>
          <w:color w:val="auto"/>
          <w:sz w:val="21"/>
          <w:szCs w:val="21"/>
          <w:highlight w:val="none"/>
        </w:rPr>
      </w:pPr>
      <w:bookmarkStart w:id="11" w:name="_Toc28359090"/>
      <w:bookmarkStart w:id="12" w:name="_Toc35393630"/>
      <w:bookmarkStart w:id="13" w:name="_Toc35393799"/>
      <w:bookmarkStart w:id="14" w:name="_Toc28359013"/>
      <w:r>
        <w:rPr>
          <w:rFonts w:hint="eastAsia"/>
          <w:b/>
          <w:bCs/>
          <w:color w:val="auto"/>
          <w:sz w:val="21"/>
          <w:szCs w:val="21"/>
          <w:highlight w:val="none"/>
        </w:rPr>
        <w:t>二、申请人的资格要求：</w:t>
      </w:r>
      <w:bookmarkEnd w:id="11"/>
      <w:bookmarkEnd w:id="12"/>
      <w:bookmarkEnd w:id="13"/>
      <w:bookmarkEnd w:id="14"/>
    </w:p>
    <w:p w14:paraId="7BD08570">
      <w:pPr>
        <w:spacing w:line="360" w:lineRule="auto"/>
        <w:ind w:firstLine="420" w:firstLineChars="200"/>
        <w:rPr>
          <w:rFonts w:hint="eastAsia"/>
          <w:color w:val="auto"/>
          <w:sz w:val="21"/>
          <w:szCs w:val="21"/>
          <w:highlight w:val="none"/>
        </w:rPr>
      </w:pPr>
      <w:bookmarkStart w:id="15" w:name="_Toc28359091"/>
      <w:bookmarkStart w:id="16" w:name="_Toc28359014"/>
      <w:r>
        <w:rPr>
          <w:rFonts w:hint="eastAsia"/>
          <w:color w:val="auto"/>
          <w:sz w:val="21"/>
          <w:szCs w:val="21"/>
          <w:highlight w:val="none"/>
        </w:rPr>
        <w:t>1.满足《中华人民共和国政府采购法》第二十二条规定；</w:t>
      </w:r>
    </w:p>
    <w:p w14:paraId="29FB9F6A">
      <w:pP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6E81B82">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ascii="宋体" w:hAnsi="宋体" w:eastAsia="宋体" w:cs="宋体"/>
          <w:color w:val="auto"/>
          <w:sz w:val="21"/>
          <w:szCs w:val="21"/>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7" w:name="_Toc35393631"/>
      <w:bookmarkStart w:id="18" w:name="_Toc35393800"/>
      <w:r>
        <w:rPr>
          <w:rFonts w:hint="eastAsia" w:ascii="宋体" w:hAnsi="宋体" w:eastAsia="宋体" w:cs="宋体"/>
          <w:color w:val="auto"/>
          <w:sz w:val="21"/>
          <w:szCs w:val="21"/>
          <w:lang w:eastAsia="zh-CN"/>
        </w:rPr>
        <w:t>须具备行政主管部门颁发的水利施工总承</w:t>
      </w:r>
      <w:r>
        <w:rPr>
          <w:rFonts w:hint="eastAsia" w:ascii="宋体" w:hAnsi="宋体" w:eastAsia="宋体" w:cs="宋体"/>
          <w:color w:val="auto"/>
          <w:sz w:val="21"/>
          <w:szCs w:val="21"/>
          <w:lang w:val="en-US" w:eastAsia="zh-CN"/>
        </w:rPr>
        <w:t>包三级及以上</w:t>
      </w:r>
      <w:r>
        <w:rPr>
          <w:rFonts w:hint="eastAsia" w:ascii="宋体" w:hAnsi="宋体" w:eastAsia="宋体" w:cs="宋体"/>
          <w:color w:val="auto"/>
          <w:sz w:val="21"/>
          <w:szCs w:val="21"/>
          <w:lang w:eastAsia="zh-CN"/>
        </w:rPr>
        <w:t>资质，并在人员、设备、资金等方面具备相应的施工能力；拟派驻的项目经理须具备</w:t>
      </w:r>
      <w:r>
        <w:rPr>
          <w:rFonts w:hint="eastAsia" w:ascii="宋体" w:hAnsi="宋体" w:eastAsia="宋体" w:cs="宋体"/>
          <w:color w:val="auto"/>
          <w:sz w:val="21"/>
          <w:szCs w:val="21"/>
          <w:lang w:val="en-US" w:eastAsia="zh-CN"/>
        </w:rPr>
        <w:t>水利</w:t>
      </w:r>
      <w:r>
        <w:rPr>
          <w:rFonts w:hint="eastAsia" w:ascii="宋体" w:hAnsi="宋体" w:eastAsia="宋体" w:cs="宋体"/>
          <w:color w:val="auto"/>
          <w:sz w:val="21"/>
          <w:szCs w:val="21"/>
          <w:lang w:eastAsia="zh-CN"/>
        </w:rPr>
        <w:t>专业</w:t>
      </w:r>
      <w:r>
        <w:rPr>
          <w:rFonts w:hint="eastAsia" w:ascii="宋体" w:hAnsi="宋体" w:cs="宋体"/>
          <w:color w:val="auto"/>
          <w:sz w:val="21"/>
          <w:szCs w:val="21"/>
          <w:lang w:eastAsia="zh-CN"/>
        </w:rPr>
        <w:t>二</w:t>
      </w:r>
      <w:r>
        <w:rPr>
          <w:rFonts w:hint="eastAsia" w:ascii="宋体" w:hAnsi="宋体" w:eastAsia="宋体" w:cs="宋体"/>
          <w:color w:val="auto"/>
          <w:sz w:val="21"/>
          <w:szCs w:val="21"/>
          <w:lang w:eastAsia="zh-CN"/>
        </w:rPr>
        <w:t>级</w:t>
      </w:r>
      <w:r>
        <w:rPr>
          <w:rFonts w:hint="eastAsia" w:ascii="宋体" w:hAnsi="宋体" w:cs="宋体"/>
          <w:color w:val="auto"/>
          <w:sz w:val="21"/>
          <w:szCs w:val="21"/>
          <w:lang w:eastAsia="zh-CN"/>
        </w:rPr>
        <w:t>及以上</w:t>
      </w:r>
      <w:r>
        <w:rPr>
          <w:rFonts w:hint="eastAsia" w:ascii="宋体" w:hAnsi="宋体" w:eastAsia="宋体" w:cs="宋体"/>
          <w:color w:val="auto"/>
          <w:sz w:val="21"/>
          <w:szCs w:val="21"/>
          <w:lang w:eastAsia="zh-CN"/>
        </w:rPr>
        <w:t>注册建造师执业资格，具备有效的安全生产考核合格证书（B类），且为本单位在职员工。</w:t>
      </w:r>
    </w:p>
    <w:p w14:paraId="160D07C5">
      <w:pPr>
        <w:spacing w:line="360" w:lineRule="auto"/>
        <w:rPr>
          <w:b/>
          <w:bCs/>
          <w:color w:val="auto"/>
          <w:sz w:val="21"/>
          <w:szCs w:val="21"/>
          <w:highlight w:val="none"/>
        </w:rPr>
      </w:pPr>
      <w:r>
        <w:rPr>
          <w:rFonts w:hint="eastAsia"/>
          <w:b/>
          <w:bCs/>
          <w:color w:val="auto"/>
          <w:sz w:val="21"/>
          <w:szCs w:val="21"/>
          <w:highlight w:val="none"/>
        </w:rPr>
        <w:t>三、获取采购文件</w:t>
      </w:r>
      <w:bookmarkEnd w:id="15"/>
      <w:bookmarkEnd w:id="16"/>
      <w:bookmarkEnd w:id="17"/>
      <w:bookmarkEnd w:id="18"/>
    </w:p>
    <w:p w14:paraId="0404E438">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2026年1月</w:t>
      </w: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lang w:eastAsia="zh-CN"/>
        </w:rPr>
        <w:t>日起至2026年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日。</w:t>
      </w:r>
    </w:p>
    <w:p w14:paraId="25516626">
      <w:pPr>
        <w:pageBreakBefore w:val="0"/>
        <w:widowControl w:val="0"/>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1D1EE749">
      <w:pPr>
        <w:pageBreakBefore w:val="0"/>
        <w:widowControl w:val="0"/>
        <w:kinsoku/>
        <w:wordWrap/>
        <w:overflowPunct/>
        <w:topLinePunct w:val="0"/>
        <w:autoSpaceDE/>
        <w:autoSpaceDN/>
        <w:bidi w:val="0"/>
        <w:snapToGrid/>
        <w:spacing w:line="327" w:lineRule="auto"/>
        <w:ind w:firstLine="420" w:firstLineChars="200"/>
      </w:pPr>
      <w:r>
        <w:rPr>
          <w:rFonts w:hint="eastAsia"/>
          <w:color w:val="auto"/>
          <w:sz w:val="21"/>
          <w:szCs w:val="21"/>
          <w:highlight w:val="none"/>
          <w:lang w:val="en-US" w:eastAsia="zh-CN"/>
        </w:rPr>
        <w:t>3.</w:t>
      </w:r>
      <w:r>
        <w:rPr>
          <w:rFonts w:hint="default" w:eastAsia="宋体"/>
          <w:color w:val="auto"/>
          <w:sz w:val="21"/>
          <w:szCs w:val="21"/>
          <w:highlight w:val="none"/>
          <w:lang w:val="en-US" w:eastAsia="zh-CN"/>
        </w:rPr>
        <w:t>方式：</w:t>
      </w:r>
      <w:r>
        <w:rPr>
          <w:rFonts w:hint="eastAsia" w:ascii="宋体" w:hAnsi="宋体" w:eastAsia="宋体" w:cs="宋体"/>
          <w:color w:val="auto"/>
          <w:sz w:val="21"/>
          <w:szCs w:val="21"/>
          <w:highlight w:val="none"/>
        </w:rPr>
        <w:t>供应商登录</w:t>
      </w:r>
      <w:r>
        <w:rPr>
          <w:rFonts w:hint="eastAsia" w:ascii="宋体" w:hAnsi="宋体" w:cs="宋体"/>
          <w:color w:val="auto"/>
          <w:sz w:val="21"/>
          <w:szCs w:val="21"/>
          <w:highlight w:val="none"/>
          <w:lang w:eastAsia="zh-CN"/>
        </w:rPr>
        <w:t>广西政府采购云平台</w:t>
      </w:r>
      <w:r>
        <w:rPr>
          <w:rFonts w:hint="eastAsia" w:ascii="宋体" w:hAnsi="宋体" w:eastAsia="宋体" w:cs="宋体"/>
          <w:color w:val="auto"/>
          <w:sz w:val="21"/>
          <w:szCs w:val="21"/>
          <w:highlight w:val="none"/>
        </w:rPr>
        <w:t>在线申请获取采购文件（进入“项目采购”应用，在获取采购文件菜单中选择项目，申请获取采购文件）。</w:t>
      </w:r>
    </w:p>
    <w:p w14:paraId="7215054B">
      <w:pPr>
        <w:spacing w:line="360" w:lineRule="auto"/>
        <w:rPr>
          <w:rFonts w:hint="eastAsia"/>
          <w:b/>
          <w:bCs/>
          <w:color w:val="auto"/>
          <w:sz w:val="21"/>
          <w:szCs w:val="21"/>
          <w:highlight w:val="none"/>
        </w:rPr>
      </w:pPr>
      <w:bookmarkStart w:id="19" w:name="_Toc28359015"/>
      <w:bookmarkStart w:id="20" w:name="_Toc35393801"/>
      <w:bookmarkStart w:id="21" w:name="_Toc28359092"/>
      <w:bookmarkStart w:id="22" w:name="_Toc35393632"/>
      <w:r>
        <w:rPr>
          <w:rFonts w:hint="eastAsia"/>
          <w:b/>
          <w:bCs/>
          <w:color w:val="auto"/>
          <w:sz w:val="21"/>
          <w:szCs w:val="21"/>
          <w:highlight w:val="none"/>
        </w:rPr>
        <w:t>四、响应文件提交</w:t>
      </w:r>
      <w:bookmarkEnd w:id="19"/>
      <w:bookmarkEnd w:id="20"/>
      <w:bookmarkEnd w:id="21"/>
      <w:bookmarkEnd w:id="22"/>
      <w:r>
        <w:rPr>
          <w:rFonts w:hint="eastAsia"/>
          <w:b/>
          <w:bCs/>
          <w:color w:val="auto"/>
          <w:sz w:val="21"/>
          <w:szCs w:val="21"/>
          <w:highlight w:val="none"/>
        </w:rPr>
        <w:t>：</w:t>
      </w:r>
    </w:p>
    <w:p w14:paraId="4B48DA5F">
      <w:pPr>
        <w:spacing w:line="360" w:lineRule="auto"/>
        <w:ind w:firstLine="420" w:firstLineChars="200"/>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 xml:space="preserve">2026年2月6日9时00分  </w:t>
      </w:r>
      <w:r>
        <w:rPr>
          <w:rFonts w:hint="eastAsia"/>
          <w:color w:val="auto"/>
          <w:sz w:val="21"/>
          <w:szCs w:val="21"/>
          <w:highlight w:val="none"/>
        </w:rPr>
        <w:t>（北京时间）</w:t>
      </w:r>
    </w:p>
    <w:p w14:paraId="2C07D456">
      <w:pPr>
        <w:spacing w:line="360" w:lineRule="auto"/>
        <w:ind w:firstLine="420" w:firstLineChars="200"/>
        <w:rPr>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7F09BFF5">
      <w:pPr>
        <w:numPr>
          <w:ilvl w:val="0"/>
          <w:numId w:val="2"/>
        </w:numPr>
        <w:spacing w:line="360" w:lineRule="auto"/>
        <w:rPr>
          <w:rFonts w:hint="eastAsia"/>
          <w:color w:val="auto"/>
          <w:sz w:val="21"/>
          <w:szCs w:val="21"/>
          <w:highlight w:val="none"/>
        </w:rPr>
      </w:pPr>
      <w:bookmarkStart w:id="23" w:name="_Toc35393802"/>
      <w:bookmarkStart w:id="24" w:name="_Toc28359016"/>
      <w:bookmarkStart w:id="25" w:name="_Toc28359093"/>
      <w:bookmarkStart w:id="26" w:name="_Toc35393633"/>
      <w:r>
        <w:rPr>
          <w:rFonts w:hint="eastAsia"/>
          <w:b/>
          <w:bCs/>
          <w:color w:val="auto"/>
          <w:sz w:val="21"/>
          <w:szCs w:val="21"/>
          <w:highlight w:val="none"/>
        </w:rPr>
        <w:t>开启</w:t>
      </w:r>
      <w:bookmarkEnd w:id="23"/>
      <w:bookmarkEnd w:id="24"/>
      <w:bookmarkEnd w:id="25"/>
      <w:bookmarkEnd w:id="26"/>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 xml:space="preserve">2026年2月6日9时00分  </w:t>
      </w:r>
      <w:r>
        <w:rPr>
          <w:rFonts w:hint="eastAsia"/>
          <w:color w:val="auto"/>
          <w:sz w:val="21"/>
          <w:szCs w:val="21"/>
          <w:highlight w:val="none"/>
        </w:rPr>
        <w:t>（北京时间）</w:t>
      </w:r>
    </w:p>
    <w:p w14:paraId="38F51E03">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color w:val="auto"/>
          <w:sz w:val="21"/>
          <w:szCs w:val="21"/>
          <w:highlight w:val="none"/>
          <w:lang w:eastAsia="zh-CN"/>
        </w:rPr>
        <w:t>地址：</w:t>
      </w:r>
      <w:r>
        <w:rPr>
          <w:rFonts w:hint="eastAsia" w:cs="Times New Roman"/>
          <w:color w:val="auto"/>
          <w:sz w:val="21"/>
          <w:szCs w:val="21"/>
          <w:highlight w:val="none"/>
          <w:lang w:val="en-US" w:eastAsia="zh-CN"/>
        </w:rPr>
        <w:t>本项目采用远程异地评审，主会场在崇左市公共资源交易中心【崇左市城南新区石景林路东段政务服务中心综合楼5楼】通过广西政府采购云平台实行在线解密开启，副会场在广西百色市右江区长乐星城写字楼9层</w:t>
      </w:r>
      <w:r>
        <w:rPr>
          <w:rFonts w:hint="eastAsia" w:ascii="宋体" w:hAnsi="宋体" w:cs="宋体"/>
          <w:color w:val="auto"/>
          <w:sz w:val="21"/>
          <w:szCs w:val="21"/>
          <w:highlight w:val="none"/>
          <w:lang w:eastAsia="zh-CN"/>
        </w:rPr>
        <w:t>。</w:t>
      </w:r>
    </w:p>
    <w:p w14:paraId="7AC640F2">
      <w:pPr>
        <w:spacing w:line="360" w:lineRule="auto"/>
        <w:rPr>
          <w:color w:val="auto"/>
          <w:sz w:val="21"/>
          <w:szCs w:val="21"/>
          <w:highlight w:val="none"/>
        </w:rPr>
      </w:pPr>
      <w:bookmarkStart w:id="27" w:name="_Toc28359094"/>
      <w:bookmarkStart w:id="28" w:name="_Toc28359017"/>
      <w:bookmarkStart w:id="29" w:name="_Toc35393803"/>
      <w:bookmarkStart w:id="30" w:name="_Toc35393634"/>
      <w:r>
        <w:rPr>
          <w:rFonts w:hint="eastAsia"/>
          <w:b/>
          <w:bCs/>
          <w:color w:val="auto"/>
          <w:sz w:val="21"/>
          <w:szCs w:val="21"/>
          <w:highlight w:val="none"/>
        </w:rPr>
        <w:t>六、公告期限</w:t>
      </w:r>
      <w:bookmarkEnd w:id="27"/>
      <w:bookmarkEnd w:id="28"/>
      <w:bookmarkEnd w:id="29"/>
      <w:bookmarkEnd w:id="30"/>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8140CCB">
      <w:pPr>
        <w:spacing w:line="360" w:lineRule="auto"/>
        <w:rPr>
          <w:rFonts w:hint="eastAsia"/>
          <w:b/>
          <w:bCs/>
          <w:color w:val="auto"/>
          <w:sz w:val="21"/>
          <w:szCs w:val="21"/>
          <w:highlight w:val="none"/>
        </w:rPr>
      </w:pPr>
      <w:bookmarkStart w:id="31" w:name="_Toc35393635"/>
      <w:bookmarkStart w:id="32" w:name="_Toc35393804"/>
      <w:r>
        <w:rPr>
          <w:rFonts w:hint="eastAsia"/>
          <w:b/>
          <w:bCs/>
          <w:color w:val="auto"/>
          <w:sz w:val="21"/>
          <w:szCs w:val="21"/>
          <w:highlight w:val="none"/>
        </w:rPr>
        <w:t>七、其他补充事宜</w:t>
      </w:r>
      <w:bookmarkEnd w:id="31"/>
      <w:bookmarkEnd w:id="32"/>
      <w:r>
        <w:rPr>
          <w:rFonts w:hint="eastAsia"/>
          <w:b/>
          <w:bCs/>
          <w:color w:val="auto"/>
          <w:sz w:val="21"/>
          <w:szCs w:val="21"/>
          <w:highlight w:val="none"/>
        </w:rPr>
        <w:t>：</w:t>
      </w:r>
    </w:p>
    <w:p w14:paraId="36AD261D">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3" w:name="_Toc35393636"/>
      <w:bookmarkStart w:id="34" w:name="_Toc28359018"/>
      <w:bookmarkStart w:id="35" w:name="_Toc35393805"/>
      <w:bookmarkStart w:id="36" w:name="_Toc28359095"/>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7C3AB269">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hint="eastAsia" w:ascii="宋体" w:hAnsi="宋体" w:cs="宋体"/>
          <w:color w:val="auto"/>
          <w:sz w:val="21"/>
          <w:szCs w:val="21"/>
          <w:highlight w:val="none"/>
          <w:lang w:eastAsia="zh-CN"/>
        </w:rPr>
        <w:t>（</w:t>
      </w:r>
      <w:r>
        <w:rPr>
          <w:rFonts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1030FECD">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2AD15EB6">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本次招标公告同时在中国政府采购网（http://pub.ccgp.gov.cn/）、广西壮族自治区政府采购网（http://www.ccgp-guangxi.gov.cn/）、全国公共资源交易平台 (广西.崇左)（http://ggzy.jgswj.gxzf.gov.cn/czggzy/）上发布</w:t>
      </w:r>
      <w:r>
        <w:rPr>
          <w:rFonts w:hint="eastAsia" w:ascii="宋体" w:hAnsi="宋体" w:cs="宋体"/>
          <w:color w:val="auto"/>
          <w:sz w:val="21"/>
          <w:szCs w:val="21"/>
          <w:highlight w:val="none"/>
        </w:rPr>
        <w:t>。</w:t>
      </w:r>
      <w:r>
        <w:rPr>
          <w:rFonts w:hint="eastAsia" w:ascii="宋体" w:hAnsi="宋体"/>
          <w:color w:val="auto"/>
          <w:sz w:val="21"/>
          <w:szCs w:val="21"/>
          <w:highlight w:val="none"/>
        </w:rPr>
        <w:t xml:space="preserve">  </w:t>
      </w:r>
    </w:p>
    <w:p w14:paraId="4FA06B62">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51674C8E">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586F2C0E">
      <w:pPr>
        <w:keepNext w:val="0"/>
        <w:keepLines w:val="0"/>
        <w:pageBreakBefore w:val="0"/>
        <w:widowControl w:val="0"/>
        <w:kinsoku/>
        <w:overflowPunct/>
        <w:topLinePunct w:val="0"/>
        <w:autoSpaceDE/>
        <w:autoSpaceDN/>
        <w:bidi w:val="0"/>
        <w:adjustRightInd/>
        <w:snapToGrid/>
        <w:spacing w:line="480" w:lineRule="auto"/>
        <w:ind w:firstLine="420" w:firstLineChars="200"/>
        <w:textAlignment w:val="auto"/>
        <w:rPr>
          <w:rFonts w:ascii="宋体" w:hAnsi="宋体" w:cs="宋体"/>
          <w:color w:val="0000FF"/>
          <w:kern w:val="0"/>
          <w:szCs w:val="21"/>
          <w:highlight w:val="none"/>
        </w:rPr>
      </w:pPr>
      <w:r>
        <w:rPr>
          <w:rFonts w:hint="eastAsia" w:ascii="宋体" w:hAnsi="宋体" w:eastAsia="宋体" w:cs="宋体"/>
          <w:color w:val="auto"/>
          <w:kern w:val="0"/>
          <w:sz w:val="21"/>
          <w:szCs w:val="21"/>
          <w:highlight w:val="none"/>
          <w:lang w:val="en-US" w:eastAsia="zh-CN"/>
        </w:rPr>
        <w:t>7.</w:t>
      </w:r>
      <w:r>
        <w:rPr>
          <w:rFonts w:hint="eastAsia"/>
          <w:color w:val="auto"/>
          <w:sz w:val="21"/>
          <w:szCs w:val="21"/>
          <w:lang w:eastAsia="zh-CN"/>
        </w:rPr>
        <w:t>缴纳磋商保证金：无。</w:t>
      </w:r>
    </w:p>
    <w:p w14:paraId="74106AC1">
      <w:pPr>
        <w:keepNext w:val="0"/>
        <w:keepLines w:val="0"/>
        <w:pageBreakBefore w:val="0"/>
        <w:widowControl w:val="0"/>
        <w:kinsoku/>
        <w:wordWrap w:val="0"/>
        <w:overflowPunct/>
        <w:topLinePunct w:val="0"/>
        <w:autoSpaceDE/>
        <w:autoSpaceDN/>
        <w:bidi w:val="0"/>
        <w:adjustRightInd/>
        <w:snapToGrid/>
        <w:spacing w:line="48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152ADD83">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default"/>
          <w:lang w:val="en-US" w:eastAsia="zh-CN"/>
        </w:rPr>
      </w:pPr>
      <w:r>
        <w:rPr>
          <w:rFonts w:hint="eastAsia" w:hAnsi="宋体" w:cs="宋体"/>
          <w:color w:val="auto"/>
          <w:kern w:val="0"/>
          <w:sz w:val="21"/>
          <w:szCs w:val="21"/>
          <w:highlight w:val="none"/>
          <w:lang w:val="en-US" w:eastAsia="zh-CN"/>
        </w:rPr>
        <w:t>9.</w:t>
      </w:r>
      <w:r>
        <w:rPr>
          <w:rFonts w:hint="eastAsia" w:cs="Times New Roman"/>
          <w:color w:val="auto"/>
          <w:sz w:val="21"/>
          <w:szCs w:val="21"/>
          <w:highlight w:val="none"/>
          <w:lang w:val="en-US" w:eastAsia="zh-CN"/>
        </w:rPr>
        <w:t>本项目采用远程异地评审，主会场在崇左市公共资源交易中心【崇左市城南新区石景林路东段政务服务中心综合楼5楼】通过广西政府采购云平台实行在线解密开启，副会场在广西百色市右江区长乐星城写字楼9层</w:t>
      </w:r>
      <w:r>
        <w:rPr>
          <w:rFonts w:hint="eastAsia" w:ascii="宋体" w:hAnsi="宋体" w:cs="宋体"/>
          <w:color w:val="auto"/>
          <w:sz w:val="21"/>
          <w:szCs w:val="21"/>
          <w:highlight w:val="none"/>
          <w:lang w:eastAsia="zh-CN"/>
        </w:rPr>
        <w:t>。</w:t>
      </w:r>
    </w:p>
    <w:bookmarkEnd w:id="33"/>
    <w:bookmarkEnd w:id="34"/>
    <w:bookmarkEnd w:id="35"/>
    <w:bookmarkEnd w:id="36"/>
    <w:p w14:paraId="051EEF5A">
      <w:pPr>
        <w:keepNext w:val="0"/>
        <w:keepLines w:val="0"/>
        <w:pageBreakBefore w:val="0"/>
        <w:kinsoku/>
        <w:overflowPunct/>
        <w:topLinePunct w:val="0"/>
        <w:bidi w:val="0"/>
        <w:spacing w:line="372" w:lineRule="auto"/>
        <w:textAlignment w:val="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p>
    <w:p w14:paraId="7D983908">
      <w:pPr>
        <w:keepNext w:val="0"/>
        <w:keepLines w:val="0"/>
        <w:pageBreakBefore w:val="0"/>
        <w:widowControl w:val="0"/>
        <w:kinsoku/>
        <w:wordWrap/>
        <w:overflowPunct/>
        <w:topLinePunct w:val="0"/>
        <w:autoSpaceDE/>
        <w:autoSpaceDN/>
        <w:bidi w:val="0"/>
        <w:adjustRightInd/>
        <w:snapToGrid/>
        <w:spacing w:line="372" w:lineRule="auto"/>
        <w:textAlignment w:val="auto"/>
        <w:outlineLvl w:val="9"/>
        <w:rPr>
          <w:rFonts w:hint="eastAsia" w:ascii="宋体" w:hAnsi="宋体" w:cs="宋体"/>
          <w:color w:val="auto"/>
          <w:sz w:val="21"/>
          <w:szCs w:val="21"/>
          <w:highlight w:val="none"/>
          <w:lang w:eastAsia="zh-CN"/>
        </w:rPr>
      </w:pPr>
      <w:bookmarkStart w:id="37" w:name="_Toc28812_WPSOffice_Level1"/>
      <w:bookmarkStart w:id="38" w:name="_Toc2920_WPSOffice_Level1"/>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eastAsia="zh-CN"/>
        </w:rPr>
        <w:t>采购人信息</w:t>
      </w:r>
    </w:p>
    <w:p w14:paraId="4F6E6885">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名</w:t>
      </w:r>
      <w:r>
        <w:rPr>
          <w:rFonts w:hint="eastAsia" w:ascii="宋体" w:hAnsi="宋体" w:eastAsia="宋体" w:cs="宋体"/>
          <w:color w:val="auto"/>
          <w:sz w:val="21"/>
          <w:szCs w:val="21"/>
          <w:highlight w:val="none"/>
          <w:lang w:eastAsia="zh-CN"/>
        </w:rPr>
        <w:t>称：</w:t>
      </w:r>
      <w:bookmarkEnd w:id="37"/>
      <w:bookmarkEnd w:id="38"/>
      <w:r>
        <w:rPr>
          <w:rFonts w:hint="eastAsia" w:ascii="宋体" w:hAnsi="宋体" w:cs="宋体"/>
          <w:color w:val="auto"/>
          <w:sz w:val="21"/>
          <w:szCs w:val="21"/>
          <w:highlight w:val="none"/>
          <w:lang w:eastAsia="zh-CN"/>
        </w:rPr>
        <w:t>扶绥县水利工程管理站</w:t>
      </w:r>
    </w:p>
    <w:p w14:paraId="77380B40">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地址：崇左市扶绥县新宁镇空港大道东30号空港大厦8楼　　</w:t>
      </w:r>
    </w:p>
    <w:p w14:paraId="13ED0D7B">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项目联系人:</w:t>
      </w:r>
      <w:r>
        <w:rPr>
          <w:rFonts w:hint="eastAsia" w:ascii="宋体" w:hAnsi="宋体" w:cs="宋体"/>
          <w:color w:val="auto"/>
          <w:sz w:val="21"/>
          <w:szCs w:val="21"/>
          <w:highlight w:val="none"/>
          <w:lang w:val="en-US" w:eastAsia="zh-CN"/>
        </w:rPr>
        <w:t xml:space="preserve"> 农荃森</w:t>
      </w:r>
      <w:r>
        <w:rPr>
          <w:rFonts w:hint="eastAsia" w:ascii="宋体" w:hAnsi="宋体" w:cs="宋体"/>
          <w:color w:val="auto"/>
          <w:sz w:val="21"/>
          <w:szCs w:val="21"/>
          <w:highlight w:val="none"/>
          <w:lang w:eastAsia="zh-CN"/>
        </w:rPr>
        <w:t>　</w:t>
      </w:r>
    </w:p>
    <w:p w14:paraId="612F6FC4">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项目联系方式：0771-7539530 </w:t>
      </w:r>
    </w:p>
    <w:p w14:paraId="738AFC7B">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采购代理机构：广西宏朗工程咨询服务</w:t>
      </w:r>
      <w:r>
        <w:rPr>
          <w:rFonts w:hint="eastAsia" w:hAnsi="宋体"/>
          <w:color w:val="auto"/>
          <w:sz w:val="21"/>
          <w:szCs w:val="21"/>
          <w:highlight w:val="none"/>
          <w:lang w:eastAsia="zh-CN"/>
        </w:rPr>
        <w:t xml:space="preserve">有限公司  </w:t>
      </w:r>
    </w:p>
    <w:p w14:paraId="22C62D46">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地址：崇左市友谊大道（龙胤财富广场）第1栋1-201号房</w:t>
      </w:r>
    </w:p>
    <w:p w14:paraId="35F4DC51">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何丽    </w:t>
      </w:r>
    </w:p>
    <w:p w14:paraId="3746589E">
      <w:pPr>
        <w:keepNext w:val="0"/>
        <w:keepLines w:val="0"/>
        <w:pageBreakBefore w:val="0"/>
        <w:widowControl w:val="0"/>
        <w:kinsoku/>
        <w:wordWrap/>
        <w:overflowPunct/>
        <w:topLinePunct w:val="0"/>
        <w:autoSpaceDE/>
        <w:autoSpaceDN/>
        <w:bidi w:val="0"/>
        <w:adjustRightInd/>
        <w:snapToGrid/>
        <w:spacing w:line="372" w:lineRule="auto"/>
        <w:ind w:firstLine="210" w:firstLineChars="100"/>
        <w:textAlignment w:val="auto"/>
        <w:outlineLvl w:val="9"/>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项目联系方式：</w:t>
      </w:r>
      <w:r>
        <w:rPr>
          <w:rFonts w:hint="eastAsia" w:ascii="宋体" w:hAnsi="宋体" w:cs="宋体"/>
          <w:color w:val="auto"/>
          <w:sz w:val="21"/>
          <w:szCs w:val="21"/>
          <w:highlight w:val="none"/>
          <w:lang w:val="en-US" w:eastAsia="zh-CN"/>
        </w:rPr>
        <w:t>0771-7910706</w:t>
      </w:r>
    </w:p>
    <w:p w14:paraId="05BB68A4">
      <w:pPr>
        <w:keepNext w:val="0"/>
        <w:keepLines w:val="0"/>
        <w:pageBreakBefore w:val="0"/>
        <w:widowControl w:val="0"/>
        <w:numPr>
          <w:ilvl w:val="0"/>
          <w:numId w:val="3"/>
        </w:numPr>
        <w:kinsoku/>
        <w:wordWrap/>
        <w:overflowPunct/>
        <w:topLinePunct w:val="0"/>
        <w:autoSpaceDE/>
        <w:autoSpaceDN/>
        <w:bidi w:val="0"/>
        <w:adjustRightInd/>
        <w:snapToGrid/>
        <w:spacing w:line="372" w:lineRule="auto"/>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项目联系人：</w:t>
      </w:r>
      <w:r>
        <w:rPr>
          <w:rFonts w:hint="eastAsia" w:ascii="宋体" w:hAnsi="宋体" w:cs="宋体"/>
          <w:color w:val="auto"/>
          <w:sz w:val="21"/>
          <w:szCs w:val="21"/>
          <w:highlight w:val="none"/>
          <w:lang w:val="en-US" w:eastAsia="zh-CN"/>
        </w:rPr>
        <w:t xml:space="preserve">何丽  </w:t>
      </w:r>
      <w:r>
        <w:rPr>
          <w:rFonts w:hint="eastAsia" w:ascii="宋体" w:hAnsi="宋体" w:eastAsia="宋体" w:cs="宋体"/>
          <w:color w:val="auto"/>
          <w:sz w:val="21"/>
          <w:szCs w:val="21"/>
          <w:highlight w:val="none"/>
          <w:lang w:eastAsia="zh-CN"/>
        </w:rPr>
        <w:t>项目联系方式：</w:t>
      </w:r>
      <w:r>
        <w:rPr>
          <w:rFonts w:hint="eastAsia" w:ascii="宋体" w:hAnsi="宋体" w:cs="宋体"/>
          <w:color w:val="auto"/>
          <w:sz w:val="21"/>
          <w:szCs w:val="21"/>
          <w:highlight w:val="none"/>
          <w:lang w:val="en-US" w:eastAsia="zh-CN"/>
        </w:rPr>
        <w:t>0771-7910706</w:t>
      </w:r>
    </w:p>
    <w:p w14:paraId="7CED2B82">
      <w:pPr>
        <w:pStyle w:val="2"/>
        <w:keepNext w:val="0"/>
        <w:keepLines w:val="0"/>
        <w:pageBreakBefore w:val="0"/>
        <w:numPr>
          <w:ilvl w:val="0"/>
          <w:numId w:val="3"/>
        </w:numPr>
        <w:kinsoku/>
        <w:overflowPunct/>
        <w:topLinePunct w:val="0"/>
        <w:bidi w:val="0"/>
        <w:spacing w:line="372" w:lineRule="auto"/>
        <w:ind w:left="0" w:leftChars="0" w:firstLine="0" w:firstLineChars="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监督部门：</w:t>
      </w:r>
      <w:r>
        <w:rPr>
          <w:rFonts w:hint="eastAsia" w:hAnsi="宋体" w:cs="宋体"/>
          <w:color w:val="auto"/>
          <w:sz w:val="21"/>
          <w:szCs w:val="21"/>
          <w:highlight w:val="none"/>
          <w:lang w:val="en-US" w:eastAsia="zh-CN"/>
        </w:rPr>
        <w:t>扶绥县</w:t>
      </w:r>
      <w:r>
        <w:rPr>
          <w:rFonts w:hint="eastAsia" w:ascii="宋体" w:hAnsi="宋体" w:cs="宋体"/>
          <w:color w:val="auto"/>
          <w:sz w:val="21"/>
          <w:szCs w:val="21"/>
          <w:highlight w:val="none"/>
          <w:lang w:eastAsia="zh-CN"/>
        </w:rPr>
        <w:t>财政局政府采购监督管理股</w:t>
      </w:r>
      <w:r>
        <w:rPr>
          <w:rFonts w:hint="eastAsia" w:ascii="宋体" w:hAnsi="宋体" w:cs="宋体"/>
          <w:color w:val="auto"/>
          <w:sz w:val="21"/>
          <w:szCs w:val="21"/>
          <w:highlight w:val="none"/>
          <w:lang w:val="en-US" w:eastAsia="zh-CN"/>
        </w:rPr>
        <w:t xml:space="preserve">     电话：</w:t>
      </w:r>
      <w:r>
        <w:rPr>
          <w:rFonts w:hint="eastAsia" w:ascii="宋体" w:hAnsi="宋体" w:cs="宋体"/>
          <w:color w:val="auto"/>
          <w:sz w:val="21"/>
          <w:szCs w:val="21"/>
          <w:highlight w:val="none"/>
          <w:lang w:eastAsia="zh-CN"/>
        </w:rPr>
        <w:t>0771-</w:t>
      </w:r>
      <w:r>
        <w:rPr>
          <w:rFonts w:hint="eastAsia" w:hAnsi="宋体" w:cs="宋体"/>
          <w:color w:val="auto"/>
          <w:sz w:val="21"/>
          <w:szCs w:val="21"/>
          <w:highlight w:val="none"/>
          <w:lang w:val="en-US" w:eastAsia="zh-CN"/>
        </w:rPr>
        <w:t>8812665</w:t>
      </w:r>
    </w:p>
    <w:p w14:paraId="5BA69296">
      <w:pPr>
        <w:pStyle w:val="2"/>
        <w:keepNext w:val="0"/>
        <w:keepLines w:val="0"/>
        <w:pageBreakBefore w:val="0"/>
        <w:numPr>
          <w:ilvl w:val="0"/>
          <w:numId w:val="0"/>
        </w:numPr>
        <w:kinsoku/>
        <w:overflowPunct/>
        <w:topLinePunct w:val="0"/>
        <w:bidi w:val="0"/>
        <w:spacing w:line="372" w:lineRule="auto"/>
        <w:ind w:leftChars="0"/>
        <w:textAlignment w:val="auto"/>
        <w:rPr>
          <w:rFonts w:hint="eastAsia" w:ascii="宋体" w:hAnsi="宋体" w:cs="宋体"/>
          <w:color w:val="auto"/>
          <w:sz w:val="21"/>
          <w:szCs w:val="21"/>
          <w:highlight w:val="none"/>
          <w:lang w:val="en-US" w:eastAsia="zh-CN"/>
        </w:rPr>
      </w:pPr>
    </w:p>
    <w:p w14:paraId="4E15D62D">
      <w:pPr>
        <w:keepNext w:val="0"/>
        <w:keepLines w:val="0"/>
        <w:pageBreakBefore w:val="0"/>
        <w:kinsoku/>
        <w:overflowPunct/>
        <w:topLinePunct w:val="0"/>
        <w:bidi w:val="0"/>
        <w:spacing w:line="372" w:lineRule="auto"/>
        <w:textAlignment w:val="auto"/>
        <w:rPr>
          <w:rFonts w:ascii="宋体" w:hAnsi="宋体" w:cs="宋体"/>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lang w:eastAsia="zh-CN"/>
        </w:rPr>
        <w:t>采购</w:t>
      </w:r>
      <w:r>
        <w:rPr>
          <w:rFonts w:hint="eastAsia" w:ascii="宋体" w:hAnsi="宋体" w:cs="宋体"/>
          <w:color w:val="auto"/>
          <w:sz w:val="21"/>
          <w:szCs w:val="21"/>
          <w:highlight w:val="none"/>
        </w:rPr>
        <w:t>单位：</w:t>
      </w:r>
      <w:r>
        <w:rPr>
          <w:rFonts w:hint="eastAsia" w:ascii="宋体" w:hAnsi="宋体" w:cs="宋体"/>
          <w:color w:val="auto"/>
          <w:sz w:val="21"/>
          <w:szCs w:val="21"/>
          <w:highlight w:val="none"/>
          <w:lang w:eastAsia="zh-CN"/>
        </w:rPr>
        <w:t>扶绥县水利工程管理站</w:t>
      </w:r>
    </w:p>
    <w:p w14:paraId="5B67DC86">
      <w:pPr>
        <w:keepNext w:val="0"/>
        <w:keepLines w:val="0"/>
        <w:pageBreakBefore w:val="0"/>
        <w:kinsoku/>
        <w:overflowPunct/>
        <w:topLinePunct w:val="0"/>
        <w:bidi w:val="0"/>
        <w:spacing w:line="372" w:lineRule="auto"/>
        <w:ind w:firstLine="3570" w:firstLineChars="1700"/>
        <w:jc w:val="both"/>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采购代理机构：</w:t>
      </w:r>
      <w:r>
        <w:rPr>
          <w:rFonts w:hint="eastAsia" w:ascii="宋体" w:hAnsi="宋体" w:cs="宋体"/>
          <w:color w:val="auto"/>
          <w:sz w:val="21"/>
          <w:szCs w:val="21"/>
          <w:highlight w:val="none"/>
          <w:lang w:eastAsia="zh-CN"/>
        </w:rPr>
        <w:t xml:space="preserve">广西宏朗工程咨询服务有限公司  </w:t>
      </w:r>
    </w:p>
    <w:p w14:paraId="2EE77C3A">
      <w:pPr>
        <w:keepNext w:val="0"/>
        <w:keepLines w:val="0"/>
        <w:pageBreakBefore w:val="0"/>
        <w:kinsoku/>
        <w:overflowPunct/>
        <w:topLinePunct w:val="0"/>
        <w:bidi w:val="0"/>
        <w:spacing w:line="372" w:lineRule="auto"/>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日 期： </w:t>
      </w:r>
      <w:r>
        <w:rPr>
          <w:rFonts w:hint="eastAsia" w:ascii="宋体" w:hAnsi="宋体" w:cs="宋体"/>
          <w:color w:val="auto"/>
          <w:sz w:val="21"/>
          <w:szCs w:val="21"/>
          <w:highlight w:val="none"/>
          <w:lang w:eastAsia="zh-CN"/>
        </w:rPr>
        <w:t>2026年1月</w:t>
      </w:r>
      <w:r>
        <w:rPr>
          <w:rFonts w:hint="eastAsia" w:ascii="宋体" w:hAnsi="宋体" w:cs="宋体"/>
          <w:color w:val="auto"/>
          <w:sz w:val="21"/>
          <w:szCs w:val="21"/>
          <w:highlight w:val="none"/>
          <w:lang w:val="en-US" w:eastAsia="zh-CN"/>
        </w:rPr>
        <w:t>26</w:t>
      </w:r>
      <w:r>
        <w:rPr>
          <w:rFonts w:hint="eastAsia" w:ascii="宋体" w:hAnsi="宋体" w:cs="宋体"/>
          <w:color w:val="auto"/>
          <w:sz w:val="21"/>
          <w:szCs w:val="21"/>
          <w:highlight w:val="none"/>
        </w:rPr>
        <w:t>日</w:t>
      </w:r>
    </w:p>
    <w:p w14:paraId="32D020FF">
      <w:pPr>
        <w:pStyle w:val="36"/>
      </w:pPr>
    </w:p>
    <w:p w14:paraId="2B707D8F">
      <w:pPr>
        <w:pStyle w:val="35"/>
      </w:pPr>
    </w:p>
    <w:p w14:paraId="0FC8D2C7">
      <w:pPr>
        <w:pStyle w:val="36"/>
      </w:pPr>
    </w:p>
    <w:p w14:paraId="60898BDF">
      <w:pPr>
        <w:pStyle w:val="35"/>
      </w:pPr>
    </w:p>
    <w:p w14:paraId="60B6341C">
      <w:pPr>
        <w:pStyle w:val="36"/>
      </w:pPr>
    </w:p>
    <w:p w14:paraId="02D21115">
      <w:pPr>
        <w:pStyle w:val="35"/>
      </w:pPr>
    </w:p>
    <w:p w14:paraId="49D25A7F">
      <w:pPr>
        <w:pStyle w:val="36"/>
      </w:pPr>
    </w:p>
    <w:p w14:paraId="7428A6EE">
      <w:pPr>
        <w:pStyle w:val="35"/>
      </w:pPr>
    </w:p>
    <w:p w14:paraId="0736FEBF">
      <w:pPr>
        <w:pStyle w:val="36"/>
      </w:pPr>
    </w:p>
    <w:p w14:paraId="6BE7F51D">
      <w:pPr>
        <w:pStyle w:val="35"/>
      </w:pPr>
    </w:p>
    <w:p w14:paraId="0CE90903">
      <w:pPr>
        <w:pStyle w:val="35"/>
      </w:pPr>
    </w:p>
    <w:p w14:paraId="0B8627F9">
      <w:pPr>
        <w:pStyle w:val="36"/>
      </w:pPr>
    </w:p>
    <w:p w14:paraId="0C6D6092">
      <w:pPr>
        <w:pStyle w:val="35"/>
      </w:pPr>
    </w:p>
    <w:p w14:paraId="42B53CF6">
      <w:pPr>
        <w:pStyle w:val="35"/>
      </w:pPr>
    </w:p>
    <w:p w14:paraId="1D33C113">
      <w:pPr>
        <w:pStyle w:val="35"/>
        <w:spacing w:line="360" w:lineRule="auto"/>
        <w:jc w:val="center"/>
        <w:outlineLvl w:val="0"/>
        <w:rPr>
          <w:color w:val="auto"/>
          <w:highlight w:val="none"/>
        </w:rPr>
      </w:pPr>
      <w:bookmarkStart w:id="39" w:name="_Toc23156"/>
      <w:r>
        <w:rPr>
          <w:rFonts w:ascii="宋体" w:hAnsi="宋体"/>
          <w:b/>
          <w:color w:val="auto"/>
          <w:sz w:val="32"/>
          <w:szCs w:val="32"/>
          <w:highlight w:val="none"/>
        </w:rPr>
        <w:t>第二章  供应商须知</w:t>
      </w:r>
      <w:bookmarkEnd w:id="39"/>
    </w:p>
    <w:p w14:paraId="3082594D">
      <w:pPr>
        <w:pStyle w:val="35"/>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30447B48">
      <w:pPr>
        <w:pStyle w:val="35"/>
        <w:rPr>
          <w:color w:val="auto"/>
          <w:highlight w:val="none"/>
        </w:rPr>
      </w:pPr>
    </w:p>
    <w:tbl>
      <w:tblPr>
        <w:tblStyle w:val="2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44"/>
        <w:gridCol w:w="6298"/>
        <w:gridCol w:w="11"/>
      </w:tblGrid>
      <w:tr w14:paraId="5061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6D6057C2">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44" w:type="dxa"/>
            <w:vAlign w:val="center"/>
          </w:tcPr>
          <w:p w14:paraId="6C75C954">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09" w:type="dxa"/>
            <w:gridSpan w:val="2"/>
            <w:vAlign w:val="center"/>
          </w:tcPr>
          <w:p w14:paraId="52CABE2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0AF37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88" w:hRule="exact"/>
          <w:jc w:val="center"/>
        </w:trPr>
        <w:tc>
          <w:tcPr>
            <w:tcW w:w="644" w:type="dxa"/>
            <w:vAlign w:val="center"/>
          </w:tcPr>
          <w:p w14:paraId="439098B8">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w:t>
            </w:r>
          </w:p>
        </w:tc>
        <w:tc>
          <w:tcPr>
            <w:tcW w:w="1844" w:type="dxa"/>
            <w:vAlign w:val="center"/>
          </w:tcPr>
          <w:p w14:paraId="1B9CB561">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工程名称及编号</w:t>
            </w:r>
          </w:p>
        </w:tc>
        <w:tc>
          <w:tcPr>
            <w:tcW w:w="6309" w:type="dxa"/>
            <w:gridSpan w:val="2"/>
            <w:vAlign w:val="center"/>
          </w:tcPr>
          <w:p w14:paraId="707CB6D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bCs/>
                <w:color w:val="auto"/>
                <w:sz w:val="21"/>
                <w:szCs w:val="21"/>
                <w:highlight w:val="none"/>
              </w:rPr>
              <w:t>工程名称：</w:t>
            </w:r>
            <w:r>
              <w:rPr>
                <w:rFonts w:hint="eastAsia" w:ascii="宋体" w:hAnsi="宋体" w:cs="宋体"/>
                <w:color w:val="auto"/>
                <w:sz w:val="21"/>
                <w:szCs w:val="21"/>
                <w:highlight w:val="none"/>
                <w:lang w:eastAsia="zh-CN"/>
              </w:rPr>
              <w:t>2025年扶绥县新安灌区、新湾灌区农业水价综合改革巩固提升项目</w:t>
            </w:r>
          </w:p>
          <w:p w14:paraId="65B3A8D2">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CZZC2026-C2-210007-GXHL</w:t>
            </w:r>
          </w:p>
        </w:tc>
      </w:tr>
      <w:tr w14:paraId="0B9B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4D9DCF9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2</w:t>
            </w:r>
          </w:p>
        </w:tc>
        <w:tc>
          <w:tcPr>
            <w:tcW w:w="1844" w:type="dxa"/>
            <w:vAlign w:val="center"/>
          </w:tcPr>
          <w:p w14:paraId="44F0FDFB">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09" w:type="dxa"/>
            <w:gridSpan w:val="2"/>
            <w:vAlign w:val="center"/>
          </w:tcPr>
          <w:p w14:paraId="0DC22B27">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hint="eastAsia" w:ascii="宋体" w:eastAsia="宋体" w:cs="宋体"/>
                <w:bCs/>
                <w:color w:val="auto"/>
                <w:sz w:val="21"/>
                <w:szCs w:val="21"/>
                <w:highlight w:val="none"/>
                <w:lang w:val="en-US" w:eastAsia="zh-CN"/>
              </w:rPr>
            </w:pPr>
            <w:r>
              <w:rPr>
                <w:rFonts w:hint="eastAsia" w:ascii="宋体" w:cs="宋体"/>
                <w:bCs/>
                <w:color w:val="auto"/>
                <w:sz w:val="21"/>
                <w:szCs w:val="21"/>
                <w:highlight w:val="none"/>
                <w:lang w:val="en-US" w:eastAsia="zh-CN"/>
              </w:rPr>
              <w:t>崇左市扶绥县</w:t>
            </w:r>
          </w:p>
        </w:tc>
      </w:tr>
      <w:tr w14:paraId="4DA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2" w:hRule="exact"/>
          <w:jc w:val="center"/>
        </w:trPr>
        <w:tc>
          <w:tcPr>
            <w:tcW w:w="644" w:type="dxa"/>
            <w:vAlign w:val="center"/>
          </w:tcPr>
          <w:p w14:paraId="24FA26A4">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3</w:t>
            </w:r>
          </w:p>
        </w:tc>
        <w:tc>
          <w:tcPr>
            <w:tcW w:w="1844" w:type="dxa"/>
            <w:vAlign w:val="center"/>
          </w:tcPr>
          <w:p w14:paraId="2B8CCD1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09" w:type="dxa"/>
            <w:gridSpan w:val="2"/>
            <w:vAlign w:val="center"/>
          </w:tcPr>
          <w:p w14:paraId="376A261A">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left"/>
              <w:textAlignment w:val="auto"/>
              <w:rPr>
                <w:rFonts w:hint="default" w:asci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人民币</w:t>
            </w:r>
            <w:r>
              <w:rPr>
                <w:rFonts w:hint="eastAsia" w:cs="Times New Roman"/>
                <w:bCs w:val="0"/>
                <w:color w:val="auto"/>
                <w:spacing w:val="0"/>
                <w:sz w:val="21"/>
                <w:szCs w:val="21"/>
                <w:highlight w:val="none"/>
                <w:lang w:val="en-US" w:eastAsia="zh-CN" w:bidi="hi-IN"/>
              </w:rPr>
              <w:t>壹佰柒拾贰万壹仟零捌元贰角贰分（¥1721008.22）</w:t>
            </w:r>
          </w:p>
        </w:tc>
      </w:tr>
      <w:tr w14:paraId="114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exact"/>
          <w:jc w:val="center"/>
        </w:trPr>
        <w:tc>
          <w:tcPr>
            <w:tcW w:w="644" w:type="dxa"/>
            <w:vAlign w:val="center"/>
          </w:tcPr>
          <w:p w14:paraId="585C994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4</w:t>
            </w:r>
          </w:p>
        </w:tc>
        <w:tc>
          <w:tcPr>
            <w:tcW w:w="1844" w:type="dxa"/>
            <w:vAlign w:val="center"/>
          </w:tcPr>
          <w:p w14:paraId="2E5F01FF">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09" w:type="dxa"/>
            <w:gridSpan w:val="2"/>
            <w:vAlign w:val="center"/>
          </w:tcPr>
          <w:p w14:paraId="22B8934B">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单价承包（固定</w:t>
            </w:r>
            <w:r>
              <w:rPr>
                <w:rFonts w:hint="eastAsia" w:ascii="宋体" w:hAnsi="宋体" w:cs="宋体"/>
                <w:bCs/>
                <w:color w:val="auto"/>
                <w:sz w:val="21"/>
                <w:szCs w:val="21"/>
                <w:highlight w:val="none"/>
                <w:lang w:val="en-US" w:eastAsia="zh-CN"/>
              </w:rPr>
              <w:t>综合</w:t>
            </w:r>
            <w:r>
              <w:rPr>
                <w:rFonts w:hint="eastAsia" w:ascii="宋体" w:hAnsi="宋体" w:cs="宋体"/>
                <w:bCs/>
                <w:color w:val="auto"/>
                <w:sz w:val="21"/>
                <w:szCs w:val="21"/>
                <w:highlight w:val="none"/>
              </w:rPr>
              <w:t>单价）</w:t>
            </w:r>
          </w:p>
        </w:tc>
      </w:tr>
      <w:tr w14:paraId="4D14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exact"/>
          <w:jc w:val="center"/>
        </w:trPr>
        <w:tc>
          <w:tcPr>
            <w:tcW w:w="644" w:type="dxa"/>
            <w:vAlign w:val="center"/>
          </w:tcPr>
          <w:p w14:paraId="4BB781A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5</w:t>
            </w:r>
          </w:p>
        </w:tc>
        <w:tc>
          <w:tcPr>
            <w:tcW w:w="1844" w:type="dxa"/>
            <w:vAlign w:val="center"/>
          </w:tcPr>
          <w:p w14:paraId="18F8D4ED">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09" w:type="dxa"/>
            <w:gridSpan w:val="2"/>
            <w:vAlign w:val="center"/>
          </w:tcPr>
          <w:p w14:paraId="03CD0C85">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5F16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1" w:hRule="exact"/>
          <w:jc w:val="center"/>
        </w:trPr>
        <w:tc>
          <w:tcPr>
            <w:tcW w:w="644" w:type="dxa"/>
            <w:vAlign w:val="center"/>
          </w:tcPr>
          <w:p w14:paraId="295C687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6</w:t>
            </w:r>
          </w:p>
        </w:tc>
        <w:tc>
          <w:tcPr>
            <w:tcW w:w="1844" w:type="dxa"/>
            <w:vAlign w:val="center"/>
          </w:tcPr>
          <w:p w14:paraId="55A2A7D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09" w:type="dxa"/>
            <w:gridSpan w:val="2"/>
            <w:vAlign w:val="center"/>
          </w:tcPr>
          <w:p w14:paraId="13DB65B3">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bCs/>
                <w:color w:val="auto"/>
                <w:sz w:val="21"/>
                <w:szCs w:val="21"/>
                <w:highlight w:val="none"/>
              </w:rPr>
            </w:pPr>
            <w:r>
              <w:rPr>
                <w:rFonts w:hint="eastAsia" w:ascii="宋体" w:hAnsi="宋体" w:cs="宋体"/>
                <w:bCs/>
                <w:color w:val="auto"/>
                <w:sz w:val="21"/>
                <w:szCs w:val="21"/>
                <w:highlight w:val="none"/>
                <w:lang w:eastAsia="zh-CN"/>
              </w:rPr>
              <w:t>2025年扶绥县新安灌区、新湾灌区农业水价综合改革巩固提升项目建设内容包含：（1）新安灌区：总干渠左岸边墙砼底板拆除并重建，基础混凝土回填；重建东干渠那各段；边墙修补。（2)新湾灌区：昌平干渠混凝土路面加高，裂缝修复渠首，增加水表，电表箱；重建巴冒支渠；重建2座交通桥等；</w:t>
            </w:r>
            <w:r>
              <w:rPr>
                <w:rFonts w:hint="eastAsia" w:ascii="宋体" w:hAnsi="宋体" w:eastAsia="宋体" w:cs="宋体"/>
                <w:bCs/>
                <w:color w:val="auto"/>
                <w:sz w:val="21"/>
                <w:szCs w:val="21"/>
                <w:highlight w:val="none"/>
                <w:lang w:val="en-US" w:eastAsia="zh-CN"/>
              </w:rPr>
              <w:t>以工程量清单和图纸包含的内容为准。</w:t>
            </w:r>
          </w:p>
        </w:tc>
      </w:tr>
      <w:tr w14:paraId="1C2C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50061D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7</w:t>
            </w:r>
          </w:p>
        </w:tc>
        <w:tc>
          <w:tcPr>
            <w:tcW w:w="1844" w:type="dxa"/>
            <w:vAlign w:val="center"/>
          </w:tcPr>
          <w:p w14:paraId="1C74208B">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09" w:type="dxa"/>
            <w:gridSpan w:val="2"/>
            <w:vAlign w:val="center"/>
          </w:tcPr>
          <w:p w14:paraId="570FC51D">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90日历天</w:t>
            </w:r>
          </w:p>
        </w:tc>
      </w:tr>
      <w:tr w14:paraId="35E3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exact"/>
          <w:jc w:val="center"/>
        </w:trPr>
        <w:tc>
          <w:tcPr>
            <w:tcW w:w="644" w:type="dxa"/>
            <w:vAlign w:val="center"/>
          </w:tcPr>
          <w:p w14:paraId="62700B05">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8</w:t>
            </w:r>
          </w:p>
        </w:tc>
        <w:tc>
          <w:tcPr>
            <w:tcW w:w="1844" w:type="dxa"/>
            <w:vAlign w:val="center"/>
          </w:tcPr>
          <w:p w14:paraId="37C07050">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09" w:type="dxa"/>
            <w:gridSpan w:val="2"/>
            <w:vAlign w:val="center"/>
          </w:tcPr>
          <w:p w14:paraId="3CB298B2">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bCs/>
                <w:color w:val="auto"/>
                <w:sz w:val="21"/>
                <w:szCs w:val="21"/>
                <w:highlight w:val="none"/>
                <w:lang w:val="en-US" w:eastAsia="zh-CN"/>
              </w:rPr>
              <w:t>桂整合〔2025〕3号广西壮族自治区财政厅关于下达2025年中央水利发展资金预算的通知</w:t>
            </w:r>
          </w:p>
        </w:tc>
      </w:tr>
      <w:tr w14:paraId="4976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5BCCD0F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9</w:t>
            </w:r>
          </w:p>
        </w:tc>
        <w:tc>
          <w:tcPr>
            <w:tcW w:w="1844" w:type="dxa"/>
            <w:vAlign w:val="center"/>
          </w:tcPr>
          <w:p w14:paraId="70FA1195">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5B0F144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09" w:type="dxa"/>
            <w:gridSpan w:val="2"/>
            <w:vAlign w:val="center"/>
          </w:tcPr>
          <w:p w14:paraId="7AC7A0B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644F6EA8">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3CAFF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36" w:lineRule="auto"/>
              <w:ind w:left="0" w:right="0" w:firstLine="420" w:firstLineChars="200"/>
              <w:textAlignment w:val="auto"/>
              <w:rPr>
                <w:rFonts w:hint="default"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宋体" w:hAnsi="宋体" w:eastAsia="宋体" w:cs="宋体"/>
                <w:color w:val="auto"/>
                <w:sz w:val="21"/>
                <w:szCs w:val="21"/>
                <w:lang w:eastAsia="zh-CN"/>
              </w:rPr>
              <w:t>须具备行政主管部门颁发的水利施工总承</w:t>
            </w:r>
            <w:r>
              <w:rPr>
                <w:rFonts w:hint="eastAsia" w:ascii="宋体" w:hAnsi="宋体" w:eastAsia="宋体" w:cs="宋体"/>
                <w:color w:val="auto"/>
                <w:sz w:val="21"/>
                <w:szCs w:val="21"/>
                <w:lang w:val="en-US" w:eastAsia="zh-CN"/>
              </w:rPr>
              <w:t>包三级及以上</w:t>
            </w:r>
            <w:r>
              <w:rPr>
                <w:rFonts w:hint="eastAsia" w:ascii="宋体" w:hAnsi="宋体" w:eastAsia="宋体" w:cs="宋体"/>
                <w:color w:val="auto"/>
                <w:sz w:val="21"/>
                <w:szCs w:val="21"/>
                <w:lang w:eastAsia="zh-CN"/>
              </w:rPr>
              <w:t>资质，并在人员、设备、资金等方面具备相应的施工能力；拟派驻的项目经理须具备</w:t>
            </w:r>
            <w:r>
              <w:rPr>
                <w:rFonts w:hint="eastAsia" w:ascii="宋体" w:hAnsi="宋体" w:eastAsia="宋体" w:cs="宋体"/>
                <w:color w:val="auto"/>
                <w:sz w:val="21"/>
                <w:szCs w:val="21"/>
                <w:lang w:val="en-US" w:eastAsia="zh-CN"/>
              </w:rPr>
              <w:t>水利</w:t>
            </w:r>
            <w:r>
              <w:rPr>
                <w:rFonts w:hint="eastAsia" w:ascii="宋体" w:hAnsi="宋体" w:eastAsia="宋体" w:cs="宋体"/>
                <w:color w:val="auto"/>
                <w:sz w:val="21"/>
                <w:szCs w:val="21"/>
                <w:lang w:eastAsia="zh-CN"/>
              </w:rPr>
              <w:t>专业</w:t>
            </w:r>
            <w:r>
              <w:rPr>
                <w:rFonts w:hint="eastAsia" w:ascii="宋体" w:hAnsi="宋体" w:cs="宋体"/>
                <w:color w:val="auto"/>
                <w:sz w:val="21"/>
                <w:szCs w:val="21"/>
                <w:lang w:eastAsia="zh-CN"/>
              </w:rPr>
              <w:t>二</w:t>
            </w:r>
            <w:r>
              <w:rPr>
                <w:rFonts w:hint="eastAsia" w:ascii="宋体" w:hAnsi="宋体" w:eastAsia="宋体" w:cs="宋体"/>
                <w:color w:val="auto"/>
                <w:sz w:val="21"/>
                <w:szCs w:val="21"/>
                <w:lang w:eastAsia="zh-CN"/>
              </w:rPr>
              <w:t>级</w:t>
            </w:r>
            <w:r>
              <w:rPr>
                <w:rFonts w:hint="eastAsia" w:ascii="宋体" w:hAnsi="宋体" w:cs="宋体"/>
                <w:color w:val="auto"/>
                <w:sz w:val="21"/>
                <w:szCs w:val="21"/>
                <w:lang w:eastAsia="zh-CN"/>
              </w:rPr>
              <w:t>及以上</w:t>
            </w:r>
            <w:r>
              <w:rPr>
                <w:rFonts w:hint="eastAsia" w:ascii="宋体" w:hAnsi="宋体" w:eastAsia="宋体" w:cs="宋体"/>
                <w:color w:val="auto"/>
                <w:sz w:val="21"/>
                <w:szCs w:val="21"/>
                <w:lang w:eastAsia="zh-CN"/>
              </w:rPr>
              <w:t>注册建造师执业资格，具备有效的安全生产考核合格证书（B类），且为本单位在职员工。</w:t>
            </w:r>
          </w:p>
        </w:tc>
      </w:tr>
      <w:tr w14:paraId="5923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594FC3E0">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10</w:t>
            </w:r>
          </w:p>
        </w:tc>
        <w:tc>
          <w:tcPr>
            <w:tcW w:w="1844" w:type="dxa"/>
            <w:vAlign w:val="center"/>
          </w:tcPr>
          <w:p w14:paraId="09B8860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09" w:type="dxa"/>
            <w:gridSpan w:val="2"/>
            <w:vAlign w:val="center"/>
          </w:tcPr>
          <w:p w14:paraId="54C397A2">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资格后审</w:t>
            </w:r>
          </w:p>
        </w:tc>
      </w:tr>
      <w:tr w14:paraId="4E79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712247BC">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11</w:t>
            </w:r>
          </w:p>
        </w:tc>
        <w:tc>
          <w:tcPr>
            <w:tcW w:w="1844" w:type="dxa"/>
            <w:vAlign w:val="center"/>
          </w:tcPr>
          <w:p w14:paraId="2998E6DD">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09" w:type="dxa"/>
            <w:gridSpan w:val="2"/>
            <w:vAlign w:val="center"/>
          </w:tcPr>
          <w:p w14:paraId="27A61F67">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2B8A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BFF95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12</w:t>
            </w:r>
          </w:p>
        </w:tc>
        <w:tc>
          <w:tcPr>
            <w:tcW w:w="1844" w:type="dxa"/>
            <w:vAlign w:val="center"/>
          </w:tcPr>
          <w:p w14:paraId="6B2F3F2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2" w:firstLineChars="200"/>
              <w:jc w:val="left"/>
              <w:textAlignment w:val="auto"/>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09" w:type="dxa"/>
            <w:gridSpan w:val="2"/>
            <w:vAlign w:val="center"/>
          </w:tcPr>
          <w:p w14:paraId="7BDCF0CB">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1914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7502865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13</w:t>
            </w:r>
          </w:p>
        </w:tc>
        <w:tc>
          <w:tcPr>
            <w:tcW w:w="1844" w:type="dxa"/>
            <w:vAlign w:val="center"/>
          </w:tcPr>
          <w:p w14:paraId="42876455">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298" w:type="dxa"/>
          </w:tcPr>
          <w:p w14:paraId="3082C61A">
            <w:pPr>
              <w:pStyle w:val="2"/>
              <w:keepNext w:val="0"/>
              <w:keepLines w:val="0"/>
              <w:pageBreakBefore w:val="0"/>
              <w:suppressLineNumbers w:val="0"/>
              <w:kinsoku/>
              <w:wordWrap/>
              <w:overflowPunct/>
              <w:topLinePunct w:val="0"/>
              <w:bidi w:val="0"/>
              <w:adjustRightInd/>
              <w:snapToGrid/>
              <w:spacing w:before="0" w:beforeAutospacing="0" w:after="0" w:afterAutospacing="0" w:line="420" w:lineRule="exact"/>
              <w:ind w:left="0" w:right="0" w:firstLine="460" w:firstLineChars="200"/>
              <w:textAlignment w:val="auto"/>
              <w:rPr>
                <w:rFonts w:hint="default"/>
                <w:color w:val="auto"/>
                <w:sz w:val="21"/>
                <w:szCs w:val="21"/>
                <w:lang w:val="en-US" w:eastAsia="zh-CN"/>
              </w:rPr>
            </w:pPr>
            <w:r>
              <w:rPr>
                <w:rFonts w:hint="eastAsia"/>
                <w:color w:val="auto"/>
                <w:sz w:val="21"/>
                <w:szCs w:val="21"/>
                <w:lang w:eastAsia="zh-CN"/>
              </w:rPr>
              <w:t>无</w:t>
            </w:r>
          </w:p>
        </w:tc>
      </w:tr>
      <w:tr w14:paraId="60B1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082F583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14</w:t>
            </w:r>
          </w:p>
        </w:tc>
        <w:tc>
          <w:tcPr>
            <w:tcW w:w="1844" w:type="dxa"/>
            <w:vAlign w:val="center"/>
          </w:tcPr>
          <w:p w14:paraId="32455E0C">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298" w:type="dxa"/>
            <w:vAlign w:val="center"/>
          </w:tcPr>
          <w:p w14:paraId="2938293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7253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3767DA3F">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15</w:t>
            </w:r>
          </w:p>
        </w:tc>
        <w:tc>
          <w:tcPr>
            <w:tcW w:w="1844" w:type="dxa"/>
            <w:vAlign w:val="center"/>
          </w:tcPr>
          <w:p w14:paraId="2FAA3A3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298" w:type="dxa"/>
            <w:vAlign w:val="center"/>
          </w:tcPr>
          <w:p w14:paraId="4409CA1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要求及本竞争性磋商文件要求制作、加密并递交。 </w:t>
            </w:r>
          </w:p>
          <w:p w14:paraId="3A02B93F">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项目采购</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电子招投标操作指南中上传的电子响应文件格式，以 DVD 光盘或者 U 盘等形式提供。数量为1 份。 </w:t>
            </w:r>
          </w:p>
          <w:p w14:paraId="43FF6C1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5B16E0F6">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71CA36B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▲未按规定提供相应的备份响应文件，造成项目开评标活动无法进行下去的</w:t>
            </w:r>
            <w:r>
              <w:rPr>
                <w:rFonts w:hint="eastAsia" w:ascii="宋体" w:hAnsi="宋体" w:cs="宋体"/>
                <w:color w:val="auto"/>
                <w:kern w:val="0"/>
                <w:sz w:val="21"/>
                <w:szCs w:val="21"/>
                <w:highlight w:val="none"/>
                <w:lang w:val="en-US" w:eastAsia="zh-CN" w:bidi="ar"/>
              </w:rPr>
              <w:t>供应商自行承担责任，</w:t>
            </w:r>
            <w:r>
              <w:rPr>
                <w:rFonts w:hint="eastAsia" w:ascii="宋体" w:hAnsi="宋体" w:eastAsia="宋体" w:cs="宋体"/>
                <w:color w:val="auto"/>
                <w:kern w:val="0"/>
                <w:sz w:val="21"/>
                <w:szCs w:val="21"/>
                <w:highlight w:val="none"/>
                <w:lang w:val="en-US" w:eastAsia="zh-CN" w:bidi="ar"/>
              </w:rPr>
              <w:t xml:space="preserve">竞标无效。 </w:t>
            </w:r>
          </w:p>
        </w:tc>
      </w:tr>
      <w:tr w14:paraId="44D9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4E587FA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16</w:t>
            </w:r>
          </w:p>
        </w:tc>
        <w:tc>
          <w:tcPr>
            <w:tcW w:w="1844" w:type="dxa"/>
            <w:vAlign w:val="center"/>
          </w:tcPr>
          <w:p w14:paraId="19C18C08">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6292FD13">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298" w:type="dxa"/>
            <w:vAlign w:val="center"/>
          </w:tcPr>
          <w:p w14:paraId="5601044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60CBDAA2">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ascii="宋体" w:hAnsi="宋体" w:cs="宋体"/>
                <w:color w:val="auto"/>
                <w:sz w:val="21"/>
                <w:szCs w:val="21"/>
                <w:highlight w:val="none"/>
                <w:lang w:val="en-US" w:eastAsia="zh-CN"/>
              </w:rPr>
              <w:t>2026年2月6日9时00分</w:t>
            </w:r>
            <w:r>
              <w:rPr>
                <w:rFonts w:hint="eastAsia" w:ascii="宋体" w:hAnsi="宋体" w:cs="宋体"/>
                <w:color w:val="auto"/>
                <w:sz w:val="21"/>
                <w:szCs w:val="21"/>
                <w:highlight w:val="none"/>
              </w:rPr>
              <w:t>前</w:t>
            </w:r>
          </w:p>
        </w:tc>
      </w:tr>
      <w:tr w14:paraId="4CD5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0C3D72A2">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17</w:t>
            </w:r>
          </w:p>
        </w:tc>
        <w:tc>
          <w:tcPr>
            <w:tcW w:w="1844" w:type="dxa"/>
            <w:vAlign w:val="center"/>
          </w:tcPr>
          <w:p w14:paraId="3D43ED6D">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4F2E296A">
            <w:pPr>
              <w:keepNext w:val="0"/>
              <w:keepLines w:val="0"/>
              <w:pageBreakBefore w:val="0"/>
              <w:widowControl/>
              <w:suppressLineNumbers w:val="0"/>
              <w:kinsoku/>
              <w:wordWrap/>
              <w:overflowPunct/>
              <w:topLinePunct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298" w:type="dxa"/>
            <w:vAlign w:val="center"/>
          </w:tcPr>
          <w:p w14:paraId="5BFC8AC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rPr>
              <w:t>地点：</w:t>
            </w:r>
            <w:r>
              <w:rPr>
                <w:rFonts w:hint="eastAsia" w:cs="Times New Roman"/>
                <w:color w:val="auto"/>
                <w:sz w:val="21"/>
                <w:szCs w:val="21"/>
                <w:highlight w:val="none"/>
                <w:lang w:val="en-US" w:eastAsia="zh-CN"/>
              </w:rPr>
              <w:t>本项目采用远程异地评审，主会场在崇左市公共资源交易中心【崇左市城南新区石景林路东段政务服务中心综合楼5楼】通过广西政府采购云平台实行在线解密开启，副会场在广西百色市右江区长乐星城写字楼9层</w:t>
            </w:r>
            <w:r>
              <w:rPr>
                <w:rFonts w:hint="eastAsia" w:ascii="宋体" w:hAnsi="宋体" w:cs="宋体"/>
                <w:color w:val="auto"/>
                <w:sz w:val="21"/>
                <w:szCs w:val="21"/>
                <w:highlight w:val="none"/>
                <w:lang w:eastAsia="zh-CN"/>
              </w:rPr>
              <w:t>。</w:t>
            </w:r>
          </w:p>
          <w:p w14:paraId="3B8BB1F1">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color w:val="auto"/>
                <w:sz w:val="21"/>
                <w:szCs w:val="21"/>
                <w:highlight w:val="none"/>
                <w:lang w:eastAsia="zh-CN"/>
              </w:rPr>
            </w:pPr>
            <w:r>
              <w:rPr>
                <w:rFonts w:hint="eastAsia"/>
                <w:color w:val="auto"/>
                <w:sz w:val="21"/>
                <w:szCs w:val="21"/>
                <w:highlight w:val="none"/>
              </w:rPr>
              <w:t>时间</w:t>
            </w:r>
            <w:r>
              <w:rPr>
                <w:rFonts w:hint="eastAsia"/>
                <w:color w:val="auto"/>
                <w:sz w:val="21"/>
                <w:szCs w:val="21"/>
                <w:highlight w:val="none"/>
                <w:lang w:eastAsia="zh-CN"/>
              </w:rPr>
              <w:t>：</w:t>
            </w:r>
            <w:r>
              <w:rPr>
                <w:rFonts w:hint="eastAsia" w:ascii="宋体" w:hAnsi="宋体" w:cs="宋体"/>
                <w:color w:val="auto"/>
                <w:sz w:val="21"/>
                <w:szCs w:val="21"/>
                <w:highlight w:val="none"/>
                <w:lang w:val="en-US" w:eastAsia="zh-CN"/>
              </w:rPr>
              <w:t>2026年2月6日9时00分</w:t>
            </w:r>
            <w:r>
              <w:rPr>
                <w:rFonts w:hint="eastAsia"/>
                <w:color w:val="auto"/>
                <w:sz w:val="21"/>
                <w:szCs w:val="21"/>
                <w:highlight w:val="none"/>
                <w:lang w:eastAsia="zh-CN"/>
              </w:rPr>
              <w:t>后</w:t>
            </w:r>
          </w:p>
          <w:p w14:paraId="4E09DAE8">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eastAsia="宋体" w:cs="Times New Roman"/>
                <w:color w:val="auto"/>
                <w:sz w:val="21"/>
                <w:szCs w:val="21"/>
                <w:highlight w:val="none"/>
                <w:lang w:val="en-US" w:eastAsia="zh-CN"/>
              </w:rPr>
            </w:pPr>
            <w:r>
              <w:rPr>
                <w:rFonts w:hint="eastAsia"/>
                <w:color w:val="auto"/>
                <w:sz w:val="21"/>
                <w:szCs w:val="21"/>
                <w:highlight w:val="none"/>
                <w:lang w:val="en-US" w:eastAsia="zh-CN"/>
              </w:rPr>
              <w:t xml:space="preserve">电子响应文件解密时间：首次响应文件提交截止时间后30分钟内，供应商必须在此时间段内登录广西政府采购云平台，用“项目采购－开标评标”功能完成电子响应文件的解密。 </w:t>
            </w:r>
            <w:r>
              <w:rPr>
                <w:rFonts w:hint="eastAsia" w:eastAsia="宋体" w:cs="Times New Roman"/>
                <w:color w:val="auto"/>
                <w:sz w:val="21"/>
                <w:szCs w:val="21"/>
                <w:highlight w:val="none"/>
                <w:lang w:val="en-US" w:eastAsia="zh-CN"/>
              </w:rPr>
              <w:t>若竞标供应商在规定时间内未按时解密的，视为响应文件撤回。</w:t>
            </w:r>
          </w:p>
          <w:p w14:paraId="1A7685B2">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color w:val="auto"/>
                <w:sz w:val="21"/>
                <w:szCs w:val="21"/>
                <w:highlight w:val="none"/>
              </w:rPr>
            </w:pPr>
            <w:r>
              <w:rPr>
                <w:rFonts w:hint="eastAsia"/>
                <w:color w:val="auto"/>
                <w:sz w:val="21"/>
                <w:szCs w:val="21"/>
                <w:lang w:val="en-US" w:eastAsia="zh-CN"/>
              </w:rPr>
              <w:t>供应商可以根据自身情况提供以介质（U盘或光盘等）存储的数据电文形成的电子备份投标文件。电子备份投标文件应当在投标文件递交截止时间前按要求密封并送达开标地址，逾期送达或未按要求密封将被拒收。如在政采云系统规定时间内，供应商解密失败后可通知采购代理机构通过备份文件进行上传，如备份文件无法上传由供应商自行承担责任，电子备份投标文件应当密封包装并在包装上标注项目名称、单位名称并加盖公章。</w:t>
            </w:r>
          </w:p>
        </w:tc>
      </w:tr>
      <w:tr w14:paraId="61EAE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0AEDE6F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rPr>
            </w:pPr>
            <w:r>
              <w:rPr>
                <w:rFonts w:hint="default" w:ascii="宋体" w:hAnsi="宋体" w:cs="宋体"/>
                <w:b/>
                <w:color w:val="auto"/>
                <w:kern w:val="0"/>
                <w:sz w:val="21"/>
                <w:szCs w:val="21"/>
                <w:highlight w:val="none"/>
              </w:rPr>
              <w:t>18</w:t>
            </w:r>
          </w:p>
        </w:tc>
        <w:tc>
          <w:tcPr>
            <w:tcW w:w="1844" w:type="dxa"/>
            <w:vAlign w:val="center"/>
          </w:tcPr>
          <w:p w14:paraId="0B19B67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298" w:type="dxa"/>
            <w:vAlign w:val="center"/>
          </w:tcPr>
          <w:p w14:paraId="04B4827C">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548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66BC3A6B">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cs="宋体"/>
                <w:b/>
                <w:color w:val="auto"/>
                <w:kern w:val="0"/>
                <w:sz w:val="21"/>
                <w:szCs w:val="21"/>
                <w:highlight w:val="none"/>
                <w:lang w:val="en-US" w:eastAsia="zh-CN"/>
              </w:rPr>
            </w:pPr>
            <w:r>
              <w:rPr>
                <w:rFonts w:hint="default" w:ascii="宋体" w:hAnsi="宋体" w:cs="宋体"/>
                <w:b/>
                <w:color w:val="auto"/>
                <w:kern w:val="0"/>
                <w:sz w:val="21"/>
                <w:szCs w:val="21"/>
                <w:highlight w:val="none"/>
              </w:rPr>
              <w:t>19</w:t>
            </w:r>
          </w:p>
        </w:tc>
        <w:tc>
          <w:tcPr>
            <w:tcW w:w="1844" w:type="dxa"/>
            <w:vAlign w:val="center"/>
          </w:tcPr>
          <w:p w14:paraId="2B3B9859">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320F5CCF">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保障金</w:t>
            </w:r>
          </w:p>
        </w:tc>
        <w:tc>
          <w:tcPr>
            <w:tcW w:w="6298" w:type="dxa"/>
            <w:vAlign w:val="center"/>
          </w:tcPr>
          <w:p w14:paraId="6F24F324">
            <w:pPr>
              <w:keepNext w:val="0"/>
              <w:keepLines w:val="0"/>
              <w:pageBreakBefore w:val="0"/>
              <w:suppressLineNumbers w:val="0"/>
              <w:kinsoku/>
              <w:wordWrap/>
              <w:overflowPunct/>
              <w:topLinePunct w:val="0"/>
              <w:bidi w:val="0"/>
              <w:adjustRightInd/>
              <w:snapToGrid/>
              <w:spacing w:before="0" w:beforeAutospacing="0" w:after="0" w:afterAutospacing="0" w:line="336" w:lineRule="auto"/>
              <w:ind w:left="0" w:right="0"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无</w:t>
            </w:r>
          </w:p>
        </w:tc>
      </w:tr>
      <w:tr w14:paraId="6BAE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061AF0F4">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44" w:type="dxa"/>
            <w:vAlign w:val="center"/>
          </w:tcPr>
          <w:p w14:paraId="37C465B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298" w:type="dxa"/>
            <w:vAlign w:val="center"/>
          </w:tcPr>
          <w:p w14:paraId="68123FA8">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7BF7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12257C6A">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44" w:type="dxa"/>
            <w:vAlign w:val="center"/>
          </w:tcPr>
          <w:p w14:paraId="4A19417D">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298" w:type="dxa"/>
            <w:vAlign w:val="center"/>
          </w:tcPr>
          <w:p w14:paraId="26CF286E">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7EF7D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59131337">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44" w:type="dxa"/>
            <w:vAlign w:val="center"/>
          </w:tcPr>
          <w:p w14:paraId="4C4CF7D1">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298" w:type="dxa"/>
            <w:vAlign w:val="center"/>
          </w:tcPr>
          <w:p w14:paraId="0B7FBA3E">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textAlignment w:val="auto"/>
              <w:rPr>
                <w:rFonts w:hint="default" w:ascii="宋体" w:hAnsi="宋体" w:cs="宋体"/>
                <w:color w:val="auto"/>
                <w:sz w:val="21"/>
                <w:szCs w:val="21"/>
                <w:highlight w:val="none"/>
              </w:rPr>
            </w:pPr>
            <w:r>
              <w:rPr>
                <w:rFonts w:hint="eastAsia" w:ascii="宋体" w:hAnsi="宋体" w:cs="宋体"/>
                <w:color w:val="auto"/>
                <w:sz w:val="21"/>
                <w:szCs w:val="21"/>
                <w:highlight w:val="none"/>
                <w:lang w:eastAsia="zh-CN"/>
              </w:rPr>
              <w:t>参照扶政办函(2023]4号扶绥县人民政府办公室关于扶绥县规范计取工程建设其他费用的通知等规定按标准按优惠下浮</w:t>
            </w:r>
            <w:r>
              <w:rPr>
                <w:rFonts w:hint="eastAsia" w:ascii="宋体" w:hAnsi="宋体" w:cs="宋体"/>
                <w:color w:val="auto"/>
                <w:sz w:val="21"/>
                <w:szCs w:val="21"/>
                <w:highlight w:val="none"/>
                <w:lang w:val="en-US" w:eastAsia="zh-CN"/>
              </w:rPr>
              <w:t>25%进行收取</w:t>
            </w:r>
            <w:r>
              <w:rPr>
                <w:rFonts w:hint="eastAsia" w:ascii="宋体" w:hAnsi="宋体" w:cs="宋体"/>
                <w:color w:val="auto"/>
                <w:sz w:val="21"/>
                <w:szCs w:val="21"/>
                <w:highlight w:val="none"/>
                <w:lang w:eastAsia="zh-CN"/>
              </w:rPr>
              <w:t>。</w:t>
            </w:r>
          </w:p>
        </w:tc>
      </w:tr>
      <w:tr w14:paraId="405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0B4658F6">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44" w:type="dxa"/>
            <w:vAlign w:val="center"/>
          </w:tcPr>
          <w:p w14:paraId="2EEE57E6">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298" w:type="dxa"/>
            <w:vAlign w:val="center"/>
          </w:tcPr>
          <w:p w14:paraId="5CC3C027">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w:t>
            </w:r>
            <w:r>
              <w:rPr>
                <w:rFonts w:hint="eastAsia" w:ascii="Calibri" w:hAnsi="Calibri" w:cs="Times New Roman"/>
                <w:color w:val="auto"/>
                <w:kern w:val="2"/>
                <w:sz w:val="21"/>
                <w:szCs w:val="21"/>
                <w:highlight w:val="none"/>
                <w:lang w:val="en-US" w:eastAsia="zh-CN" w:bidi="ar-SA"/>
              </w:rPr>
              <w:t>均</w:t>
            </w:r>
            <w:r>
              <w:rPr>
                <w:rFonts w:hint="eastAsia" w:ascii="Calibri" w:hAnsi="Calibri" w:eastAsia="宋体" w:cs="Times New Roman"/>
                <w:color w:val="auto"/>
                <w:kern w:val="2"/>
                <w:sz w:val="21"/>
                <w:szCs w:val="21"/>
                <w:highlight w:val="none"/>
                <w:lang w:val="en-US" w:eastAsia="zh-CN" w:bidi="ar-SA"/>
              </w:rPr>
              <w:t>采用CA证书签章。）</w:t>
            </w:r>
          </w:p>
          <w:p w14:paraId="05A61B81">
            <w:pPr>
              <w:pStyle w:val="16"/>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F72695A">
            <w:pPr>
              <w:pStyle w:val="16"/>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AB6CED0">
            <w:pPr>
              <w:pStyle w:val="16"/>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6A15EC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509D80E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auto"/>
              <w:ind w:left="0" w:right="0"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6.电子响应文件中根据“政府采购项目电子交易管理操作指南</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w:t>
            </w:r>
            <w:r>
              <w:rPr>
                <w:rFonts w:hint="eastAsia" w:ascii="宋体" w:hAnsi="宋体" w:cs="宋体"/>
                <w:color w:val="auto"/>
                <w:kern w:val="0"/>
                <w:sz w:val="21"/>
                <w:szCs w:val="21"/>
                <w:highlight w:val="none"/>
                <w:lang w:val="en-US" w:eastAsia="zh-CN" w:bidi="ar"/>
              </w:rPr>
              <w:t>在</w:t>
            </w:r>
            <w:r>
              <w:rPr>
                <w:rFonts w:hint="eastAsia" w:ascii="宋体" w:hAnsi="宋体" w:eastAsia="宋体" w:cs="宋体"/>
                <w:color w:val="auto"/>
                <w:kern w:val="0"/>
                <w:sz w:val="21"/>
                <w:szCs w:val="21"/>
                <w:highlight w:val="none"/>
                <w:lang w:val="en-US" w:eastAsia="zh-CN" w:bidi="ar"/>
              </w:rPr>
              <w:t xml:space="preserve">采购文件规定的部位查找不到相关内容的，由供应商自行承担。 </w:t>
            </w:r>
          </w:p>
        </w:tc>
      </w:tr>
      <w:tr w14:paraId="2750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56DFA1C3">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44" w:type="dxa"/>
            <w:vAlign w:val="center"/>
          </w:tcPr>
          <w:p w14:paraId="1025A1C1">
            <w:pPr>
              <w:keepNext w:val="0"/>
              <w:keepLines w:val="0"/>
              <w:pageBreakBefore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298" w:type="dxa"/>
            <w:vAlign w:val="center"/>
          </w:tcPr>
          <w:p w14:paraId="24666ADB">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96DBB62">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项目采购</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操作流程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电子招投标</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政府采购项目电子交易管理操作指南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供应商”查看电子竞标具体操作流程。</w:t>
            </w:r>
          </w:p>
          <w:p w14:paraId="18393036">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如在操作过程中遇到问题或者需要技术支持，请致电客服热线：95763）。</w:t>
            </w:r>
          </w:p>
          <w:p w14:paraId="4AF4F360">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6CACB82A">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4FA2494">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w:t>
            </w:r>
            <w:r>
              <w:rPr>
                <w:rFonts w:hint="eastAsia" w:ascii="宋体" w:hAnsi="宋体" w:cs="宋体"/>
                <w:color w:val="auto"/>
                <w:sz w:val="21"/>
                <w:szCs w:val="21"/>
                <w:highlight w:val="none"/>
                <w:lang w:eastAsia="zh-CN"/>
              </w:rPr>
              <w:t>具备</w:t>
            </w:r>
            <w:r>
              <w:rPr>
                <w:rFonts w:hint="eastAsia" w:ascii="宋体" w:hAnsi="宋体" w:cs="宋体"/>
                <w:color w:val="auto"/>
                <w:sz w:val="21"/>
                <w:szCs w:val="21"/>
                <w:highlight w:val="none"/>
              </w:rPr>
              <w:t>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3C7E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9B6B421">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44" w:type="dxa"/>
            <w:vAlign w:val="center"/>
          </w:tcPr>
          <w:p w14:paraId="669195ED">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cs="宋体"/>
                <w:b/>
                <w:color w:val="auto"/>
                <w:kern w:val="0"/>
                <w:sz w:val="21"/>
                <w:szCs w:val="21"/>
                <w:highlight w:val="none"/>
                <w:lang w:eastAsia="zh-CN"/>
              </w:rPr>
            </w:pPr>
            <w:r>
              <w:rPr>
                <w:rFonts w:hint="eastAsia" w:ascii="宋体" w:hAnsi="宋体"/>
                <w:b/>
                <w:bCs/>
                <w:color w:val="auto"/>
                <w:sz w:val="21"/>
                <w:szCs w:val="21"/>
                <w:highlight w:val="none"/>
              </w:rPr>
              <w:t>电子响应文件的制作、加密</w:t>
            </w:r>
          </w:p>
        </w:tc>
        <w:tc>
          <w:tcPr>
            <w:tcW w:w="6298" w:type="dxa"/>
            <w:vAlign w:val="center"/>
          </w:tcPr>
          <w:p w14:paraId="4330CF9A">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1、供应商制作电子响应文件前，应</w:t>
            </w:r>
            <w:r>
              <w:rPr>
                <w:rFonts w:hint="eastAsia" w:ascii="宋体" w:hAnsi="宋体"/>
                <w:color w:val="auto"/>
                <w:sz w:val="21"/>
                <w:szCs w:val="21"/>
                <w:highlight w:val="none"/>
                <w:lang w:eastAsia="zh-CN"/>
              </w:rPr>
              <w:t>登录广西政府采购云平台</w:t>
            </w:r>
            <w:r>
              <w:rPr>
                <w:rFonts w:hint="eastAsia" w:ascii="宋体" w:hAnsi="宋体"/>
                <w:color w:val="auto"/>
                <w:sz w:val="21"/>
                <w:szCs w:val="21"/>
                <w:highlight w:val="none"/>
              </w:rPr>
              <w:t>进行“申请获取采购文件”操作，否则，有可能导致无法在线编制响应文件并参与竞标，其不利后果由供应商自行承担。</w:t>
            </w:r>
          </w:p>
          <w:p w14:paraId="587D0DD6">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2供应商下载或获取竞争性磋商文件后，登录“政采云电子投标客户端”，按照本磋商文件规定的响应文件格式、顺序以及</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的要求，通过“政采云电子投标客户端”编制电子响应文件。</w:t>
            </w:r>
          </w:p>
          <w:p w14:paraId="30E5B52D">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6697362">
            <w:pPr>
              <w:pStyle w:val="35"/>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电子响应文件不得涂改，若有修改错漏处，须由法定代表人（负责人、自然人）或授权委托代理人通过“政采云电子投标客户端”采用政采云个人CA证书签章，没有办理政采云个人CA证书签章的，在响应文件中响应位置手写签字后扫描或者拍照</w:t>
            </w:r>
            <w:r>
              <w:rPr>
                <w:rFonts w:hint="eastAsia" w:ascii="宋体" w:hAnsi="宋体"/>
                <w:color w:val="auto"/>
                <w:sz w:val="21"/>
                <w:szCs w:val="21"/>
                <w:highlight w:val="none"/>
                <w:lang w:eastAsia="zh-CN"/>
              </w:rPr>
              <w:t>转换成</w:t>
            </w:r>
            <w:r>
              <w:rPr>
                <w:rFonts w:hint="eastAsia" w:ascii="宋体" w:hAnsi="宋体"/>
                <w:color w:val="auto"/>
                <w:sz w:val="21"/>
                <w:szCs w:val="21"/>
                <w:highlight w:val="none"/>
              </w:rPr>
              <w:t>PDF格式上传。因响应文件字迹潦草、表达不清、内容不完整、编排混乱导致响应文件被误读、漏读，或者</w:t>
            </w:r>
            <w:r>
              <w:rPr>
                <w:rFonts w:hint="eastAsia" w:ascii="宋体" w:hAnsi="宋体"/>
                <w:color w:val="auto"/>
                <w:sz w:val="21"/>
                <w:szCs w:val="21"/>
                <w:highlight w:val="none"/>
                <w:lang w:eastAsia="zh-CN"/>
              </w:rPr>
              <w:t>在</w:t>
            </w:r>
            <w:r>
              <w:rPr>
                <w:rFonts w:hint="eastAsia" w:ascii="宋体" w:hAnsi="宋体"/>
                <w:color w:val="auto"/>
                <w:sz w:val="21"/>
                <w:szCs w:val="21"/>
                <w:highlight w:val="none"/>
              </w:rPr>
              <w:t>竞争性磋商文件规定的部位查找不到相关内容的，其不利后果由供应商自行承担。</w:t>
            </w:r>
          </w:p>
          <w:p w14:paraId="22D69092">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将予以拒收。</w:t>
            </w:r>
          </w:p>
        </w:tc>
      </w:tr>
      <w:tr w14:paraId="5DF2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7ADAA22A">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44" w:type="dxa"/>
            <w:vAlign w:val="center"/>
          </w:tcPr>
          <w:p w14:paraId="1834B25E">
            <w:pPr>
              <w:keepNext w:val="0"/>
              <w:keepLines w:val="0"/>
              <w:pageBreakBefore w:val="0"/>
              <w:suppressLineNumbers w:val="0"/>
              <w:kinsoku/>
              <w:wordWrap/>
              <w:overflowPunct/>
              <w:topLinePunct w:val="0"/>
              <w:autoSpaceDE w:val="0"/>
              <w:autoSpaceDN w:val="0"/>
              <w:bidi w:val="0"/>
              <w:spacing w:before="0" w:beforeAutospacing="0" w:after="0" w:afterAutospacing="0" w:line="360" w:lineRule="auto"/>
              <w:ind w:left="0" w:right="0"/>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298" w:type="dxa"/>
            <w:vAlign w:val="center"/>
          </w:tcPr>
          <w:p w14:paraId="3E0EF2E9">
            <w:pPr>
              <w:keepNext w:val="0"/>
              <w:keepLines w:val="0"/>
              <w:pageBreakBefore w:val="0"/>
              <w:suppressLineNumbers w:val="0"/>
              <w:kinsoku/>
              <w:wordWrap/>
              <w:overflowPunct/>
              <w:topLinePunct w:val="0"/>
              <w:bidi w:val="0"/>
              <w:adjustRightInd/>
              <w:snapToGrid/>
              <w:spacing w:before="0" w:beforeAutospacing="0" w:after="0" w:afterAutospacing="0" w:line="360" w:lineRule="auto"/>
              <w:ind w:left="0" w:right="0"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1A9C8181">
      <w:pPr>
        <w:pStyle w:val="35"/>
        <w:spacing w:line="360" w:lineRule="auto"/>
        <w:jc w:val="both"/>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p>
    <w:p w14:paraId="24C169F1">
      <w:pPr>
        <w:pStyle w:val="35"/>
        <w:spacing w:line="360" w:lineRule="auto"/>
        <w:ind w:firstLine="3654" w:firstLineChars="1300"/>
        <w:jc w:val="both"/>
        <w:rPr>
          <w:rFonts w:ascii="宋体" w:hAnsi="宋体"/>
          <w:b/>
          <w:color w:val="auto"/>
          <w:sz w:val="28"/>
          <w:szCs w:val="28"/>
          <w:highlight w:val="none"/>
        </w:rPr>
      </w:pPr>
    </w:p>
    <w:p w14:paraId="5F4E4706">
      <w:pPr>
        <w:pStyle w:val="35"/>
        <w:spacing w:line="360" w:lineRule="auto"/>
        <w:ind w:firstLine="3654" w:firstLineChars="1300"/>
        <w:jc w:val="both"/>
        <w:rPr>
          <w:rFonts w:ascii="宋体" w:hAnsi="宋体"/>
          <w:b/>
          <w:color w:val="auto"/>
          <w:sz w:val="28"/>
          <w:szCs w:val="28"/>
          <w:highlight w:val="none"/>
        </w:rPr>
      </w:pPr>
      <w:r>
        <w:rPr>
          <w:rFonts w:ascii="宋体" w:hAnsi="宋体"/>
          <w:b/>
          <w:color w:val="auto"/>
          <w:sz w:val="28"/>
          <w:szCs w:val="28"/>
          <w:highlight w:val="none"/>
        </w:rPr>
        <w:t>供 应 商 须 知</w:t>
      </w:r>
    </w:p>
    <w:p w14:paraId="251C8A54">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25823250">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 适用范围</w:t>
      </w:r>
    </w:p>
    <w:p w14:paraId="6BC0E00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419D2371">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 定义</w:t>
      </w:r>
    </w:p>
    <w:p w14:paraId="2F8304E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扶绥县水利工程管理站</w:t>
      </w:r>
    </w:p>
    <w:p w14:paraId="14EE0EF8">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 xml:space="preserve">广西宏朗工程咨询服务有限公司  </w:t>
      </w:r>
    </w:p>
    <w:p w14:paraId="45BF776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w:t>
      </w:r>
      <w:r>
        <w:rPr>
          <w:rFonts w:hint="eastAsia" w:ascii="宋体" w:hAnsi="宋体"/>
          <w:color w:val="auto"/>
          <w:szCs w:val="21"/>
          <w:highlight w:val="none"/>
          <w:lang w:eastAsia="zh-CN"/>
        </w:rPr>
        <w:t>其他组织</w:t>
      </w:r>
      <w:r>
        <w:rPr>
          <w:rFonts w:ascii="宋体" w:hAnsi="宋体"/>
          <w:color w:val="auto"/>
          <w:szCs w:val="21"/>
          <w:highlight w:val="none"/>
        </w:rPr>
        <w:t>。如果该供应商在本次磋商中成交，即成为“成交供应商”。</w:t>
      </w:r>
    </w:p>
    <w:p w14:paraId="20F5CA0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3FA8363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w:t>
      </w:r>
      <w:r>
        <w:rPr>
          <w:rFonts w:hint="eastAsia" w:ascii="宋体" w:hAnsi="宋体"/>
          <w:color w:val="auto"/>
          <w:szCs w:val="21"/>
          <w:highlight w:val="none"/>
          <w:lang w:eastAsia="zh-CN"/>
        </w:rPr>
        <w:t>其他</w:t>
      </w:r>
      <w:r>
        <w:rPr>
          <w:rFonts w:ascii="宋体" w:hAnsi="宋体"/>
          <w:color w:val="auto"/>
          <w:szCs w:val="21"/>
          <w:highlight w:val="none"/>
        </w:rPr>
        <w:t>采购对象。</w:t>
      </w:r>
    </w:p>
    <w:p w14:paraId="546D08B1">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766BDCD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F478D53">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 响应供应商的基本条件：</w:t>
      </w:r>
    </w:p>
    <w:p w14:paraId="7BBE9041">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726FC28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 磋商费用</w:t>
      </w:r>
    </w:p>
    <w:p w14:paraId="557505D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 xml:space="preserve">广西宏朗工程咨询服务有限公司  </w:t>
      </w:r>
      <w:r>
        <w:rPr>
          <w:rFonts w:ascii="宋体" w:hAnsi="宋体"/>
          <w:color w:val="auto"/>
          <w:szCs w:val="21"/>
          <w:highlight w:val="none"/>
        </w:rPr>
        <w:t>在任何情况下无义务和责任承担此类费用。</w:t>
      </w:r>
    </w:p>
    <w:p w14:paraId="4B1A8FA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 磋商无效的情形</w:t>
      </w:r>
    </w:p>
    <w:p w14:paraId="60A48E9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30D61315">
      <w:pPr>
        <w:pStyle w:val="38"/>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5B06D575">
      <w:pPr>
        <w:pStyle w:val="38"/>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3C992827">
      <w:pPr>
        <w:pStyle w:val="38"/>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6D7CF0EE">
      <w:pPr>
        <w:pStyle w:val="38"/>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68A349F4">
      <w:pPr>
        <w:pStyle w:val="38"/>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1375761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7B284044">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55575DE5">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346210E6">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659B92C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w:t>
      </w:r>
      <w:r>
        <w:rPr>
          <w:rFonts w:hint="eastAsia" w:ascii="宋体" w:hAnsi="宋体"/>
          <w:color w:val="auto"/>
          <w:szCs w:val="21"/>
          <w:highlight w:val="none"/>
          <w:lang w:eastAsia="zh-CN"/>
        </w:rPr>
        <w:t>第四十九条</w:t>
      </w:r>
      <w:r>
        <w:rPr>
          <w:rFonts w:ascii="宋体" w:hAnsi="宋体"/>
          <w:color w:val="auto"/>
          <w:szCs w:val="21"/>
          <w:highlight w:val="none"/>
        </w:rPr>
        <w:t>之规定双倍赔偿采购人，且民事赔偿并不免除违法响应供应商的行政与刑事责任。</w:t>
      </w:r>
    </w:p>
    <w:p w14:paraId="05B923C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C3FD53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1CADF589">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0D21F500">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5D41564">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5794877">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4D19060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62C402F8">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2AC46AE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 竞争性磋商响应文件编制基本要求</w:t>
      </w:r>
    </w:p>
    <w:p w14:paraId="7F1DF9C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6F014BA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07C1F636">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6E3BB65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12EE67A8">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BCC7289">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12529169">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4138EFD3">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1C3342DB">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E9449B0">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528FE9E">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b w:val="0"/>
          <w:bCs w:val="0"/>
          <w:color w:val="auto"/>
          <w:szCs w:val="21"/>
          <w:highlight w:val="none"/>
          <w:lang w:eastAsia="zh-CN"/>
        </w:rPr>
        <w:t>中小企业声明函或《政府采购促进中小企业发展管理办法 财库〔2020〕46号》要求提供的证明文件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A4EE09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CF53DA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7D6758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（必须提供，否则竞标无效）</w:t>
      </w:r>
    </w:p>
    <w:p w14:paraId="4DCA11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（委托代理时必须提供，否则竞标无效）</w:t>
      </w:r>
    </w:p>
    <w:p w14:paraId="3C93AE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（必须提供，否则竞标无效）</w:t>
      </w:r>
    </w:p>
    <w:p w14:paraId="2A461978">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3218B3AE">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5C757517">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0AFA6CC9">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4833C7B8">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7FFC7CE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C67D28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7F8560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5B398AC7">
      <w:pPr>
        <w:pStyle w:val="39"/>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DCB637F">
      <w:pPr>
        <w:pStyle w:val="39"/>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2ED712C3">
      <w:pPr>
        <w:pStyle w:val="39"/>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596B657B">
      <w:pPr>
        <w:pStyle w:val="39"/>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1D3BA0C9">
      <w:pPr>
        <w:pStyle w:val="36"/>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签字的位置手写签字后扫描或者拍照做成 PDF 的格式上传，无个人CA证书签章或手写签字的，响应文件按无效处理。</w:t>
      </w:r>
    </w:p>
    <w:p w14:paraId="41271F0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 计量单位</w:t>
      </w:r>
    </w:p>
    <w:p w14:paraId="377F85C2">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7E741702">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43857C23">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345138F3">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B6B7B22">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w:t>
      </w:r>
      <w:r>
        <w:rPr>
          <w:rFonts w:hint="eastAsia" w:ascii="宋体" w:hAnsi="宋体"/>
          <w:b/>
          <w:bCs/>
          <w:color w:val="auto"/>
          <w:szCs w:val="21"/>
          <w:highlight w:val="none"/>
          <w:u w:val="single"/>
          <w:lang w:val="en-US" w:eastAsia="zh-CN"/>
        </w:rPr>
        <w:t>合同</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2327FDBB">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w:t>
      </w:r>
      <w:r>
        <w:rPr>
          <w:rFonts w:hint="eastAsia" w:ascii="宋体" w:hAnsi="宋体"/>
          <w:color w:val="auto"/>
          <w:szCs w:val="21"/>
          <w:highlight w:val="none"/>
          <w:lang w:eastAsia="zh-CN"/>
        </w:rPr>
        <w:t>在申</w:t>
      </w:r>
      <w:r>
        <w:rPr>
          <w:rFonts w:ascii="宋体" w:hAnsi="宋体"/>
          <w:color w:val="auto"/>
          <w:szCs w:val="21"/>
          <w:highlight w:val="none"/>
        </w:rPr>
        <w:t>报综合单价时应考虑各种风险因素和自己的承受能力。</w:t>
      </w:r>
    </w:p>
    <w:p w14:paraId="3E477E46">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5EFA3AD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07449E8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1FC89A33">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4293451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4A8146A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67C44FAF">
      <w:pPr>
        <w:pStyle w:val="35"/>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w:t>
      </w:r>
      <w:r>
        <w:rPr>
          <w:rFonts w:hint="eastAsia" w:ascii="宋体" w:hAnsi="宋体"/>
          <w:b/>
          <w:color w:val="auto"/>
          <w:szCs w:val="21"/>
          <w:highlight w:val="none"/>
          <w:lang w:eastAsia="zh-CN"/>
        </w:rPr>
        <w:t>予</w:t>
      </w:r>
      <w:r>
        <w:rPr>
          <w:rFonts w:ascii="宋体" w:hAnsi="宋体"/>
          <w:b/>
          <w:color w:val="auto"/>
          <w:szCs w:val="21"/>
          <w:highlight w:val="none"/>
        </w:rPr>
        <w:t>支付，并视为该项费用已包括在其他有价款的单价或合价内，供应商必须按采购人的指令完成工程量清单中未填入单价或</w:t>
      </w:r>
      <w:r>
        <w:rPr>
          <w:rFonts w:hint="eastAsia" w:ascii="宋体" w:hAnsi="宋体"/>
          <w:b/>
          <w:color w:val="auto"/>
          <w:szCs w:val="21"/>
          <w:highlight w:val="none"/>
          <w:lang w:eastAsia="zh-CN"/>
        </w:rPr>
        <w:t>总</w:t>
      </w:r>
      <w:r>
        <w:rPr>
          <w:rFonts w:ascii="宋体" w:hAnsi="宋体"/>
          <w:b/>
          <w:color w:val="auto"/>
          <w:szCs w:val="21"/>
          <w:highlight w:val="none"/>
        </w:rPr>
        <w:t>价的工程项目，但不能得到支付与结算</w:t>
      </w:r>
      <w:r>
        <w:rPr>
          <w:rFonts w:ascii="宋体" w:hAnsi="宋体"/>
          <w:color w:val="auto"/>
          <w:szCs w:val="21"/>
          <w:highlight w:val="none"/>
        </w:rPr>
        <w:t>。</w:t>
      </w:r>
    </w:p>
    <w:p w14:paraId="6009A2E0">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72B83384">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0140876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w:t>
      </w:r>
      <w:r>
        <w:rPr>
          <w:rFonts w:hint="eastAsia" w:ascii="宋体" w:hAnsi="宋体"/>
          <w:color w:val="auto"/>
          <w:szCs w:val="21"/>
          <w:highlight w:val="none"/>
          <w:lang w:eastAsia="zh-CN"/>
        </w:rPr>
        <w:t>现场勘查</w:t>
      </w:r>
      <w:r>
        <w:rPr>
          <w:rFonts w:ascii="宋体" w:hAnsi="宋体"/>
          <w:color w:val="auto"/>
          <w:szCs w:val="21"/>
          <w:highlight w:val="none"/>
        </w:rPr>
        <w:t>后自行确定。施工用水、电由承包人负责施工场地内的管、线路的铺、架设，并承担施工期间用电、用水的使用、维护和安全责任等。</w:t>
      </w:r>
    </w:p>
    <w:p w14:paraId="779820C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020FCC3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w:t>
      </w:r>
      <w:r>
        <w:rPr>
          <w:rFonts w:hint="eastAsia" w:ascii="宋体" w:hAnsi="宋体"/>
          <w:color w:val="auto"/>
          <w:szCs w:val="21"/>
          <w:highlight w:val="none"/>
          <w:lang w:eastAsia="zh-CN"/>
        </w:rPr>
        <w:t>。</w:t>
      </w:r>
      <w:r>
        <w:rPr>
          <w:rFonts w:ascii="宋体" w:hAnsi="宋体"/>
          <w:color w:val="auto"/>
          <w:szCs w:val="21"/>
          <w:highlight w:val="none"/>
        </w:rPr>
        <w:t>运输</w:t>
      </w:r>
      <w:r>
        <w:rPr>
          <w:rFonts w:hint="eastAsia" w:ascii="宋体" w:hAnsi="宋体"/>
          <w:color w:val="auto"/>
          <w:szCs w:val="21"/>
          <w:highlight w:val="none"/>
          <w:lang w:eastAsia="zh-CN"/>
        </w:rPr>
        <w:t>。</w:t>
      </w:r>
      <w:r>
        <w:rPr>
          <w:rFonts w:ascii="宋体" w:hAnsi="宋体"/>
          <w:color w:val="auto"/>
          <w:szCs w:val="21"/>
          <w:highlight w:val="none"/>
        </w:rPr>
        <w:t>装卸费、大型机械进出场费、风险费、政策性文件规定费用等所有费用。</w:t>
      </w:r>
    </w:p>
    <w:p w14:paraId="6403965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6BC14960">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6085BBE1">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34AEBE6D">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 供应商的竞标报价须按竞争性谈判文件及澄清答疑中所确认的工程量清单及清单顺序进行报价，否则，将视为实质上不响应竞争性谈判文件的要求。</w:t>
      </w:r>
    </w:p>
    <w:p w14:paraId="53E949D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35118DEE">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0EA25567">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磋商有效期：</w:t>
      </w:r>
    </w:p>
    <w:p w14:paraId="102E66B5">
      <w:pPr>
        <w:pStyle w:val="16"/>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15C0B193">
      <w:pPr>
        <w:pStyle w:val="16"/>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4FAD313">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1B76281B">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03134A15">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w:t>
      </w:r>
      <w:r>
        <w:rPr>
          <w:rFonts w:hint="eastAsia" w:ascii="宋体" w:hAnsi="宋体"/>
          <w:color w:val="auto"/>
          <w:szCs w:val="21"/>
          <w:highlight w:val="none"/>
          <w:lang w:eastAsia="zh-CN"/>
        </w:rPr>
        <w:t>登录广西政府采购云平台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7DC0ABE5">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10.1.2供应商下载或获取竞争性磋商文件后，登录“政采云电子投标客户端”，按照本磋商文件规定的响应文件格式、顺序以及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的要求，通过“政采云电子投标客户端”编制电子响应文件。</w:t>
      </w:r>
    </w:p>
    <w:p w14:paraId="0B597E22">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政采云电子投标客户端”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AA143EE">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10.1.4电子响应文件不得涂改，若有修改错漏处，须由法定代表人（负责人、自然人）或授权委托代理人通过“政采云电子投标客户端”采用政采云个人CA证书签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章，没有办理政采云个人CA证书签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 PDF 的格式上传。因响应文件字迹潦草、表达不清、内容不完整、编排混乱导致响应文件被误读、漏读，或者</w:t>
      </w:r>
      <w:r>
        <w:rPr>
          <w:rFonts w:hint="eastAsia" w:ascii="宋体" w:hAnsi="宋体"/>
          <w:color w:val="auto"/>
          <w:szCs w:val="21"/>
          <w:highlight w:val="none"/>
          <w:lang w:eastAsia="zh-CN"/>
        </w:rPr>
        <w:t>在</w:t>
      </w:r>
      <w:r>
        <w:rPr>
          <w:rFonts w:hint="eastAsia" w:ascii="宋体" w:hAnsi="宋体"/>
          <w:color w:val="auto"/>
          <w:szCs w:val="21"/>
          <w:highlight w:val="none"/>
        </w:rPr>
        <w:t>竞争性磋商文件规定的部位查找不到相关内容的，其不利后果由供应商自行承担。</w:t>
      </w:r>
    </w:p>
    <w:p w14:paraId="38752190">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采购代理机构</w:t>
      </w:r>
      <w:r>
        <w:rPr>
          <w:rFonts w:hint="eastAsia" w:ascii="宋体" w:hAnsi="宋体"/>
          <w:color w:val="auto"/>
          <w:szCs w:val="21"/>
          <w:highlight w:val="none"/>
        </w:rPr>
        <w:t>将予以拒收。</w:t>
      </w:r>
    </w:p>
    <w:p w14:paraId="4B3E162C">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208A2594">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4AF4A83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w:t>
      </w:r>
      <w:r>
        <w:rPr>
          <w:rFonts w:hint="eastAsia" w:ascii="宋体" w:hAnsi="宋体"/>
          <w:color w:val="auto"/>
          <w:szCs w:val="21"/>
          <w:highlight w:val="none"/>
          <w:lang w:eastAsia="zh-CN"/>
        </w:rPr>
        <w:t>均</w:t>
      </w:r>
      <w:r>
        <w:rPr>
          <w:rFonts w:hint="eastAsia" w:ascii="宋体" w:hAnsi="宋体"/>
          <w:color w:val="auto"/>
          <w:szCs w:val="21"/>
          <w:highlight w:val="none"/>
        </w:rPr>
        <w:t>采用CA证书签章。</w:t>
      </w:r>
    </w:p>
    <w:p w14:paraId="34758887">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2B3C4D4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2805A7DA">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69170AAB">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3166BFC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79A7B274">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623BF05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6B8743F">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59593A88">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w:t>
      </w:r>
      <w:r>
        <w:rPr>
          <w:rFonts w:hint="eastAsia" w:ascii="宋体" w:hAnsi="宋体"/>
          <w:color w:val="auto"/>
          <w:szCs w:val="21"/>
          <w:highlight w:val="none"/>
          <w:lang w:eastAsia="zh-CN"/>
        </w:rPr>
        <w:t>没有</w:t>
      </w:r>
      <w:r>
        <w:rPr>
          <w:rFonts w:hint="eastAsia" w:ascii="宋体" w:hAnsi="宋体"/>
          <w:color w:val="auto"/>
          <w:szCs w:val="21"/>
          <w:highlight w:val="none"/>
        </w:rPr>
        <w:t>预留联系方式或预留联系方式无效，非代理机构原因导致代理机构无法联系到供应商进行解密的。</w:t>
      </w:r>
      <w:r>
        <w:rPr>
          <w:rFonts w:hint="eastAsia" w:ascii="宋体" w:hAnsi="宋体"/>
          <w:color w:val="auto"/>
          <w:szCs w:val="21"/>
          <w:highlight w:val="none"/>
          <w:lang w:eastAsia="zh-CN"/>
        </w:rPr>
        <w:t>（</w:t>
      </w:r>
      <w:r>
        <w:rPr>
          <w:rFonts w:hint="eastAsia" w:ascii="宋体" w:hAnsi="宋体"/>
          <w:color w:val="auto"/>
          <w:szCs w:val="21"/>
          <w:highlight w:val="none"/>
        </w:rPr>
        <w:t>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r>
        <w:rPr>
          <w:rFonts w:hint="eastAsia" w:ascii="宋体" w:hAnsi="宋体"/>
          <w:color w:val="auto"/>
          <w:szCs w:val="21"/>
          <w:highlight w:val="none"/>
          <w:lang w:eastAsia="zh-CN"/>
        </w:rPr>
        <w:t>）</w:t>
      </w:r>
    </w:p>
    <w:p w14:paraId="53B07AFB">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6EDCE47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 迟交的竞争性磋商响应文件</w:t>
      </w:r>
    </w:p>
    <w:p w14:paraId="33459977">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 xml:space="preserve">广西宏朗工程咨询服务有限公司  </w:t>
      </w:r>
      <w:r>
        <w:rPr>
          <w:rFonts w:ascii="宋体" w:hAnsi="宋体"/>
          <w:color w:val="auto"/>
          <w:szCs w:val="21"/>
          <w:highlight w:val="none"/>
        </w:rPr>
        <w:t>将拒绝或原封退回在其规定的递交竞争性磋商响应文件截止时间之后收到的任何竞争性磋商响应文件。</w:t>
      </w:r>
    </w:p>
    <w:p w14:paraId="6B8F1349">
      <w:pPr>
        <w:pStyle w:val="35"/>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07E925CA">
      <w:pP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2AD99978">
      <w:pP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7C3118C1">
      <w:pP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3F51D615">
      <w:pP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7E6BF0F3">
      <w:pP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5E60051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w:t>
      </w:r>
      <w:r>
        <w:rPr>
          <w:rFonts w:hint="eastAsia" w:ascii="宋体" w:hAnsi="宋体" w:cs="宋体"/>
          <w:bCs/>
          <w:color w:val="auto"/>
          <w:sz w:val="21"/>
          <w:szCs w:val="21"/>
          <w:highlight w:val="none"/>
          <w:lang w:eastAsia="zh-CN"/>
        </w:rPr>
        <w:t>登录广西政府采购云平台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70AE5E38">
      <w:pP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负责人、自然人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或相应的委托代理人参加磋商。请供</w:t>
      </w:r>
    </w:p>
    <w:p w14:paraId="47A31580">
      <w:pP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w:t>
      </w:r>
      <w:r>
        <w:rPr>
          <w:rFonts w:hint="eastAsia" w:ascii="宋体" w:hAnsi="宋体" w:cs="宋体"/>
          <w:bCs/>
          <w:color w:val="auto"/>
          <w:sz w:val="21"/>
          <w:szCs w:val="21"/>
          <w:highlight w:val="none"/>
          <w:lang w:eastAsia="zh-CN"/>
        </w:rPr>
        <w:t>登录广西政府采购云平台</w:t>
      </w:r>
      <w:r>
        <w:rPr>
          <w:rFonts w:hint="eastAsia" w:ascii="宋体" w:hAnsi="宋体" w:cs="宋体"/>
          <w:color w:val="auto"/>
          <w:sz w:val="21"/>
          <w:szCs w:val="21"/>
          <w:highlight w:val="none"/>
        </w:rPr>
        <w:t>等候在线磋商。</w:t>
      </w:r>
    </w:p>
    <w:p w14:paraId="5972ACF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5B01DB85">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6901230A">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4DD7C64E">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811DBF7">
      <w:pPr>
        <w:pStyle w:val="16"/>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4DE6BFAA">
      <w:pPr>
        <w:pStyle w:val="16"/>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1E887B2F">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F62F969">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4472E240">
      <w:pPr>
        <w:pStyle w:val="16"/>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0ABB83F7">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59AA6EB9">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38B6D942">
      <w:pP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w:t>
      </w:r>
      <w:r>
        <w:rPr>
          <w:rFonts w:hint="eastAsia" w:ascii="宋体" w:hAnsi="宋体" w:cs="宋体"/>
          <w:b/>
          <w:color w:val="auto"/>
          <w:sz w:val="21"/>
          <w:szCs w:val="21"/>
          <w:highlight w:val="none"/>
          <w:lang w:eastAsia="zh-CN"/>
        </w:rPr>
        <w:t>资格</w:t>
      </w:r>
      <w:r>
        <w:rPr>
          <w:rFonts w:hint="eastAsia" w:ascii="宋体" w:hAnsi="宋体" w:cs="宋体"/>
          <w:b/>
          <w:color w:val="auto"/>
          <w:sz w:val="21"/>
          <w:szCs w:val="21"/>
          <w:highlight w:val="none"/>
        </w:rPr>
        <w:t>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7462624C">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67136C15">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6DFDF9EB">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4683673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21A275C4">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30E948BF">
      <w:pP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43691283">
      <w:pP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w:t>
      </w:r>
      <w:r>
        <w:rPr>
          <w:rFonts w:hint="eastAsia" w:ascii="宋体" w:hAnsi="宋体" w:cs="宋体"/>
          <w:b/>
          <w:color w:val="auto"/>
          <w:sz w:val="21"/>
          <w:szCs w:val="21"/>
          <w:highlight w:val="none"/>
          <w:lang w:eastAsia="zh-CN"/>
        </w:rPr>
        <w:t>存在</w:t>
      </w:r>
      <w:r>
        <w:rPr>
          <w:rFonts w:hint="eastAsia" w:ascii="宋体" w:hAnsi="宋体" w:cs="宋体"/>
          <w:b/>
          <w:color w:val="auto"/>
          <w:sz w:val="21"/>
          <w:szCs w:val="21"/>
          <w:highlight w:val="none"/>
        </w:rPr>
        <w:t>上述关联供应商情形的，关联供应商均按响应文件无效处理。</w:t>
      </w:r>
    </w:p>
    <w:p w14:paraId="1293EDE5">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s="宋体"/>
          <w:color w:val="auto"/>
          <w:sz w:val="21"/>
          <w:szCs w:val="21"/>
          <w:highlight w:val="none"/>
          <w:lang w:eastAsia="zh-CN"/>
        </w:rPr>
        <w:t>签</w:t>
      </w:r>
      <w:r>
        <w:rPr>
          <w:rFonts w:hint="eastAsia" w:ascii="宋体" w:hAnsi="宋体" w:cs="宋体"/>
          <w:color w:val="auto"/>
          <w:sz w:val="21"/>
          <w:szCs w:val="21"/>
          <w:highlight w:val="none"/>
        </w:rPr>
        <w:t>章（没有办理政采云个人CA证书签章的</w:t>
      </w:r>
      <w:r>
        <w:rPr>
          <w:rFonts w:hint="eastAsia" w:ascii="宋体" w:hAnsi="宋体" w:cs="宋体"/>
          <w:color w:val="auto"/>
          <w:sz w:val="21"/>
          <w:szCs w:val="21"/>
          <w:highlight w:val="none"/>
          <w:lang w:eastAsia="zh-CN"/>
        </w:rPr>
        <w:t>可以</w:t>
      </w:r>
      <w:r>
        <w:rPr>
          <w:rFonts w:hint="eastAsia" w:ascii="宋体" w:hAnsi="宋体" w:cs="宋体"/>
          <w:color w:val="auto"/>
          <w:sz w:val="21"/>
          <w:szCs w:val="21"/>
          <w:highlight w:val="none"/>
        </w:rPr>
        <w:t>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的格式上传）并附身份证明。</w:t>
      </w:r>
    </w:p>
    <w:p w14:paraId="7590BD0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16FF83D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4AEB24DC">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300B4FE3">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11D81CC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48A37F50">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00FE48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负责人、自然人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w:t>
      </w:r>
      <w:r>
        <w:rPr>
          <w:rFonts w:hint="eastAsia" w:ascii="宋体" w:hAnsi="宋体" w:cs="宋体"/>
          <w:color w:val="auto"/>
          <w:sz w:val="21"/>
          <w:szCs w:val="21"/>
          <w:highlight w:val="none"/>
          <w:lang w:eastAsia="zh-CN"/>
        </w:rPr>
        <w:t>可以</w:t>
      </w:r>
      <w:r>
        <w:rPr>
          <w:rFonts w:hint="eastAsia" w:ascii="宋体" w:hAnsi="宋体" w:cs="宋体"/>
          <w:color w:val="auto"/>
          <w:sz w:val="21"/>
          <w:szCs w:val="21"/>
          <w:highlight w:val="none"/>
        </w:rPr>
        <w:t>在响应文件中</w:t>
      </w:r>
      <w:r>
        <w:rPr>
          <w:rFonts w:hint="eastAsia" w:ascii="宋体" w:hAnsi="宋体" w:cs="宋体"/>
          <w:color w:val="auto"/>
          <w:sz w:val="21"/>
          <w:szCs w:val="21"/>
          <w:highlight w:val="none"/>
          <w:lang w:eastAsia="zh-CN"/>
        </w:rPr>
        <w:t>涉及</w:t>
      </w:r>
      <w:r>
        <w:rPr>
          <w:rFonts w:hint="eastAsia" w:ascii="宋体" w:hAnsi="宋体" w:cs="宋体"/>
          <w:color w:val="auto"/>
          <w:sz w:val="21"/>
          <w:szCs w:val="21"/>
          <w:highlight w:val="none"/>
        </w:rPr>
        <w:t>签字的位置手写签字后扫描或者拍照做成 PDF 的格式上传）或者加盖供应商公章（CA证书签章）。逾时不交的，视同放弃磋商。</w:t>
      </w:r>
    </w:p>
    <w:p w14:paraId="4B3C0A3F">
      <w:pPr>
        <w:widowControl/>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FD01B40">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4755E49E">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1290797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7825902D">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5FC49F88">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4E0DF3E3">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2D57F4A4">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49CA67F9">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065CF56">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7C638A12">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2E1E9835">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56615B58">
      <w:pPr>
        <w:pStyle w:val="16"/>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2571D4D">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5C2CD3A1">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3881E4EC">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1C6F6225">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2714E7C7">
      <w:pPr>
        <w:widowControl/>
        <w:shd w:val="clear" w:color="auto" w:fill="FFFFFF"/>
        <w:spacing w:line="380" w:lineRule="exact"/>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1C823D1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733EF86C">
      <w:pP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10870609">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15A4313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BE7692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1A504F7C">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3D0167F8">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47EDA53B">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73415D90">
      <w:pPr>
        <w:pStyle w:val="16"/>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2AB38227">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2C3371B7">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07DF740C">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6C933C68">
      <w:pPr>
        <w:widowControl/>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4855453">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3A8AAC6E">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6DEF86C7">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cs="宋体"/>
          <w:color w:val="auto"/>
          <w:sz w:val="21"/>
          <w:szCs w:val="21"/>
          <w:highlight w:val="none"/>
          <w:lang w:val="en-US" w:eastAsia="zh-CN" w:bidi="hi-IN"/>
        </w:rPr>
        <w:t>（1）</w:t>
      </w:r>
      <w:r>
        <w:rPr>
          <w:rFonts w:hint="eastAsia" w:ascii="宋体" w:hAnsi="宋体" w:eastAsia="宋体" w:cs="宋体"/>
          <w:color w:val="auto"/>
          <w:sz w:val="21"/>
          <w:szCs w:val="21"/>
          <w:highlight w:val="none"/>
          <w:lang w:val="en-US" w:eastAsia="zh-CN" w:bidi="hi-IN"/>
        </w:rPr>
        <w:t>电子交易平台发生故障而无法登录访问的：</w:t>
      </w:r>
    </w:p>
    <w:p w14:paraId="26A263C7">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cs="宋体"/>
          <w:color w:val="auto"/>
          <w:sz w:val="21"/>
          <w:szCs w:val="21"/>
          <w:highlight w:val="none"/>
          <w:lang w:val="en-US" w:eastAsia="zh-CN" w:bidi="hi-IN"/>
        </w:rPr>
        <w:t>（2）</w:t>
      </w:r>
      <w:r>
        <w:rPr>
          <w:rFonts w:hint="eastAsia" w:ascii="宋体" w:hAnsi="宋体" w:eastAsia="宋体" w:cs="宋体"/>
          <w:color w:val="auto"/>
          <w:sz w:val="21"/>
          <w:szCs w:val="21"/>
          <w:highlight w:val="none"/>
          <w:lang w:val="en-US" w:eastAsia="zh-CN" w:bidi="hi-IN"/>
        </w:rPr>
        <w:t>电子交易平台应用或数据库出现错误，不能进行正常操作的：</w:t>
      </w:r>
    </w:p>
    <w:p w14:paraId="770B32F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cs="宋体"/>
          <w:color w:val="auto"/>
          <w:sz w:val="21"/>
          <w:szCs w:val="21"/>
          <w:highlight w:val="none"/>
          <w:lang w:val="en-US" w:eastAsia="zh-CN" w:bidi="hi-IN"/>
        </w:rPr>
        <w:t>（3）</w:t>
      </w:r>
      <w:r>
        <w:rPr>
          <w:rFonts w:hint="eastAsia" w:ascii="宋体" w:hAnsi="宋体" w:eastAsia="宋体" w:cs="宋体"/>
          <w:color w:val="auto"/>
          <w:sz w:val="21"/>
          <w:szCs w:val="21"/>
          <w:highlight w:val="none"/>
          <w:lang w:val="en-US" w:eastAsia="zh-CN" w:bidi="hi-IN"/>
        </w:rPr>
        <w:t>电子交易平台发现严重安全漏洞，有潜在泄密危险的；</w:t>
      </w:r>
    </w:p>
    <w:p w14:paraId="19C9F69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cs="宋体"/>
          <w:color w:val="auto"/>
          <w:sz w:val="21"/>
          <w:szCs w:val="21"/>
          <w:highlight w:val="none"/>
          <w:lang w:val="en-US" w:eastAsia="zh-CN" w:bidi="hi-IN"/>
        </w:rPr>
        <w:t>（4）</w:t>
      </w:r>
      <w:r>
        <w:rPr>
          <w:rFonts w:hint="eastAsia" w:ascii="宋体" w:hAnsi="宋体" w:eastAsia="宋体" w:cs="宋体"/>
          <w:color w:val="auto"/>
          <w:sz w:val="21"/>
          <w:szCs w:val="21"/>
          <w:highlight w:val="none"/>
          <w:lang w:val="en-US" w:eastAsia="zh-CN" w:bidi="hi-IN"/>
        </w:rPr>
        <w:t>病毒发作导致不能进行正常操作的；</w:t>
      </w:r>
    </w:p>
    <w:p w14:paraId="479F56D2">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cs="宋体"/>
          <w:color w:val="auto"/>
          <w:sz w:val="21"/>
          <w:szCs w:val="21"/>
          <w:highlight w:val="none"/>
          <w:lang w:val="en-US" w:eastAsia="zh-CN" w:bidi="hi-IN"/>
        </w:rPr>
        <w:t>（5）</w:t>
      </w:r>
      <w:r>
        <w:rPr>
          <w:rFonts w:hint="eastAsia" w:ascii="宋体" w:hAnsi="宋体" w:eastAsia="宋体" w:cs="宋体"/>
          <w:color w:val="auto"/>
          <w:sz w:val="21"/>
          <w:szCs w:val="21"/>
          <w:highlight w:val="none"/>
          <w:lang w:val="en-US" w:eastAsia="zh-CN" w:bidi="hi-IN"/>
        </w:rPr>
        <w:t>其他无法保证电子交易的公平、公正和安全的情况。</w:t>
      </w:r>
    </w:p>
    <w:p w14:paraId="5E75369A">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4109B6C1">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5DF03DC3">
      <w:pPr>
        <w:pStyle w:val="16"/>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4CE3878A">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7DBAB3CD">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7F9734B8">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等；</w:t>
      </w:r>
    </w:p>
    <w:p w14:paraId="2AAA752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372BF2E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66B6DA6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⑷信用信息使用规则：对在“信用中国”网站</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www.creditchina.gov.cn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、中国政府采购网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www.ccgp.gov.cn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等渠道列入失信被执行人、重大税收违法案件当事人名单、政府采购严重违法失信行为记录名单及其他不符合《中华人民共和国政府采购法》第二十二条规定条件的供应商，取消其成交候选人资格。    </w:t>
      </w:r>
    </w:p>
    <w:p w14:paraId="5EB93C76">
      <w:pPr>
        <w:pStyle w:val="16"/>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34762E94">
      <w:pP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 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2C045453">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0E412CC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0BF9E55F">
      <w:pP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10B58CAF">
      <w:pPr>
        <w:pStyle w:val="35"/>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D047A4B">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61A288C5">
      <w:pPr>
        <w:pStyle w:val="36"/>
      </w:pPr>
    </w:p>
    <w:p w14:paraId="46D93479">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11EB0275">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color w:val="auto"/>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439FADCD">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1EE1D59D">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70A5A67D">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1AB28E6D">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58D7B38">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31812F36">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5D92D69A">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62F772D7">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24C3A9C4">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6C61C089">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730DA531">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011D41C6">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75BB165B">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1449BA61">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2EB98D43">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0816160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79B2A49A">
      <w:pPr>
        <w:pStyle w:val="35"/>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6F602A15">
      <w:pPr>
        <w:pStyle w:val="35"/>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77BA1EB0">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.1 </w:t>
      </w:r>
      <w:r>
        <w:rPr>
          <w:rFonts w:ascii="宋体" w:hAnsi="宋体" w:eastAsia="宋体" w:cs="Times New Roman"/>
          <w:color w:val="auto"/>
          <w:szCs w:val="21"/>
          <w:highlight w:val="none"/>
        </w:rPr>
        <w:t>自</w:t>
      </w:r>
      <w:r>
        <w:rPr>
          <w:rFonts w:hint="eastAsia" w:ascii="宋体" w:hAnsi="宋体" w:eastAsia="宋体" w:cs="Times New Roman"/>
          <w:color w:val="auto"/>
          <w:szCs w:val="21"/>
          <w:highlight w:val="none"/>
          <w:lang w:eastAsia="zh-CN"/>
        </w:rPr>
        <w:t>成交</w:t>
      </w:r>
      <w:r>
        <w:rPr>
          <w:rFonts w:ascii="宋体" w:hAnsi="宋体" w:eastAsia="宋体" w:cs="Times New Roman"/>
          <w:color w:val="auto"/>
          <w:szCs w:val="21"/>
          <w:highlight w:val="none"/>
        </w:rPr>
        <w:t>通知书发出之日起15日内</w:t>
      </w:r>
      <w:r>
        <w:rPr>
          <w:rFonts w:hint="eastAsia" w:ascii="宋体" w:hAnsi="宋体" w:cs="Times New Roman"/>
          <w:color w:val="auto"/>
          <w:szCs w:val="21"/>
          <w:highlight w:val="none"/>
          <w:lang w:val="en-US" w:eastAsia="zh-CN"/>
        </w:rPr>
        <w:t>签订合同（如</w:t>
      </w:r>
      <w:r>
        <w:rPr>
          <w:rFonts w:ascii="宋体" w:hAnsi="宋体" w:eastAsia="宋体" w:cs="Times New Roman"/>
          <w:color w:val="auto"/>
          <w:szCs w:val="21"/>
          <w:highlight w:val="none"/>
        </w:rPr>
        <w:t>因不可抗力原因延迟签订合同的，自不可抗力事由消除之日起5个工作日内完成合同签订事宜</w:t>
      </w:r>
      <w:r>
        <w:rPr>
          <w:rFonts w:hint="eastAsia" w:ascii="宋体" w:hAnsi="宋体" w:cs="Times New Roman"/>
          <w:color w:val="auto"/>
          <w:szCs w:val="21"/>
          <w:highlight w:val="none"/>
          <w:lang w:val="en-US" w:eastAsia="zh-CN"/>
        </w:rPr>
        <w:t>）</w:t>
      </w:r>
      <w:r>
        <w:rPr>
          <w:rFonts w:ascii="宋体" w:hAnsi="宋体" w:eastAsia="宋体" w:cs="Times New Roman"/>
          <w:color w:val="auto"/>
          <w:szCs w:val="21"/>
          <w:highlight w:val="none"/>
        </w:rPr>
        <w:t>否则采购人将取消其成交资格。</w:t>
      </w:r>
    </w:p>
    <w:p w14:paraId="3657B43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w:t>
      </w:r>
      <w:r>
        <w:rPr>
          <w:rFonts w:hint="eastAsia" w:ascii="宋体" w:hAnsi="宋体"/>
          <w:color w:val="auto"/>
          <w:szCs w:val="21"/>
          <w:highlight w:val="none"/>
          <w:lang w:eastAsia="zh-CN"/>
        </w:rPr>
        <w:t>的</w:t>
      </w:r>
      <w:r>
        <w:rPr>
          <w:rFonts w:ascii="宋体" w:hAnsi="宋体"/>
          <w:color w:val="auto"/>
          <w:szCs w:val="21"/>
          <w:highlight w:val="none"/>
        </w:rPr>
        <w:t>，成交无效；给采购人</w:t>
      </w:r>
      <w:r>
        <w:rPr>
          <w:rFonts w:hint="eastAsia" w:ascii="宋体" w:hAnsi="宋体"/>
          <w:color w:val="auto"/>
          <w:szCs w:val="21"/>
          <w:highlight w:val="none"/>
          <w:lang w:eastAsia="zh-CN"/>
        </w:rPr>
        <w:t>造成</w:t>
      </w:r>
      <w:r>
        <w:rPr>
          <w:rFonts w:ascii="宋体" w:hAnsi="宋体"/>
          <w:color w:val="auto"/>
          <w:szCs w:val="21"/>
          <w:highlight w:val="none"/>
        </w:rPr>
        <w:t>损失的，成交供应商还应当予以赔偿。</w:t>
      </w:r>
    </w:p>
    <w:p w14:paraId="12A60D91">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w:t>
      </w:r>
      <w:r>
        <w:rPr>
          <w:rFonts w:hint="eastAsia" w:ascii="宋体" w:hAnsi="宋体"/>
          <w:color w:val="auto"/>
          <w:szCs w:val="21"/>
          <w:highlight w:val="none"/>
          <w:lang w:eastAsia="zh-CN"/>
        </w:rPr>
        <w:t>合同</w:t>
      </w:r>
      <w:r>
        <w:rPr>
          <w:rFonts w:ascii="宋体" w:hAnsi="宋体"/>
          <w:color w:val="auto"/>
          <w:szCs w:val="21"/>
          <w:highlight w:val="none"/>
        </w:rPr>
        <w:t>并给成交供应商造成损失的，应当赔偿损失。</w:t>
      </w:r>
    </w:p>
    <w:p w14:paraId="2637564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6F569E29">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446E4FB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49D22D8B">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w:t>
      </w:r>
      <w:r>
        <w:rPr>
          <w:rFonts w:hint="eastAsia" w:ascii="宋体" w:hAnsi="宋体"/>
          <w:color w:val="auto"/>
          <w:szCs w:val="21"/>
          <w:highlight w:val="none"/>
          <w:lang w:eastAsia="zh-CN"/>
        </w:rPr>
        <w:t>造成</w:t>
      </w:r>
      <w:r>
        <w:rPr>
          <w:rFonts w:ascii="宋体" w:hAnsi="宋体"/>
          <w:color w:val="auto"/>
          <w:szCs w:val="21"/>
          <w:highlight w:val="none"/>
        </w:rPr>
        <w:t>损失的，还应当赔偿损失，并作为不良行为记录在案。同时，已缴纳的成交服务费不予退还。</w:t>
      </w:r>
    </w:p>
    <w:p w14:paraId="3489B09D">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98E7519">
      <w:pPr>
        <w:pStyle w:val="47"/>
        <w:ind w:firstLine="480"/>
        <w:rPr>
          <w:rFonts w:hint="eastAsia"/>
          <w:color w:val="auto"/>
          <w:highlight w:val="none"/>
        </w:rPr>
      </w:pPr>
    </w:p>
    <w:p w14:paraId="219BD53D">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D619D6">
      <w:pPr>
        <w:spacing w:line="360" w:lineRule="auto"/>
        <w:ind w:firstLine="400" w:firstLineChars="200"/>
        <w:rPr>
          <w:rFonts w:hint="eastAsia" w:ascii="宋体" w:hAnsi="宋体" w:cs="宋体"/>
          <w:color w:val="auto"/>
          <w:szCs w:val="21"/>
          <w:highlight w:val="none"/>
        </w:rPr>
      </w:pPr>
    </w:p>
    <w:p w14:paraId="2185E679">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79B2E07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15A67B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5068DFC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31"/>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6DF528EB">
      <w:pPr>
        <w:pStyle w:val="47"/>
        <w:ind w:firstLine="420"/>
        <w:rPr>
          <w:rFonts w:hint="eastAsia" w:ascii="宋体" w:hAnsi="宋体" w:cs="宋体"/>
          <w:color w:val="auto"/>
          <w:sz w:val="21"/>
          <w:szCs w:val="21"/>
          <w:highlight w:val="none"/>
        </w:rPr>
      </w:pPr>
    </w:p>
    <w:p w14:paraId="11DABBE6">
      <w:pPr>
        <w:spacing w:line="360" w:lineRule="auto"/>
        <w:rPr>
          <w:rFonts w:hint="eastAsia" w:ascii="宋体" w:hAnsi="宋体" w:cs="宋体"/>
          <w:color w:val="auto"/>
          <w:szCs w:val="21"/>
          <w:highlight w:val="none"/>
        </w:rPr>
      </w:pPr>
    </w:p>
    <w:p w14:paraId="74145404">
      <w:pPr>
        <w:pStyle w:val="47"/>
        <w:ind w:firstLine="420"/>
        <w:rPr>
          <w:rFonts w:hint="eastAsia" w:ascii="宋体" w:hAnsi="宋体" w:cs="宋体"/>
          <w:color w:val="auto"/>
          <w:sz w:val="21"/>
          <w:szCs w:val="21"/>
          <w:highlight w:val="none"/>
        </w:rPr>
      </w:pPr>
    </w:p>
    <w:p w14:paraId="50D3C105">
      <w:pPr>
        <w:spacing w:line="360" w:lineRule="auto"/>
        <w:rPr>
          <w:rFonts w:hint="eastAsia" w:ascii="宋体" w:hAnsi="宋体" w:cs="宋体"/>
          <w:color w:val="auto"/>
          <w:szCs w:val="21"/>
          <w:highlight w:val="none"/>
        </w:rPr>
      </w:pPr>
    </w:p>
    <w:p w14:paraId="14FA506D">
      <w:pPr>
        <w:spacing w:line="360" w:lineRule="auto"/>
        <w:rPr>
          <w:rFonts w:hint="eastAsia" w:ascii="宋体" w:hAnsi="宋体" w:cs="宋体"/>
          <w:color w:val="auto"/>
          <w:szCs w:val="21"/>
          <w:highlight w:val="none"/>
        </w:rPr>
      </w:pPr>
    </w:p>
    <w:p w14:paraId="225E8886">
      <w:pPr>
        <w:pStyle w:val="47"/>
        <w:ind w:firstLine="420"/>
        <w:rPr>
          <w:rFonts w:hint="eastAsia" w:ascii="宋体" w:hAnsi="宋体" w:cs="宋体"/>
          <w:color w:val="auto"/>
          <w:sz w:val="21"/>
          <w:szCs w:val="21"/>
          <w:highlight w:val="none"/>
        </w:rPr>
      </w:pPr>
    </w:p>
    <w:p w14:paraId="1262ED4F">
      <w:pPr>
        <w:spacing w:line="360" w:lineRule="auto"/>
        <w:rPr>
          <w:rFonts w:hint="eastAsia" w:ascii="宋体" w:hAnsi="宋体" w:cs="宋体"/>
          <w:color w:val="auto"/>
          <w:szCs w:val="21"/>
          <w:highlight w:val="none"/>
        </w:rPr>
      </w:pPr>
    </w:p>
    <w:p w14:paraId="4DF6B379">
      <w:pPr>
        <w:spacing w:line="360" w:lineRule="auto"/>
        <w:rPr>
          <w:rFonts w:hint="eastAsia" w:ascii="宋体" w:hAnsi="宋体" w:cs="宋体"/>
          <w:color w:val="auto"/>
          <w:szCs w:val="21"/>
          <w:highlight w:val="none"/>
        </w:rPr>
      </w:pPr>
    </w:p>
    <w:p w14:paraId="3F7D97E3">
      <w:pPr>
        <w:pStyle w:val="47"/>
        <w:ind w:firstLine="420"/>
        <w:rPr>
          <w:rFonts w:hint="eastAsia" w:ascii="宋体" w:hAnsi="宋体" w:cs="宋体"/>
          <w:color w:val="auto"/>
          <w:sz w:val="21"/>
          <w:szCs w:val="21"/>
          <w:highlight w:val="none"/>
        </w:rPr>
      </w:pPr>
    </w:p>
    <w:p w14:paraId="163D8E72">
      <w:pPr>
        <w:spacing w:line="360" w:lineRule="auto"/>
        <w:rPr>
          <w:rFonts w:hint="eastAsia" w:ascii="宋体" w:hAnsi="宋体" w:cs="宋体"/>
          <w:color w:val="auto"/>
          <w:szCs w:val="21"/>
          <w:highlight w:val="none"/>
        </w:rPr>
      </w:pPr>
    </w:p>
    <w:p w14:paraId="0A14BE97">
      <w:pPr>
        <w:pStyle w:val="47"/>
        <w:ind w:firstLine="420"/>
        <w:rPr>
          <w:rFonts w:hint="eastAsia" w:ascii="宋体" w:hAnsi="宋体" w:cs="宋体"/>
          <w:color w:val="auto"/>
          <w:sz w:val="21"/>
          <w:szCs w:val="21"/>
          <w:highlight w:val="none"/>
        </w:rPr>
      </w:pPr>
    </w:p>
    <w:p w14:paraId="6E18C712">
      <w:pPr>
        <w:rPr>
          <w:rFonts w:hint="eastAsia" w:ascii="黑体" w:hAnsi="黑体" w:eastAsia="黑体" w:cs="黑体"/>
          <w:color w:val="auto"/>
          <w:szCs w:val="32"/>
          <w:highlight w:val="none"/>
        </w:rPr>
      </w:pPr>
    </w:p>
    <w:p w14:paraId="7F88E43A">
      <w:pPr>
        <w:pStyle w:val="47"/>
        <w:ind w:firstLine="480"/>
        <w:rPr>
          <w:rFonts w:hint="eastAsia" w:ascii="黑体" w:hAnsi="黑体" w:eastAsia="黑体" w:cs="黑体"/>
          <w:color w:val="auto"/>
          <w:szCs w:val="32"/>
          <w:highlight w:val="none"/>
        </w:rPr>
      </w:pPr>
    </w:p>
    <w:p w14:paraId="07DE60FC">
      <w:pPr>
        <w:rPr>
          <w:rFonts w:hint="eastAsia" w:ascii="黑体" w:hAnsi="黑体" w:eastAsia="黑体" w:cs="黑体"/>
          <w:color w:val="auto"/>
          <w:szCs w:val="32"/>
          <w:highlight w:val="none"/>
        </w:rPr>
      </w:pPr>
    </w:p>
    <w:p w14:paraId="33574196">
      <w:pPr>
        <w:pStyle w:val="6"/>
        <w:rPr>
          <w:rFonts w:hint="eastAsia" w:ascii="黑体" w:hAnsi="黑体" w:cs="黑体"/>
          <w:color w:val="auto"/>
          <w:highlight w:val="none"/>
        </w:rPr>
      </w:pPr>
    </w:p>
    <w:p w14:paraId="52859D1C">
      <w:pPr>
        <w:rPr>
          <w:rFonts w:hint="eastAsia"/>
          <w:color w:val="auto"/>
          <w:highlight w:val="none"/>
        </w:rPr>
      </w:pPr>
    </w:p>
    <w:p w14:paraId="732EA5CC">
      <w:pPr>
        <w:pStyle w:val="6"/>
        <w:rPr>
          <w:rFonts w:hint="eastAsia"/>
          <w:color w:val="auto"/>
          <w:highlight w:val="none"/>
        </w:rPr>
      </w:pPr>
    </w:p>
    <w:p w14:paraId="306609DA">
      <w:pPr>
        <w:rPr>
          <w:rFonts w:hint="eastAsia"/>
          <w:color w:val="auto"/>
          <w:highlight w:val="none"/>
        </w:rPr>
      </w:pPr>
    </w:p>
    <w:p w14:paraId="67BD3524">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5521E283">
      <w:pPr>
        <w:pStyle w:val="47"/>
        <w:ind w:firstLine="480"/>
        <w:rPr>
          <w:color w:val="auto"/>
          <w:highlight w:val="none"/>
        </w:rPr>
      </w:pPr>
    </w:p>
    <w:p w14:paraId="7F3D1880">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0C51C167">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5"/>
                    <a:stretch>
                      <a:fillRect/>
                    </a:stretch>
                  </pic:blipFill>
                  <pic:spPr>
                    <a:xfrm>
                      <a:off x="0" y="0"/>
                      <a:ext cx="4926965" cy="7002780"/>
                    </a:xfrm>
                    <a:prstGeom prst="rect">
                      <a:avLst/>
                    </a:prstGeom>
                    <a:noFill/>
                    <a:ln>
                      <a:noFill/>
                    </a:ln>
                  </pic:spPr>
                </pic:pic>
              </a:graphicData>
            </a:graphic>
          </wp:inline>
        </w:drawing>
      </w:r>
    </w:p>
    <w:p w14:paraId="3519735B">
      <w:pPr>
        <w:widowControl/>
        <w:ind w:firstLine="400" w:firstLineChars="200"/>
        <w:rPr>
          <w:rFonts w:hint="eastAsia"/>
          <w:color w:val="auto"/>
          <w:highlight w:val="none"/>
        </w:rPr>
      </w:pPr>
    </w:p>
    <w:p w14:paraId="12D9C8FA">
      <w:pPr>
        <w:pStyle w:val="47"/>
        <w:ind w:firstLine="480"/>
        <w:rPr>
          <w:rFonts w:hint="eastAsia"/>
          <w:color w:val="auto"/>
          <w:highlight w:val="none"/>
        </w:rPr>
      </w:pPr>
    </w:p>
    <w:p w14:paraId="160A0285">
      <w:pPr>
        <w:rPr>
          <w:rFonts w:hint="eastAsia"/>
          <w:color w:val="auto"/>
          <w:highlight w:val="none"/>
        </w:rPr>
      </w:pPr>
    </w:p>
    <w:p w14:paraId="73457574">
      <w:pPr>
        <w:rPr>
          <w:rFonts w:hint="eastAsia"/>
          <w:color w:val="auto"/>
          <w:highlight w:val="none"/>
        </w:rPr>
      </w:pPr>
    </w:p>
    <w:p w14:paraId="474ADC41">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6B0C5AF4">
      <w:pPr>
        <w:pStyle w:val="47"/>
        <w:ind w:firstLine="480"/>
        <w:rPr>
          <w:color w:val="auto"/>
          <w:highlight w:val="none"/>
        </w:rPr>
      </w:pPr>
    </w:p>
    <w:p w14:paraId="465EAC83">
      <w:pPr>
        <w:pStyle w:val="47"/>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7"/>
        <w:tblW w:w="8314" w:type="dxa"/>
        <w:tblInd w:w="96" w:type="dxa"/>
        <w:tblLayout w:type="fixed"/>
        <w:tblCellMar>
          <w:top w:w="0" w:type="dxa"/>
          <w:left w:w="108" w:type="dxa"/>
          <w:bottom w:w="0" w:type="dxa"/>
          <w:right w:w="108" w:type="dxa"/>
        </w:tblCellMar>
      </w:tblPr>
      <w:tblGrid>
        <w:gridCol w:w="2674"/>
        <w:gridCol w:w="3515"/>
        <w:gridCol w:w="2125"/>
      </w:tblGrid>
      <w:tr w14:paraId="31C9951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0ABD4AD8">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A5D28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A735D7">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3C1E0F21">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15974C0">
            <w:pPr>
              <w:keepNext w:val="0"/>
              <w:keepLines w:val="0"/>
              <w:widowControl/>
              <w:suppressLineNumbers w:val="0"/>
              <w:spacing w:before="0" w:beforeAutospacing="0" w:after="0" w:afterAutospacing="0"/>
              <w:ind w:left="0" w:right="0"/>
              <w:jc w:val="left"/>
              <w:textAlignment w:val="center"/>
              <w:rPr>
                <w:rFonts w:hint="eastAsia" w:cs="宋体"/>
                <w:color w:val="auto"/>
                <w:sz w:val="20"/>
                <w:szCs w:val="21"/>
                <w:highlight w:val="none"/>
              </w:rPr>
            </w:pPr>
            <w:r>
              <w:rPr>
                <w:rFonts w:hint="eastAsia" w:cs="宋体"/>
                <w:b/>
                <w:bCs/>
                <w:color w:val="auto"/>
                <w:sz w:val="20"/>
                <w:szCs w:val="21"/>
                <w:highlight w:val="none"/>
              </w:rPr>
              <w:t>崇左市本级及江州区</w:t>
            </w:r>
          </w:p>
        </w:tc>
      </w:tr>
      <w:tr w14:paraId="09A61EF4">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AEA18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4B1EB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11944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0771-7820436 0771-7820439</w:t>
            </w:r>
          </w:p>
        </w:tc>
      </w:tr>
      <w:tr w14:paraId="118521F3">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461A3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753BC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0D24D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0771-7917212</w:t>
            </w:r>
          </w:p>
        </w:tc>
      </w:tr>
      <w:tr w14:paraId="56C62F8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A6CDB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1571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B71BA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0771-7917054</w:t>
            </w:r>
          </w:p>
        </w:tc>
      </w:tr>
      <w:tr w14:paraId="2814CA9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AA9C0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0AFDD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E904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0771-7831103</w:t>
            </w:r>
          </w:p>
        </w:tc>
      </w:tr>
      <w:tr w14:paraId="34A5D71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DA3B6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9B4B1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04049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0771-7928650 0771-7920613</w:t>
            </w:r>
          </w:p>
        </w:tc>
      </w:tr>
      <w:tr w14:paraId="77956E9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F6B1C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CDE9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36703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0771-7925660</w:t>
            </w:r>
          </w:p>
        </w:tc>
      </w:tr>
      <w:tr w14:paraId="3E35823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874CD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D1AB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D94AD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0771-7968699</w:t>
            </w:r>
          </w:p>
        </w:tc>
      </w:tr>
      <w:tr w14:paraId="07A0F86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EF0DA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67708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82A30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0771-7916636</w:t>
            </w:r>
          </w:p>
        </w:tc>
      </w:tr>
      <w:tr w14:paraId="02422B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C9289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16F3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B7A4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0771-7988895</w:t>
            </w:r>
          </w:p>
        </w:tc>
      </w:tr>
      <w:tr w14:paraId="2D9B411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C1A1C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FCAA6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CD49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0771-7960855</w:t>
            </w:r>
          </w:p>
        </w:tc>
      </w:tr>
      <w:tr w14:paraId="2B093F6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C198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B998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9A3FC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0771-7821126</w:t>
            </w:r>
          </w:p>
        </w:tc>
      </w:tr>
      <w:tr w14:paraId="30257C72">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B7DFB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1D648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7FF5F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0771-7831866</w:t>
            </w:r>
          </w:p>
        </w:tc>
      </w:tr>
      <w:tr w14:paraId="7D6EEDBE">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5E98D1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扶绥县</w:t>
            </w:r>
          </w:p>
        </w:tc>
      </w:tr>
      <w:tr w14:paraId="53A933C2">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44DF5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A9FC9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7B80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0771-7535612</w:t>
            </w:r>
          </w:p>
        </w:tc>
      </w:tr>
      <w:tr w14:paraId="02E2EDF0">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A5FF2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7D65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C5871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0771-7917330</w:t>
            </w:r>
          </w:p>
        </w:tc>
      </w:tr>
      <w:tr w14:paraId="71D94E39">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6366C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4E5C6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26D4D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0771-7516511 0771-7531157</w:t>
            </w:r>
          </w:p>
        </w:tc>
      </w:tr>
      <w:tr w14:paraId="1042797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5CED9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DEC0C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5B312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0771-7525822</w:t>
            </w:r>
          </w:p>
        </w:tc>
      </w:tr>
      <w:tr w14:paraId="66E2BBF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7FCBF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DFC24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984C1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0771-5025887</w:t>
            </w:r>
          </w:p>
        </w:tc>
      </w:tr>
      <w:tr w14:paraId="1AA9FD9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06F25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扶绥农商行</w:t>
            </w:r>
            <w:r>
              <w:rPr>
                <w:rFonts w:hint="eastAsia" w:ascii="宋体" w:hAnsi="宋体" w:cs="宋体"/>
                <w:color w:val="auto"/>
                <w:sz w:val="20"/>
                <w:szCs w:val="21"/>
                <w:highlight w:val="none"/>
                <w:lang w:eastAsia="zh-CN"/>
              </w:rPr>
              <w:t>“三农”</w:t>
            </w:r>
            <w:r>
              <w:rPr>
                <w:rFonts w:hint="eastAsia" w:ascii="宋体" w:hAnsi="宋体" w:cs="宋体"/>
                <w:color w:val="auto"/>
                <w:sz w:val="20"/>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EA86F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B1018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0771-7533041</w:t>
            </w:r>
          </w:p>
        </w:tc>
      </w:tr>
      <w:tr w14:paraId="5F4A07BD">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85114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20DAA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171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0771-7536178 0771-7536177</w:t>
            </w:r>
          </w:p>
        </w:tc>
      </w:tr>
      <w:tr w14:paraId="71F7950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E7E27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D0F2F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C6F07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0771-7661101</w:t>
            </w:r>
          </w:p>
        </w:tc>
      </w:tr>
      <w:tr w14:paraId="4277F6C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29B07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B3F41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0D15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0771-7500768</w:t>
            </w:r>
          </w:p>
        </w:tc>
      </w:tr>
      <w:tr w14:paraId="3235EBD5">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7A88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A2ABD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DA437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0771-7525678</w:t>
            </w:r>
          </w:p>
        </w:tc>
      </w:tr>
      <w:tr w14:paraId="0DDD156E">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57A4F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EC02C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BC5A1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A164FD6">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035650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E0585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34C95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0771-8620729</w:t>
            </w:r>
          </w:p>
        </w:tc>
      </w:tr>
      <w:tr w14:paraId="3BD1E28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92324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A179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27E7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0771-7917093</w:t>
            </w:r>
          </w:p>
        </w:tc>
      </w:tr>
      <w:tr w14:paraId="1E30896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9D66E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60FF62">
            <w:pPr>
              <w:keepNext w:val="0"/>
              <w:keepLines w:val="0"/>
              <w:widowControl/>
              <w:suppressLineNumbers w:val="0"/>
              <w:spacing w:before="0" w:beforeAutospacing="0" w:after="90" w:afterAutospacing="0" w:line="23" w:lineRule="atLeast"/>
              <w:ind w:left="0" w:right="0"/>
              <w:jc w:val="left"/>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5D8A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0771-8629006</w:t>
            </w:r>
          </w:p>
        </w:tc>
      </w:tr>
      <w:tr w14:paraId="2B8F499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26BDA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宁明农商行</w:t>
            </w:r>
            <w:r>
              <w:rPr>
                <w:rFonts w:hint="eastAsia" w:ascii="宋体" w:hAnsi="宋体" w:cs="宋体"/>
                <w:color w:val="auto"/>
                <w:sz w:val="20"/>
                <w:szCs w:val="21"/>
                <w:highlight w:val="none"/>
                <w:lang w:eastAsia="zh-CN"/>
              </w:rPr>
              <w:t>“三农”</w:t>
            </w:r>
            <w:r>
              <w:rPr>
                <w:rFonts w:hint="eastAsia" w:ascii="宋体" w:hAnsi="宋体" w:cs="宋体"/>
                <w:color w:val="auto"/>
                <w:sz w:val="20"/>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B6361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45FE8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0771-8628166</w:t>
            </w:r>
          </w:p>
        </w:tc>
      </w:tr>
      <w:tr w14:paraId="47D40691">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14186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FDD98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EF1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0771-8630787</w:t>
            </w:r>
          </w:p>
        </w:tc>
      </w:tr>
      <w:tr w14:paraId="73FA84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E8E60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2D54E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崇左市宁明县城中镇兴宁大道中79号（明都大酒店）A</w:t>
            </w:r>
            <w:r>
              <w:rPr>
                <w:rFonts w:hint="eastAsia" w:ascii="宋体" w:hAnsi="宋体" w:cs="宋体"/>
                <w:color w:val="auto"/>
                <w:sz w:val="20"/>
                <w:szCs w:val="21"/>
                <w:highlight w:val="none"/>
                <w:lang w:eastAsia="zh-CN"/>
              </w:rPr>
              <w:t>幢</w:t>
            </w:r>
            <w:r>
              <w:rPr>
                <w:rFonts w:hint="eastAsia" w:ascii="宋体" w:hAnsi="宋体" w:cs="宋体"/>
                <w:color w:val="auto"/>
                <w:sz w:val="20"/>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2B5720">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0771-8622237</w:t>
            </w:r>
          </w:p>
        </w:tc>
      </w:tr>
      <w:tr w14:paraId="15C01BCC">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E90349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大新县</w:t>
            </w:r>
          </w:p>
        </w:tc>
      </w:tr>
      <w:tr w14:paraId="034BED85">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A50E5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812D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E1A79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0771-3628078</w:t>
            </w:r>
          </w:p>
        </w:tc>
      </w:tr>
      <w:tr w14:paraId="517BB8FE">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CA839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D49DC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96D796">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w:t>
            </w:r>
            <w:r>
              <w:rPr>
                <w:rFonts w:hint="eastAsia" w:ascii="宋体" w:hAnsi="宋体" w:cs="宋体"/>
                <w:color w:val="auto"/>
                <w:sz w:val="20"/>
                <w:szCs w:val="21"/>
                <w:highlight w:val="none"/>
              </w:rPr>
              <w:t>7917015</w:t>
            </w:r>
          </w:p>
        </w:tc>
      </w:tr>
      <w:tr w14:paraId="50792EE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DD074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83CB1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961C5E">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0771-3689766</w:t>
            </w:r>
          </w:p>
        </w:tc>
      </w:tr>
      <w:tr w14:paraId="1DA92583">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66571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大新农商行</w:t>
            </w:r>
            <w:r>
              <w:rPr>
                <w:rFonts w:hint="eastAsia" w:ascii="宋体" w:hAnsi="宋体" w:cs="宋体"/>
                <w:color w:val="auto"/>
                <w:kern w:val="0"/>
                <w:sz w:val="20"/>
                <w:szCs w:val="21"/>
                <w:highlight w:val="none"/>
                <w:lang w:eastAsia="zh-CN" w:bidi="ar"/>
              </w:rPr>
              <w:t>“三农”</w:t>
            </w:r>
            <w:r>
              <w:rPr>
                <w:rFonts w:hint="eastAsia" w:ascii="宋体" w:hAnsi="宋体" w:cs="宋体"/>
                <w:color w:val="auto"/>
                <w:kern w:val="0"/>
                <w:sz w:val="20"/>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D1651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E2B4D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0771-3623887</w:t>
            </w:r>
          </w:p>
        </w:tc>
      </w:tr>
      <w:tr w14:paraId="170324CB">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DF9B9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397EB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FE085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0771-3621996</w:t>
            </w:r>
          </w:p>
        </w:tc>
      </w:tr>
      <w:tr w14:paraId="6B862FF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2194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73C52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6AA9E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sz w:val="20"/>
                <w:szCs w:val="21"/>
                <w:highlight w:val="none"/>
              </w:rPr>
              <w:t>0771-3628366</w:t>
            </w:r>
          </w:p>
        </w:tc>
      </w:tr>
      <w:tr w14:paraId="3665C28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F2DBB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5DDF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080091">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0771-3698002</w:t>
            </w:r>
          </w:p>
        </w:tc>
      </w:tr>
      <w:tr w14:paraId="5E1DBCD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2B35D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E8202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kern w:val="0"/>
                <w:sz w:val="20"/>
                <w:szCs w:val="21"/>
                <w:highlight w:val="none"/>
                <w:lang w:bidi="ar"/>
              </w:rPr>
            </w:pPr>
            <w:r>
              <w:rPr>
                <w:rFonts w:hint="eastAsia" w:ascii="宋体" w:hAnsi="宋体" w:cs="宋体"/>
                <w:color w:val="auto"/>
                <w:kern w:val="0"/>
                <w:sz w:val="2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5A618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kern w:val="0"/>
                <w:sz w:val="20"/>
                <w:szCs w:val="21"/>
                <w:highlight w:val="none"/>
                <w:lang w:bidi="ar"/>
              </w:rPr>
              <w:t>0771-3626199</w:t>
            </w:r>
          </w:p>
        </w:tc>
      </w:tr>
      <w:tr w14:paraId="6FAF4D58">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04E7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0"/>
                <w:szCs w:val="21"/>
                <w:highlight w:val="none"/>
                <w:lang w:eastAsia="zh-CN"/>
              </w:rPr>
            </w:pPr>
            <w:r>
              <w:rPr>
                <w:rFonts w:hint="eastAsia" w:ascii="宋体" w:hAnsi="宋体" w:cs="宋体"/>
                <w:b/>
                <w:bCs/>
                <w:color w:val="auto"/>
                <w:sz w:val="20"/>
                <w:szCs w:val="21"/>
                <w:highlight w:val="none"/>
                <w:lang w:eastAsia="zh-CN"/>
              </w:rPr>
              <w:t>扶绥县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61F3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84D9E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91B889B">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1ACF1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w:t>
            </w: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67220A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E0690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0771-8868619</w:t>
            </w:r>
          </w:p>
        </w:tc>
      </w:tr>
      <w:tr w14:paraId="494CD5FC">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A6C7A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w:t>
            </w: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6E766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D7169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0771-8812504</w:t>
            </w:r>
          </w:p>
        </w:tc>
      </w:tr>
      <w:tr w14:paraId="3A4C32D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28247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CB43E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C5B24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0771-8820525</w:t>
            </w:r>
          </w:p>
        </w:tc>
      </w:tr>
      <w:tr w14:paraId="08B3C952">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A890CD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龙州农商行公司机构金融</w:t>
            </w:r>
            <w:r>
              <w:rPr>
                <w:rFonts w:hint="eastAsia" w:cs="宋体"/>
                <w:color w:val="auto"/>
                <w:sz w:val="20"/>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4A66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8DC91F">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0771-8813013</w:t>
            </w:r>
          </w:p>
        </w:tc>
      </w:tr>
      <w:tr w14:paraId="182E1A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37396">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47EFA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1C89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0771-8871021</w:t>
            </w:r>
          </w:p>
        </w:tc>
      </w:tr>
      <w:tr w14:paraId="41FA9A5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B57FD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C7F400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w:t>
            </w:r>
            <w:r>
              <w:rPr>
                <w:rFonts w:hint="eastAsia" w:ascii="宋体" w:hAnsi="宋体" w:cs="宋体"/>
                <w:color w:val="auto"/>
                <w:sz w:val="20"/>
                <w:szCs w:val="21"/>
                <w:highlight w:val="none"/>
                <w:lang w:eastAsia="zh-CN"/>
              </w:rPr>
              <w:t>扶绥县</w:t>
            </w:r>
            <w:r>
              <w:rPr>
                <w:rFonts w:hint="eastAsia" w:ascii="宋体" w:hAnsi="宋体" w:cs="宋体"/>
                <w:color w:val="auto"/>
                <w:sz w:val="20"/>
                <w:szCs w:val="21"/>
                <w:highlight w:val="none"/>
              </w:rPr>
              <w:t>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6673A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0771-8811533</w:t>
            </w:r>
          </w:p>
        </w:tc>
      </w:tr>
      <w:tr w14:paraId="69BE4711">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57DAD2">
            <w:pPr>
              <w:keepNext w:val="0"/>
              <w:keepLines w:val="0"/>
              <w:widowControl/>
              <w:suppressLineNumbers w:val="0"/>
              <w:spacing w:before="0" w:beforeAutospacing="0" w:after="0" w:afterAutospacing="0"/>
              <w:ind w:left="0" w:right="0"/>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EEABA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D4DCA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p>
        </w:tc>
      </w:tr>
      <w:tr w14:paraId="07DB67C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F548C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A4810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A2541D">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0771-3532211</w:t>
            </w:r>
          </w:p>
        </w:tc>
      </w:tr>
      <w:tr w14:paraId="4AAC63DE">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E66824">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65A31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3367A4">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0771-7917046</w:t>
            </w:r>
          </w:p>
        </w:tc>
      </w:tr>
      <w:tr w14:paraId="6968BE2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CC5BCF">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A6DAE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0BADC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0771-3521361</w:t>
            </w:r>
          </w:p>
        </w:tc>
      </w:tr>
      <w:tr w14:paraId="13F05646">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3DEA2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3FD1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C49D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0771-3522157</w:t>
            </w:r>
          </w:p>
        </w:tc>
      </w:tr>
      <w:tr w14:paraId="6CC0C3C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452FF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87A38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B6642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0771-3528688</w:t>
            </w:r>
          </w:p>
        </w:tc>
      </w:tr>
      <w:tr w14:paraId="061B8655">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6125B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b/>
                <w:bCs/>
                <w:color w:val="auto"/>
                <w:sz w:val="20"/>
                <w:szCs w:val="21"/>
                <w:highlight w:val="none"/>
              </w:rPr>
              <w:t>凭祥市</w:t>
            </w:r>
          </w:p>
        </w:tc>
      </w:tr>
      <w:tr w14:paraId="24F55A7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7D4728">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6EA415">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03AA5A">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0771-8529259</w:t>
            </w:r>
          </w:p>
        </w:tc>
      </w:tr>
      <w:tr w14:paraId="29EFDC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6A4EC">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036D2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E376147">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0771-7917258</w:t>
            </w:r>
          </w:p>
        </w:tc>
      </w:tr>
      <w:tr w14:paraId="7ED2942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8C559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04AC2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9DD7D68">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0771-8525068</w:t>
            </w:r>
            <w:r>
              <w:rPr>
                <w:rFonts w:hint="eastAsia" w:cs="宋体"/>
                <w:color w:val="auto"/>
                <w:sz w:val="20"/>
                <w:szCs w:val="21"/>
                <w:highlight w:val="none"/>
              </w:rPr>
              <w:t xml:space="preserve"> </w:t>
            </w:r>
            <w:r>
              <w:rPr>
                <w:rFonts w:hint="eastAsia" w:ascii="宋体" w:hAnsi="宋体" w:cs="宋体"/>
                <w:color w:val="auto"/>
                <w:sz w:val="20"/>
                <w:szCs w:val="21"/>
                <w:highlight w:val="none"/>
              </w:rPr>
              <w:t>0771-8536852</w:t>
            </w:r>
          </w:p>
        </w:tc>
      </w:tr>
      <w:tr w14:paraId="0D39785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347F6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4298FB">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ECCBF15">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0771-8551161</w:t>
            </w:r>
          </w:p>
        </w:tc>
      </w:tr>
      <w:tr w14:paraId="1CF188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1E4451">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BEFFCD">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1AC80B">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0771-8561665</w:t>
            </w:r>
          </w:p>
        </w:tc>
      </w:tr>
      <w:tr w14:paraId="317CE62C">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A4DC7A">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6D9FE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A8F792">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0771-8520356</w:t>
            </w:r>
          </w:p>
        </w:tc>
      </w:tr>
      <w:tr w14:paraId="37C65D4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081BA7">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C8AA3">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E75103">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0771-8535667</w:t>
            </w:r>
          </w:p>
        </w:tc>
      </w:tr>
      <w:tr w14:paraId="31966FD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9CB9FE">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AB8A39">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19DF45C">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0771-8520550</w:t>
            </w:r>
          </w:p>
        </w:tc>
      </w:tr>
      <w:tr w14:paraId="1CB3C7D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2EC6C0">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DE49F2">
            <w:pPr>
              <w:keepNext w:val="0"/>
              <w:keepLines w:val="0"/>
              <w:widowControl/>
              <w:suppressLineNumbers w:val="0"/>
              <w:spacing w:before="0" w:beforeAutospacing="0" w:after="0" w:afterAutospacing="0"/>
              <w:ind w:left="0" w:right="0"/>
              <w:jc w:val="left"/>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7867E9">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0"/>
                <w:szCs w:val="21"/>
                <w:highlight w:val="none"/>
              </w:rPr>
            </w:pPr>
            <w:r>
              <w:rPr>
                <w:rFonts w:hint="eastAsia" w:ascii="宋体" w:hAnsi="宋体" w:cs="宋体"/>
                <w:color w:val="auto"/>
                <w:sz w:val="20"/>
                <w:szCs w:val="21"/>
                <w:highlight w:val="none"/>
              </w:rPr>
              <w:t>0771-8556667</w:t>
            </w:r>
          </w:p>
        </w:tc>
      </w:tr>
    </w:tbl>
    <w:p w14:paraId="15AB7949">
      <w:pPr>
        <w:pStyle w:val="36"/>
        <w:rPr>
          <w:color w:val="auto"/>
          <w:highlight w:val="none"/>
        </w:rPr>
      </w:pPr>
    </w:p>
    <w:p w14:paraId="3C3CEA88">
      <w:pPr>
        <w:pStyle w:val="35"/>
        <w:rPr>
          <w:color w:val="auto"/>
          <w:highlight w:val="none"/>
        </w:rPr>
      </w:pPr>
    </w:p>
    <w:p w14:paraId="3568CB85">
      <w:pPr>
        <w:pStyle w:val="36"/>
        <w:rPr>
          <w:color w:val="auto"/>
        </w:rPr>
        <w:sectPr>
          <w:pgSz w:w="11906" w:h="16838"/>
          <w:pgMar w:top="1134" w:right="1134" w:bottom="1134" w:left="1417" w:header="851" w:footer="851" w:gutter="0"/>
          <w:cols w:space="720" w:num="1"/>
          <w:formProt w:val="1"/>
          <w:docGrid w:linePitch="312" w:charSpace="43007"/>
        </w:sectPr>
      </w:pPr>
    </w:p>
    <w:p w14:paraId="37D15C18">
      <w:pPr>
        <w:pStyle w:val="36"/>
        <w:rPr>
          <w:color w:val="auto"/>
          <w:highlight w:val="none"/>
        </w:rPr>
      </w:pPr>
    </w:p>
    <w:p w14:paraId="5E2BA90B">
      <w:pPr>
        <w:pStyle w:val="35"/>
        <w:spacing w:line="360" w:lineRule="auto"/>
        <w:rPr>
          <w:rFonts w:ascii="宋体" w:hAnsi="宋体"/>
          <w:color w:val="auto"/>
          <w:szCs w:val="21"/>
          <w:highlight w:val="none"/>
        </w:rPr>
      </w:pPr>
    </w:p>
    <w:p w14:paraId="3CC3A330">
      <w:pPr>
        <w:pStyle w:val="35"/>
        <w:spacing w:line="360" w:lineRule="auto"/>
        <w:rPr>
          <w:rFonts w:ascii="宋体" w:hAnsi="宋体"/>
          <w:b/>
          <w:color w:val="auto"/>
          <w:sz w:val="32"/>
          <w:szCs w:val="32"/>
          <w:highlight w:val="none"/>
        </w:rPr>
      </w:pPr>
    </w:p>
    <w:p w14:paraId="1A9D3E5E">
      <w:pPr>
        <w:pStyle w:val="35"/>
        <w:spacing w:line="360" w:lineRule="auto"/>
        <w:jc w:val="center"/>
        <w:outlineLvl w:val="0"/>
        <w:rPr>
          <w:rFonts w:ascii="宋体" w:hAnsi="宋体"/>
          <w:b/>
          <w:color w:val="auto"/>
          <w:sz w:val="32"/>
          <w:szCs w:val="32"/>
          <w:highlight w:val="none"/>
        </w:rPr>
      </w:pPr>
      <w:bookmarkStart w:id="40" w:name="_Toc6764"/>
      <w:r>
        <w:rPr>
          <w:rFonts w:ascii="宋体" w:hAnsi="宋体"/>
          <w:b/>
          <w:color w:val="auto"/>
          <w:sz w:val="32"/>
          <w:szCs w:val="32"/>
          <w:highlight w:val="none"/>
        </w:rPr>
        <w:t>第三章   技术规范</w:t>
      </w:r>
      <w:bookmarkEnd w:id="40"/>
    </w:p>
    <w:p w14:paraId="385B0AC9">
      <w:pPr>
        <w:pStyle w:val="35"/>
        <w:spacing w:line="360" w:lineRule="auto"/>
        <w:jc w:val="center"/>
        <w:rPr>
          <w:rFonts w:ascii="宋体" w:hAnsi="宋体"/>
          <w:b/>
          <w:color w:val="auto"/>
          <w:sz w:val="32"/>
          <w:szCs w:val="32"/>
          <w:highlight w:val="none"/>
        </w:rPr>
      </w:pPr>
    </w:p>
    <w:p w14:paraId="7803AC09">
      <w:pPr>
        <w:pStyle w:val="16"/>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ascii="宋体" w:hAnsi="宋体" w:cs="宋体"/>
          <w:color w:val="auto"/>
          <w:sz w:val="22"/>
          <w:szCs w:val="21"/>
          <w:highlight w:val="none"/>
        </w:rPr>
        <w:t>有关的工程建设标准、技术规范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0A3A8E76">
      <w:pPr>
        <w:pStyle w:val="16"/>
        <w:spacing w:line="360" w:lineRule="auto"/>
        <w:jc w:val="center"/>
        <w:rPr>
          <w:b/>
          <w:color w:val="auto"/>
          <w:sz w:val="32"/>
          <w:szCs w:val="32"/>
          <w:highlight w:val="none"/>
        </w:rPr>
      </w:pPr>
    </w:p>
    <w:p w14:paraId="07CB659F">
      <w:pPr>
        <w:pStyle w:val="16"/>
        <w:spacing w:line="360" w:lineRule="auto"/>
        <w:jc w:val="center"/>
        <w:rPr>
          <w:b/>
          <w:color w:val="auto"/>
          <w:sz w:val="32"/>
          <w:szCs w:val="32"/>
          <w:highlight w:val="none"/>
        </w:rPr>
      </w:pPr>
    </w:p>
    <w:p w14:paraId="40FF4560">
      <w:pPr>
        <w:pStyle w:val="16"/>
        <w:spacing w:line="360" w:lineRule="auto"/>
        <w:jc w:val="center"/>
        <w:rPr>
          <w:b/>
          <w:color w:val="auto"/>
          <w:sz w:val="32"/>
          <w:szCs w:val="32"/>
          <w:highlight w:val="none"/>
        </w:rPr>
      </w:pPr>
    </w:p>
    <w:p w14:paraId="6E7BDA1E">
      <w:pPr>
        <w:pStyle w:val="16"/>
        <w:spacing w:line="360" w:lineRule="auto"/>
        <w:jc w:val="center"/>
        <w:rPr>
          <w:b/>
          <w:color w:val="auto"/>
          <w:sz w:val="32"/>
          <w:szCs w:val="32"/>
          <w:highlight w:val="none"/>
        </w:rPr>
      </w:pPr>
    </w:p>
    <w:p w14:paraId="7968F039">
      <w:pPr>
        <w:pStyle w:val="16"/>
        <w:spacing w:line="360" w:lineRule="auto"/>
        <w:rPr>
          <w:b/>
          <w:color w:val="auto"/>
          <w:sz w:val="32"/>
          <w:szCs w:val="32"/>
          <w:highlight w:val="none"/>
        </w:rPr>
      </w:pPr>
    </w:p>
    <w:p w14:paraId="024184B0">
      <w:pPr>
        <w:pStyle w:val="16"/>
        <w:spacing w:line="360" w:lineRule="auto"/>
        <w:jc w:val="center"/>
        <w:rPr>
          <w:b/>
          <w:color w:val="auto"/>
          <w:sz w:val="32"/>
          <w:szCs w:val="32"/>
          <w:highlight w:val="none"/>
        </w:rPr>
      </w:pPr>
    </w:p>
    <w:p w14:paraId="31387E95">
      <w:pPr>
        <w:pStyle w:val="16"/>
        <w:spacing w:line="360" w:lineRule="auto"/>
        <w:jc w:val="center"/>
        <w:rPr>
          <w:b/>
          <w:color w:val="auto"/>
          <w:sz w:val="32"/>
          <w:szCs w:val="32"/>
          <w:highlight w:val="none"/>
        </w:rPr>
      </w:pPr>
    </w:p>
    <w:p w14:paraId="62E4B34D">
      <w:pPr>
        <w:pStyle w:val="16"/>
        <w:spacing w:line="360" w:lineRule="auto"/>
        <w:jc w:val="center"/>
        <w:rPr>
          <w:b/>
          <w:color w:val="auto"/>
          <w:sz w:val="32"/>
          <w:szCs w:val="32"/>
          <w:highlight w:val="none"/>
        </w:rPr>
      </w:pPr>
    </w:p>
    <w:p w14:paraId="4E82A5EB">
      <w:pPr>
        <w:pStyle w:val="16"/>
        <w:spacing w:line="360" w:lineRule="auto"/>
        <w:jc w:val="center"/>
        <w:rPr>
          <w:b/>
          <w:color w:val="auto"/>
          <w:sz w:val="32"/>
          <w:szCs w:val="32"/>
          <w:highlight w:val="none"/>
        </w:rPr>
      </w:pPr>
    </w:p>
    <w:p w14:paraId="64F974BE">
      <w:pPr>
        <w:pStyle w:val="16"/>
        <w:spacing w:line="360" w:lineRule="auto"/>
        <w:jc w:val="center"/>
        <w:rPr>
          <w:b/>
          <w:color w:val="auto"/>
          <w:sz w:val="32"/>
          <w:szCs w:val="32"/>
          <w:highlight w:val="none"/>
        </w:rPr>
      </w:pPr>
    </w:p>
    <w:p w14:paraId="171F5D6D">
      <w:pPr>
        <w:pStyle w:val="16"/>
        <w:spacing w:line="360" w:lineRule="auto"/>
        <w:jc w:val="center"/>
        <w:rPr>
          <w:b/>
          <w:color w:val="auto"/>
          <w:sz w:val="32"/>
          <w:szCs w:val="32"/>
          <w:highlight w:val="none"/>
        </w:rPr>
      </w:pPr>
    </w:p>
    <w:p w14:paraId="384E9FDC">
      <w:pPr>
        <w:pStyle w:val="16"/>
        <w:spacing w:line="360" w:lineRule="auto"/>
        <w:jc w:val="center"/>
        <w:rPr>
          <w:b/>
          <w:color w:val="auto"/>
          <w:sz w:val="32"/>
          <w:szCs w:val="32"/>
          <w:highlight w:val="none"/>
        </w:rPr>
      </w:pPr>
    </w:p>
    <w:p w14:paraId="172E55E6">
      <w:pPr>
        <w:pStyle w:val="16"/>
        <w:spacing w:line="360" w:lineRule="auto"/>
        <w:rPr>
          <w:b/>
          <w:color w:val="auto"/>
          <w:sz w:val="32"/>
          <w:szCs w:val="32"/>
          <w:highlight w:val="none"/>
        </w:rPr>
      </w:pPr>
    </w:p>
    <w:p w14:paraId="4147D33C">
      <w:pPr>
        <w:pStyle w:val="35"/>
        <w:rPr>
          <w:b/>
          <w:color w:val="auto"/>
          <w:sz w:val="32"/>
          <w:szCs w:val="32"/>
          <w:highlight w:val="none"/>
        </w:rPr>
      </w:pPr>
    </w:p>
    <w:p w14:paraId="26C9861B">
      <w:pPr>
        <w:pStyle w:val="36"/>
        <w:rPr>
          <w:color w:val="auto"/>
          <w:sz w:val="32"/>
          <w:szCs w:val="32"/>
          <w:highlight w:val="none"/>
        </w:rPr>
      </w:pPr>
    </w:p>
    <w:p w14:paraId="46173E44">
      <w:pPr>
        <w:pStyle w:val="35"/>
        <w:rPr>
          <w:b/>
          <w:color w:val="auto"/>
          <w:sz w:val="32"/>
          <w:szCs w:val="32"/>
          <w:highlight w:val="none"/>
        </w:rPr>
      </w:pPr>
    </w:p>
    <w:p w14:paraId="782D144F">
      <w:pPr>
        <w:pStyle w:val="35"/>
        <w:rPr>
          <w:b/>
          <w:color w:val="auto"/>
          <w:sz w:val="32"/>
          <w:szCs w:val="32"/>
          <w:highlight w:val="none"/>
        </w:rPr>
      </w:pPr>
    </w:p>
    <w:p w14:paraId="7A7EF969">
      <w:pPr>
        <w:pStyle w:val="36"/>
        <w:rPr>
          <w:color w:val="auto"/>
          <w:highlight w:val="none"/>
        </w:rPr>
      </w:pPr>
    </w:p>
    <w:p w14:paraId="238D5AF5">
      <w:pPr>
        <w:pStyle w:val="35"/>
        <w:rPr>
          <w:color w:val="auto"/>
          <w:highlight w:val="none"/>
        </w:rPr>
      </w:pPr>
    </w:p>
    <w:p w14:paraId="5EC2AE17">
      <w:pPr>
        <w:pStyle w:val="16"/>
        <w:spacing w:line="360" w:lineRule="auto"/>
        <w:jc w:val="center"/>
        <w:rPr>
          <w:b/>
          <w:color w:val="auto"/>
          <w:sz w:val="32"/>
          <w:szCs w:val="32"/>
          <w:highlight w:val="none"/>
        </w:rPr>
      </w:pPr>
    </w:p>
    <w:p w14:paraId="1635EC50">
      <w:pPr>
        <w:pStyle w:val="16"/>
        <w:spacing w:line="360" w:lineRule="auto"/>
        <w:jc w:val="center"/>
        <w:outlineLvl w:val="0"/>
        <w:rPr>
          <w:b/>
          <w:color w:val="auto"/>
          <w:sz w:val="32"/>
          <w:szCs w:val="32"/>
          <w:highlight w:val="none"/>
        </w:rPr>
      </w:pPr>
      <w:bookmarkStart w:id="41" w:name="_Toc11818"/>
      <w:r>
        <w:rPr>
          <w:b/>
          <w:color w:val="auto"/>
          <w:sz w:val="32"/>
          <w:szCs w:val="32"/>
          <w:highlight w:val="none"/>
        </w:rPr>
        <w:t>第四章  响应文件格式</w:t>
      </w:r>
      <w:bookmarkEnd w:id="41"/>
    </w:p>
    <w:p w14:paraId="52DAB71F">
      <w:pPr>
        <w:pStyle w:val="16"/>
        <w:spacing w:line="360" w:lineRule="auto"/>
        <w:jc w:val="center"/>
        <w:rPr>
          <w:b/>
          <w:color w:val="auto"/>
          <w:sz w:val="32"/>
          <w:szCs w:val="32"/>
          <w:highlight w:val="none"/>
        </w:rPr>
      </w:pPr>
    </w:p>
    <w:p w14:paraId="14DA3B35">
      <w:pPr>
        <w:pStyle w:val="16"/>
        <w:spacing w:line="360" w:lineRule="auto"/>
        <w:jc w:val="center"/>
        <w:rPr>
          <w:b/>
          <w:color w:val="auto"/>
          <w:sz w:val="32"/>
          <w:szCs w:val="32"/>
          <w:highlight w:val="none"/>
        </w:rPr>
      </w:pPr>
    </w:p>
    <w:p w14:paraId="045592D3">
      <w:pPr>
        <w:pStyle w:val="35"/>
        <w:rPr>
          <w:b/>
          <w:color w:val="auto"/>
          <w:sz w:val="32"/>
          <w:szCs w:val="32"/>
          <w:highlight w:val="none"/>
        </w:rPr>
      </w:pPr>
    </w:p>
    <w:p w14:paraId="5CBB9F63">
      <w:pPr>
        <w:pStyle w:val="36"/>
        <w:rPr>
          <w:color w:val="auto"/>
          <w:highlight w:val="none"/>
        </w:rPr>
      </w:pPr>
    </w:p>
    <w:p w14:paraId="098A99C5">
      <w:pPr>
        <w:pStyle w:val="35"/>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4200F5CD">
      <w:pPr>
        <w:pStyle w:val="35"/>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6045E61B">
      <w:pPr>
        <w:pStyle w:val="35"/>
        <w:spacing w:line="360" w:lineRule="auto"/>
        <w:ind w:left="413"/>
        <w:jc w:val="left"/>
        <w:rPr>
          <w:rFonts w:ascii="宋体" w:hAnsi="宋体"/>
          <w:color w:val="auto"/>
          <w:szCs w:val="21"/>
          <w:highlight w:val="none"/>
        </w:rPr>
      </w:pPr>
    </w:p>
    <w:p w14:paraId="32499D7B">
      <w:pPr>
        <w:pStyle w:val="16"/>
        <w:spacing w:line="360" w:lineRule="auto"/>
        <w:jc w:val="center"/>
        <w:rPr>
          <w:rFonts w:ascii="方正隶书简体" w:hAnsi="方正隶书简体" w:eastAsia="方正隶书简体"/>
          <w:b/>
          <w:color w:val="auto"/>
          <w:sz w:val="30"/>
          <w:szCs w:val="30"/>
          <w:highlight w:val="none"/>
        </w:rPr>
      </w:pPr>
    </w:p>
    <w:p w14:paraId="48DBC13E">
      <w:pPr>
        <w:pStyle w:val="16"/>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750C9726">
      <w:pPr>
        <w:pStyle w:val="16"/>
        <w:spacing w:line="360" w:lineRule="auto"/>
        <w:rPr>
          <w:rFonts w:ascii="Times New Roman" w:hAnsi="Times New Roman" w:eastAsia="方正隶书简体"/>
          <w:b/>
          <w:color w:val="auto"/>
          <w:sz w:val="30"/>
          <w:szCs w:val="30"/>
          <w:highlight w:val="none"/>
        </w:rPr>
      </w:pPr>
    </w:p>
    <w:p w14:paraId="7F19788E">
      <w:pPr>
        <w:pStyle w:val="16"/>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2D5B8EA4">
      <w:pPr>
        <w:pStyle w:val="16"/>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62C788E2">
      <w:pPr>
        <w:pStyle w:val="16"/>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364C2509">
      <w:pPr>
        <w:pStyle w:val="16"/>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692DD00C">
      <w:pPr>
        <w:pStyle w:val="16"/>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6C447D44">
      <w:pPr>
        <w:pStyle w:val="16"/>
        <w:spacing w:line="360" w:lineRule="auto"/>
        <w:rPr>
          <w:color w:val="auto"/>
          <w:szCs w:val="21"/>
          <w:highlight w:val="none"/>
        </w:rPr>
      </w:pPr>
    </w:p>
    <w:p w14:paraId="1FA2FFC5">
      <w:pPr>
        <w:pStyle w:val="16"/>
        <w:spacing w:line="360" w:lineRule="auto"/>
        <w:rPr>
          <w:color w:val="auto"/>
          <w:szCs w:val="21"/>
          <w:highlight w:val="none"/>
        </w:rPr>
      </w:pPr>
    </w:p>
    <w:p w14:paraId="1802A1EC">
      <w:pPr>
        <w:pStyle w:val="16"/>
        <w:spacing w:line="360" w:lineRule="auto"/>
        <w:rPr>
          <w:color w:val="auto"/>
          <w:szCs w:val="21"/>
          <w:highlight w:val="none"/>
        </w:rPr>
      </w:pPr>
    </w:p>
    <w:p w14:paraId="7929422D">
      <w:pPr>
        <w:pStyle w:val="16"/>
        <w:spacing w:line="360" w:lineRule="auto"/>
        <w:rPr>
          <w:color w:val="auto"/>
          <w:szCs w:val="21"/>
          <w:highlight w:val="none"/>
        </w:rPr>
      </w:pPr>
    </w:p>
    <w:p w14:paraId="57B46879">
      <w:pPr>
        <w:pStyle w:val="16"/>
        <w:spacing w:line="360" w:lineRule="auto"/>
        <w:rPr>
          <w:color w:val="auto"/>
          <w:szCs w:val="21"/>
          <w:highlight w:val="none"/>
        </w:rPr>
      </w:pPr>
    </w:p>
    <w:p w14:paraId="567B9EF8">
      <w:pPr>
        <w:pStyle w:val="16"/>
        <w:spacing w:line="360" w:lineRule="auto"/>
        <w:rPr>
          <w:color w:val="auto"/>
          <w:szCs w:val="21"/>
          <w:highlight w:val="none"/>
        </w:rPr>
      </w:pPr>
    </w:p>
    <w:p w14:paraId="720ABB15">
      <w:pPr>
        <w:pStyle w:val="16"/>
        <w:spacing w:line="360" w:lineRule="auto"/>
        <w:rPr>
          <w:color w:val="auto"/>
          <w:szCs w:val="21"/>
          <w:highlight w:val="none"/>
        </w:rPr>
      </w:pPr>
    </w:p>
    <w:p w14:paraId="0EDC9133">
      <w:pPr>
        <w:pStyle w:val="35"/>
        <w:spacing w:line="360" w:lineRule="auto"/>
        <w:ind w:left="481"/>
        <w:jc w:val="center"/>
        <w:rPr>
          <w:rFonts w:ascii="宋体" w:hAnsi="宋体"/>
          <w:b/>
          <w:color w:val="auto"/>
          <w:sz w:val="48"/>
          <w:szCs w:val="48"/>
          <w:highlight w:val="none"/>
        </w:rPr>
      </w:pPr>
    </w:p>
    <w:p w14:paraId="5FBB8AA4">
      <w:pPr>
        <w:pStyle w:val="35"/>
        <w:spacing w:line="360" w:lineRule="auto"/>
        <w:rPr>
          <w:rFonts w:ascii="宋体" w:hAnsi="宋体"/>
          <w:b/>
          <w:color w:val="auto"/>
          <w:sz w:val="48"/>
          <w:szCs w:val="48"/>
          <w:highlight w:val="none"/>
        </w:rPr>
      </w:pPr>
    </w:p>
    <w:p w14:paraId="342EF596">
      <w:pPr>
        <w:pStyle w:val="5"/>
        <w:spacing w:line="360" w:lineRule="auto"/>
        <w:jc w:val="center"/>
        <w:rPr>
          <w:rFonts w:hint="eastAsia" w:ascii="宋体" w:eastAsia="宋体" w:cs="宋体"/>
          <w:color w:val="auto"/>
          <w:sz w:val="36"/>
          <w:highlight w:val="none"/>
          <w:lang w:eastAsia="zh-CN"/>
        </w:rPr>
      </w:pPr>
      <w:bookmarkStart w:id="42" w:name="_Toc29489"/>
      <w:r>
        <w:rPr>
          <w:rFonts w:hint="eastAsia" w:ascii="宋体" w:hAnsi="宋体" w:cs="宋体"/>
          <w:color w:val="auto"/>
          <w:sz w:val="36"/>
          <w:highlight w:val="none"/>
          <w:lang w:eastAsia="zh-CN"/>
        </w:rPr>
        <w:t>响应文件资格审查部分</w:t>
      </w:r>
      <w:bookmarkEnd w:id="42"/>
    </w:p>
    <w:p w14:paraId="51CF63B5">
      <w:pPr>
        <w:pStyle w:val="6"/>
        <w:spacing w:line="360" w:lineRule="auto"/>
        <w:jc w:val="center"/>
        <w:rPr>
          <w:rFonts w:ascii="宋体" w:hAnsi="宋体" w:eastAsia="宋体" w:cs="宋体"/>
          <w:color w:val="auto"/>
          <w:kern w:val="0"/>
          <w:highlight w:val="none"/>
        </w:rPr>
      </w:pPr>
      <w:bookmarkStart w:id="43" w:name="_Toc29414"/>
      <w:bookmarkStart w:id="44" w:name="_Toc24704"/>
      <w:bookmarkStart w:id="45" w:name="_Toc243630952"/>
      <w:bookmarkStart w:id="46" w:name="_Toc18079"/>
      <w:bookmarkStart w:id="47" w:name="_Toc28199"/>
      <w:bookmarkStart w:id="48" w:name="_Toc247301829"/>
      <w:bookmarkStart w:id="49" w:name="_Toc247292436"/>
      <w:bookmarkStart w:id="50" w:name="_Toc243584342"/>
      <w:bookmarkStart w:id="51" w:name="_Toc255977433"/>
      <w:bookmarkStart w:id="52" w:name="_Toc193089296"/>
      <w:bookmarkStart w:id="53" w:name="_Toc29130"/>
      <w:r>
        <w:rPr>
          <w:rFonts w:hint="eastAsia" w:ascii="宋体" w:hAnsi="宋体" w:eastAsia="宋体" w:cs="宋体"/>
          <w:color w:val="auto"/>
          <w:kern w:val="0"/>
          <w:highlight w:val="none"/>
        </w:rPr>
        <w:t>封面格式</w:t>
      </w:r>
      <w:bookmarkEnd w:id="43"/>
      <w:bookmarkEnd w:id="44"/>
      <w:bookmarkEnd w:id="45"/>
      <w:bookmarkEnd w:id="46"/>
      <w:bookmarkEnd w:id="47"/>
      <w:bookmarkEnd w:id="48"/>
      <w:bookmarkEnd w:id="49"/>
      <w:bookmarkEnd w:id="50"/>
      <w:bookmarkEnd w:id="51"/>
      <w:bookmarkEnd w:id="52"/>
      <w:bookmarkEnd w:id="53"/>
    </w:p>
    <w:tbl>
      <w:tblPr>
        <w:tblStyle w:val="27"/>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1903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4E5E5B3D">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5589FC23">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32"/>
                <w:szCs w:val="21"/>
                <w:highlight w:val="none"/>
                <w:lang w:eastAsia="zh-CN"/>
              </w:rPr>
            </w:pPr>
            <w:bookmarkStart w:id="54" w:name="_Toc24999"/>
            <w:r>
              <w:rPr>
                <w:rFonts w:hint="eastAsia" w:ascii="宋体" w:cs="宋体"/>
                <w:b/>
                <w:color w:val="auto"/>
                <w:kern w:val="0"/>
                <w:sz w:val="40"/>
                <w:szCs w:val="21"/>
                <w:highlight w:val="none"/>
                <w:lang w:eastAsia="zh-CN"/>
              </w:rPr>
              <w:t>（项目名称）</w:t>
            </w:r>
            <w:bookmarkEnd w:id="54"/>
          </w:p>
          <w:p w14:paraId="4C4B6409">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p>
          <w:p w14:paraId="4545BC3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F4E0FC5">
            <w:pPr>
              <w:pStyle w:val="2"/>
              <w:keepNext w:val="0"/>
              <w:keepLines w:val="0"/>
              <w:suppressLineNumbers w:val="0"/>
              <w:spacing w:before="0" w:beforeAutospacing="0" w:after="0" w:afterAutospacing="0"/>
              <w:ind w:left="0" w:right="0"/>
              <w:rPr>
                <w:rFonts w:hint="default"/>
                <w:color w:val="auto"/>
                <w:szCs w:val="20"/>
                <w:highlight w:val="none"/>
              </w:rPr>
            </w:pPr>
          </w:p>
          <w:p w14:paraId="5C129486">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55" w:name="_Toc4361"/>
            <w:bookmarkStart w:id="56"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5"/>
            <w:bookmarkEnd w:id="56"/>
          </w:p>
          <w:p w14:paraId="7705944C">
            <w:pPr>
              <w:keepNext w:val="0"/>
              <w:keepLines w:val="0"/>
              <w:suppressLineNumbers w:val="0"/>
              <w:autoSpaceDE w:val="0"/>
              <w:autoSpaceDN w:val="0"/>
              <w:adjustRightInd w:val="0"/>
              <w:spacing w:before="0" w:beforeAutospacing="0" w:after="0" w:afterAutospacing="0" w:line="360" w:lineRule="auto"/>
              <w:ind w:left="0" w:right="0"/>
              <w:jc w:val="left"/>
              <w:rPr>
                <w:rFonts w:hint="eastAsia" w:ascii="宋体" w:eastAsia="宋体" w:cs="宋体"/>
                <w:color w:val="auto"/>
                <w:kern w:val="0"/>
                <w:sz w:val="22"/>
                <w:szCs w:val="21"/>
                <w:highlight w:val="none"/>
                <w:lang w:eastAsia="zh-CN"/>
              </w:rPr>
            </w:pPr>
            <w:r>
              <w:rPr>
                <w:rFonts w:hint="eastAsia" w:ascii="宋体" w:hAnsi="宋体" w:cs="宋体"/>
                <w:b/>
                <w:color w:val="auto"/>
                <w:kern w:val="0"/>
                <w:sz w:val="32"/>
                <w:szCs w:val="32"/>
                <w:highlight w:val="none"/>
                <w:lang w:val="en-US" w:eastAsia="zh-CN"/>
              </w:rPr>
              <w:t xml:space="preserve"> </w:t>
            </w:r>
          </w:p>
          <w:p w14:paraId="0614765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40BFF563">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cs="宋体"/>
                <w:color w:val="auto"/>
                <w:kern w:val="0"/>
                <w:sz w:val="22"/>
                <w:szCs w:val="21"/>
                <w:highlight w:val="none"/>
              </w:rPr>
            </w:pPr>
          </w:p>
          <w:p w14:paraId="24E76CF4">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2"/>
                <w:szCs w:val="21"/>
                <w:highlight w:val="none"/>
              </w:rPr>
            </w:pPr>
          </w:p>
          <w:p w14:paraId="6E813902">
            <w:pPr>
              <w:keepNext w:val="0"/>
              <w:keepLines w:val="0"/>
              <w:suppressLineNumbers w:val="0"/>
              <w:autoSpaceDE w:val="0"/>
              <w:autoSpaceDN w:val="0"/>
              <w:adjustRightInd w:val="0"/>
              <w:spacing w:before="0" w:beforeAutospacing="0" w:after="0" w:afterAutospacing="0" w:line="360" w:lineRule="auto"/>
              <w:ind w:left="0" w:right="0"/>
              <w:outlineLvl w:val="0"/>
              <w:rPr>
                <w:rFonts w:hint="default" w:ascii="宋体" w:cs="宋体"/>
                <w:color w:val="auto"/>
                <w:kern w:val="0"/>
                <w:sz w:val="22"/>
                <w:szCs w:val="21"/>
                <w:highlight w:val="none"/>
              </w:rPr>
            </w:pPr>
          </w:p>
          <w:p w14:paraId="4E2AAA32">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F702E31">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653B844B">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7" w:name="_Toc40"/>
            <w:bookmarkStart w:id="58" w:name="_Toc243584346"/>
            <w:r>
              <w:rPr>
                <w:rFonts w:hint="eastAsia" w:ascii="宋体" w:hAnsi="宋体" w:cs="宋体"/>
                <w:color w:val="auto"/>
                <w:kern w:val="0"/>
                <w:sz w:val="24"/>
                <w:szCs w:val="21"/>
                <w:highlight w:val="none"/>
              </w:rPr>
              <w:t>项目名称：</w:t>
            </w:r>
            <w:bookmarkEnd w:id="57"/>
            <w:bookmarkEnd w:id="58"/>
          </w:p>
          <w:p w14:paraId="35BCA941">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23D66651">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59" w:name="_Toc3176"/>
            <w:bookmarkStart w:id="60"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59"/>
            <w:bookmarkEnd w:id="60"/>
          </w:p>
          <w:p w14:paraId="47CF2977">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61" w:name="_Toc9850"/>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61"/>
          </w:p>
          <w:p w14:paraId="3807A948">
            <w:pPr>
              <w:keepNext w:val="0"/>
              <w:keepLines w:val="0"/>
              <w:suppressLineNumbers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69B239B7">
      <w:pPr>
        <w:pStyle w:val="35"/>
        <w:spacing w:line="360" w:lineRule="auto"/>
        <w:jc w:val="center"/>
        <w:rPr>
          <w:rFonts w:ascii="宋体" w:hAnsi="宋体"/>
          <w:b/>
          <w:color w:val="auto"/>
          <w:sz w:val="28"/>
          <w:szCs w:val="28"/>
          <w:highlight w:val="none"/>
        </w:rPr>
      </w:pPr>
    </w:p>
    <w:p w14:paraId="5EC0CAB1">
      <w:pPr>
        <w:pStyle w:val="35"/>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07FEF219">
      <w:pPr>
        <w:pStyle w:val="35"/>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786734EE">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170788F4">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98D6062">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70DDC97">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hint="eastAsia" w:ascii="宋体" w:hAnsi="宋体"/>
          <w:color w:val="auto"/>
          <w:szCs w:val="21"/>
          <w:highlight w:val="none"/>
          <w:lang w:eastAsia="zh-CN"/>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1DBDEED">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eastAsia="zh-CN"/>
        </w:rPr>
        <w:t>中小企业声明函</w:t>
      </w:r>
      <w:r>
        <w:rPr>
          <w:rFonts w:hint="eastAsia" w:ascii="宋体" w:hAnsi="宋体"/>
          <w:b/>
          <w:bCs/>
          <w:color w:val="auto"/>
          <w:szCs w:val="21"/>
          <w:highlight w:val="none"/>
          <w:lang w:eastAsia="zh-CN"/>
        </w:rPr>
        <w:t>（必须提供中小企业声明函或《政府采购促进中小企业发展管理办法 财库〔2020〕46号》要求提供的证明文件，否则响应文件按无效响应处理）</w:t>
      </w:r>
    </w:p>
    <w:p w14:paraId="609B7E93">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1F67E232">
      <w:pPr>
        <w:pStyle w:val="35"/>
        <w:spacing w:line="360" w:lineRule="auto"/>
        <w:rPr>
          <w:rFonts w:ascii="宋体" w:hAnsi="宋体"/>
          <w:b/>
          <w:color w:val="auto"/>
          <w:sz w:val="28"/>
          <w:szCs w:val="28"/>
          <w:highlight w:val="none"/>
        </w:rPr>
      </w:pPr>
    </w:p>
    <w:p w14:paraId="0E8EB442">
      <w:pPr>
        <w:pStyle w:val="35"/>
        <w:spacing w:line="360" w:lineRule="auto"/>
        <w:rPr>
          <w:rFonts w:ascii="宋体" w:hAnsi="宋体"/>
          <w:b/>
          <w:color w:val="auto"/>
          <w:sz w:val="28"/>
          <w:szCs w:val="28"/>
          <w:highlight w:val="none"/>
        </w:rPr>
      </w:pPr>
    </w:p>
    <w:p w14:paraId="5F579A94">
      <w:pPr>
        <w:pStyle w:val="36"/>
        <w:rPr>
          <w:rFonts w:ascii="宋体" w:hAnsi="宋体"/>
          <w:b/>
          <w:color w:val="auto"/>
          <w:sz w:val="28"/>
          <w:szCs w:val="28"/>
          <w:highlight w:val="none"/>
        </w:rPr>
      </w:pPr>
    </w:p>
    <w:p w14:paraId="40736719">
      <w:pPr>
        <w:pStyle w:val="35"/>
        <w:rPr>
          <w:rFonts w:ascii="宋体" w:hAnsi="宋体"/>
          <w:b/>
          <w:color w:val="auto"/>
          <w:sz w:val="28"/>
          <w:szCs w:val="28"/>
          <w:highlight w:val="none"/>
        </w:rPr>
      </w:pPr>
    </w:p>
    <w:p w14:paraId="138136E4">
      <w:pPr>
        <w:pStyle w:val="36"/>
        <w:rPr>
          <w:rFonts w:ascii="宋体" w:hAnsi="宋体"/>
          <w:b/>
          <w:color w:val="auto"/>
          <w:sz w:val="28"/>
          <w:szCs w:val="28"/>
          <w:highlight w:val="none"/>
        </w:rPr>
      </w:pPr>
    </w:p>
    <w:p w14:paraId="283768A0">
      <w:pPr>
        <w:pStyle w:val="35"/>
        <w:rPr>
          <w:rFonts w:ascii="宋体" w:hAnsi="宋体"/>
          <w:b/>
          <w:color w:val="auto"/>
          <w:sz w:val="28"/>
          <w:szCs w:val="28"/>
          <w:highlight w:val="none"/>
        </w:rPr>
      </w:pPr>
    </w:p>
    <w:p w14:paraId="2791FE83">
      <w:pPr>
        <w:pStyle w:val="36"/>
        <w:rPr>
          <w:rFonts w:ascii="宋体" w:hAnsi="宋体"/>
          <w:b/>
          <w:color w:val="auto"/>
          <w:sz w:val="28"/>
          <w:szCs w:val="28"/>
          <w:highlight w:val="none"/>
        </w:rPr>
      </w:pPr>
    </w:p>
    <w:p w14:paraId="7BFA0414">
      <w:pPr>
        <w:pStyle w:val="35"/>
        <w:rPr>
          <w:rFonts w:ascii="宋体" w:hAnsi="宋体"/>
          <w:b/>
          <w:color w:val="auto"/>
          <w:sz w:val="28"/>
          <w:szCs w:val="28"/>
          <w:highlight w:val="none"/>
        </w:rPr>
      </w:pPr>
    </w:p>
    <w:p w14:paraId="664338B0">
      <w:pPr>
        <w:pStyle w:val="36"/>
        <w:rPr>
          <w:rFonts w:ascii="宋体" w:hAnsi="宋体"/>
          <w:b/>
          <w:color w:val="auto"/>
          <w:sz w:val="28"/>
          <w:szCs w:val="28"/>
          <w:highlight w:val="none"/>
        </w:rPr>
      </w:pPr>
    </w:p>
    <w:p w14:paraId="4BDFE597">
      <w:pPr>
        <w:pStyle w:val="35"/>
        <w:rPr>
          <w:rFonts w:ascii="宋体" w:hAnsi="宋体"/>
          <w:b/>
          <w:color w:val="auto"/>
          <w:sz w:val="28"/>
          <w:szCs w:val="28"/>
          <w:highlight w:val="none"/>
        </w:rPr>
      </w:pPr>
    </w:p>
    <w:p w14:paraId="1F6E49BF">
      <w:pPr>
        <w:pStyle w:val="36"/>
        <w:rPr>
          <w:rFonts w:ascii="宋体" w:hAnsi="宋体"/>
          <w:b/>
          <w:color w:val="auto"/>
          <w:sz w:val="28"/>
          <w:szCs w:val="28"/>
          <w:highlight w:val="none"/>
        </w:rPr>
      </w:pPr>
    </w:p>
    <w:p w14:paraId="7B549F68">
      <w:pPr>
        <w:pStyle w:val="35"/>
        <w:rPr>
          <w:rFonts w:ascii="宋体" w:hAnsi="宋体"/>
          <w:b/>
          <w:color w:val="auto"/>
          <w:sz w:val="28"/>
          <w:szCs w:val="28"/>
          <w:highlight w:val="none"/>
        </w:rPr>
      </w:pPr>
    </w:p>
    <w:p w14:paraId="3B4B0B99">
      <w:pPr>
        <w:pStyle w:val="36"/>
        <w:rPr>
          <w:rFonts w:ascii="宋体" w:hAnsi="宋体"/>
          <w:b/>
          <w:color w:val="auto"/>
          <w:sz w:val="28"/>
          <w:szCs w:val="28"/>
          <w:highlight w:val="none"/>
        </w:rPr>
      </w:pPr>
    </w:p>
    <w:p w14:paraId="6123C7C2">
      <w:pPr>
        <w:pStyle w:val="35"/>
        <w:rPr>
          <w:rFonts w:ascii="宋体" w:hAnsi="宋体"/>
          <w:b/>
          <w:color w:val="auto"/>
          <w:sz w:val="28"/>
          <w:szCs w:val="28"/>
          <w:highlight w:val="none"/>
        </w:rPr>
      </w:pPr>
    </w:p>
    <w:p w14:paraId="775D5DA6">
      <w:pPr>
        <w:pStyle w:val="36"/>
        <w:rPr>
          <w:rFonts w:ascii="宋体" w:hAnsi="宋体"/>
          <w:b/>
          <w:color w:val="auto"/>
          <w:sz w:val="28"/>
          <w:szCs w:val="28"/>
          <w:highlight w:val="none"/>
        </w:rPr>
      </w:pPr>
    </w:p>
    <w:p w14:paraId="3EF8D9C9">
      <w:pPr>
        <w:pStyle w:val="35"/>
        <w:rPr>
          <w:rFonts w:ascii="宋体" w:hAnsi="宋体"/>
          <w:b/>
          <w:color w:val="auto"/>
          <w:sz w:val="28"/>
          <w:szCs w:val="28"/>
          <w:highlight w:val="none"/>
        </w:rPr>
      </w:pPr>
    </w:p>
    <w:p w14:paraId="6ED0517F">
      <w:pPr>
        <w:pStyle w:val="36"/>
        <w:rPr>
          <w:rFonts w:ascii="宋体" w:hAnsi="宋体"/>
          <w:b/>
          <w:color w:val="auto"/>
          <w:sz w:val="28"/>
          <w:szCs w:val="28"/>
          <w:highlight w:val="none"/>
        </w:rPr>
      </w:pPr>
    </w:p>
    <w:p w14:paraId="7E66F73A">
      <w:pPr>
        <w:pStyle w:val="35"/>
        <w:rPr>
          <w:rFonts w:ascii="宋体" w:hAnsi="宋体"/>
          <w:b/>
          <w:color w:val="auto"/>
          <w:sz w:val="28"/>
          <w:szCs w:val="28"/>
          <w:highlight w:val="none"/>
        </w:rPr>
      </w:pPr>
    </w:p>
    <w:p w14:paraId="5D1B0F6C">
      <w:pPr>
        <w:pStyle w:val="36"/>
        <w:rPr>
          <w:rFonts w:ascii="宋体" w:hAnsi="宋体"/>
          <w:b/>
          <w:color w:val="auto"/>
          <w:sz w:val="28"/>
          <w:szCs w:val="28"/>
          <w:highlight w:val="none"/>
        </w:rPr>
      </w:pPr>
    </w:p>
    <w:p w14:paraId="75852A72">
      <w:pPr>
        <w:pStyle w:val="35"/>
        <w:rPr>
          <w:rFonts w:ascii="宋体" w:hAnsi="宋体"/>
          <w:b/>
          <w:color w:val="auto"/>
          <w:sz w:val="28"/>
          <w:szCs w:val="28"/>
          <w:highlight w:val="none"/>
        </w:rPr>
      </w:pPr>
    </w:p>
    <w:p w14:paraId="35F9B82A">
      <w:pPr>
        <w:pStyle w:val="36"/>
        <w:rPr>
          <w:color w:val="auto"/>
        </w:rPr>
      </w:pPr>
    </w:p>
    <w:p w14:paraId="200193E6">
      <w:pPr>
        <w:pStyle w:val="36"/>
        <w:rPr>
          <w:rFonts w:ascii="宋体" w:hAnsi="宋体"/>
          <w:b/>
          <w:color w:val="auto"/>
          <w:sz w:val="28"/>
          <w:szCs w:val="28"/>
          <w:highlight w:val="none"/>
        </w:rPr>
      </w:pPr>
    </w:p>
    <w:p w14:paraId="134C1A35">
      <w:pPr>
        <w:pStyle w:val="35"/>
        <w:rPr>
          <w:rFonts w:ascii="宋体" w:hAnsi="宋体"/>
          <w:b/>
          <w:color w:val="auto"/>
          <w:sz w:val="28"/>
          <w:szCs w:val="28"/>
          <w:highlight w:val="none"/>
        </w:rPr>
      </w:pPr>
    </w:p>
    <w:p w14:paraId="0328C6EB">
      <w:pPr>
        <w:pStyle w:val="36"/>
        <w:rPr>
          <w:color w:val="auto"/>
        </w:rPr>
      </w:pPr>
    </w:p>
    <w:p w14:paraId="353EE80C">
      <w:pPr>
        <w:pStyle w:val="35"/>
        <w:rPr>
          <w:color w:val="auto"/>
        </w:rPr>
      </w:pPr>
    </w:p>
    <w:p w14:paraId="0DF8FFD3">
      <w:pPr>
        <w:pStyle w:val="36"/>
      </w:pPr>
    </w:p>
    <w:p w14:paraId="663BA687">
      <w:pPr>
        <w:pStyle w:val="35"/>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763815B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u w:val="single"/>
          <w:lang w:val="en-US" w:eastAsia="zh-CN"/>
        </w:rPr>
      </w:pPr>
      <w:r>
        <w:rPr>
          <w:rFonts w:hint="eastAsia" w:ascii="宋体" w:hAnsi="宋体" w:eastAsia="宋体" w:cs="宋体"/>
          <w:color w:val="auto"/>
          <w:kern w:val="0"/>
          <w:sz w:val="22"/>
          <w:szCs w:val="22"/>
          <w:lang w:val="en-US" w:eastAsia="zh-CN" w:bidi="ar"/>
        </w:rPr>
        <w:t>致</w:t>
      </w:r>
      <w:r>
        <w:rPr>
          <w:rFonts w:hint="eastAsia" w:ascii="宋体" w:hAnsi="宋体" w:eastAsia="宋体" w:cs="宋体"/>
          <w:color w:val="auto"/>
          <w:kern w:val="0"/>
          <w:sz w:val="22"/>
          <w:szCs w:val="22"/>
          <w:u w:val="single"/>
          <w:lang w:val="en-US" w:eastAsia="zh-CN" w:bidi="ar"/>
        </w:rPr>
        <w:t>（采购代理机构名称）</w:t>
      </w:r>
      <w:r>
        <w:rPr>
          <w:rFonts w:hint="eastAsia" w:ascii="宋体" w:hAnsi="宋体" w:eastAsia="宋体" w:cs="宋体"/>
          <w:color w:val="auto"/>
          <w:kern w:val="0"/>
          <w:sz w:val="22"/>
          <w:szCs w:val="22"/>
          <w:u w:val="none"/>
          <w:lang w:val="en-US" w:eastAsia="zh-CN" w:bidi="ar"/>
        </w:rPr>
        <w:t>:</w:t>
      </w:r>
    </w:p>
    <w:p w14:paraId="02941723">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rPr>
      </w:pPr>
      <w:r>
        <w:rPr>
          <w:rFonts w:hint="eastAsia" w:ascii="宋体" w:hAnsi="宋体" w:eastAsia="宋体" w:cs="宋体"/>
          <w:color w:val="auto"/>
          <w:kern w:val="0"/>
          <w:sz w:val="22"/>
          <w:szCs w:val="22"/>
          <w:lang w:val="en-US" w:eastAsia="zh-CN" w:bidi="ar"/>
        </w:rPr>
        <w:t>我方自愿参加</w:t>
      </w:r>
      <w:r>
        <w:rPr>
          <w:rFonts w:hint="eastAsia" w:ascii="宋体" w:hAnsi="宋体" w:eastAsia="宋体" w:cs="宋体"/>
          <w:color w:val="auto"/>
          <w:kern w:val="0"/>
          <w:sz w:val="22"/>
          <w:szCs w:val="22"/>
          <w:u w:val="single"/>
          <w:lang w:val="en-US" w:eastAsia="zh-CN" w:bidi="ar"/>
        </w:rPr>
        <w:t xml:space="preserve"> （项目名称） 项目（项目编号：         ）</w:t>
      </w:r>
      <w:r>
        <w:rPr>
          <w:rFonts w:hint="eastAsia" w:ascii="宋体" w:hAnsi="宋体" w:eastAsia="宋体" w:cs="宋体"/>
          <w:color w:val="auto"/>
          <w:kern w:val="0"/>
          <w:sz w:val="22"/>
          <w:szCs w:val="22"/>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lang w:val="en-US" w:eastAsia="zh-CN" w:bidi="ar"/>
        </w:rPr>
        <w:t xml:space="preserve">： </w:t>
      </w:r>
    </w:p>
    <w:p w14:paraId="72E2C329">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1.我方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w:t>
      </w:r>
    </w:p>
    <w:p w14:paraId="04E7B866">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2.我方具有符合采购文件资格要求的财务状况报告。 </w:t>
      </w:r>
    </w:p>
    <w:p w14:paraId="52EB4E74">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rPr>
      </w:pPr>
      <w:r>
        <w:rPr>
          <w:rFonts w:hint="eastAsia" w:ascii="宋体" w:hAnsi="宋体" w:eastAsia="宋体" w:cs="宋体"/>
          <w:color w:val="auto"/>
          <w:spacing w:val="-6"/>
          <w:kern w:val="0"/>
          <w:sz w:val="22"/>
          <w:szCs w:val="22"/>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lang w:val="en-US" w:eastAsia="zh-CN" w:bidi="ar"/>
        </w:rPr>
        <w:t xml:space="preserve"> </w:t>
      </w:r>
    </w:p>
    <w:p w14:paraId="273A4A41">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4.我方具有符合采购文件资格要</w:t>
      </w:r>
      <w:r>
        <w:rPr>
          <w:rFonts w:hint="eastAsia" w:ascii="宋体" w:hAnsi="宋体" w:cs="宋体"/>
          <w:color w:val="auto"/>
          <w:kern w:val="0"/>
          <w:sz w:val="22"/>
          <w:szCs w:val="22"/>
          <w:lang w:val="en-US" w:eastAsia="zh-CN" w:bidi="ar"/>
        </w:rPr>
        <w:t>求和</w:t>
      </w:r>
      <w:r>
        <w:rPr>
          <w:rFonts w:hint="eastAsia" w:ascii="宋体" w:hAnsi="宋体" w:eastAsia="宋体" w:cs="宋体"/>
          <w:color w:val="auto"/>
          <w:kern w:val="0"/>
          <w:sz w:val="22"/>
          <w:szCs w:val="22"/>
          <w:lang w:val="en-US" w:eastAsia="zh-CN" w:bidi="ar"/>
        </w:rPr>
        <w:t xml:space="preserve">履行合同所必需的设备和专业技术能力。 </w:t>
      </w:r>
    </w:p>
    <w:p w14:paraId="43EE52E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5.我方参加政府采购活动前3年内在经营活动中没有重大违法记录。 </w:t>
      </w:r>
    </w:p>
    <w:p w14:paraId="68468AE3">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我方对以上承诺内容的真实性负责。如有虚假，将依法承担相应责任。</w:t>
      </w:r>
    </w:p>
    <w:p w14:paraId="75FFCDB3">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54D5604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lang w:val="en-US" w:eastAsia="zh-CN" w:bidi="ar"/>
        </w:rPr>
      </w:pPr>
    </w:p>
    <w:p w14:paraId="300A4FB2">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 xml:space="preserve">供应商名称（盖章）： </w:t>
      </w:r>
    </w:p>
    <w:p w14:paraId="6AF8F47D">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lang w:val="en-US" w:eastAsia="zh-CN" w:bidi="ar"/>
        </w:rPr>
      </w:pPr>
      <w:r>
        <w:rPr>
          <w:rFonts w:hint="eastAsia" w:ascii="宋体" w:hAnsi="宋体" w:eastAsia="宋体" w:cs="宋体"/>
          <w:color w:val="auto"/>
          <w:kern w:val="0"/>
          <w:sz w:val="22"/>
          <w:szCs w:val="22"/>
          <w:lang w:val="en-US" w:eastAsia="zh-CN" w:bidi="ar"/>
        </w:rPr>
        <w:t>日期：</w:t>
      </w:r>
    </w:p>
    <w:p w14:paraId="11BAB8A5">
      <w:pPr>
        <w:pStyle w:val="2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lang w:val="en-US" w:eastAsia="zh-CN" w:bidi="ar"/>
        </w:rPr>
      </w:pPr>
    </w:p>
    <w:p w14:paraId="3944E8D0">
      <w:pPr>
        <w:pStyle w:val="2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kern w:val="0"/>
          <w:sz w:val="22"/>
          <w:szCs w:val="22"/>
          <w:lang w:val="en-US" w:eastAsia="zh-CN" w:bidi="ar"/>
        </w:rPr>
        <w:t>注：1.</w:t>
      </w:r>
      <w:r>
        <w:rPr>
          <w:rFonts w:hint="eastAsia" w:ascii="宋体" w:hAnsi="宋体" w:eastAsia="宋体" w:cs="宋体"/>
          <w:i w:val="0"/>
          <w:iCs w:val="0"/>
          <w:caps w:val="0"/>
          <w:color w:val="auto"/>
          <w:spacing w:val="0"/>
          <w:sz w:val="22"/>
          <w:szCs w:val="22"/>
          <w:lang w:val="en-US" w:eastAsia="zh-CN"/>
        </w:rPr>
        <w:t>参与政府采购活动的供应商可按第1点的内容：“</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lang w:val="en-US" w:eastAsia="zh-CN" w:bidi="ar"/>
        </w:rPr>
        <w:t>我方</w:t>
      </w:r>
      <w:r>
        <w:rPr>
          <w:rFonts w:hint="eastAsia" w:ascii="宋体" w:hAnsi="宋体" w:eastAsia="宋体" w:cs="宋体"/>
          <w:color w:val="auto"/>
          <w:spacing w:val="6"/>
          <w:sz w:val="22"/>
          <w:szCs w:val="22"/>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u w:val="none"/>
          <w:lang w:val="en-US" w:eastAsia="zh-CN"/>
        </w:rPr>
        <w:t>只要第1点承诺的内容</w:t>
      </w:r>
      <w:r>
        <w:rPr>
          <w:rFonts w:hint="eastAsia" w:cs="宋体"/>
          <w:b w:val="0"/>
          <w:bCs w:val="0"/>
          <w:color w:val="auto"/>
          <w:spacing w:val="6"/>
          <w:sz w:val="22"/>
          <w:szCs w:val="22"/>
          <w:u w:val="none"/>
          <w:lang w:val="en-US" w:eastAsia="zh-CN"/>
        </w:rPr>
        <w:t>包含</w:t>
      </w:r>
      <w:r>
        <w:rPr>
          <w:rFonts w:hint="eastAsia" w:ascii="宋体" w:hAnsi="宋体" w:eastAsia="宋体" w:cs="宋体"/>
          <w:b w:val="0"/>
          <w:bCs w:val="0"/>
          <w:color w:val="auto"/>
          <w:spacing w:val="6"/>
          <w:sz w:val="22"/>
          <w:szCs w:val="22"/>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2"/>
          <w:szCs w:val="22"/>
          <w:lang w:val="en-US" w:eastAsia="zh-CN"/>
        </w:rPr>
        <w:t>2.第1点所指的行业特殊情况使用了“等”字表示列举未尽，即行业特殊情况包含但不限于银行、保险、石油石化、电力、电信。</w:t>
      </w:r>
    </w:p>
    <w:p w14:paraId="7F3F011C">
      <w:pPr>
        <w:numPr>
          <w:ilvl w:val="0"/>
          <w:numId w:val="0"/>
        </w:numPr>
        <w:snapToGrid w:val="0"/>
        <w:spacing w:beforeLines="50" w:after="50"/>
        <w:ind w:leftChars="0"/>
        <w:jc w:val="left"/>
        <w:rPr>
          <w:rFonts w:hint="eastAsia" w:ascii="宋体" w:hAnsi="宋体" w:eastAsia="宋体" w:cs="宋体"/>
          <w:b/>
          <w:color w:val="auto"/>
          <w:sz w:val="22"/>
          <w:szCs w:val="22"/>
        </w:rPr>
      </w:pPr>
    </w:p>
    <w:p w14:paraId="07EEC648">
      <w:pPr>
        <w:pStyle w:val="14"/>
        <w:rPr>
          <w:rFonts w:hint="eastAsia"/>
          <w:color w:val="auto"/>
        </w:rPr>
      </w:pPr>
    </w:p>
    <w:p w14:paraId="036A51FF">
      <w:pPr>
        <w:numPr>
          <w:ilvl w:val="0"/>
          <w:numId w:val="0"/>
        </w:numPr>
        <w:snapToGrid w:val="0"/>
        <w:spacing w:beforeLines="50" w:after="50"/>
        <w:ind w:leftChars="0"/>
        <w:jc w:val="left"/>
        <w:rPr>
          <w:rFonts w:hint="eastAsia" w:ascii="宋体" w:hAnsi="宋体" w:eastAsia="宋体" w:cs="宋体"/>
          <w:b/>
          <w:color w:val="auto"/>
          <w:sz w:val="22"/>
          <w:szCs w:val="22"/>
        </w:rPr>
      </w:pPr>
    </w:p>
    <w:p w14:paraId="211154EB">
      <w:pPr>
        <w:pStyle w:val="35"/>
        <w:spacing w:line="360" w:lineRule="auto"/>
        <w:rPr>
          <w:rFonts w:ascii="宋体" w:hAnsi="宋体"/>
          <w:b/>
          <w:color w:val="auto"/>
          <w:sz w:val="28"/>
          <w:szCs w:val="28"/>
          <w:highlight w:val="none"/>
        </w:rPr>
      </w:pPr>
    </w:p>
    <w:p w14:paraId="02309AC3">
      <w:pPr>
        <w:pStyle w:val="36"/>
        <w:rPr>
          <w:rFonts w:ascii="宋体" w:hAnsi="宋体"/>
          <w:b/>
          <w:color w:val="auto"/>
          <w:sz w:val="28"/>
          <w:szCs w:val="28"/>
          <w:highlight w:val="none"/>
        </w:rPr>
      </w:pPr>
    </w:p>
    <w:p w14:paraId="1C6EBDDF">
      <w:pPr>
        <w:pStyle w:val="35"/>
        <w:rPr>
          <w:rFonts w:ascii="宋体" w:hAnsi="宋体"/>
          <w:b/>
          <w:color w:val="auto"/>
          <w:sz w:val="28"/>
          <w:szCs w:val="28"/>
          <w:highlight w:val="none"/>
        </w:rPr>
      </w:pPr>
    </w:p>
    <w:p w14:paraId="4F6013C7">
      <w:pPr>
        <w:pStyle w:val="36"/>
        <w:rPr>
          <w:rFonts w:ascii="宋体" w:hAnsi="宋体"/>
          <w:b/>
          <w:color w:val="auto"/>
          <w:sz w:val="28"/>
          <w:szCs w:val="28"/>
          <w:highlight w:val="none"/>
        </w:rPr>
      </w:pPr>
    </w:p>
    <w:p w14:paraId="30275D69">
      <w:pPr>
        <w:pStyle w:val="35"/>
        <w:rPr>
          <w:rFonts w:ascii="宋体" w:hAnsi="宋体"/>
          <w:b/>
          <w:color w:val="auto"/>
          <w:sz w:val="28"/>
          <w:szCs w:val="28"/>
          <w:highlight w:val="none"/>
        </w:rPr>
      </w:pPr>
    </w:p>
    <w:p w14:paraId="1C79F335">
      <w:pPr>
        <w:pStyle w:val="36"/>
        <w:rPr>
          <w:color w:val="auto"/>
        </w:rPr>
      </w:pPr>
    </w:p>
    <w:p w14:paraId="7946C475">
      <w:pPr>
        <w:pStyle w:val="35"/>
        <w:spacing w:line="360" w:lineRule="auto"/>
        <w:rPr>
          <w:rFonts w:hint="eastAsia"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250A32EE">
      <w:pPr>
        <w:pStyle w:val="36"/>
        <w:rPr>
          <w:color w:val="auto"/>
          <w:highlight w:val="none"/>
        </w:rPr>
      </w:pPr>
    </w:p>
    <w:p w14:paraId="6FDA23BA">
      <w:pPr>
        <w:pStyle w:val="35"/>
        <w:numPr>
          <w:ilvl w:val="0"/>
          <w:numId w:val="0"/>
        </w:numP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2D7A7431">
      <w:pPr>
        <w:pStyle w:val="35"/>
        <w:rPr>
          <w:rFonts w:hint="eastAsia" w:ascii="宋体" w:hAnsi="宋体"/>
          <w:b/>
          <w:color w:val="auto"/>
          <w:sz w:val="24"/>
          <w:highlight w:val="none"/>
          <w:lang w:eastAsia="zh-CN"/>
        </w:rPr>
      </w:pPr>
    </w:p>
    <w:p w14:paraId="5BCB425E">
      <w:pPr>
        <w:pStyle w:val="36"/>
        <w:rPr>
          <w:rFonts w:hint="eastAsia" w:ascii="宋体" w:hAnsi="宋体"/>
          <w:b/>
          <w:color w:val="auto"/>
          <w:sz w:val="24"/>
          <w:highlight w:val="none"/>
          <w:lang w:eastAsia="zh-CN"/>
        </w:rPr>
      </w:pPr>
    </w:p>
    <w:p w14:paraId="3099B6CD">
      <w:pPr>
        <w:pStyle w:val="35"/>
        <w:numPr>
          <w:ilvl w:val="0"/>
          <w:numId w:val="0"/>
        </w:numP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4AF23D21">
      <w:pP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7"/>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9439F2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2709B9">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521BFD">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4C82729">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C4AB4C">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F23804">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368CA19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D71F2">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BE215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BB1549D">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2A924E">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DEA9D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3FBE916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8EA26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BCE551">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BA5720">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D7928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22795F">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1B480AA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559AD3">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51D62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3BF7C1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76C178">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46608B">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r w14:paraId="771D684D">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2F8634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A7BD3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4D45FE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03271CA">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DB6DC9">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16"/>
                <w:highlight w:val="none"/>
              </w:rPr>
            </w:pPr>
          </w:p>
        </w:tc>
      </w:tr>
    </w:tbl>
    <w:p w14:paraId="3F57ADE8">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71E1EA0">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w:t>
      </w:r>
      <w:r>
        <w:rPr>
          <w:rFonts w:hint="eastAsia" w:ascii="宋体" w:hAnsi="宋体"/>
          <w:color w:val="auto"/>
          <w:sz w:val="21"/>
          <w:szCs w:val="16"/>
          <w:highlight w:val="none"/>
          <w:lang w:eastAsia="zh-CN"/>
        </w:rPr>
        <w:t>股东会</w:t>
      </w:r>
      <w:r>
        <w:rPr>
          <w:rFonts w:hint="eastAsia" w:ascii="宋体" w:hAnsi="宋体"/>
          <w:color w:val="auto"/>
          <w:sz w:val="21"/>
          <w:szCs w:val="16"/>
          <w:highlight w:val="none"/>
        </w:rPr>
        <w:t>的决议产生重大影响的股东。</w:t>
      </w:r>
    </w:p>
    <w:p w14:paraId="712396D7">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53AA7704">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419784F5">
      <w:pPr>
        <w:snapToGrid w:val="0"/>
        <w:jc w:val="left"/>
        <w:rPr>
          <w:rFonts w:ascii="宋体" w:hAnsi="宋体"/>
          <w:color w:val="auto"/>
          <w:sz w:val="21"/>
          <w:szCs w:val="16"/>
          <w:highlight w:val="none"/>
        </w:rPr>
      </w:pPr>
    </w:p>
    <w:p w14:paraId="53643609">
      <w:pPr>
        <w:snapToGrid w:val="0"/>
        <w:jc w:val="left"/>
        <w:rPr>
          <w:rFonts w:ascii="宋体" w:hAnsi="宋体"/>
          <w:color w:val="auto"/>
          <w:sz w:val="21"/>
          <w:szCs w:val="16"/>
          <w:highlight w:val="none"/>
        </w:rPr>
      </w:pPr>
    </w:p>
    <w:p w14:paraId="25BE14FB">
      <w:pPr>
        <w:snapToGrid w:val="0"/>
        <w:jc w:val="left"/>
        <w:rPr>
          <w:rFonts w:ascii="宋体" w:hAnsi="宋体"/>
          <w:color w:val="auto"/>
          <w:sz w:val="21"/>
          <w:szCs w:val="16"/>
          <w:highlight w:val="none"/>
        </w:rPr>
      </w:pPr>
    </w:p>
    <w:p w14:paraId="675A2A4D">
      <w:pPr>
        <w:pStyle w:val="35"/>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154A900E">
      <w:pPr>
        <w:pStyle w:val="35"/>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负责人、自然人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745858ED">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0F3C7588">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7DAEA46C">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7"/>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622DBB76">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7C91B5D">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AA29D12">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1B1774D">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15EAD8">
            <w:pPr>
              <w:keepNext w:val="0"/>
              <w:keepLines w:val="0"/>
              <w:widowControl/>
              <w:suppressLineNumbers w:val="0"/>
              <w:spacing w:before="0" w:beforeAutospacing="0" w:after="0" w:afterAutospacing="0"/>
              <w:ind w:left="0" w:right="0"/>
              <w:jc w:val="center"/>
              <w:rPr>
                <w:rFonts w:hint="default"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3187E7F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C4F1C1">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4982FB">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F5662">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544EC">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5CBA034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6CA3A">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CA424B">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604FA9">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BB720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08DCCC6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E19596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EF3104">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16DEE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C7CC7A">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r w14:paraId="4B57D1F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562CF">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2F7D05">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8A1C6">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7F2FE">
            <w:pPr>
              <w:keepNext w:val="0"/>
              <w:keepLines w:val="0"/>
              <w:widowControl/>
              <w:suppressLineNumbers w:val="0"/>
              <w:wordWrap w:val="0"/>
              <w:spacing w:before="0" w:beforeAutospacing="0" w:after="0" w:afterAutospacing="0" w:line="200" w:lineRule="atLeast"/>
              <w:ind w:left="0" w:right="0"/>
              <w:jc w:val="center"/>
              <w:rPr>
                <w:rFonts w:hint="default" w:ascii="宋体" w:hAnsi="宋体" w:cs="宋体"/>
                <w:color w:val="auto"/>
                <w:sz w:val="21"/>
                <w:szCs w:val="21"/>
                <w:highlight w:val="none"/>
              </w:rPr>
            </w:pPr>
          </w:p>
        </w:tc>
      </w:tr>
    </w:tbl>
    <w:p w14:paraId="326A4D89">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A545CE3">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20D6B94E">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4A615F38">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41B1D2DD">
      <w:pPr>
        <w:snapToGrid w:val="0"/>
        <w:jc w:val="left"/>
        <w:rPr>
          <w:rFonts w:ascii="宋体" w:hAnsi="宋体"/>
          <w:color w:val="auto"/>
          <w:highlight w:val="none"/>
        </w:rPr>
      </w:pPr>
    </w:p>
    <w:p w14:paraId="48A50BA3">
      <w:pPr>
        <w:snapToGrid w:val="0"/>
        <w:jc w:val="left"/>
        <w:rPr>
          <w:rFonts w:ascii="宋体" w:hAnsi="宋体"/>
          <w:color w:val="auto"/>
          <w:highlight w:val="none"/>
        </w:rPr>
      </w:pPr>
    </w:p>
    <w:p w14:paraId="602F4510">
      <w:pPr>
        <w:snapToGrid w:val="0"/>
        <w:jc w:val="left"/>
        <w:rPr>
          <w:rFonts w:ascii="宋体" w:hAnsi="宋体"/>
          <w:color w:val="auto"/>
          <w:highlight w:val="none"/>
        </w:rPr>
      </w:pPr>
    </w:p>
    <w:p w14:paraId="5880B124">
      <w:pPr>
        <w:snapToGrid w:val="0"/>
        <w:jc w:val="left"/>
        <w:rPr>
          <w:color w:val="auto"/>
          <w:highlight w:val="none"/>
        </w:rPr>
      </w:pPr>
    </w:p>
    <w:p w14:paraId="59C75A10">
      <w:pPr>
        <w:snapToGrid w:val="0"/>
        <w:jc w:val="left"/>
        <w:rPr>
          <w:color w:val="auto"/>
          <w:highlight w:val="none"/>
        </w:rPr>
      </w:pPr>
    </w:p>
    <w:p w14:paraId="2D7EE671">
      <w:pPr>
        <w:snapToGrid w:val="0"/>
        <w:jc w:val="left"/>
        <w:rPr>
          <w:color w:val="auto"/>
          <w:highlight w:val="none"/>
        </w:rPr>
      </w:pPr>
    </w:p>
    <w:p w14:paraId="2690C81B">
      <w:pPr>
        <w:snapToGrid w:val="0"/>
        <w:jc w:val="left"/>
        <w:rPr>
          <w:rFonts w:ascii="宋体" w:hAnsi="宋体"/>
          <w:color w:val="auto"/>
          <w:szCs w:val="21"/>
          <w:highlight w:val="none"/>
        </w:rPr>
      </w:pPr>
    </w:p>
    <w:p w14:paraId="3A9F994A">
      <w:pPr>
        <w:pStyle w:val="35"/>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83EE0D5">
      <w:pPr>
        <w:pStyle w:val="35"/>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负责人、自然人</w:t>
      </w:r>
      <w:r>
        <w:rPr>
          <w:rFonts w:hint="eastAsia" w:ascii="宋体" w:hAnsi="宋体"/>
          <w:color w:val="auto"/>
          <w:sz w:val="21"/>
          <w:szCs w:val="21"/>
          <w:highlight w:val="none"/>
          <w:lang w:eastAsia="zh-CN"/>
        </w:rPr>
        <w:t>）</w:t>
      </w:r>
      <w:r>
        <w:rPr>
          <w:rFonts w:hint="eastAsia" w:ascii="宋体" w:hAnsi="宋体"/>
          <w:color w:val="auto"/>
          <w:sz w:val="21"/>
          <w:szCs w:val="21"/>
          <w:highlight w:val="none"/>
        </w:rPr>
        <w:t>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A86EABF">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45A9AF30">
      <w:pPr>
        <w:pStyle w:val="16"/>
        <w:spacing w:line="460" w:lineRule="exact"/>
        <w:ind w:firstLine="420"/>
        <w:rPr>
          <w:rFonts w:hint="eastAsia"/>
          <w:color w:val="auto"/>
          <w:szCs w:val="21"/>
          <w:highlight w:val="none"/>
          <w:u w:val="single"/>
        </w:rPr>
      </w:pPr>
    </w:p>
    <w:p w14:paraId="20863476">
      <w:pPr>
        <w:pStyle w:val="36"/>
        <w:rPr>
          <w:rFonts w:hint="eastAsia"/>
          <w:color w:val="auto"/>
          <w:highlight w:val="none"/>
        </w:rPr>
      </w:pPr>
    </w:p>
    <w:p w14:paraId="2A83C65A">
      <w:pPr>
        <w:pStyle w:val="35"/>
        <w:rPr>
          <w:rFonts w:hint="eastAsia"/>
          <w:color w:val="auto"/>
          <w:highlight w:val="none"/>
        </w:rPr>
      </w:pPr>
    </w:p>
    <w:p w14:paraId="07F7F4D4">
      <w:pPr>
        <w:pStyle w:val="36"/>
        <w:rPr>
          <w:rFonts w:hint="eastAsia"/>
          <w:color w:val="auto"/>
          <w:highlight w:val="none"/>
        </w:rPr>
      </w:pPr>
    </w:p>
    <w:p w14:paraId="36818150">
      <w:pPr>
        <w:pStyle w:val="35"/>
        <w:rPr>
          <w:rFonts w:hint="eastAsia"/>
          <w:color w:val="auto"/>
          <w:highlight w:val="none"/>
        </w:rPr>
      </w:pPr>
    </w:p>
    <w:p w14:paraId="16829C47">
      <w:pPr>
        <w:pStyle w:val="36"/>
        <w:rPr>
          <w:rFonts w:hint="eastAsia"/>
          <w:color w:val="auto"/>
          <w:highlight w:val="none"/>
        </w:rPr>
      </w:pPr>
    </w:p>
    <w:p w14:paraId="18C58591">
      <w:pPr>
        <w:pStyle w:val="35"/>
        <w:rPr>
          <w:rFonts w:hint="eastAsia"/>
          <w:color w:val="auto"/>
          <w:highlight w:val="none"/>
        </w:rPr>
      </w:pPr>
    </w:p>
    <w:p w14:paraId="11627654">
      <w:pPr>
        <w:pStyle w:val="36"/>
        <w:rPr>
          <w:rFonts w:hint="eastAsia"/>
          <w:color w:val="auto"/>
          <w:highlight w:val="none"/>
        </w:rPr>
      </w:pPr>
    </w:p>
    <w:p w14:paraId="064A9EC1">
      <w:pPr>
        <w:pStyle w:val="35"/>
        <w:rPr>
          <w:rFonts w:hint="eastAsia"/>
          <w:color w:val="auto"/>
          <w:highlight w:val="none"/>
        </w:rPr>
      </w:pPr>
    </w:p>
    <w:p w14:paraId="6653F8E7">
      <w:pPr>
        <w:pStyle w:val="36"/>
        <w:rPr>
          <w:rFonts w:hint="eastAsia"/>
          <w:color w:val="auto"/>
          <w:highlight w:val="none"/>
        </w:rPr>
      </w:pPr>
    </w:p>
    <w:p w14:paraId="7B03AE7A">
      <w:pPr>
        <w:pStyle w:val="35"/>
        <w:rPr>
          <w:rFonts w:hint="eastAsia"/>
          <w:color w:val="auto"/>
          <w:highlight w:val="none"/>
        </w:rPr>
      </w:pPr>
    </w:p>
    <w:p w14:paraId="5ECAD958">
      <w:pPr>
        <w:pStyle w:val="36"/>
        <w:rPr>
          <w:rFonts w:hint="eastAsia"/>
          <w:color w:val="auto"/>
          <w:highlight w:val="none"/>
        </w:rPr>
      </w:pPr>
    </w:p>
    <w:p w14:paraId="30D65AC4">
      <w:pPr>
        <w:pStyle w:val="35"/>
        <w:rPr>
          <w:rFonts w:hint="eastAsia"/>
          <w:color w:val="auto"/>
          <w:highlight w:val="none"/>
        </w:rPr>
      </w:pPr>
    </w:p>
    <w:p w14:paraId="054D41BB">
      <w:pPr>
        <w:pStyle w:val="36"/>
        <w:rPr>
          <w:rFonts w:hint="eastAsia"/>
          <w:color w:val="auto"/>
          <w:highlight w:val="none"/>
        </w:rPr>
      </w:pPr>
    </w:p>
    <w:p w14:paraId="6EA25D1A">
      <w:pPr>
        <w:pStyle w:val="35"/>
        <w:rPr>
          <w:rFonts w:hint="eastAsia"/>
          <w:color w:val="auto"/>
          <w:highlight w:val="none"/>
        </w:rPr>
      </w:pPr>
    </w:p>
    <w:p w14:paraId="5371EA70">
      <w:pPr>
        <w:pStyle w:val="36"/>
        <w:rPr>
          <w:rFonts w:hint="eastAsia"/>
          <w:color w:val="auto"/>
          <w:highlight w:val="none"/>
        </w:rPr>
      </w:pPr>
    </w:p>
    <w:p w14:paraId="6FC40F0C">
      <w:pPr>
        <w:pStyle w:val="35"/>
        <w:rPr>
          <w:rFonts w:hint="eastAsia"/>
          <w:color w:val="auto"/>
          <w:highlight w:val="none"/>
        </w:rPr>
      </w:pPr>
    </w:p>
    <w:p w14:paraId="739DE811">
      <w:pPr>
        <w:pStyle w:val="35"/>
        <w:numPr>
          <w:ilvl w:val="0"/>
          <w:numId w:val="4"/>
        </w:numP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中小企业声明函或《政府采购促进中小企业发展管理办法 财库〔2020〕46号》要求提供的证明文件（必须提供，否则竞标无效）。</w:t>
      </w:r>
    </w:p>
    <w:p w14:paraId="1AB19F09">
      <w:pPr>
        <w:pStyle w:val="36"/>
        <w:widowControl w:val="0"/>
        <w:numPr>
          <w:ilvl w:val="0"/>
          <w:numId w:val="0"/>
        </w:numPr>
        <w:jc w:val="both"/>
        <w:rPr>
          <w:color w:val="auto"/>
          <w:highlight w:val="none"/>
        </w:rPr>
      </w:pPr>
    </w:p>
    <w:p w14:paraId="3B321597">
      <w:pPr>
        <w:jc w:val="center"/>
        <w:rPr>
          <w:rFonts w:hint="eastAsia"/>
          <w:color w:val="auto"/>
          <w:highlight w:val="none"/>
        </w:rPr>
      </w:pPr>
    </w:p>
    <w:p w14:paraId="1E3E6259">
      <w:pP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78B0F69">
      <w:pPr>
        <w:pStyle w:val="23"/>
        <w:shd w:val="clear" w:color="auto" w:fill="FFFFFF"/>
        <w:spacing w:before="0" w:beforeAutospacing="0" w:after="0" w:afterAutospacing="0" w:line="460" w:lineRule="exact"/>
        <w:ind w:firstLine="420" w:firstLineChars="200"/>
        <w:rPr>
          <w:rFonts w:hint="eastAsia"/>
          <w:color w:val="auto"/>
          <w:sz w:val="21"/>
          <w:szCs w:val="21"/>
          <w:highlight w:val="none"/>
        </w:rPr>
      </w:pPr>
    </w:p>
    <w:p w14:paraId="18EFC8C4">
      <w:pPr>
        <w:pStyle w:val="23"/>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2F8C2D8A">
      <w:pPr>
        <w:pStyle w:val="23"/>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1F07E41E">
      <w:pPr>
        <w:pStyle w:val="23"/>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32FBECEF">
      <w:pPr>
        <w:pStyle w:val="23"/>
        <w:shd w:val="clear" w:color="auto" w:fill="FFFFFF"/>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7930AB4">
      <w:pPr>
        <w:pStyle w:val="23"/>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3E700D02">
      <w:pPr>
        <w:pStyle w:val="23"/>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3A9F39D5">
      <w:pPr>
        <w:pStyle w:val="23"/>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3C97D634">
      <w:pPr>
        <w:pStyle w:val="23"/>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2F05886F">
      <w:pPr>
        <w:pStyle w:val="23"/>
        <w:shd w:val="clear" w:color="auto" w:fill="FFFFFF"/>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68324269">
      <w:pPr>
        <w:pStyle w:val="23"/>
        <w:shd w:val="clear" w:color="auto" w:fill="FFFFFF"/>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 期：</w:t>
      </w:r>
    </w:p>
    <w:p w14:paraId="2C78349E">
      <w:pPr>
        <w:pStyle w:val="23"/>
        <w:shd w:val="clear" w:color="auto" w:fill="FFFFFF"/>
        <w:spacing w:before="0" w:beforeAutospacing="0" w:after="0" w:afterAutospacing="0" w:line="460" w:lineRule="exact"/>
        <w:ind w:firstLine="539"/>
        <w:rPr>
          <w:rFonts w:hint="eastAsia"/>
          <w:color w:val="auto"/>
          <w:sz w:val="21"/>
          <w:szCs w:val="21"/>
          <w:highlight w:val="none"/>
        </w:rPr>
      </w:pPr>
    </w:p>
    <w:p w14:paraId="0C14061C">
      <w:pPr>
        <w:pStyle w:val="23"/>
        <w:shd w:val="clear" w:color="auto" w:fill="FFFFFF"/>
        <w:spacing w:before="0" w:beforeAutospacing="0" w:after="0" w:afterAutospacing="0" w:line="460" w:lineRule="exact"/>
        <w:ind w:firstLine="539"/>
        <w:rPr>
          <w:rFonts w:hint="eastAsia"/>
          <w:color w:val="auto"/>
          <w:sz w:val="21"/>
          <w:szCs w:val="21"/>
          <w:highlight w:val="none"/>
        </w:rPr>
      </w:pPr>
    </w:p>
    <w:p w14:paraId="02E91627">
      <w:pPr>
        <w:pStyle w:val="23"/>
        <w:shd w:val="clear" w:color="auto" w:fill="FFFFFF"/>
        <w:spacing w:before="0" w:beforeAutospacing="0" w:after="0" w:afterAutospacing="0" w:line="460" w:lineRule="exact"/>
        <w:ind w:firstLine="539"/>
        <w:rPr>
          <w:rFonts w:hint="eastAsia"/>
          <w:color w:val="auto"/>
          <w:sz w:val="21"/>
          <w:szCs w:val="21"/>
          <w:highlight w:val="none"/>
        </w:rPr>
      </w:pPr>
    </w:p>
    <w:p w14:paraId="28851E83">
      <w:pPr>
        <w:pStyle w:val="23"/>
        <w:shd w:val="clear" w:color="auto" w:fill="FFFFFF"/>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30673540">
      <w:pPr>
        <w:pStyle w:val="36"/>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4AEC29C7">
      <w:pPr>
        <w:rPr>
          <w:rFonts w:hint="eastAsia"/>
          <w:color w:val="auto"/>
          <w:highlight w:val="none"/>
        </w:rPr>
      </w:pPr>
    </w:p>
    <w:p w14:paraId="5B7BB34B">
      <w:pPr>
        <w:pStyle w:val="40"/>
        <w:shd w:val="clear" w:color="auto" w:fill="FFFFFF"/>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7AD5B0A8">
      <w:pPr>
        <w:pStyle w:val="23"/>
        <w:shd w:val="clear" w:color="auto" w:fill="FFFFFF"/>
        <w:spacing w:before="0" w:beforeAutospacing="0" w:after="0" w:afterAutospacing="0" w:line="460" w:lineRule="exact"/>
        <w:ind w:firstLine="539"/>
        <w:rPr>
          <w:rFonts w:hint="eastAsia"/>
          <w:color w:val="auto"/>
          <w:highlight w:val="none"/>
        </w:rPr>
      </w:pPr>
    </w:p>
    <w:p w14:paraId="5C14E0C7">
      <w:pPr>
        <w:pStyle w:val="23"/>
        <w:shd w:val="clear" w:color="auto" w:fill="FFFFFF"/>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单位的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18D56A4E">
      <w:pPr>
        <w:pStyle w:val="23"/>
        <w:shd w:val="clear" w:color="auto" w:fill="FFFFFF"/>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4F2B6318">
      <w:pPr>
        <w:pStyle w:val="23"/>
        <w:shd w:val="clear" w:color="auto" w:fill="FFFFFF"/>
        <w:spacing w:before="0" w:beforeAutospacing="0" w:after="0" w:afterAutospacing="0" w:line="460" w:lineRule="exact"/>
        <w:ind w:firstLine="539"/>
        <w:rPr>
          <w:rFonts w:hint="eastAsia"/>
          <w:color w:val="auto"/>
          <w:sz w:val="21"/>
          <w:szCs w:val="21"/>
          <w:highlight w:val="none"/>
        </w:rPr>
      </w:pPr>
    </w:p>
    <w:p w14:paraId="0679A450">
      <w:pPr>
        <w:pStyle w:val="23"/>
        <w:shd w:val="clear" w:color="auto" w:fill="FFFFFF"/>
        <w:spacing w:before="0" w:beforeAutospacing="0" w:after="0" w:afterAutospacing="0" w:line="460" w:lineRule="exact"/>
        <w:ind w:firstLine="539"/>
        <w:rPr>
          <w:rFonts w:hint="eastAsia"/>
          <w:color w:val="auto"/>
          <w:sz w:val="21"/>
          <w:szCs w:val="21"/>
          <w:highlight w:val="none"/>
        </w:rPr>
      </w:pPr>
    </w:p>
    <w:p w14:paraId="1C38E12F">
      <w:pPr>
        <w:pStyle w:val="23"/>
        <w:shd w:val="clear" w:color="auto" w:fill="FFFFFF"/>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541A094A">
      <w:pPr>
        <w:pStyle w:val="23"/>
        <w:shd w:val="clear" w:color="auto" w:fill="FFFFFF"/>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06894319">
      <w:pPr>
        <w:pStyle w:val="35"/>
        <w:spacing w:line="360" w:lineRule="auto"/>
        <w:rPr>
          <w:rFonts w:ascii="宋体" w:hAnsi="宋体"/>
          <w:b/>
          <w:color w:val="auto"/>
          <w:sz w:val="48"/>
          <w:szCs w:val="48"/>
          <w:highlight w:val="none"/>
        </w:rPr>
      </w:pPr>
    </w:p>
    <w:p w14:paraId="2EE9074B">
      <w:pPr>
        <w:pStyle w:val="36"/>
        <w:rPr>
          <w:rFonts w:ascii="宋体" w:hAnsi="宋体"/>
          <w:b/>
          <w:color w:val="auto"/>
          <w:sz w:val="48"/>
          <w:szCs w:val="48"/>
          <w:highlight w:val="none"/>
        </w:rPr>
      </w:pPr>
    </w:p>
    <w:p w14:paraId="6F0E87AA">
      <w:pPr>
        <w:pStyle w:val="35"/>
        <w:rPr>
          <w:rFonts w:ascii="宋体" w:hAnsi="宋体"/>
          <w:b/>
          <w:color w:val="auto"/>
          <w:sz w:val="48"/>
          <w:szCs w:val="48"/>
          <w:highlight w:val="none"/>
        </w:rPr>
      </w:pPr>
    </w:p>
    <w:p w14:paraId="4DB23995">
      <w:pPr>
        <w:pStyle w:val="36"/>
        <w:rPr>
          <w:rFonts w:ascii="宋体" w:hAnsi="宋体"/>
          <w:b/>
          <w:color w:val="auto"/>
          <w:sz w:val="48"/>
          <w:szCs w:val="48"/>
          <w:highlight w:val="none"/>
        </w:rPr>
      </w:pPr>
    </w:p>
    <w:p w14:paraId="576B8B8E">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5D38EB58">
      <w:pPr>
        <w:pStyle w:val="35"/>
        <w:rPr>
          <w:rFonts w:ascii="宋体" w:hAnsi="宋体"/>
          <w:b/>
          <w:color w:val="auto"/>
          <w:sz w:val="48"/>
          <w:szCs w:val="48"/>
          <w:highlight w:val="none"/>
        </w:rPr>
      </w:pPr>
    </w:p>
    <w:p w14:paraId="6BC4D0CD">
      <w:pPr>
        <w:pStyle w:val="36"/>
        <w:rPr>
          <w:rFonts w:ascii="宋体" w:hAnsi="宋体"/>
          <w:b/>
          <w:color w:val="auto"/>
          <w:sz w:val="48"/>
          <w:szCs w:val="48"/>
          <w:highlight w:val="none"/>
        </w:rPr>
      </w:pPr>
    </w:p>
    <w:p w14:paraId="416EF8BD">
      <w:pPr>
        <w:pStyle w:val="35"/>
        <w:rPr>
          <w:rFonts w:ascii="宋体" w:hAnsi="宋体"/>
          <w:b/>
          <w:color w:val="auto"/>
          <w:sz w:val="48"/>
          <w:szCs w:val="48"/>
          <w:highlight w:val="none"/>
        </w:rPr>
      </w:pPr>
    </w:p>
    <w:p w14:paraId="5D44B880">
      <w:pPr>
        <w:pStyle w:val="36"/>
        <w:rPr>
          <w:rFonts w:ascii="宋体" w:hAnsi="宋体"/>
          <w:b/>
          <w:color w:val="auto"/>
          <w:sz w:val="48"/>
          <w:szCs w:val="48"/>
          <w:highlight w:val="none"/>
        </w:rPr>
      </w:pPr>
    </w:p>
    <w:p w14:paraId="7D3E6B6A">
      <w:pPr>
        <w:pStyle w:val="35"/>
        <w:rPr>
          <w:rFonts w:ascii="宋体" w:hAnsi="宋体"/>
          <w:b/>
          <w:color w:val="auto"/>
          <w:sz w:val="48"/>
          <w:szCs w:val="48"/>
          <w:highlight w:val="none"/>
        </w:rPr>
      </w:pPr>
    </w:p>
    <w:p w14:paraId="4D31B988">
      <w:pPr>
        <w:pStyle w:val="36"/>
        <w:rPr>
          <w:color w:val="auto"/>
        </w:rPr>
      </w:pPr>
    </w:p>
    <w:p w14:paraId="70B93C0A">
      <w:pPr>
        <w:pStyle w:val="36"/>
        <w:rPr>
          <w:rFonts w:ascii="宋体" w:hAnsi="宋体"/>
          <w:b/>
          <w:color w:val="auto"/>
          <w:sz w:val="48"/>
          <w:szCs w:val="48"/>
          <w:highlight w:val="none"/>
        </w:rPr>
      </w:pPr>
    </w:p>
    <w:p w14:paraId="5F262D29">
      <w:pPr>
        <w:pStyle w:val="35"/>
        <w:rPr>
          <w:color w:val="auto"/>
          <w:highlight w:val="none"/>
        </w:rPr>
      </w:pPr>
    </w:p>
    <w:p w14:paraId="10DB3EEC">
      <w:pPr>
        <w:pStyle w:val="36"/>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6F10151C">
      <w:pPr>
        <w:pStyle w:val="35"/>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5469F71F">
      <w:pPr>
        <w:pStyle w:val="36"/>
        <w:rPr>
          <w:rFonts w:hint="eastAsia"/>
          <w:color w:val="auto"/>
          <w:highlight w:val="none"/>
          <w:lang w:eastAsia="zh-CN"/>
        </w:rPr>
      </w:pPr>
    </w:p>
    <w:p w14:paraId="757C5C1C">
      <w:pPr>
        <w:pStyle w:val="35"/>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3F4A01F1">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0B651F3E">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451739E">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0BF5D84D">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4CA4A2D4">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w:t>
      </w:r>
      <w:r>
        <w:rPr>
          <w:rFonts w:hint="eastAsia" w:ascii="宋体" w:hAnsi="宋体" w:cs="宋体"/>
          <w:color w:val="auto"/>
          <w:sz w:val="21"/>
          <w:szCs w:val="21"/>
          <w:highlight w:val="none"/>
          <w:lang w:eastAsia="zh-CN"/>
        </w:rPr>
        <w:t>二〇一一</w:t>
      </w:r>
      <w:r>
        <w:rPr>
          <w:rFonts w:hint="eastAsia" w:ascii="宋体" w:hAnsi="宋体" w:eastAsia="宋体" w:cs="宋体"/>
          <w:color w:val="auto"/>
          <w:sz w:val="21"/>
          <w:szCs w:val="21"/>
          <w:highlight w:val="none"/>
          <w:lang w:eastAsia="zh-CN"/>
        </w:rPr>
        <w:t>年六月十八日中小企业划型标准规定　　一、根据《中华人民共和国中小企业促进法》和《国务院关于进一步促进中小企业发展的若干意见》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国发〔2009〕36号</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，制定本规定。</w:t>
      </w:r>
    </w:p>
    <w:p w14:paraId="201C2D35">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10E9B241">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44DC287">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9E5005D">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46499DE2">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79AA276">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2BD553C">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429082">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64457BF">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AAB6AA3">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30F249A">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D3DBBE">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7397CAA">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6F344BB">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C4B3194">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DC165A0">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EFA1E53">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D99BCC">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6FB6E7F4">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0F010DD2">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6CACAE47">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09401330">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0ACCC141">
      <w:pPr>
        <w:pStyle w:val="35"/>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59416D6C">
      <w:pPr>
        <w:pStyle w:val="35"/>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66AF20C9">
      <w:pPr>
        <w:pStyle w:val="35"/>
        <w:spacing w:line="360" w:lineRule="auto"/>
        <w:rPr>
          <w:rFonts w:hint="eastAsia" w:ascii="宋体" w:hAnsi="宋体" w:eastAsia="宋体" w:cs="宋体"/>
          <w:color w:val="auto"/>
          <w:sz w:val="21"/>
          <w:szCs w:val="21"/>
          <w:highlight w:val="none"/>
          <w:lang w:eastAsia="zh-CN"/>
        </w:rPr>
      </w:pPr>
    </w:p>
    <w:p w14:paraId="22F96656">
      <w:pPr>
        <w:pStyle w:val="48"/>
        <w:rPr>
          <w:color w:val="auto"/>
          <w:highlight w:val="none"/>
        </w:rPr>
      </w:pPr>
    </w:p>
    <w:p w14:paraId="2E7470EB">
      <w:pPr>
        <w:pStyle w:val="35"/>
        <w:rPr>
          <w:color w:val="auto"/>
          <w:highlight w:val="none"/>
        </w:rPr>
      </w:pPr>
    </w:p>
    <w:p w14:paraId="560FDC47">
      <w:pPr>
        <w:pStyle w:val="36"/>
        <w:rPr>
          <w:color w:val="auto"/>
          <w:highlight w:val="none"/>
        </w:rPr>
      </w:pPr>
    </w:p>
    <w:p w14:paraId="24D53AF6">
      <w:pPr>
        <w:pStyle w:val="35"/>
        <w:rPr>
          <w:color w:val="auto"/>
          <w:highlight w:val="none"/>
        </w:rPr>
      </w:pPr>
    </w:p>
    <w:p w14:paraId="4D3C83E6">
      <w:pPr>
        <w:pStyle w:val="36"/>
        <w:rPr>
          <w:color w:val="auto"/>
          <w:highlight w:val="none"/>
        </w:rPr>
      </w:pPr>
    </w:p>
    <w:p w14:paraId="3F8A32ED">
      <w:pPr>
        <w:pStyle w:val="35"/>
        <w:rPr>
          <w:color w:val="auto"/>
          <w:highlight w:val="none"/>
        </w:rPr>
      </w:pPr>
    </w:p>
    <w:p w14:paraId="05E493C0">
      <w:pPr>
        <w:pStyle w:val="36"/>
        <w:rPr>
          <w:color w:val="auto"/>
          <w:highlight w:val="none"/>
        </w:rPr>
      </w:pPr>
    </w:p>
    <w:p w14:paraId="44BA5B7F">
      <w:pPr>
        <w:pStyle w:val="35"/>
        <w:rPr>
          <w:color w:val="auto"/>
          <w:highlight w:val="none"/>
        </w:rPr>
      </w:pPr>
    </w:p>
    <w:p w14:paraId="052EE474">
      <w:pPr>
        <w:pStyle w:val="36"/>
        <w:rPr>
          <w:color w:val="auto"/>
          <w:highlight w:val="none"/>
        </w:rPr>
      </w:pPr>
    </w:p>
    <w:p w14:paraId="3C9B27AB">
      <w:pPr>
        <w:pStyle w:val="35"/>
        <w:rPr>
          <w:color w:val="auto"/>
          <w:highlight w:val="none"/>
        </w:rPr>
      </w:pPr>
    </w:p>
    <w:p w14:paraId="6A495387">
      <w:pPr>
        <w:pStyle w:val="36"/>
        <w:rPr>
          <w:color w:val="auto"/>
          <w:highlight w:val="none"/>
        </w:rPr>
      </w:pPr>
    </w:p>
    <w:p w14:paraId="59BDE0D6">
      <w:pPr>
        <w:pStyle w:val="35"/>
        <w:rPr>
          <w:color w:val="auto"/>
          <w:highlight w:val="none"/>
        </w:rPr>
      </w:pPr>
    </w:p>
    <w:p w14:paraId="5BB31B95">
      <w:pPr>
        <w:pStyle w:val="36"/>
        <w:rPr>
          <w:color w:val="auto"/>
          <w:highlight w:val="none"/>
        </w:rPr>
      </w:pPr>
    </w:p>
    <w:p w14:paraId="3D410195">
      <w:pPr>
        <w:pStyle w:val="35"/>
        <w:rPr>
          <w:color w:val="auto"/>
          <w:highlight w:val="none"/>
        </w:rPr>
      </w:pPr>
    </w:p>
    <w:p w14:paraId="0A7980E6">
      <w:pPr>
        <w:pStyle w:val="36"/>
        <w:rPr>
          <w:color w:val="auto"/>
          <w:highlight w:val="none"/>
        </w:rPr>
      </w:pPr>
    </w:p>
    <w:p w14:paraId="62D4C267">
      <w:pPr>
        <w:pStyle w:val="35"/>
        <w:rPr>
          <w:color w:val="auto"/>
          <w:highlight w:val="none"/>
        </w:rPr>
      </w:pPr>
    </w:p>
    <w:p w14:paraId="2B337A4E">
      <w:pPr>
        <w:pStyle w:val="36"/>
        <w:rPr>
          <w:color w:val="auto"/>
          <w:highlight w:val="none"/>
        </w:rPr>
      </w:pPr>
    </w:p>
    <w:p w14:paraId="382E68F0">
      <w:pPr>
        <w:pStyle w:val="35"/>
        <w:rPr>
          <w:color w:val="auto"/>
          <w:highlight w:val="none"/>
        </w:rPr>
      </w:pPr>
    </w:p>
    <w:p w14:paraId="17DDDCF5">
      <w:pPr>
        <w:pStyle w:val="36"/>
        <w:rPr>
          <w:color w:val="auto"/>
          <w:highlight w:val="none"/>
        </w:rPr>
      </w:pPr>
    </w:p>
    <w:p w14:paraId="370E9FBD">
      <w:pPr>
        <w:pStyle w:val="35"/>
        <w:rPr>
          <w:color w:val="auto"/>
          <w:highlight w:val="none"/>
        </w:rPr>
      </w:pPr>
    </w:p>
    <w:p w14:paraId="30EE853B">
      <w:pPr>
        <w:pStyle w:val="36"/>
        <w:rPr>
          <w:color w:val="auto"/>
          <w:highlight w:val="none"/>
        </w:rPr>
      </w:pPr>
    </w:p>
    <w:p w14:paraId="65D84A87">
      <w:pPr>
        <w:pStyle w:val="35"/>
        <w:rPr>
          <w:color w:val="auto"/>
          <w:highlight w:val="none"/>
        </w:rPr>
      </w:pPr>
    </w:p>
    <w:p w14:paraId="07B8144B">
      <w:pPr>
        <w:pStyle w:val="36"/>
        <w:rPr>
          <w:color w:val="auto"/>
          <w:highlight w:val="none"/>
        </w:rPr>
      </w:pPr>
    </w:p>
    <w:p w14:paraId="4088495A">
      <w:pPr>
        <w:pStyle w:val="35"/>
        <w:rPr>
          <w:color w:val="auto"/>
          <w:highlight w:val="none"/>
        </w:rPr>
      </w:pPr>
    </w:p>
    <w:p w14:paraId="4B5391D1">
      <w:pPr>
        <w:pStyle w:val="36"/>
        <w:rPr>
          <w:color w:val="auto"/>
          <w:highlight w:val="none"/>
        </w:rPr>
      </w:pPr>
    </w:p>
    <w:p w14:paraId="5878855C">
      <w:pPr>
        <w:pStyle w:val="35"/>
        <w:rPr>
          <w:color w:val="auto"/>
        </w:rPr>
      </w:pPr>
    </w:p>
    <w:p w14:paraId="78BFF042">
      <w:pPr>
        <w:pStyle w:val="36"/>
        <w:rPr>
          <w:rFonts w:ascii="宋体" w:hAnsi="宋体"/>
          <w:b/>
          <w:color w:val="auto"/>
          <w:sz w:val="48"/>
          <w:szCs w:val="48"/>
          <w:highlight w:val="none"/>
        </w:rPr>
      </w:pPr>
    </w:p>
    <w:p w14:paraId="4F967852">
      <w:pPr>
        <w:pStyle w:val="5"/>
        <w:spacing w:line="360" w:lineRule="auto"/>
        <w:jc w:val="center"/>
        <w:rPr>
          <w:rFonts w:ascii="宋体" w:cs="宋体"/>
          <w:color w:val="auto"/>
          <w:sz w:val="36"/>
          <w:highlight w:val="none"/>
        </w:rPr>
      </w:pPr>
      <w:bookmarkStart w:id="62" w:name="_Toc16635"/>
      <w:bookmarkStart w:id="63" w:name="_Toc243584363"/>
      <w:bookmarkStart w:id="64" w:name="_Toc247301841"/>
      <w:bookmarkStart w:id="65" w:name="_Toc24872"/>
      <w:bookmarkStart w:id="66" w:name="_Toc24800"/>
      <w:bookmarkStart w:id="67" w:name="_Toc243630963"/>
      <w:bookmarkStart w:id="68" w:name="_Toc255977446"/>
      <w:bookmarkStart w:id="69" w:name="_Toc247292448"/>
      <w:bookmarkStart w:id="70" w:name="_Toc30909"/>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62"/>
      <w:bookmarkEnd w:id="63"/>
      <w:bookmarkEnd w:id="64"/>
      <w:bookmarkEnd w:id="65"/>
      <w:bookmarkEnd w:id="66"/>
      <w:bookmarkEnd w:id="67"/>
      <w:bookmarkEnd w:id="68"/>
      <w:bookmarkEnd w:id="69"/>
      <w:bookmarkEnd w:id="70"/>
    </w:p>
    <w:p w14:paraId="1702A4D0">
      <w:pPr>
        <w:pStyle w:val="6"/>
        <w:spacing w:line="360" w:lineRule="auto"/>
        <w:jc w:val="center"/>
        <w:rPr>
          <w:rFonts w:ascii="宋体" w:hAnsi="宋体" w:eastAsia="宋体" w:cs="宋体"/>
          <w:color w:val="auto"/>
          <w:kern w:val="0"/>
          <w:highlight w:val="none"/>
        </w:rPr>
      </w:pPr>
      <w:bookmarkStart w:id="71" w:name="_Toc2585"/>
      <w:bookmarkStart w:id="72" w:name="_Toc27920"/>
      <w:bookmarkStart w:id="73" w:name="_Toc32493"/>
      <w:bookmarkStart w:id="74" w:name="_Toc247301842"/>
      <w:bookmarkStart w:id="75" w:name="_Toc11962"/>
      <w:bookmarkStart w:id="76" w:name="_Toc18874"/>
      <w:bookmarkStart w:id="77" w:name="_Toc27322"/>
      <w:bookmarkStart w:id="78" w:name="_Toc255977447"/>
      <w:bookmarkStart w:id="79" w:name="_Toc247292449"/>
      <w:r>
        <w:rPr>
          <w:rFonts w:hint="eastAsia" w:ascii="宋体" w:hAnsi="宋体" w:eastAsia="宋体" w:cs="宋体"/>
          <w:color w:val="auto"/>
          <w:kern w:val="0"/>
          <w:highlight w:val="none"/>
        </w:rPr>
        <w:t>封面格式</w:t>
      </w:r>
      <w:bookmarkEnd w:id="71"/>
      <w:bookmarkEnd w:id="72"/>
      <w:bookmarkEnd w:id="73"/>
      <w:bookmarkEnd w:id="74"/>
      <w:bookmarkEnd w:id="75"/>
      <w:bookmarkEnd w:id="76"/>
      <w:bookmarkEnd w:id="77"/>
      <w:bookmarkEnd w:id="78"/>
      <w:bookmarkEnd w:id="79"/>
    </w:p>
    <w:tbl>
      <w:tblPr>
        <w:tblStyle w:val="2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77FC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214CBA33">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167CBAFA">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40"/>
                <w:szCs w:val="21"/>
                <w:highlight w:val="none"/>
              </w:rPr>
            </w:pPr>
          </w:p>
          <w:p w14:paraId="6B6960CF">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22"/>
                <w:szCs w:val="21"/>
                <w:highlight w:val="none"/>
              </w:rPr>
            </w:pPr>
            <w:bookmarkStart w:id="80" w:name="_Toc32370"/>
            <w:bookmarkStart w:id="81" w:name="_Toc17377"/>
            <w:r>
              <w:rPr>
                <w:rFonts w:hint="eastAsia" w:ascii="宋体" w:hAnsi="宋体" w:cs="宋体"/>
                <w:b/>
                <w:color w:val="auto"/>
                <w:kern w:val="0"/>
                <w:sz w:val="32"/>
                <w:szCs w:val="21"/>
                <w:highlight w:val="none"/>
                <w:lang w:val="en-US" w:eastAsia="zh-CN"/>
              </w:rPr>
              <w:t>（项目名称）</w:t>
            </w:r>
            <w:bookmarkEnd w:id="80"/>
            <w:bookmarkEnd w:id="81"/>
          </w:p>
          <w:p w14:paraId="468A42CA">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403D4191">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2C3EA30">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82" w:name="_Toc6427"/>
            <w:bookmarkStart w:id="83" w:name="_Toc199"/>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82"/>
            <w:bookmarkEnd w:id="83"/>
          </w:p>
          <w:p w14:paraId="10516A46">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68C2B747">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7D2A99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8B7A993">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1A98F0FF">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464F7D4">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227A102">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21912162">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84" w:name="_Toc243584368"/>
            <w:bookmarkStart w:id="85" w:name="_Toc12279"/>
            <w:bookmarkStart w:id="86" w:name="_Toc28065"/>
            <w:r>
              <w:rPr>
                <w:rFonts w:hint="eastAsia" w:ascii="宋体" w:hAnsi="宋体" w:cs="宋体"/>
                <w:color w:val="auto"/>
                <w:kern w:val="0"/>
                <w:sz w:val="24"/>
                <w:szCs w:val="21"/>
                <w:highlight w:val="none"/>
              </w:rPr>
              <w:t>项目名称：</w:t>
            </w:r>
            <w:bookmarkEnd w:id="84"/>
            <w:bookmarkEnd w:id="85"/>
            <w:bookmarkEnd w:id="86"/>
          </w:p>
          <w:p w14:paraId="12F2F8C5">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26B7F4CE">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87" w:name="_Toc243584369"/>
            <w:bookmarkStart w:id="88" w:name="_Toc4027"/>
            <w:bookmarkStart w:id="89" w:name="_Toc30954"/>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87"/>
            <w:bookmarkEnd w:id="88"/>
            <w:bookmarkEnd w:id="89"/>
          </w:p>
          <w:p w14:paraId="372FF886">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90" w:name="_Toc25307"/>
            <w:bookmarkStart w:id="91" w:name="_Toc243584370"/>
            <w:bookmarkStart w:id="92" w:name="_Toc16889"/>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90"/>
            <w:bookmarkEnd w:id="91"/>
            <w:bookmarkEnd w:id="92"/>
          </w:p>
          <w:p w14:paraId="0E0367E6">
            <w:pPr>
              <w:keepNext w:val="0"/>
              <w:keepLines w:val="0"/>
              <w:suppressLineNumbers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58F1F692">
      <w:pPr>
        <w:pStyle w:val="35"/>
        <w:spacing w:line="360" w:lineRule="auto"/>
        <w:rPr>
          <w:rFonts w:ascii="宋体" w:hAnsi="宋体"/>
          <w:b/>
          <w:color w:val="auto"/>
          <w:sz w:val="28"/>
          <w:szCs w:val="28"/>
          <w:highlight w:val="none"/>
        </w:rPr>
      </w:pPr>
    </w:p>
    <w:p w14:paraId="3165E3CA">
      <w:pPr>
        <w:pStyle w:val="35"/>
        <w:spacing w:line="360" w:lineRule="auto"/>
        <w:rPr>
          <w:rFonts w:ascii="宋体" w:hAnsi="宋体"/>
          <w:b/>
          <w:color w:val="auto"/>
          <w:sz w:val="28"/>
          <w:szCs w:val="28"/>
          <w:highlight w:val="none"/>
        </w:rPr>
      </w:pPr>
    </w:p>
    <w:p w14:paraId="7B33D179">
      <w:pPr>
        <w:pStyle w:val="35"/>
        <w:spacing w:line="360" w:lineRule="auto"/>
        <w:rPr>
          <w:rFonts w:ascii="宋体" w:hAnsi="宋体"/>
          <w:b/>
          <w:color w:val="auto"/>
          <w:sz w:val="28"/>
          <w:szCs w:val="28"/>
          <w:highlight w:val="none"/>
        </w:rPr>
      </w:pPr>
    </w:p>
    <w:p w14:paraId="705A9B1B">
      <w:pPr>
        <w:pStyle w:val="35"/>
        <w:spacing w:line="360" w:lineRule="auto"/>
        <w:rPr>
          <w:rFonts w:ascii="宋体" w:hAnsi="宋体"/>
          <w:b/>
          <w:color w:val="auto"/>
          <w:sz w:val="28"/>
          <w:szCs w:val="28"/>
          <w:highlight w:val="none"/>
        </w:rPr>
      </w:pPr>
    </w:p>
    <w:p w14:paraId="1FDDCF4B">
      <w:pPr>
        <w:pStyle w:val="35"/>
        <w:spacing w:line="360" w:lineRule="auto"/>
        <w:rPr>
          <w:rFonts w:ascii="宋体" w:hAnsi="宋体"/>
          <w:b/>
          <w:color w:val="auto"/>
          <w:sz w:val="28"/>
          <w:szCs w:val="28"/>
          <w:highlight w:val="none"/>
        </w:rPr>
      </w:pPr>
    </w:p>
    <w:p w14:paraId="082B951A">
      <w:pPr>
        <w:pStyle w:val="35"/>
        <w:spacing w:line="360" w:lineRule="auto"/>
        <w:rPr>
          <w:rFonts w:ascii="宋体" w:hAnsi="宋体"/>
          <w:b/>
          <w:color w:val="auto"/>
          <w:sz w:val="28"/>
          <w:szCs w:val="28"/>
          <w:highlight w:val="none"/>
        </w:rPr>
      </w:pPr>
    </w:p>
    <w:p w14:paraId="68182E82">
      <w:pPr>
        <w:pStyle w:val="35"/>
        <w:spacing w:line="360" w:lineRule="auto"/>
        <w:rPr>
          <w:rFonts w:ascii="宋体" w:hAnsi="宋体"/>
          <w:b/>
          <w:color w:val="auto"/>
          <w:sz w:val="28"/>
          <w:szCs w:val="28"/>
          <w:highlight w:val="none"/>
        </w:rPr>
      </w:pPr>
    </w:p>
    <w:p w14:paraId="4131520A">
      <w:pPr>
        <w:pStyle w:val="35"/>
        <w:spacing w:line="360" w:lineRule="auto"/>
        <w:rPr>
          <w:rFonts w:ascii="宋体" w:hAnsi="宋体"/>
          <w:b/>
          <w:color w:val="auto"/>
          <w:sz w:val="28"/>
          <w:szCs w:val="28"/>
          <w:highlight w:val="none"/>
        </w:rPr>
      </w:pPr>
    </w:p>
    <w:p w14:paraId="4997ABE8">
      <w:pPr>
        <w:pStyle w:val="35"/>
        <w:spacing w:line="360" w:lineRule="auto"/>
        <w:rPr>
          <w:rFonts w:ascii="宋体" w:hAnsi="宋体"/>
          <w:b/>
          <w:color w:val="auto"/>
          <w:sz w:val="28"/>
          <w:szCs w:val="28"/>
          <w:highlight w:val="none"/>
        </w:rPr>
      </w:pPr>
    </w:p>
    <w:p w14:paraId="3E22909A">
      <w:pPr>
        <w:pStyle w:val="35"/>
        <w:spacing w:line="360" w:lineRule="auto"/>
        <w:rPr>
          <w:rFonts w:ascii="宋体" w:hAnsi="宋体"/>
          <w:b/>
          <w:color w:val="auto"/>
          <w:sz w:val="28"/>
          <w:szCs w:val="28"/>
          <w:highlight w:val="none"/>
        </w:rPr>
      </w:pPr>
    </w:p>
    <w:p w14:paraId="4E862A9D">
      <w:pPr>
        <w:pStyle w:val="35"/>
        <w:spacing w:line="360" w:lineRule="auto"/>
        <w:rPr>
          <w:rFonts w:ascii="宋体" w:hAnsi="宋体"/>
          <w:b/>
          <w:color w:val="auto"/>
          <w:sz w:val="28"/>
          <w:szCs w:val="28"/>
          <w:highlight w:val="none"/>
        </w:rPr>
      </w:pPr>
    </w:p>
    <w:p w14:paraId="622CDD1C">
      <w:pPr>
        <w:pStyle w:val="35"/>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5BD66893">
      <w:pPr>
        <w:pStyle w:val="35"/>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35B1EDAA">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519CE98">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委托代理时必须提供</w:t>
      </w:r>
      <w:r>
        <w:rPr>
          <w:rFonts w:hint="eastAsia" w:ascii="宋体" w:hAnsi="宋体"/>
          <w:b/>
          <w:bCs/>
          <w:color w:val="auto"/>
          <w:szCs w:val="21"/>
          <w:highlight w:val="none"/>
          <w:lang w:eastAsia="zh-CN"/>
        </w:rPr>
        <w:t>，否则竞标无效</w:t>
      </w:r>
      <w:r>
        <w:rPr>
          <w:rFonts w:ascii="宋体" w:hAnsi="宋体"/>
          <w:color w:val="auto"/>
          <w:szCs w:val="21"/>
          <w:highlight w:val="none"/>
        </w:rPr>
        <w:t>）</w:t>
      </w:r>
    </w:p>
    <w:p w14:paraId="6856B3B5">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F385EBF">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949CA20">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3B763C4">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38DEF9C">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6AD48003">
      <w:pPr>
        <w:pStyle w:val="35"/>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4C206876">
      <w:pPr>
        <w:pStyle w:val="36"/>
        <w:rPr>
          <w:color w:val="auto"/>
          <w:highlight w:val="none"/>
        </w:rPr>
      </w:pPr>
    </w:p>
    <w:p w14:paraId="03199C16">
      <w:pPr>
        <w:pStyle w:val="35"/>
        <w:spacing w:line="360" w:lineRule="auto"/>
        <w:rPr>
          <w:rFonts w:hint="eastAsia" w:ascii="宋体" w:hAnsi="宋体"/>
          <w:color w:val="auto"/>
          <w:szCs w:val="21"/>
          <w:highlight w:val="none"/>
        </w:rPr>
      </w:pPr>
    </w:p>
    <w:p w14:paraId="5F0A79DA">
      <w:pPr>
        <w:pStyle w:val="36"/>
        <w:rPr>
          <w:color w:val="auto"/>
          <w:highlight w:val="none"/>
        </w:rPr>
      </w:pPr>
    </w:p>
    <w:p w14:paraId="6746A5BE">
      <w:pPr>
        <w:pStyle w:val="35"/>
        <w:spacing w:line="360" w:lineRule="auto"/>
        <w:rPr>
          <w:rFonts w:ascii="宋体" w:hAnsi="宋体"/>
          <w:b/>
          <w:color w:val="auto"/>
          <w:sz w:val="28"/>
          <w:szCs w:val="28"/>
          <w:highlight w:val="none"/>
        </w:rPr>
      </w:pPr>
    </w:p>
    <w:p w14:paraId="20818A4E">
      <w:pPr>
        <w:pStyle w:val="35"/>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4BC2A413">
      <w:pPr>
        <w:pStyle w:val="35"/>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29008A7">
      <w:pPr>
        <w:pStyle w:val="35"/>
        <w:snapToGrid w:val="0"/>
        <w:spacing w:line="360" w:lineRule="auto"/>
        <w:jc w:val="center"/>
        <w:rPr>
          <w:rFonts w:ascii="宋体" w:hAnsi="宋体"/>
          <w:b/>
          <w:color w:val="auto"/>
          <w:sz w:val="24"/>
          <w:highlight w:val="none"/>
        </w:rPr>
      </w:pPr>
    </w:p>
    <w:p w14:paraId="19C5BE39">
      <w:pPr>
        <w:pStyle w:val="35"/>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20DCBFE5">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03DE0088">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0E028E4B">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2D4A4CA7">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67DAB3C1">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103EF435">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40F1C110">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26896694">
      <w:pPr>
        <w:autoSpaceDE w:val="0"/>
        <w:autoSpaceDN w:val="0"/>
        <w:adjustRightInd w:val="0"/>
        <w:spacing w:line="480" w:lineRule="auto"/>
        <w:rPr>
          <w:rFonts w:ascii="宋体" w:cs="宋体"/>
          <w:color w:val="auto"/>
          <w:kern w:val="0"/>
          <w:sz w:val="21"/>
          <w:szCs w:val="21"/>
          <w:highlight w:val="none"/>
        </w:rPr>
      </w:pPr>
    </w:p>
    <w:p w14:paraId="7E99EC96">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0E4894D">
      <w:pPr>
        <w:autoSpaceDE w:val="0"/>
        <w:autoSpaceDN w:val="0"/>
        <w:adjustRightInd w:val="0"/>
        <w:spacing w:line="360" w:lineRule="auto"/>
        <w:jc w:val="left"/>
        <w:outlineLvl w:val="0"/>
        <w:rPr>
          <w:rFonts w:ascii="宋体" w:cs="宋体"/>
          <w:color w:val="auto"/>
          <w:kern w:val="0"/>
          <w:sz w:val="21"/>
          <w:szCs w:val="21"/>
          <w:highlight w:val="none"/>
          <w:u w:val="single"/>
        </w:rPr>
      </w:pPr>
      <w:bookmarkStart w:id="93" w:name="_Toc17608"/>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bookmarkEnd w:id="93"/>
    </w:p>
    <w:p w14:paraId="37482C63">
      <w:pPr>
        <w:autoSpaceDE w:val="0"/>
        <w:autoSpaceDN w:val="0"/>
        <w:adjustRightInd w:val="0"/>
        <w:spacing w:line="360" w:lineRule="auto"/>
        <w:jc w:val="left"/>
        <w:rPr>
          <w:rFonts w:ascii="宋体" w:cs="宋体"/>
          <w:color w:val="auto"/>
          <w:kern w:val="0"/>
          <w:sz w:val="21"/>
          <w:szCs w:val="21"/>
          <w:highlight w:val="none"/>
        </w:rPr>
      </w:pPr>
    </w:p>
    <w:p w14:paraId="32E27640">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465A630E">
      <w:pPr>
        <w:autoSpaceDE w:val="0"/>
        <w:autoSpaceDN w:val="0"/>
        <w:adjustRightInd w:val="0"/>
        <w:spacing w:line="360" w:lineRule="auto"/>
        <w:jc w:val="left"/>
        <w:rPr>
          <w:rFonts w:ascii="宋体" w:cs="宋体"/>
          <w:color w:val="auto"/>
          <w:kern w:val="0"/>
          <w:sz w:val="21"/>
          <w:szCs w:val="21"/>
          <w:highlight w:val="none"/>
        </w:rPr>
      </w:pPr>
    </w:p>
    <w:p w14:paraId="0E5C7CC0">
      <w:pPr>
        <w:autoSpaceDE w:val="0"/>
        <w:autoSpaceDN w:val="0"/>
        <w:adjustRightInd w:val="0"/>
        <w:spacing w:line="360" w:lineRule="auto"/>
        <w:jc w:val="left"/>
        <w:rPr>
          <w:rFonts w:ascii="宋体" w:cs="宋体"/>
          <w:color w:val="auto"/>
          <w:kern w:val="0"/>
          <w:sz w:val="21"/>
          <w:szCs w:val="21"/>
          <w:highlight w:val="none"/>
        </w:rPr>
      </w:pPr>
    </w:p>
    <w:p w14:paraId="7463717A">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547A2CBE">
      <w:pPr>
        <w:pStyle w:val="35"/>
        <w:spacing w:line="360" w:lineRule="auto"/>
        <w:ind w:right="97"/>
        <w:rPr>
          <w:rFonts w:ascii="宋体" w:hAnsi="宋体" w:cs="宋体"/>
          <w:color w:val="auto"/>
          <w:sz w:val="21"/>
          <w:szCs w:val="21"/>
          <w:highlight w:val="none"/>
        </w:rPr>
      </w:pPr>
    </w:p>
    <w:p w14:paraId="4CBBFDE5">
      <w:pPr>
        <w:pStyle w:val="35"/>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7C20FFD9">
      <w:pPr>
        <w:pStyle w:val="35"/>
        <w:spacing w:line="360" w:lineRule="auto"/>
        <w:ind w:right="97"/>
        <w:rPr>
          <w:rFonts w:ascii="宋体" w:hAnsi="宋体" w:cs="宋体"/>
          <w:color w:val="auto"/>
          <w:sz w:val="21"/>
          <w:szCs w:val="21"/>
          <w:highlight w:val="none"/>
        </w:rPr>
      </w:pPr>
      <w:r>
        <w:rPr>
          <w:rFonts w:hint="eastAsia" w:ascii="宋体" w:hAnsi="宋体" w:cs="宋体"/>
          <w:color w:val="auto"/>
          <w:sz w:val="21"/>
          <w:szCs w:val="21"/>
          <w:highlight w:val="none"/>
          <w:lang w:eastAsia="zh-CN"/>
        </w:rPr>
        <w:t>（1）</w:t>
      </w:r>
      <w:r>
        <w:rPr>
          <w:rFonts w:ascii="宋体" w:hAnsi="宋体" w:cs="宋体"/>
          <w:color w:val="auto"/>
          <w:sz w:val="21"/>
          <w:szCs w:val="21"/>
          <w:highlight w:val="none"/>
        </w:rPr>
        <w:t>法定代表人亲自参加开标会议的，须附上“法定代表人身份证明书”，附法定代表人身份证复印件。</w:t>
      </w:r>
    </w:p>
    <w:p w14:paraId="2C8BED6C">
      <w:pPr>
        <w:pStyle w:val="35"/>
        <w:spacing w:line="360" w:lineRule="auto"/>
        <w:rPr>
          <w:rFonts w:ascii="宋体" w:hAnsi="宋体"/>
          <w:b/>
          <w:color w:val="auto"/>
          <w:sz w:val="28"/>
          <w:szCs w:val="28"/>
          <w:highlight w:val="none"/>
        </w:rPr>
      </w:pPr>
    </w:p>
    <w:p w14:paraId="48849C11">
      <w:pPr>
        <w:pStyle w:val="2"/>
        <w:rPr>
          <w:rFonts w:ascii="宋体" w:hAnsi="宋体" w:cs="宋体"/>
          <w:color w:val="auto"/>
          <w:sz w:val="36"/>
          <w:highlight w:val="none"/>
        </w:rPr>
      </w:pPr>
    </w:p>
    <w:p w14:paraId="061ECB00">
      <w:pPr>
        <w:rPr>
          <w:rFonts w:ascii="宋体" w:hAnsi="宋体" w:cs="宋体"/>
          <w:color w:val="auto"/>
          <w:sz w:val="36"/>
          <w:highlight w:val="none"/>
        </w:rPr>
      </w:pPr>
    </w:p>
    <w:p w14:paraId="2E98C5E7">
      <w:pPr>
        <w:rPr>
          <w:rFonts w:ascii="宋体" w:hAnsi="宋体" w:cs="宋体"/>
          <w:color w:val="auto"/>
          <w:sz w:val="36"/>
          <w:highlight w:val="none"/>
        </w:rPr>
      </w:pPr>
    </w:p>
    <w:p w14:paraId="07B6389B">
      <w:pPr>
        <w:rPr>
          <w:rFonts w:ascii="宋体" w:hAnsi="宋体" w:cs="宋体"/>
          <w:color w:val="auto"/>
          <w:sz w:val="36"/>
          <w:highlight w:val="none"/>
        </w:rPr>
      </w:pPr>
    </w:p>
    <w:p w14:paraId="52C25461">
      <w:pPr>
        <w:rPr>
          <w:rFonts w:ascii="宋体" w:hAnsi="宋体" w:cs="宋体"/>
          <w:color w:val="auto"/>
          <w:sz w:val="36"/>
          <w:highlight w:val="none"/>
        </w:rPr>
      </w:pPr>
    </w:p>
    <w:p w14:paraId="14A49E2E">
      <w:pPr>
        <w:pStyle w:val="14"/>
        <w:rPr>
          <w:rFonts w:ascii="宋体" w:hAnsi="宋体" w:cs="宋体"/>
          <w:color w:val="auto"/>
          <w:sz w:val="36"/>
          <w:highlight w:val="none"/>
        </w:rPr>
      </w:pPr>
    </w:p>
    <w:p w14:paraId="206EBE69">
      <w:pPr>
        <w:rPr>
          <w:rFonts w:ascii="宋体" w:hAnsi="宋体" w:cs="宋体"/>
          <w:color w:val="auto"/>
          <w:sz w:val="36"/>
          <w:highlight w:val="none"/>
        </w:rPr>
      </w:pPr>
    </w:p>
    <w:p w14:paraId="3D258542">
      <w:pPr>
        <w:pStyle w:val="14"/>
        <w:rPr>
          <w:color w:val="auto"/>
        </w:rPr>
      </w:pPr>
    </w:p>
    <w:p w14:paraId="4F37B97C">
      <w:pPr>
        <w:rPr>
          <w:rFonts w:ascii="宋体" w:hAnsi="宋体" w:cs="宋体"/>
          <w:color w:val="auto"/>
          <w:sz w:val="36"/>
          <w:highlight w:val="none"/>
        </w:rPr>
      </w:pPr>
    </w:p>
    <w:p w14:paraId="311C53B5">
      <w:pPr>
        <w:pStyle w:val="35"/>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34349A07">
      <w:pPr>
        <w:pStyle w:val="35"/>
        <w:snapToGrid w:val="0"/>
        <w:spacing w:line="360" w:lineRule="auto"/>
        <w:jc w:val="center"/>
        <w:rPr>
          <w:rFonts w:ascii="宋体" w:hAnsi="宋体"/>
          <w:b/>
          <w:color w:val="auto"/>
          <w:sz w:val="24"/>
          <w:highlight w:val="none"/>
        </w:rPr>
      </w:pPr>
    </w:p>
    <w:p w14:paraId="66EB8A44">
      <w:pPr>
        <w:pStyle w:val="36"/>
        <w:rPr>
          <w:color w:val="auto"/>
        </w:rPr>
      </w:pPr>
    </w:p>
    <w:p w14:paraId="65AF2699">
      <w:pPr>
        <w:pStyle w:val="35"/>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79835A2B">
      <w:pPr>
        <w:pStyle w:val="35"/>
        <w:snapToGrid w:val="0"/>
        <w:spacing w:line="360" w:lineRule="auto"/>
        <w:rPr>
          <w:rFonts w:ascii="宋体" w:hAnsi="宋体"/>
          <w:color w:val="auto"/>
          <w:sz w:val="28"/>
          <w:szCs w:val="28"/>
          <w:highlight w:val="none"/>
        </w:rPr>
      </w:pPr>
    </w:p>
    <w:p w14:paraId="55FEF13D">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4F937C1">
      <w:pP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5EA62437">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bookmarkStart w:id="94" w:name="_Toc1367"/>
      <w:r>
        <w:rPr>
          <w:rFonts w:hint="eastAsia" w:ascii="宋体" w:hAnsi="宋体" w:cs="宋体"/>
          <w:color w:val="auto"/>
          <w:kern w:val="0"/>
          <w:sz w:val="21"/>
          <w:szCs w:val="22"/>
          <w:highlight w:val="none"/>
        </w:rPr>
        <w:t>代理人无转委权。特此授权。</w:t>
      </w:r>
      <w:bookmarkEnd w:id="94"/>
    </w:p>
    <w:p w14:paraId="68C8CB28">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44183A6E">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3EC638BB">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bookmarkStart w:id="95" w:name="_Toc32742"/>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bookmarkEnd w:id="95"/>
    </w:p>
    <w:p w14:paraId="01F4F0DE">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bookmarkStart w:id="96" w:name="_Toc22004"/>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bookmarkEnd w:id="96"/>
    </w:p>
    <w:p w14:paraId="24AD73A7">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6FDCFBAA">
      <w:pPr>
        <w:pStyle w:val="35"/>
        <w:autoSpaceDE w:val="0"/>
        <w:autoSpaceDN w:val="0"/>
        <w:spacing w:line="360" w:lineRule="auto"/>
        <w:ind w:left="480" w:hanging="480"/>
        <w:rPr>
          <w:rFonts w:ascii="宋体" w:hAnsi="宋体"/>
          <w:color w:val="auto"/>
          <w:szCs w:val="21"/>
          <w:highlight w:val="none"/>
        </w:rPr>
      </w:pPr>
    </w:p>
    <w:p w14:paraId="5E7491DE">
      <w:pPr>
        <w:pStyle w:val="35"/>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92DF441">
      <w:pPr>
        <w:rPr>
          <w:rFonts w:ascii="宋体" w:hAnsi="宋体" w:cs="宋体"/>
          <w:color w:val="auto"/>
          <w:sz w:val="36"/>
          <w:highlight w:val="none"/>
        </w:rPr>
      </w:pPr>
    </w:p>
    <w:p w14:paraId="2FE9E1E7">
      <w:pPr>
        <w:rPr>
          <w:rFonts w:ascii="宋体" w:hAnsi="宋体" w:cs="宋体"/>
          <w:color w:val="auto"/>
          <w:sz w:val="36"/>
          <w:highlight w:val="none"/>
        </w:rPr>
      </w:pPr>
    </w:p>
    <w:p w14:paraId="39257979">
      <w:pPr>
        <w:rPr>
          <w:rFonts w:ascii="宋体" w:hAnsi="宋体" w:cs="宋体"/>
          <w:color w:val="auto"/>
          <w:sz w:val="36"/>
          <w:highlight w:val="none"/>
        </w:rPr>
      </w:pPr>
    </w:p>
    <w:p w14:paraId="219C48E2">
      <w:pPr>
        <w:rPr>
          <w:rFonts w:ascii="宋体" w:hAnsi="宋体" w:cs="宋体"/>
          <w:color w:val="auto"/>
          <w:sz w:val="36"/>
          <w:highlight w:val="none"/>
        </w:rPr>
      </w:pPr>
    </w:p>
    <w:p w14:paraId="326BD5B4">
      <w:pPr>
        <w:rPr>
          <w:rFonts w:ascii="宋体" w:hAnsi="宋体" w:cs="宋体"/>
          <w:color w:val="auto"/>
          <w:sz w:val="36"/>
          <w:highlight w:val="none"/>
        </w:rPr>
      </w:pPr>
    </w:p>
    <w:p w14:paraId="1A75125B">
      <w:pPr>
        <w:rPr>
          <w:rFonts w:ascii="宋体" w:hAnsi="宋体" w:cs="宋体"/>
          <w:color w:val="auto"/>
          <w:sz w:val="36"/>
          <w:highlight w:val="none"/>
        </w:rPr>
      </w:pPr>
    </w:p>
    <w:p w14:paraId="07A2A61C">
      <w:pPr>
        <w:rPr>
          <w:rFonts w:ascii="宋体" w:hAnsi="宋体" w:cs="宋体"/>
          <w:color w:val="auto"/>
          <w:sz w:val="36"/>
          <w:highlight w:val="none"/>
        </w:rPr>
      </w:pPr>
    </w:p>
    <w:p w14:paraId="0B97CAFA">
      <w:pPr>
        <w:pStyle w:val="14"/>
        <w:rPr>
          <w:color w:val="auto"/>
        </w:rPr>
      </w:pPr>
    </w:p>
    <w:p w14:paraId="7B127A3A">
      <w:pPr>
        <w:rPr>
          <w:rFonts w:ascii="宋体" w:hAnsi="宋体" w:cs="宋体"/>
          <w:color w:val="auto"/>
          <w:sz w:val="36"/>
          <w:highlight w:val="none"/>
        </w:rPr>
      </w:pPr>
    </w:p>
    <w:p w14:paraId="009D6769">
      <w:pPr>
        <w:pStyle w:val="35"/>
        <w:numPr>
          <w:ilvl w:val="0"/>
          <w:numId w:val="0"/>
        </w:numP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53356622">
      <w:pPr>
        <w:pStyle w:val="36"/>
        <w:numPr>
          <w:ilvl w:val="0"/>
          <w:numId w:val="0"/>
        </w:numPr>
        <w:ind w:leftChars="0"/>
        <w:rPr>
          <w:rFonts w:hint="eastAsia"/>
          <w:color w:val="auto"/>
          <w:highlight w:val="none"/>
          <w:lang w:val="en-US" w:eastAsia="zh-CN"/>
        </w:rPr>
      </w:pPr>
    </w:p>
    <w:p w14:paraId="45AD83A6">
      <w:pPr>
        <w:pStyle w:val="35"/>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6B16DD32">
      <w:pPr>
        <w:pStyle w:val="35"/>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52630384">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0C9F6292">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685B11DD">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5996DB57">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8FDC53C">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71A1B1AF">
      <w:pPr>
        <w:pStyle w:val="35"/>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61C77E72">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458D1C9">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7C4AC961">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E9EBCE4">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FE7DBD9">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w:t>
      </w:r>
      <w:r>
        <w:rPr>
          <w:rFonts w:hint="eastAsia" w:ascii="宋体" w:hAnsi="宋体" w:cs="仿宋_GB2312"/>
          <w:color w:val="auto"/>
          <w:sz w:val="21"/>
          <w:szCs w:val="21"/>
          <w:highlight w:val="none"/>
          <w:lang w:eastAsia="zh-CN"/>
        </w:rPr>
        <w:t>，</w:t>
      </w:r>
      <w:r>
        <w:rPr>
          <w:rFonts w:ascii="宋体" w:hAnsi="宋体" w:cs="仿宋_GB2312"/>
          <w:color w:val="auto"/>
          <w:sz w:val="21"/>
          <w:szCs w:val="21"/>
          <w:highlight w:val="none"/>
        </w:rPr>
        <w:t>或者在竞争性谈判项目中事先约定轮流以高价位或者低价位成交</w:t>
      </w:r>
      <w:r>
        <w:rPr>
          <w:rFonts w:hint="eastAsia" w:ascii="宋体" w:hAnsi="宋体" w:cs="仿宋_GB2312"/>
          <w:color w:val="auto"/>
          <w:sz w:val="21"/>
          <w:szCs w:val="21"/>
          <w:highlight w:val="none"/>
          <w:lang w:eastAsia="zh-CN"/>
        </w:rPr>
        <w:t>，</w:t>
      </w:r>
      <w:r>
        <w:rPr>
          <w:rFonts w:ascii="宋体" w:hAnsi="宋体" w:cs="仿宋_GB2312"/>
          <w:color w:val="auto"/>
          <w:sz w:val="21"/>
          <w:szCs w:val="21"/>
          <w:highlight w:val="none"/>
        </w:rPr>
        <w:t>或者事先约定由某一特定供应商成交</w:t>
      </w:r>
      <w:r>
        <w:rPr>
          <w:rFonts w:hint="eastAsia" w:ascii="宋体" w:hAnsi="宋体" w:cs="仿宋_GB2312"/>
          <w:color w:val="auto"/>
          <w:sz w:val="21"/>
          <w:szCs w:val="21"/>
          <w:highlight w:val="none"/>
          <w:lang w:eastAsia="zh-CN"/>
        </w:rPr>
        <w:t>，</w:t>
      </w:r>
      <w:r>
        <w:rPr>
          <w:rFonts w:ascii="宋体" w:hAnsi="宋体" w:cs="仿宋_GB2312"/>
          <w:color w:val="auto"/>
          <w:sz w:val="21"/>
          <w:szCs w:val="21"/>
          <w:highlight w:val="none"/>
        </w:rPr>
        <w:t>然后再参加竞标；</w:t>
      </w:r>
    </w:p>
    <w:p w14:paraId="67DA5D5F">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56BF2679">
      <w:pPr>
        <w:pStyle w:val="35"/>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03BFDE61">
      <w:pPr>
        <w:pStyle w:val="35"/>
        <w:spacing w:line="360" w:lineRule="auto"/>
        <w:rPr>
          <w:rFonts w:ascii="宋体" w:hAnsi="宋体" w:cs="仿宋_GB2312"/>
          <w:color w:val="auto"/>
          <w:sz w:val="21"/>
          <w:szCs w:val="21"/>
          <w:highlight w:val="none"/>
        </w:rPr>
      </w:pPr>
    </w:p>
    <w:p w14:paraId="7F024DA5">
      <w:pPr>
        <w:pStyle w:val="35"/>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6ADAEBAF">
      <w:pPr>
        <w:pStyle w:val="35"/>
        <w:spacing w:line="360" w:lineRule="auto"/>
        <w:rPr>
          <w:rFonts w:ascii="宋体" w:hAnsi="宋体" w:cs="仿宋_GB2312"/>
          <w:color w:val="auto"/>
          <w:sz w:val="21"/>
          <w:szCs w:val="21"/>
          <w:highlight w:val="none"/>
        </w:rPr>
      </w:pPr>
    </w:p>
    <w:p w14:paraId="4289CC4A">
      <w:pPr>
        <w:pStyle w:val="35"/>
        <w:spacing w:line="360" w:lineRule="auto"/>
        <w:rPr>
          <w:rFonts w:ascii="宋体" w:hAnsi="宋体" w:cs="仿宋_GB2312"/>
          <w:color w:val="auto"/>
          <w:sz w:val="21"/>
          <w:szCs w:val="21"/>
          <w:highlight w:val="none"/>
        </w:rPr>
      </w:pPr>
    </w:p>
    <w:p w14:paraId="59441EBD">
      <w:pPr>
        <w:pStyle w:val="35"/>
        <w:spacing w:line="360" w:lineRule="auto"/>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 ）：</w:t>
      </w:r>
    </w:p>
    <w:p w14:paraId="2B4A4B6B">
      <w:pPr>
        <w:pStyle w:val="35"/>
        <w:spacing w:line="360" w:lineRule="auto"/>
        <w:ind w:firstLine="840" w:firstLineChars="400"/>
        <w:jc w:val="both"/>
        <w:rPr>
          <w:rFonts w:ascii="宋体" w:hAnsi="宋体" w:cs="仿宋_GB2312"/>
          <w:color w:val="auto"/>
          <w:sz w:val="21"/>
          <w:szCs w:val="21"/>
          <w:highlight w:val="none"/>
        </w:rPr>
      </w:pPr>
      <w:r>
        <w:rPr>
          <w:rFonts w:ascii="宋体" w:hAnsi="宋体" w:cs="仿宋_GB2312"/>
          <w:color w:val="auto"/>
          <w:sz w:val="21"/>
          <w:szCs w:val="21"/>
          <w:highlight w:val="none"/>
        </w:rPr>
        <w:t>年   月   日</w:t>
      </w:r>
    </w:p>
    <w:p w14:paraId="1893968E">
      <w:pPr>
        <w:pStyle w:val="35"/>
        <w:spacing w:line="360" w:lineRule="auto"/>
        <w:jc w:val="left"/>
        <w:rPr>
          <w:rFonts w:hint="eastAsia" w:ascii="宋体" w:hAnsi="宋体"/>
          <w:b/>
          <w:color w:val="auto"/>
          <w:sz w:val="28"/>
          <w:szCs w:val="28"/>
          <w:highlight w:val="none"/>
          <w:lang w:val="en-US" w:eastAsia="zh-CN"/>
        </w:rPr>
      </w:pPr>
    </w:p>
    <w:p w14:paraId="76F8A1DC">
      <w:pPr>
        <w:pStyle w:val="35"/>
        <w:spacing w:line="360" w:lineRule="auto"/>
        <w:jc w:val="left"/>
        <w:rPr>
          <w:rFonts w:hint="eastAsia" w:ascii="宋体" w:hAnsi="宋体"/>
          <w:b/>
          <w:color w:val="auto"/>
          <w:sz w:val="28"/>
          <w:szCs w:val="28"/>
          <w:highlight w:val="none"/>
          <w:lang w:val="en-US" w:eastAsia="zh-CN"/>
        </w:rPr>
      </w:pPr>
    </w:p>
    <w:p w14:paraId="0E14FE8F">
      <w:pPr>
        <w:pStyle w:val="35"/>
        <w:spacing w:line="360" w:lineRule="auto"/>
        <w:jc w:val="left"/>
        <w:rPr>
          <w:rFonts w:hint="eastAsia" w:ascii="宋体" w:hAnsi="宋体"/>
          <w:b/>
          <w:color w:val="auto"/>
          <w:sz w:val="28"/>
          <w:szCs w:val="28"/>
          <w:highlight w:val="none"/>
          <w:lang w:val="en-US" w:eastAsia="zh-CN"/>
        </w:rPr>
      </w:pPr>
    </w:p>
    <w:p w14:paraId="2CD5B009">
      <w:pPr>
        <w:pStyle w:val="35"/>
        <w:spacing w:line="360" w:lineRule="auto"/>
        <w:jc w:val="left"/>
        <w:rPr>
          <w:rFonts w:hint="eastAsia" w:ascii="宋体" w:hAnsi="宋体"/>
          <w:b/>
          <w:color w:val="auto"/>
          <w:sz w:val="28"/>
          <w:szCs w:val="28"/>
          <w:highlight w:val="none"/>
          <w:lang w:val="en-US" w:eastAsia="zh-CN"/>
        </w:rPr>
      </w:pPr>
    </w:p>
    <w:p w14:paraId="39D3F826">
      <w:pPr>
        <w:pStyle w:val="35"/>
        <w:spacing w:line="360" w:lineRule="auto"/>
        <w:jc w:val="left"/>
        <w:rPr>
          <w:rFonts w:hint="eastAsia" w:ascii="宋体" w:hAnsi="宋体"/>
          <w:b/>
          <w:color w:val="auto"/>
          <w:sz w:val="28"/>
          <w:szCs w:val="28"/>
          <w:highlight w:val="none"/>
          <w:lang w:val="en-US" w:eastAsia="zh-CN"/>
        </w:rPr>
      </w:pPr>
    </w:p>
    <w:p w14:paraId="433082FA">
      <w:pPr>
        <w:pStyle w:val="35"/>
        <w:spacing w:line="360" w:lineRule="auto"/>
        <w:jc w:val="left"/>
        <w:rPr>
          <w:rFonts w:hint="eastAsia" w:ascii="宋体" w:hAnsi="宋体"/>
          <w:b/>
          <w:color w:val="auto"/>
          <w:sz w:val="28"/>
          <w:szCs w:val="28"/>
          <w:highlight w:val="none"/>
          <w:lang w:val="en-US" w:eastAsia="zh-CN"/>
        </w:rPr>
      </w:pPr>
    </w:p>
    <w:p w14:paraId="0D98FEEA">
      <w:pPr>
        <w:pStyle w:val="35"/>
        <w:spacing w:line="360" w:lineRule="auto"/>
        <w:jc w:val="left"/>
        <w:rPr>
          <w:rFonts w:hint="eastAsia" w:ascii="宋体" w:hAnsi="宋体"/>
          <w:b/>
          <w:color w:val="auto"/>
          <w:sz w:val="28"/>
          <w:szCs w:val="28"/>
          <w:highlight w:val="none"/>
          <w:lang w:val="en-US" w:eastAsia="zh-CN"/>
        </w:rPr>
      </w:pPr>
    </w:p>
    <w:p w14:paraId="279892A9">
      <w:pPr>
        <w:pStyle w:val="35"/>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7D72ED50">
      <w:pPr>
        <w:pStyle w:val="35"/>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4AA3880E">
      <w:pPr>
        <w:pStyle w:val="35"/>
        <w:spacing w:line="360" w:lineRule="auto"/>
        <w:ind w:left="141"/>
        <w:rPr>
          <w:rFonts w:ascii="宋体" w:hAnsi="宋体"/>
          <w:color w:val="auto"/>
          <w:szCs w:val="21"/>
          <w:highlight w:val="none"/>
          <w:u w:val="single"/>
        </w:rPr>
      </w:pPr>
    </w:p>
    <w:p w14:paraId="64DF798B">
      <w:pP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7E24D299">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6199BAD0">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2. </w:t>
      </w:r>
      <w:r>
        <w:rPr>
          <w:rFonts w:hint="eastAsia" w:ascii="宋体" w:hAnsi="宋体" w:cs="宋体"/>
          <w:color w:val="auto"/>
          <w:kern w:val="0"/>
          <w:sz w:val="21"/>
          <w:szCs w:val="22"/>
          <w:highlight w:val="none"/>
        </w:rPr>
        <w:t>我方已详细审核全部采购文件，包括采购补遗文件及有关附件。</w:t>
      </w:r>
    </w:p>
    <w:p w14:paraId="7F627CC3">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3. </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1D5DE0F0">
      <w:pPr>
        <w:autoSpaceDE w:val="0"/>
        <w:autoSpaceDN w:val="0"/>
        <w:adjustRightInd w:val="0"/>
        <w:spacing w:line="360" w:lineRule="auto"/>
        <w:ind w:firstLine="420" w:firstLineChars="200"/>
        <w:rPr>
          <w:rFonts w:ascii="宋体" w:cs="宋体"/>
          <w:color w:val="auto"/>
          <w:kern w:val="0"/>
          <w:sz w:val="21"/>
          <w:szCs w:val="22"/>
          <w:highlight w:val="none"/>
          <w:u w:val="single"/>
        </w:rPr>
      </w:pPr>
      <w:r>
        <w:rPr>
          <w:rFonts w:ascii="宋体" w:hAnsi="宋体" w:cs="宋体"/>
          <w:color w:val="auto"/>
          <w:kern w:val="0"/>
          <w:sz w:val="21"/>
          <w:szCs w:val="22"/>
          <w:highlight w:val="none"/>
        </w:rPr>
        <w:t xml:space="preserve">4. </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日历日</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p>
    <w:p w14:paraId="728CC160">
      <w:pP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 xml:space="preserve">5. </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34C5D180">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6. </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0944CD43">
      <w:pPr>
        <w:autoSpaceDE w:val="0"/>
        <w:autoSpaceDN w:val="0"/>
        <w:adjustRightInd w:val="0"/>
        <w:spacing w:line="360" w:lineRule="auto"/>
        <w:ind w:firstLine="555"/>
        <w:rPr>
          <w:rFonts w:ascii="宋体" w:cs="宋体"/>
          <w:color w:val="auto"/>
          <w:kern w:val="0"/>
          <w:sz w:val="21"/>
          <w:szCs w:val="22"/>
          <w:highlight w:val="none"/>
        </w:rPr>
      </w:pPr>
    </w:p>
    <w:p w14:paraId="06A7FC46">
      <w:pP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49DB310C">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041DE472">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7C75B313">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传真：</w:t>
      </w:r>
    </w:p>
    <w:p w14:paraId="4CCE6257">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622E96D0">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lang w:eastAsia="zh-CN"/>
        </w:rPr>
        <w:t>开户银行账号</w:t>
      </w:r>
      <w:r>
        <w:rPr>
          <w:rFonts w:hint="eastAsia" w:ascii="宋体" w:hAnsi="宋体" w:cs="宋体"/>
          <w:color w:val="auto"/>
          <w:kern w:val="0"/>
          <w:sz w:val="21"/>
          <w:szCs w:val="22"/>
          <w:highlight w:val="none"/>
        </w:rPr>
        <w:t>：</w:t>
      </w:r>
    </w:p>
    <w:p w14:paraId="77003D20">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2F0F92A9">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7A7EC340">
      <w:pPr>
        <w:pStyle w:val="35"/>
        <w:spacing w:line="360" w:lineRule="auto"/>
        <w:ind w:right="97"/>
        <w:rPr>
          <w:rFonts w:ascii="宋体" w:hAnsi="宋体" w:cs="宋体"/>
          <w:color w:val="auto"/>
          <w:szCs w:val="21"/>
          <w:highlight w:val="none"/>
        </w:rPr>
      </w:pPr>
    </w:p>
    <w:p w14:paraId="4B461D89">
      <w:pPr>
        <w:pStyle w:val="35"/>
        <w:spacing w:line="360" w:lineRule="auto"/>
        <w:rPr>
          <w:rFonts w:ascii="宋体" w:hAnsi="宋体"/>
          <w:b/>
          <w:color w:val="auto"/>
          <w:sz w:val="28"/>
          <w:szCs w:val="28"/>
          <w:highlight w:val="none"/>
        </w:rPr>
      </w:pPr>
    </w:p>
    <w:p w14:paraId="2CE09C53">
      <w:pPr>
        <w:pStyle w:val="36"/>
        <w:rPr>
          <w:color w:val="auto"/>
          <w:highlight w:val="none"/>
        </w:rPr>
      </w:pPr>
    </w:p>
    <w:p w14:paraId="6170A7F8">
      <w:pPr>
        <w:pStyle w:val="35"/>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54B6D7E">
      <w:pPr>
        <w:pStyle w:val="35"/>
        <w:spacing w:line="360" w:lineRule="auto"/>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 xml:space="preserve">磋商函附录       </w:t>
      </w:r>
    </w:p>
    <w:p w14:paraId="288E8B5B">
      <w:pPr>
        <w:pStyle w:val="41"/>
        <w:spacing w:line="360" w:lineRule="auto"/>
        <w:jc w:val="center"/>
        <w:rPr>
          <w:color w:val="auto"/>
          <w:sz w:val="32"/>
          <w:szCs w:val="32"/>
          <w:highlight w:val="none"/>
        </w:rPr>
      </w:pPr>
      <w:bookmarkStart w:id="97" w:name="_Toc514605589"/>
      <w:bookmarkStart w:id="98" w:name="_Toc31318"/>
      <w:bookmarkStart w:id="99" w:name="_Toc514607588"/>
      <w:bookmarkStart w:id="100" w:name="_Toc21318"/>
      <w:bookmarkStart w:id="101" w:name="_Toc1106"/>
      <w:bookmarkStart w:id="102" w:name="_Toc514606977"/>
      <w:bookmarkStart w:id="103" w:name="_Toc514605322"/>
      <w:r>
        <w:rPr>
          <w:color w:val="auto"/>
          <w:sz w:val="30"/>
          <w:szCs w:val="30"/>
          <w:highlight w:val="none"/>
        </w:rPr>
        <w:t>磋商函附录</w:t>
      </w:r>
      <w:bookmarkEnd w:id="97"/>
      <w:bookmarkEnd w:id="98"/>
      <w:bookmarkEnd w:id="99"/>
      <w:bookmarkEnd w:id="100"/>
      <w:bookmarkEnd w:id="101"/>
      <w:bookmarkEnd w:id="102"/>
      <w:bookmarkEnd w:id="103"/>
    </w:p>
    <w:tbl>
      <w:tblPr>
        <w:tblStyle w:val="27"/>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661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13FB28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2358105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342017B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合同约定内容</w:t>
            </w:r>
          </w:p>
        </w:tc>
        <w:tc>
          <w:tcPr>
            <w:tcW w:w="2633" w:type="dxa"/>
            <w:vAlign w:val="center"/>
          </w:tcPr>
          <w:p w14:paraId="3E8639A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响应</w:t>
            </w:r>
            <w:r>
              <w:rPr>
                <w:rFonts w:hint="eastAsia" w:ascii="宋体" w:hAnsi="宋体" w:cs="宋体"/>
                <w:color w:val="auto"/>
                <w:kern w:val="0"/>
                <w:sz w:val="21"/>
                <w:szCs w:val="22"/>
                <w:highlight w:val="none"/>
              </w:rPr>
              <w:t>内容</w:t>
            </w:r>
          </w:p>
        </w:tc>
        <w:tc>
          <w:tcPr>
            <w:tcW w:w="900" w:type="dxa"/>
            <w:vAlign w:val="center"/>
          </w:tcPr>
          <w:p w14:paraId="178A38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6AAB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5597CA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default" w:ascii="宋体" w:hAnsi="宋体" w:cs="宋体"/>
                <w:color w:val="auto"/>
                <w:kern w:val="0"/>
                <w:sz w:val="21"/>
                <w:szCs w:val="22"/>
                <w:highlight w:val="none"/>
              </w:rPr>
              <w:t>1</w:t>
            </w:r>
          </w:p>
        </w:tc>
        <w:tc>
          <w:tcPr>
            <w:tcW w:w="2145" w:type="dxa"/>
            <w:vAlign w:val="center"/>
          </w:tcPr>
          <w:p w14:paraId="3D173052">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03AFC21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1BB7ADE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42949FF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7EC3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460C00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2BC6253A">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1143C0B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661141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3BBC90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6BA57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52633D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2715CE6">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288C657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5736944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900" w:type="dxa"/>
            <w:vAlign w:val="center"/>
          </w:tcPr>
          <w:p w14:paraId="1935943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4537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6D329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00CD3739">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57265F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3C775DF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00C70D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2A6A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11F79A3">
            <w:pPr>
              <w:keepNext w:val="0"/>
              <w:keepLines w:val="0"/>
              <w:suppressLineNumbers w:val="0"/>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17B67117">
            <w:pPr>
              <w:keepNext w:val="0"/>
              <w:keepLines w:val="0"/>
              <w:suppressLineNumbers w:val="0"/>
              <w:autoSpaceDE w:val="0"/>
              <w:autoSpaceDN w:val="0"/>
              <w:adjustRightInd w:val="0"/>
              <w:spacing w:before="0" w:beforeAutospacing="0" w:after="0" w:afterAutospacing="0" w:line="360" w:lineRule="auto"/>
              <w:ind w:left="0" w:right="0"/>
              <w:rPr>
                <w:rFonts w:hint="default" w:ascii="宋体" w:cs="宋体"/>
                <w:color w:val="auto"/>
                <w:kern w:val="0"/>
                <w:sz w:val="21"/>
                <w:szCs w:val="22"/>
                <w:highlight w:val="none"/>
              </w:rPr>
            </w:pPr>
            <w:r>
              <w:rPr>
                <w:rFonts w:hint="eastAsia" w:ascii="宋体" w:hAnsi="宋体" w:cs="宋体"/>
                <w:color w:val="auto"/>
                <w:kern w:val="0"/>
                <w:sz w:val="21"/>
                <w:szCs w:val="22"/>
                <w:highlight w:val="none"/>
              </w:rPr>
              <w:t>承诺工程质量</w:t>
            </w:r>
          </w:p>
        </w:tc>
        <w:tc>
          <w:tcPr>
            <w:tcW w:w="1854" w:type="dxa"/>
            <w:vAlign w:val="center"/>
          </w:tcPr>
          <w:p w14:paraId="7ACC8C3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2633" w:type="dxa"/>
            <w:vAlign w:val="center"/>
          </w:tcPr>
          <w:p w14:paraId="08A8A8D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c>
          <w:tcPr>
            <w:tcW w:w="900" w:type="dxa"/>
            <w:vAlign w:val="center"/>
          </w:tcPr>
          <w:p w14:paraId="2520C6F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r>
      <w:tr w14:paraId="3921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37C61C4A">
            <w:pPr>
              <w:keepNext w:val="0"/>
              <w:keepLines w:val="0"/>
              <w:suppressLineNumbers w:val="0"/>
              <w:autoSpaceDE w:val="0"/>
              <w:autoSpaceDN w:val="0"/>
              <w:adjustRightInd w:val="0"/>
              <w:spacing w:before="0" w:beforeAutospacing="0" w:after="0" w:afterAutospacing="0" w:line="360" w:lineRule="auto"/>
              <w:ind w:left="-540" w:leftChars="-270" w:right="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2145" w:type="dxa"/>
            <w:vAlign w:val="center"/>
          </w:tcPr>
          <w:p w14:paraId="0330ECD0">
            <w:pPr>
              <w:keepNext w:val="0"/>
              <w:keepLines w:val="0"/>
              <w:suppressLineNumbers w:val="0"/>
              <w:autoSpaceDE w:val="0"/>
              <w:autoSpaceDN w:val="0"/>
              <w:adjustRightInd w:val="0"/>
              <w:spacing w:before="0" w:beforeAutospacing="0" w:after="0" w:afterAutospacing="0" w:line="360" w:lineRule="auto"/>
              <w:ind w:left="0" w:right="0"/>
              <w:rPr>
                <w:rFonts w:hint="default" w:ascii="宋体" w:eastAsia="宋体" w:cs="宋体"/>
                <w:color w:val="auto"/>
                <w:kern w:val="0"/>
                <w:sz w:val="21"/>
                <w:szCs w:val="22"/>
                <w:highlight w:val="none"/>
                <w:lang w:val="en-US" w:eastAsia="zh-CN"/>
              </w:rPr>
            </w:pPr>
            <w:r>
              <w:rPr>
                <w:rFonts w:hint="eastAsia" w:ascii="宋体" w:cs="宋体"/>
                <w:color w:val="auto"/>
                <w:kern w:val="0"/>
                <w:sz w:val="21"/>
                <w:szCs w:val="22"/>
                <w:highlight w:val="none"/>
                <w:lang w:val="en-US" w:eastAsia="zh-CN"/>
              </w:rPr>
              <w:t>……</w:t>
            </w:r>
          </w:p>
        </w:tc>
        <w:tc>
          <w:tcPr>
            <w:tcW w:w="1854" w:type="dxa"/>
            <w:vAlign w:val="center"/>
          </w:tcPr>
          <w:p w14:paraId="33B936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color w:val="auto"/>
                <w:kern w:val="0"/>
                <w:sz w:val="21"/>
                <w:szCs w:val="22"/>
                <w:highlight w:val="none"/>
              </w:rPr>
            </w:pPr>
          </w:p>
        </w:tc>
        <w:tc>
          <w:tcPr>
            <w:tcW w:w="2633" w:type="dxa"/>
            <w:vAlign w:val="center"/>
          </w:tcPr>
          <w:p w14:paraId="35FB8EA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rPr>
            </w:pPr>
          </w:p>
        </w:tc>
        <w:tc>
          <w:tcPr>
            <w:tcW w:w="900" w:type="dxa"/>
            <w:vAlign w:val="center"/>
          </w:tcPr>
          <w:p w14:paraId="579E26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cs="宋体"/>
                <w:color w:val="auto"/>
                <w:kern w:val="0"/>
                <w:sz w:val="21"/>
                <w:szCs w:val="22"/>
                <w:highlight w:val="none"/>
                <w:u w:val="single"/>
              </w:rPr>
            </w:pPr>
          </w:p>
        </w:tc>
      </w:tr>
    </w:tbl>
    <w:p w14:paraId="67C03450">
      <w:pPr>
        <w:pStyle w:val="35"/>
        <w:snapToGrid w:val="0"/>
        <w:spacing w:line="360" w:lineRule="auto"/>
        <w:rPr>
          <w:rFonts w:hint="eastAsia" w:ascii="宋体" w:hAnsi="宋体" w:eastAsia="宋体"/>
          <w:color w:val="auto"/>
          <w:sz w:val="22"/>
          <w:szCs w:val="22"/>
          <w:highlight w:val="none"/>
          <w:lang w:eastAsia="zh-CN"/>
        </w:rPr>
      </w:pPr>
    </w:p>
    <w:p w14:paraId="04C2E3D0">
      <w:pPr>
        <w:pStyle w:val="16"/>
        <w:spacing w:line="360" w:lineRule="auto"/>
        <w:rPr>
          <w:color w:val="auto"/>
          <w:sz w:val="21"/>
          <w:szCs w:val="22"/>
          <w:highlight w:val="none"/>
        </w:rPr>
      </w:pPr>
      <w:r>
        <w:rPr>
          <w:rFonts w:hint="eastAsia"/>
          <w:color w:val="auto"/>
          <w:sz w:val="21"/>
          <w:szCs w:val="22"/>
          <w:highlight w:val="none"/>
        </w:rPr>
        <w:t>法定代表人</w:t>
      </w:r>
      <w:r>
        <w:rPr>
          <w:rFonts w:hint="eastAsia"/>
          <w:color w:val="auto"/>
          <w:sz w:val="21"/>
          <w:szCs w:val="22"/>
          <w:highlight w:val="none"/>
          <w:lang w:eastAsia="zh-CN"/>
        </w:rPr>
        <w:t>（</w:t>
      </w:r>
      <w:r>
        <w:rPr>
          <w:rFonts w:hint="eastAsia"/>
          <w:color w:val="auto"/>
          <w:sz w:val="21"/>
          <w:szCs w:val="22"/>
          <w:highlight w:val="none"/>
        </w:rPr>
        <w:t>负责人、自然人</w:t>
      </w:r>
      <w:r>
        <w:rPr>
          <w:rFonts w:hint="eastAsia"/>
          <w:color w:val="auto"/>
          <w:sz w:val="21"/>
          <w:szCs w:val="22"/>
          <w:highlight w:val="none"/>
          <w:lang w:eastAsia="zh-CN"/>
        </w:rPr>
        <w:t>）</w:t>
      </w:r>
      <w:r>
        <w:rPr>
          <w:rFonts w:hint="eastAsia"/>
          <w:color w:val="auto"/>
          <w:sz w:val="21"/>
          <w:szCs w:val="22"/>
          <w:highlight w:val="none"/>
        </w:rPr>
        <w:t>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 xml:space="preserve">: </w:t>
      </w:r>
    </w:p>
    <w:p w14:paraId="45D5CBA8">
      <w:pPr>
        <w:pStyle w:val="16"/>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412EC4EB">
      <w:pPr>
        <w:pStyle w:val="16"/>
        <w:spacing w:line="360" w:lineRule="auto"/>
        <w:rPr>
          <w:color w:val="auto"/>
          <w:sz w:val="21"/>
          <w:szCs w:val="22"/>
          <w:highlight w:val="none"/>
        </w:rPr>
      </w:pPr>
      <w:r>
        <w:rPr>
          <w:color w:val="auto"/>
          <w:sz w:val="21"/>
          <w:szCs w:val="22"/>
          <w:highlight w:val="none"/>
        </w:rPr>
        <w:t xml:space="preserve">时间：   年  月  日 </w:t>
      </w:r>
    </w:p>
    <w:p w14:paraId="631FA7D1">
      <w:pPr>
        <w:pStyle w:val="16"/>
        <w:spacing w:line="360" w:lineRule="auto"/>
        <w:rPr>
          <w:b/>
          <w:color w:val="auto"/>
          <w:sz w:val="32"/>
          <w:szCs w:val="32"/>
          <w:highlight w:val="none"/>
        </w:rPr>
      </w:pPr>
    </w:p>
    <w:p w14:paraId="1B4D49A1">
      <w:pPr>
        <w:pStyle w:val="35"/>
        <w:rPr>
          <w:b/>
          <w:color w:val="auto"/>
          <w:sz w:val="28"/>
          <w:szCs w:val="28"/>
          <w:highlight w:val="none"/>
        </w:rPr>
      </w:pPr>
    </w:p>
    <w:p w14:paraId="700F6634">
      <w:pPr>
        <w:pStyle w:val="16"/>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CEBDE77">
      <w:pPr>
        <w:pStyle w:val="16"/>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0F2CD052">
      <w:pPr>
        <w:pStyle w:val="41"/>
        <w:spacing w:line="360" w:lineRule="auto"/>
        <w:jc w:val="center"/>
        <w:rPr>
          <w:rFonts w:ascii="宋体" w:hAnsi="宋体"/>
          <w:color w:val="auto"/>
          <w:sz w:val="36"/>
          <w:szCs w:val="22"/>
          <w:highlight w:val="none"/>
        </w:rPr>
      </w:pPr>
      <w:bookmarkStart w:id="104" w:name="_Toc32185"/>
      <w:bookmarkStart w:id="105" w:name="_Toc514605323"/>
      <w:bookmarkStart w:id="106" w:name="_Toc514606978"/>
      <w:bookmarkStart w:id="107" w:name="_Toc514605590"/>
      <w:bookmarkStart w:id="108" w:name="_Toc435"/>
      <w:bookmarkStart w:id="109" w:name="_Toc514607589"/>
      <w:bookmarkStart w:id="110" w:name="_Toc10961"/>
      <w:r>
        <w:rPr>
          <w:rFonts w:ascii="宋体" w:hAnsi="宋体"/>
          <w:color w:val="auto"/>
          <w:szCs w:val="21"/>
          <w:highlight w:val="none"/>
        </w:rPr>
        <w:t>磋商报价表</w:t>
      </w:r>
      <w:bookmarkEnd w:id="104"/>
      <w:bookmarkEnd w:id="105"/>
      <w:bookmarkEnd w:id="106"/>
      <w:bookmarkEnd w:id="107"/>
      <w:bookmarkEnd w:id="108"/>
      <w:bookmarkEnd w:id="109"/>
      <w:bookmarkEnd w:id="110"/>
    </w:p>
    <w:p w14:paraId="3E2B8C68">
      <w:pP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7"/>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3B6B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5380B6">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45B87F1A">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金额</w:t>
            </w:r>
          </w:p>
        </w:tc>
        <w:tc>
          <w:tcPr>
            <w:tcW w:w="2400" w:type="dxa"/>
            <w:vAlign w:val="center"/>
          </w:tcPr>
          <w:p w14:paraId="1A182F3F">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备注</w:t>
            </w:r>
          </w:p>
        </w:tc>
      </w:tr>
      <w:tr w14:paraId="6B32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A86959E">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29F12066">
            <w:pPr>
              <w:keepNext w:val="0"/>
              <w:keepLines w:val="0"/>
              <w:suppressLineNumbers w:val="0"/>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3939601E">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r>
      <w:tr w14:paraId="3D01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6D9191C">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c>
          <w:tcPr>
            <w:tcW w:w="3176" w:type="dxa"/>
            <w:vAlign w:val="center"/>
          </w:tcPr>
          <w:p w14:paraId="56B1EC5D">
            <w:pPr>
              <w:keepNext w:val="0"/>
              <w:keepLines w:val="0"/>
              <w:suppressLineNumbers w:val="0"/>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12518DBB">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r>
      <w:tr w14:paraId="76B9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82A5136">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04419245">
            <w:pPr>
              <w:keepNext w:val="0"/>
              <w:keepLines w:val="0"/>
              <w:suppressLineNumbers w:val="0"/>
              <w:spacing w:before="0" w:beforeAutospacing="0" w:after="0" w:afterAutospacing="0" w:line="360" w:lineRule="auto"/>
              <w:ind w:left="0" w:right="140"/>
              <w:jc w:val="center"/>
              <w:rPr>
                <w:rFonts w:hint="default"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53ADD3DD">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p>
        </w:tc>
      </w:tr>
      <w:tr w14:paraId="08D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458AE226">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 xml:space="preserve"> 人民币                        </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1D15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4" w:type="dxa"/>
            <w:gridSpan w:val="3"/>
          </w:tcPr>
          <w:p w14:paraId="1686FDEC">
            <w:pPr>
              <w:keepNext w:val="0"/>
              <w:keepLines w:val="0"/>
              <w:suppressLineNumbers w:val="0"/>
              <w:spacing w:before="0" w:beforeAutospacing="0" w:after="0" w:afterAutospacing="0" w:line="360" w:lineRule="auto"/>
              <w:ind w:left="0" w:right="700"/>
              <w:rPr>
                <w:rFonts w:hint="default" w:ascii="宋体" w:cs="宋体"/>
                <w:color w:val="auto"/>
                <w:sz w:val="21"/>
                <w:szCs w:val="22"/>
                <w:highlight w:val="none"/>
              </w:rPr>
            </w:pPr>
            <w:r>
              <w:rPr>
                <w:rFonts w:hint="eastAsia" w:ascii="宋体" w:hAnsi="宋体" w:cs="宋体"/>
                <w:color w:val="auto"/>
                <w:sz w:val="21"/>
                <w:szCs w:val="22"/>
                <w:highlight w:val="none"/>
              </w:rPr>
              <w:t>说明：</w:t>
            </w:r>
          </w:p>
        </w:tc>
      </w:tr>
      <w:tr w14:paraId="2E6D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0408488B">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工期（日历日）</w:t>
            </w:r>
          </w:p>
        </w:tc>
        <w:tc>
          <w:tcPr>
            <w:tcW w:w="5576" w:type="dxa"/>
            <w:gridSpan w:val="2"/>
            <w:vAlign w:val="center"/>
          </w:tcPr>
          <w:p w14:paraId="658AD184">
            <w:pPr>
              <w:keepNext w:val="0"/>
              <w:keepLines w:val="0"/>
              <w:suppressLineNumbers w:val="0"/>
              <w:spacing w:before="0" w:beforeAutospacing="0" w:after="0" w:afterAutospacing="0" w:line="360" w:lineRule="auto"/>
              <w:ind w:left="0" w:right="700"/>
              <w:jc w:val="center"/>
              <w:rPr>
                <w:rFonts w:hint="default" w:ascii="宋体" w:cs="宋体"/>
                <w:color w:val="auto"/>
                <w:sz w:val="21"/>
                <w:szCs w:val="22"/>
                <w:highlight w:val="none"/>
              </w:rPr>
            </w:pPr>
          </w:p>
        </w:tc>
      </w:tr>
      <w:tr w14:paraId="54FA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AE926B2">
            <w:pPr>
              <w:keepNext w:val="0"/>
              <w:keepLines w:val="0"/>
              <w:suppressLineNumbers w:val="0"/>
              <w:spacing w:before="0" w:beforeAutospacing="0" w:after="0" w:afterAutospacing="0" w:line="360" w:lineRule="auto"/>
              <w:ind w:left="0" w:right="0"/>
              <w:jc w:val="center"/>
              <w:rPr>
                <w:rFonts w:hint="default" w:ascii="宋体" w:cs="宋体"/>
                <w:color w:val="auto"/>
                <w:sz w:val="21"/>
                <w:szCs w:val="22"/>
                <w:highlight w:val="none"/>
              </w:rPr>
            </w:pPr>
            <w:r>
              <w:rPr>
                <w:rFonts w:hint="eastAsia" w:ascii="宋体" w:hAnsi="宋体" w:cs="宋体"/>
                <w:color w:val="auto"/>
                <w:sz w:val="21"/>
                <w:szCs w:val="22"/>
                <w:highlight w:val="none"/>
              </w:rPr>
              <w:t>承诺工程质量</w:t>
            </w:r>
          </w:p>
        </w:tc>
        <w:tc>
          <w:tcPr>
            <w:tcW w:w="5576" w:type="dxa"/>
            <w:gridSpan w:val="2"/>
            <w:vAlign w:val="center"/>
          </w:tcPr>
          <w:p w14:paraId="666CA73D">
            <w:pPr>
              <w:keepNext w:val="0"/>
              <w:keepLines w:val="0"/>
              <w:suppressLineNumbers w:val="0"/>
              <w:spacing w:before="0" w:beforeAutospacing="0" w:after="0" w:afterAutospacing="0" w:line="360" w:lineRule="auto"/>
              <w:ind w:left="0" w:right="700"/>
              <w:jc w:val="center"/>
              <w:rPr>
                <w:rFonts w:hint="default" w:ascii="宋体" w:cs="宋体"/>
                <w:color w:val="auto"/>
                <w:sz w:val="21"/>
                <w:szCs w:val="22"/>
                <w:highlight w:val="none"/>
              </w:rPr>
            </w:pPr>
          </w:p>
        </w:tc>
      </w:tr>
    </w:tbl>
    <w:p w14:paraId="44DE6D3C">
      <w:pPr>
        <w:spacing w:line="360" w:lineRule="auto"/>
        <w:ind w:right="700" w:firstLine="315" w:firstLineChars="150"/>
        <w:rPr>
          <w:rFonts w:ascii="宋体" w:cs="宋体"/>
          <w:color w:val="auto"/>
          <w:sz w:val="21"/>
          <w:szCs w:val="22"/>
          <w:highlight w:val="none"/>
        </w:rPr>
      </w:pPr>
    </w:p>
    <w:p w14:paraId="5E9971DB">
      <w:pPr>
        <w:spacing w:line="360" w:lineRule="auto"/>
        <w:ind w:firstLine="840" w:firstLineChars="400"/>
        <w:rPr>
          <w:rFonts w:ascii="宋体" w:cs="宋体"/>
          <w:color w:val="auto"/>
          <w:sz w:val="21"/>
          <w:szCs w:val="22"/>
          <w:highlight w:val="none"/>
        </w:rPr>
      </w:pPr>
    </w:p>
    <w:p w14:paraId="3CE8E7A0">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33AEC75F">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6BC98E48">
      <w:pPr>
        <w:pStyle w:val="24"/>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日</w:t>
      </w:r>
    </w:p>
    <w:p w14:paraId="16D15141">
      <w:pPr>
        <w:rPr>
          <w:rFonts w:hint="eastAsia" w:ascii="宋体" w:hAnsi="宋体" w:cs="宋体"/>
          <w:color w:val="auto"/>
          <w:szCs w:val="21"/>
          <w:highlight w:val="none"/>
        </w:rPr>
      </w:pPr>
    </w:p>
    <w:p w14:paraId="5F6E12B4">
      <w:pPr>
        <w:pStyle w:val="14"/>
        <w:rPr>
          <w:rFonts w:hint="eastAsia" w:ascii="宋体" w:hAnsi="宋体" w:cs="宋体"/>
          <w:color w:val="auto"/>
          <w:szCs w:val="21"/>
          <w:highlight w:val="none"/>
        </w:rPr>
      </w:pPr>
    </w:p>
    <w:p w14:paraId="7BD1B7CD">
      <w:pPr>
        <w:rPr>
          <w:rFonts w:hint="eastAsia" w:ascii="宋体" w:hAnsi="宋体" w:cs="宋体"/>
          <w:color w:val="auto"/>
          <w:szCs w:val="21"/>
          <w:highlight w:val="none"/>
        </w:rPr>
      </w:pPr>
    </w:p>
    <w:p w14:paraId="782B9159">
      <w:pPr>
        <w:pStyle w:val="14"/>
        <w:rPr>
          <w:rFonts w:hint="eastAsia" w:ascii="宋体" w:hAnsi="宋体" w:cs="宋体"/>
          <w:color w:val="auto"/>
          <w:szCs w:val="21"/>
          <w:highlight w:val="none"/>
        </w:rPr>
      </w:pPr>
    </w:p>
    <w:p w14:paraId="7CC00E10">
      <w:pPr>
        <w:rPr>
          <w:rFonts w:hint="eastAsia" w:ascii="宋体" w:hAnsi="宋体" w:cs="宋体"/>
          <w:color w:val="auto"/>
          <w:szCs w:val="21"/>
          <w:highlight w:val="none"/>
        </w:rPr>
      </w:pPr>
    </w:p>
    <w:p w14:paraId="77D715EB">
      <w:pPr>
        <w:pStyle w:val="14"/>
        <w:rPr>
          <w:rFonts w:hint="eastAsia" w:ascii="宋体" w:hAnsi="宋体" w:cs="宋体"/>
          <w:color w:val="auto"/>
          <w:szCs w:val="21"/>
          <w:highlight w:val="none"/>
        </w:rPr>
      </w:pPr>
    </w:p>
    <w:p w14:paraId="6CC77F14">
      <w:pPr>
        <w:rPr>
          <w:rFonts w:hint="eastAsia" w:ascii="宋体" w:hAnsi="宋体" w:cs="宋体"/>
          <w:color w:val="auto"/>
          <w:szCs w:val="21"/>
          <w:highlight w:val="none"/>
        </w:rPr>
      </w:pPr>
    </w:p>
    <w:p w14:paraId="34247F4A">
      <w:pPr>
        <w:pStyle w:val="14"/>
        <w:rPr>
          <w:rFonts w:hint="eastAsia" w:ascii="宋体" w:hAnsi="宋体" w:cs="宋体"/>
          <w:color w:val="auto"/>
          <w:szCs w:val="21"/>
          <w:highlight w:val="none"/>
        </w:rPr>
      </w:pPr>
    </w:p>
    <w:p w14:paraId="4F5645B0">
      <w:pPr>
        <w:rPr>
          <w:rFonts w:hint="eastAsia" w:ascii="宋体" w:hAnsi="宋体" w:cs="宋体"/>
          <w:color w:val="auto"/>
          <w:szCs w:val="21"/>
          <w:highlight w:val="none"/>
        </w:rPr>
      </w:pPr>
    </w:p>
    <w:p w14:paraId="14ED3A2E">
      <w:pPr>
        <w:pStyle w:val="14"/>
        <w:rPr>
          <w:rFonts w:hint="eastAsia" w:ascii="宋体" w:hAnsi="宋体" w:cs="宋体"/>
          <w:color w:val="auto"/>
          <w:szCs w:val="21"/>
          <w:highlight w:val="none"/>
        </w:rPr>
      </w:pPr>
    </w:p>
    <w:p w14:paraId="203CF1EC">
      <w:pPr>
        <w:rPr>
          <w:rFonts w:hint="eastAsia" w:ascii="宋体" w:hAnsi="宋体" w:cs="宋体"/>
          <w:color w:val="auto"/>
          <w:szCs w:val="21"/>
          <w:highlight w:val="none"/>
        </w:rPr>
      </w:pPr>
    </w:p>
    <w:p w14:paraId="3BFE18D4">
      <w:pPr>
        <w:pStyle w:val="14"/>
        <w:rPr>
          <w:rFonts w:hint="eastAsia" w:ascii="宋体" w:hAnsi="宋体" w:cs="宋体"/>
          <w:color w:val="auto"/>
          <w:szCs w:val="21"/>
          <w:highlight w:val="none"/>
        </w:rPr>
      </w:pPr>
    </w:p>
    <w:p w14:paraId="3E1CEF89">
      <w:pPr>
        <w:rPr>
          <w:rFonts w:hint="eastAsia" w:ascii="宋体" w:hAnsi="宋体" w:cs="宋体"/>
          <w:color w:val="auto"/>
          <w:szCs w:val="21"/>
          <w:highlight w:val="none"/>
        </w:rPr>
      </w:pPr>
    </w:p>
    <w:p w14:paraId="1313ED5D">
      <w:pPr>
        <w:pStyle w:val="14"/>
        <w:rPr>
          <w:rFonts w:hint="eastAsia" w:ascii="宋体" w:hAnsi="宋体" w:cs="宋体"/>
          <w:color w:val="auto"/>
          <w:szCs w:val="21"/>
          <w:highlight w:val="none"/>
        </w:rPr>
      </w:pPr>
    </w:p>
    <w:p w14:paraId="039C1992">
      <w:pPr>
        <w:rPr>
          <w:rFonts w:hint="eastAsia"/>
          <w:color w:val="auto"/>
        </w:rPr>
      </w:pPr>
    </w:p>
    <w:p w14:paraId="67D1FF4F">
      <w:pPr>
        <w:pStyle w:val="2"/>
        <w:rPr>
          <w:rFonts w:hint="eastAsia" w:ascii="宋体" w:hAnsi="宋体" w:cs="宋体"/>
          <w:color w:val="auto"/>
          <w:szCs w:val="21"/>
          <w:highlight w:val="none"/>
        </w:rPr>
      </w:pPr>
    </w:p>
    <w:p w14:paraId="01A7293E">
      <w:pPr>
        <w:numPr>
          <w:ilvl w:val="0"/>
          <w:numId w:val="0"/>
        </w:numPr>
        <w:spacing w:line="360" w:lineRule="auto"/>
        <w:rPr>
          <w:rFonts w:hint="eastAsia"/>
          <w:b/>
          <w:color w:val="auto"/>
          <w:sz w:val="28"/>
          <w:szCs w:val="28"/>
          <w:highlight w:val="none"/>
          <w:lang w:eastAsia="zh-CN"/>
        </w:rPr>
      </w:pPr>
      <w:bookmarkStart w:id="111" w:name="_Toc392941016"/>
      <w:bookmarkEnd w:id="111"/>
      <w:bookmarkStart w:id="112" w:name="_Toc458689680"/>
      <w:bookmarkEnd w:id="112"/>
      <w:bookmarkStart w:id="113" w:name="_Toc502737803"/>
      <w:bookmarkEnd w:id="113"/>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327B8455">
      <w:pP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6285E0FB">
      <w:pP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2CEDA125">
      <w:pPr>
        <w:pStyle w:val="5"/>
        <w:numPr>
          <w:ilvl w:val="0"/>
          <w:numId w:val="0"/>
        </w:numPr>
        <w:spacing w:line="360" w:lineRule="auto"/>
        <w:ind w:firstLine="2168" w:firstLineChars="600"/>
        <w:jc w:val="both"/>
        <w:rPr>
          <w:rFonts w:hint="eastAsia" w:ascii="宋体" w:hAnsi="宋体" w:cs="宋体"/>
          <w:color w:val="auto"/>
          <w:sz w:val="36"/>
          <w:highlight w:val="none"/>
        </w:rPr>
      </w:pPr>
    </w:p>
    <w:p w14:paraId="6639EE5A">
      <w:pPr>
        <w:rPr>
          <w:rFonts w:hint="eastAsia" w:ascii="宋体" w:hAnsi="宋体" w:cs="宋体"/>
          <w:color w:val="auto"/>
          <w:sz w:val="36"/>
          <w:highlight w:val="none"/>
        </w:rPr>
      </w:pPr>
    </w:p>
    <w:p w14:paraId="1F891F3F">
      <w:pPr>
        <w:pStyle w:val="14"/>
        <w:rPr>
          <w:rFonts w:hint="eastAsia" w:ascii="宋体" w:hAnsi="宋体" w:cs="宋体"/>
          <w:color w:val="auto"/>
          <w:sz w:val="36"/>
          <w:highlight w:val="none"/>
        </w:rPr>
      </w:pPr>
    </w:p>
    <w:p w14:paraId="2D0226B7">
      <w:pPr>
        <w:pStyle w:val="5"/>
        <w:numPr>
          <w:ilvl w:val="0"/>
          <w:numId w:val="5"/>
        </w:numPr>
        <w:spacing w:line="360" w:lineRule="auto"/>
        <w:jc w:val="left"/>
        <w:rPr>
          <w:rFonts w:hint="eastAsia" w:ascii="Times New Roman" w:hAnsi="Times New Roman" w:eastAsia="宋体" w:cs="Times New Roman"/>
          <w:b/>
          <w:color w:val="auto"/>
          <w:kern w:val="0"/>
          <w:sz w:val="28"/>
          <w:szCs w:val="28"/>
          <w:highlight w:val="none"/>
          <w:lang w:val="en-US" w:eastAsia="zh-CN" w:bidi="hi-IN"/>
        </w:rPr>
      </w:pPr>
      <w:bookmarkStart w:id="114" w:name="_Toc3039"/>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bookmarkEnd w:id="114"/>
    </w:p>
    <w:p w14:paraId="1B7E2340">
      <w:pPr>
        <w:pStyle w:val="35"/>
        <w:spacing w:line="360" w:lineRule="auto"/>
        <w:rPr>
          <w:rFonts w:ascii="宋体" w:hAnsi="宋体"/>
          <w:b/>
          <w:bCs/>
          <w:color w:val="auto"/>
          <w:sz w:val="24"/>
          <w:highlight w:val="none"/>
        </w:rPr>
      </w:pPr>
    </w:p>
    <w:p w14:paraId="7F3183A9">
      <w:pPr>
        <w:pStyle w:val="36"/>
        <w:rPr>
          <w:rFonts w:ascii="宋体" w:hAnsi="宋体"/>
          <w:b/>
          <w:bCs/>
          <w:color w:val="auto"/>
          <w:sz w:val="24"/>
          <w:highlight w:val="none"/>
        </w:rPr>
      </w:pPr>
    </w:p>
    <w:p w14:paraId="7B3B9CCD">
      <w:pPr>
        <w:pStyle w:val="35"/>
        <w:rPr>
          <w:rFonts w:ascii="宋体" w:hAnsi="宋体"/>
          <w:b/>
          <w:bCs/>
          <w:color w:val="auto"/>
          <w:sz w:val="24"/>
          <w:highlight w:val="none"/>
        </w:rPr>
      </w:pPr>
    </w:p>
    <w:p w14:paraId="26F90163">
      <w:pPr>
        <w:pStyle w:val="36"/>
        <w:rPr>
          <w:rFonts w:ascii="宋体" w:hAnsi="宋体"/>
          <w:b/>
          <w:bCs/>
          <w:color w:val="auto"/>
          <w:sz w:val="24"/>
          <w:highlight w:val="none"/>
        </w:rPr>
      </w:pPr>
    </w:p>
    <w:p w14:paraId="268A4AB8">
      <w:pPr>
        <w:pStyle w:val="35"/>
        <w:rPr>
          <w:rFonts w:ascii="宋体" w:hAnsi="宋体"/>
          <w:b/>
          <w:bCs/>
          <w:color w:val="auto"/>
          <w:sz w:val="24"/>
          <w:highlight w:val="none"/>
        </w:rPr>
      </w:pPr>
    </w:p>
    <w:p w14:paraId="2478B963">
      <w:pPr>
        <w:pStyle w:val="36"/>
        <w:rPr>
          <w:rFonts w:ascii="宋体" w:hAnsi="宋体"/>
          <w:b/>
          <w:bCs/>
          <w:color w:val="auto"/>
          <w:sz w:val="24"/>
          <w:highlight w:val="none"/>
        </w:rPr>
      </w:pPr>
    </w:p>
    <w:p w14:paraId="1065EE9C">
      <w:pPr>
        <w:pStyle w:val="35"/>
        <w:rPr>
          <w:rFonts w:ascii="宋体" w:hAnsi="宋体"/>
          <w:b/>
          <w:bCs/>
          <w:color w:val="auto"/>
          <w:sz w:val="24"/>
          <w:highlight w:val="none"/>
        </w:rPr>
      </w:pPr>
    </w:p>
    <w:p w14:paraId="3CBCF26C">
      <w:pPr>
        <w:pStyle w:val="36"/>
        <w:rPr>
          <w:rFonts w:ascii="宋体" w:hAnsi="宋体"/>
          <w:b/>
          <w:bCs/>
          <w:color w:val="auto"/>
          <w:sz w:val="24"/>
          <w:highlight w:val="none"/>
        </w:rPr>
      </w:pPr>
    </w:p>
    <w:p w14:paraId="721F88CB">
      <w:pPr>
        <w:pStyle w:val="35"/>
        <w:rPr>
          <w:rFonts w:ascii="宋体" w:hAnsi="宋体"/>
          <w:b/>
          <w:bCs/>
          <w:color w:val="auto"/>
          <w:sz w:val="24"/>
          <w:highlight w:val="none"/>
        </w:rPr>
      </w:pPr>
    </w:p>
    <w:p w14:paraId="2D9E7242">
      <w:pPr>
        <w:pStyle w:val="36"/>
        <w:rPr>
          <w:rFonts w:ascii="宋体" w:hAnsi="宋体"/>
          <w:b/>
          <w:bCs/>
          <w:color w:val="auto"/>
          <w:sz w:val="24"/>
          <w:highlight w:val="none"/>
        </w:rPr>
      </w:pPr>
    </w:p>
    <w:p w14:paraId="017AE808">
      <w:pPr>
        <w:pStyle w:val="35"/>
        <w:rPr>
          <w:rFonts w:ascii="宋体" w:hAnsi="宋体"/>
          <w:b/>
          <w:bCs/>
          <w:color w:val="auto"/>
          <w:sz w:val="24"/>
          <w:highlight w:val="none"/>
        </w:rPr>
      </w:pPr>
    </w:p>
    <w:p w14:paraId="7D60F99B">
      <w:pPr>
        <w:pStyle w:val="36"/>
        <w:rPr>
          <w:rFonts w:ascii="宋体" w:hAnsi="宋体"/>
          <w:b/>
          <w:bCs/>
          <w:color w:val="auto"/>
          <w:sz w:val="24"/>
          <w:highlight w:val="none"/>
        </w:rPr>
      </w:pPr>
    </w:p>
    <w:p w14:paraId="362999A5">
      <w:pPr>
        <w:pStyle w:val="35"/>
        <w:rPr>
          <w:rFonts w:ascii="宋体" w:hAnsi="宋体"/>
          <w:b/>
          <w:bCs/>
          <w:color w:val="auto"/>
          <w:sz w:val="24"/>
          <w:highlight w:val="none"/>
        </w:rPr>
      </w:pPr>
    </w:p>
    <w:p w14:paraId="7A21CCCC">
      <w:pPr>
        <w:pStyle w:val="36"/>
        <w:rPr>
          <w:rFonts w:ascii="宋体" w:hAnsi="宋体"/>
          <w:b/>
          <w:bCs/>
          <w:color w:val="auto"/>
          <w:sz w:val="24"/>
          <w:highlight w:val="none"/>
        </w:rPr>
      </w:pPr>
    </w:p>
    <w:p w14:paraId="7D13EBD1">
      <w:pPr>
        <w:pStyle w:val="35"/>
        <w:rPr>
          <w:rFonts w:ascii="宋体" w:hAnsi="宋体"/>
          <w:b/>
          <w:bCs/>
          <w:color w:val="auto"/>
          <w:sz w:val="24"/>
          <w:highlight w:val="none"/>
        </w:rPr>
      </w:pPr>
    </w:p>
    <w:p w14:paraId="05DF9CB8">
      <w:pPr>
        <w:pStyle w:val="36"/>
        <w:rPr>
          <w:rFonts w:ascii="宋体" w:hAnsi="宋体"/>
          <w:b/>
          <w:bCs/>
          <w:color w:val="auto"/>
          <w:sz w:val="24"/>
          <w:highlight w:val="none"/>
        </w:rPr>
      </w:pPr>
    </w:p>
    <w:p w14:paraId="0CE9DED3">
      <w:pPr>
        <w:pStyle w:val="35"/>
        <w:rPr>
          <w:rFonts w:ascii="宋体" w:hAnsi="宋体"/>
          <w:b/>
          <w:bCs/>
          <w:color w:val="auto"/>
          <w:sz w:val="24"/>
          <w:highlight w:val="none"/>
        </w:rPr>
      </w:pPr>
    </w:p>
    <w:p w14:paraId="4253DD5D">
      <w:pPr>
        <w:pStyle w:val="36"/>
        <w:rPr>
          <w:rFonts w:ascii="宋体" w:hAnsi="宋体"/>
          <w:b/>
          <w:bCs/>
          <w:color w:val="auto"/>
          <w:sz w:val="24"/>
          <w:highlight w:val="none"/>
        </w:rPr>
      </w:pPr>
    </w:p>
    <w:p w14:paraId="28966840">
      <w:pPr>
        <w:pStyle w:val="35"/>
        <w:rPr>
          <w:rFonts w:ascii="宋体" w:hAnsi="宋体"/>
          <w:b/>
          <w:bCs/>
          <w:color w:val="auto"/>
          <w:sz w:val="24"/>
          <w:highlight w:val="none"/>
        </w:rPr>
      </w:pPr>
    </w:p>
    <w:p w14:paraId="7EBC4B3C">
      <w:pPr>
        <w:pStyle w:val="36"/>
        <w:rPr>
          <w:rFonts w:ascii="宋体" w:hAnsi="宋体"/>
          <w:b/>
          <w:bCs/>
          <w:color w:val="auto"/>
          <w:sz w:val="24"/>
          <w:highlight w:val="none"/>
        </w:rPr>
      </w:pPr>
    </w:p>
    <w:p w14:paraId="60CC8816">
      <w:pPr>
        <w:pStyle w:val="35"/>
        <w:rPr>
          <w:rFonts w:ascii="宋体" w:hAnsi="宋体"/>
          <w:b/>
          <w:bCs/>
          <w:color w:val="auto"/>
          <w:sz w:val="24"/>
          <w:highlight w:val="none"/>
        </w:rPr>
      </w:pPr>
    </w:p>
    <w:p w14:paraId="02E1ED77">
      <w:pPr>
        <w:pStyle w:val="36"/>
        <w:rPr>
          <w:color w:val="auto"/>
        </w:rPr>
      </w:pPr>
    </w:p>
    <w:p w14:paraId="6FF91D05">
      <w:pPr>
        <w:pStyle w:val="5"/>
        <w:spacing w:line="360" w:lineRule="auto"/>
        <w:jc w:val="center"/>
        <w:rPr>
          <w:rFonts w:ascii="宋体" w:cs="宋体"/>
          <w:color w:val="auto"/>
          <w:sz w:val="36"/>
          <w:highlight w:val="none"/>
        </w:rPr>
      </w:pPr>
      <w:bookmarkStart w:id="115" w:name="_Toc28436"/>
      <w:bookmarkStart w:id="116" w:name="_Toc22137"/>
      <w:bookmarkStart w:id="117" w:name="_Toc23492"/>
      <w:bookmarkStart w:id="118" w:name="_Toc16105"/>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115"/>
      <w:bookmarkEnd w:id="116"/>
      <w:bookmarkEnd w:id="117"/>
      <w:bookmarkEnd w:id="118"/>
    </w:p>
    <w:p w14:paraId="112E4A90">
      <w:pPr>
        <w:pStyle w:val="6"/>
        <w:spacing w:line="360" w:lineRule="auto"/>
        <w:jc w:val="center"/>
        <w:rPr>
          <w:rFonts w:ascii="宋体" w:hAnsi="宋体" w:eastAsia="宋体" w:cs="宋体"/>
          <w:color w:val="auto"/>
          <w:kern w:val="0"/>
          <w:highlight w:val="none"/>
        </w:rPr>
      </w:pPr>
      <w:bookmarkStart w:id="119" w:name="_Toc9540"/>
      <w:bookmarkStart w:id="120" w:name="_Toc13855"/>
      <w:bookmarkStart w:id="121" w:name="_Toc14859"/>
      <w:bookmarkStart w:id="122" w:name="_Toc9157"/>
      <w:r>
        <w:rPr>
          <w:rFonts w:hint="eastAsia" w:ascii="宋体" w:hAnsi="宋体" w:eastAsia="宋体" w:cs="宋体"/>
          <w:color w:val="auto"/>
          <w:kern w:val="0"/>
          <w:highlight w:val="none"/>
        </w:rPr>
        <w:t>封面格式</w:t>
      </w:r>
      <w:bookmarkEnd w:id="119"/>
      <w:bookmarkEnd w:id="120"/>
      <w:bookmarkEnd w:id="121"/>
      <w:bookmarkEnd w:id="122"/>
    </w:p>
    <w:p w14:paraId="44738A42">
      <w:pPr>
        <w:pStyle w:val="35"/>
        <w:spacing w:line="360" w:lineRule="auto"/>
        <w:rPr>
          <w:rFonts w:ascii="宋体" w:hAnsi="宋体"/>
          <w:b/>
          <w:bCs/>
          <w:color w:val="auto"/>
          <w:sz w:val="24"/>
          <w:highlight w:val="none"/>
        </w:rPr>
      </w:pPr>
    </w:p>
    <w:p w14:paraId="7C5C4574">
      <w:pPr>
        <w:pStyle w:val="35"/>
        <w:rPr>
          <w:color w:val="auto"/>
          <w:highlight w:val="none"/>
        </w:rPr>
      </w:pPr>
    </w:p>
    <w:tbl>
      <w:tblPr>
        <w:tblStyle w:val="27"/>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A69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5F6B078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22"/>
                <w:szCs w:val="21"/>
                <w:highlight w:val="none"/>
                <w:lang w:eastAsia="zh-CN"/>
              </w:rPr>
            </w:pPr>
            <w:bookmarkStart w:id="123" w:name="_Toc9301"/>
            <w:bookmarkStart w:id="124" w:name="_Toc31228"/>
            <w:r>
              <w:rPr>
                <w:rFonts w:hint="eastAsia" w:ascii="宋体" w:hAnsi="宋体" w:cs="宋体"/>
                <w:b/>
                <w:color w:val="auto"/>
                <w:kern w:val="0"/>
                <w:sz w:val="32"/>
                <w:szCs w:val="21"/>
                <w:highlight w:val="none"/>
                <w:lang w:eastAsia="zh-CN"/>
              </w:rPr>
              <w:t>（项目名称）</w:t>
            </w:r>
            <w:bookmarkEnd w:id="123"/>
            <w:bookmarkEnd w:id="124"/>
          </w:p>
          <w:p w14:paraId="7E25A3B6">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7B4D62AC">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093AB7E7">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582E09F1">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280F89E1">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746374ED">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18B416F4">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25694C0C">
            <w:pPr>
              <w:pStyle w:val="2"/>
              <w:keepNext w:val="0"/>
              <w:keepLines w:val="0"/>
              <w:suppressLineNumbers w:val="0"/>
              <w:spacing w:before="0" w:beforeAutospacing="0" w:after="0" w:afterAutospacing="0"/>
              <w:ind w:left="0" w:right="0"/>
              <w:rPr>
                <w:rFonts w:hint="default" w:ascii="宋体" w:cs="宋体"/>
                <w:color w:val="auto"/>
                <w:kern w:val="0"/>
                <w:sz w:val="22"/>
                <w:szCs w:val="21"/>
                <w:highlight w:val="none"/>
              </w:rPr>
            </w:pPr>
          </w:p>
          <w:p w14:paraId="65DF679E">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5F631E65">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b/>
                <w:color w:val="auto"/>
                <w:kern w:val="0"/>
                <w:sz w:val="56"/>
                <w:szCs w:val="21"/>
                <w:highlight w:val="none"/>
              </w:rPr>
            </w:pPr>
            <w:bookmarkStart w:id="125" w:name="_Toc20346"/>
            <w:bookmarkStart w:id="126" w:name="_Toc18711"/>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25"/>
            <w:bookmarkEnd w:id="126"/>
          </w:p>
          <w:p w14:paraId="79874C8B">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eastAsia" w:ascii="宋体" w:eastAsia="宋体" w:cs="宋体"/>
                <w:b/>
                <w:color w:val="auto"/>
                <w:kern w:val="0"/>
                <w:sz w:val="56"/>
                <w:szCs w:val="21"/>
                <w:highlight w:val="none"/>
                <w:lang w:eastAsia="zh-CN"/>
              </w:rPr>
            </w:pPr>
          </w:p>
          <w:p w14:paraId="238C82FD">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08B9107C">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cs="宋体"/>
                <w:color w:val="auto"/>
                <w:kern w:val="0"/>
                <w:sz w:val="22"/>
                <w:szCs w:val="21"/>
                <w:highlight w:val="none"/>
              </w:rPr>
            </w:pPr>
          </w:p>
          <w:p w14:paraId="3DBC3718">
            <w:pPr>
              <w:keepNext w:val="0"/>
              <w:keepLines w:val="0"/>
              <w:suppressLineNumbers w:val="0"/>
              <w:autoSpaceDE w:val="0"/>
              <w:autoSpaceDN w:val="0"/>
              <w:adjustRightInd w:val="0"/>
              <w:spacing w:before="0" w:beforeAutospacing="0" w:after="0" w:afterAutospacing="0" w:line="360" w:lineRule="auto"/>
              <w:ind w:left="0" w:right="0"/>
              <w:jc w:val="center"/>
              <w:outlineLvl w:val="0"/>
              <w:rPr>
                <w:rFonts w:hint="default" w:ascii="宋体" w:hAnsi="宋体" w:cs="宋体"/>
                <w:color w:val="auto"/>
                <w:kern w:val="0"/>
                <w:sz w:val="22"/>
                <w:szCs w:val="21"/>
                <w:highlight w:val="none"/>
              </w:rPr>
            </w:pPr>
          </w:p>
          <w:p w14:paraId="103FDD2A">
            <w:pPr>
              <w:pStyle w:val="2"/>
              <w:keepNext w:val="0"/>
              <w:keepLines w:val="0"/>
              <w:suppressLineNumbers w:val="0"/>
              <w:spacing w:before="0" w:beforeAutospacing="0" w:after="0" w:afterAutospacing="0"/>
              <w:ind w:left="0" w:right="0"/>
              <w:rPr>
                <w:rFonts w:hint="default"/>
                <w:color w:val="auto"/>
                <w:szCs w:val="20"/>
                <w:highlight w:val="none"/>
              </w:rPr>
            </w:pPr>
          </w:p>
          <w:p w14:paraId="239B1348">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27" w:name="_Toc8285"/>
            <w:bookmarkStart w:id="128" w:name="_Toc20289"/>
            <w:r>
              <w:rPr>
                <w:rFonts w:hint="eastAsia" w:ascii="宋体" w:hAnsi="宋体" w:cs="宋体"/>
                <w:color w:val="auto"/>
                <w:kern w:val="0"/>
                <w:sz w:val="24"/>
                <w:szCs w:val="21"/>
                <w:highlight w:val="none"/>
              </w:rPr>
              <w:t>项目名称：</w:t>
            </w:r>
            <w:bookmarkEnd w:id="127"/>
            <w:bookmarkEnd w:id="128"/>
          </w:p>
          <w:p w14:paraId="50502241">
            <w:pPr>
              <w:keepNext w:val="0"/>
              <w:keepLines w:val="0"/>
              <w:suppressLineNumbers w:val="0"/>
              <w:autoSpaceDE w:val="0"/>
              <w:autoSpaceDN w:val="0"/>
              <w:adjustRightInd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50B60B24">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hAnsi="宋体" w:cs="宋体"/>
                <w:color w:val="auto"/>
                <w:kern w:val="0"/>
                <w:sz w:val="24"/>
                <w:szCs w:val="21"/>
                <w:highlight w:val="none"/>
                <w:u w:val="single"/>
              </w:rPr>
            </w:pPr>
            <w:bookmarkStart w:id="129" w:name="_Toc7578"/>
            <w:bookmarkStart w:id="130" w:name="_Toc1448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29"/>
            <w:bookmarkEnd w:id="130"/>
          </w:p>
          <w:p w14:paraId="6EDE23A3">
            <w:pPr>
              <w:keepNext w:val="0"/>
              <w:keepLines w:val="0"/>
              <w:suppressLineNumbers w:val="0"/>
              <w:autoSpaceDE w:val="0"/>
              <w:autoSpaceDN w:val="0"/>
              <w:adjustRightInd w:val="0"/>
              <w:spacing w:before="0" w:beforeAutospacing="0" w:after="0" w:afterAutospacing="0" w:line="360" w:lineRule="auto"/>
              <w:ind w:left="0" w:right="0" w:firstLine="480" w:firstLineChars="200"/>
              <w:outlineLvl w:val="0"/>
              <w:rPr>
                <w:rFonts w:hint="default" w:ascii="宋体" w:cs="宋体"/>
                <w:color w:val="auto"/>
                <w:kern w:val="0"/>
                <w:sz w:val="24"/>
                <w:szCs w:val="21"/>
                <w:highlight w:val="none"/>
              </w:rPr>
            </w:pPr>
            <w:bookmarkStart w:id="131" w:name="_Toc7735"/>
            <w:bookmarkStart w:id="132" w:name="_Toc2479"/>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31"/>
            <w:bookmarkEnd w:id="132"/>
          </w:p>
          <w:p w14:paraId="4663BAAC">
            <w:pPr>
              <w:keepNext w:val="0"/>
              <w:keepLines w:val="0"/>
              <w:suppressLineNumbers w:val="0"/>
              <w:spacing w:before="0" w:beforeAutospacing="0" w:after="0" w:afterAutospacing="0" w:line="360" w:lineRule="auto"/>
              <w:ind w:left="0" w:right="0" w:firstLine="480" w:firstLineChars="200"/>
              <w:rPr>
                <w:rFonts w:hint="default" w:ascii="宋体" w:cs="宋体"/>
                <w:color w:val="auto"/>
                <w:kern w:val="0"/>
                <w:sz w:val="24"/>
                <w:szCs w:val="21"/>
                <w:highlight w:val="none"/>
              </w:rPr>
            </w:pPr>
            <w:r>
              <w:rPr>
                <w:rFonts w:hint="eastAsia" w:ascii="宋体" w:hAnsi="宋体" w:cs="宋体"/>
                <w:color w:val="auto"/>
                <w:kern w:val="0"/>
                <w:sz w:val="24"/>
                <w:szCs w:val="21"/>
                <w:highlight w:val="none"/>
              </w:rPr>
              <w:t>日期：</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日</w:t>
            </w:r>
          </w:p>
        </w:tc>
      </w:tr>
    </w:tbl>
    <w:p w14:paraId="1359D4D4">
      <w:pPr>
        <w:pStyle w:val="35"/>
        <w:spacing w:line="360" w:lineRule="auto"/>
        <w:rPr>
          <w:rFonts w:ascii="宋体" w:hAnsi="宋体" w:cs="宋体"/>
          <w:color w:val="auto"/>
          <w:sz w:val="24"/>
          <w:highlight w:val="none"/>
        </w:rPr>
      </w:pPr>
    </w:p>
    <w:p w14:paraId="30EBDCC8">
      <w:pPr>
        <w:pStyle w:val="35"/>
        <w:spacing w:line="360" w:lineRule="auto"/>
        <w:rPr>
          <w:rFonts w:ascii="宋体" w:hAnsi="宋体" w:cs="宋体"/>
          <w:color w:val="auto"/>
          <w:sz w:val="24"/>
          <w:highlight w:val="none"/>
        </w:rPr>
      </w:pPr>
    </w:p>
    <w:p w14:paraId="3123365A">
      <w:pPr>
        <w:pStyle w:val="35"/>
        <w:spacing w:line="360" w:lineRule="auto"/>
        <w:rPr>
          <w:rFonts w:ascii="宋体" w:hAnsi="宋体" w:cs="宋体"/>
          <w:color w:val="auto"/>
          <w:sz w:val="24"/>
          <w:highlight w:val="none"/>
        </w:rPr>
      </w:pPr>
    </w:p>
    <w:p w14:paraId="3F0BF10D">
      <w:pPr>
        <w:pStyle w:val="36"/>
        <w:rPr>
          <w:rFonts w:ascii="宋体" w:hAnsi="宋体" w:cs="宋体"/>
          <w:color w:val="auto"/>
          <w:sz w:val="24"/>
          <w:highlight w:val="none"/>
        </w:rPr>
      </w:pPr>
    </w:p>
    <w:p w14:paraId="2159AACF">
      <w:pPr>
        <w:pStyle w:val="35"/>
        <w:rPr>
          <w:rFonts w:ascii="宋体" w:hAnsi="宋体" w:cs="宋体"/>
          <w:color w:val="auto"/>
          <w:sz w:val="24"/>
          <w:highlight w:val="none"/>
        </w:rPr>
      </w:pPr>
    </w:p>
    <w:p w14:paraId="027065E2">
      <w:pPr>
        <w:pStyle w:val="36"/>
        <w:rPr>
          <w:color w:val="auto"/>
          <w:highlight w:val="none"/>
        </w:rPr>
      </w:pPr>
    </w:p>
    <w:p w14:paraId="3CB85E86">
      <w:pPr>
        <w:pStyle w:val="35"/>
        <w:spacing w:line="360" w:lineRule="auto"/>
        <w:jc w:val="center"/>
        <w:rPr>
          <w:rFonts w:ascii="宋体" w:hAnsi="宋体" w:cs="宋体"/>
          <w:color w:val="auto"/>
          <w:sz w:val="24"/>
          <w:highlight w:val="none"/>
        </w:rPr>
      </w:pPr>
    </w:p>
    <w:p w14:paraId="0F60E3DE">
      <w:pPr>
        <w:pStyle w:val="35"/>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133E8DE3">
      <w:pPr>
        <w:pStyle w:val="35"/>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533855F3">
      <w:pPr>
        <w:pStyle w:val="35"/>
        <w:spacing w:line="360" w:lineRule="auto"/>
        <w:jc w:val="center"/>
        <w:rPr>
          <w:rFonts w:ascii="宋体" w:hAnsi="宋体"/>
          <w:b/>
          <w:color w:val="auto"/>
          <w:sz w:val="28"/>
          <w:szCs w:val="28"/>
          <w:highlight w:val="none"/>
        </w:rPr>
      </w:pPr>
    </w:p>
    <w:p w14:paraId="0E5EE02F">
      <w:pP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57D224FD">
      <w:pP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6E4D8D08">
      <w:pPr>
        <w:pStyle w:val="39"/>
        <w:spacing w:line="460" w:lineRule="exact"/>
        <w:rPr>
          <w:color w:val="auto"/>
          <w:highlight w:val="none"/>
        </w:rPr>
      </w:pPr>
      <w:r>
        <w:rPr>
          <w:rFonts w:hint="eastAsia"/>
          <w:color w:val="auto"/>
          <w:highlight w:val="none"/>
        </w:rPr>
        <w:t>（1）</w:t>
      </w:r>
      <w:r>
        <w:rPr>
          <w:color w:val="auto"/>
          <w:highlight w:val="none"/>
        </w:rPr>
        <w:t>项目管理机构配备情况表；</w:t>
      </w:r>
    </w:p>
    <w:p w14:paraId="0829BA53">
      <w:pPr>
        <w:pStyle w:val="39"/>
        <w:spacing w:line="460" w:lineRule="exact"/>
        <w:rPr>
          <w:color w:val="auto"/>
          <w:highlight w:val="none"/>
        </w:rPr>
      </w:pPr>
      <w:r>
        <w:rPr>
          <w:rFonts w:hint="eastAsia"/>
          <w:color w:val="auto"/>
          <w:highlight w:val="none"/>
        </w:rPr>
        <w:t>（2）</w:t>
      </w:r>
      <w:r>
        <w:rPr>
          <w:color w:val="auto"/>
          <w:highlight w:val="none"/>
        </w:rPr>
        <w:t>项目经理（注册建造师）简历表；</w:t>
      </w:r>
    </w:p>
    <w:p w14:paraId="75089AC5">
      <w:pPr>
        <w:pStyle w:val="39"/>
        <w:spacing w:line="460" w:lineRule="exact"/>
        <w:rPr>
          <w:color w:val="auto"/>
          <w:highlight w:val="none"/>
        </w:rPr>
      </w:pPr>
      <w:r>
        <w:rPr>
          <w:rFonts w:hint="eastAsia"/>
          <w:color w:val="auto"/>
          <w:highlight w:val="none"/>
        </w:rPr>
        <w:t>（3）</w:t>
      </w:r>
      <w:r>
        <w:rPr>
          <w:color w:val="auto"/>
          <w:highlight w:val="none"/>
        </w:rPr>
        <w:t>项目技术负责人简历表。</w:t>
      </w:r>
    </w:p>
    <w:p w14:paraId="50B52862">
      <w:pPr>
        <w:pStyle w:val="39"/>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20CD51F5">
      <w:pPr>
        <w:spacing w:line="460" w:lineRule="exact"/>
        <w:ind w:firstLine="400" w:firstLineChars="200"/>
        <w:rPr>
          <w:color w:val="auto"/>
          <w:szCs w:val="28"/>
          <w:highlight w:val="none"/>
        </w:rPr>
      </w:pPr>
    </w:p>
    <w:p w14:paraId="7FF87203">
      <w:pPr>
        <w:pStyle w:val="2"/>
        <w:rPr>
          <w:color w:val="auto"/>
          <w:highlight w:val="none"/>
        </w:rPr>
      </w:pPr>
    </w:p>
    <w:p w14:paraId="27CC0AD9">
      <w:pPr>
        <w:pStyle w:val="5"/>
        <w:spacing w:line="360" w:lineRule="auto"/>
        <w:jc w:val="center"/>
        <w:rPr>
          <w:rFonts w:ascii="宋体" w:hAnsi="宋体" w:cs="宋体"/>
          <w:color w:val="auto"/>
          <w:sz w:val="36"/>
          <w:highlight w:val="none"/>
        </w:rPr>
      </w:pPr>
    </w:p>
    <w:p w14:paraId="2D5EF6CC">
      <w:pPr>
        <w:pStyle w:val="5"/>
        <w:spacing w:line="360" w:lineRule="auto"/>
        <w:jc w:val="center"/>
        <w:rPr>
          <w:rFonts w:ascii="宋体" w:hAnsi="宋体" w:cs="宋体"/>
          <w:color w:val="auto"/>
          <w:sz w:val="36"/>
          <w:highlight w:val="none"/>
        </w:rPr>
      </w:pPr>
    </w:p>
    <w:p w14:paraId="6DFCC266">
      <w:pPr>
        <w:pStyle w:val="5"/>
        <w:spacing w:line="360" w:lineRule="auto"/>
        <w:jc w:val="center"/>
        <w:rPr>
          <w:rFonts w:ascii="宋体" w:hAnsi="宋体" w:cs="宋体"/>
          <w:color w:val="auto"/>
          <w:sz w:val="36"/>
          <w:highlight w:val="none"/>
        </w:rPr>
      </w:pPr>
    </w:p>
    <w:p w14:paraId="7648BC7A">
      <w:pPr>
        <w:rPr>
          <w:rFonts w:ascii="宋体" w:hAnsi="宋体" w:cs="宋体"/>
          <w:color w:val="auto"/>
          <w:sz w:val="36"/>
          <w:highlight w:val="none"/>
        </w:rPr>
      </w:pPr>
    </w:p>
    <w:p w14:paraId="00D712BB">
      <w:pPr>
        <w:pStyle w:val="14"/>
        <w:rPr>
          <w:rFonts w:ascii="宋体" w:hAnsi="宋体" w:cs="宋体"/>
          <w:color w:val="auto"/>
          <w:sz w:val="36"/>
          <w:highlight w:val="none"/>
        </w:rPr>
      </w:pPr>
    </w:p>
    <w:p w14:paraId="2BA05EF5">
      <w:pPr>
        <w:rPr>
          <w:rFonts w:ascii="宋体" w:hAnsi="宋体" w:cs="宋体"/>
          <w:color w:val="auto"/>
          <w:sz w:val="36"/>
          <w:highlight w:val="none"/>
        </w:rPr>
      </w:pPr>
    </w:p>
    <w:p w14:paraId="34BD3715">
      <w:pPr>
        <w:pStyle w:val="14"/>
        <w:rPr>
          <w:rFonts w:ascii="宋体" w:hAnsi="宋体" w:cs="宋体"/>
          <w:color w:val="auto"/>
          <w:sz w:val="36"/>
          <w:highlight w:val="none"/>
        </w:rPr>
      </w:pPr>
    </w:p>
    <w:p w14:paraId="20878A7E">
      <w:pPr>
        <w:rPr>
          <w:rFonts w:ascii="宋体" w:hAnsi="宋体" w:cs="宋体"/>
          <w:color w:val="auto"/>
          <w:sz w:val="36"/>
          <w:highlight w:val="none"/>
        </w:rPr>
      </w:pPr>
    </w:p>
    <w:p w14:paraId="3793C3D6">
      <w:pPr>
        <w:pStyle w:val="14"/>
        <w:rPr>
          <w:color w:val="auto"/>
        </w:rPr>
      </w:pPr>
    </w:p>
    <w:p w14:paraId="245AACE0">
      <w:pPr>
        <w:rPr>
          <w:rFonts w:ascii="宋体" w:hAnsi="宋体" w:cs="宋体"/>
          <w:color w:val="auto"/>
          <w:sz w:val="36"/>
          <w:highlight w:val="none"/>
        </w:rPr>
      </w:pPr>
    </w:p>
    <w:p w14:paraId="3EE48E23">
      <w:pPr>
        <w:rPr>
          <w:rFonts w:ascii="宋体" w:hAnsi="宋体" w:cs="宋体"/>
          <w:color w:val="auto"/>
          <w:sz w:val="36"/>
          <w:highlight w:val="none"/>
        </w:rPr>
      </w:pPr>
    </w:p>
    <w:p w14:paraId="230D124F">
      <w:pPr>
        <w:rPr>
          <w:rFonts w:ascii="宋体" w:hAnsi="宋体" w:cs="宋体"/>
          <w:color w:val="auto"/>
          <w:sz w:val="36"/>
          <w:highlight w:val="none"/>
        </w:rPr>
      </w:pPr>
    </w:p>
    <w:p w14:paraId="20A34D86">
      <w:pPr>
        <w:rPr>
          <w:rFonts w:ascii="宋体" w:hAnsi="宋体" w:cs="宋体"/>
          <w:color w:val="auto"/>
          <w:sz w:val="36"/>
          <w:highlight w:val="none"/>
        </w:rPr>
      </w:pPr>
    </w:p>
    <w:p w14:paraId="51D8C88C">
      <w:pPr>
        <w:rPr>
          <w:rFonts w:ascii="宋体" w:hAnsi="宋体" w:cs="宋体"/>
          <w:color w:val="auto"/>
          <w:sz w:val="36"/>
          <w:highlight w:val="none"/>
        </w:rPr>
      </w:pPr>
    </w:p>
    <w:p w14:paraId="0C75FC6D">
      <w:pPr>
        <w:rPr>
          <w:rFonts w:ascii="宋体" w:hAnsi="宋体" w:cs="宋体"/>
          <w:color w:val="auto"/>
          <w:sz w:val="36"/>
          <w:highlight w:val="none"/>
        </w:rPr>
      </w:pPr>
    </w:p>
    <w:p w14:paraId="704BA5B1">
      <w:pPr>
        <w:jc w:val="center"/>
        <w:rPr>
          <w:b/>
          <w:bCs/>
          <w:color w:val="auto"/>
          <w:sz w:val="28"/>
          <w:szCs w:val="28"/>
        </w:rPr>
      </w:pPr>
      <w:r>
        <w:rPr>
          <w:rFonts w:hint="eastAsia"/>
          <w:b/>
          <w:bCs/>
          <w:color w:val="auto"/>
          <w:sz w:val="28"/>
          <w:szCs w:val="28"/>
          <w:lang w:val="en-US" w:eastAsia="zh-CN"/>
        </w:rPr>
        <w:t>一</w:t>
      </w:r>
      <w:r>
        <w:rPr>
          <w:rFonts w:hint="eastAsia"/>
          <w:b/>
          <w:bCs/>
          <w:color w:val="auto"/>
          <w:sz w:val="28"/>
          <w:szCs w:val="28"/>
        </w:rPr>
        <w:t>、施工组织设计</w:t>
      </w:r>
    </w:p>
    <w:p w14:paraId="778C79A8">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w:t>
      </w:r>
      <w:r>
        <w:rPr>
          <w:rFonts w:hint="eastAsia"/>
          <w:color w:val="auto"/>
          <w:sz w:val="21"/>
          <w:szCs w:val="22"/>
          <w:highlight w:val="none"/>
          <w:lang w:eastAsia="zh-CN"/>
        </w:rPr>
        <w:t>噪声</w:t>
      </w:r>
      <w:r>
        <w:rPr>
          <w:color w:val="auto"/>
          <w:sz w:val="21"/>
          <w:szCs w:val="22"/>
          <w:highlight w:val="none"/>
        </w:rPr>
        <w:t>、降低环境污染、地下管线及其他地上地下设施的保护加固措施等。</w:t>
      </w:r>
    </w:p>
    <w:p w14:paraId="66401879">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15719F40">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7AA3574D">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7FFB17A7">
      <w:pPr>
        <w:spacing w:line="460" w:lineRule="exact"/>
        <w:ind w:firstLine="420" w:firstLineChars="200"/>
        <w:rPr>
          <w:color w:val="auto"/>
          <w:sz w:val="21"/>
          <w:szCs w:val="22"/>
          <w:highlight w:val="none"/>
        </w:rPr>
      </w:pPr>
      <w:r>
        <w:rPr>
          <w:color w:val="auto"/>
          <w:sz w:val="21"/>
          <w:szCs w:val="22"/>
          <w:highlight w:val="none"/>
        </w:rPr>
        <w:t>附表三  劳动力计划表</w:t>
      </w:r>
    </w:p>
    <w:p w14:paraId="375553F3">
      <w:pPr>
        <w:spacing w:line="460" w:lineRule="exact"/>
        <w:ind w:firstLine="420" w:firstLineChars="200"/>
        <w:rPr>
          <w:color w:val="auto"/>
          <w:sz w:val="21"/>
          <w:szCs w:val="22"/>
          <w:highlight w:val="none"/>
        </w:rPr>
      </w:pPr>
      <w:r>
        <w:rPr>
          <w:color w:val="auto"/>
          <w:sz w:val="21"/>
          <w:szCs w:val="22"/>
          <w:highlight w:val="none"/>
        </w:rPr>
        <w:t>附表四  计划</w:t>
      </w:r>
      <w:r>
        <w:rPr>
          <w:rFonts w:hint="eastAsia"/>
          <w:color w:val="auto"/>
          <w:sz w:val="21"/>
          <w:szCs w:val="22"/>
          <w:highlight w:val="none"/>
          <w:lang w:eastAsia="zh-CN"/>
        </w:rPr>
        <w:t>开工</w:t>
      </w:r>
      <w:r>
        <w:rPr>
          <w:color w:val="auto"/>
          <w:sz w:val="21"/>
          <w:szCs w:val="22"/>
          <w:highlight w:val="none"/>
        </w:rPr>
        <w:t>、竣工日期和施工进度网络图</w:t>
      </w:r>
    </w:p>
    <w:p w14:paraId="298A6843">
      <w:pPr>
        <w:spacing w:line="460" w:lineRule="exact"/>
        <w:ind w:firstLine="420" w:firstLineChars="200"/>
        <w:rPr>
          <w:color w:val="auto"/>
          <w:sz w:val="21"/>
          <w:szCs w:val="22"/>
          <w:highlight w:val="none"/>
        </w:rPr>
      </w:pPr>
      <w:r>
        <w:rPr>
          <w:color w:val="auto"/>
          <w:sz w:val="21"/>
          <w:szCs w:val="22"/>
          <w:highlight w:val="none"/>
        </w:rPr>
        <w:t>附表五  施工总平面图</w:t>
      </w:r>
    </w:p>
    <w:p w14:paraId="7AA11430">
      <w:pPr>
        <w:spacing w:line="460" w:lineRule="exact"/>
        <w:ind w:firstLine="420" w:firstLineChars="200"/>
        <w:rPr>
          <w:color w:val="auto"/>
          <w:sz w:val="21"/>
          <w:szCs w:val="22"/>
          <w:highlight w:val="none"/>
        </w:rPr>
      </w:pPr>
      <w:r>
        <w:rPr>
          <w:color w:val="auto"/>
          <w:sz w:val="21"/>
          <w:szCs w:val="22"/>
          <w:highlight w:val="none"/>
        </w:rPr>
        <w:t>附表六  临时用地表</w:t>
      </w:r>
    </w:p>
    <w:p w14:paraId="32504F03">
      <w:pPr>
        <w:spacing w:line="460" w:lineRule="exact"/>
        <w:ind w:firstLine="420" w:firstLineChars="200"/>
        <w:rPr>
          <w:color w:val="auto"/>
          <w:sz w:val="21"/>
          <w:szCs w:val="22"/>
          <w:highlight w:val="none"/>
        </w:rPr>
      </w:pPr>
    </w:p>
    <w:p w14:paraId="7E781BF9">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4505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137A3BB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A127A7B">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设备名称</w:t>
            </w:r>
          </w:p>
        </w:tc>
        <w:tc>
          <w:tcPr>
            <w:tcW w:w="851" w:type="dxa"/>
            <w:vAlign w:val="center"/>
          </w:tcPr>
          <w:p w14:paraId="74500F42">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161BDC53">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0BDF259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5FE325B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7B2F8D9B">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851" w:type="dxa"/>
            <w:vAlign w:val="center"/>
          </w:tcPr>
          <w:p w14:paraId="21D10C8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w:t>
            </w:r>
          </w:p>
          <w:p w14:paraId="71522283">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年份</w:t>
            </w:r>
          </w:p>
        </w:tc>
        <w:tc>
          <w:tcPr>
            <w:tcW w:w="1134" w:type="dxa"/>
            <w:vAlign w:val="center"/>
          </w:tcPr>
          <w:p w14:paraId="703440EC">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额定功率</w:t>
            </w:r>
          </w:p>
          <w:p w14:paraId="0E67DD0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（KW）</w:t>
            </w:r>
          </w:p>
        </w:tc>
        <w:tc>
          <w:tcPr>
            <w:tcW w:w="992" w:type="dxa"/>
            <w:vAlign w:val="center"/>
          </w:tcPr>
          <w:p w14:paraId="2C97B066">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生产</w:t>
            </w:r>
          </w:p>
          <w:p w14:paraId="6B69091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能力</w:t>
            </w:r>
          </w:p>
        </w:tc>
        <w:tc>
          <w:tcPr>
            <w:tcW w:w="1134" w:type="dxa"/>
            <w:vAlign w:val="center"/>
          </w:tcPr>
          <w:p w14:paraId="71E58932">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用于施</w:t>
            </w:r>
          </w:p>
          <w:p w14:paraId="0CDDB50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工部位</w:t>
            </w:r>
          </w:p>
        </w:tc>
        <w:tc>
          <w:tcPr>
            <w:tcW w:w="992" w:type="dxa"/>
            <w:vAlign w:val="center"/>
          </w:tcPr>
          <w:p w14:paraId="2F9E457F">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428E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907AE5F">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226" w:type="dxa"/>
          </w:tcPr>
          <w:p w14:paraId="4ED8FF15">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tcPr>
          <w:p w14:paraId="048CACF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8" w:type="dxa"/>
          </w:tcPr>
          <w:p w14:paraId="17201C73">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9" w:type="dxa"/>
          </w:tcPr>
          <w:p w14:paraId="7EF21CDB">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2D3FE5D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4E89BA55">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765FBEF3">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361EDD4C">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7BE428A0">
            <w:pPr>
              <w:keepNext w:val="0"/>
              <w:keepLines w:val="0"/>
              <w:suppressLineNumbers w:val="0"/>
              <w:spacing w:before="0" w:beforeAutospacing="0" w:after="0" w:afterAutospacing="0" w:line="360" w:lineRule="auto"/>
              <w:ind w:left="0" w:right="0"/>
              <w:rPr>
                <w:rFonts w:hint="default"/>
                <w:color w:val="auto"/>
                <w:sz w:val="21"/>
                <w:szCs w:val="22"/>
                <w:highlight w:val="none"/>
              </w:rPr>
            </w:pPr>
          </w:p>
        </w:tc>
      </w:tr>
      <w:tr w14:paraId="4BC6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C55F96C">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226" w:type="dxa"/>
          </w:tcPr>
          <w:p w14:paraId="5B7194C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171F279C">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8" w:type="dxa"/>
          </w:tcPr>
          <w:p w14:paraId="69DCBA7E">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9" w:type="dxa"/>
          </w:tcPr>
          <w:p w14:paraId="4132D3AE">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6174E5C8">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2510010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38968CF6">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1F1D5A7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0A72B85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r>
      <w:tr w14:paraId="0665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7B9AAA36">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226" w:type="dxa"/>
          </w:tcPr>
          <w:p w14:paraId="65A8EF07">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72BB0695">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8" w:type="dxa"/>
          </w:tcPr>
          <w:p w14:paraId="6740F9D7">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709" w:type="dxa"/>
          </w:tcPr>
          <w:p w14:paraId="2AD23DD3">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851" w:type="dxa"/>
          </w:tcPr>
          <w:p w14:paraId="77716D85">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2FAAD47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6C3D7B52">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1134" w:type="dxa"/>
          </w:tcPr>
          <w:p w14:paraId="7A3B410D">
            <w:pPr>
              <w:keepNext w:val="0"/>
              <w:keepLines w:val="0"/>
              <w:suppressLineNumbers w:val="0"/>
              <w:spacing w:before="0" w:beforeAutospacing="0" w:after="0" w:afterAutospacing="0" w:line="360" w:lineRule="auto"/>
              <w:ind w:left="0" w:right="0"/>
              <w:rPr>
                <w:rFonts w:hint="default"/>
                <w:color w:val="auto"/>
                <w:sz w:val="21"/>
                <w:szCs w:val="22"/>
                <w:highlight w:val="none"/>
              </w:rPr>
            </w:pPr>
          </w:p>
        </w:tc>
        <w:tc>
          <w:tcPr>
            <w:tcW w:w="992" w:type="dxa"/>
          </w:tcPr>
          <w:p w14:paraId="56C759CA">
            <w:pPr>
              <w:keepNext w:val="0"/>
              <w:keepLines w:val="0"/>
              <w:suppressLineNumbers w:val="0"/>
              <w:spacing w:before="0" w:beforeAutospacing="0" w:after="0" w:afterAutospacing="0" w:line="360" w:lineRule="auto"/>
              <w:ind w:left="0" w:right="0"/>
              <w:rPr>
                <w:rFonts w:hint="default"/>
                <w:color w:val="auto"/>
                <w:sz w:val="21"/>
                <w:szCs w:val="22"/>
                <w:highlight w:val="none"/>
              </w:rPr>
            </w:pPr>
          </w:p>
        </w:tc>
      </w:tr>
    </w:tbl>
    <w:p w14:paraId="40C0FF11">
      <w:pPr>
        <w:rPr>
          <w:color w:val="auto"/>
          <w:sz w:val="21"/>
          <w:szCs w:val="21"/>
          <w:highlight w:val="none"/>
        </w:rPr>
      </w:pPr>
    </w:p>
    <w:p w14:paraId="2B65B781">
      <w:pPr>
        <w:rPr>
          <w:color w:val="auto"/>
          <w:sz w:val="21"/>
          <w:szCs w:val="21"/>
          <w:highlight w:val="none"/>
        </w:rPr>
      </w:pPr>
    </w:p>
    <w:p w14:paraId="75C6061F">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1604E0BA">
      <w:pPr>
        <w:rPr>
          <w:color w:val="auto"/>
          <w:sz w:val="21"/>
          <w:szCs w:val="21"/>
          <w:highlight w:val="none"/>
        </w:rPr>
      </w:pPr>
    </w:p>
    <w:tbl>
      <w:tblPr>
        <w:tblStyle w:val="27"/>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6F16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52D8439">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序号</w:t>
            </w:r>
          </w:p>
        </w:tc>
        <w:tc>
          <w:tcPr>
            <w:tcW w:w="1226" w:type="dxa"/>
            <w:vAlign w:val="center"/>
          </w:tcPr>
          <w:p w14:paraId="504B84A0">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仪器设备名称</w:t>
            </w:r>
          </w:p>
        </w:tc>
        <w:tc>
          <w:tcPr>
            <w:tcW w:w="851" w:type="dxa"/>
            <w:vAlign w:val="center"/>
          </w:tcPr>
          <w:p w14:paraId="1278B2DF">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型号</w:t>
            </w:r>
          </w:p>
          <w:p w14:paraId="5EF680CD">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规格</w:t>
            </w:r>
          </w:p>
        </w:tc>
        <w:tc>
          <w:tcPr>
            <w:tcW w:w="708" w:type="dxa"/>
            <w:vAlign w:val="center"/>
          </w:tcPr>
          <w:p w14:paraId="3DE7A7F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数量</w:t>
            </w:r>
          </w:p>
        </w:tc>
        <w:tc>
          <w:tcPr>
            <w:tcW w:w="709" w:type="dxa"/>
            <w:vAlign w:val="center"/>
          </w:tcPr>
          <w:p w14:paraId="6E63949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国别</w:t>
            </w:r>
          </w:p>
          <w:p w14:paraId="0CAA768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产地</w:t>
            </w:r>
          </w:p>
        </w:tc>
        <w:tc>
          <w:tcPr>
            <w:tcW w:w="1134" w:type="dxa"/>
            <w:vAlign w:val="center"/>
          </w:tcPr>
          <w:p w14:paraId="53B411D5">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制造年份</w:t>
            </w:r>
          </w:p>
        </w:tc>
        <w:tc>
          <w:tcPr>
            <w:tcW w:w="1276" w:type="dxa"/>
            <w:vAlign w:val="center"/>
          </w:tcPr>
          <w:p w14:paraId="55AE780D">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已使用</w:t>
            </w:r>
          </w:p>
          <w:p w14:paraId="652937E8">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台时数</w:t>
            </w:r>
          </w:p>
        </w:tc>
        <w:tc>
          <w:tcPr>
            <w:tcW w:w="1134" w:type="dxa"/>
            <w:vAlign w:val="center"/>
          </w:tcPr>
          <w:p w14:paraId="6BD27A8B">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用途</w:t>
            </w:r>
          </w:p>
        </w:tc>
        <w:tc>
          <w:tcPr>
            <w:tcW w:w="1559" w:type="dxa"/>
            <w:vAlign w:val="center"/>
          </w:tcPr>
          <w:p w14:paraId="790693DA">
            <w:pPr>
              <w:keepNext w:val="0"/>
              <w:keepLines w:val="0"/>
              <w:suppressLineNumbers w:val="0"/>
              <w:spacing w:before="0" w:beforeAutospacing="0" w:after="0" w:afterAutospacing="0"/>
              <w:ind w:left="0" w:right="0"/>
              <w:jc w:val="center"/>
              <w:rPr>
                <w:rFonts w:hint="default"/>
                <w:color w:val="auto"/>
                <w:sz w:val="21"/>
                <w:szCs w:val="22"/>
                <w:highlight w:val="none"/>
              </w:rPr>
            </w:pPr>
            <w:r>
              <w:rPr>
                <w:rFonts w:hint="default"/>
                <w:color w:val="auto"/>
                <w:sz w:val="21"/>
                <w:szCs w:val="22"/>
                <w:highlight w:val="none"/>
              </w:rPr>
              <w:t>备注</w:t>
            </w:r>
          </w:p>
        </w:tc>
      </w:tr>
      <w:tr w14:paraId="3299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85F194D">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4867EF8B">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F65408D">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555FD385">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7A5A5FF1">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566D40AE">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1AEE5339">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04ED6DDF">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5C4E7FED">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r>
      <w:tr w14:paraId="69D2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A881451">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5E69C5F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1ADC24E6">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6ABB5A1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612E142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140D8719">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373AAB2F">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96CC66">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241EA082">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r>
      <w:tr w14:paraId="2202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92D0577">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26" w:type="dxa"/>
            <w:vAlign w:val="center"/>
          </w:tcPr>
          <w:p w14:paraId="0D2BAB5E">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851" w:type="dxa"/>
            <w:vAlign w:val="center"/>
          </w:tcPr>
          <w:p w14:paraId="6C1D1E7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8" w:type="dxa"/>
            <w:vAlign w:val="center"/>
          </w:tcPr>
          <w:p w14:paraId="3C2BDF4B">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709" w:type="dxa"/>
            <w:vAlign w:val="center"/>
          </w:tcPr>
          <w:p w14:paraId="0024CFE3">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5BE8AA6">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276" w:type="dxa"/>
            <w:vAlign w:val="center"/>
          </w:tcPr>
          <w:p w14:paraId="4DCFF57B">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134" w:type="dxa"/>
            <w:vAlign w:val="center"/>
          </w:tcPr>
          <w:p w14:paraId="74C80EC9">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c>
          <w:tcPr>
            <w:tcW w:w="1559" w:type="dxa"/>
            <w:vAlign w:val="center"/>
          </w:tcPr>
          <w:p w14:paraId="35F319AA">
            <w:pPr>
              <w:keepNext w:val="0"/>
              <w:keepLines w:val="0"/>
              <w:suppressLineNumbers w:val="0"/>
              <w:spacing w:before="0" w:beforeAutospacing="0" w:after="0" w:afterAutospacing="0" w:line="360" w:lineRule="auto"/>
              <w:ind w:left="0" w:right="0" w:firstLine="420" w:firstLineChars="200"/>
              <w:rPr>
                <w:rFonts w:hint="default"/>
                <w:color w:val="auto"/>
                <w:sz w:val="21"/>
                <w:szCs w:val="22"/>
                <w:highlight w:val="none"/>
              </w:rPr>
            </w:pPr>
          </w:p>
        </w:tc>
      </w:tr>
    </w:tbl>
    <w:p w14:paraId="66256512">
      <w:pPr>
        <w:rPr>
          <w:color w:val="auto"/>
          <w:sz w:val="21"/>
          <w:szCs w:val="21"/>
          <w:highlight w:val="none"/>
        </w:rPr>
      </w:pPr>
    </w:p>
    <w:p w14:paraId="549EB647">
      <w:pPr>
        <w:rPr>
          <w:color w:val="auto"/>
          <w:sz w:val="21"/>
          <w:szCs w:val="21"/>
          <w:highlight w:val="none"/>
        </w:rPr>
      </w:pPr>
    </w:p>
    <w:p w14:paraId="6218F91D">
      <w:pPr>
        <w:rPr>
          <w:color w:val="auto"/>
          <w:sz w:val="21"/>
          <w:szCs w:val="21"/>
          <w:highlight w:val="none"/>
        </w:rPr>
      </w:pPr>
    </w:p>
    <w:p w14:paraId="3A73F6D7">
      <w:pPr>
        <w:pStyle w:val="14"/>
        <w:rPr>
          <w:color w:val="auto"/>
        </w:rPr>
      </w:pPr>
    </w:p>
    <w:p w14:paraId="78ED57CF">
      <w:pPr>
        <w:rPr>
          <w:color w:val="auto"/>
          <w:sz w:val="21"/>
          <w:szCs w:val="21"/>
          <w:highlight w:val="none"/>
        </w:rPr>
      </w:pPr>
    </w:p>
    <w:p w14:paraId="40E7FDE0">
      <w:pPr>
        <w:pStyle w:val="2"/>
        <w:rPr>
          <w:color w:val="auto"/>
          <w:sz w:val="21"/>
          <w:szCs w:val="21"/>
          <w:highlight w:val="none"/>
        </w:rPr>
      </w:pPr>
    </w:p>
    <w:p w14:paraId="3DADA72D">
      <w:pPr>
        <w:pStyle w:val="2"/>
        <w:rPr>
          <w:color w:val="auto"/>
          <w:sz w:val="21"/>
          <w:szCs w:val="21"/>
          <w:highlight w:val="none"/>
        </w:rPr>
      </w:pPr>
    </w:p>
    <w:p w14:paraId="61D404A3">
      <w:pPr>
        <w:pStyle w:val="2"/>
        <w:rPr>
          <w:color w:val="auto"/>
          <w:sz w:val="28"/>
          <w:szCs w:val="21"/>
          <w:highlight w:val="none"/>
        </w:rPr>
      </w:pPr>
    </w:p>
    <w:p w14:paraId="71487054">
      <w:pPr>
        <w:pStyle w:val="2"/>
        <w:rPr>
          <w:color w:val="auto"/>
          <w:sz w:val="28"/>
          <w:szCs w:val="21"/>
          <w:highlight w:val="none"/>
        </w:rPr>
      </w:pPr>
    </w:p>
    <w:p w14:paraId="1A5A628C">
      <w:pPr>
        <w:rPr>
          <w:color w:val="auto"/>
          <w:sz w:val="21"/>
          <w:szCs w:val="21"/>
          <w:highlight w:val="none"/>
        </w:rPr>
      </w:pPr>
      <w:r>
        <w:rPr>
          <w:color w:val="auto"/>
          <w:sz w:val="21"/>
          <w:szCs w:val="21"/>
          <w:highlight w:val="none"/>
        </w:rPr>
        <w:t>附表三：劳动力计划表</w:t>
      </w:r>
    </w:p>
    <w:p w14:paraId="716D67AD">
      <w:pPr>
        <w:ind w:firstLine="7245" w:firstLineChars="3450"/>
        <w:rPr>
          <w:color w:val="auto"/>
          <w:sz w:val="21"/>
          <w:szCs w:val="22"/>
          <w:highlight w:val="none"/>
        </w:rPr>
      </w:pPr>
      <w:r>
        <w:rPr>
          <w:color w:val="auto"/>
          <w:sz w:val="21"/>
          <w:szCs w:val="22"/>
          <w:highlight w:val="none"/>
        </w:rPr>
        <w:t xml:space="preserve">    单位：人</w:t>
      </w:r>
    </w:p>
    <w:tbl>
      <w:tblPr>
        <w:tblStyle w:val="27"/>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78E1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F79D25B">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工种</w:t>
            </w:r>
          </w:p>
        </w:tc>
        <w:tc>
          <w:tcPr>
            <w:tcW w:w="8506" w:type="dxa"/>
            <w:gridSpan w:val="7"/>
            <w:vAlign w:val="center"/>
          </w:tcPr>
          <w:p w14:paraId="2D7E025E">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r>
              <w:rPr>
                <w:rFonts w:hint="default"/>
                <w:color w:val="auto"/>
                <w:sz w:val="21"/>
                <w:szCs w:val="22"/>
                <w:highlight w:val="none"/>
              </w:rPr>
              <w:t>按工程施工阶段投入劳动力情况</w:t>
            </w:r>
          </w:p>
        </w:tc>
      </w:tr>
      <w:tr w14:paraId="4E56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96CC3E">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0D56934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0968D8A5">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3A6DCDB3">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9FC0F79">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A67599D">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C9E760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595FADC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6FF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066B59C4">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15EDC3D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EEBC4A7">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6E2DB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D8FB4B">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6A3B24C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44945553">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39C9C2F">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0E9D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3D55E0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3EE598C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EA6679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73625CD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55E99DF">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BB72434">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8FA0F2A">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E4A63F0">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625D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100731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695D832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715E9146">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47E8C5A4">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66309660">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007F80F5">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21FCC82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DD4D5E8">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r w14:paraId="71D9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94E432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961" w:type="dxa"/>
            <w:vAlign w:val="center"/>
          </w:tcPr>
          <w:p w14:paraId="2B04BE8C">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5B269408">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1F3EB937">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1B64102F">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0906F8E">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7" w:type="dxa"/>
            <w:vAlign w:val="center"/>
          </w:tcPr>
          <w:p w14:paraId="3E1A73B1">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c>
          <w:tcPr>
            <w:tcW w:w="1258" w:type="dxa"/>
            <w:vAlign w:val="center"/>
          </w:tcPr>
          <w:p w14:paraId="2F328682">
            <w:pPr>
              <w:keepNext w:val="0"/>
              <w:keepLines w:val="0"/>
              <w:suppressLineNumbers w:val="0"/>
              <w:spacing w:before="0" w:beforeAutospacing="0" w:after="0" w:afterAutospacing="0" w:line="360" w:lineRule="auto"/>
              <w:ind w:left="0" w:right="0"/>
              <w:jc w:val="center"/>
              <w:rPr>
                <w:rFonts w:hint="default"/>
                <w:color w:val="auto"/>
                <w:sz w:val="21"/>
                <w:szCs w:val="22"/>
                <w:highlight w:val="none"/>
              </w:rPr>
            </w:pPr>
          </w:p>
        </w:tc>
      </w:tr>
    </w:tbl>
    <w:p w14:paraId="2DE39262">
      <w:pPr>
        <w:rPr>
          <w:color w:val="auto"/>
          <w:sz w:val="21"/>
          <w:szCs w:val="21"/>
          <w:highlight w:val="none"/>
        </w:rPr>
      </w:pPr>
    </w:p>
    <w:p w14:paraId="28F6EA35">
      <w:pPr>
        <w:rPr>
          <w:b/>
          <w:color w:val="auto"/>
          <w:sz w:val="21"/>
          <w:szCs w:val="21"/>
          <w:highlight w:val="none"/>
        </w:rPr>
      </w:pPr>
    </w:p>
    <w:p w14:paraId="38EA6468">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091A3BCE">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BD1E171">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769423C8">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700CF7EA">
      <w:pPr>
        <w:rPr>
          <w:color w:val="auto"/>
          <w:sz w:val="21"/>
          <w:szCs w:val="21"/>
          <w:highlight w:val="none"/>
        </w:rPr>
      </w:pPr>
    </w:p>
    <w:p w14:paraId="3967CE43">
      <w:pPr>
        <w:rPr>
          <w:color w:val="auto"/>
          <w:sz w:val="21"/>
          <w:szCs w:val="21"/>
          <w:highlight w:val="none"/>
        </w:rPr>
      </w:pPr>
      <w:r>
        <w:rPr>
          <w:color w:val="auto"/>
          <w:sz w:val="21"/>
          <w:szCs w:val="21"/>
          <w:highlight w:val="none"/>
        </w:rPr>
        <w:t>附表五：施工总平面图</w:t>
      </w:r>
    </w:p>
    <w:p w14:paraId="4923FFB3">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30757F5B">
      <w:pPr>
        <w:rPr>
          <w:color w:val="auto"/>
          <w:sz w:val="21"/>
          <w:szCs w:val="21"/>
          <w:highlight w:val="none"/>
        </w:rPr>
      </w:pPr>
    </w:p>
    <w:p w14:paraId="58A7AAE8">
      <w:pPr>
        <w:rPr>
          <w:color w:val="auto"/>
          <w:sz w:val="21"/>
          <w:szCs w:val="21"/>
          <w:highlight w:val="none"/>
        </w:rPr>
      </w:pPr>
    </w:p>
    <w:p w14:paraId="40BC0366">
      <w:pPr>
        <w:rPr>
          <w:color w:val="auto"/>
          <w:sz w:val="21"/>
          <w:szCs w:val="21"/>
          <w:highlight w:val="none"/>
        </w:rPr>
      </w:pPr>
      <w:r>
        <w:rPr>
          <w:color w:val="auto"/>
          <w:sz w:val="21"/>
          <w:szCs w:val="21"/>
          <w:highlight w:val="none"/>
        </w:rPr>
        <w:t>附表六：临时用地表</w:t>
      </w:r>
    </w:p>
    <w:tbl>
      <w:tblPr>
        <w:tblStyle w:val="27"/>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CE04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23DDA32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用途</w:t>
            </w:r>
          </w:p>
        </w:tc>
        <w:tc>
          <w:tcPr>
            <w:tcW w:w="2357" w:type="dxa"/>
            <w:vAlign w:val="center"/>
          </w:tcPr>
          <w:p w14:paraId="009EBC3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面积（平方米）</w:t>
            </w:r>
          </w:p>
        </w:tc>
        <w:tc>
          <w:tcPr>
            <w:tcW w:w="2356" w:type="dxa"/>
            <w:vAlign w:val="center"/>
          </w:tcPr>
          <w:p w14:paraId="08914213">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位置</w:t>
            </w:r>
          </w:p>
        </w:tc>
        <w:tc>
          <w:tcPr>
            <w:tcW w:w="2357" w:type="dxa"/>
            <w:vAlign w:val="center"/>
          </w:tcPr>
          <w:p w14:paraId="3AD47544">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2"/>
                <w:highlight w:val="none"/>
              </w:rPr>
              <w:t>需用时间</w:t>
            </w:r>
          </w:p>
        </w:tc>
      </w:tr>
      <w:tr w14:paraId="4EE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4CC62FEA">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441283F5">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48A0A10F">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7CB302F7">
            <w:pPr>
              <w:keepNext w:val="0"/>
              <w:keepLines w:val="0"/>
              <w:suppressLineNumbers w:val="0"/>
              <w:spacing w:before="0" w:beforeAutospacing="0" w:after="0" w:afterAutospacing="0"/>
              <w:ind w:left="0" w:right="0"/>
              <w:rPr>
                <w:rFonts w:hint="default"/>
                <w:color w:val="auto"/>
                <w:sz w:val="21"/>
                <w:szCs w:val="21"/>
                <w:highlight w:val="none"/>
              </w:rPr>
            </w:pPr>
          </w:p>
        </w:tc>
      </w:tr>
      <w:tr w14:paraId="1185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95FF795">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03093A3A">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59E0EA72">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292196AC">
            <w:pPr>
              <w:keepNext w:val="0"/>
              <w:keepLines w:val="0"/>
              <w:suppressLineNumbers w:val="0"/>
              <w:spacing w:before="0" w:beforeAutospacing="0" w:after="0" w:afterAutospacing="0"/>
              <w:ind w:left="0" w:right="0"/>
              <w:rPr>
                <w:rFonts w:hint="default"/>
                <w:color w:val="auto"/>
                <w:sz w:val="21"/>
                <w:szCs w:val="21"/>
                <w:highlight w:val="none"/>
              </w:rPr>
            </w:pPr>
          </w:p>
        </w:tc>
      </w:tr>
      <w:tr w14:paraId="291A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12B92A4C">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5B2D7E4B">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30B46497">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4245F3E6">
            <w:pPr>
              <w:keepNext w:val="0"/>
              <w:keepLines w:val="0"/>
              <w:suppressLineNumbers w:val="0"/>
              <w:spacing w:before="0" w:beforeAutospacing="0" w:after="0" w:afterAutospacing="0"/>
              <w:ind w:left="0" w:right="0"/>
              <w:rPr>
                <w:rFonts w:hint="default"/>
                <w:color w:val="auto"/>
                <w:sz w:val="21"/>
                <w:szCs w:val="21"/>
                <w:highlight w:val="none"/>
              </w:rPr>
            </w:pPr>
          </w:p>
        </w:tc>
      </w:tr>
      <w:tr w14:paraId="48EE4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3218A357">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65208E84">
            <w:pPr>
              <w:keepNext w:val="0"/>
              <w:keepLines w:val="0"/>
              <w:suppressLineNumbers w:val="0"/>
              <w:spacing w:before="0" w:beforeAutospacing="0" w:after="0" w:afterAutospacing="0"/>
              <w:ind w:left="0" w:right="0"/>
              <w:rPr>
                <w:rFonts w:hint="default"/>
                <w:color w:val="auto"/>
                <w:sz w:val="21"/>
                <w:szCs w:val="21"/>
                <w:highlight w:val="none"/>
              </w:rPr>
            </w:pPr>
          </w:p>
        </w:tc>
        <w:tc>
          <w:tcPr>
            <w:tcW w:w="2356" w:type="dxa"/>
          </w:tcPr>
          <w:p w14:paraId="0C8BEADA">
            <w:pPr>
              <w:keepNext w:val="0"/>
              <w:keepLines w:val="0"/>
              <w:suppressLineNumbers w:val="0"/>
              <w:spacing w:before="0" w:beforeAutospacing="0" w:after="0" w:afterAutospacing="0"/>
              <w:ind w:left="0" w:right="0"/>
              <w:rPr>
                <w:rFonts w:hint="default"/>
                <w:color w:val="auto"/>
                <w:sz w:val="21"/>
                <w:szCs w:val="21"/>
                <w:highlight w:val="none"/>
              </w:rPr>
            </w:pPr>
          </w:p>
        </w:tc>
        <w:tc>
          <w:tcPr>
            <w:tcW w:w="2357" w:type="dxa"/>
          </w:tcPr>
          <w:p w14:paraId="206AFA1C">
            <w:pPr>
              <w:keepNext w:val="0"/>
              <w:keepLines w:val="0"/>
              <w:suppressLineNumbers w:val="0"/>
              <w:spacing w:before="0" w:beforeAutospacing="0" w:after="0" w:afterAutospacing="0"/>
              <w:ind w:left="0" w:right="0"/>
              <w:rPr>
                <w:rFonts w:hint="default"/>
                <w:color w:val="auto"/>
                <w:sz w:val="21"/>
                <w:szCs w:val="21"/>
                <w:highlight w:val="none"/>
              </w:rPr>
            </w:pPr>
          </w:p>
        </w:tc>
      </w:tr>
    </w:tbl>
    <w:p w14:paraId="402C509F">
      <w:pPr>
        <w:rPr>
          <w:color w:val="auto"/>
          <w:sz w:val="21"/>
          <w:szCs w:val="21"/>
          <w:highlight w:val="none"/>
        </w:rPr>
      </w:pPr>
    </w:p>
    <w:p w14:paraId="21A354E4">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5C085D3F">
      <w:pPr>
        <w:pStyle w:val="39"/>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37CABBB6">
      <w:pPr>
        <w:pStyle w:val="39"/>
        <w:jc w:val="center"/>
        <w:rPr>
          <w:b/>
          <w:color w:val="auto"/>
          <w:sz w:val="28"/>
          <w:szCs w:val="28"/>
          <w:highlight w:val="none"/>
        </w:rPr>
      </w:pPr>
      <w:bookmarkStart w:id="133" w:name="_Toc172364025"/>
      <w:bookmarkStart w:id="134" w:name="_Toc173579005"/>
      <w:bookmarkStart w:id="135" w:name="_Toc251052184"/>
      <w:bookmarkStart w:id="136" w:name="_Toc153274947"/>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33"/>
      <w:bookmarkEnd w:id="134"/>
      <w:bookmarkEnd w:id="135"/>
      <w:bookmarkEnd w:id="136"/>
    </w:p>
    <w:p w14:paraId="624B29B8">
      <w:pPr>
        <w:pStyle w:val="39"/>
        <w:rPr>
          <w:color w:val="auto"/>
          <w:sz w:val="22"/>
          <w:szCs w:val="22"/>
          <w:highlight w:val="none"/>
          <w:u w:val="single"/>
        </w:rPr>
      </w:pPr>
    </w:p>
    <w:p w14:paraId="05B1B458">
      <w:pPr>
        <w:pStyle w:val="39"/>
        <w:rPr>
          <w:color w:val="auto"/>
          <w:sz w:val="22"/>
          <w:szCs w:val="22"/>
          <w:highlight w:val="none"/>
        </w:rPr>
      </w:pPr>
      <w:bookmarkStart w:id="137"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37"/>
    </w:p>
    <w:tbl>
      <w:tblPr>
        <w:tblStyle w:val="27"/>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3826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4AB4739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3DDD5DF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38" w:name="_Toc251052187"/>
            <w:r>
              <w:rPr>
                <w:rFonts w:hint="default"/>
                <w:color w:val="auto"/>
                <w:sz w:val="21"/>
                <w:szCs w:val="21"/>
                <w:highlight w:val="none"/>
              </w:rPr>
              <w:t>姓名</w:t>
            </w:r>
            <w:bookmarkEnd w:id="138"/>
          </w:p>
        </w:tc>
        <w:tc>
          <w:tcPr>
            <w:tcW w:w="816" w:type="dxa"/>
            <w:vMerge w:val="restart"/>
            <w:vAlign w:val="center"/>
          </w:tcPr>
          <w:p w14:paraId="6E06C65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39" w:name="_Toc251052188"/>
            <w:r>
              <w:rPr>
                <w:rFonts w:hint="default"/>
                <w:color w:val="auto"/>
                <w:sz w:val="21"/>
                <w:szCs w:val="21"/>
                <w:highlight w:val="none"/>
              </w:rPr>
              <w:t>职称</w:t>
            </w:r>
            <w:bookmarkEnd w:id="139"/>
          </w:p>
        </w:tc>
        <w:tc>
          <w:tcPr>
            <w:tcW w:w="4592" w:type="dxa"/>
            <w:gridSpan w:val="4"/>
            <w:vAlign w:val="center"/>
          </w:tcPr>
          <w:p w14:paraId="0869099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0" w:name="_Toc251052189"/>
            <w:r>
              <w:rPr>
                <w:rFonts w:hint="default"/>
                <w:color w:val="auto"/>
                <w:sz w:val="21"/>
                <w:szCs w:val="21"/>
                <w:highlight w:val="none"/>
              </w:rPr>
              <w:t>执业或职业资格证明</w:t>
            </w:r>
            <w:bookmarkEnd w:id="140"/>
          </w:p>
        </w:tc>
        <w:tc>
          <w:tcPr>
            <w:tcW w:w="2126" w:type="dxa"/>
            <w:gridSpan w:val="2"/>
            <w:vAlign w:val="center"/>
          </w:tcPr>
          <w:p w14:paraId="46D7A3D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1" w:name="_Toc251052190"/>
            <w:r>
              <w:rPr>
                <w:rFonts w:hint="default"/>
                <w:color w:val="auto"/>
                <w:sz w:val="21"/>
                <w:szCs w:val="21"/>
                <w:highlight w:val="none"/>
              </w:rPr>
              <w:t>承担完工</w:t>
            </w:r>
            <w:bookmarkEnd w:id="141"/>
            <w:bookmarkStart w:id="142" w:name="_Toc251052191"/>
            <w:r>
              <w:rPr>
                <w:rFonts w:hint="default"/>
                <w:color w:val="auto"/>
                <w:sz w:val="21"/>
                <w:szCs w:val="21"/>
                <w:highlight w:val="none"/>
              </w:rPr>
              <w:t>工程情况</w:t>
            </w:r>
            <w:bookmarkEnd w:id="142"/>
          </w:p>
        </w:tc>
      </w:tr>
      <w:tr w14:paraId="1680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6E2F130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29" w:type="dxa"/>
            <w:vMerge w:val="continue"/>
            <w:vAlign w:val="center"/>
          </w:tcPr>
          <w:p w14:paraId="6D33D73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Merge w:val="continue"/>
            <w:vAlign w:val="center"/>
          </w:tcPr>
          <w:p w14:paraId="0CDBCFB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6AAED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3" w:name="_Toc251052192"/>
            <w:r>
              <w:rPr>
                <w:rFonts w:hint="default"/>
                <w:color w:val="auto"/>
                <w:sz w:val="21"/>
                <w:szCs w:val="21"/>
                <w:highlight w:val="none"/>
              </w:rPr>
              <w:t>证书名称</w:t>
            </w:r>
            <w:bookmarkEnd w:id="143"/>
          </w:p>
        </w:tc>
        <w:tc>
          <w:tcPr>
            <w:tcW w:w="1148" w:type="dxa"/>
            <w:vAlign w:val="center"/>
          </w:tcPr>
          <w:p w14:paraId="4130270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4" w:name="_Toc251052193"/>
            <w:r>
              <w:rPr>
                <w:rFonts w:hint="default"/>
                <w:color w:val="auto"/>
                <w:sz w:val="21"/>
                <w:szCs w:val="21"/>
                <w:highlight w:val="none"/>
              </w:rPr>
              <w:t>级别</w:t>
            </w:r>
            <w:bookmarkEnd w:id="144"/>
          </w:p>
        </w:tc>
        <w:tc>
          <w:tcPr>
            <w:tcW w:w="1148" w:type="dxa"/>
            <w:vAlign w:val="center"/>
          </w:tcPr>
          <w:p w14:paraId="29550B5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5" w:name="_Toc251052194"/>
            <w:r>
              <w:rPr>
                <w:rFonts w:hint="default"/>
                <w:color w:val="auto"/>
                <w:sz w:val="21"/>
                <w:szCs w:val="21"/>
                <w:highlight w:val="none"/>
              </w:rPr>
              <w:t>证号</w:t>
            </w:r>
            <w:bookmarkEnd w:id="145"/>
          </w:p>
        </w:tc>
        <w:tc>
          <w:tcPr>
            <w:tcW w:w="1148" w:type="dxa"/>
            <w:vAlign w:val="center"/>
          </w:tcPr>
          <w:p w14:paraId="2AD3C86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6" w:name="_Toc251052195"/>
            <w:r>
              <w:rPr>
                <w:rFonts w:hint="default"/>
                <w:color w:val="auto"/>
                <w:sz w:val="21"/>
                <w:szCs w:val="21"/>
                <w:highlight w:val="none"/>
              </w:rPr>
              <w:t>专业</w:t>
            </w:r>
            <w:bookmarkEnd w:id="146"/>
          </w:p>
        </w:tc>
        <w:tc>
          <w:tcPr>
            <w:tcW w:w="850" w:type="dxa"/>
            <w:vAlign w:val="center"/>
          </w:tcPr>
          <w:p w14:paraId="5656B21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7" w:name="_Toc251052197"/>
            <w:r>
              <w:rPr>
                <w:rFonts w:hint="default"/>
                <w:color w:val="auto"/>
                <w:sz w:val="21"/>
                <w:szCs w:val="21"/>
                <w:highlight w:val="none"/>
              </w:rPr>
              <w:t>项目数</w:t>
            </w:r>
            <w:bookmarkEnd w:id="147"/>
          </w:p>
        </w:tc>
        <w:tc>
          <w:tcPr>
            <w:tcW w:w="1276" w:type="dxa"/>
            <w:vAlign w:val="center"/>
          </w:tcPr>
          <w:p w14:paraId="64B1BF4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bookmarkStart w:id="148" w:name="_Toc251052198"/>
            <w:r>
              <w:rPr>
                <w:rFonts w:hint="default"/>
                <w:color w:val="auto"/>
                <w:sz w:val="21"/>
                <w:szCs w:val="21"/>
                <w:highlight w:val="none"/>
              </w:rPr>
              <w:t>主要项目</w:t>
            </w:r>
          </w:p>
          <w:p w14:paraId="474178C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名称</w:t>
            </w:r>
            <w:bookmarkEnd w:id="148"/>
          </w:p>
        </w:tc>
      </w:tr>
      <w:tr w14:paraId="6AE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D71AC3F">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zh-CN" w:eastAsia="zh-CN" w:bidi="zh-CN"/>
              </w:rPr>
            </w:pPr>
          </w:p>
        </w:tc>
        <w:tc>
          <w:tcPr>
            <w:tcW w:w="829" w:type="dxa"/>
            <w:vAlign w:val="center"/>
          </w:tcPr>
          <w:p w14:paraId="1009D0C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41D3849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639AB2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3CB164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0CA26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F5492C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4FBF67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00FDB8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71D8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089251A">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zh-CN" w:eastAsia="zh-CN" w:bidi="zh-CN"/>
              </w:rPr>
            </w:pPr>
          </w:p>
        </w:tc>
        <w:tc>
          <w:tcPr>
            <w:tcW w:w="829" w:type="dxa"/>
            <w:vAlign w:val="center"/>
          </w:tcPr>
          <w:p w14:paraId="7208B06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47109F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2426EE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393731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92218B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36CC9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9125237">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0B7E27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5697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03F71C9">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zh-CN" w:eastAsia="zh-CN" w:bidi="zh-CN"/>
              </w:rPr>
            </w:pPr>
          </w:p>
        </w:tc>
        <w:tc>
          <w:tcPr>
            <w:tcW w:w="829" w:type="dxa"/>
            <w:vAlign w:val="center"/>
          </w:tcPr>
          <w:p w14:paraId="2D7BFEA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E153B6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E0779C7">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0320D6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E8C58D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BA7AB2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C2D7AB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C98947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5960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8E0C4F4">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zh-CN" w:eastAsia="zh-CN" w:bidi="zh-CN"/>
              </w:rPr>
            </w:pPr>
          </w:p>
        </w:tc>
        <w:tc>
          <w:tcPr>
            <w:tcW w:w="829" w:type="dxa"/>
            <w:vAlign w:val="center"/>
          </w:tcPr>
          <w:p w14:paraId="0D41BA5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0A4921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96EE8A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1F3C7D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521E9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B89CB3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C347A0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3803DFC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4B35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FB3005">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zh-CN" w:eastAsia="zh-CN" w:bidi="zh-CN"/>
              </w:rPr>
            </w:pPr>
          </w:p>
        </w:tc>
        <w:tc>
          <w:tcPr>
            <w:tcW w:w="829" w:type="dxa"/>
            <w:vAlign w:val="center"/>
          </w:tcPr>
          <w:p w14:paraId="1B42840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16C420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47F344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905DE9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53AFB5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541761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87E4C2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79FA82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74AA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CD81ED">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en-US" w:eastAsia="zh-CN" w:bidi="zh-CN"/>
              </w:rPr>
            </w:pPr>
          </w:p>
        </w:tc>
        <w:tc>
          <w:tcPr>
            <w:tcW w:w="829" w:type="dxa"/>
            <w:vAlign w:val="center"/>
          </w:tcPr>
          <w:p w14:paraId="19B89B1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16CDB1E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7817F0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85A0C7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602377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9DEEBE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39E5EED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8EA4B4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0D3C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CEB182D">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zh-CN" w:eastAsia="zh-CN" w:bidi="zh-CN"/>
              </w:rPr>
            </w:pPr>
          </w:p>
        </w:tc>
        <w:tc>
          <w:tcPr>
            <w:tcW w:w="829" w:type="dxa"/>
            <w:vAlign w:val="center"/>
          </w:tcPr>
          <w:p w14:paraId="7E16BCB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ED493A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A2C17B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44725F4">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A608A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D2A1D6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7370A58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B3716C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1E2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F662E7C">
            <w:pPr>
              <w:keepNext w:val="0"/>
              <w:keepLines w:val="0"/>
              <w:suppressLineNumbers w:val="0"/>
              <w:spacing w:before="0" w:beforeAutospacing="0" w:after="0" w:afterAutospacing="0"/>
              <w:ind w:left="222" w:leftChars="0" w:right="0" w:rightChars="0" w:hanging="222" w:hangingChars="106"/>
              <w:jc w:val="center"/>
              <w:rPr>
                <w:rFonts w:hint="eastAsia" w:ascii="宋体" w:hAnsi="宋体" w:eastAsia="宋体" w:cs="宋体"/>
                <w:color w:val="auto"/>
                <w:kern w:val="2"/>
                <w:sz w:val="21"/>
                <w:szCs w:val="21"/>
                <w:highlight w:val="none"/>
                <w:lang w:val="zh-CN" w:eastAsia="zh-CN" w:bidi="zh-CN"/>
              </w:rPr>
            </w:pPr>
          </w:p>
        </w:tc>
        <w:tc>
          <w:tcPr>
            <w:tcW w:w="829" w:type="dxa"/>
            <w:vAlign w:val="center"/>
          </w:tcPr>
          <w:p w14:paraId="340DBE2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597CAA6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0DF4F0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12D375D">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7901C23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AC172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50C2D7F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0A53138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546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A4AE958">
            <w:pPr>
              <w:pStyle w:val="43"/>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220BDF1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6F3F613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F22682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93FFA8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32AE74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5634AE2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F9041C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46507B4A">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067D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B4A03A4">
            <w:pPr>
              <w:pStyle w:val="43"/>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D7391B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09C847C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71A62C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3F8D3900">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CE22A25">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315A2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08BE67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2A1983F7">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63D0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8704FB">
            <w:pPr>
              <w:pStyle w:val="43"/>
              <w:keepNext w:val="0"/>
              <w:keepLines w:val="0"/>
              <w:pageBreakBefore w:val="0"/>
              <w:suppressLineNumbers w:val="0"/>
              <w:kinsoku/>
              <w:wordWrap/>
              <w:overflowPunct/>
              <w:topLinePunct w:val="0"/>
              <w:bidi w:val="0"/>
              <w:adjustRightInd/>
              <w:snapToGrid/>
              <w:spacing w:before="0" w:beforeAutospacing="0" w:after="0" w:afterAutospacing="0"/>
              <w:ind w:left="0" w:right="0"/>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2E3C3129">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3D2AF0C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A117E41">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24612DD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0E6476C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60E535FC">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151D2AB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5E36FA1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32CD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ECEBFF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r>
              <w:rPr>
                <w:rFonts w:hint="default"/>
                <w:color w:val="auto"/>
                <w:sz w:val="21"/>
                <w:szCs w:val="21"/>
                <w:highlight w:val="none"/>
              </w:rPr>
              <w:t>……</w:t>
            </w:r>
          </w:p>
        </w:tc>
        <w:tc>
          <w:tcPr>
            <w:tcW w:w="829" w:type="dxa"/>
            <w:vAlign w:val="center"/>
          </w:tcPr>
          <w:p w14:paraId="4CE8993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16" w:type="dxa"/>
            <w:vAlign w:val="center"/>
          </w:tcPr>
          <w:p w14:paraId="2681237E">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86244C6">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78C76C3">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42CE4C7B">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148" w:type="dxa"/>
            <w:vAlign w:val="center"/>
          </w:tcPr>
          <w:p w14:paraId="103AAFAF">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850" w:type="dxa"/>
            <w:vAlign w:val="center"/>
          </w:tcPr>
          <w:p w14:paraId="4AA8B538">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c>
          <w:tcPr>
            <w:tcW w:w="1276" w:type="dxa"/>
            <w:vAlign w:val="center"/>
          </w:tcPr>
          <w:p w14:paraId="798F9C92">
            <w:pPr>
              <w:keepNext w:val="0"/>
              <w:keepLines w:val="0"/>
              <w:suppressLineNumbers w:val="0"/>
              <w:spacing w:before="0" w:beforeAutospacing="0" w:after="0" w:afterAutospacing="0"/>
              <w:ind w:left="223" w:right="0" w:hanging="222" w:hangingChars="106"/>
              <w:jc w:val="center"/>
              <w:rPr>
                <w:rFonts w:hint="default"/>
                <w:color w:val="auto"/>
                <w:sz w:val="21"/>
                <w:szCs w:val="21"/>
                <w:highlight w:val="none"/>
              </w:rPr>
            </w:pPr>
          </w:p>
        </w:tc>
      </w:tr>
      <w:tr w14:paraId="15E2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451EB28E">
            <w:pPr>
              <w:keepNext w:val="0"/>
              <w:keepLines w:val="0"/>
              <w:suppressLineNumbers w:val="0"/>
              <w:spacing w:before="0" w:beforeAutospacing="0" w:after="0" w:afterAutospacing="0" w:line="360" w:lineRule="auto"/>
              <w:ind w:left="0" w:right="0"/>
              <w:rPr>
                <w:rFonts w:hint="default"/>
                <w:color w:val="auto"/>
                <w:sz w:val="21"/>
                <w:szCs w:val="22"/>
                <w:highlight w:val="none"/>
              </w:rPr>
            </w:pPr>
            <w:bookmarkStart w:id="149" w:name="_Toc251052199"/>
            <w:r>
              <w:rPr>
                <w:rFonts w:hint="default"/>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49"/>
          </w:p>
        </w:tc>
      </w:tr>
    </w:tbl>
    <w:p w14:paraId="2C8FB2C8">
      <w:pPr>
        <w:tabs>
          <w:tab w:val="left" w:pos="0"/>
        </w:tabs>
        <w:spacing w:line="360" w:lineRule="auto"/>
        <w:ind w:right="-210"/>
        <w:rPr>
          <w:color w:val="auto"/>
          <w:sz w:val="21"/>
          <w:szCs w:val="21"/>
          <w:highlight w:val="none"/>
        </w:rPr>
      </w:pPr>
    </w:p>
    <w:p w14:paraId="723AA1CC">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0A248E2B">
      <w:pPr>
        <w:spacing w:line="360" w:lineRule="auto"/>
        <w:rPr>
          <w:rFonts w:eastAsia="楷体_GB2312"/>
          <w:color w:val="auto"/>
          <w:sz w:val="21"/>
          <w:szCs w:val="21"/>
          <w:highlight w:val="none"/>
        </w:rPr>
      </w:pPr>
    </w:p>
    <w:p w14:paraId="6E5CC0D8">
      <w:pP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152E78E5">
      <w:pPr>
        <w:pStyle w:val="39"/>
        <w:jc w:val="center"/>
        <w:outlineLvl w:val="0"/>
        <w:rPr>
          <w:b/>
          <w:color w:val="auto"/>
          <w:sz w:val="24"/>
          <w:highlight w:val="none"/>
        </w:rPr>
      </w:pPr>
      <w:bookmarkStart w:id="150" w:name="_Toc173579006"/>
      <w:bookmarkStart w:id="151" w:name="_Toc251052200"/>
      <w:bookmarkStart w:id="152" w:name="_Toc153274948"/>
      <w:bookmarkStart w:id="153" w:name="_Toc7001"/>
      <w:bookmarkStart w:id="154" w:name="_Toc172364026"/>
      <w:bookmarkStart w:id="155" w:name="_Toc11580"/>
      <w:bookmarkStart w:id="156" w:name="_Toc389065364"/>
      <w:r>
        <w:rPr>
          <w:b/>
          <w:color w:val="auto"/>
          <w:sz w:val="24"/>
          <w:highlight w:val="none"/>
        </w:rPr>
        <w:t>2、项目经理（注册建造师）简历表</w:t>
      </w:r>
      <w:bookmarkEnd w:id="150"/>
      <w:bookmarkEnd w:id="151"/>
      <w:bookmarkEnd w:id="152"/>
      <w:bookmarkEnd w:id="153"/>
      <w:bookmarkEnd w:id="154"/>
      <w:bookmarkEnd w:id="155"/>
      <w:bookmarkEnd w:id="156"/>
    </w:p>
    <w:p w14:paraId="36375E18">
      <w:pPr>
        <w:pStyle w:val="39"/>
        <w:rPr>
          <w:color w:val="auto"/>
          <w:sz w:val="22"/>
          <w:szCs w:val="22"/>
          <w:highlight w:val="none"/>
          <w:u w:val="single"/>
        </w:rPr>
      </w:pPr>
    </w:p>
    <w:p w14:paraId="19537892">
      <w:pPr>
        <w:pStyle w:val="39"/>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6718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49951A9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4FAB660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1021D30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1FD0E36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6E1D06">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48FE133E">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625B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2AFB95B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A930A8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6A96E84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7384743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1C9754E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8B8DE2F">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11D0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6C69B62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0BB38CF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69D0E29F">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担任项目经理年限</w:t>
            </w:r>
          </w:p>
        </w:tc>
        <w:tc>
          <w:tcPr>
            <w:tcW w:w="1276" w:type="dxa"/>
            <w:vAlign w:val="center"/>
          </w:tcPr>
          <w:p w14:paraId="21758B44">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9463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2641DECE">
            <w:pPr>
              <w:keepNext w:val="0"/>
              <w:keepLines w:val="0"/>
              <w:suppressLineNumbers w:val="0"/>
              <w:spacing w:before="0" w:beforeAutospacing="0" w:after="0" w:afterAutospacing="0"/>
              <w:ind w:left="0" w:right="0"/>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40B8C66F">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C92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8A3205C">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6E9E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12C0CBCF">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576EACC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1A449C1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4630974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4DBB888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78EEC6F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51B2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C77468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109029E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53A714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38CFC41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FD137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40CA4752">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760A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23A2CA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27F3A8B3">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25F0B39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074284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F20F9CD">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91A7906">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219A3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53BDD55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0F62A9D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CFAFE5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A7C5D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70EFC1C">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CE67A98">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94AB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D36DF9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5868991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317574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3A1C21">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BD4C6C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165BF627">
            <w:pPr>
              <w:keepNext w:val="0"/>
              <w:keepLines w:val="0"/>
              <w:suppressLineNumbers w:val="0"/>
              <w:spacing w:before="0" w:beforeAutospacing="0" w:after="0" w:afterAutospacing="0"/>
              <w:ind w:left="0" w:right="0"/>
              <w:jc w:val="center"/>
              <w:rPr>
                <w:rFonts w:hint="default"/>
                <w:color w:val="auto"/>
                <w:sz w:val="21"/>
                <w:szCs w:val="21"/>
                <w:highlight w:val="none"/>
              </w:rPr>
            </w:pPr>
          </w:p>
        </w:tc>
      </w:tr>
    </w:tbl>
    <w:p w14:paraId="32543E66">
      <w:pPr>
        <w:spacing w:line="360" w:lineRule="auto"/>
        <w:rPr>
          <w:color w:val="auto"/>
          <w:sz w:val="21"/>
          <w:szCs w:val="22"/>
          <w:highlight w:val="none"/>
        </w:rPr>
      </w:pPr>
    </w:p>
    <w:p w14:paraId="741DAF2E">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7AA730D2">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项目经理资格证书和已</w:t>
      </w:r>
      <w:r>
        <w:rPr>
          <w:rFonts w:hint="eastAsia" w:eastAsia="楷体_GB2312"/>
          <w:color w:val="auto"/>
          <w:sz w:val="21"/>
          <w:szCs w:val="21"/>
          <w:highlight w:val="none"/>
          <w:lang w:eastAsia="zh-CN"/>
        </w:rPr>
        <w:t>完成</w:t>
      </w:r>
      <w:r>
        <w:rPr>
          <w:rFonts w:hint="eastAsia" w:eastAsia="楷体_GB2312"/>
          <w:color w:val="auto"/>
          <w:sz w:val="21"/>
          <w:szCs w:val="21"/>
          <w:highlight w:val="none"/>
        </w:rPr>
        <w:t>工程中标通知书、工程合同协议书的复印件（如有），以及磋商单位认为需要增加的其他证明材料复印件，以上复印件均须加盖磋商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600A2762">
      <w:pPr>
        <w:spacing w:beforeLines="50"/>
        <w:ind w:firstLine="420" w:firstLineChars="200"/>
        <w:rPr>
          <w:rFonts w:eastAsia="楷体_GB2312"/>
          <w:color w:val="auto"/>
          <w:sz w:val="21"/>
          <w:szCs w:val="21"/>
          <w:highlight w:val="none"/>
        </w:rPr>
      </w:pPr>
    </w:p>
    <w:p w14:paraId="33FCD8E4">
      <w:pPr>
        <w:spacing w:line="360" w:lineRule="auto"/>
        <w:ind w:firstLine="525" w:firstLineChars="250"/>
        <w:rPr>
          <w:color w:val="auto"/>
          <w:sz w:val="21"/>
          <w:szCs w:val="21"/>
          <w:highlight w:val="none"/>
        </w:rPr>
      </w:pPr>
    </w:p>
    <w:p w14:paraId="5D820EE8">
      <w:pP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51C02565">
      <w:pPr>
        <w:spacing w:line="360" w:lineRule="auto"/>
        <w:ind w:firstLine="500" w:firstLineChars="250"/>
        <w:rPr>
          <w:color w:val="auto"/>
          <w:highlight w:val="none"/>
        </w:rPr>
      </w:pPr>
    </w:p>
    <w:p w14:paraId="23D73C2F">
      <w:pPr>
        <w:pStyle w:val="39"/>
        <w:jc w:val="center"/>
        <w:outlineLvl w:val="0"/>
        <w:rPr>
          <w:b/>
          <w:color w:val="auto"/>
          <w:sz w:val="24"/>
          <w:highlight w:val="none"/>
        </w:rPr>
      </w:pPr>
      <w:bookmarkStart w:id="157" w:name="_Toc389065365"/>
      <w:bookmarkStart w:id="158" w:name="_Toc153274949"/>
      <w:bookmarkStart w:id="159" w:name="_Toc172364027"/>
      <w:bookmarkStart w:id="160" w:name="_Toc8504"/>
      <w:bookmarkStart w:id="161" w:name="_Toc173579007"/>
      <w:bookmarkStart w:id="162" w:name="_Toc251052219"/>
      <w:bookmarkStart w:id="163" w:name="_Toc4507"/>
      <w:r>
        <w:rPr>
          <w:rFonts w:hint="eastAsia"/>
          <w:b/>
          <w:color w:val="auto"/>
          <w:sz w:val="24"/>
          <w:highlight w:val="none"/>
          <w:lang w:val="en-US" w:eastAsia="zh-CN"/>
        </w:rPr>
        <w:t>三</w:t>
      </w:r>
      <w:r>
        <w:rPr>
          <w:b/>
          <w:color w:val="auto"/>
          <w:sz w:val="24"/>
          <w:highlight w:val="none"/>
        </w:rPr>
        <w:t>、项目技术负责人简历表</w:t>
      </w:r>
      <w:bookmarkEnd w:id="157"/>
      <w:bookmarkEnd w:id="158"/>
      <w:bookmarkEnd w:id="159"/>
      <w:bookmarkEnd w:id="160"/>
      <w:bookmarkEnd w:id="161"/>
      <w:bookmarkEnd w:id="162"/>
      <w:bookmarkEnd w:id="163"/>
    </w:p>
    <w:p w14:paraId="62C2CE66">
      <w:pPr>
        <w:pStyle w:val="39"/>
        <w:rPr>
          <w:color w:val="auto"/>
          <w:highlight w:val="none"/>
          <w:u w:val="single"/>
        </w:rPr>
      </w:pPr>
    </w:p>
    <w:p w14:paraId="67E995A7">
      <w:pPr>
        <w:pStyle w:val="39"/>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7"/>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773B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5DD77EF4">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姓名</w:t>
            </w:r>
          </w:p>
        </w:tc>
        <w:tc>
          <w:tcPr>
            <w:tcW w:w="2340" w:type="dxa"/>
            <w:gridSpan w:val="3"/>
            <w:vAlign w:val="center"/>
          </w:tcPr>
          <w:p w14:paraId="11D29B1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549FE79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性别</w:t>
            </w:r>
          </w:p>
        </w:tc>
        <w:tc>
          <w:tcPr>
            <w:tcW w:w="1585" w:type="dxa"/>
            <w:gridSpan w:val="2"/>
            <w:vAlign w:val="center"/>
          </w:tcPr>
          <w:p w14:paraId="0F174F4C">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0D6D562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年龄</w:t>
            </w:r>
          </w:p>
        </w:tc>
        <w:tc>
          <w:tcPr>
            <w:tcW w:w="1276" w:type="dxa"/>
            <w:vAlign w:val="center"/>
          </w:tcPr>
          <w:p w14:paraId="359E5BAE">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C53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6B8D44F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职务</w:t>
            </w:r>
          </w:p>
        </w:tc>
        <w:tc>
          <w:tcPr>
            <w:tcW w:w="2340" w:type="dxa"/>
            <w:gridSpan w:val="3"/>
            <w:vAlign w:val="center"/>
          </w:tcPr>
          <w:p w14:paraId="5EC2470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893" w:type="dxa"/>
            <w:gridSpan w:val="2"/>
            <w:vAlign w:val="center"/>
          </w:tcPr>
          <w:p w14:paraId="0093DB2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职称</w:t>
            </w:r>
          </w:p>
        </w:tc>
        <w:tc>
          <w:tcPr>
            <w:tcW w:w="1585" w:type="dxa"/>
            <w:gridSpan w:val="2"/>
            <w:vAlign w:val="center"/>
          </w:tcPr>
          <w:p w14:paraId="5847C910">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108" w:type="dxa"/>
            <w:gridSpan w:val="2"/>
            <w:vAlign w:val="center"/>
          </w:tcPr>
          <w:p w14:paraId="3D609C24">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学历</w:t>
            </w:r>
          </w:p>
        </w:tc>
        <w:tc>
          <w:tcPr>
            <w:tcW w:w="1276" w:type="dxa"/>
            <w:vAlign w:val="center"/>
          </w:tcPr>
          <w:p w14:paraId="1FEB97D2">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04DA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38C3E5E7">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参加工作时间</w:t>
            </w:r>
          </w:p>
        </w:tc>
        <w:tc>
          <w:tcPr>
            <w:tcW w:w="1893" w:type="dxa"/>
            <w:gridSpan w:val="2"/>
            <w:vAlign w:val="center"/>
          </w:tcPr>
          <w:p w14:paraId="56D2795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2693" w:type="dxa"/>
            <w:gridSpan w:val="4"/>
            <w:vAlign w:val="center"/>
          </w:tcPr>
          <w:p w14:paraId="5BAEF562">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担任</w:t>
            </w:r>
            <w:r>
              <w:rPr>
                <w:rFonts w:hint="eastAsia"/>
                <w:color w:val="auto"/>
                <w:sz w:val="21"/>
                <w:szCs w:val="21"/>
                <w:highlight w:val="none"/>
              </w:rPr>
              <w:t>技术负责人</w:t>
            </w:r>
            <w:r>
              <w:rPr>
                <w:rFonts w:hint="default"/>
                <w:color w:val="auto"/>
                <w:sz w:val="21"/>
                <w:szCs w:val="21"/>
                <w:highlight w:val="none"/>
              </w:rPr>
              <w:t>年限</w:t>
            </w:r>
          </w:p>
        </w:tc>
        <w:tc>
          <w:tcPr>
            <w:tcW w:w="1276" w:type="dxa"/>
            <w:vAlign w:val="center"/>
          </w:tcPr>
          <w:p w14:paraId="7C60A575">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CBD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77AE56A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在建和已完工程项目情况</w:t>
            </w:r>
          </w:p>
        </w:tc>
      </w:tr>
      <w:tr w14:paraId="4FBB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1D3475E">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建设单位</w:t>
            </w:r>
          </w:p>
        </w:tc>
        <w:tc>
          <w:tcPr>
            <w:tcW w:w="1548" w:type="dxa"/>
            <w:vAlign w:val="center"/>
          </w:tcPr>
          <w:p w14:paraId="3F682E69">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项目名称</w:t>
            </w:r>
          </w:p>
        </w:tc>
        <w:tc>
          <w:tcPr>
            <w:tcW w:w="1547" w:type="dxa"/>
            <w:gridSpan w:val="2"/>
            <w:vAlign w:val="center"/>
          </w:tcPr>
          <w:p w14:paraId="410C65A5">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建设规模</w:t>
            </w:r>
          </w:p>
        </w:tc>
        <w:tc>
          <w:tcPr>
            <w:tcW w:w="1548" w:type="dxa"/>
            <w:gridSpan w:val="2"/>
            <w:vAlign w:val="center"/>
          </w:tcPr>
          <w:p w14:paraId="73C0543A">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开、竣工日期</w:t>
            </w:r>
          </w:p>
        </w:tc>
        <w:tc>
          <w:tcPr>
            <w:tcW w:w="1547" w:type="dxa"/>
            <w:gridSpan w:val="2"/>
            <w:vAlign w:val="center"/>
          </w:tcPr>
          <w:p w14:paraId="2CCCA1BD">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在建或已完</w:t>
            </w:r>
          </w:p>
        </w:tc>
        <w:tc>
          <w:tcPr>
            <w:tcW w:w="1548" w:type="dxa"/>
            <w:gridSpan w:val="2"/>
            <w:vAlign w:val="center"/>
          </w:tcPr>
          <w:p w14:paraId="032BD5EB">
            <w:pPr>
              <w:keepNext w:val="0"/>
              <w:keepLines w:val="0"/>
              <w:suppressLineNumbers w:val="0"/>
              <w:spacing w:before="0" w:beforeAutospacing="0" w:after="0" w:afterAutospacing="0"/>
              <w:ind w:left="0" w:right="0"/>
              <w:jc w:val="center"/>
              <w:rPr>
                <w:rFonts w:hint="default"/>
                <w:color w:val="auto"/>
                <w:sz w:val="21"/>
                <w:szCs w:val="21"/>
                <w:highlight w:val="none"/>
              </w:rPr>
            </w:pPr>
            <w:r>
              <w:rPr>
                <w:rFonts w:hint="default"/>
                <w:color w:val="auto"/>
                <w:sz w:val="21"/>
                <w:szCs w:val="21"/>
                <w:highlight w:val="none"/>
              </w:rPr>
              <w:t>工程质量</w:t>
            </w:r>
          </w:p>
        </w:tc>
      </w:tr>
      <w:tr w14:paraId="71C96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369179C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58FAA53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3638C8B">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211BFA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12BA802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10AE658">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6A78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1DCA626">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3B6966B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DEB055A">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0E461227">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534B6D18">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63D36BDA">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3AA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89C47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50E3B9E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6438166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5DEF83E">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4694C81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24DAFCE5">
            <w:pPr>
              <w:keepNext w:val="0"/>
              <w:keepLines w:val="0"/>
              <w:suppressLineNumbers w:val="0"/>
              <w:spacing w:before="0" w:beforeAutospacing="0" w:after="0" w:afterAutospacing="0"/>
              <w:ind w:left="0" w:right="0"/>
              <w:jc w:val="center"/>
              <w:rPr>
                <w:rFonts w:hint="default"/>
                <w:color w:val="auto"/>
                <w:sz w:val="21"/>
                <w:szCs w:val="21"/>
                <w:highlight w:val="none"/>
              </w:rPr>
            </w:pPr>
          </w:p>
        </w:tc>
      </w:tr>
      <w:tr w14:paraId="4F30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6754D3F9">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vAlign w:val="center"/>
          </w:tcPr>
          <w:p w14:paraId="4BAC4FC5">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30CACAFF">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56A0BC12">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7" w:type="dxa"/>
            <w:gridSpan w:val="2"/>
            <w:vAlign w:val="center"/>
          </w:tcPr>
          <w:p w14:paraId="0AC459E4">
            <w:pPr>
              <w:keepNext w:val="0"/>
              <w:keepLines w:val="0"/>
              <w:suppressLineNumbers w:val="0"/>
              <w:spacing w:before="0" w:beforeAutospacing="0" w:after="0" w:afterAutospacing="0"/>
              <w:ind w:left="0" w:right="0"/>
              <w:jc w:val="center"/>
              <w:rPr>
                <w:rFonts w:hint="default"/>
                <w:color w:val="auto"/>
                <w:sz w:val="21"/>
                <w:szCs w:val="21"/>
                <w:highlight w:val="none"/>
              </w:rPr>
            </w:pPr>
          </w:p>
        </w:tc>
        <w:tc>
          <w:tcPr>
            <w:tcW w:w="1548" w:type="dxa"/>
            <w:gridSpan w:val="2"/>
            <w:vAlign w:val="center"/>
          </w:tcPr>
          <w:p w14:paraId="789C470C">
            <w:pPr>
              <w:keepNext w:val="0"/>
              <w:keepLines w:val="0"/>
              <w:suppressLineNumbers w:val="0"/>
              <w:spacing w:before="0" w:beforeAutospacing="0" w:after="0" w:afterAutospacing="0"/>
              <w:ind w:left="0" w:right="0"/>
              <w:jc w:val="center"/>
              <w:rPr>
                <w:rFonts w:hint="default"/>
                <w:color w:val="auto"/>
                <w:sz w:val="21"/>
                <w:szCs w:val="21"/>
                <w:highlight w:val="none"/>
              </w:rPr>
            </w:pPr>
          </w:p>
        </w:tc>
      </w:tr>
    </w:tbl>
    <w:p w14:paraId="03BB618D">
      <w:pPr>
        <w:spacing w:line="360" w:lineRule="auto"/>
        <w:rPr>
          <w:color w:val="auto"/>
          <w:sz w:val="21"/>
          <w:szCs w:val="22"/>
          <w:highlight w:val="none"/>
        </w:rPr>
      </w:pPr>
    </w:p>
    <w:p w14:paraId="0FA531FA">
      <w:pPr>
        <w:spacing w:line="360" w:lineRule="auto"/>
        <w:rPr>
          <w:rFonts w:eastAsia="楷体_GB2312"/>
          <w:color w:val="auto"/>
          <w:sz w:val="21"/>
          <w:szCs w:val="21"/>
          <w:highlight w:val="none"/>
        </w:rPr>
      </w:pPr>
      <w:r>
        <w:rPr>
          <w:rFonts w:eastAsia="楷体_GB2312"/>
          <w:color w:val="auto"/>
          <w:sz w:val="21"/>
          <w:szCs w:val="21"/>
          <w:highlight w:val="none"/>
        </w:rPr>
        <w:t>备注：</w:t>
      </w:r>
    </w:p>
    <w:p w14:paraId="02EAE980">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技术负责人资格证和已</w:t>
      </w:r>
      <w:r>
        <w:rPr>
          <w:rFonts w:hint="eastAsia" w:eastAsia="楷体_GB2312"/>
          <w:color w:val="auto"/>
          <w:sz w:val="21"/>
          <w:szCs w:val="21"/>
          <w:highlight w:val="none"/>
          <w:lang w:eastAsia="zh-CN"/>
        </w:rPr>
        <w:t>完成</w:t>
      </w:r>
      <w:r>
        <w:rPr>
          <w:rFonts w:hint="eastAsia" w:eastAsia="楷体_GB2312"/>
          <w:color w:val="auto"/>
          <w:sz w:val="21"/>
          <w:szCs w:val="21"/>
          <w:highlight w:val="none"/>
        </w:rPr>
        <w:t>工程</w:t>
      </w:r>
      <w:r>
        <w:rPr>
          <w:rFonts w:eastAsia="楷体_GB2312"/>
          <w:color w:val="auto"/>
          <w:sz w:val="21"/>
          <w:szCs w:val="21"/>
          <w:highlight w:val="none"/>
        </w:rPr>
        <w:t>中标通知书</w:t>
      </w:r>
      <w:r>
        <w:rPr>
          <w:rFonts w:hint="eastAsia" w:eastAsia="楷体_GB2312"/>
          <w:color w:val="auto"/>
          <w:sz w:val="21"/>
          <w:szCs w:val="21"/>
          <w:highlight w:val="none"/>
        </w:rPr>
        <w:t>、</w:t>
      </w:r>
      <w:r>
        <w:rPr>
          <w:rFonts w:eastAsia="楷体_GB2312"/>
          <w:color w:val="auto"/>
          <w:sz w:val="21"/>
          <w:szCs w:val="21"/>
          <w:highlight w:val="none"/>
        </w:rPr>
        <w:t>工程合同协议书</w:t>
      </w:r>
      <w:r>
        <w:rPr>
          <w:rFonts w:hint="eastAsia" w:eastAsia="楷体_GB2312"/>
          <w:color w:val="auto"/>
          <w:sz w:val="21"/>
          <w:szCs w:val="21"/>
          <w:highlight w:val="none"/>
        </w:rPr>
        <w:t>的复印件（如有），以及磋商单位认为需要增加的其他证明材料复印件，以上复印件均须加盖磋商</w:t>
      </w:r>
      <w:r>
        <w:rPr>
          <w:rFonts w:hint="eastAsia" w:eastAsia="楷体_GB2312"/>
          <w:color w:val="auto"/>
          <w:sz w:val="21"/>
          <w:szCs w:val="21"/>
          <w:highlight w:val="none"/>
          <w:lang w:eastAsia="zh-CN"/>
        </w:rPr>
        <w:t>单位</w:t>
      </w:r>
      <w:r>
        <w:rPr>
          <w:rFonts w:hint="eastAsia" w:eastAsia="楷体_GB2312"/>
          <w:color w:val="auto"/>
          <w:sz w:val="21"/>
          <w:szCs w:val="21"/>
          <w:highlight w:val="none"/>
        </w:rPr>
        <w:t>公章。</w:t>
      </w:r>
    </w:p>
    <w:p w14:paraId="410F268E">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242601BF">
      <w:pPr>
        <w:rPr>
          <w:color w:val="auto"/>
          <w:sz w:val="21"/>
          <w:szCs w:val="21"/>
          <w:highlight w:val="none"/>
        </w:rPr>
      </w:pPr>
    </w:p>
    <w:p w14:paraId="377EEA6B">
      <w:pPr>
        <w:rPr>
          <w:color w:val="auto"/>
          <w:sz w:val="21"/>
          <w:szCs w:val="21"/>
          <w:highlight w:val="none"/>
        </w:rPr>
      </w:pPr>
    </w:p>
    <w:p w14:paraId="0F96FF28">
      <w:pPr>
        <w:pStyle w:val="35"/>
        <w:spacing w:line="360" w:lineRule="auto"/>
        <w:rPr>
          <w:rFonts w:ascii="宋体" w:hAnsi="宋体"/>
          <w:b/>
          <w:color w:val="auto"/>
          <w:sz w:val="32"/>
          <w:szCs w:val="32"/>
          <w:highlight w:val="none"/>
        </w:rPr>
      </w:pPr>
    </w:p>
    <w:p w14:paraId="21B3156A">
      <w:pPr>
        <w:pStyle w:val="35"/>
        <w:spacing w:line="360" w:lineRule="auto"/>
        <w:jc w:val="center"/>
        <w:rPr>
          <w:rFonts w:ascii="宋体" w:hAnsi="宋体"/>
          <w:b/>
          <w:color w:val="auto"/>
          <w:sz w:val="32"/>
          <w:szCs w:val="32"/>
          <w:highlight w:val="none"/>
        </w:rPr>
      </w:pPr>
    </w:p>
    <w:p w14:paraId="058978AD">
      <w:pPr>
        <w:pStyle w:val="36"/>
        <w:rPr>
          <w:rFonts w:ascii="宋体" w:hAnsi="宋体"/>
          <w:b/>
          <w:color w:val="auto"/>
          <w:sz w:val="32"/>
          <w:szCs w:val="32"/>
          <w:highlight w:val="none"/>
        </w:rPr>
      </w:pPr>
    </w:p>
    <w:p w14:paraId="2757682E">
      <w:pPr>
        <w:pStyle w:val="35"/>
        <w:rPr>
          <w:rFonts w:ascii="宋体" w:hAnsi="宋体"/>
          <w:b/>
          <w:color w:val="auto"/>
          <w:sz w:val="28"/>
          <w:szCs w:val="28"/>
          <w:highlight w:val="none"/>
        </w:rPr>
      </w:pPr>
    </w:p>
    <w:p w14:paraId="5057E2A7">
      <w:pPr>
        <w:pStyle w:val="36"/>
        <w:rPr>
          <w:rFonts w:ascii="宋体" w:hAnsi="宋体"/>
          <w:b/>
          <w:color w:val="auto"/>
          <w:sz w:val="28"/>
          <w:szCs w:val="28"/>
          <w:highlight w:val="none"/>
        </w:rPr>
      </w:pPr>
    </w:p>
    <w:p w14:paraId="5282F809">
      <w:pPr>
        <w:pStyle w:val="35"/>
        <w:rPr>
          <w:rFonts w:ascii="宋体" w:hAnsi="宋体"/>
          <w:b/>
          <w:color w:val="auto"/>
          <w:sz w:val="28"/>
          <w:szCs w:val="28"/>
          <w:highlight w:val="none"/>
        </w:rPr>
      </w:pPr>
    </w:p>
    <w:p w14:paraId="1BEEF556">
      <w:pPr>
        <w:pStyle w:val="36"/>
        <w:rPr>
          <w:rFonts w:ascii="宋体" w:hAnsi="宋体"/>
          <w:b/>
          <w:color w:val="auto"/>
          <w:sz w:val="28"/>
          <w:szCs w:val="28"/>
          <w:highlight w:val="none"/>
        </w:rPr>
      </w:pPr>
    </w:p>
    <w:p w14:paraId="59DAAE4E">
      <w:pPr>
        <w:pStyle w:val="35"/>
        <w:rPr>
          <w:rFonts w:ascii="宋体" w:hAnsi="宋体"/>
          <w:b/>
          <w:color w:val="auto"/>
          <w:sz w:val="28"/>
          <w:szCs w:val="28"/>
          <w:highlight w:val="none"/>
        </w:rPr>
      </w:pPr>
    </w:p>
    <w:p w14:paraId="72A04580">
      <w:pPr>
        <w:pStyle w:val="36"/>
        <w:rPr>
          <w:color w:val="auto"/>
        </w:rPr>
      </w:pPr>
    </w:p>
    <w:p w14:paraId="205DCC5D">
      <w:pPr>
        <w:rPr>
          <w:color w:val="auto"/>
        </w:rPr>
      </w:pPr>
    </w:p>
    <w:p w14:paraId="66685F87">
      <w:pPr>
        <w:pStyle w:val="8"/>
        <w:rPr>
          <w:color w:val="auto"/>
        </w:rPr>
      </w:pPr>
    </w:p>
    <w:p w14:paraId="42BD83B8">
      <w:pPr>
        <w:pStyle w:val="5"/>
        <w:ind w:firstLine="2711" w:firstLineChars="844"/>
        <w:rPr>
          <w:rFonts w:hint="eastAsia"/>
          <w:color w:val="auto"/>
          <w:sz w:val="32"/>
          <w:szCs w:val="32"/>
        </w:rPr>
      </w:pPr>
      <w:bookmarkStart w:id="164" w:name="_Toc10195"/>
    </w:p>
    <w:p w14:paraId="656A0894">
      <w:pPr>
        <w:pStyle w:val="5"/>
        <w:ind w:firstLine="2711" w:firstLineChars="844"/>
        <w:rPr>
          <w:rFonts w:hint="eastAsia"/>
          <w:color w:val="auto"/>
          <w:sz w:val="32"/>
          <w:szCs w:val="32"/>
        </w:rPr>
      </w:pPr>
    </w:p>
    <w:p w14:paraId="09BB0818">
      <w:pPr>
        <w:pStyle w:val="5"/>
        <w:ind w:firstLine="2711" w:firstLineChars="844"/>
        <w:rPr>
          <w:rFonts w:hint="eastAsia"/>
          <w:color w:val="auto"/>
          <w:sz w:val="32"/>
          <w:szCs w:val="32"/>
        </w:rPr>
      </w:pPr>
    </w:p>
    <w:p w14:paraId="698F93E1">
      <w:pPr>
        <w:pStyle w:val="5"/>
        <w:ind w:firstLine="2711" w:firstLineChars="844"/>
        <w:rPr>
          <w:rFonts w:hint="eastAsia"/>
          <w:color w:val="auto"/>
          <w:sz w:val="32"/>
          <w:szCs w:val="32"/>
        </w:rPr>
      </w:pPr>
    </w:p>
    <w:p w14:paraId="4C13C3ED">
      <w:pPr>
        <w:pStyle w:val="5"/>
        <w:ind w:firstLine="2711" w:firstLineChars="844"/>
        <w:rPr>
          <w:rFonts w:hint="eastAsia"/>
          <w:color w:val="auto"/>
          <w:sz w:val="32"/>
          <w:szCs w:val="32"/>
        </w:rPr>
      </w:pPr>
    </w:p>
    <w:p w14:paraId="3634C24B">
      <w:pPr>
        <w:pStyle w:val="5"/>
        <w:ind w:firstLine="2711" w:firstLineChars="844"/>
        <w:rPr>
          <w:rFonts w:hint="eastAsia"/>
          <w:color w:val="auto"/>
          <w:sz w:val="32"/>
          <w:szCs w:val="32"/>
        </w:rPr>
      </w:pPr>
    </w:p>
    <w:p w14:paraId="768AA4E1">
      <w:pPr>
        <w:pStyle w:val="5"/>
        <w:ind w:firstLine="2711" w:firstLineChars="844"/>
        <w:rPr>
          <w:rFonts w:hint="eastAsia"/>
          <w:color w:val="auto"/>
          <w:sz w:val="32"/>
          <w:szCs w:val="32"/>
        </w:rPr>
      </w:pPr>
    </w:p>
    <w:p w14:paraId="328CAE2E">
      <w:pPr>
        <w:pStyle w:val="5"/>
        <w:ind w:firstLine="2711" w:firstLineChars="844"/>
        <w:rPr>
          <w:rFonts w:hint="eastAsia"/>
          <w:color w:val="auto"/>
          <w:sz w:val="32"/>
          <w:szCs w:val="32"/>
        </w:rPr>
      </w:pPr>
    </w:p>
    <w:p w14:paraId="7FB9FCBD">
      <w:pPr>
        <w:pStyle w:val="5"/>
        <w:ind w:firstLine="2711" w:firstLineChars="844"/>
        <w:rPr>
          <w:rFonts w:hint="eastAsia"/>
          <w:color w:val="auto"/>
          <w:sz w:val="32"/>
          <w:szCs w:val="32"/>
        </w:rPr>
      </w:pPr>
    </w:p>
    <w:p w14:paraId="089D741F">
      <w:pPr>
        <w:pStyle w:val="5"/>
        <w:ind w:firstLine="2711" w:firstLineChars="844"/>
        <w:rPr>
          <w:rFonts w:hint="eastAsia"/>
          <w:color w:val="auto"/>
          <w:sz w:val="32"/>
          <w:szCs w:val="32"/>
        </w:rPr>
      </w:pPr>
    </w:p>
    <w:p w14:paraId="633AECFD">
      <w:pPr>
        <w:pStyle w:val="5"/>
        <w:ind w:firstLine="2711" w:firstLineChars="844"/>
        <w:rPr>
          <w:rFonts w:hint="eastAsia"/>
          <w:color w:val="auto"/>
          <w:sz w:val="32"/>
          <w:szCs w:val="32"/>
        </w:rPr>
      </w:pPr>
    </w:p>
    <w:p w14:paraId="6B1ADEDA">
      <w:pPr>
        <w:pStyle w:val="5"/>
        <w:ind w:firstLine="2711" w:firstLineChars="844"/>
        <w:rPr>
          <w:rFonts w:hint="eastAsia"/>
          <w:color w:val="auto"/>
          <w:sz w:val="32"/>
          <w:szCs w:val="32"/>
        </w:rPr>
      </w:pPr>
    </w:p>
    <w:p w14:paraId="22509B16">
      <w:pPr>
        <w:pStyle w:val="5"/>
        <w:ind w:firstLine="2711" w:firstLineChars="844"/>
        <w:rPr>
          <w:rFonts w:hint="eastAsia"/>
          <w:color w:val="auto"/>
          <w:sz w:val="32"/>
          <w:szCs w:val="32"/>
        </w:rPr>
      </w:pPr>
    </w:p>
    <w:p w14:paraId="598D8AB2">
      <w:pPr>
        <w:pStyle w:val="5"/>
        <w:ind w:firstLine="2711" w:firstLineChars="844"/>
        <w:rPr>
          <w:color w:val="auto"/>
          <w:sz w:val="32"/>
          <w:szCs w:val="32"/>
        </w:rPr>
      </w:pPr>
      <w:bookmarkStart w:id="165" w:name="_Toc32028"/>
      <w:r>
        <w:rPr>
          <w:rFonts w:hint="eastAsia"/>
          <w:color w:val="auto"/>
          <w:sz w:val="32"/>
          <w:szCs w:val="32"/>
        </w:rPr>
        <w:t>第</w:t>
      </w:r>
      <w:r>
        <w:rPr>
          <w:rFonts w:hint="eastAsia"/>
          <w:color w:val="auto"/>
          <w:sz w:val="32"/>
          <w:szCs w:val="32"/>
          <w:lang w:eastAsia="zh-CN"/>
        </w:rPr>
        <w:t>五</w:t>
      </w:r>
      <w:r>
        <w:rPr>
          <w:rFonts w:hint="eastAsia"/>
          <w:color w:val="auto"/>
          <w:sz w:val="32"/>
          <w:szCs w:val="32"/>
        </w:rPr>
        <w:t>章</w:t>
      </w:r>
      <w:r>
        <w:rPr>
          <w:color w:val="auto"/>
          <w:sz w:val="32"/>
          <w:szCs w:val="32"/>
        </w:rPr>
        <w:t xml:space="preserve">  </w:t>
      </w:r>
      <w:r>
        <w:rPr>
          <w:rFonts w:hint="eastAsia"/>
          <w:color w:val="auto"/>
          <w:sz w:val="32"/>
          <w:szCs w:val="32"/>
        </w:rPr>
        <w:t>合同条款及格式</w:t>
      </w:r>
      <w:bookmarkEnd w:id="164"/>
      <w:bookmarkEnd w:id="165"/>
    </w:p>
    <w:p w14:paraId="01E73C9A">
      <w:pPr>
        <w:pStyle w:val="16"/>
        <w:spacing w:line="360" w:lineRule="auto"/>
        <w:ind w:firstLine="400" w:firstLineChars="200"/>
        <w:rPr>
          <w:color w:val="auto"/>
        </w:rPr>
      </w:pPr>
    </w:p>
    <w:p w14:paraId="53F05E2A">
      <w:pPr>
        <w:rPr>
          <w:color w:val="auto"/>
        </w:rPr>
      </w:pPr>
    </w:p>
    <w:p w14:paraId="41F1D991">
      <w:pPr>
        <w:rPr>
          <w:color w:val="auto"/>
        </w:rPr>
      </w:pPr>
    </w:p>
    <w:p w14:paraId="57B2B6C7">
      <w:pPr>
        <w:rPr>
          <w:color w:val="auto"/>
        </w:rPr>
      </w:pPr>
    </w:p>
    <w:p w14:paraId="7EA30E3A">
      <w:pPr>
        <w:rPr>
          <w:color w:val="auto"/>
        </w:rPr>
      </w:pPr>
    </w:p>
    <w:p w14:paraId="403755A2">
      <w:pPr>
        <w:rPr>
          <w:color w:val="auto"/>
        </w:rPr>
      </w:pPr>
    </w:p>
    <w:p w14:paraId="2DEA4B37">
      <w:pPr>
        <w:rPr>
          <w:color w:val="auto"/>
        </w:rPr>
      </w:pPr>
    </w:p>
    <w:p w14:paraId="1B0363A6">
      <w:pPr>
        <w:rPr>
          <w:color w:val="auto"/>
        </w:rPr>
      </w:pPr>
    </w:p>
    <w:p w14:paraId="365D69A1">
      <w:pPr>
        <w:rPr>
          <w:color w:val="auto"/>
        </w:rPr>
      </w:pPr>
    </w:p>
    <w:p w14:paraId="679F23F8">
      <w:pPr>
        <w:rPr>
          <w:color w:val="auto"/>
        </w:rPr>
      </w:pPr>
    </w:p>
    <w:p w14:paraId="61571EF3">
      <w:pPr>
        <w:rPr>
          <w:color w:val="auto"/>
        </w:rPr>
      </w:pPr>
    </w:p>
    <w:p w14:paraId="55A3F088">
      <w:pPr>
        <w:rPr>
          <w:color w:val="auto"/>
        </w:rPr>
      </w:pPr>
    </w:p>
    <w:p w14:paraId="2DB03C91">
      <w:pPr>
        <w:rPr>
          <w:color w:val="auto"/>
        </w:rPr>
      </w:pPr>
    </w:p>
    <w:p w14:paraId="7D498AB1">
      <w:pPr>
        <w:rPr>
          <w:color w:val="auto"/>
        </w:rPr>
      </w:pPr>
    </w:p>
    <w:p w14:paraId="640A0BF2">
      <w:pPr>
        <w:rPr>
          <w:color w:val="auto"/>
        </w:rPr>
      </w:pPr>
    </w:p>
    <w:p w14:paraId="18231CC3">
      <w:pPr>
        <w:pStyle w:val="5"/>
        <w:jc w:val="center"/>
        <w:rPr>
          <w:color w:val="auto"/>
          <w:sz w:val="32"/>
          <w:szCs w:val="32"/>
        </w:rPr>
        <w:sectPr>
          <w:pgSz w:w="11907" w:h="16840"/>
          <w:pgMar w:top="1247" w:right="1418" w:bottom="1021" w:left="1418" w:header="992" w:footer="964" w:gutter="0"/>
          <w:cols w:space="720" w:num="1"/>
          <w:formProt w:val="1"/>
        </w:sectPr>
      </w:pPr>
      <w:r>
        <w:rPr>
          <w:color w:val="auto"/>
        </w:rPr>
        <w:t xml:space="preserve">                                                                                                                           </w:t>
      </w:r>
    </w:p>
    <w:p w14:paraId="5DA2454C">
      <w:pPr>
        <w:spacing w:line="240" w:lineRule="atLeast"/>
        <w:jc w:val="center"/>
        <w:rPr>
          <w:rFonts w:hAnsi="宋体"/>
          <w:b/>
          <w:bCs/>
          <w:color w:val="auto"/>
          <w:sz w:val="52"/>
          <w:szCs w:val="52"/>
          <w:u w:val="single"/>
        </w:rPr>
      </w:pPr>
      <w:bookmarkStart w:id="166" w:name="_Toc234382949"/>
    </w:p>
    <w:bookmarkEnd w:id="166"/>
    <w:p w14:paraId="2A12C285">
      <w:pPr>
        <w:pStyle w:val="5"/>
        <w:spacing w:line="300" w:lineRule="auto"/>
        <w:jc w:val="center"/>
        <w:rPr>
          <w:rFonts w:hint="eastAsia" w:ascii="宋体" w:hAnsi="宋体" w:eastAsia="宋体" w:cs="宋体"/>
          <w:color w:val="auto"/>
          <w:sz w:val="24"/>
          <w:szCs w:val="24"/>
        </w:rPr>
      </w:pPr>
      <w:bookmarkStart w:id="167" w:name="_Toc28163_WPSOffice_Level2"/>
      <w:bookmarkStart w:id="168" w:name="_Toc23263"/>
      <w:bookmarkStart w:id="169" w:name="_Toc467599550"/>
      <w:bookmarkStart w:id="170" w:name="_Toc10826"/>
      <w:bookmarkStart w:id="171" w:name="_Toc351203480"/>
      <w:bookmarkStart w:id="172" w:name="_Toc296503025"/>
      <w:bookmarkStart w:id="173" w:name="_Toc373227552"/>
      <w:bookmarkStart w:id="174" w:name="_Toc389065255"/>
      <w:bookmarkStart w:id="175" w:name="_Toc296890982"/>
      <w:bookmarkStart w:id="176" w:name="_Toc373478199"/>
      <w:r>
        <w:rPr>
          <w:rFonts w:hint="eastAsia" w:ascii="宋体" w:hAnsi="宋体" w:eastAsia="宋体" w:cs="宋体"/>
          <w:color w:val="auto"/>
          <w:sz w:val="24"/>
          <w:szCs w:val="24"/>
        </w:rPr>
        <w:t>第一部分 合同协议书</w:t>
      </w:r>
      <w:bookmarkEnd w:id="167"/>
      <w:bookmarkEnd w:id="168"/>
      <w:bookmarkEnd w:id="169"/>
      <w:bookmarkEnd w:id="170"/>
      <w:bookmarkEnd w:id="171"/>
      <w:bookmarkEnd w:id="172"/>
      <w:bookmarkEnd w:id="173"/>
      <w:bookmarkEnd w:id="174"/>
      <w:bookmarkEnd w:id="175"/>
      <w:bookmarkEnd w:id="176"/>
    </w:p>
    <w:p w14:paraId="7D397D88">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发包人（全称）：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A3CFFFF">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承包人（全称）：</w:t>
      </w:r>
      <w:r>
        <w:rPr>
          <w:rFonts w:hint="eastAsia" w:ascii="宋体" w:hAnsi="宋体" w:eastAsia="宋体" w:cs="宋体"/>
          <w:color w:val="auto"/>
          <w:sz w:val="21"/>
          <w:szCs w:val="21"/>
          <w:u w:val="single"/>
        </w:rPr>
        <w:t xml:space="preserve">                     </w:t>
      </w:r>
    </w:p>
    <w:p w14:paraId="74CB6744">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w:t>
      </w:r>
      <w:r>
        <w:rPr>
          <w:rFonts w:hint="eastAsia" w:ascii="宋体" w:hAnsi="宋体" w:cs="宋体"/>
          <w:color w:val="auto"/>
          <w:sz w:val="21"/>
          <w:szCs w:val="21"/>
          <w:lang w:val="en-US" w:eastAsia="zh-CN"/>
        </w:rPr>
        <w:t>民法典礼</w:t>
      </w:r>
      <w:r>
        <w:rPr>
          <w:rFonts w:hint="eastAsia" w:ascii="宋体" w:hAnsi="宋体" w:eastAsia="宋体" w:cs="宋体"/>
          <w:color w:val="auto"/>
          <w:sz w:val="21"/>
          <w:szCs w:val="21"/>
        </w:rPr>
        <w:t>》、《中华人民共和国建筑法》及有关法律规定，遵循平等、自愿、公平和诚实信用的原则，双方就</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kern w:val="0"/>
          <w:sz w:val="21"/>
          <w:szCs w:val="21"/>
          <w:u w:val="single"/>
          <w:lang w:eastAsia="zh-CN"/>
        </w:rPr>
        <w:t>2025年扶绥县新安灌区、新湾灌区农业水价综合改革巩固提升项目</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施工及有关事项协商一致，共同达成如下协议：</w:t>
      </w:r>
      <w:bookmarkStart w:id="177" w:name="_Toc351203481"/>
    </w:p>
    <w:p w14:paraId="1F8DE515">
      <w:pPr>
        <w:spacing w:line="300" w:lineRule="auto"/>
        <w:ind w:firstLine="422" w:firstLineChars="200"/>
        <w:outlineLvl w:val="0"/>
        <w:rPr>
          <w:rFonts w:hint="eastAsia" w:ascii="宋体" w:hAnsi="宋体" w:eastAsia="宋体" w:cs="宋体"/>
          <w:b/>
          <w:bCs/>
          <w:color w:val="auto"/>
          <w:sz w:val="21"/>
          <w:szCs w:val="21"/>
        </w:rPr>
      </w:pPr>
      <w:bookmarkStart w:id="178" w:name="_Toc28918"/>
      <w:bookmarkStart w:id="179" w:name="_Toc24229_WPSOffice_Level3"/>
      <w:bookmarkStart w:id="180" w:name="_Toc6164"/>
      <w:r>
        <w:rPr>
          <w:rFonts w:hint="eastAsia" w:ascii="宋体" w:hAnsi="宋体" w:eastAsia="宋体" w:cs="宋体"/>
          <w:b/>
          <w:bCs/>
          <w:color w:val="auto"/>
          <w:sz w:val="21"/>
          <w:szCs w:val="21"/>
        </w:rPr>
        <w:t>一、工程概况</w:t>
      </w:r>
      <w:bookmarkEnd w:id="177"/>
      <w:bookmarkEnd w:id="178"/>
      <w:bookmarkEnd w:id="179"/>
      <w:bookmarkEnd w:id="180"/>
    </w:p>
    <w:p w14:paraId="3CCC7451">
      <w:pPr>
        <w:spacing w:line="300" w:lineRule="auto"/>
        <w:ind w:firstLine="411" w:firstLineChars="196"/>
        <w:rPr>
          <w:rFonts w:hint="eastAsia" w:ascii="宋体" w:hAnsi="宋体" w:eastAsia="宋体" w:cs="宋体"/>
          <w:color w:val="auto"/>
          <w:sz w:val="21"/>
          <w:szCs w:val="21"/>
          <w:u w:val="single"/>
        </w:rPr>
      </w:pPr>
      <w:r>
        <w:rPr>
          <w:rFonts w:hint="eastAsia" w:ascii="宋体" w:hAnsi="宋体" w:eastAsia="宋体" w:cs="宋体"/>
          <w:bCs/>
          <w:color w:val="auto"/>
          <w:sz w:val="21"/>
          <w:szCs w:val="21"/>
        </w:rPr>
        <w:t>1. 工程名称</w:t>
      </w:r>
      <w:r>
        <w:rPr>
          <w:rFonts w:hint="eastAsia" w:ascii="宋体" w:hAnsi="宋体" w:eastAsia="宋体" w:cs="宋体"/>
          <w:color w:val="auto"/>
          <w:sz w:val="21"/>
          <w:szCs w:val="21"/>
        </w:rPr>
        <w:t>：</w:t>
      </w:r>
      <w:r>
        <w:rPr>
          <w:rFonts w:hint="eastAsia" w:ascii="宋体" w:hAnsi="宋体" w:cs="宋体"/>
          <w:color w:val="auto"/>
          <w:kern w:val="0"/>
          <w:sz w:val="21"/>
          <w:szCs w:val="21"/>
          <w:u w:val="single"/>
          <w:lang w:eastAsia="zh-CN"/>
        </w:rPr>
        <w:t>2025年扶绥县新安灌区、新湾灌区农业水价综合改革巩固提升项目</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32F7DDF8">
      <w:pPr>
        <w:spacing w:line="300" w:lineRule="auto"/>
        <w:ind w:firstLine="411" w:firstLineChars="196"/>
        <w:rPr>
          <w:rFonts w:hint="default" w:ascii="宋体" w:hAnsi="宋体" w:cs="宋体"/>
          <w:bCs/>
          <w:color w:val="auto"/>
          <w:sz w:val="21"/>
          <w:szCs w:val="21"/>
          <w:u w:val="single"/>
          <w:lang w:val="en-US" w:eastAsia="zh-CN"/>
        </w:rPr>
      </w:pPr>
      <w:r>
        <w:rPr>
          <w:rFonts w:hint="eastAsia" w:ascii="宋体" w:hAnsi="宋体" w:eastAsia="宋体" w:cs="宋体"/>
          <w:bCs/>
          <w:color w:val="auto"/>
          <w:sz w:val="21"/>
          <w:szCs w:val="21"/>
        </w:rPr>
        <w:t>2. 工程地点：</w:t>
      </w:r>
      <w:r>
        <w:rPr>
          <w:rFonts w:hint="eastAsia" w:ascii="宋体" w:hAnsi="宋体" w:cs="宋体"/>
          <w:color w:val="auto"/>
          <w:kern w:val="0"/>
          <w:sz w:val="21"/>
          <w:szCs w:val="21"/>
          <w:u w:val="single"/>
          <w:lang w:eastAsia="zh-CN"/>
        </w:rPr>
        <w:t>扶绥县新安灌区、新湾灌区</w:t>
      </w:r>
    </w:p>
    <w:p w14:paraId="4241A3F4">
      <w:pPr>
        <w:spacing w:line="300" w:lineRule="auto"/>
        <w:ind w:firstLine="411" w:firstLineChars="196"/>
        <w:rPr>
          <w:rFonts w:hint="default" w:ascii="宋体" w:hAnsi="宋体" w:eastAsia="宋体" w:cs="宋体"/>
          <w:color w:val="auto"/>
          <w:kern w:val="0"/>
          <w:sz w:val="21"/>
          <w:szCs w:val="21"/>
          <w:u w:val="single"/>
          <w:lang w:val="en-US" w:eastAsia="zh-CN"/>
        </w:rPr>
      </w:pPr>
      <w:r>
        <w:rPr>
          <w:rFonts w:hint="eastAsia" w:ascii="宋体" w:hAnsi="宋体" w:cs="宋体"/>
          <w:bCs/>
          <w:color w:val="auto"/>
          <w:sz w:val="21"/>
          <w:szCs w:val="21"/>
          <w:lang w:val="en-US" w:eastAsia="zh-CN"/>
        </w:rPr>
        <w:t>3.立项文件：</w:t>
      </w:r>
      <w:r>
        <w:rPr>
          <w:rFonts w:hint="eastAsia" w:ascii="宋体" w:hAnsi="宋体" w:cs="宋体"/>
          <w:color w:val="auto"/>
          <w:kern w:val="0"/>
          <w:sz w:val="21"/>
          <w:szCs w:val="21"/>
          <w:u w:val="single"/>
          <w:lang w:val="en-US" w:eastAsia="zh-CN"/>
        </w:rPr>
        <w:t xml:space="preserve"> 崇水建管〔2025〕9号关于2025年扶绥县新安灌区、新湾灌区农业水价综合改革巩固提升项目实施方案批复  </w:t>
      </w:r>
    </w:p>
    <w:p w14:paraId="622CE122">
      <w:pPr>
        <w:spacing w:line="300" w:lineRule="auto"/>
        <w:ind w:firstLine="411" w:firstLineChars="196"/>
        <w:rPr>
          <w:rFonts w:hint="eastAsia" w:ascii="宋体" w:hAnsi="宋体" w:cs="宋体"/>
          <w:bCs/>
          <w:color w:val="auto"/>
          <w:sz w:val="21"/>
          <w:szCs w:val="21"/>
          <w:u w:val="single"/>
          <w:lang w:val="en-US" w:eastAsia="zh-CN"/>
        </w:rPr>
      </w:pPr>
      <w:r>
        <w:rPr>
          <w:rFonts w:hint="eastAsia" w:ascii="宋体" w:hAnsi="宋体" w:cs="宋体"/>
          <w:bCs/>
          <w:color w:val="auto"/>
          <w:sz w:val="21"/>
          <w:szCs w:val="21"/>
          <w:lang w:val="en-US" w:eastAsia="zh-CN"/>
        </w:rPr>
        <w:t>4</w:t>
      </w:r>
      <w:r>
        <w:rPr>
          <w:rFonts w:hint="eastAsia" w:ascii="宋体" w:hAnsi="宋体" w:eastAsia="宋体" w:cs="宋体"/>
          <w:bCs/>
          <w:color w:val="auto"/>
          <w:sz w:val="21"/>
          <w:szCs w:val="21"/>
        </w:rPr>
        <w:t>. 工程内容：</w:t>
      </w:r>
      <w:r>
        <w:rPr>
          <w:rFonts w:hint="eastAsia" w:hAnsi="宋体" w:cs="Times New Roman"/>
          <w:b w:val="0"/>
          <w:bCs w:val="0"/>
          <w:color w:val="auto"/>
          <w:sz w:val="21"/>
          <w:szCs w:val="21"/>
          <w:u w:val="single"/>
          <w:lang w:val="en-US" w:eastAsia="zh-CN"/>
        </w:rPr>
        <w:t>2025年扶绥县新安灌区、新湾灌区农业水价综合改革巩固提升项目建设内容包含：（1）新安灌区：总干渠左岸边墙砼底板拆除并重建，基础混凝土回填；重建东干渠那各段；边墙修补。（2)新湾灌区：昌平干渠混凝土路面加高，裂缝修复渠首，增水表，电表箱；重建巴冒支渠；重建2座交通桥等；</w:t>
      </w:r>
      <w:r>
        <w:rPr>
          <w:rFonts w:hint="eastAsia" w:ascii="Times New Roman" w:hAnsi="宋体" w:eastAsia="宋体" w:cs="Times New Roman"/>
          <w:b w:val="0"/>
          <w:bCs w:val="0"/>
          <w:color w:val="auto"/>
          <w:sz w:val="21"/>
          <w:szCs w:val="21"/>
          <w:u w:val="single"/>
          <w:lang w:val="en-US" w:eastAsia="zh-CN"/>
        </w:rPr>
        <w:t>以工程量清单和图纸包含的内容为准</w:t>
      </w:r>
      <w:r>
        <w:rPr>
          <w:rFonts w:hint="eastAsia" w:ascii="宋体" w:hAnsi="宋体" w:cs="宋体"/>
          <w:bCs/>
          <w:color w:val="auto"/>
          <w:sz w:val="21"/>
          <w:szCs w:val="21"/>
          <w:u w:val="single"/>
          <w:lang w:val="en-US" w:eastAsia="zh-CN"/>
        </w:rPr>
        <w:t>，后附《承包人承揽工程项目一览表》（附件1）。</w:t>
      </w:r>
    </w:p>
    <w:p w14:paraId="107F3B2F">
      <w:pPr>
        <w:spacing w:line="300" w:lineRule="auto"/>
        <w:ind w:firstLine="420" w:firstLineChars="200"/>
        <w:rPr>
          <w:rFonts w:hint="eastAsia" w:ascii="宋体" w:hAnsi="宋体" w:eastAsia="宋体" w:cs="宋体"/>
          <w:color w:val="auto"/>
          <w:sz w:val="21"/>
          <w:szCs w:val="21"/>
        </w:rPr>
      </w:pPr>
      <w:r>
        <w:rPr>
          <w:rFonts w:hint="eastAsia" w:ascii="宋体" w:hAnsi="宋体" w:cs="宋体"/>
          <w:bCs/>
          <w:color w:val="auto"/>
          <w:sz w:val="21"/>
          <w:szCs w:val="21"/>
          <w:lang w:val="en-US" w:eastAsia="zh-CN"/>
        </w:rPr>
        <w:t>5</w:t>
      </w:r>
      <w:r>
        <w:rPr>
          <w:rFonts w:hint="eastAsia" w:ascii="宋体" w:hAnsi="宋体" w:eastAsia="宋体" w:cs="宋体"/>
          <w:bCs/>
          <w:color w:val="auto"/>
          <w:sz w:val="21"/>
          <w:szCs w:val="21"/>
        </w:rPr>
        <w:t>. 工程承包范围：</w:t>
      </w:r>
      <w:r>
        <w:rPr>
          <w:rFonts w:hint="eastAsia" w:ascii="宋体" w:hAnsi="宋体" w:eastAsia="宋体" w:cs="宋体"/>
          <w:bCs/>
          <w:color w:val="auto"/>
          <w:sz w:val="21"/>
          <w:szCs w:val="21"/>
          <w:u w:val="single"/>
        </w:rPr>
        <w:t xml:space="preserve"> </w:t>
      </w:r>
      <w:r>
        <w:rPr>
          <w:rFonts w:hint="eastAsia" w:hAnsi="宋体" w:cs="Times New Roman"/>
          <w:b w:val="0"/>
          <w:bCs w:val="0"/>
          <w:color w:val="auto"/>
          <w:sz w:val="21"/>
          <w:szCs w:val="21"/>
          <w:u w:val="single"/>
          <w:lang w:val="en-US" w:eastAsia="zh-CN"/>
        </w:rPr>
        <w:t>2025年扶绥县新安灌区、新湾灌区农业水价综合改革巩固提升项目建设内容包含：（1）新安灌区：总干渠左岸边墙砼底板拆除并重建，基础混凝土回填；重建东干渠那各段；边墙修补。（2)新湾灌区：昌平干渠混凝土路面加高，裂缝修复渠首，增加水表，电表箱；重建巴冒支渠；重建2座交通桥等；</w:t>
      </w:r>
      <w:r>
        <w:rPr>
          <w:rFonts w:hint="eastAsia" w:ascii="Times New Roman" w:hAnsi="宋体" w:eastAsia="宋体" w:cs="Times New Roman"/>
          <w:b w:val="0"/>
          <w:bCs w:val="0"/>
          <w:color w:val="auto"/>
          <w:sz w:val="21"/>
          <w:szCs w:val="21"/>
          <w:u w:val="single"/>
          <w:lang w:val="en-US" w:eastAsia="zh-CN"/>
        </w:rPr>
        <w:t>以工程量清单和图纸包含的内容为准。</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 xml:space="preserve">                              </w:t>
      </w:r>
    </w:p>
    <w:p w14:paraId="39B6BC88">
      <w:pPr>
        <w:spacing w:line="300" w:lineRule="auto"/>
        <w:ind w:firstLine="407" w:firstLineChars="193"/>
        <w:outlineLvl w:val="0"/>
        <w:rPr>
          <w:rFonts w:hint="eastAsia" w:ascii="宋体" w:hAnsi="宋体" w:eastAsia="宋体" w:cs="宋体"/>
          <w:b/>
          <w:bCs/>
          <w:color w:val="auto"/>
          <w:sz w:val="21"/>
          <w:szCs w:val="21"/>
        </w:rPr>
      </w:pPr>
      <w:bookmarkStart w:id="181" w:name="_Toc29324"/>
      <w:bookmarkStart w:id="182" w:name="_Toc351203482"/>
      <w:bookmarkStart w:id="183" w:name="_Toc12840"/>
      <w:bookmarkStart w:id="184" w:name="_Toc20246_WPSOffice_Level3"/>
      <w:r>
        <w:rPr>
          <w:rFonts w:hint="eastAsia" w:ascii="宋体" w:hAnsi="宋体" w:eastAsia="宋体" w:cs="宋体"/>
          <w:b/>
          <w:bCs/>
          <w:color w:val="auto"/>
          <w:sz w:val="21"/>
          <w:szCs w:val="21"/>
        </w:rPr>
        <w:t>二、合同工期</w:t>
      </w:r>
      <w:bookmarkEnd w:id="181"/>
      <w:bookmarkEnd w:id="182"/>
      <w:bookmarkEnd w:id="183"/>
      <w:bookmarkEnd w:id="184"/>
    </w:p>
    <w:p w14:paraId="4447835C">
      <w:pPr>
        <w:spacing w:line="300" w:lineRule="auto"/>
        <w:ind w:firstLine="459"/>
        <w:rPr>
          <w:rFonts w:hint="eastAsia" w:ascii="宋体" w:hAnsi="宋体" w:eastAsia="宋体" w:cs="宋体"/>
          <w:color w:val="auto"/>
          <w:sz w:val="21"/>
          <w:szCs w:val="21"/>
        </w:rPr>
      </w:pPr>
      <w:r>
        <w:rPr>
          <w:rFonts w:hint="eastAsia" w:ascii="宋体" w:hAnsi="宋体" w:eastAsia="宋体" w:cs="宋体"/>
          <w:color w:val="auto"/>
          <w:sz w:val="21"/>
          <w:szCs w:val="21"/>
        </w:rPr>
        <w:t>工期总日历天数：</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90日历天</w:t>
      </w:r>
    </w:p>
    <w:p w14:paraId="4C1E3928">
      <w:pPr>
        <w:spacing w:line="300" w:lineRule="auto"/>
        <w:ind w:firstLine="459"/>
        <w:rPr>
          <w:rFonts w:hint="eastAsia" w:ascii="宋体" w:hAnsi="宋体" w:eastAsia="宋体" w:cs="宋体"/>
          <w:color w:val="auto"/>
          <w:sz w:val="21"/>
          <w:szCs w:val="21"/>
        </w:rPr>
      </w:pPr>
      <w:r>
        <w:rPr>
          <w:rFonts w:hint="eastAsia" w:ascii="宋体" w:hAnsi="宋体" w:eastAsia="宋体" w:cs="宋体"/>
          <w:color w:val="auto"/>
          <w:sz w:val="21"/>
          <w:szCs w:val="21"/>
        </w:rPr>
        <w:t>计划开工日期：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w:t>
      </w:r>
      <w:r>
        <w:rPr>
          <w:rFonts w:hint="eastAsia" w:ascii="宋体" w:hAnsi="宋体" w:cs="宋体"/>
          <w:color w:val="auto"/>
          <w:sz w:val="21"/>
          <w:szCs w:val="21"/>
          <w:u w:val="single"/>
          <w:lang w:val="en-US" w:eastAsia="zh-CN"/>
        </w:rPr>
        <w:t>026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月    日</w:t>
      </w:r>
      <w:r>
        <w:rPr>
          <w:rFonts w:hint="eastAsia" w:ascii="宋体" w:hAnsi="宋体" w:eastAsia="宋体" w:cs="宋体"/>
          <w:color w:val="auto"/>
          <w:sz w:val="21"/>
          <w:szCs w:val="21"/>
        </w:rPr>
        <w:t>。（具体以发包人书面通知为准），计划竣工日期：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w:t>
      </w:r>
      <w:r>
        <w:rPr>
          <w:rFonts w:hint="eastAsia" w:ascii="宋体" w:hAnsi="宋体" w:cs="宋体"/>
          <w:color w:val="auto"/>
          <w:sz w:val="21"/>
          <w:szCs w:val="21"/>
          <w:u w:val="single"/>
          <w:lang w:val="en-US" w:eastAsia="zh-CN"/>
        </w:rPr>
        <w:t>6</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月    日。</w:t>
      </w:r>
      <w:r>
        <w:rPr>
          <w:rFonts w:hint="eastAsia" w:ascii="宋体" w:hAnsi="宋体" w:eastAsia="宋体" w:cs="宋体"/>
          <w:color w:val="auto"/>
          <w:sz w:val="21"/>
          <w:szCs w:val="21"/>
        </w:rPr>
        <w:t>工期总日历天数与根据前述计划开竣工日期计算的工期天数不一致的，以工期总日历天数为准。</w:t>
      </w:r>
    </w:p>
    <w:p w14:paraId="6F9214E4">
      <w:pPr>
        <w:spacing w:line="300" w:lineRule="auto"/>
        <w:ind w:firstLine="459"/>
        <w:outlineLvl w:val="0"/>
        <w:rPr>
          <w:rFonts w:hint="eastAsia" w:ascii="宋体" w:hAnsi="宋体" w:eastAsia="宋体" w:cs="宋体"/>
          <w:b/>
          <w:bCs/>
          <w:color w:val="auto"/>
          <w:sz w:val="21"/>
          <w:szCs w:val="21"/>
        </w:rPr>
      </w:pPr>
      <w:bookmarkStart w:id="185" w:name="_Toc17180"/>
      <w:bookmarkStart w:id="186" w:name="_Toc10806_WPSOffice_Level3"/>
      <w:bookmarkStart w:id="187" w:name="_Toc351203483"/>
      <w:bookmarkStart w:id="188" w:name="_Toc32716"/>
      <w:r>
        <w:rPr>
          <w:rFonts w:hint="eastAsia" w:ascii="宋体" w:hAnsi="宋体" w:eastAsia="宋体" w:cs="宋体"/>
          <w:b/>
          <w:bCs/>
          <w:color w:val="auto"/>
          <w:sz w:val="21"/>
          <w:szCs w:val="21"/>
        </w:rPr>
        <w:t>三、质量标准</w:t>
      </w:r>
      <w:bookmarkEnd w:id="185"/>
      <w:bookmarkEnd w:id="186"/>
      <w:bookmarkEnd w:id="187"/>
      <w:bookmarkEnd w:id="188"/>
    </w:p>
    <w:p w14:paraId="1C869447">
      <w:pPr>
        <w:spacing w:line="300" w:lineRule="auto"/>
        <w:ind w:firstLine="459"/>
        <w:rPr>
          <w:rFonts w:hint="eastAsia" w:ascii="宋体" w:hAnsi="宋体" w:eastAsia="宋体" w:cs="宋体"/>
          <w:color w:val="auto"/>
          <w:sz w:val="21"/>
          <w:szCs w:val="21"/>
        </w:rPr>
      </w:pPr>
      <w:r>
        <w:rPr>
          <w:rFonts w:hint="eastAsia" w:ascii="宋体" w:hAnsi="宋体" w:eastAsia="宋体" w:cs="宋体"/>
          <w:color w:val="auto"/>
          <w:sz w:val="21"/>
          <w:szCs w:val="21"/>
        </w:rPr>
        <w:t>工程质量符合达到国家竣工验收合格</w:t>
      </w:r>
      <w:r>
        <w:rPr>
          <w:rFonts w:hint="eastAsia" w:ascii="宋体" w:hAnsi="宋体" w:cs="宋体"/>
          <w:color w:val="auto"/>
          <w:sz w:val="21"/>
          <w:szCs w:val="21"/>
          <w:lang w:eastAsia="zh-CN"/>
        </w:rPr>
        <w:t>标准</w:t>
      </w:r>
      <w:r>
        <w:rPr>
          <w:rFonts w:hint="eastAsia" w:ascii="宋体" w:hAnsi="宋体" w:eastAsia="宋体" w:cs="宋体"/>
          <w:color w:val="auto"/>
          <w:sz w:val="21"/>
          <w:szCs w:val="21"/>
        </w:rPr>
        <w:t>。</w:t>
      </w:r>
    </w:p>
    <w:p w14:paraId="11024510">
      <w:pPr>
        <w:spacing w:line="300" w:lineRule="auto"/>
        <w:ind w:firstLine="459"/>
        <w:outlineLvl w:val="0"/>
        <w:rPr>
          <w:rFonts w:hint="eastAsia" w:ascii="宋体" w:hAnsi="宋体" w:eastAsia="宋体" w:cs="宋体"/>
          <w:b/>
          <w:bCs/>
          <w:color w:val="auto"/>
          <w:sz w:val="21"/>
          <w:szCs w:val="21"/>
        </w:rPr>
      </w:pPr>
      <w:bookmarkStart w:id="189" w:name="_Toc5650"/>
      <w:bookmarkStart w:id="190" w:name="_Toc6060_WPSOffice_Level3"/>
      <w:bookmarkStart w:id="191" w:name="_Toc18756"/>
      <w:bookmarkStart w:id="192" w:name="_Toc351203484"/>
      <w:r>
        <w:rPr>
          <w:rFonts w:hint="eastAsia" w:ascii="宋体" w:hAnsi="宋体" w:eastAsia="宋体" w:cs="宋体"/>
          <w:b/>
          <w:bCs/>
          <w:color w:val="auto"/>
          <w:sz w:val="21"/>
          <w:szCs w:val="21"/>
        </w:rPr>
        <w:t>四、签约合同价与合同价格形式</w:t>
      </w:r>
      <w:bookmarkEnd w:id="189"/>
      <w:bookmarkEnd w:id="190"/>
      <w:bookmarkEnd w:id="191"/>
      <w:bookmarkEnd w:id="192"/>
    </w:p>
    <w:p w14:paraId="355E0BC1">
      <w:pPr>
        <w:spacing w:line="300" w:lineRule="auto"/>
        <w:ind w:firstLine="459"/>
        <w:rPr>
          <w:rFonts w:hint="eastAsia" w:ascii="宋体" w:hAnsi="宋体" w:eastAsia="宋体" w:cs="宋体"/>
          <w:color w:val="auto"/>
          <w:sz w:val="21"/>
          <w:szCs w:val="21"/>
        </w:rPr>
      </w:pPr>
      <w:r>
        <w:rPr>
          <w:rFonts w:hint="eastAsia" w:ascii="宋体" w:hAnsi="宋体" w:eastAsia="宋体" w:cs="宋体"/>
          <w:color w:val="auto"/>
          <w:sz w:val="21"/>
          <w:szCs w:val="21"/>
        </w:rPr>
        <w:t>1. 签约合同价为：</w:t>
      </w:r>
    </w:p>
    <w:p w14:paraId="35F9CAAF">
      <w:pPr>
        <w:spacing w:line="300" w:lineRule="auto"/>
        <w:ind w:firstLine="525" w:firstLineChars="25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              元）；</w:t>
      </w:r>
    </w:p>
    <w:p w14:paraId="079EC3A8">
      <w:pPr>
        <w:spacing w:line="300" w:lineRule="auto"/>
        <w:ind w:firstLine="525" w:firstLineChars="250"/>
        <w:rPr>
          <w:rFonts w:hint="eastAsia" w:ascii="宋体" w:hAnsi="宋体" w:eastAsia="宋体" w:cs="宋体"/>
          <w:color w:val="auto"/>
          <w:sz w:val="21"/>
          <w:szCs w:val="21"/>
        </w:rPr>
      </w:pPr>
      <w:r>
        <w:rPr>
          <w:rFonts w:hint="eastAsia" w:ascii="宋体" w:hAnsi="宋体" w:eastAsia="宋体" w:cs="宋体"/>
          <w:color w:val="auto"/>
          <w:sz w:val="21"/>
          <w:szCs w:val="21"/>
        </w:rPr>
        <w:t>其中：</w:t>
      </w:r>
    </w:p>
    <w:p w14:paraId="3830272A">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（1）安全文明施工费：</w:t>
      </w:r>
    </w:p>
    <w:p w14:paraId="4AC10E5D">
      <w:pPr>
        <w:spacing w:line="300" w:lineRule="auto"/>
        <w:ind w:left="400" w:leftChars="200" w:firstLine="525" w:firstLineChars="25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元）；</w:t>
      </w:r>
    </w:p>
    <w:p w14:paraId="61C68C95">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（2）建安劳保费：</w:t>
      </w:r>
    </w:p>
    <w:p w14:paraId="502358A8">
      <w:pPr>
        <w:spacing w:line="300" w:lineRule="auto"/>
        <w:ind w:left="400" w:leftChars="200" w:firstLine="525" w:firstLineChars="25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元）；</w:t>
      </w:r>
    </w:p>
    <w:p w14:paraId="492A3308">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（3）材料和工程设备暂估价金额：</w:t>
      </w:r>
    </w:p>
    <w:p w14:paraId="39560AE2">
      <w:pPr>
        <w:spacing w:line="300" w:lineRule="auto"/>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元）；</w:t>
      </w:r>
    </w:p>
    <w:p w14:paraId="6F11C24B">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（4）专业工程暂估价金额：</w:t>
      </w:r>
    </w:p>
    <w:p w14:paraId="64A9C3CB">
      <w:pPr>
        <w:spacing w:line="300" w:lineRule="auto"/>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元）；</w:t>
      </w:r>
    </w:p>
    <w:p w14:paraId="7A540E2F">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（5）暂列金额：</w:t>
      </w:r>
    </w:p>
    <w:p w14:paraId="73FB13AB">
      <w:pPr>
        <w:spacing w:line="300" w:lineRule="auto"/>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元）。</w:t>
      </w:r>
    </w:p>
    <w:p w14:paraId="1CE38F70">
      <w:pPr>
        <w:spacing w:line="300" w:lineRule="auto"/>
        <w:ind w:firstLine="359" w:firstLineChars="171"/>
        <w:rPr>
          <w:rFonts w:hint="eastAsia" w:ascii="宋体" w:hAnsi="宋体" w:eastAsia="宋体" w:cs="宋体"/>
          <w:color w:val="auto"/>
          <w:sz w:val="21"/>
          <w:szCs w:val="21"/>
        </w:rPr>
      </w:pPr>
      <w:r>
        <w:rPr>
          <w:rFonts w:hint="eastAsia" w:ascii="宋体" w:hAnsi="宋体" w:eastAsia="宋体" w:cs="宋体"/>
          <w:color w:val="auto"/>
          <w:sz w:val="21"/>
          <w:szCs w:val="21"/>
        </w:rPr>
        <w:t>（6）增值税额：</w:t>
      </w:r>
    </w:p>
    <w:p w14:paraId="09F06753">
      <w:pPr>
        <w:spacing w:line="300" w:lineRule="auto"/>
        <w:ind w:firstLine="945" w:firstLineChars="450"/>
        <w:rPr>
          <w:rFonts w:hint="eastAsia" w:ascii="宋体" w:hAnsi="宋体" w:eastAsia="宋体" w:cs="宋体"/>
          <w:color w:val="auto"/>
          <w:sz w:val="21"/>
          <w:szCs w:val="21"/>
        </w:rPr>
      </w:pPr>
      <w:r>
        <w:rPr>
          <w:rFonts w:hint="eastAsia" w:ascii="宋体" w:hAnsi="宋体" w:eastAsia="宋体" w:cs="宋体"/>
          <w:color w:val="auto"/>
          <w:sz w:val="21"/>
          <w:szCs w:val="21"/>
        </w:rPr>
        <w:t>人民币（大写）</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元）。</w:t>
      </w:r>
    </w:p>
    <w:p w14:paraId="2530DCB5">
      <w:pPr>
        <w:spacing w:line="300" w:lineRule="auto"/>
        <w:ind w:firstLine="987" w:firstLineChars="470"/>
        <w:rPr>
          <w:rFonts w:hint="eastAsia" w:ascii="宋体" w:hAnsi="宋体" w:eastAsia="宋体" w:cs="宋体"/>
          <w:color w:val="auto"/>
          <w:sz w:val="21"/>
          <w:szCs w:val="21"/>
        </w:rPr>
      </w:pPr>
      <w:r>
        <w:rPr>
          <w:rFonts w:hint="eastAsia" w:ascii="宋体" w:hAnsi="宋体" w:eastAsia="宋体" w:cs="宋体"/>
          <w:color w:val="auto"/>
          <w:sz w:val="21"/>
          <w:szCs w:val="21"/>
        </w:rPr>
        <w:t>增值税率：</w:t>
      </w:r>
      <w:r>
        <w:rPr>
          <w:rFonts w:hint="eastAsia" w:ascii="宋体" w:hAnsi="宋体" w:eastAsia="宋体" w:cs="宋体"/>
          <w:color w:val="auto"/>
          <w:sz w:val="21"/>
          <w:szCs w:val="21"/>
          <w:u w:val="single"/>
        </w:rPr>
        <w:t xml:space="preserve">   % </w:t>
      </w:r>
    </w:p>
    <w:p w14:paraId="0A6A5ACF">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合同价格形式：</w:t>
      </w:r>
      <w:r>
        <w:rPr>
          <w:rFonts w:hint="eastAsia" w:ascii="宋体" w:hAnsi="宋体" w:eastAsia="宋体" w:cs="宋体"/>
          <w:color w:val="auto"/>
          <w:sz w:val="21"/>
          <w:szCs w:val="21"/>
          <w:u w:val="single"/>
        </w:rPr>
        <w:t xml:space="preserve">  单价</w:t>
      </w:r>
      <w:r>
        <w:rPr>
          <w:rFonts w:hint="eastAsia" w:ascii="宋体" w:hAnsi="宋体" w:cs="宋体"/>
          <w:color w:val="auto"/>
          <w:sz w:val="21"/>
          <w:szCs w:val="21"/>
          <w:u w:val="single"/>
          <w:lang w:val="en-US" w:eastAsia="zh-CN"/>
        </w:rPr>
        <w:t>合同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4634109">
      <w:pPr>
        <w:spacing w:line="300" w:lineRule="auto"/>
        <w:ind w:firstLine="422" w:firstLineChars="200"/>
        <w:outlineLvl w:val="0"/>
        <w:rPr>
          <w:rFonts w:hint="eastAsia" w:ascii="宋体" w:hAnsi="宋体" w:eastAsia="宋体" w:cs="宋体"/>
          <w:b/>
          <w:bCs/>
          <w:color w:val="auto"/>
          <w:sz w:val="21"/>
          <w:szCs w:val="21"/>
        </w:rPr>
      </w:pPr>
      <w:bookmarkStart w:id="193" w:name="_Toc351203485"/>
      <w:bookmarkStart w:id="194" w:name="_Toc932"/>
      <w:bookmarkStart w:id="195" w:name="_Toc1593_WPSOffice_Level3"/>
      <w:bookmarkStart w:id="196" w:name="_Toc16748"/>
      <w:r>
        <w:rPr>
          <w:rFonts w:hint="eastAsia" w:ascii="宋体" w:hAnsi="宋体" w:eastAsia="宋体" w:cs="宋体"/>
          <w:b/>
          <w:bCs/>
          <w:color w:val="auto"/>
          <w:sz w:val="21"/>
          <w:szCs w:val="21"/>
        </w:rPr>
        <w:t>五、</w:t>
      </w:r>
      <w:bookmarkEnd w:id="193"/>
      <w:r>
        <w:rPr>
          <w:rFonts w:hint="eastAsia" w:ascii="宋体" w:hAnsi="宋体" w:eastAsia="宋体" w:cs="宋体"/>
          <w:b/>
          <w:bCs/>
          <w:color w:val="auto"/>
          <w:sz w:val="21"/>
          <w:szCs w:val="21"/>
        </w:rPr>
        <w:t>项目经理</w:t>
      </w:r>
      <w:bookmarkEnd w:id="194"/>
      <w:bookmarkEnd w:id="195"/>
      <w:bookmarkEnd w:id="196"/>
    </w:p>
    <w:p w14:paraId="7D26989C">
      <w:pPr>
        <w:spacing w:line="30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承包人项目经理：</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5D64600">
      <w:pPr>
        <w:spacing w:line="300" w:lineRule="auto"/>
        <w:ind w:firstLine="422" w:firstLineChars="200"/>
        <w:outlineLvl w:val="0"/>
        <w:rPr>
          <w:rFonts w:hint="eastAsia" w:ascii="宋体" w:hAnsi="宋体" w:eastAsia="宋体" w:cs="宋体"/>
          <w:b/>
          <w:bCs/>
          <w:color w:val="auto"/>
          <w:sz w:val="21"/>
          <w:szCs w:val="21"/>
        </w:rPr>
      </w:pPr>
      <w:bookmarkStart w:id="197" w:name="_Toc4316"/>
      <w:bookmarkStart w:id="198" w:name="_Toc351203486"/>
      <w:bookmarkStart w:id="199" w:name="_Toc29084"/>
      <w:bookmarkStart w:id="200" w:name="_Toc15225_WPSOffice_Level3"/>
      <w:r>
        <w:rPr>
          <w:rFonts w:hint="eastAsia" w:ascii="宋体" w:hAnsi="宋体" w:eastAsia="宋体" w:cs="宋体"/>
          <w:b/>
          <w:bCs/>
          <w:color w:val="auto"/>
          <w:sz w:val="21"/>
          <w:szCs w:val="21"/>
        </w:rPr>
        <w:t>六、合同文件构成</w:t>
      </w:r>
      <w:bookmarkEnd w:id="197"/>
      <w:bookmarkEnd w:id="198"/>
      <w:bookmarkEnd w:id="199"/>
      <w:bookmarkEnd w:id="200"/>
    </w:p>
    <w:p w14:paraId="77245857">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本协议书与下列文件一起构成合同文件：</w:t>
      </w:r>
    </w:p>
    <w:p w14:paraId="451776AB">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（1）中标通知书（如有）；</w:t>
      </w:r>
    </w:p>
    <w:p w14:paraId="70786B32">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（2）投标函及其附录（如有）； </w:t>
      </w:r>
    </w:p>
    <w:p w14:paraId="1BACF2C8">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（3）专用合同条款及其附件；</w:t>
      </w:r>
    </w:p>
    <w:p w14:paraId="4DB8DB8E">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（4）通用合同条款；</w:t>
      </w:r>
    </w:p>
    <w:p w14:paraId="05D63E80">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（5）技术标准和要求；</w:t>
      </w:r>
    </w:p>
    <w:p w14:paraId="26344666">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（6）已标价工程量清单或预算书； </w:t>
      </w:r>
    </w:p>
    <w:p w14:paraId="0C9CD9E6">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（7）图纸；</w:t>
      </w:r>
    </w:p>
    <w:p w14:paraId="13C063F7">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（8）其他合同文件：</w:t>
      </w:r>
    </w:p>
    <w:p w14:paraId="2920C741">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招标文件及附件（含所有补充通知）；</w:t>
      </w:r>
    </w:p>
    <w:p w14:paraId="4BBC568B">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在合同订立及履行过程中形成的与合同有关的文件均构成合同文件组成部分。</w:t>
      </w:r>
    </w:p>
    <w:p w14:paraId="0A7DC346">
      <w:pPr>
        <w:autoSpaceDE w:val="0"/>
        <w:autoSpaceDN w:val="0"/>
        <w:adjustRightInd w:val="0"/>
        <w:spacing w:line="30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上述各项合同文件包括合同当事人就该项合同文件所作出的补充和修改，属于同</w:t>
      </w:r>
      <w:r>
        <w:rPr>
          <w:rFonts w:hint="eastAsia" w:ascii="宋体" w:hAnsi="宋体" w:cs="宋体"/>
          <w:color w:val="auto"/>
          <w:sz w:val="21"/>
          <w:szCs w:val="21"/>
          <w:lang w:eastAsia="zh-CN"/>
        </w:rPr>
        <w:t>一项</w:t>
      </w:r>
      <w:r>
        <w:rPr>
          <w:rFonts w:hint="eastAsia" w:ascii="宋体" w:hAnsi="宋体" w:eastAsia="宋体" w:cs="宋体"/>
          <w:color w:val="auto"/>
          <w:sz w:val="21"/>
          <w:szCs w:val="21"/>
        </w:rPr>
        <w:t>内容的文件，应以最新签署的为准。专用合同条款及其附件须经合同当事人签字或盖章。</w:t>
      </w:r>
    </w:p>
    <w:p w14:paraId="162BD5B9">
      <w:pPr>
        <w:autoSpaceDE w:val="0"/>
        <w:autoSpaceDN w:val="0"/>
        <w:adjustRightInd w:val="0"/>
        <w:spacing w:line="300" w:lineRule="auto"/>
        <w:ind w:firstLine="422" w:firstLineChars="200"/>
        <w:jc w:val="left"/>
        <w:outlineLvl w:val="0"/>
        <w:rPr>
          <w:rFonts w:hint="eastAsia" w:ascii="宋体" w:hAnsi="宋体" w:eastAsia="宋体" w:cs="宋体"/>
          <w:b/>
          <w:bCs/>
          <w:color w:val="auto"/>
          <w:sz w:val="21"/>
          <w:szCs w:val="21"/>
        </w:rPr>
      </w:pPr>
      <w:bookmarkStart w:id="201" w:name="_Toc351203487"/>
      <w:bookmarkStart w:id="202" w:name="_Toc26610_WPSOffice_Level3"/>
      <w:bookmarkStart w:id="203" w:name="_Toc11648"/>
      <w:bookmarkStart w:id="204" w:name="_Toc29214"/>
      <w:r>
        <w:rPr>
          <w:rFonts w:hint="eastAsia" w:ascii="宋体" w:hAnsi="宋体" w:eastAsia="宋体" w:cs="宋体"/>
          <w:b/>
          <w:bCs/>
          <w:color w:val="auto"/>
          <w:sz w:val="21"/>
          <w:szCs w:val="21"/>
        </w:rPr>
        <w:t>七、承诺</w:t>
      </w:r>
      <w:bookmarkEnd w:id="201"/>
      <w:bookmarkEnd w:id="202"/>
      <w:bookmarkEnd w:id="203"/>
      <w:bookmarkEnd w:id="204"/>
    </w:p>
    <w:p w14:paraId="7CABF479">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 发包人承诺按照法律规定履行项目审批手续、筹集工程建设资金并按照合同约定的期限和方式支付合同价款。</w:t>
      </w:r>
    </w:p>
    <w:p w14:paraId="5FE2E64F">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 承包人承诺按照法律规定及合同约定组织完成工程施工，确保工程质量和安全，不进行转包及违法分包，并在缺陷责任期及保修期内承担相应的工程维修责任。</w:t>
      </w:r>
    </w:p>
    <w:p w14:paraId="55C1F72B">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3. 发包人和承包人通过招投标形式签订合同的，双方理解并承诺不再就同一工程另行签订与合同实质性内容相背离的协议。</w:t>
      </w:r>
      <w:bookmarkStart w:id="205" w:name="_Toc351203488"/>
    </w:p>
    <w:p w14:paraId="35A20581">
      <w:pPr>
        <w:spacing w:line="300" w:lineRule="auto"/>
        <w:ind w:firstLine="422" w:firstLineChars="200"/>
        <w:outlineLvl w:val="0"/>
        <w:rPr>
          <w:rFonts w:hint="eastAsia" w:ascii="宋体" w:hAnsi="宋体" w:eastAsia="宋体" w:cs="宋体"/>
          <w:b/>
          <w:bCs/>
          <w:color w:val="auto"/>
          <w:sz w:val="21"/>
          <w:szCs w:val="21"/>
        </w:rPr>
      </w:pPr>
      <w:bookmarkStart w:id="206" w:name="_Toc20743_WPSOffice_Level3"/>
      <w:bookmarkStart w:id="207" w:name="_Toc14790"/>
      <w:bookmarkStart w:id="208" w:name="_Toc10986"/>
      <w:r>
        <w:rPr>
          <w:rFonts w:hint="eastAsia" w:ascii="宋体" w:hAnsi="宋体" w:eastAsia="宋体" w:cs="宋体"/>
          <w:b/>
          <w:bCs/>
          <w:color w:val="auto"/>
          <w:sz w:val="21"/>
          <w:szCs w:val="21"/>
        </w:rPr>
        <w:t>八、词语含义</w:t>
      </w:r>
      <w:bookmarkEnd w:id="205"/>
      <w:bookmarkEnd w:id="206"/>
      <w:bookmarkEnd w:id="207"/>
      <w:bookmarkEnd w:id="208"/>
    </w:p>
    <w:p w14:paraId="14CC18E1">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本协议书中词语含义与第二部分通用合同条款中赋予的含义相同。</w:t>
      </w:r>
    </w:p>
    <w:p w14:paraId="20BA33E2">
      <w:pPr>
        <w:spacing w:line="300" w:lineRule="auto"/>
        <w:ind w:firstLine="422" w:firstLineChars="200"/>
        <w:outlineLvl w:val="0"/>
        <w:rPr>
          <w:rFonts w:hint="eastAsia" w:ascii="宋体" w:hAnsi="宋体" w:eastAsia="宋体" w:cs="宋体"/>
          <w:b/>
          <w:bCs/>
          <w:color w:val="auto"/>
          <w:sz w:val="21"/>
          <w:szCs w:val="21"/>
        </w:rPr>
      </w:pPr>
      <w:bookmarkStart w:id="209" w:name="_Toc7191"/>
      <w:bookmarkStart w:id="210" w:name="_Toc4282_WPSOffice_Level3"/>
      <w:bookmarkStart w:id="211" w:name="_Toc351203489"/>
      <w:bookmarkStart w:id="212" w:name="_Toc19959"/>
      <w:r>
        <w:rPr>
          <w:rFonts w:hint="eastAsia" w:ascii="宋体" w:hAnsi="宋体" w:eastAsia="宋体" w:cs="宋体"/>
          <w:b/>
          <w:bCs/>
          <w:color w:val="auto"/>
          <w:sz w:val="21"/>
          <w:szCs w:val="21"/>
        </w:rPr>
        <w:t>九、签订时间</w:t>
      </w:r>
      <w:bookmarkEnd w:id="209"/>
      <w:bookmarkEnd w:id="210"/>
      <w:bookmarkEnd w:id="211"/>
      <w:bookmarkEnd w:id="212"/>
    </w:p>
    <w:p w14:paraId="52B4049A">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本合同于</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年</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月</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日签订。</w:t>
      </w:r>
    </w:p>
    <w:p w14:paraId="425FB50D">
      <w:pPr>
        <w:spacing w:line="300" w:lineRule="auto"/>
        <w:ind w:firstLine="422" w:firstLineChars="200"/>
        <w:outlineLvl w:val="0"/>
        <w:rPr>
          <w:rFonts w:hint="eastAsia" w:ascii="宋体" w:hAnsi="宋体" w:eastAsia="宋体" w:cs="宋体"/>
          <w:b/>
          <w:bCs/>
          <w:color w:val="auto"/>
          <w:sz w:val="21"/>
          <w:szCs w:val="21"/>
        </w:rPr>
      </w:pPr>
      <w:bookmarkStart w:id="213" w:name="_Toc1943"/>
      <w:bookmarkStart w:id="214" w:name="_Toc19831_WPSOffice_Level3"/>
      <w:bookmarkStart w:id="215" w:name="_Toc351203490"/>
      <w:bookmarkStart w:id="216" w:name="_Toc22082"/>
      <w:r>
        <w:rPr>
          <w:rFonts w:hint="eastAsia" w:ascii="宋体" w:hAnsi="宋体" w:eastAsia="宋体" w:cs="宋体"/>
          <w:b/>
          <w:bCs/>
          <w:color w:val="auto"/>
          <w:sz w:val="21"/>
          <w:szCs w:val="21"/>
        </w:rPr>
        <w:t>十、签订地点</w:t>
      </w:r>
      <w:bookmarkEnd w:id="213"/>
      <w:bookmarkEnd w:id="214"/>
      <w:bookmarkEnd w:id="215"/>
      <w:bookmarkEnd w:id="216"/>
    </w:p>
    <w:p w14:paraId="1448C7DD">
      <w:pPr>
        <w:spacing w:line="300" w:lineRule="auto"/>
        <w:ind w:firstLine="420" w:firstLineChars="200"/>
        <w:rPr>
          <w:rFonts w:hint="eastAsia" w:ascii="宋体" w:hAnsi="宋体" w:eastAsia="宋体" w:cs="宋体"/>
          <w:b/>
          <w:bCs/>
          <w:color w:val="auto"/>
          <w:sz w:val="21"/>
          <w:szCs w:val="21"/>
        </w:rPr>
      </w:pPr>
      <w:r>
        <w:rPr>
          <w:rFonts w:hint="eastAsia" w:ascii="宋体" w:hAnsi="宋体" w:eastAsia="宋体" w:cs="宋体"/>
          <w:bCs/>
          <w:color w:val="auto"/>
          <w:sz w:val="21"/>
          <w:szCs w:val="21"/>
        </w:rPr>
        <w:t>本合同在</w:t>
      </w:r>
      <w:r>
        <w:rPr>
          <w:rFonts w:hint="eastAsia" w:ascii="宋体" w:hAnsi="宋体" w:eastAsia="宋体" w:cs="宋体"/>
          <w:bCs/>
          <w:color w:val="auto"/>
          <w:sz w:val="21"/>
          <w:szCs w:val="21"/>
          <w:u w:val="single"/>
        </w:rPr>
        <w:t xml:space="preserve"> </w:t>
      </w:r>
      <w:r>
        <w:rPr>
          <w:rFonts w:hint="eastAsia" w:ascii="宋体" w:hAnsi="宋体" w:cs="宋体"/>
          <w:bCs/>
          <w:color w:val="auto"/>
          <w:sz w:val="21"/>
          <w:szCs w:val="21"/>
          <w:u w:val="single"/>
          <w:lang w:val="en-US" w:eastAsia="zh-CN"/>
        </w:rPr>
        <w:t>广西政府采购云平台上</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签订。</w:t>
      </w:r>
      <w:bookmarkStart w:id="217" w:name="_Toc7601_WPSOffice_Level3"/>
      <w:bookmarkStart w:id="218" w:name="_Toc24793"/>
      <w:bookmarkStart w:id="219" w:name="_Toc351203491"/>
      <w:bookmarkStart w:id="220" w:name="_Toc4370"/>
    </w:p>
    <w:p w14:paraId="767D3387">
      <w:pPr>
        <w:spacing w:line="300" w:lineRule="auto"/>
        <w:ind w:firstLine="422" w:firstLineChars="200"/>
        <w:outlineLvl w:val="0"/>
        <w:rPr>
          <w:rFonts w:hint="eastAsia" w:ascii="宋体" w:hAnsi="宋体" w:eastAsia="宋体" w:cs="宋体"/>
          <w:b/>
          <w:bCs/>
          <w:color w:val="auto"/>
          <w:sz w:val="21"/>
          <w:szCs w:val="21"/>
        </w:rPr>
      </w:pPr>
      <w:r>
        <w:rPr>
          <w:rFonts w:hint="eastAsia" w:ascii="宋体" w:hAnsi="宋体" w:eastAsia="宋体" w:cs="宋体"/>
          <w:b/>
          <w:bCs/>
          <w:color w:val="auto"/>
          <w:sz w:val="21"/>
          <w:szCs w:val="21"/>
        </w:rPr>
        <w:t>十一、补充协议</w:t>
      </w:r>
      <w:bookmarkEnd w:id="217"/>
      <w:bookmarkEnd w:id="218"/>
      <w:bookmarkEnd w:id="219"/>
      <w:bookmarkEnd w:id="220"/>
    </w:p>
    <w:p w14:paraId="7AFCD277">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合同未尽事宜，合同当事人另行签订补充协议，补充协议是合同的组成部分。</w:t>
      </w:r>
    </w:p>
    <w:p w14:paraId="252634D6">
      <w:pPr>
        <w:spacing w:line="300" w:lineRule="auto"/>
        <w:ind w:firstLine="422" w:firstLineChars="200"/>
        <w:outlineLvl w:val="0"/>
        <w:rPr>
          <w:rFonts w:hint="eastAsia" w:ascii="宋体" w:hAnsi="宋体" w:eastAsia="宋体" w:cs="宋体"/>
          <w:b/>
          <w:bCs/>
          <w:color w:val="auto"/>
          <w:sz w:val="21"/>
          <w:szCs w:val="21"/>
        </w:rPr>
      </w:pPr>
      <w:bookmarkStart w:id="221" w:name="_Toc27623_WPSOffice_Level3"/>
      <w:bookmarkStart w:id="222" w:name="_Toc12093"/>
      <w:bookmarkStart w:id="223" w:name="_Toc18108"/>
      <w:bookmarkStart w:id="224" w:name="_Toc351203492"/>
      <w:r>
        <w:rPr>
          <w:rFonts w:hint="eastAsia" w:ascii="宋体" w:hAnsi="宋体" w:eastAsia="宋体" w:cs="宋体"/>
          <w:b/>
          <w:bCs/>
          <w:color w:val="auto"/>
          <w:sz w:val="21"/>
          <w:szCs w:val="21"/>
        </w:rPr>
        <w:t>十二、合同生效</w:t>
      </w:r>
      <w:bookmarkEnd w:id="221"/>
      <w:bookmarkEnd w:id="222"/>
      <w:bookmarkEnd w:id="223"/>
      <w:bookmarkEnd w:id="224"/>
    </w:p>
    <w:p w14:paraId="6565C71F">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本合同自</w:t>
      </w:r>
      <w:r>
        <w:rPr>
          <w:rFonts w:hint="eastAsia" w:ascii="宋体" w:hAnsi="宋体" w:eastAsia="宋体" w:cs="宋体"/>
          <w:bCs/>
          <w:color w:val="auto"/>
          <w:sz w:val="21"/>
          <w:szCs w:val="21"/>
          <w:u w:val="single"/>
        </w:rPr>
        <w:t xml:space="preserve"> </w:t>
      </w:r>
      <w:r>
        <w:rPr>
          <w:rFonts w:hint="eastAsia" w:ascii="宋体" w:hAnsi="宋体" w:eastAsia="宋体" w:cs="宋体"/>
          <w:color w:val="auto"/>
          <w:sz w:val="21"/>
          <w:szCs w:val="21"/>
          <w:u w:val="single"/>
        </w:rPr>
        <w:t>双方签字或盖章并加盖单位公章后</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生效。</w:t>
      </w:r>
    </w:p>
    <w:p w14:paraId="00B9A475">
      <w:pPr>
        <w:spacing w:line="300" w:lineRule="auto"/>
        <w:ind w:firstLine="422" w:firstLineChars="200"/>
        <w:outlineLvl w:val="0"/>
        <w:rPr>
          <w:rFonts w:hint="eastAsia" w:ascii="宋体" w:hAnsi="宋体" w:eastAsia="宋体" w:cs="宋体"/>
          <w:b/>
          <w:bCs/>
          <w:color w:val="auto"/>
          <w:sz w:val="21"/>
          <w:szCs w:val="21"/>
        </w:rPr>
      </w:pPr>
      <w:bookmarkStart w:id="225" w:name="_Toc351203493"/>
      <w:bookmarkStart w:id="226" w:name="_Toc3593_WPSOffice_Level3"/>
      <w:bookmarkStart w:id="227" w:name="_Toc27975"/>
      <w:bookmarkStart w:id="228" w:name="_Toc4055"/>
      <w:r>
        <w:rPr>
          <w:rFonts w:hint="eastAsia" w:ascii="宋体" w:hAnsi="宋体" w:eastAsia="宋体" w:cs="宋体"/>
          <w:b/>
          <w:bCs/>
          <w:color w:val="auto"/>
          <w:sz w:val="21"/>
          <w:szCs w:val="21"/>
        </w:rPr>
        <w:t>十三、合同份数</w:t>
      </w:r>
      <w:bookmarkEnd w:id="225"/>
      <w:bookmarkEnd w:id="226"/>
      <w:bookmarkEnd w:id="227"/>
      <w:bookmarkEnd w:id="228"/>
    </w:p>
    <w:p w14:paraId="03811B99">
      <w:pPr>
        <w:spacing w:line="30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本合同一式</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份，均具有同等法律效力，发包人执</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份，承包人执</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份。</w:t>
      </w:r>
    </w:p>
    <w:p w14:paraId="784689DC">
      <w:pPr>
        <w:spacing w:line="300" w:lineRule="auto"/>
        <w:rPr>
          <w:rFonts w:hint="eastAsia" w:ascii="宋体" w:hAnsi="宋体" w:eastAsia="宋体" w:cs="宋体"/>
          <w:color w:val="auto"/>
          <w:sz w:val="21"/>
          <w:szCs w:val="21"/>
        </w:rPr>
      </w:pPr>
    </w:p>
    <w:p w14:paraId="5053D34A">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发包人：  （公章）                      承包人：  （公章）</w:t>
      </w:r>
    </w:p>
    <w:p w14:paraId="4D5A4014">
      <w:pPr>
        <w:spacing w:line="30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p>
    <w:p w14:paraId="009784FB">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              法定代表人或其委托代理人：</w:t>
      </w:r>
    </w:p>
    <w:p w14:paraId="79B22731">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（签字）                                   （签字）</w:t>
      </w:r>
    </w:p>
    <w:p w14:paraId="5C284ACA">
      <w:pPr>
        <w:spacing w:line="300" w:lineRule="auto"/>
        <w:rPr>
          <w:rFonts w:hint="eastAsia" w:ascii="宋体" w:hAnsi="宋体" w:eastAsia="宋体" w:cs="宋体"/>
          <w:color w:val="auto"/>
          <w:sz w:val="21"/>
          <w:szCs w:val="21"/>
          <w:u w:val="single"/>
        </w:rPr>
      </w:pPr>
    </w:p>
    <w:p w14:paraId="562C2B06">
      <w:pPr>
        <w:tabs>
          <w:tab w:val="left" w:pos="4410"/>
        </w:tabs>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社会信用代码：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社会信用代码：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14:paraId="6037CE56">
      <w:pPr>
        <w:spacing w:line="300" w:lineRule="auto"/>
        <w:ind w:left="5760" w:hanging="5040" w:hangingChars="2400"/>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rPr>
        <w:t xml:space="preserve">           地  址：</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 xml:space="preserve">  </w:t>
      </w:r>
    </w:p>
    <w:p w14:paraId="07BC81AA">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  话：</w:t>
      </w:r>
      <w:r>
        <w:rPr>
          <w:rFonts w:hint="eastAsia" w:ascii="宋体" w:hAnsi="宋体" w:eastAsia="宋体" w:cs="宋体"/>
          <w:color w:val="auto"/>
          <w:sz w:val="21"/>
          <w:szCs w:val="21"/>
          <w:u w:val="single"/>
        </w:rPr>
        <w:t xml:space="preserve">   </w:t>
      </w:r>
    </w:p>
    <w:p w14:paraId="142492CB">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电子信箱：</w:t>
      </w:r>
      <w:r>
        <w:rPr>
          <w:rFonts w:hint="eastAsia" w:ascii="宋体" w:hAnsi="宋体" w:eastAsia="宋体" w:cs="宋体"/>
          <w:color w:val="auto"/>
          <w:sz w:val="21"/>
          <w:szCs w:val="21"/>
          <w:u w:val="single"/>
        </w:rPr>
        <w:t xml:space="preserve">                 </w:t>
      </w:r>
    </w:p>
    <w:p w14:paraId="3B2A91C5">
      <w:pPr>
        <w:spacing w:line="300" w:lineRule="auto"/>
        <w:ind w:left="6000" w:hanging="5250" w:hangingChars="2500"/>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14:paraId="75C847C4">
      <w:pPr>
        <w:spacing w:line="30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14:paraId="7D8E8C73">
      <w:pPr>
        <w:pStyle w:val="10"/>
        <w:rPr>
          <w:rFonts w:hint="eastAsia" w:ascii="宋体" w:hAnsi="宋体" w:eastAsia="宋体" w:cs="宋体"/>
          <w:color w:val="auto"/>
          <w:sz w:val="18"/>
          <w:szCs w:val="18"/>
        </w:rPr>
      </w:pPr>
    </w:p>
    <w:p w14:paraId="322D2594">
      <w:pPr>
        <w:pStyle w:val="10"/>
        <w:rPr>
          <w:rFonts w:hint="eastAsia" w:ascii="宋体" w:hAnsi="宋体" w:eastAsia="宋体" w:cs="宋体"/>
          <w:color w:val="auto"/>
          <w:sz w:val="18"/>
          <w:szCs w:val="18"/>
        </w:rPr>
      </w:pPr>
    </w:p>
    <w:p w14:paraId="22C98DE5">
      <w:pPr>
        <w:pStyle w:val="10"/>
        <w:rPr>
          <w:rFonts w:hint="eastAsia" w:ascii="宋体" w:hAnsi="宋体" w:eastAsia="宋体" w:cs="宋体"/>
          <w:color w:val="auto"/>
          <w:sz w:val="18"/>
          <w:szCs w:val="18"/>
        </w:rPr>
      </w:pPr>
    </w:p>
    <w:p w14:paraId="78C1F0AB">
      <w:pPr>
        <w:pStyle w:val="10"/>
        <w:rPr>
          <w:rFonts w:hint="eastAsia" w:ascii="宋体" w:hAnsi="宋体" w:eastAsia="宋体" w:cs="宋体"/>
          <w:color w:val="auto"/>
          <w:sz w:val="18"/>
          <w:szCs w:val="18"/>
        </w:rPr>
      </w:pPr>
    </w:p>
    <w:p w14:paraId="0FB35BF8">
      <w:pPr>
        <w:pStyle w:val="10"/>
        <w:rPr>
          <w:rFonts w:hint="eastAsia" w:ascii="宋体" w:hAnsi="宋体" w:eastAsia="宋体" w:cs="宋体"/>
          <w:color w:val="auto"/>
          <w:sz w:val="18"/>
          <w:szCs w:val="18"/>
        </w:rPr>
      </w:pPr>
    </w:p>
    <w:p w14:paraId="629DF955">
      <w:pPr>
        <w:pStyle w:val="10"/>
        <w:rPr>
          <w:rFonts w:hint="eastAsia" w:ascii="宋体" w:hAnsi="宋体" w:eastAsia="宋体" w:cs="宋体"/>
          <w:color w:val="auto"/>
          <w:sz w:val="18"/>
          <w:szCs w:val="18"/>
        </w:rPr>
      </w:pPr>
    </w:p>
    <w:p w14:paraId="25E7179F">
      <w:pPr>
        <w:pStyle w:val="10"/>
        <w:rPr>
          <w:rFonts w:hint="eastAsia" w:ascii="宋体" w:hAnsi="宋体" w:eastAsia="宋体" w:cs="宋体"/>
          <w:color w:val="auto"/>
          <w:sz w:val="18"/>
          <w:szCs w:val="18"/>
        </w:rPr>
      </w:pPr>
    </w:p>
    <w:p w14:paraId="2D3820A0">
      <w:pPr>
        <w:pStyle w:val="10"/>
        <w:rPr>
          <w:rFonts w:hint="eastAsia" w:ascii="宋体" w:hAnsi="宋体" w:eastAsia="宋体" w:cs="宋体"/>
          <w:color w:val="auto"/>
          <w:sz w:val="18"/>
          <w:szCs w:val="18"/>
        </w:rPr>
      </w:pPr>
    </w:p>
    <w:p w14:paraId="6CC6CC9C">
      <w:pPr>
        <w:pStyle w:val="10"/>
        <w:rPr>
          <w:rFonts w:hint="eastAsia" w:ascii="宋体" w:hAnsi="宋体" w:eastAsia="宋体" w:cs="宋体"/>
          <w:color w:val="auto"/>
          <w:sz w:val="18"/>
          <w:szCs w:val="18"/>
        </w:rPr>
      </w:pPr>
    </w:p>
    <w:p w14:paraId="0BAB6ACA">
      <w:pPr>
        <w:pStyle w:val="10"/>
        <w:rPr>
          <w:rFonts w:hint="eastAsia" w:ascii="宋体" w:hAnsi="宋体" w:eastAsia="宋体" w:cs="宋体"/>
          <w:color w:val="auto"/>
          <w:sz w:val="18"/>
          <w:szCs w:val="18"/>
        </w:rPr>
      </w:pPr>
    </w:p>
    <w:p w14:paraId="4866D0EE">
      <w:pPr>
        <w:pStyle w:val="10"/>
        <w:rPr>
          <w:rFonts w:hint="eastAsia" w:ascii="宋体" w:hAnsi="宋体" w:eastAsia="宋体" w:cs="宋体"/>
          <w:color w:val="auto"/>
          <w:sz w:val="18"/>
          <w:szCs w:val="18"/>
        </w:rPr>
      </w:pPr>
    </w:p>
    <w:p w14:paraId="5C8B6302">
      <w:pPr>
        <w:pStyle w:val="10"/>
        <w:rPr>
          <w:rFonts w:hint="eastAsia" w:ascii="宋体" w:hAnsi="宋体" w:eastAsia="宋体" w:cs="宋体"/>
          <w:color w:val="auto"/>
          <w:sz w:val="18"/>
          <w:szCs w:val="18"/>
        </w:rPr>
      </w:pPr>
    </w:p>
    <w:p w14:paraId="27AB2E39">
      <w:pPr>
        <w:pStyle w:val="10"/>
        <w:rPr>
          <w:rFonts w:hint="eastAsia" w:ascii="宋体" w:hAnsi="宋体" w:eastAsia="宋体" w:cs="宋体"/>
          <w:color w:val="auto"/>
          <w:sz w:val="18"/>
          <w:szCs w:val="18"/>
        </w:rPr>
      </w:pPr>
    </w:p>
    <w:p w14:paraId="2B95A045">
      <w:pPr>
        <w:pStyle w:val="10"/>
        <w:rPr>
          <w:rFonts w:hint="eastAsia" w:ascii="宋体" w:hAnsi="宋体" w:eastAsia="宋体" w:cs="宋体"/>
          <w:color w:val="auto"/>
          <w:sz w:val="18"/>
          <w:szCs w:val="18"/>
        </w:rPr>
      </w:pPr>
    </w:p>
    <w:p w14:paraId="6E21D67B">
      <w:pPr>
        <w:pStyle w:val="10"/>
        <w:rPr>
          <w:rFonts w:hint="eastAsia" w:ascii="宋体" w:hAnsi="宋体" w:eastAsia="宋体" w:cs="宋体"/>
          <w:color w:val="auto"/>
          <w:sz w:val="18"/>
          <w:szCs w:val="18"/>
        </w:rPr>
      </w:pPr>
    </w:p>
    <w:p w14:paraId="120C5A88">
      <w:pPr>
        <w:pStyle w:val="10"/>
        <w:rPr>
          <w:rFonts w:hint="eastAsia" w:ascii="宋体" w:hAnsi="宋体" w:eastAsia="宋体" w:cs="宋体"/>
          <w:color w:val="auto"/>
          <w:sz w:val="18"/>
          <w:szCs w:val="18"/>
        </w:rPr>
      </w:pPr>
    </w:p>
    <w:p w14:paraId="0ECD9685">
      <w:pPr>
        <w:pStyle w:val="10"/>
        <w:rPr>
          <w:rFonts w:hint="eastAsia" w:ascii="宋体" w:hAnsi="宋体" w:eastAsia="宋体" w:cs="宋体"/>
          <w:color w:val="auto"/>
          <w:sz w:val="18"/>
          <w:szCs w:val="18"/>
        </w:rPr>
      </w:pPr>
    </w:p>
    <w:p w14:paraId="65FFF0A5">
      <w:pPr>
        <w:pStyle w:val="10"/>
        <w:rPr>
          <w:rFonts w:hint="eastAsia" w:ascii="宋体" w:hAnsi="宋体" w:eastAsia="宋体" w:cs="宋体"/>
          <w:color w:val="auto"/>
          <w:sz w:val="18"/>
          <w:szCs w:val="18"/>
        </w:rPr>
      </w:pPr>
    </w:p>
    <w:p w14:paraId="1C5E75FD">
      <w:pPr>
        <w:pStyle w:val="10"/>
        <w:rPr>
          <w:rFonts w:hint="eastAsia" w:ascii="宋体" w:hAnsi="宋体" w:eastAsia="宋体" w:cs="宋体"/>
          <w:color w:val="auto"/>
          <w:sz w:val="18"/>
          <w:szCs w:val="18"/>
        </w:rPr>
      </w:pPr>
    </w:p>
    <w:p w14:paraId="5A229AEB">
      <w:pPr>
        <w:pStyle w:val="10"/>
        <w:rPr>
          <w:rFonts w:hint="eastAsia" w:ascii="宋体" w:hAnsi="宋体" w:eastAsia="宋体" w:cs="宋体"/>
          <w:color w:val="auto"/>
          <w:sz w:val="18"/>
          <w:szCs w:val="18"/>
        </w:rPr>
      </w:pPr>
    </w:p>
    <w:p w14:paraId="7CC54254">
      <w:pPr>
        <w:pStyle w:val="10"/>
        <w:rPr>
          <w:rFonts w:hint="eastAsia" w:ascii="宋体" w:hAnsi="宋体" w:eastAsia="宋体" w:cs="宋体"/>
          <w:color w:val="auto"/>
          <w:sz w:val="18"/>
          <w:szCs w:val="18"/>
        </w:rPr>
      </w:pPr>
    </w:p>
    <w:p w14:paraId="60AEA155">
      <w:pPr>
        <w:pStyle w:val="10"/>
        <w:rPr>
          <w:rFonts w:hint="eastAsia" w:ascii="宋体" w:hAnsi="宋体" w:eastAsia="宋体" w:cs="宋体"/>
          <w:color w:val="auto"/>
          <w:sz w:val="18"/>
          <w:szCs w:val="18"/>
        </w:rPr>
      </w:pPr>
    </w:p>
    <w:p w14:paraId="4581D62C">
      <w:pPr>
        <w:pStyle w:val="10"/>
        <w:rPr>
          <w:rFonts w:hint="eastAsia" w:ascii="宋体" w:hAnsi="宋体" w:eastAsia="宋体" w:cs="宋体"/>
          <w:color w:val="auto"/>
          <w:sz w:val="18"/>
          <w:szCs w:val="18"/>
        </w:rPr>
      </w:pPr>
    </w:p>
    <w:p w14:paraId="122F215E">
      <w:pPr>
        <w:pStyle w:val="10"/>
        <w:rPr>
          <w:rFonts w:hint="eastAsia" w:ascii="宋体" w:hAnsi="宋体" w:eastAsia="宋体" w:cs="宋体"/>
          <w:color w:val="auto"/>
          <w:sz w:val="18"/>
          <w:szCs w:val="18"/>
        </w:rPr>
      </w:pPr>
    </w:p>
    <w:p w14:paraId="1B739140">
      <w:pPr>
        <w:pStyle w:val="10"/>
        <w:rPr>
          <w:rFonts w:hint="eastAsia" w:ascii="宋体" w:hAnsi="宋体" w:eastAsia="宋体" w:cs="宋体"/>
          <w:color w:val="auto"/>
          <w:sz w:val="18"/>
          <w:szCs w:val="18"/>
        </w:rPr>
      </w:pPr>
    </w:p>
    <w:p w14:paraId="196E2407">
      <w:pPr>
        <w:pStyle w:val="10"/>
        <w:rPr>
          <w:rFonts w:hint="eastAsia" w:ascii="宋体" w:hAnsi="宋体" w:eastAsia="宋体" w:cs="宋体"/>
          <w:color w:val="auto"/>
          <w:sz w:val="18"/>
          <w:szCs w:val="18"/>
        </w:rPr>
      </w:pPr>
    </w:p>
    <w:p w14:paraId="79BA61AC">
      <w:pPr>
        <w:pStyle w:val="10"/>
        <w:rPr>
          <w:rFonts w:hint="eastAsia" w:ascii="宋体" w:hAnsi="宋体" w:eastAsia="宋体" w:cs="宋体"/>
          <w:color w:val="auto"/>
          <w:sz w:val="18"/>
          <w:szCs w:val="18"/>
        </w:rPr>
      </w:pPr>
    </w:p>
    <w:p w14:paraId="61D16480">
      <w:pPr>
        <w:pStyle w:val="10"/>
        <w:rPr>
          <w:rFonts w:hint="eastAsia" w:ascii="宋体" w:hAnsi="宋体" w:eastAsia="宋体" w:cs="宋体"/>
          <w:color w:val="auto"/>
          <w:sz w:val="18"/>
          <w:szCs w:val="18"/>
        </w:rPr>
      </w:pPr>
    </w:p>
    <w:p w14:paraId="79F9A781">
      <w:pPr>
        <w:pStyle w:val="10"/>
        <w:rPr>
          <w:rFonts w:hint="eastAsia" w:ascii="宋体" w:hAnsi="宋体" w:eastAsia="宋体" w:cs="宋体"/>
          <w:color w:val="auto"/>
          <w:sz w:val="18"/>
          <w:szCs w:val="18"/>
        </w:rPr>
      </w:pPr>
    </w:p>
    <w:p w14:paraId="6E584631">
      <w:pPr>
        <w:pStyle w:val="10"/>
        <w:rPr>
          <w:rFonts w:hint="eastAsia" w:ascii="宋体" w:hAnsi="宋体" w:eastAsia="宋体" w:cs="宋体"/>
          <w:color w:val="auto"/>
          <w:sz w:val="18"/>
          <w:szCs w:val="18"/>
        </w:rPr>
      </w:pPr>
    </w:p>
    <w:p w14:paraId="6DCF102D">
      <w:pPr>
        <w:pStyle w:val="10"/>
        <w:rPr>
          <w:rFonts w:hint="eastAsia" w:ascii="宋体" w:hAnsi="宋体" w:eastAsia="宋体" w:cs="宋体"/>
          <w:color w:val="auto"/>
          <w:sz w:val="18"/>
          <w:szCs w:val="18"/>
        </w:rPr>
      </w:pPr>
    </w:p>
    <w:p w14:paraId="3DFDF7AB">
      <w:pPr>
        <w:pStyle w:val="10"/>
        <w:rPr>
          <w:rFonts w:hint="eastAsia" w:ascii="宋体" w:hAnsi="宋体" w:eastAsia="宋体" w:cs="宋体"/>
          <w:color w:val="auto"/>
          <w:sz w:val="18"/>
          <w:szCs w:val="18"/>
        </w:rPr>
      </w:pPr>
    </w:p>
    <w:p w14:paraId="50884165">
      <w:pPr>
        <w:pStyle w:val="10"/>
        <w:rPr>
          <w:rFonts w:hint="eastAsia" w:ascii="宋体" w:hAnsi="宋体" w:eastAsia="宋体" w:cs="宋体"/>
          <w:color w:val="auto"/>
          <w:sz w:val="18"/>
          <w:szCs w:val="18"/>
        </w:rPr>
      </w:pPr>
    </w:p>
    <w:p w14:paraId="5A13E699">
      <w:pPr>
        <w:pStyle w:val="10"/>
        <w:rPr>
          <w:rFonts w:hint="eastAsia" w:ascii="宋体" w:hAnsi="宋体" w:eastAsia="宋体" w:cs="宋体"/>
          <w:color w:val="auto"/>
          <w:sz w:val="18"/>
          <w:szCs w:val="18"/>
        </w:rPr>
      </w:pPr>
    </w:p>
    <w:p w14:paraId="3B554F01">
      <w:pPr>
        <w:pStyle w:val="10"/>
        <w:rPr>
          <w:rFonts w:hint="eastAsia" w:ascii="宋体" w:hAnsi="宋体" w:eastAsia="宋体" w:cs="宋体"/>
          <w:color w:val="auto"/>
          <w:sz w:val="18"/>
          <w:szCs w:val="18"/>
        </w:rPr>
      </w:pPr>
    </w:p>
    <w:p w14:paraId="55F21F70">
      <w:pPr>
        <w:pStyle w:val="10"/>
        <w:rPr>
          <w:rFonts w:hint="eastAsia" w:ascii="宋体" w:hAnsi="宋体" w:eastAsia="宋体" w:cs="宋体"/>
          <w:color w:val="auto"/>
          <w:sz w:val="18"/>
          <w:szCs w:val="18"/>
        </w:rPr>
      </w:pPr>
    </w:p>
    <w:p w14:paraId="7BD23081">
      <w:pPr>
        <w:pStyle w:val="10"/>
        <w:rPr>
          <w:rFonts w:hint="eastAsia" w:ascii="宋体" w:hAnsi="宋体" w:eastAsia="宋体" w:cs="宋体"/>
          <w:color w:val="auto"/>
          <w:sz w:val="18"/>
          <w:szCs w:val="18"/>
        </w:rPr>
      </w:pPr>
    </w:p>
    <w:p w14:paraId="63261372">
      <w:pPr>
        <w:pStyle w:val="10"/>
        <w:rPr>
          <w:rFonts w:hint="eastAsia" w:ascii="宋体" w:hAnsi="宋体" w:eastAsia="宋体" w:cs="宋体"/>
          <w:color w:val="auto"/>
          <w:sz w:val="18"/>
          <w:szCs w:val="18"/>
        </w:rPr>
      </w:pPr>
    </w:p>
    <w:p w14:paraId="475559E2">
      <w:pPr>
        <w:pStyle w:val="10"/>
        <w:rPr>
          <w:rFonts w:hint="eastAsia" w:ascii="宋体" w:hAnsi="宋体" w:eastAsia="宋体" w:cs="宋体"/>
          <w:color w:val="auto"/>
          <w:sz w:val="18"/>
          <w:szCs w:val="18"/>
        </w:rPr>
      </w:pPr>
    </w:p>
    <w:p w14:paraId="1EC9C626">
      <w:pPr>
        <w:widowControl/>
        <w:spacing w:line="300" w:lineRule="auto"/>
        <w:jc w:val="center"/>
        <w:rPr>
          <w:rFonts w:hint="eastAsia" w:ascii="宋体" w:hAnsi="宋体" w:eastAsia="宋体" w:cs="宋体"/>
          <w:b/>
          <w:bCs/>
          <w:color w:val="auto"/>
          <w:sz w:val="24"/>
          <w:szCs w:val="24"/>
        </w:rPr>
      </w:pPr>
      <w:bookmarkStart w:id="229" w:name="_Toc3215_WPSOffice_Level2"/>
      <w:bookmarkStart w:id="230" w:name="_Toc467599551"/>
      <w:bookmarkStart w:id="231" w:name="_Toc389065256"/>
    </w:p>
    <w:p w14:paraId="737F9117">
      <w:pPr>
        <w:widowControl/>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第二部分 通用合同条款</w:t>
      </w:r>
      <w:bookmarkEnd w:id="229"/>
      <w:bookmarkEnd w:id="230"/>
      <w:bookmarkEnd w:id="231"/>
    </w:p>
    <w:p w14:paraId="25F8F6D0">
      <w:pPr>
        <w:spacing w:line="300" w:lineRule="auto"/>
        <w:ind w:firstLine="360" w:firstLineChars="200"/>
        <w:rPr>
          <w:rFonts w:hint="eastAsia" w:ascii="宋体" w:hAnsi="宋体" w:eastAsia="宋体" w:cs="宋体"/>
          <w:color w:val="auto"/>
          <w:kern w:val="0"/>
          <w:sz w:val="18"/>
          <w:szCs w:val="18"/>
        </w:rPr>
      </w:pPr>
    </w:p>
    <w:p w14:paraId="2DE0399A">
      <w:pPr>
        <w:pStyle w:val="8"/>
        <w:spacing w:before="120" w:after="120" w:line="360" w:lineRule="auto"/>
        <w:rPr>
          <w:rFonts w:hint="eastAsia" w:ascii="宋体" w:hAnsi="宋体" w:eastAsia="宋体" w:cs="宋体"/>
          <w:b w:val="0"/>
          <w:color w:val="auto"/>
          <w:sz w:val="21"/>
          <w:szCs w:val="21"/>
        </w:rPr>
      </w:pPr>
      <w:bookmarkStart w:id="232" w:name="_Toc337558727"/>
      <w:bookmarkStart w:id="233" w:name="_Toc351203495"/>
      <w:r>
        <w:rPr>
          <w:rFonts w:hint="eastAsia" w:ascii="宋体" w:hAnsi="宋体" w:eastAsia="宋体" w:cs="宋体"/>
          <w:b w:val="0"/>
          <w:color w:val="auto"/>
          <w:sz w:val="21"/>
          <w:szCs w:val="21"/>
        </w:rPr>
        <w:t>1.</w:t>
      </w:r>
      <w:bookmarkStart w:id="234" w:name="_Toc303538976"/>
      <w:bookmarkEnd w:id="234"/>
      <w:bookmarkStart w:id="235" w:name="_Toc303538973"/>
      <w:bookmarkEnd w:id="235"/>
      <w:bookmarkStart w:id="236" w:name="_Toc303538972"/>
      <w:bookmarkEnd w:id="236"/>
      <w:bookmarkStart w:id="237" w:name="_Toc303538974"/>
      <w:bookmarkEnd w:id="237"/>
      <w:bookmarkStart w:id="238" w:name="_Toc303538975"/>
      <w:bookmarkEnd w:id="238"/>
      <w:bookmarkStart w:id="239" w:name="_Toc296503027"/>
      <w:bookmarkStart w:id="240" w:name="_Toc296346528"/>
      <w:r>
        <w:rPr>
          <w:rFonts w:hint="eastAsia" w:ascii="宋体" w:hAnsi="宋体" w:eastAsia="宋体" w:cs="宋体"/>
          <w:b w:val="0"/>
          <w:color w:val="auto"/>
          <w:sz w:val="21"/>
          <w:szCs w:val="21"/>
        </w:rPr>
        <w:t xml:space="preserve"> 一般约定</w:t>
      </w:r>
      <w:bookmarkEnd w:id="232"/>
      <w:bookmarkEnd w:id="233"/>
      <w:bookmarkEnd w:id="239"/>
      <w:bookmarkEnd w:id="240"/>
    </w:p>
    <w:p w14:paraId="6B36FB50">
      <w:pPr>
        <w:pStyle w:val="9"/>
        <w:spacing w:before="120" w:after="120" w:line="360" w:lineRule="auto"/>
        <w:ind w:firstLine="420" w:firstLineChars="200"/>
        <w:rPr>
          <w:rFonts w:hint="eastAsia" w:ascii="宋体" w:hAnsi="宋体" w:eastAsia="宋体" w:cs="宋体"/>
          <w:b w:val="0"/>
          <w:color w:val="auto"/>
          <w:sz w:val="21"/>
          <w:szCs w:val="21"/>
        </w:rPr>
      </w:pPr>
      <w:bookmarkStart w:id="241" w:name="_Toc296503028"/>
      <w:bookmarkStart w:id="242" w:name="_Toc337558728"/>
      <w:bookmarkStart w:id="243" w:name="_Toc296346529"/>
      <w:bookmarkStart w:id="244" w:name="_Toc351203496"/>
      <w:r>
        <w:rPr>
          <w:rFonts w:hint="eastAsia" w:ascii="宋体" w:hAnsi="宋体" w:eastAsia="宋体" w:cs="宋体"/>
          <w:b w:val="0"/>
          <w:color w:val="auto"/>
          <w:sz w:val="21"/>
          <w:szCs w:val="21"/>
        </w:rPr>
        <w:t>1.1词语定义</w:t>
      </w:r>
      <w:bookmarkEnd w:id="241"/>
      <w:bookmarkEnd w:id="242"/>
      <w:bookmarkEnd w:id="243"/>
      <w:r>
        <w:rPr>
          <w:rFonts w:hint="eastAsia" w:ascii="宋体" w:hAnsi="宋体" w:eastAsia="宋体" w:cs="宋体"/>
          <w:b w:val="0"/>
          <w:color w:val="auto"/>
          <w:sz w:val="21"/>
          <w:szCs w:val="21"/>
        </w:rPr>
        <w:t>与解释</w:t>
      </w:r>
      <w:bookmarkEnd w:id="244"/>
    </w:p>
    <w:p w14:paraId="3C5ECF5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合同协议书、通用合同条款、专用合同条款中的下列词语具有本款所赋予的含义：</w:t>
      </w:r>
    </w:p>
    <w:p w14:paraId="262BFD12">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1.1.1 合同</w:t>
      </w:r>
    </w:p>
    <w:p w14:paraId="7CB98F1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 w:val="21"/>
          <w:szCs w:val="21"/>
        </w:rPr>
        <w:t>及其附件</w:t>
      </w:r>
      <w:r>
        <w:rPr>
          <w:rFonts w:hint="eastAsia" w:ascii="宋体" w:hAnsi="宋体" w:eastAsia="宋体" w:cs="宋体"/>
          <w:color w:val="auto"/>
          <w:kern w:val="0"/>
          <w:sz w:val="21"/>
          <w:szCs w:val="21"/>
        </w:rPr>
        <w:t>、通用合同条款、技术标准和要求、图纸、已标价工程量清单或预算书以及其他合同文件。</w:t>
      </w:r>
    </w:p>
    <w:p w14:paraId="13D82DC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1.1.1.2 合同协议书：是指构成合同的由发包人和承包人共同签署的称为“合同协议书”的书面文件。</w:t>
      </w:r>
    </w:p>
    <w:p w14:paraId="0A1BEB5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1.1.1.3 中标通知书：是指构成合同的由发包人通知承包人中标的书面文件。</w:t>
      </w:r>
    </w:p>
    <w:p w14:paraId="71B7EF2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1.1.1.4 投标函：是指构成合同的由承包人填写并签署的用于投标的称为“投标函”的文件。</w:t>
      </w:r>
    </w:p>
    <w:p w14:paraId="7732C35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1.1.1.5 投标函附录：是指构成合同的附在投标函后的称为“投标函附录”的文件。</w:t>
      </w:r>
    </w:p>
    <w:p w14:paraId="7ECCD3D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1.1.1.6 技术标准和要求：是指构成合同的施工应当遵守的或指导施工的国家、行业或地方的技术标准和要求，以及合同约定的技术标准和要求。</w:t>
      </w:r>
    </w:p>
    <w:p w14:paraId="5326DC6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1.1.1.7 图纸：是指构成合同的图纸，包括由发包人按照合同约定提供或经发包人批准的设计文件、施工图、鸟瞰图及模型等，以及在合同履行过程中形成的图纸文件。图纸应当按照法律规定审查合格。</w:t>
      </w:r>
    </w:p>
    <w:p w14:paraId="0581526E">
      <w:pPr>
        <w:autoSpaceDE w:val="0"/>
        <w:autoSpaceDN w:val="0"/>
        <w:adjustRightInd w:val="0"/>
        <w:spacing w:line="360" w:lineRule="auto"/>
        <w:ind w:firstLine="409" w:firstLineChars="195"/>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1.1.1.8 已标价工程量清单：是指构成合同的由承包人按照规定的格式和要求填写并标明价格的工程量清单，包括说明和表格。</w:t>
      </w:r>
    </w:p>
    <w:p w14:paraId="7EFBB444">
      <w:pPr>
        <w:autoSpaceDE w:val="0"/>
        <w:autoSpaceDN w:val="0"/>
        <w:adjustRightInd w:val="0"/>
        <w:spacing w:line="360" w:lineRule="auto"/>
        <w:ind w:firstLine="409" w:firstLineChars="195"/>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1.1.1.9 预算书：是指构成合同的由承包人按照发包人规定的格式和要求编制的工程预算文件。</w:t>
      </w:r>
    </w:p>
    <w:p w14:paraId="14871C7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1.1.1.10 其他合同文件：是指经合同当事人约定的与工程施工有关的具有合同约束力的文件或书面协议。合同当事人可以在专用合同条款中进行约定。</w:t>
      </w:r>
    </w:p>
    <w:p w14:paraId="4EC71CD4">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1.1.2 合同当事人及其他相关方</w:t>
      </w:r>
    </w:p>
    <w:p w14:paraId="4D565D3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1.1.2.1 合同当事人：是指发包人和（或）承包人。</w:t>
      </w:r>
    </w:p>
    <w:p w14:paraId="000A243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1.1.2.2 发包人：是指与承包人签订合同协议书的当事人及取得该当事人资格的合法继承人。</w:t>
      </w:r>
    </w:p>
    <w:p w14:paraId="2902B8E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1.1.2.3 承包人：是指与发包人签订合同协议书的，具有相应工程施工承包资质的当事人及取得该当事人资格的合法继承人。</w:t>
      </w:r>
    </w:p>
    <w:p w14:paraId="3B23D6E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1.1.2.4 监理人：是指在专用合同条款中指明的，受发包人委托按照法律规定进行工程监督管理的法人或其他组织。</w:t>
      </w:r>
    </w:p>
    <w:p w14:paraId="62F4C2B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1.1.2.5 设计人：是指在专用合同条款中指明的，受发包人委托负责工程设计并具备相应工程设计资质的法人或其他组织。</w:t>
      </w:r>
    </w:p>
    <w:p w14:paraId="2E349551">
      <w:pPr>
        <w:spacing w:line="360" w:lineRule="auto"/>
        <w:ind w:firstLine="409" w:firstLineChars="195"/>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1.1.2.6 分包人：</w:t>
      </w:r>
      <w:bookmarkStart w:id="245" w:name="#go5"/>
      <w:bookmarkEnd w:id="245"/>
      <w:r>
        <w:rPr>
          <w:rFonts w:hint="eastAsia" w:ascii="宋体" w:hAnsi="宋体" w:eastAsia="宋体" w:cs="宋体"/>
          <w:color w:val="auto"/>
          <w:kern w:val="0"/>
          <w:sz w:val="21"/>
          <w:szCs w:val="21"/>
        </w:rPr>
        <w:t>是指按照法律规定和合同约定，分包部分工程或工作，并与承包人签订分包合同的具有相应资质的法人。</w:t>
      </w:r>
    </w:p>
    <w:p w14:paraId="1D6F9BB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1.1.2.7 发包人代表：是指由发包人任命并派驻施工现场在发包人授权范围内行使发包人权利的人。</w:t>
      </w:r>
    </w:p>
    <w:p w14:paraId="58B3E5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1.1.2.8 项目经理：是指由承包人任命并派驻施工现场，在承包人授权范围内负责合同履行，且按照法律规定具有相应资格的项目负责人。</w:t>
      </w:r>
    </w:p>
    <w:p w14:paraId="006AC60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1.1.2.9 总监理工程师：是指由监理人任命并派驻施工现场进行工程监理的总负责人。</w:t>
      </w:r>
    </w:p>
    <w:p w14:paraId="1388D5C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 工程和设备</w:t>
      </w:r>
    </w:p>
    <w:p w14:paraId="2E23EEA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1.1.3.1 工程：是指与合同协议书中工程承包范围对应的永久工程和（或）临时工程。</w:t>
      </w:r>
    </w:p>
    <w:p w14:paraId="31045B6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1.1.3.2 永久工程：是指按合同约定建造并移交给发包人的工程，包括工程设备。</w:t>
      </w:r>
    </w:p>
    <w:p w14:paraId="590CF86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1.1.3.3 临时工程：是指为完成合同约定的永久工程所修建的各类临时性工程，不包括施工设备。</w:t>
      </w:r>
    </w:p>
    <w:p w14:paraId="51C5592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1.1.3.4 单位工程：是指在合同协议书中指明的，具备独立施工条件并能形成独立使用功能的永久工程。</w:t>
      </w:r>
    </w:p>
    <w:p w14:paraId="308E5CF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1.1.3.5 工程设备：是指构成永久工程的机电设备、金属结构设备、仪器及其他类似的设备和装置。</w:t>
      </w:r>
    </w:p>
    <w:p w14:paraId="6921DE0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1.1.3.6 施工设备：是指为完成合同约定的各项工作所需的设备、器具和其他物品，但不包括工程设备、临时工程和材料。</w:t>
      </w:r>
    </w:p>
    <w:p w14:paraId="189F611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1.1.3.7 施工现场：是指用于工程施工的场所，以及在专用合同条款中指明作为施工场所组成部分的其他场所，包括永久占地和临时占地。</w:t>
      </w:r>
    </w:p>
    <w:p w14:paraId="4218F6C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1.1.3.8临时设施：是指为完成合同约定的各项工作所服务的临时性生产和生活设施。</w:t>
      </w:r>
    </w:p>
    <w:p w14:paraId="5C1DFE7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1.1.3.9 永久占地：是指专用合同条款中指明为实施工程需永久占用的土地。</w:t>
      </w:r>
    </w:p>
    <w:p w14:paraId="60D2767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1.1.3.10 临时占地：是指专用合同条款中指明为实施工程需要临时占用的土地。</w:t>
      </w:r>
    </w:p>
    <w:p w14:paraId="480BB14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 日期和期限</w:t>
      </w:r>
    </w:p>
    <w:p w14:paraId="6460D33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6359229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1.1.4.2 竣工日期：包括计划竣工日期和实际竣工日期。计划竣工日期是指合同协议书约定的竣工日期；实际竣工日期按照第13.2.3项〔竣工日期〕的约定确定。 </w:t>
      </w:r>
    </w:p>
    <w:p w14:paraId="65D8FEF0">
      <w:pPr>
        <w:spacing w:line="360" w:lineRule="auto"/>
        <w:ind w:firstLine="426" w:firstLineChars="203"/>
        <w:rPr>
          <w:rFonts w:hint="eastAsia" w:ascii="宋体" w:hAnsi="宋体" w:eastAsia="宋体" w:cs="宋体"/>
          <w:color w:val="auto"/>
          <w:sz w:val="21"/>
          <w:szCs w:val="21"/>
        </w:rPr>
      </w:pPr>
      <w:r>
        <w:rPr>
          <w:rFonts w:hint="eastAsia" w:ascii="宋体" w:hAnsi="宋体" w:eastAsia="宋体" w:cs="宋体"/>
          <w:color w:val="auto"/>
          <w:kern w:val="0"/>
          <w:sz w:val="21"/>
          <w:szCs w:val="21"/>
        </w:rPr>
        <w:t>1.1.4.3 工期：是</w:t>
      </w:r>
      <w:r>
        <w:rPr>
          <w:rFonts w:hint="eastAsia" w:ascii="宋体" w:hAnsi="宋体" w:cs="宋体"/>
          <w:color w:val="auto"/>
          <w:kern w:val="0"/>
          <w:sz w:val="21"/>
          <w:szCs w:val="21"/>
          <w:lang w:eastAsia="zh-CN"/>
        </w:rPr>
        <w:t>指</w:t>
      </w:r>
      <w:r>
        <w:rPr>
          <w:rFonts w:hint="eastAsia" w:ascii="宋体" w:hAnsi="宋体" w:eastAsia="宋体" w:cs="宋体"/>
          <w:color w:val="auto"/>
          <w:kern w:val="0"/>
          <w:sz w:val="21"/>
          <w:szCs w:val="21"/>
        </w:rPr>
        <w:t>合同协议书约定的承包人完成工程所需的期限，包括按照合同约定所作的期限变更。</w:t>
      </w:r>
    </w:p>
    <w:p w14:paraId="6DC0A32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1.1.4.4 缺陷责任期：是指承包人按照合同约定承担缺陷修复义务，且发包人预留质量保证金（已缴纳履约保证金的除外）的期限，自工程实际竣工日期起计算。</w:t>
      </w:r>
    </w:p>
    <w:p w14:paraId="2009818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1.1.4.5 保修期：是指承包人按照合同约定对工程承担保修责任的期限，从工程竣工验收合格之日起计算。</w:t>
      </w:r>
    </w:p>
    <w:p w14:paraId="6EDBB11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1.1.4.6 基准日期：招标发包的工程以投标截止日前28天的日期为基准日期，直接发包的工程以合同签订日前28天的日期为基准日期。</w:t>
      </w:r>
    </w:p>
    <w:p w14:paraId="74D4DE2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1.1.4.7 天：除特别指明外，均指日历天。合同中按天计算时间的，开始当天不计入，从次日开始计算，期限最后一天的截止时间为当天24:00时。</w:t>
      </w:r>
    </w:p>
    <w:p w14:paraId="07651D8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 合同价格和费用</w:t>
      </w:r>
    </w:p>
    <w:p w14:paraId="7B125982">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1.1.5.1 签约合同价：是指</w:t>
      </w:r>
      <w:r>
        <w:rPr>
          <w:rFonts w:hint="eastAsia" w:ascii="宋体" w:hAnsi="宋体" w:eastAsia="宋体" w:cs="宋体"/>
          <w:color w:val="auto"/>
          <w:sz w:val="21"/>
          <w:szCs w:val="21"/>
        </w:rPr>
        <w:t>发包人和承包人在合同协议书中确定的总金额，包括安全文明施工费、暂估价及</w:t>
      </w:r>
      <w:r>
        <w:rPr>
          <w:rFonts w:hint="eastAsia" w:ascii="宋体" w:hAnsi="宋体" w:cs="宋体"/>
          <w:color w:val="auto"/>
          <w:sz w:val="21"/>
          <w:szCs w:val="21"/>
          <w:lang w:eastAsia="zh-CN"/>
        </w:rPr>
        <w:t>暂定金额</w:t>
      </w:r>
      <w:r>
        <w:rPr>
          <w:rFonts w:hint="eastAsia" w:ascii="宋体" w:hAnsi="宋体" w:eastAsia="宋体" w:cs="宋体"/>
          <w:color w:val="auto"/>
          <w:sz w:val="21"/>
          <w:szCs w:val="21"/>
        </w:rPr>
        <w:t>等。</w:t>
      </w:r>
    </w:p>
    <w:p w14:paraId="1320D99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1.1.5.2 合同价格：是指发包人用于支付承包人按照合同约定完成承包范围内全部工作的金额，包括合同履行过程中按合同约定发生的价格变化。</w:t>
      </w:r>
    </w:p>
    <w:p w14:paraId="1434072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1.1.5.3 费用：是指为履行合同所发生的或将要发生的所有必需的开支，包括管理费和应分摊的其他费用，但不包括利润。</w:t>
      </w:r>
    </w:p>
    <w:p w14:paraId="708B862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1.1.5.4 暂估价：是指发包人在工程量清单或预算书中提供的用于支付必然发生但暂时不能确定价格的材料、工程设备的单价、专业工程以及服务工作的金额。</w:t>
      </w:r>
    </w:p>
    <w:p w14:paraId="32FE58F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w:t>
      </w:r>
      <w:r>
        <w:rPr>
          <w:rFonts w:hint="eastAsia" w:ascii="宋体" w:hAnsi="宋体" w:cs="宋体"/>
          <w:color w:val="auto"/>
          <w:kern w:val="0"/>
          <w:sz w:val="21"/>
          <w:szCs w:val="21"/>
          <w:lang w:eastAsia="zh-CN"/>
        </w:rPr>
        <w:t>等</w:t>
      </w:r>
      <w:r>
        <w:rPr>
          <w:rFonts w:hint="eastAsia" w:ascii="宋体" w:hAnsi="宋体" w:eastAsia="宋体" w:cs="宋体"/>
          <w:color w:val="auto"/>
          <w:kern w:val="0"/>
          <w:sz w:val="21"/>
          <w:szCs w:val="21"/>
        </w:rPr>
        <w:t>费用。</w:t>
      </w:r>
    </w:p>
    <w:p w14:paraId="7325F37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1.1.5.6 计日工：是指合同履行过程中，承包人完成发包人提出的零星工作或需要采用计日工计价的变更工作时，按合同中约定的单价计价的一种方式。</w:t>
      </w:r>
    </w:p>
    <w:p w14:paraId="04D6A56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1.1.5.7 质量保证金</w:t>
      </w:r>
      <w:bookmarkStart w:id="246" w:name="#go2"/>
      <w:bookmarkEnd w:id="246"/>
      <w:r>
        <w:rPr>
          <w:rFonts w:hint="eastAsia" w:ascii="宋体" w:hAnsi="宋体" w:eastAsia="宋体" w:cs="宋体"/>
          <w:color w:val="auto"/>
          <w:kern w:val="0"/>
          <w:sz w:val="21"/>
          <w:szCs w:val="21"/>
        </w:rPr>
        <w:t>：是指按照第15.3款〔质量保证金〕约定承包人用于保证其在缺陷责任期内履行缺陷修补义务的担保</w:t>
      </w:r>
      <w:r>
        <w:rPr>
          <w:rFonts w:hint="eastAsia" w:ascii="宋体" w:hAnsi="宋体" w:eastAsia="宋体" w:cs="宋体"/>
          <w:color w:val="auto"/>
          <w:sz w:val="21"/>
          <w:szCs w:val="21"/>
        </w:rPr>
        <w:t>。</w:t>
      </w:r>
    </w:p>
    <w:p w14:paraId="1CCE128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1.1.5.8 总价项目：是指在现行国家、行业以及地方的计量规则中无工程量计算规则，在已标价工程量清单或预算书中以总价或以费率形式计算的项目。</w:t>
      </w:r>
    </w:p>
    <w:p w14:paraId="50650CDF">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1.1.6 其他</w:t>
      </w:r>
    </w:p>
    <w:p w14:paraId="0AE56B4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1.1.6.1 书面形式：是指合同文件、信函、电报、传真等可以有形地表现所载内容的形式。</w:t>
      </w:r>
    </w:p>
    <w:p w14:paraId="1BDBC783">
      <w:pPr>
        <w:pStyle w:val="9"/>
        <w:spacing w:before="120" w:after="120" w:line="360" w:lineRule="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 xml:space="preserve">    </w:t>
      </w:r>
      <w:bookmarkStart w:id="247" w:name="_Toc296503029"/>
      <w:bookmarkStart w:id="248" w:name="_Toc296346530"/>
      <w:bookmarkStart w:id="249" w:name="_Toc351203497"/>
      <w:bookmarkStart w:id="250" w:name="_Toc337558729"/>
      <w:r>
        <w:rPr>
          <w:rFonts w:hint="eastAsia" w:ascii="宋体" w:hAnsi="宋体" w:eastAsia="宋体" w:cs="宋体"/>
          <w:b w:val="0"/>
          <w:color w:val="auto"/>
          <w:sz w:val="21"/>
          <w:szCs w:val="21"/>
        </w:rPr>
        <w:t>1.2语言文字</w:t>
      </w:r>
      <w:bookmarkEnd w:id="247"/>
      <w:bookmarkEnd w:id="248"/>
      <w:bookmarkEnd w:id="249"/>
      <w:bookmarkEnd w:id="250"/>
    </w:p>
    <w:p w14:paraId="4CD5C52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合同以中国的汉语简体文字编写、解释和说明。合同当事人在专用合同条款中约定使用两种以上语言时，汉语为优先解释和说明合同的语言。</w:t>
      </w:r>
    </w:p>
    <w:p w14:paraId="128D1FF8">
      <w:pPr>
        <w:pStyle w:val="9"/>
        <w:spacing w:before="120" w:after="120" w:line="360" w:lineRule="auto"/>
        <w:ind w:firstLine="420" w:firstLineChars="200"/>
        <w:rPr>
          <w:rFonts w:hint="eastAsia" w:ascii="宋体" w:hAnsi="宋体" w:eastAsia="宋体" w:cs="宋体"/>
          <w:b w:val="0"/>
          <w:color w:val="auto"/>
          <w:sz w:val="21"/>
          <w:szCs w:val="21"/>
        </w:rPr>
      </w:pPr>
      <w:bookmarkStart w:id="251" w:name="_Toc296346531"/>
      <w:bookmarkStart w:id="252" w:name="_Toc296503030"/>
      <w:bookmarkStart w:id="253" w:name="_Toc351203498"/>
      <w:bookmarkStart w:id="254" w:name="_Toc337558730"/>
      <w:r>
        <w:rPr>
          <w:rFonts w:hint="eastAsia" w:ascii="宋体" w:hAnsi="宋体" w:eastAsia="宋体" w:cs="宋体"/>
          <w:b w:val="0"/>
          <w:color w:val="auto"/>
          <w:sz w:val="21"/>
          <w:szCs w:val="21"/>
        </w:rPr>
        <w:t>1.3法律</w:t>
      </w:r>
      <w:bookmarkEnd w:id="251"/>
      <w:bookmarkEnd w:id="252"/>
      <w:bookmarkEnd w:id="253"/>
      <w:bookmarkEnd w:id="254"/>
    </w:p>
    <w:p w14:paraId="04BA50C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合同所称法律是指中华人民共和国法律、行政法规、部门规章，以及工程所在地的地方性法规、自治条例、单行条例和地方政府规章等。</w:t>
      </w:r>
    </w:p>
    <w:p w14:paraId="4A6485B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合同当事人可以在专用合同条款中约定合同适用的其他规范性文件。</w:t>
      </w:r>
    </w:p>
    <w:p w14:paraId="5030FDF2">
      <w:pPr>
        <w:pStyle w:val="9"/>
        <w:spacing w:before="120" w:after="120" w:line="360" w:lineRule="auto"/>
        <w:ind w:firstLine="420" w:firstLineChars="200"/>
        <w:rPr>
          <w:rFonts w:hint="eastAsia" w:ascii="宋体" w:hAnsi="宋体" w:eastAsia="宋体" w:cs="宋体"/>
          <w:b w:val="0"/>
          <w:color w:val="auto"/>
          <w:sz w:val="21"/>
          <w:szCs w:val="21"/>
        </w:rPr>
      </w:pPr>
      <w:bookmarkStart w:id="255" w:name="_Toc351203499"/>
      <w:r>
        <w:rPr>
          <w:rFonts w:hint="eastAsia" w:ascii="宋体" w:hAnsi="宋体" w:eastAsia="宋体" w:cs="宋体"/>
          <w:b w:val="0"/>
          <w:color w:val="auto"/>
          <w:sz w:val="21"/>
          <w:szCs w:val="21"/>
        </w:rPr>
        <w:t>1.4 标准和规范</w:t>
      </w:r>
      <w:bookmarkEnd w:id="255"/>
    </w:p>
    <w:p w14:paraId="7347ABFC">
      <w:pPr>
        <w:autoSpaceDE w:val="0"/>
        <w:autoSpaceDN w:val="0"/>
        <w:adjustRightInd w:val="0"/>
        <w:spacing w:line="360" w:lineRule="auto"/>
        <w:ind w:firstLine="64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1.4.1 适用于工程的国家标准、行业标准、工程所在地的地方性标准，以及相应的规范、规程等，合同当事人有特别要求的，应在专用合同条款中约定。</w:t>
      </w:r>
    </w:p>
    <w:p w14:paraId="5257B97E">
      <w:pPr>
        <w:autoSpaceDE w:val="0"/>
        <w:autoSpaceDN w:val="0"/>
        <w:adjustRightInd w:val="0"/>
        <w:spacing w:line="360" w:lineRule="auto"/>
        <w:ind w:firstLine="64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1.4.2 发包人要求使用国外标准、规范的，发包人负责提供原文版本和中文译本，并在专用合同条款中约定提供标准规范的名称、份数和时间。</w:t>
      </w:r>
    </w:p>
    <w:p w14:paraId="12A13356">
      <w:pPr>
        <w:autoSpaceDE w:val="0"/>
        <w:autoSpaceDN w:val="0"/>
        <w:adjustRightInd w:val="0"/>
        <w:spacing w:line="360" w:lineRule="auto"/>
        <w:ind w:firstLine="64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486096B">
      <w:pPr>
        <w:pStyle w:val="9"/>
        <w:spacing w:before="120" w:after="120" w:line="360" w:lineRule="auto"/>
        <w:ind w:firstLine="420" w:firstLineChars="200"/>
        <w:rPr>
          <w:rFonts w:hint="eastAsia" w:ascii="宋体" w:hAnsi="宋体" w:eastAsia="宋体" w:cs="宋体"/>
          <w:b w:val="0"/>
          <w:color w:val="auto"/>
          <w:sz w:val="21"/>
          <w:szCs w:val="21"/>
        </w:rPr>
      </w:pPr>
      <w:bookmarkStart w:id="256" w:name="_Toc351203500"/>
      <w:r>
        <w:rPr>
          <w:rFonts w:hint="eastAsia" w:ascii="宋体" w:hAnsi="宋体" w:eastAsia="宋体" w:cs="宋体"/>
          <w:b w:val="0"/>
          <w:color w:val="auto"/>
          <w:sz w:val="21"/>
          <w:szCs w:val="21"/>
        </w:rPr>
        <w:t>1</w:t>
      </w:r>
      <w:bookmarkStart w:id="257" w:name="_Toc296503031"/>
      <w:bookmarkStart w:id="258" w:name="_Toc296346532"/>
      <w:bookmarkStart w:id="259" w:name="_Toc337558731"/>
      <w:r>
        <w:rPr>
          <w:rFonts w:hint="eastAsia" w:ascii="宋体" w:hAnsi="宋体" w:eastAsia="宋体" w:cs="宋体"/>
          <w:b w:val="0"/>
          <w:color w:val="auto"/>
          <w:sz w:val="21"/>
          <w:szCs w:val="21"/>
        </w:rPr>
        <w:t>.5 合同文件的优先顺序</w:t>
      </w:r>
      <w:bookmarkEnd w:id="256"/>
    </w:p>
    <w:bookmarkEnd w:id="257"/>
    <w:bookmarkEnd w:id="258"/>
    <w:bookmarkEnd w:id="259"/>
    <w:p w14:paraId="72A06C8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组成合同的各项文件应互相解释，互为说明。除专用合同条款另有约定外，解释合同文件的优先顺序如下：</w:t>
      </w:r>
    </w:p>
    <w:p w14:paraId="1150F55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（1）合同协议书；</w:t>
      </w:r>
    </w:p>
    <w:p w14:paraId="3DA586D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（2）中标通知书（如果有）；</w:t>
      </w:r>
    </w:p>
    <w:p w14:paraId="5977FAA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（3）投标函及其附录（如果有）；</w:t>
      </w:r>
    </w:p>
    <w:p w14:paraId="69228BA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（4）专用合同条款</w:t>
      </w:r>
      <w:r>
        <w:rPr>
          <w:rFonts w:hint="eastAsia" w:ascii="宋体" w:hAnsi="宋体" w:eastAsia="宋体" w:cs="宋体"/>
          <w:color w:val="auto"/>
          <w:sz w:val="21"/>
          <w:szCs w:val="21"/>
        </w:rPr>
        <w:t>及其附件</w:t>
      </w:r>
      <w:r>
        <w:rPr>
          <w:rFonts w:hint="eastAsia" w:ascii="宋体" w:hAnsi="宋体" w:eastAsia="宋体" w:cs="宋体"/>
          <w:color w:val="auto"/>
          <w:kern w:val="0"/>
          <w:sz w:val="21"/>
          <w:szCs w:val="21"/>
        </w:rPr>
        <w:t>；</w:t>
      </w:r>
    </w:p>
    <w:p w14:paraId="7743FAC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（5）通用合同条款；</w:t>
      </w:r>
    </w:p>
    <w:p w14:paraId="68956BC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（6）技术标准和要求；</w:t>
      </w:r>
    </w:p>
    <w:p w14:paraId="40FABF7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（7）图纸；</w:t>
      </w:r>
    </w:p>
    <w:p w14:paraId="281F051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（8）已标价工程量清单或预算书；</w:t>
      </w:r>
    </w:p>
    <w:p w14:paraId="7766377E">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（9）其他合同文件。</w:t>
      </w:r>
    </w:p>
    <w:p w14:paraId="619CFCC6">
      <w:pPr>
        <w:spacing w:line="360" w:lineRule="auto"/>
        <w:ind w:firstLine="447" w:firstLineChars="213"/>
        <w:rPr>
          <w:rFonts w:hint="eastAsia" w:ascii="宋体" w:hAnsi="宋体" w:eastAsia="宋体" w:cs="宋体"/>
          <w:color w:val="auto"/>
          <w:sz w:val="21"/>
          <w:szCs w:val="21"/>
        </w:rPr>
      </w:pPr>
      <w:r>
        <w:rPr>
          <w:rFonts w:hint="eastAsia" w:ascii="宋体" w:hAnsi="宋体" w:eastAsia="宋体" w:cs="宋体"/>
          <w:color w:val="auto"/>
          <w:sz w:val="21"/>
          <w:szCs w:val="21"/>
        </w:rPr>
        <w:t>上述各项合同文件包括合同当事人就该项合同文件所作出的补充和修改，属于同</w:t>
      </w:r>
      <w:r>
        <w:rPr>
          <w:rFonts w:hint="eastAsia" w:ascii="宋体" w:hAnsi="宋体" w:cs="宋体"/>
          <w:color w:val="auto"/>
          <w:sz w:val="21"/>
          <w:szCs w:val="21"/>
          <w:lang w:eastAsia="zh-CN"/>
        </w:rPr>
        <w:t>一项</w:t>
      </w:r>
      <w:r>
        <w:rPr>
          <w:rFonts w:hint="eastAsia" w:ascii="宋体" w:hAnsi="宋体" w:eastAsia="宋体" w:cs="宋体"/>
          <w:color w:val="auto"/>
          <w:sz w:val="21"/>
          <w:szCs w:val="21"/>
        </w:rPr>
        <w:t>内容的文件，应以最新签署的为准。</w:t>
      </w:r>
    </w:p>
    <w:p w14:paraId="5D6B0C96">
      <w:pPr>
        <w:spacing w:line="360" w:lineRule="auto"/>
        <w:ind w:firstLine="447" w:firstLineChars="213"/>
        <w:rPr>
          <w:rFonts w:hint="eastAsia" w:ascii="宋体" w:hAnsi="宋体" w:eastAsia="宋体" w:cs="宋体"/>
          <w:color w:val="auto"/>
          <w:sz w:val="21"/>
          <w:szCs w:val="21"/>
        </w:rPr>
      </w:pPr>
      <w:r>
        <w:rPr>
          <w:rFonts w:hint="eastAsia" w:ascii="宋体" w:hAnsi="宋体" w:eastAsia="宋体" w:cs="宋体"/>
          <w:color w:val="auto"/>
          <w:sz w:val="21"/>
          <w:szCs w:val="21"/>
        </w:rPr>
        <w:t>在合同订立及履行过程中形成的与合同有关的文件均构成合同文件组成部分，并根据其性质确定优先解释顺序。</w:t>
      </w:r>
    </w:p>
    <w:p w14:paraId="24A71A03">
      <w:pPr>
        <w:pStyle w:val="9"/>
        <w:spacing w:before="120" w:after="120" w:line="360" w:lineRule="auto"/>
        <w:ind w:firstLine="420" w:firstLineChars="200"/>
        <w:rPr>
          <w:rFonts w:hint="eastAsia" w:ascii="宋体" w:hAnsi="宋体" w:eastAsia="宋体" w:cs="宋体"/>
          <w:b w:val="0"/>
          <w:color w:val="auto"/>
          <w:sz w:val="21"/>
          <w:szCs w:val="21"/>
        </w:rPr>
      </w:pPr>
      <w:bookmarkStart w:id="260" w:name="_Toc351203501"/>
      <w:r>
        <w:rPr>
          <w:rFonts w:hint="eastAsia" w:ascii="宋体" w:hAnsi="宋体" w:eastAsia="宋体" w:cs="宋体"/>
          <w:b w:val="0"/>
          <w:color w:val="auto"/>
          <w:sz w:val="21"/>
          <w:szCs w:val="21"/>
        </w:rPr>
        <w:t>1</w:t>
      </w:r>
      <w:bookmarkStart w:id="261" w:name="_Toc337558732"/>
      <w:bookmarkStart w:id="262" w:name="_Toc296503032"/>
      <w:bookmarkStart w:id="263" w:name="_Toc296346533"/>
      <w:r>
        <w:rPr>
          <w:rFonts w:hint="eastAsia" w:ascii="宋体" w:hAnsi="宋体" w:eastAsia="宋体" w:cs="宋体"/>
          <w:b w:val="0"/>
          <w:color w:val="auto"/>
          <w:sz w:val="21"/>
          <w:szCs w:val="21"/>
        </w:rPr>
        <w:t>.6图纸和承包人文件</w:t>
      </w:r>
      <w:bookmarkEnd w:id="260"/>
    </w:p>
    <w:bookmarkEnd w:id="261"/>
    <w:bookmarkEnd w:id="262"/>
    <w:bookmarkEnd w:id="263"/>
    <w:p w14:paraId="49C0694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1.6.1 图纸的提供和交底</w:t>
      </w:r>
    </w:p>
    <w:p w14:paraId="126E597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7F98F70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因发包人未按合同约定提供图纸导致承包人费用增加和（或）工期延误的，按照第7.5.1项〔因发包人原因导致工期延误〕约定办理。</w:t>
      </w:r>
    </w:p>
    <w:p w14:paraId="7A57097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 图纸的错误</w:t>
      </w:r>
    </w:p>
    <w:p w14:paraId="6E88C89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承包人在收到发包人提供的图纸后，发现图纸存在差错、遗漏或缺陷的，应及时通知监理人。监理人接到该通知后，应</w:t>
      </w:r>
      <w:r>
        <w:rPr>
          <w:rFonts w:hint="eastAsia" w:ascii="宋体" w:hAnsi="宋体" w:cs="宋体"/>
          <w:color w:val="auto"/>
          <w:kern w:val="0"/>
          <w:sz w:val="21"/>
          <w:szCs w:val="21"/>
          <w:lang w:eastAsia="zh-CN"/>
        </w:rPr>
        <w:t>出具</w:t>
      </w:r>
      <w:r>
        <w:rPr>
          <w:rFonts w:hint="eastAsia" w:ascii="宋体" w:hAnsi="宋体" w:eastAsia="宋体" w:cs="宋体"/>
          <w:color w:val="auto"/>
          <w:kern w:val="0"/>
          <w:sz w:val="21"/>
          <w:szCs w:val="21"/>
        </w:rPr>
        <w:t>相关意见并立即报送发包人，发包人应在收到监理人报送的通知后的合理时间内作出决定。合理时间是指发包人在收到监理人的报送通知后，尽其努力且不懈怠地完成图纸修改补充所需的时间。</w:t>
      </w:r>
    </w:p>
    <w:p w14:paraId="447FEE6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1.6.3 图纸的修改和补充</w:t>
      </w:r>
    </w:p>
    <w:p w14:paraId="2F4183E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图纸需要修改和补充的，应经图纸原设计人及审批部门同意，并由监理人在工程或工程相应部位施工前将修改后的图纸或补充图纸提交给承包人，承包人应按修改或补充后的图纸施工。</w:t>
      </w:r>
    </w:p>
    <w:p w14:paraId="14A1C23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1.6.4 承包人文件</w:t>
      </w:r>
    </w:p>
    <w:p w14:paraId="4C9501E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承包人应按照专用合同条款的约定提供应当由其编制的与工程施工有关的文件，并按照专用合同条款约定的期限、数量和形式提交监理人，并由监理人报送发包人。</w:t>
      </w:r>
    </w:p>
    <w:p w14:paraId="569EB90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8ED286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1.6.5 图纸和承包人文件的保管</w:t>
      </w:r>
    </w:p>
    <w:p w14:paraId="7C236BA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除专用合同条款另有约定外，承包人应在施工现场另外保存一套完整的图纸和承包人文件，供发包人、监理人及有关人员进行工程检查时使用。</w:t>
      </w:r>
    </w:p>
    <w:p w14:paraId="5ADA2290">
      <w:pPr>
        <w:pStyle w:val="9"/>
        <w:spacing w:before="120" w:after="120" w:line="360" w:lineRule="auto"/>
        <w:ind w:firstLine="420" w:firstLineChars="200"/>
        <w:rPr>
          <w:rFonts w:hint="eastAsia" w:ascii="宋体" w:hAnsi="宋体" w:eastAsia="宋体" w:cs="宋体"/>
          <w:b w:val="0"/>
          <w:color w:val="auto"/>
          <w:sz w:val="21"/>
          <w:szCs w:val="21"/>
        </w:rPr>
      </w:pPr>
      <w:bookmarkStart w:id="264" w:name="_Toc351203502"/>
      <w:r>
        <w:rPr>
          <w:rFonts w:hint="eastAsia" w:ascii="宋体" w:hAnsi="宋体" w:eastAsia="宋体" w:cs="宋体"/>
          <w:b w:val="0"/>
          <w:color w:val="auto"/>
          <w:sz w:val="21"/>
          <w:szCs w:val="21"/>
        </w:rPr>
        <w:t>1</w:t>
      </w:r>
      <w:bookmarkStart w:id="265" w:name="_Toc296503033"/>
      <w:bookmarkStart w:id="266" w:name="_Toc296346534"/>
      <w:bookmarkStart w:id="267" w:name="_Toc337558733"/>
      <w:r>
        <w:rPr>
          <w:rFonts w:hint="eastAsia" w:ascii="宋体" w:hAnsi="宋体" w:eastAsia="宋体" w:cs="宋体"/>
          <w:b w:val="0"/>
          <w:color w:val="auto"/>
          <w:sz w:val="21"/>
          <w:szCs w:val="21"/>
        </w:rPr>
        <w:t>.7联络</w:t>
      </w:r>
      <w:bookmarkEnd w:id="264"/>
    </w:p>
    <w:bookmarkEnd w:id="265"/>
    <w:bookmarkEnd w:id="266"/>
    <w:bookmarkEnd w:id="267"/>
    <w:p w14:paraId="3AE93DA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1.7.1 与合同有关的通知、批准、证明、证书、指示、指令、要求、请求、同意、意见、确定和决定等，均应采用书面形式，并应在合同约定的期限内送达接收人和送达地点。</w:t>
      </w:r>
    </w:p>
    <w:p w14:paraId="7BE09F0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1.7.2 发包人和承包人应在专用合同条款中约定各自的送达接收人和送达地点。任何一方合同当事人指定的接收人或送达地点发生变动的，应提前3天以书面形式通知对方。</w:t>
      </w:r>
    </w:p>
    <w:p w14:paraId="4B68EC1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1.7.3 发包人和承包人应当及时签收另一方</w:t>
      </w:r>
      <w:r>
        <w:rPr>
          <w:rFonts w:hint="eastAsia" w:ascii="宋体" w:hAnsi="宋体" w:cs="宋体"/>
          <w:color w:val="auto"/>
          <w:kern w:val="0"/>
          <w:sz w:val="21"/>
          <w:szCs w:val="21"/>
          <w:lang w:eastAsia="zh-CN"/>
        </w:rPr>
        <w:t>送达</w:t>
      </w:r>
      <w:r>
        <w:rPr>
          <w:rFonts w:hint="eastAsia" w:ascii="宋体" w:hAnsi="宋体" w:eastAsia="宋体" w:cs="宋体"/>
          <w:color w:val="auto"/>
          <w:kern w:val="0"/>
          <w:sz w:val="21"/>
          <w:szCs w:val="21"/>
        </w:rPr>
        <w:t>地点和指定接收人的来往信函。拒不签收的，由此增加的费用和（或）延误的工期由拒绝接收一方承担。</w:t>
      </w:r>
    </w:p>
    <w:p w14:paraId="1B186CBB">
      <w:pPr>
        <w:pStyle w:val="9"/>
        <w:spacing w:before="120" w:after="120" w:line="360" w:lineRule="auto"/>
        <w:ind w:firstLine="420" w:firstLineChars="200"/>
        <w:rPr>
          <w:rFonts w:hint="eastAsia" w:ascii="宋体" w:hAnsi="宋体" w:eastAsia="宋体" w:cs="宋体"/>
          <w:b w:val="0"/>
          <w:color w:val="auto"/>
          <w:sz w:val="21"/>
          <w:szCs w:val="21"/>
        </w:rPr>
      </w:pPr>
      <w:bookmarkStart w:id="268" w:name="_Toc351203503"/>
      <w:r>
        <w:rPr>
          <w:rFonts w:hint="eastAsia" w:ascii="宋体" w:hAnsi="宋体" w:eastAsia="宋体" w:cs="宋体"/>
          <w:b w:val="0"/>
          <w:color w:val="auto"/>
          <w:sz w:val="21"/>
          <w:szCs w:val="21"/>
        </w:rPr>
        <w:t>1</w:t>
      </w:r>
      <w:bookmarkStart w:id="269" w:name="_Toc337558734"/>
      <w:bookmarkStart w:id="270" w:name="_Toc296503035"/>
      <w:bookmarkStart w:id="271" w:name="_Toc296346536"/>
      <w:r>
        <w:rPr>
          <w:rFonts w:hint="eastAsia" w:ascii="宋体" w:hAnsi="宋体" w:eastAsia="宋体" w:cs="宋体"/>
          <w:b w:val="0"/>
          <w:color w:val="auto"/>
          <w:sz w:val="21"/>
          <w:szCs w:val="21"/>
        </w:rPr>
        <w:t>.8严禁贿赂</w:t>
      </w:r>
      <w:bookmarkEnd w:id="268"/>
    </w:p>
    <w:bookmarkEnd w:id="269"/>
    <w:bookmarkEnd w:id="270"/>
    <w:bookmarkEnd w:id="271"/>
    <w:p w14:paraId="3D9C5C7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合同当事人不得以贿赂或变相贿赂的方式，谋取非法利益或损害对方权益。因一方合同当事人的贿赂造成对方损失的，应赔偿损失，并承担相应的法律责任。</w:t>
      </w:r>
    </w:p>
    <w:p w14:paraId="4B136BB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500D3F12">
      <w:pPr>
        <w:pStyle w:val="9"/>
        <w:spacing w:before="120" w:after="120" w:line="360" w:lineRule="auto"/>
        <w:ind w:firstLine="420" w:firstLineChars="200"/>
        <w:rPr>
          <w:rFonts w:hint="eastAsia" w:ascii="宋体" w:hAnsi="宋体" w:eastAsia="宋体" w:cs="宋体"/>
          <w:b w:val="0"/>
          <w:color w:val="auto"/>
          <w:sz w:val="21"/>
          <w:szCs w:val="21"/>
        </w:rPr>
      </w:pPr>
      <w:bookmarkStart w:id="272" w:name="_Toc351203504"/>
      <w:r>
        <w:rPr>
          <w:rFonts w:hint="eastAsia" w:ascii="宋体" w:hAnsi="宋体" w:eastAsia="宋体" w:cs="宋体"/>
          <w:b w:val="0"/>
          <w:color w:val="auto"/>
          <w:sz w:val="21"/>
          <w:szCs w:val="21"/>
        </w:rPr>
        <w:t>1</w:t>
      </w:r>
      <w:bookmarkStart w:id="273" w:name="_Toc296503036"/>
      <w:bookmarkStart w:id="274" w:name="_Toc337558735"/>
      <w:bookmarkStart w:id="275" w:name="_Toc296346537"/>
      <w:r>
        <w:rPr>
          <w:rFonts w:hint="eastAsia" w:ascii="宋体" w:hAnsi="宋体" w:eastAsia="宋体" w:cs="宋体"/>
          <w:b w:val="0"/>
          <w:color w:val="auto"/>
          <w:sz w:val="21"/>
          <w:szCs w:val="21"/>
        </w:rPr>
        <w:t>.9化石、文物</w:t>
      </w:r>
      <w:bookmarkEnd w:id="272"/>
    </w:p>
    <w:bookmarkEnd w:id="273"/>
    <w:bookmarkEnd w:id="274"/>
    <w:bookmarkEnd w:id="275"/>
    <w:p w14:paraId="1235617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1788D5F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发包人、监理人和承包人应按有关政府行政管理部门要求采取妥善的保护措施，由此增加的费用和（或）延误的工期由发包人承担。</w:t>
      </w:r>
    </w:p>
    <w:p w14:paraId="1C250DE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承包人发现文物后不及时报告或隐瞒不报，致使文物丢失或损坏的，应赔偿损失，并承担相应的法律责任。</w:t>
      </w:r>
    </w:p>
    <w:p w14:paraId="28655F59">
      <w:pPr>
        <w:pStyle w:val="9"/>
        <w:spacing w:before="120" w:after="120" w:line="360" w:lineRule="auto"/>
        <w:ind w:firstLine="420" w:firstLineChars="200"/>
        <w:rPr>
          <w:rFonts w:hint="eastAsia" w:ascii="宋体" w:hAnsi="宋体" w:eastAsia="宋体" w:cs="宋体"/>
          <w:b w:val="0"/>
          <w:color w:val="auto"/>
          <w:sz w:val="21"/>
          <w:szCs w:val="21"/>
        </w:rPr>
      </w:pPr>
      <w:bookmarkStart w:id="276" w:name="_Toc351203505"/>
      <w:r>
        <w:rPr>
          <w:rFonts w:hint="eastAsia" w:ascii="宋体" w:hAnsi="宋体" w:eastAsia="宋体" w:cs="宋体"/>
          <w:b w:val="0"/>
          <w:color w:val="auto"/>
          <w:sz w:val="21"/>
          <w:szCs w:val="21"/>
        </w:rPr>
        <w:t>1</w:t>
      </w:r>
      <w:bookmarkStart w:id="277" w:name="_Toc337558736"/>
      <w:r>
        <w:rPr>
          <w:rFonts w:hint="eastAsia" w:ascii="宋体" w:hAnsi="宋体" w:eastAsia="宋体" w:cs="宋体"/>
          <w:b w:val="0"/>
          <w:color w:val="auto"/>
          <w:sz w:val="21"/>
          <w:szCs w:val="21"/>
        </w:rPr>
        <w:t>.10交通运输</w:t>
      </w:r>
      <w:bookmarkEnd w:id="276"/>
    </w:p>
    <w:bookmarkEnd w:id="277"/>
    <w:p w14:paraId="0B3A806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1.10.1 出入现场的权利</w:t>
      </w:r>
    </w:p>
    <w:p w14:paraId="653C20F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28D8487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0A8E4CC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1.10.2 场外交通</w:t>
      </w:r>
    </w:p>
    <w:p w14:paraId="0738E9C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18290F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1.10.3场内交通</w:t>
      </w:r>
    </w:p>
    <w:p w14:paraId="74EE1BD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5F9E0FB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412F19D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场外交通和场内交通的边界由合同当事人在专用合同条款中约定。</w:t>
      </w:r>
    </w:p>
    <w:p w14:paraId="1157F20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1.10.4 超大件和超重件的运输</w:t>
      </w:r>
    </w:p>
    <w:p w14:paraId="4505E6C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FA4F82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1.10.5 道路和桥梁的损坏责任</w:t>
      </w:r>
    </w:p>
    <w:p w14:paraId="025E93F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因承包人运输造成施工场地内外公共道路和桥梁损坏的，由承包人承担修复损坏的全部费用和可能引起的赔偿。</w:t>
      </w:r>
    </w:p>
    <w:p w14:paraId="3DED6D9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1.10.6 水路和航空运输</w:t>
      </w:r>
    </w:p>
    <w:p w14:paraId="2992825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本款前述各项的内容适用于水路运输和航空运输，其中“道路”一词的</w:t>
      </w:r>
      <w:r>
        <w:rPr>
          <w:rFonts w:hint="eastAsia" w:ascii="宋体" w:hAnsi="宋体" w:cs="宋体"/>
          <w:color w:val="auto"/>
          <w:kern w:val="0"/>
          <w:sz w:val="21"/>
          <w:szCs w:val="21"/>
          <w:lang w:eastAsia="zh-CN"/>
        </w:rPr>
        <w:t>含义</w:t>
      </w:r>
      <w:r>
        <w:rPr>
          <w:rFonts w:hint="eastAsia" w:ascii="宋体" w:hAnsi="宋体" w:eastAsia="宋体" w:cs="宋体"/>
          <w:color w:val="auto"/>
          <w:kern w:val="0"/>
          <w:sz w:val="21"/>
          <w:szCs w:val="21"/>
        </w:rPr>
        <w:t>包括河道、航线、船闸、机场、码头、堤防以及水路或航空运输中其他相似结构物；“车辆”一词的</w:t>
      </w:r>
      <w:r>
        <w:rPr>
          <w:rFonts w:hint="eastAsia" w:ascii="宋体" w:hAnsi="宋体" w:cs="宋体"/>
          <w:color w:val="auto"/>
          <w:kern w:val="0"/>
          <w:sz w:val="21"/>
          <w:szCs w:val="21"/>
          <w:lang w:eastAsia="zh-CN"/>
        </w:rPr>
        <w:t>含义</w:t>
      </w:r>
      <w:r>
        <w:rPr>
          <w:rFonts w:hint="eastAsia" w:ascii="宋体" w:hAnsi="宋体" w:eastAsia="宋体" w:cs="宋体"/>
          <w:color w:val="auto"/>
          <w:kern w:val="0"/>
          <w:sz w:val="21"/>
          <w:szCs w:val="21"/>
        </w:rPr>
        <w:t>包括船舶和飞机等。</w:t>
      </w:r>
    </w:p>
    <w:p w14:paraId="69D8D55F">
      <w:pPr>
        <w:pStyle w:val="9"/>
        <w:spacing w:before="120" w:after="120" w:line="360" w:lineRule="auto"/>
        <w:ind w:firstLine="420" w:firstLineChars="200"/>
        <w:rPr>
          <w:rFonts w:hint="eastAsia" w:ascii="宋体" w:hAnsi="宋体" w:eastAsia="宋体" w:cs="宋体"/>
          <w:b w:val="0"/>
          <w:color w:val="auto"/>
          <w:sz w:val="21"/>
          <w:szCs w:val="21"/>
        </w:rPr>
      </w:pPr>
      <w:bookmarkStart w:id="278" w:name="_Toc351203506"/>
      <w:r>
        <w:rPr>
          <w:rFonts w:hint="eastAsia" w:ascii="宋体" w:hAnsi="宋体" w:eastAsia="宋体" w:cs="宋体"/>
          <w:b w:val="0"/>
          <w:color w:val="auto"/>
          <w:sz w:val="21"/>
          <w:szCs w:val="21"/>
        </w:rPr>
        <w:t>1</w:t>
      </w:r>
      <w:bookmarkStart w:id="279" w:name="_Toc337558737"/>
      <w:bookmarkStart w:id="280" w:name="_Toc296346538"/>
      <w:bookmarkStart w:id="281" w:name="_Toc296503037"/>
      <w:r>
        <w:rPr>
          <w:rFonts w:hint="eastAsia" w:ascii="宋体" w:hAnsi="宋体" w:eastAsia="宋体" w:cs="宋体"/>
          <w:b w:val="0"/>
          <w:color w:val="auto"/>
          <w:sz w:val="21"/>
          <w:szCs w:val="21"/>
        </w:rPr>
        <w:t>.11知识产权</w:t>
      </w:r>
      <w:bookmarkEnd w:id="278"/>
      <w:r>
        <w:rPr>
          <w:rFonts w:hint="eastAsia" w:ascii="宋体" w:hAnsi="宋体" w:eastAsia="宋体" w:cs="宋体"/>
          <w:b w:val="0"/>
          <w:color w:val="auto"/>
          <w:sz w:val="21"/>
          <w:szCs w:val="21"/>
        </w:rPr>
        <w:t xml:space="preserve"> </w:t>
      </w:r>
      <w:bookmarkEnd w:id="279"/>
    </w:p>
    <w:bookmarkEnd w:id="280"/>
    <w:bookmarkEnd w:id="281"/>
    <w:p w14:paraId="2992ED4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B06265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1.11.2 除专用合同条款另有约定外，承包人为实施工程所编制的文件，除署名权以外的著作权属于发包人，承包人</w:t>
      </w:r>
      <w:r>
        <w:rPr>
          <w:rFonts w:hint="eastAsia" w:ascii="宋体" w:hAnsi="宋体" w:cs="宋体"/>
          <w:color w:val="auto"/>
          <w:kern w:val="0"/>
          <w:sz w:val="21"/>
          <w:szCs w:val="21"/>
          <w:lang w:eastAsia="zh-CN"/>
        </w:rPr>
        <w:t>可以</w:t>
      </w:r>
      <w:r>
        <w:rPr>
          <w:rFonts w:hint="eastAsia" w:ascii="宋体" w:hAnsi="宋体" w:eastAsia="宋体" w:cs="宋体"/>
          <w:color w:val="auto"/>
          <w:kern w:val="0"/>
          <w:sz w:val="21"/>
          <w:szCs w:val="21"/>
        </w:rPr>
        <w:t>因实施工程的运行、调试、维修、改造等目的而复制、使用此类文件，但不能用于与合同无关的其他事项。未经发包人书面同意，承包人不得为了合同以外的目的而复制、使用上述文件或将之提供给任何第三方。</w:t>
      </w:r>
    </w:p>
    <w:p w14:paraId="3AFD1A2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E070A81">
      <w:pPr>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    </w:t>
      </w:r>
      <w:r>
        <w:rPr>
          <w:rFonts w:hint="eastAsia" w:ascii="宋体" w:hAnsi="宋体" w:eastAsia="宋体" w:cs="宋体"/>
          <w:color w:val="auto"/>
          <w:sz w:val="21"/>
          <w:szCs w:val="21"/>
        </w:rPr>
        <w:t>1.11.4 除专用合同条款另有约定外，承包人在合同签订前和签订时已确定采用的专利、专有技术、技术秘密的使用费已包含在签约合同价中。</w:t>
      </w:r>
    </w:p>
    <w:p w14:paraId="41232B6A">
      <w:pPr>
        <w:pStyle w:val="9"/>
        <w:spacing w:before="120" w:after="120" w:line="360" w:lineRule="auto"/>
        <w:ind w:firstLine="420" w:firstLineChars="200"/>
        <w:rPr>
          <w:rFonts w:hint="eastAsia" w:ascii="宋体" w:hAnsi="宋体" w:eastAsia="宋体" w:cs="宋体"/>
          <w:b w:val="0"/>
          <w:color w:val="auto"/>
          <w:sz w:val="21"/>
          <w:szCs w:val="21"/>
        </w:rPr>
      </w:pPr>
      <w:bookmarkStart w:id="282" w:name="_Toc351203507"/>
      <w:r>
        <w:rPr>
          <w:rFonts w:hint="eastAsia" w:ascii="宋体" w:hAnsi="宋体" w:eastAsia="宋体" w:cs="宋体"/>
          <w:b w:val="0"/>
          <w:color w:val="auto"/>
          <w:sz w:val="21"/>
          <w:szCs w:val="21"/>
        </w:rPr>
        <w:t>1</w:t>
      </w:r>
      <w:bookmarkStart w:id="283" w:name="_Toc337558738"/>
      <w:r>
        <w:rPr>
          <w:rFonts w:hint="eastAsia" w:ascii="宋体" w:hAnsi="宋体" w:eastAsia="宋体" w:cs="宋体"/>
          <w:b w:val="0"/>
          <w:color w:val="auto"/>
          <w:sz w:val="21"/>
          <w:szCs w:val="21"/>
        </w:rPr>
        <w:t>.12保密</w:t>
      </w:r>
      <w:bookmarkEnd w:id="282"/>
    </w:p>
    <w:bookmarkEnd w:id="283"/>
    <w:p w14:paraId="3CAD2CF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除法律规定或合同另有约定外，未经发包人同意，承包人不得将发包人提供的图纸、文件以及声明需要保密的资料信息等商业秘密泄露给第三方。</w:t>
      </w:r>
    </w:p>
    <w:p w14:paraId="6ECF5A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除法律规定或合同另有约定外，未经承包人同意，发包人不得将承包人提供的技术秘密及声明需要保密的资料信息等商业秘密泄露给第三方。</w:t>
      </w:r>
    </w:p>
    <w:p w14:paraId="053CCE3B">
      <w:pPr>
        <w:pStyle w:val="9"/>
        <w:spacing w:before="120" w:after="120" w:line="360" w:lineRule="auto"/>
        <w:ind w:firstLine="420" w:firstLineChars="200"/>
        <w:rPr>
          <w:rFonts w:hint="eastAsia" w:ascii="宋体" w:hAnsi="宋体" w:eastAsia="宋体" w:cs="宋体"/>
          <w:b w:val="0"/>
          <w:color w:val="auto"/>
          <w:sz w:val="21"/>
          <w:szCs w:val="21"/>
        </w:rPr>
      </w:pPr>
      <w:bookmarkStart w:id="284" w:name="_Toc351203508"/>
      <w:r>
        <w:rPr>
          <w:rFonts w:hint="eastAsia" w:ascii="宋体" w:hAnsi="宋体" w:eastAsia="宋体" w:cs="宋体"/>
          <w:b w:val="0"/>
          <w:color w:val="auto"/>
          <w:sz w:val="21"/>
          <w:szCs w:val="21"/>
        </w:rPr>
        <w:t>1.13工程量清单错误的修正</w:t>
      </w:r>
      <w:bookmarkEnd w:id="284"/>
    </w:p>
    <w:p w14:paraId="411BA96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除专用合同条款另有约定外，发包人提供的工程量清单，应被认为是准确的和完整的。出现下列情形之一时，发包人应予以修正，并相应调整合同价格：</w:t>
      </w:r>
    </w:p>
    <w:p w14:paraId="24B73AB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（1）工程量清单存在缺项、漏项的；</w:t>
      </w:r>
    </w:p>
    <w:p w14:paraId="4127F2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（2）工程量清单偏差超出专用合同条款约定的工程量偏差范围的；</w:t>
      </w:r>
    </w:p>
    <w:p w14:paraId="6181685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（3）未按照国家现行计量规范强制性规定计量的。</w:t>
      </w:r>
    </w:p>
    <w:p w14:paraId="12476485">
      <w:pPr>
        <w:pStyle w:val="8"/>
        <w:spacing w:before="120" w:after="120" w:line="360" w:lineRule="auto"/>
        <w:rPr>
          <w:rFonts w:hint="eastAsia" w:ascii="宋体" w:hAnsi="宋体" w:eastAsia="宋体" w:cs="宋体"/>
          <w:b w:val="0"/>
          <w:color w:val="auto"/>
          <w:sz w:val="21"/>
          <w:szCs w:val="21"/>
        </w:rPr>
      </w:pPr>
      <w:bookmarkStart w:id="285" w:name="_Toc351203509"/>
      <w:r>
        <w:rPr>
          <w:rFonts w:hint="eastAsia" w:ascii="宋体" w:hAnsi="宋体" w:eastAsia="宋体" w:cs="宋体"/>
          <w:b w:val="0"/>
          <w:color w:val="auto"/>
          <w:sz w:val="21"/>
          <w:szCs w:val="21"/>
        </w:rPr>
        <w:t>2</w:t>
      </w:r>
      <w:bookmarkStart w:id="286" w:name="_Toc296503038"/>
      <w:bookmarkStart w:id="287" w:name="_Toc296346539"/>
      <w:bookmarkStart w:id="288" w:name="_Toc337558739"/>
      <w:bookmarkStart w:id="289" w:name="OLE_LINK2"/>
      <w:r>
        <w:rPr>
          <w:rFonts w:hint="eastAsia" w:ascii="宋体" w:hAnsi="宋体" w:eastAsia="宋体" w:cs="宋体"/>
          <w:b w:val="0"/>
          <w:color w:val="auto"/>
          <w:sz w:val="21"/>
          <w:szCs w:val="21"/>
        </w:rPr>
        <w:t>. 发包人</w:t>
      </w:r>
      <w:bookmarkEnd w:id="285"/>
    </w:p>
    <w:bookmarkEnd w:id="286"/>
    <w:bookmarkEnd w:id="287"/>
    <w:bookmarkEnd w:id="288"/>
    <w:p w14:paraId="02352012">
      <w:pPr>
        <w:pStyle w:val="9"/>
        <w:spacing w:before="120" w:after="120" w:line="360" w:lineRule="auto"/>
        <w:ind w:firstLine="420" w:firstLineChars="200"/>
        <w:rPr>
          <w:rFonts w:hint="eastAsia" w:ascii="宋体" w:hAnsi="宋体" w:eastAsia="宋体" w:cs="宋体"/>
          <w:b w:val="0"/>
          <w:color w:val="auto"/>
          <w:sz w:val="21"/>
          <w:szCs w:val="21"/>
        </w:rPr>
      </w:pPr>
      <w:bookmarkStart w:id="290" w:name="_Toc351203510"/>
      <w:r>
        <w:rPr>
          <w:rFonts w:hint="eastAsia" w:ascii="宋体" w:hAnsi="宋体" w:eastAsia="宋体" w:cs="宋体"/>
          <w:b w:val="0"/>
          <w:color w:val="auto"/>
          <w:sz w:val="21"/>
          <w:szCs w:val="21"/>
        </w:rPr>
        <w:t>2</w:t>
      </w:r>
      <w:bookmarkStart w:id="291" w:name="_Toc296503039"/>
      <w:bookmarkStart w:id="292" w:name="_Toc296346540"/>
      <w:bookmarkStart w:id="293" w:name="_Toc337558740"/>
      <w:r>
        <w:rPr>
          <w:rFonts w:hint="eastAsia" w:ascii="宋体" w:hAnsi="宋体" w:eastAsia="宋体" w:cs="宋体"/>
          <w:b w:val="0"/>
          <w:color w:val="auto"/>
          <w:sz w:val="21"/>
          <w:szCs w:val="21"/>
        </w:rPr>
        <w:t>.1 许可或批准</w:t>
      </w:r>
      <w:bookmarkEnd w:id="290"/>
    </w:p>
    <w:p w14:paraId="5E8217C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09A06A4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因发包人原因未能及时办理完毕前述许可、批准或备案，由发包人承担由此增加的费用和（或）延误的工期，并支付承包人合理的利润。</w:t>
      </w:r>
    </w:p>
    <w:p w14:paraId="403EB01E">
      <w:pPr>
        <w:pStyle w:val="9"/>
        <w:spacing w:before="120" w:after="120" w:line="360" w:lineRule="auto"/>
        <w:ind w:firstLine="420" w:firstLineChars="200"/>
        <w:rPr>
          <w:rFonts w:hint="eastAsia" w:ascii="宋体" w:hAnsi="宋体" w:eastAsia="宋体" w:cs="宋体"/>
          <w:b w:val="0"/>
          <w:color w:val="auto"/>
          <w:sz w:val="21"/>
          <w:szCs w:val="21"/>
        </w:rPr>
      </w:pPr>
      <w:bookmarkStart w:id="294" w:name="_Toc351203511"/>
      <w:r>
        <w:rPr>
          <w:rFonts w:hint="eastAsia" w:ascii="宋体" w:hAnsi="宋体" w:eastAsia="宋体" w:cs="宋体"/>
          <w:b w:val="0"/>
          <w:color w:val="auto"/>
          <w:sz w:val="21"/>
          <w:szCs w:val="21"/>
        </w:rPr>
        <w:t>2.2 发包人代表</w:t>
      </w:r>
      <w:bookmarkEnd w:id="294"/>
    </w:p>
    <w:p w14:paraId="3C0C4CC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3096405D">
      <w:pPr>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发包人代表不能按照合同约定履行其职责及义务，并导致合同无法继续正常履行的，承包人可以要求发包人撤换发包人代表。</w:t>
      </w:r>
    </w:p>
    <w:p w14:paraId="0465B1B6">
      <w:pPr>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不属于法定必须监理的工程，监理人的职权可以由发包人代表或发包人指定的其他人员行使。</w:t>
      </w:r>
    </w:p>
    <w:p w14:paraId="1A0E42A7">
      <w:pPr>
        <w:pStyle w:val="9"/>
        <w:spacing w:before="120" w:after="120" w:line="360" w:lineRule="auto"/>
        <w:ind w:firstLine="420" w:firstLineChars="200"/>
        <w:rPr>
          <w:rFonts w:hint="eastAsia" w:ascii="宋体" w:hAnsi="宋体" w:eastAsia="宋体" w:cs="宋体"/>
          <w:b w:val="0"/>
          <w:color w:val="auto"/>
          <w:sz w:val="21"/>
          <w:szCs w:val="21"/>
        </w:rPr>
      </w:pPr>
      <w:bookmarkStart w:id="295" w:name="_Toc351203512"/>
      <w:r>
        <w:rPr>
          <w:rFonts w:hint="eastAsia" w:ascii="宋体" w:hAnsi="宋体" w:eastAsia="宋体" w:cs="宋体"/>
          <w:b w:val="0"/>
          <w:color w:val="auto"/>
          <w:sz w:val="21"/>
          <w:szCs w:val="21"/>
        </w:rPr>
        <w:t>2.3 发包人人员</w:t>
      </w:r>
      <w:bookmarkEnd w:id="295"/>
    </w:p>
    <w:p w14:paraId="5408589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发包人应要求在施工现场的发包人人员遵守法律及有关安全、质量、环境保护、文明施工等规定，并保障承包人免于承受因发包人人员未遵守上述要求给承包人造成的损失和责任。</w:t>
      </w:r>
    </w:p>
    <w:p w14:paraId="36D85945">
      <w:pPr>
        <w:spacing w:line="360" w:lineRule="auto"/>
        <w:ind w:firstLine="64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发包人人员包括发包人代表及其他由发包人派驻施工现场的人员。</w:t>
      </w:r>
      <w:bookmarkEnd w:id="291"/>
      <w:bookmarkEnd w:id="292"/>
      <w:bookmarkEnd w:id="293"/>
    </w:p>
    <w:p w14:paraId="4CA907CC">
      <w:pPr>
        <w:pStyle w:val="9"/>
        <w:spacing w:before="120" w:after="120" w:line="360" w:lineRule="auto"/>
        <w:ind w:firstLine="420" w:firstLineChars="200"/>
        <w:rPr>
          <w:rFonts w:hint="eastAsia" w:ascii="宋体" w:hAnsi="宋体" w:eastAsia="宋体" w:cs="宋体"/>
          <w:b w:val="0"/>
          <w:color w:val="auto"/>
          <w:sz w:val="21"/>
          <w:szCs w:val="21"/>
        </w:rPr>
      </w:pPr>
      <w:bookmarkStart w:id="296" w:name="_Toc351203513"/>
      <w:r>
        <w:rPr>
          <w:rFonts w:hint="eastAsia" w:ascii="宋体" w:hAnsi="宋体" w:eastAsia="宋体" w:cs="宋体"/>
          <w:b w:val="0"/>
          <w:color w:val="auto"/>
          <w:sz w:val="21"/>
          <w:szCs w:val="21"/>
        </w:rPr>
        <w:t>2</w:t>
      </w:r>
      <w:bookmarkStart w:id="297" w:name="_Toc296503040"/>
      <w:bookmarkStart w:id="298" w:name="_Toc296346541"/>
      <w:bookmarkStart w:id="299" w:name="_Toc337558741"/>
      <w:r>
        <w:rPr>
          <w:rFonts w:hint="eastAsia" w:ascii="宋体" w:hAnsi="宋体" w:eastAsia="宋体" w:cs="宋体"/>
          <w:b w:val="0"/>
          <w:color w:val="auto"/>
          <w:sz w:val="21"/>
          <w:szCs w:val="21"/>
        </w:rPr>
        <w:t>.4 施工现场、施工条件和基础资料的提供</w:t>
      </w:r>
      <w:bookmarkEnd w:id="296"/>
      <w:r>
        <w:rPr>
          <w:rFonts w:hint="eastAsia" w:ascii="宋体" w:hAnsi="宋体" w:eastAsia="宋体" w:cs="宋体"/>
          <w:b w:val="0"/>
          <w:color w:val="auto"/>
          <w:sz w:val="21"/>
          <w:szCs w:val="21"/>
        </w:rPr>
        <w:t xml:space="preserve"> </w:t>
      </w:r>
      <w:bookmarkEnd w:id="297"/>
      <w:bookmarkEnd w:id="298"/>
      <w:bookmarkEnd w:id="299"/>
      <w:r>
        <w:rPr>
          <w:rFonts w:hint="eastAsia" w:ascii="宋体" w:hAnsi="宋体" w:eastAsia="宋体" w:cs="宋体"/>
          <w:b w:val="0"/>
          <w:color w:val="auto"/>
          <w:sz w:val="21"/>
          <w:szCs w:val="21"/>
        </w:rPr>
        <w:t xml:space="preserve"> </w:t>
      </w:r>
    </w:p>
    <w:p w14:paraId="346B239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2.4.1 提供施工现场</w:t>
      </w:r>
    </w:p>
    <w:p w14:paraId="48E0213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w:t>
      </w:r>
      <w:bookmarkEnd w:id="289"/>
      <w:r>
        <w:rPr>
          <w:rFonts w:hint="eastAsia" w:ascii="宋体" w:hAnsi="宋体" w:eastAsia="宋体" w:cs="宋体"/>
          <w:color w:val="auto"/>
          <w:kern w:val="0"/>
          <w:sz w:val="21"/>
          <w:szCs w:val="21"/>
        </w:rPr>
        <w:t>专用合同条款另有约定外，发包人应最迟于开工日期7天前向承包人移交施工现场。</w:t>
      </w:r>
    </w:p>
    <w:p w14:paraId="597E631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2.4.2 提供施工条件</w:t>
      </w:r>
    </w:p>
    <w:p w14:paraId="528D5B2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除专用合同条款另有约定外，发包人应负责提供施工所需要的条件，包括：</w:t>
      </w:r>
    </w:p>
    <w:p w14:paraId="5AE82A0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（1）将施工用水、电力、通讯线路等施工所必需的条件接至施工现场内；</w:t>
      </w:r>
    </w:p>
    <w:p w14:paraId="3826F0D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（2）保证向承包人提供正常施工所需要的进入施工现场的交通条件；</w:t>
      </w:r>
    </w:p>
    <w:p w14:paraId="3CC87EF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（3）协调处理施工现场周围地下管线和邻近建筑物、构筑物、古树名木的保护工作，并承担相关费用；</w:t>
      </w:r>
    </w:p>
    <w:p w14:paraId="6344610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（4）按照专用合同条款约定应提供的其他设施和条件。</w:t>
      </w:r>
    </w:p>
    <w:p w14:paraId="09CD2782">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2.4.3 提供基础资料</w:t>
      </w:r>
    </w:p>
    <w:p w14:paraId="28BF5EC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975480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按照法律规定确需在开工后方能提供的基础资料，发包人应尽其努力及时地在相应工程施工前的合理期限内提供，合理期限应以不影响承包人的正常施工为限。</w:t>
      </w:r>
    </w:p>
    <w:p w14:paraId="3208538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2.4.4 逾期提供的责任</w:t>
      </w:r>
    </w:p>
    <w:p w14:paraId="52528F5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因发包人原因未能按合同约定及时向承包人提供施工现场、施工条件、基础资料的，由发包人承担由此增加的费用和（或）延误的工期。</w:t>
      </w:r>
    </w:p>
    <w:p w14:paraId="4838CE07">
      <w:pPr>
        <w:pStyle w:val="9"/>
        <w:spacing w:before="120" w:after="120" w:line="360" w:lineRule="auto"/>
        <w:ind w:firstLine="420" w:firstLineChars="200"/>
        <w:rPr>
          <w:rFonts w:hint="eastAsia" w:ascii="宋体" w:hAnsi="宋体" w:eastAsia="宋体" w:cs="宋体"/>
          <w:b w:val="0"/>
          <w:color w:val="auto"/>
          <w:sz w:val="21"/>
          <w:szCs w:val="21"/>
        </w:rPr>
      </w:pPr>
      <w:bookmarkStart w:id="300" w:name="_Toc351203514"/>
      <w:r>
        <w:rPr>
          <w:rFonts w:hint="eastAsia" w:ascii="宋体" w:hAnsi="宋体" w:eastAsia="宋体" w:cs="宋体"/>
          <w:b w:val="0"/>
          <w:color w:val="auto"/>
          <w:sz w:val="21"/>
          <w:szCs w:val="21"/>
        </w:rPr>
        <w:t>2</w:t>
      </w:r>
      <w:bookmarkStart w:id="301" w:name="_Toc296503042"/>
      <w:bookmarkStart w:id="302" w:name="_Toc337558745"/>
      <w:bookmarkStart w:id="303" w:name="_Toc296346543"/>
      <w:r>
        <w:rPr>
          <w:rFonts w:hint="eastAsia" w:ascii="宋体" w:hAnsi="宋体" w:eastAsia="宋体" w:cs="宋体"/>
          <w:b w:val="0"/>
          <w:color w:val="auto"/>
          <w:sz w:val="21"/>
          <w:szCs w:val="21"/>
        </w:rPr>
        <w:t>.5 资</w:t>
      </w:r>
      <w:bookmarkEnd w:id="301"/>
      <w:bookmarkEnd w:id="302"/>
      <w:bookmarkEnd w:id="303"/>
      <w:r>
        <w:rPr>
          <w:rFonts w:hint="eastAsia" w:ascii="宋体" w:hAnsi="宋体" w:eastAsia="宋体" w:cs="宋体"/>
          <w:b w:val="0"/>
          <w:color w:val="auto"/>
          <w:sz w:val="21"/>
          <w:szCs w:val="21"/>
        </w:rPr>
        <w:t>金来源证明及支付担保</w:t>
      </w:r>
      <w:bookmarkEnd w:id="300"/>
    </w:p>
    <w:p w14:paraId="3FD0FAF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除专用合同条款另有约定外，发包人应在收到承包人要求提供资金来源证明的书面通知后28天内，向承包人提供能够按照合同约定支付合同价款的相应资金来源证明。</w:t>
      </w:r>
    </w:p>
    <w:p w14:paraId="7E9B5FA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5BA1CF40">
      <w:pPr>
        <w:pStyle w:val="9"/>
        <w:spacing w:before="120" w:after="120" w:line="360" w:lineRule="auto"/>
        <w:ind w:firstLine="420" w:firstLineChars="200"/>
        <w:rPr>
          <w:rFonts w:hint="eastAsia" w:ascii="宋体" w:hAnsi="宋体" w:eastAsia="宋体" w:cs="宋体"/>
          <w:b w:val="0"/>
          <w:color w:val="auto"/>
          <w:sz w:val="21"/>
          <w:szCs w:val="21"/>
        </w:rPr>
      </w:pPr>
      <w:bookmarkStart w:id="304" w:name="_Toc351203515"/>
      <w:r>
        <w:rPr>
          <w:rFonts w:hint="eastAsia" w:ascii="宋体" w:hAnsi="宋体" w:eastAsia="宋体" w:cs="宋体"/>
          <w:b w:val="0"/>
          <w:color w:val="auto"/>
          <w:sz w:val="21"/>
          <w:szCs w:val="21"/>
        </w:rPr>
        <w:t>2.6 支付合同价款</w:t>
      </w:r>
      <w:bookmarkEnd w:id="304"/>
    </w:p>
    <w:p w14:paraId="7C6F076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发包人应按合同约定向承包人及时支付合同价款。</w:t>
      </w:r>
    </w:p>
    <w:p w14:paraId="010BF4AD">
      <w:pPr>
        <w:pStyle w:val="9"/>
        <w:spacing w:before="120" w:after="120" w:line="360" w:lineRule="auto"/>
        <w:ind w:firstLine="420" w:firstLineChars="200"/>
        <w:rPr>
          <w:rFonts w:hint="eastAsia" w:ascii="宋体" w:hAnsi="宋体" w:eastAsia="宋体" w:cs="宋体"/>
          <w:b w:val="0"/>
          <w:color w:val="auto"/>
          <w:sz w:val="21"/>
          <w:szCs w:val="21"/>
        </w:rPr>
      </w:pPr>
      <w:bookmarkStart w:id="305" w:name="_Toc351203516"/>
      <w:r>
        <w:rPr>
          <w:rFonts w:hint="eastAsia" w:ascii="宋体" w:hAnsi="宋体" w:eastAsia="宋体" w:cs="宋体"/>
          <w:b w:val="0"/>
          <w:color w:val="auto"/>
          <w:sz w:val="21"/>
          <w:szCs w:val="21"/>
        </w:rPr>
        <w:t>2.7 组织竣工验收</w:t>
      </w:r>
      <w:bookmarkEnd w:id="305"/>
    </w:p>
    <w:p w14:paraId="7C46B4B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发包人应按合同约定及时组织竣工验收。</w:t>
      </w:r>
    </w:p>
    <w:p w14:paraId="5D0DC7DF">
      <w:pPr>
        <w:pStyle w:val="9"/>
        <w:spacing w:before="120" w:after="120" w:line="360" w:lineRule="auto"/>
        <w:ind w:firstLine="420" w:firstLineChars="200"/>
        <w:rPr>
          <w:rFonts w:hint="eastAsia" w:ascii="宋体" w:hAnsi="宋体" w:eastAsia="宋体" w:cs="宋体"/>
          <w:b w:val="0"/>
          <w:color w:val="auto"/>
          <w:sz w:val="21"/>
          <w:szCs w:val="21"/>
        </w:rPr>
      </w:pPr>
      <w:bookmarkStart w:id="306" w:name="_Toc351203517"/>
      <w:r>
        <w:rPr>
          <w:rFonts w:hint="eastAsia" w:ascii="宋体" w:hAnsi="宋体" w:eastAsia="宋体" w:cs="宋体"/>
          <w:b w:val="0"/>
          <w:color w:val="auto"/>
          <w:sz w:val="21"/>
          <w:szCs w:val="21"/>
        </w:rPr>
        <w:t>2.8 现场统一管理协议</w:t>
      </w:r>
      <w:bookmarkEnd w:id="306"/>
    </w:p>
    <w:p w14:paraId="7C88A1F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发包人应与承包人、由发包人直接发包的专业工程的承包人签订施工现场统一管理协议，明确各方的权利义务。施工现场统一管理协议作为专用合同条款的附件。</w:t>
      </w:r>
    </w:p>
    <w:p w14:paraId="1EEEA5DA">
      <w:pPr>
        <w:pStyle w:val="8"/>
        <w:spacing w:before="120" w:after="120" w:line="360" w:lineRule="auto"/>
        <w:rPr>
          <w:rFonts w:hint="eastAsia" w:ascii="宋体" w:hAnsi="宋体" w:eastAsia="宋体" w:cs="宋体"/>
          <w:b w:val="0"/>
          <w:color w:val="auto"/>
          <w:sz w:val="21"/>
          <w:szCs w:val="21"/>
        </w:rPr>
      </w:pPr>
      <w:bookmarkStart w:id="307" w:name="_Toc351203518"/>
      <w:r>
        <w:rPr>
          <w:rFonts w:hint="eastAsia" w:ascii="宋体" w:hAnsi="宋体" w:eastAsia="宋体" w:cs="宋体"/>
          <w:b w:val="0"/>
          <w:color w:val="auto"/>
          <w:sz w:val="21"/>
          <w:szCs w:val="21"/>
        </w:rPr>
        <w:t>3</w:t>
      </w:r>
      <w:bookmarkStart w:id="308" w:name="_Toc296346546"/>
      <w:bookmarkStart w:id="309" w:name="_Toc337558746"/>
      <w:bookmarkStart w:id="310" w:name="_Toc296503045"/>
      <w:r>
        <w:rPr>
          <w:rFonts w:hint="eastAsia" w:ascii="宋体" w:hAnsi="宋体" w:eastAsia="宋体" w:cs="宋体"/>
          <w:b w:val="0"/>
          <w:color w:val="auto"/>
          <w:sz w:val="21"/>
          <w:szCs w:val="21"/>
        </w:rPr>
        <w:t>. 承包人</w:t>
      </w:r>
      <w:bookmarkEnd w:id="307"/>
    </w:p>
    <w:bookmarkEnd w:id="308"/>
    <w:bookmarkEnd w:id="309"/>
    <w:bookmarkEnd w:id="310"/>
    <w:p w14:paraId="1AFE1CF4">
      <w:pPr>
        <w:pStyle w:val="9"/>
        <w:spacing w:before="120" w:after="120" w:line="360" w:lineRule="auto"/>
        <w:ind w:firstLine="420" w:firstLineChars="200"/>
        <w:rPr>
          <w:rFonts w:hint="eastAsia" w:ascii="宋体" w:hAnsi="宋体" w:eastAsia="宋体" w:cs="宋体"/>
          <w:b w:val="0"/>
          <w:color w:val="auto"/>
          <w:sz w:val="21"/>
          <w:szCs w:val="21"/>
        </w:rPr>
      </w:pPr>
      <w:bookmarkStart w:id="311" w:name="_Toc351203519"/>
      <w:r>
        <w:rPr>
          <w:rFonts w:hint="eastAsia" w:ascii="宋体" w:hAnsi="宋体" w:eastAsia="宋体" w:cs="宋体"/>
          <w:b w:val="0"/>
          <w:color w:val="auto"/>
          <w:sz w:val="21"/>
          <w:szCs w:val="21"/>
        </w:rPr>
        <w:t>3</w:t>
      </w:r>
      <w:bookmarkStart w:id="312" w:name="_Toc296346547"/>
      <w:bookmarkStart w:id="313" w:name="_Toc337558747"/>
      <w:bookmarkStart w:id="314" w:name="_Toc296503046"/>
      <w:r>
        <w:rPr>
          <w:rFonts w:hint="eastAsia" w:ascii="宋体" w:hAnsi="宋体" w:eastAsia="宋体" w:cs="宋体"/>
          <w:b w:val="0"/>
          <w:color w:val="auto"/>
          <w:sz w:val="21"/>
          <w:szCs w:val="21"/>
        </w:rPr>
        <w:t>.1 承包人的一般义务</w:t>
      </w:r>
      <w:bookmarkEnd w:id="311"/>
    </w:p>
    <w:bookmarkEnd w:id="312"/>
    <w:bookmarkEnd w:id="313"/>
    <w:bookmarkEnd w:id="314"/>
    <w:p w14:paraId="01AE282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承包人在履行合同过程中应遵守法律和工程建设标准规范，并履行以下义务：</w:t>
      </w:r>
    </w:p>
    <w:p w14:paraId="4B201C37">
      <w:pPr>
        <w:numPr>
          <w:ilvl w:val="0"/>
          <w:numId w:val="6"/>
        </w:num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办理法律规定应由承包人办理的许可和批准，并将办理结果书面报送发包人留存；</w:t>
      </w:r>
    </w:p>
    <w:p w14:paraId="5FF3F5C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（2）按法律规定和合同约定完成工程，并在保修期内承担保修义务；</w:t>
      </w:r>
    </w:p>
    <w:p w14:paraId="3765D2D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（3）按法律规定和合同约定采取施工安全和环境保护措施，办理工伤保险，确保工程及人员、材料、设备和设施的安全；</w:t>
      </w:r>
    </w:p>
    <w:p w14:paraId="24DF944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（4）按合同约定的工作内容和施工进度要求，编制施工组织设计和施工措施计划，并对所有施工作业和施工方法的完备性和安全可靠性负责；</w:t>
      </w:r>
    </w:p>
    <w:p w14:paraId="792A8D9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95AA3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（6）按照第6.3款〔环境保护〕约定负责施工场地及其周边环境与生态的保护工作；</w:t>
      </w:r>
    </w:p>
    <w:p w14:paraId="59B1C3C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（7）按第6.1款〔安全文明施工〕约定采取施工安全措施，确保工程及其人员、材料、设备和设施的安全，防止因工程施工造成的人身伤害和财产损失；</w:t>
      </w:r>
    </w:p>
    <w:p w14:paraId="462A18A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（8）将发包人按合同约定支付的各项价款专用于合同工程，且应及时支付其雇用人员工资，并及时向分包人支付合同价款；</w:t>
      </w:r>
    </w:p>
    <w:p w14:paraId="7FBE986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（9）按照法律规定和合同约定编制竣工资料，完成竣工资料立卷及归档，并按专用合同条款约定的竣工资料的套数、内容、时间等要求移交发包人；</w:t>
      </w:r>
    </w:p>
    <w:p w14:paraId="7A251DF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（10）应履行的其他义务。</w:t>
      </w:r>
    </w:p>
    <w:p w14:paraId="118B95F9">
      <w:pPr>
        <w:pStyle w:val="9"/>
        <w:spacing w:before="120" w:after="120" w:line="360" w:lineRule="auto"/>
        <w:ind w:firstLine="420" w:firstLineChars="200"/>
        <w:rPr>
          <w:rFonts w:hint="eastAsia" w:ascii="宋体" w:hAnsi="宋体" w:eastAsia="宋体" w:cs="宋体"/>
          <w:b w:val="0"/>
          <w:color w:val="auto"/>
          <w:sz w:val="21"/>
          <w:szCs w:val="21"/>
        </w:rPr>
      </w:pPr>
      <w:bookmarkStart w:id="315" w:name="_Toc351203520"/>
      <w:r>
        <w:rPr>
          <w:rFonts w:hint="eastAsia" w:ascii="宋体" w:hAnsi="宋体" w:eastAsia="宋体" w:cs="宋体"/>
          <w:b w:val="0"/>
          <w:color w:val="auto"/>
          <w:sz w:val="21"/>
          <w:szCs w:val="21"/>
        </w:rPr>
        <w:t>3</w:t>
      </w:r>
      <w:bookmarkStart w:id="316" w:name="_Toc296503047"/>
      <w:bookmarkStart w:id="317" w:name="_Toc296346548"/>
      <w:bookmarkStart w:id="318" w:name="_Toc337558748"/>
      <w:r>
        <w:rPr>
          <w:rFonts w:hint="eastAsia" w:ascii="宋体" w:hAnsi="宋体" w:eastAsia="宋体" w:cs="宋体"/>
          <w:b w:val="0"/>
          <w:color w:val="auto"/>
          <w:sz w:val="21"/>
          <w:szCs w:val="21"/>
        </w:rPr>
        <w:t xml:space="preserve">.2 </w:t>
      </w:r>
      <w:bookmarkEnd w:id="315"/>
      <w:r>
        <w:rPr>
          <w:rFonts w:hint="eastAsia" w:ascii="宋体" w:hAnsi="宋体" w:eastAsia="宋体" w:cs="宋体"/>
          <w:b w:val="0"/>
          <w:color w:val="auto"/>
          <w:sz w:val="21"/>
          <w:szCs w:val="21"/>
        </w:rPr>
        <w:t>项目经理</w:t>
      </w:r>
    </w:p>
    <w:bookmarkEnd w:id="316"/>
    <w:bookmarkEnd w:id="317"/>
    <w:bookmarkEnd w:id="318"/>
    <w:p w14:paraId="4DD9B25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D404F2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0A5D473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承包人违反上述约定的，应按照专用合同条款的约定，承担违约责任。</w:t>
      </w:r>
    </w:p>
    <w:p w14:paraId="211045F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44522A7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0DE7582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1B4FCF8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3.2.5 项目经理因特殊情况授权其下属人员履行其某项工作职责的，该下属人员应具备履行相应职责的能力，并应提前7天将上述人员的姓名和授权范围书面通知监理人，并征得发包人书面同意。</w:t>
      </w:r>
    </w:p>
    <w:p w14:paraId="4D25F9D9">
      <w:pPr>
        <w:pStyle w:val="9"/>
        <w:spacing w:before="120" w:after="120" w:line="360" w:lineRule="auto"/>
        <w:ind w:firstLine="420" w:firstLineChars="200"/>
        <w:rPr>
          <w:rFonts w:hint="eastAsia" w:ascii="宋体" w:hAnsi="宋体" w:eastAsia="宋体" w:cs="宋体"/>
          <w:b w:val="0"/>
          <w:color w:val="auto"/>
          <w:sz w:val="21"/>
          <w:szCs w:val="21"/>
        </w:rPr>
      </w:pPr>
      <w:bookmarkStart w:id="319" w:name="_Toc351203521"/>
      <w:r>
        <w:rPr>
          <w:rFonts w:hint="eastAsia" w:ascii="宋体" w:hAnsi="宋体" w:eastAsia="宋体" w:cs="宋体"/>
          <w:b w:val="0"/>
          <w:color w:val="auto"/>
          <w:sz w:val="21"/>
          <w:szCs w:val="21"/>
        </w:rPr>
        <w:t>3</w:t>
      </w:r>
      <w:bookmarkStart w:id="320" w:name="_Toc296346549"/>
      <w:bookmarkStart w:id="321" w:name="_Toc296503048"/>
      <w:bookmarkStart w:id="322" w:name="_Toc337558749"/>
      <w:r>
        <w:rPr>
          <w:rFonts w:hint="eastAsia" w:ascii="宋体" w:hAnsi="宋体" w:eastAsia="宋体" w:cs="宋体"/>
          <w:b w:val="0"/>
          <w:color w:val="auto"/>
          <w:sz w:val="21"/>
          <w:szCs w:val="21"/>
        </w:rPr>
        <w:t xml:space="preserve">.3 </w:t>
      </w:r>
      <w:bookmarkEnd w:id="320"/>
      <w:bookmarkEnd w:id="321"/>
      <w:r>
        <w:rPr>
          <w:rFonts w:hint="eastAsia" w:ascii="宋体" w:hAnsi="宋体" w:eastAsia="宋体" w:cs="宋体"/>
          <w:b w:val="0"/>
          <w:color w:val="auto"/>
          <w:sz w:val="21"/>
          <w:szCs w:val="21"/>
        </w:rPr>
        <w:t>承包人人员</w:t>
      </w:r>
      <w:bookmarkEnd w:id="319"/>
    </w:p>
    <w:bookmarkEnd w:id="322"/>
    <w:p w14:paraId="2B148AE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47E4BE6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6810CD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特殊工种作业人员均应持有相应的资格证明，监理人可以随时检查。</w:t>
      </w:r>
    </w:p>
    <w:p w14:paraId="088A218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1ECB2D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2707B9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3.3.5 承包人擅自更换主要施工管理人员，或前述人员未经监理人或发包人同意擅自离开施工现场的，应按照专用合同条款约定承担违约责任。</w:t>
      </w:r>
    </w:p>
    <w:p w14:paraId="5D1580F3">
      <w:pPr>
        <w:pStyle w:val="9"/>
        <w:spacing w:before="120" w:after="120" w:line="360" w:lineRule="auto"/>
        <w:ind w:firstLine="420" w:firstLineChars="200"/>
        <w:rPr>
          <w:rFonts w:hint="eastAsia" w:ascii="宋体" w:hAnsi="宋体" w:eastAsia="宋体" w:cs="宋体"/>
          <w:b w:val="0"/>
          <w:color w:val="auto"/>
          <w:sz w:val="21"/>
          <w:szCs w:val="21"/>
        </w:rPr>
      </w:pPr>
      <w:bookmarkStart w:id="323" w:name="_Toc351203522"/>
      <w:r>
        <w:rPr>
          <w:rFonts w:hint="eastAsia" w:ascii="宋体" w:hAnsi="宋体" w:eastAsia="宋体" w:cs="宋体"/>
          <w:b w:val="0"/>
          <w:color w:val="auto"/>
          <w:sz w:val="21"/>
          <w:szCs w:val="21"/>
        </w:rPr>
        <w:t>3</w:t>
      </w:r>
      <w:bookmarkStart w:id="324" w:name="_Toc337558750"/>
      <w:bookmarkStart w:id="325" w:name="_Toc296503050"/>
      <w:bookmarkStart w:id="326" w:name="_Toc296346551"/>
      <w:r>
        <w:rPr>
          <w:rFonts w:hint="eastAsia" w:ascii="宋体" w:hAnsi="宋体" w:eastAsia="宋体" w:cs="宋体"/>
          <w:b w:val="0"/>
          <w:color w:val="auto"/>
          <w:sz w:val="21"/>
          <w:szCs w:val="21"/>
        </w:rPr>
        <w:t>.4 承包人现场查勘</w:t>
      </w:r>
      <w:bookmarkEnd w:id="323"/>
    </w:p>
    <w:bookmarkEnd w:id="324"/>
    <w:bookmarkEnd w:id="325"/>
    <w:bookmarkEnd w:id="326"/>
    <w:p w14:paraId="1C74E91F">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承包人应对基于发包人按照第2.4.3项〔提供基础资料〕提交的基础资料所做出的解释和推断负责，但因基础资料存在错误、遗漏导致承包人解释或推断失实的，由发包人承担责任。</w:t>
      </w:r>
    </w:p>
    <w:p w14:paraId="34711C0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52BBC1E">
      <w:pPr>
        <w:pStyle w:val="9"/>
        <w:spacing w:before="120" w:after="120" w:line="360" w:lineRule="auto"/>
        <w:ind w:firstLine="420" w:firstLineChars="200"/>
        <w:rPr>
          <w:rFonts w:hint="eastAsia" w:ascii="宋体" w:hAnsi="宋体" w:eastAsia="宋体" w:cs="宋体"/>
          <w:b w:val="0"/>
          <w:color w:val="auto"/>
          <w:sz w:val="21"/>
          <w:szCs w:val="21"/>
        </w:rPr>
      </w:pPr>
      <w:bookmarkStart w:id="327" w:name="_Toc351203523"/>
      <w:r>
        <w:rPr>
          <w:rFonts w:hint="eastAsia" w:ascii="宋体" w:hAnsi="宋体" w:eastAsia="宋体" w:cs="宋体"/>
          <w:b w:val="0"/>
          <w:color w:val="auto"/>
          <w:sz w:val="21"/>
          <w:szCs w:val="21"/>
        </w:rPr>
        <w:t>3</w:t>
      </w:r>
      <w:bookmarkStart w:id="328" w:name="_Toc296503051"/>
      <w:bookmarkStart w:id="329" w:name="_Toc296346552"/>
      <w:bookmarkStart w:id="330" w:name="_Toc337558751"/>
      <w:r>
        <w:rPr>
          <w:rFonts w:hint="eastAsia" w:ascii="宋体" w:hAnsi="宋体" w:eastAsia="宋体" w:cs="宋体"/>
          <w:b w:val="0"/>
          <w:color w:val="auto"/>
          <w:sz w:val="21"/>
          <w:szCs w:val="21"/>
        </w:rPr>
        <w:t>.5 分包</w:t>
      </w:r>
      <w:bookmarkEnd w:id="327"/>
    </w:p>
    <w:bookmarkEnd w:id="328"/>
    <w:bookmarkEnd w:id="329"/>
    <w:bookmarkEnd w:id="330"/>
    <w:p w14:paraId="557C1C0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3.5.1 分包的一般约定</w:t>
      </w:r>
    </w:p>
    <w:p w14:paraId="0582680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2B3541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承包人不得以劳务分包的名义转包或违法分包工程。</w:t>
      </w:r>
    </w:p>
    <w:p w14:paraId="7F06E0B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3.5.2 分包的确定</w:t>
      </w:r>
    </w:p>
    <w:p w14:paraId="3117DCA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7F7730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3.5.3 分包管理</w:t>
      </w:r>
    </w:p>
    <w:p w14:paraId="2939953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承包人应向监理人提交分包人的主要施工管理人员表，并对分包人的施工人员进行实名制管理，包括但不限于进出场管理、登记造册以及各种证照的办理。</w:t>
      </w:r>
    </w:p>
    <w:p w14:paraId="14A260B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3.5.4 分包合同价款</w:t>
      </w:r>
    </w:p>
    <w:p w14:paraId="2C76963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（1）除本项第（2）目约定的情况或专用合同条款另有约定外，分包合同价款由承包人与分包人结算，未经承包人同意，发包人不得向分包人支付分包工程价款；</w:t>
      </w:r>
    </w:p>
    <w:p w14:paraId="56D53F3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（2）生效法律文书要求发包人向分包人支付分包合同价款的，发包人有权从应付承包人工程款中扣除该部分款项。</w:t>
      </w:r>
    </w:p>
    <w:p w14:paraId="268A4D7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3.5.5 分包合同权益的转让</w:t>
      </w:r>
    </w:p>
    <w:p w14:paraId="7B3911F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分包人在分包合同项下的义务持续到缺陷责任期届满</w:t>
      </w:r>
      <w:r>
        <w:rPr>
          <w:rFonts w:hint="eastAsia" w:ascii="宋体" w:hAnsi="宋体" w:cs="宋体"/>
          <w:color w:val="auto"/>
          <w:kern w:val="0"/>
          <w:sz w:val="21"/>
          <w:szCs w:val="21"/>
          <w:lang w:eastAsia="zh-CN"/>
        </w:rPr>
        <w:t>以后</w:t>
      </w:r>
      <w:r>
        <w:rPr>
          <w:rFonts w:hint="eastAsia" w:ascii="宋体" w:hAnsi="宋体" w:eastAsia="宋体" w:cs="宋体"/>
          <w:color w:val="auto"/>
          <w:kern w:val="0"/>
          <w:sz w:val="21"/>
          <w:szCs w:val="21"/>
        </w:rPr>
        <w:t>，发包人有权在缺陷责任期届满前，要求承包人将其在分包合同项下的权益转让给发包人，承包人应当转让。除转让合同另有约定外，转让合同生效后，由分包人向发包人履行义务。</w:t>
      </w:r>
      <w:bookmarkStart w:id="331" w:name="_Toc351203524"/>
    </w:p>
    <w:p w14:paraId="5A9C7650">
      <w:pPr>
        <w:pStyle w:val="9"/>
        <w:spacing w:before="120" w:after="12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3.6 工程照管与成品、半成品保护</w:t>
      </w:r>
      <w:bookmarkEnd w:id="331"/>
    </w:p>
    <w:p w14:paraId="5C4BD02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（1）除专用合同条款另有约定外，自发包人向承包人移交施工现场之日起，承包人应负责照管工程及工程相关的材料、工程设备，直到颁发工程接收证书之日止。</w:t>
      </w:r>
    </w:p>
    <w:p w14:paraId="18175F4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（2）在承包人负责照管期间，因承包人原因造成工程、材料、工程设备损坏的，由承包人负责修复或更换，并承担由此增加的费用和（或）延误的工期。</w:t>
      </w:r>
    </w:p>
    <w:p w14:paraId="6EA81B8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79DE7AAE">
      <w:pPr>
        <w:pStyle w:val="9"/>
        <w:spacing w:before="120" w:after="120" w:line="360" w:lineRule="auto"/>
        <w:ind w:firstLine="420" w:firstLineChars="200"/>
        <w:rPr>
          <w:rFonts w:hint="eastAsia" w:ascii="宋体" w:hAnsi="宋体" w:eastAsia="宋体" w:cs="宋体"/>
          <w:b w:val="0"/>
          <w:color w:val="auto"/>
          <w:sz w:val="21"/>
          <w:szCs w:val="21"/>
        </w:rPr>
      </w:pPr>
      <w:bookmarkStart w:id="332" w:name="_Toc351203525"/>
      <w:r>
        <w:rPr>
          <w:rFonts w:hint="eastAsia" w:ascii="宋体" w:hAnsi="宋体" w:eastAsia="宋体" w:cs="宋体"/>
          <w:b w:val="0"/>
          <w:color w:val="auto"/>
          <w:sz w:val="21"/>
          <w:szCs w:val="21"/>
        </w:rPr>
        <w:t>3</w:t>
      </w:r>
      <w:bookmarkStart w:id="333" w:name="_Toc296346553"/>
      <w:bookmarkStart w:id="334" w:name="_Toc296503052"/>
      <w:bookmarkStart w:id="335" w:name="_Toc337558752"/>
      <w:r>
        <w:rPr>
          <w:rFonts w:hint="eastAsia" w:ascii="宋体" w:hAnsi="宋体" w:eastAsia="宋体" w:cs="宋体"/>
          <w:b w:val="0"/>
          <w:color w:val="auto"/>
          <w:sz w:val="21"/>
          <w:szCs w:val="21"/>
        </w:rPr>
        <w:t>.7 履约担保</w:t>
      </w:r>
      <w:bookmarkEnd w:id="332"/>
    </w:p>
    <w:bookmarkEnd w:id="333"/>
    <w:bookmarkEnd w:id="334"/>
    <w:bookmarkEnd w:id="335"/>
    <w:p w14:paraId="150DD75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789128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因承包人原因导致工期延长的，继续提供履约担保所增加的费用由承包人承担；非因承包人原因导致工期延长的，继续提供履约担保所增加的费用由发包人承担。</w:t>
      </w:r>
    </w:p>
    <w:p w14:paraId="7202267D">
      <w:pPr>
        <w:pStyle w:val="9"/>
        <w:spacing w:before="120" w:after="120" w:line="360" w:lineRule="auto"/>
        <w:ind w:firstLine="420" w:firstLineChars="200"/>
        <w:rPr>
          <w:rFonts w:hint="eastAsia" w:ascii="宋体" w:hAnsi="宋体" w:eastAsia="宋体" w:cs="宋体"/>
          <w:b w:val="0"/>
          <w:color w:val="auto"/>
          <w:sz w:val="21"/>
          <w:szCs w:val="21"/>
        </w:rPr>
      </w:pPr>
      <w:bookmarkStart w:id="336" w:name="_Toc351203526"/>
      <w:r>
        <w:rPr>
          <w:rFonts w:hint="eastAsia" w:ascii="宋体" w:hAnsi="宋体" w:eastAsia="宋体" w:cs="宋体"/>
          <w:b w:val="0"/>
          <w:color w:val="auto"/>
          <w:sz w:val="21"/>
          <w:szCs w:val="21"/>
        </w:rPr>
        <w:t>3.8 联合体</w:t>
      </w:r>
      <w:bookmarkEnd w:id="336"/>
    </w:p>
    <w:p w14:paraId="4811741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3.8.1 联合体各方应共同与发包人签订合同协议书。联合体各方应为履行合同向发包人承担连带责任。</w:t>
      </w:r>
    </w:p>
    <w:p w14:paraId="1B7E050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3.8.2 联合体协议经发包人确认后作为合同附件。在履行合同过程中，未经发包人同意，不得修改联合体协议。</w:t>
      </w:r>
    </w:p>
    <w:p w14:paraId="63D641B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3.8.3 联合体牵头人负责与发包人和监理人联系，并接受指示，负责组织联合体各成员全面履行合同。</w:t>
      </w:r>
    </w:p>
    <w:p w14:paraId="326273D3">
      <w:pPr>
        <w:pStyle w:val="8"/>
        <w:spacing w:before="120" w:after="120" w:line="360" w:lineRule="auto"/>
        <w:rPr>
          <w:rFonts w:hint="eastAsia" w:ascii="宋体" w:hAnsi="宋体" w:eastAsia="宋体" w:cs="宋体"/>
          <w:b w:val="0"/>
          <w:color w:val="auto"/>
          <w:sz w:val="21"/>
          <w:szCs w:val="21"/>
        </w:rPr>
      </w:pPr>
      <w:bookmarkStart w:id="337" w:name="_Toc351203527"/>
      <w:r>
        <w:rPr>
          <w:rFonts w:hint="eastAsia" w:ascii="宋体" w:hAnsi="宋体" w:eastAsia="宋体" w:cs="宋体"/>
          <w:b w:val="0"/>
          <w:color w:val="auto"/>
          <w:sz w:val="21"/>
          <w:szCs w:val="21"/>
        </w:rPr>
        <w:t>4</w:t>
      </w:r>
      <w:bookmarkStart w:id="338" w:name="_Toc296503053"/>
      <w:bookmarkStart w:id="339" w:name="_Toc296346554"/>
      <w:bookmarkStart w:id="340" w:name="_Toc337558753"/>
      <w:r>
        <w:rPr>
          <w:rFonts w:hint="eastAsia" w:ascii="宋体" w:hAnsi="宋体" w:eastAsia="宋体" w:cs="宋体"/>
          <w:b w:val="0"/>
          <w:color w:val="auto"/>
          <w:sz w:val="21"/>
          <w:szCs w:val="21"/>
        </w:rPr>
        <w:t>. 监</w:t>
      </w:r>
      <w:bookmarkEnd w:id="338"/>
      <w:bookmarkEnd w:id="339"/>
      <w:r>
        <w:rPr>
          <w:rFonts w:hint="eastAsia" w:ascii="宋体" w:hAnsi="宋体" w:eastAsia="宋体" w:cs="宋体"/>
          <w:b w:val="0"/>
          <w:color w:val="auto"/>
          <w:sz w:val="21"/>
          <w:szCs w:val="21"/>
        </w:rPr>
        <w:t>理人</w:t>
      </w:r>
      <w:bookmarkEnd w:id="337"/>
    </w:p>
    <w:bookmarkEnd w:id="340"/>
    <w:p w14:paraId="5CF8D407">
      <w:pPr>
        <w:pStyle w:val="9"/>
        <w:spacing w:before="120" w:after="120" w:line="360" w:lineRule="auto"/>
        <w:ind w:firstLine="420" w:firstLineChars="200"/>
        <w:rPr>
          <w:rFonts w:hint="eastAsia" w:ascii="宋体" w:hAnsi="宋体" w:eastAsia="宋体" w:cs="宋体"/>
          <w:b w:val="0"/>
          <w:color w:val="auto"/>
          <w:sz w:val="21"/>
          <w:szCs w:val="21"/>
        </w:rPr>
      </w:pPr>
      <w:bookmarkStart w:id="341" w:name="_Toc351203528"/>
      <w:r>
        <w:rPr>
          <w:rFonts w:hint="eastAsia" w:ascii="宋体" w:hAnsi="宋体" w:eastAsia="宋体" w:cs="宋体"/>
          <w:b w:val="0"/>
          <w:color w:val="auto"/>
          <w:sz w:val="21"/>
          <w:szCs w:val="21"/>
        </w:rPr>
        <w:t>4</w:t>
      </w:r>
      <w:bookmarkStart w:id="342" w:name="_Toc337558754"/>
      <w:bookmarkStart w:id="343" w:name="_Toc296346555"/>
      <w:bookmarkStart w:id="344" w:name="_Toc296503054"/>
      <w:r>
        <w:rPr>
          <w:rFonts w:hint="eastAsia" w:ascii="宋体" w:hAnsi="宋体" w:eastAsia="宋体" w:cs="宋体"/>
          <w:b w:val="0"/>
          <w:color w:val="auto"/>
          <w:sz w:val="21"/>
          <w:szCs w:val="21"/>
        </w:rPr>
        <w:t>.1监理人的一般规定</w:t>
      </w:r>
      <w:bookmarkEnd w:id="341"/>
    </w:p>
    <w:bookmarkEnd w:id="342"/>
    <w:bookmarkEnd w:id="343"/>
    <w:bookmarkEnd w:id="344"/>
    <w:p w14:paraId="6A754BC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0E2C239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除专用合同条款另有约定外，监理人在施工现场的办公场所、生活场所由承包人提供，所发生的费用由发包人承担。</w:t>
      </w:r>
    </w:p>
    <w:p w14:paraId="7F788A80">
      <w:pPr>
        <w:pStyle w:val="9"/>
        <w:spacing w:before="120" w:after="120" w:line="360" w:lineRule="auto"/>
        <w:ind w:firstLine="420" w:firstLineChars="200"/>
        <w:rPr>
          <w:rFonts w:hint="eastAsia" w:ascii="宋体" w:hAnsi="宋体" w:eastAsia="宋体" w:cs="宋体"/>
          <w:b w:val="0"/>
          <w:color w:val="auto"/>
          <w:sz w:val="21"/>
          <w:szCs w:val="21"/>
        </w:rPr>
      </w:pPr>
      <w:bookmarkStart w:id="345" w:name="_Toc351203529"/>
      <w:r>
        <w:rPr>
          <w:rFonts w:hint="eastAsia" w:ascii="宋体" w:hAnsi="宋体" w:eastAsia="宋体" w:cs="宋体"/>
          <w:b w:val="0"/>
          <w:color w:val="auto"/>
          <w:sz w:val="21"/>
          <w:szCs w:val="21"/>
        </w:rPr>
        <w:t>4</w:t>
      </w:r>
      <w:bookmarkStart w:id="346" w:name="_Toc337558755"/>
      <w:r>
        <w:rPr>
          <w:rFonts w:hint="eastAsia" w:ascii="宋体" w:hAnsi="宋体" w:eastAsia="宋体" w:cs="宋体"/>
          <w:b w:val="0"/>
          <w:color w:val="auto"/>
          <w:sz w:val="21"/>
          <w:szCs w:val="21"/>
        </w:rPr>
        <w:t>.2监理人员</w:t>
      </w:r>
      <w:bookmarkEnd w:id="345"/>
    </w:p>
    <w:bookmarkEnd w:id="346"/>
    <w:p w14:paraId="2CB047B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8E5A9F2">
      <w:pPr>
        <w:pStyle w:val="9"/>
        <w:spacing w:before="120" w:after="120" w:line="360" w:lineRule="auto"/>
        <w:ind w:firstLine="420" w:firstLineChars="200"/>
        <w:rPr>
          <w:rFonts w:hint="eastAsia" w:ascii="宋体" w:hAnsi="宋体" w:eastAsia="宋体" w:cs="宋体"/>
          <w:b w:val="0"/>
          <w:color w:val="auto"/>
          <w:sz w:val="21"/>
          <w:szCs w:val="21"/>
        </w:rPr>
      </w:pPr>
      <w:bookmarkStart w:id="347" w:name="_Toc351203530"/>
      <w:r>
        <w:rPr>
          <w:rFonts w:hint="eastAsia" w:ascii="宋体" w:hAnsi="宋体" w:eastAsia="宋体" w:cs="宋体"/>
          <w:b w:val="0"/>
          <w:color w:val="auto"/>
          <w:sz w:val="21"/>
          <w:szCs w:val="21"/>
        </w:rPr>
        <w:t>4</w:t>
      </w:r>
      <w:bookmarkStart w:id="348" w:name="_Toc296503055"/>
      <w:bookmarkStart w:id="349" w:name="_Toc296346556"/>
      <w:bookmarkStart w:id="350" w:name="_Toc337558756"/>
      <w:r>
        <w:rPr>
          <w:rFonts w:hint="eastAsia" w:ascii="宋体" w:hAnsi="宋体" w:eastAsia="宋体" w:cs="宋体"/>
          <w:b w:val="0"/>
          <w:color w:val="auto"/>
          <w:sz w:val="21"/>
          <w:szCs w:val="21"/>
        </w:rPr>
        <w:t>.3</w:t>
      </w:r>
      <w:bookmarkEnd w:id="348"/>
      <w:bookmarkEnd w:id="349"/>
      <w:r>
        <w:rPr>
          <w:rFonts w:hint="eastAsia" w:ascii="宋体" w:hAnsi="宋体" w:eastAsia="宋体" w:cs="宋体"/>
          <w:b w:val="0"/>
          <w:color w:val="auto"/>
          <w:sz w:val="21"/>
          <w:szCs w:val="21"/>
        </w:rPr>
        <w:t>监理人的指</w:t>
      </w:r>
      <w:bookmarkEnd w:id="350"/>
      <w:r>
        <w:rPr>
          <w:rFonts w:hint="eastAsia" w:ascii="宋体" w:hAnsi="宋体" w:eastAsia="宋体" w:cs="宋体"/>
          <w:b w:val="0"/>
          <w:color w:val="auto"/>
          <w:sz w:val="21"/>
          <w:szCs w:val="21"/>
        </w:rPr>
        <w:t>示</w:t>
      </w:r>
      <w:bookmarkEnd w:id="347"/>
    </w:p>
    <w:p w14:paraId="046B704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7A9815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监理人发出的指示应送达承包人项目经理或经项目经理授权接收的人员。因监理人未能按合同约定发出指示、指示延误或</w:t>
      </w:r>
      <w:r>
        <w:rPr>
          <w:rFonts w:hint="eastAsia" w:ascii="宋体" w:hAnsi="宋体" w:cs="宋体"/>
          <w:color w:val="auto"/>
          <w:kern w:val="0"/>
          <w:sz w:val="21"/>
          <w:szCs w:val="21"/>
          <w:lang w:eastAsia="zh-CN"/>
        </w:rPr>
        <w:t>发出</w:t>
      </w:r>
      <w:r>
        <w:rPr>
          <w:rFonts w:hint="eastAsia" w:ascii="宋体" w:hAnsi="宋体" w:eastAsia="宋体" w:cs="宋体"/>
          <w:color w:val="auto"/>
          <w:kern w:val="0"/>
          <w:sz w:val="21"/>
          <w:szCs w:val="21"/>
        </w:rPr>
        <w:t>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3817F3F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承包人对监理人发出的指示有疑问的，应向监理人提出书面异议，监理人应在48小时内对该指示予以确认、更改或撤销，监理人逾期未回复的，承包人有权拒绝执行上述指示。</w:t>
      </w:r>
    </w:p>
    <w:p w14:paraId="264804D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监理人对承包人的任何工作、工程或其采用的材料和工程设备未在约定</w:t>
      </w:r>
      <w:r>
        <w:rPr>
          <w:rFonts w:hint="eastAsia" w:ascii="宋体" w:hAnsi="宋体" w:cs="宋体"/>
          <w:color w:val="auto"/>
          <w:kern w:val="0"/>
          <w:sz w:val="21"/>
          <w:szCs w:val="21"/>
          <w:lang w:eastAsia="zh-CN"/>
        </w:rPr>
        <w:t>的</w:t>
      </w:r>
      <w:r>
        <w:rPr>
          <w:rFonts w:hint="eastAsia" w:ascii="宋体" w:hAnsi="宋体" w:eastAsia="宋体" w:cs="宋体"/>
          <w:color w:val="auto"/>
          <w:kern w:val="0"/>
          <w:sz w:val="21"/>
          <w:szCs w:val="21"/>
        </w:rPr>
        <w:t>合理期限内提出意见的，视为批准，但不免除或减轻承包人对该工作、工程、材料、工程设备等应承担的责任和义务。</w:t>
      </w:r>
    </w:p>
    <w:p w14:paraId="7A1F6BA4">
      <w:pPr>
        <w:pStyle w:val="8"/>
        <w:spacing w:before="120" w:after="120" w:line="360" w:lineRule="auto"/>
        <w:ind w:firstLine="420" w:firstLineChars="200"/>
        <w:rPr>
          <w:rFonts w:hint="eastAsia" w:ascii="宋体" w:hAnsi="宋体" w:eastAsia="宋体" w:cs="宋体"/>
          <w:b w:val="0"/>
          <w:color w:val="auto"/>
          <w:sz w:val="21"/>
          <w:szCs w:val="21"/>
        </w:rPr>
      </w:pPr>
      <w:bookmarkStart w:id="351" w:name="_Toc351203531"/>
      <w:r>
        <w:rPr>
          <w:rFonts w:hint="eastAsia" w:ascii="宋体" w:hAnsi="宋体" w:eastAsia="宋体" w:cs="宋体"/>
          <w:b w:val="0"/>
          <w:color w:val="auto"/>
          <w:sz w:val="21"/>
          <w:szCs w:val="21"/>
        </w:rPr>
        <w:t>4</w:t>
      </w:r>
      <w:bookmarkStart w:id="352" w:name="_Toc296503057"/>
      <w:bookmarkStart w:id="353" w:name="_Toc337558757"/>
      <w:bookmarkStart w:id="354" w:name="_Toc296346558"/>
      <w:r>
        <w:rPr>
          <w:rFonts w:hint="eastAsia" w:ascii="宋体" w:hAnsi="宋体" w:eastAsia="宋体" w:cs="宋体"/>
          <w:b w:val="0"/>
          <w:color w:val="auto"/>
          <w:sz w:val="21"/>
          <w:szCs w:val="21"/>
        </w:rPr>
        <w:t>.4 商定或确定</w:t>
      </w:r>
      <w:bookmarkEnd w:id="351"/>
    </w:p>
    <w:bookmarkEnd w:id="352"/>
    <w:bookmarkEnd w:id="353"/>
    <w:bookmarkEnd w:id="354"/>
    <w:p w14:paraId="1D74995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合同当事人进行商定或确定时，总监理工程师应当会同合同当事人尽量通过协商达成一致，不能达成一致的，由总监理工程师按照合同约定审慎做出公正的确定。</w:t>
      </w:r>
    </w:p>
    <w:p w14:paraId="5FF7A36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总监理工程师</w:t>
      </w:r>
      <w:r>
        <w:rPr>
          <w:rFonts w:hint="eastAsia" w:ascii="宋体" w:hAnsi="宋体" w:cs="宋体"/>
          <w:color w:val="auto"/>
          <w:kern w:val="0"/>
          <w:sz w:val="21"/>
          <w:szCs w:val="21"/>
          <w:lang w:eastAsia="zh-CN"/>
        </w:rPr>
        <w:t>应</w:t>
      </w:r>
      <w:r>
        <w:rPr>
          <w:rFonts w:hint="eastAsia" w:ascii="宋体" w:hAnsi="宋体" w:eastAsia="宋体" w:cs="宋体"/>
          <w:color w:val="auto"/>
          <w:kern w:val="0"/>
          <w:sz w:val="21"/>
          <w:szCs w:val="21"/>
        </w:rPr>
        <w:t>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CE4D7DE">
      <w:pPr>
        <w:pStyle w:val="8"/>
        <w:spacing w:before="120" w:after="120" w:line="360" w:lineRule="auto"/>
        <w:rPr>
          <w:rFonts w:hint="eastAsia" w:ascii="宋体" w:hAnsi="宋体" w:eastAsia="宋体" w:cs="宋体"/>
          <w:b w:val="0"/>
          <w:color w:val="auto"/>
          <w:sz w:val="21"/>
          <w:szCs w:val="21"/>
        </w:rPr>
      </w:pPr>
      <w:bookmarkStart w:id="355" w:name="_Toc351203532"/>
      <w:r>
        <w:rPr>
          <w:rFonts w:hint="eastAsia" w:ascii="宋体" w:hAnsi="宋体" w:eastAsia="宋体" w:cs="宋体"/>
          <w:b w:val="0"/>
          <w:color w:val="auto"/>
          <w:sz w:val="21"/>
          <w:szCs w:val="21"/>
        </w:rPr>
        <w:t>5</w:t>
      </w:r>
      <w:bookmarkStart w:id="356" w:name="_Toc337558758"/>
      <w:r>
        <w:rPr>
          <w:rFonts w:hint="eastAsia" w:ascii="宋体" w:hAnsi="宋体" w:eastAsia="宋体" w:cs="宋体"/>
          <w:b w:val="0"/>
          <w:color w:val="auto"/>
          <w:sz w:val="21"/>
          <w:szCs w:val="21"/>
        </w:rPr>
        <w:t>. 工程质量</w:t>
      </w:r>
      <w:bookmarkEnd w:id="355"/>
    </w:p>
    <w:bookmarkEnd w:id="356"/>
    <w:p w14:paraId="79B3282D">
      <w:pPr>
        <w:pStyle w:val="9"/>
        <w:spacing w:before="120" w:after="120" w:line="360" w:lineRule="auto"/>
        <w:ind w:firstLine="420" w:firstLineChars="200"/>
        <w:rPr>
          <w:rFonts w:hint="eastAsia" w:ascii="宋体" w:hAnsi="宋体" w:eastAsia="宋体" w:cs="宋体"/>
          <w:b w:val="0"/>
          <w:color w:val="auto"/>
          <w:sz w:val="21"/>
          <w:szCs w:val="21"/>
        </w:rPr>
      </w:pPr>
      <w:bookmarkStart w:id="357" w:name="_Toc351203533"/>
      <w:r>
        <w:rPr>
          <w:rFonts w:hint="eastAsia" w:ascii="宋体" w:hAnsi="宋体" w:eastAsia="宋体" w:cs="宋体"/>
          <w:b w:val="0"/>
          <w:color w:val="auto"/>
          <w:sz w:val="21"/>
          <w:szCs w:val="21"/>
        </w:rPr>
        <w:t>5</w:t>
      </w:r>
      <w:bookmarkStart w:id="358" w:name="_Toc337558759"/>
      <w:r>
        <w:rPr>
          <w:rFonts w:hint="eastAsia" w:ascii="宋体" w:hAnsi="宋体" w:eastAsia="宋体" w:cs="宋体"/>
          <w:b w:val="0"/>
          <w:color w:val="auto"/>
          <w:sz w:val="21"/>
          <w:szCs w:val="21"/>
        </w:rPr>
        <w:t>.1质量要求</w:t>
      </w:r>
      <w:bookmarkEnd w:id="357"/>
    </w:p>
    <w:bookmarkEnd w:id="358"/>
    <w:p w14:paraId="2BC944C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5.1.1 工程质量标准必须符合现行国家有关工程施工质量验收规范和标准的要求。有关工程质量的特殊标准或要求由合同当事人在专用合同条款中约定。</w:t>
      </w:r>
    </w:p>
    <w:p w14:paraId="7406736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5.1.2 因发包人原因造成工程质量未达到合同约定标准的，由发包人承担由此增加的费用和（或）延误的工期，并支付承包人合理的利润。</w:t>
      </w:r>
    </w:p>
    <w:p w14:paraId="21E94D6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5.1.3 因承包人原因造成工程质量未达到合同约定标准的，发包人有权要求承包人返工直至工程质量达到合同约定的标准为止，并由承包人承担由此增加的费用和（或）延误的工期。</w:t>
      </w:r>
    </w:p>
    <w:p w14:paraId="663ED34A">
      <w:pPr>
        <w:pStyle w:val="9"/>
        <w:spacing w:before="120" w:after="120" w:line="360" w:lineRule="auto"/>
        <w:ind w:firstLine="420" w:firstLineChars="200"/>
        <w:rPr>
          <w:rFonts w:hint="eastAsia" w:ascii="宋体" w:hAnsi="宋体" w:eastAsia="宋体" w:cs="宋体"/>
          <w:b w:val="0"/>
          <w:color w:val="auto"/>
          <w:sz w:val="21"/>
          <w:szCs w:val="21"/>
        </w:rPr>
      </w:pPr>
      <w:bookmarkStart w:id="359" w:name="_Toc351203534"/>
      <w:r>
        <w:rPr>
          <w:rFonts w:hint="eastAsia" w:ascii="宋体" w:hAnsi="宋体" w:eastAsia="宋体" w:cs="宋体"/>
          <w:b w:val="0"/>
          <w:color w:val="auto"/>
          <w:sz w:val="21"/>
          <w:szCs w:val="21"/>
        </w:rPr>
        <w:t>5</w:t>
      </w:r>
      <w:bookmarkStart w:id="360" w:name="_Toc337558760"/>
      <w:r>
        <w:rPr>
          <w:rFonts w:hint="eastAsia" w:ascii="宋体" w:hAnsi="宋体" w:eastAsia="宋体" w:cs="宋体"/>
          <w:b w:val="0"/>
          <w:color w:val="auto"/>
          <w:sz w:val="21"/>
          <w:szCs w:val="21"/>
        </w:rPr>
        <w:t>.2质量保证措施</w:t>
      </w:r>
      <w:bookmarkEnd w:id="359"/>
    </w:p>
    <w:bookmarkEnd w:id="360"/>
    <w:p w14:paraId="5625B58A">
      <w:pPr>
        <w:autoSpaceDE w:val="0"/>
        <w:autoSpaceDN w:val="0"/>
        <w:adjustRightInd w:val="0"/>
        <w:spacing w:line="360" w:lineRule="auto"/>
        <w:ind w:firstLine="420" w:firstLineChars="200"/>
        <w:jc w:val="left"/>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5.2.1 发包人的质量管理</w:t>
      </w:r>
    </w:p>
    <w:p w14:paraId="6A36971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发包人应按照法律规定及合同约定完成与工程质量有关的各项工作。</w:t>
      </w:r>
    </w:p>
    <w:p w14:paraId="4079C75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5.2.2 承包人的质量管理</w:t>
      </w:r>
    </w:p>
    <w:p w14:paraId="5E8BF48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770D1E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承包人应对施工人员进行质量教育和技术培训，定期考核施工人员的劳动技能，严格执行施工规范和操作规程。</w:t>
      </w:r>
    </w:p>
    <w:p w14:paraId="5D2827B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C364941">
      <w:pPr>
        <w:autoSpaceDE w:val="0"/>
        <w:autoSpaceDN w:val="0"/>
        <w:adjustRightInd w:val="0"/>
        <w:spacing w:line="360" w:lineRule="auto"/>
        <w:ind w:firstLine="420" w:firstLineChars="200"/>
        <w:jc w:val="left"/>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5.2.3 监理人的质量检查和检验</w:t>
      </w:r>
    </w:p>
    <w:p w14:paraId="53D263A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w:t>
      </w:r>
      <w:r>
        <w:rPr>
          <w:rFonts w:hint="eastAsia" w:ascii="宋体" w:hAnsi="宋体" w:cs="宋体"/>
          <w:color w:val="auto"/>
          <w:kern w:val="0"/>
          <w:sz w:val="21"/>
          <w:szCs w:val="21"/>
          <w:lang w:eastAsia="zh-CN"/>
        </w:rPr>
        <w:t>查看</w:t>
      </w:r>
      <w:r>
        <w:rPr>
          <w:rFonts w:hint="eastAsia" w:ascii="宋体" w:hAnsi="宋体" w:eastAsia="宋体" w:cs="宋体"/>
          <w:color w:val="auto"/>
          <w:kern w:val="0"/>
          <w:sz w:val="21"/>
          <w:szCs w:val="21"/>
        </w:rPr>
        <w:t>和查阅施工原始记录。监理人为此进行的检查和检验，不免除或减轻承包人按照合同约定应当承担的责任。</w:t>
      </w:r>
    </w:p>
    <w:p w14:paraId="21F8162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B7D414B">
      <w:pPr>
        <w:pStyle w:val="9"/>
        <w:spacing w:before="120" w:after="120" w:line="360" w:lineRule="auto"/>
        <w:ind w:firstLine="420" w:firstLineChars="200"/>
        <w:rPr>
          <w:rFonts w:hint="eastAsia" w:ascii="宋体" w:hAnsi="宋体" w:eastAsia="宋体" w:cs="宋体"/>
          <w:b w:val="0"/>
          <w:color w:val="auto"/>
          <w:sz w:val="21"/>
          <w:szCs w:val="21"/>
        </w:rPr>
      </w:pPr>
      <w:bookmarkStart w:id="361" w:name="_Toc351203535"/>
      <w:r>
        <w:rPr>
          <w:rFonts w:hint="eastAsia" w:ascii="宋体" w:hAnsi="宋体" w:eastAsia="宋体" w:cs="宋体"/>
          <w:b w:val="0"/>
          <w:color w:val="auto"/>
          <w:sz w:val="21"/>
          <w:szCs w:val="21"/>
        </w:rPr>
        <w:t>5</w:t>
      </w:r>
      <w:bookmarkStart w:id="362" w:name="_Toc337558761"/>
      <w:r>
        <w:rPr>
          <w:rFonts w:hint="eastAsia" w:ascii="宋体" w:hAnsi="宋体" w:eastAsia="宋体" w:cs="宋体"/>
          <w:b w:val="0"/>
          <w:color w:val="auto"/>
          <w:sz w:val="21"/>
          <w:szCs w:val="21"/>
        </w:rPr>
        <w:t>.3 隐蔽工程检查</w:t>
      </w:r>
      <w:bookmarkEnd w:id="361"/>
    </w:p>
    <w:bookmarkEnd w:id="362"/>
    <w:p w14:paraId="2BE5AF1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5.3.1承包人自检</w:t>
      </w:r>
    </w:p>
    <w:p w14:paraId="7C50CD6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承包人应当对工程隐蔽部位进行自检，并经自检确认是否具备覆盖条件。</w:t>
      </w:r>
    </w:p>
    <w:p w14:paraId="1B7A084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5.3.2检查程序</w:t>
      </w:r>
    </w:p>
    <w:p w14:paraId="4D939DB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65B1921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6ADF54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223479E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5.3.3 重新检查</w:t>
      </w:r>
    </w:p>
    <w:p w14:paraId="3F0FB64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4BB326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5.3.4 承包人私自覆盖</w:t>
      </w:r>
    </w:p>
    <w:p w14:paraId="28F5DE23">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5D0EB946">
      <w:pPr>
        <w:pStyle w:val="9"/>
        <w:spacing w:before="120" w:after="120" w:line="360" w:lineRule="auto"/>
        <w:ind w:firstLine="420" w:firstLineChars="200"/>
        <w:rPr>
          <w:rFonts w:hint="eastAsia" w:ascii="宋体" w:hAnsi="宋体" w:eastAsia="宋体" w:cs="宋体"/>
          <w:b w:val="0"/>
          <w:color w:val="auto"/>
          <w:sz w:val="21"/>
          <w:szCs w:val="21"/>
        </w:rPr>
      </w:pPr>
      <w:bookmarkStart w:id="363" w:name="_Toc351203536"/>
      <w:r>
        <w:rPr>
          <w:rFonts w:hint="eastAsia" w:ascii="宋体" w:hAnsi="宋体" w:eastAsia="宋体" w:cs="宋体"/>
          <w:b w:val="0"/>
          <w:color w:val="auto"/>
          <w:sz w:val="21"/>
          <w:szCs w:val="21"/>
        </w:rPr>
        <w:t>5</w:t>
      </w:r>
      <w:bookmarkStart w:id="364" w:name="_Toc337558762"/>
      <w:r>
        <w:rPr>
          <w:rFonts w:hint="eastAsia" w:ascii="宋体" w:hAnsi="宋体" w:eastAsia="宋体" w:cs="宋体"/>
          <w:b w:val="0"/>
          <w:color w:val="auto"/>
          <w:sz w:val="21"/>
          <w:szCs w:val="21"/>
        </w:rPr>
        <w:t>.4不合格工程的处理</w:t>
      </w:r>
      <w:bookmarkEnd w:id="363"/>
    </w:p>
    <w:bookmarkEnd w:id="364"/>
    <w:p w14:paraId="53383E7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D07CD7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5.4.2 因发包人原因造成工程不合格的，由此增加的费用和（或）延误的工期由发包人承担，并支付承包人合理的利润。</w:t>
      </w:r>
    </w:p>
    <w:p w14:paraId="64A76C73">
      <w:pPr>
        <w:pStyle w:val="9"/>
        <w:spacing w:before="120" w:after="120" w:line="360" w:lineRule="auto"/>
        <w:ind w:firstLine="420" w:firstLineChars="200"/>
        <w:rPr>
          <w:rFonts w:hint="eastAsia" w:ascii="宋体" w:hAnsi="宋体" w:eastAsia="宋体" w:cs="宋体"/>
          <w:b w:val="0"/>
          <w:color w:val="auto"/>
          <w:sz w:val="21"/>
          <w:szCs w:val="21"/>
        </w:rPr>
      </w:pPr>
      <w:bookmarkStart w:id="365" w:name="_Toc351203537"/>
      <w:r>
        <w:rPr>
          <w:rFonts w:hint="eastAsia" w:ascii="宋体" w:hAnsi="宋体" w:eastAsia="宋体" w:cs="宋体"/>
          <w:b w:val="0"/>
          <w:color w:val="auto"/>
          <w:sz w:val="21"/>
          <w:szCs w:val="21"/>
        </w:rPr>
        <w:t>5.5 质量争议检测</w:t>
      </w:r>
      <w:bookmarkEnd w:id="365"/>
    </w:p>
    <w:p w14:paraId="1E7F773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合同当事人对工程质量有争议的，由双方协商确定的工程质量检测机构鉴定，由此产生的费用及因此造成的损失，由责任方承担。</w:t>
      </w:r>
    </w:p>
    <w:p w14:paraId="43373033">
      <w:pPr>
        <w:autoSpaceDE w:val="0"/>
        <w:autoSpaceDN w:val="0"/>
        <w:adjustRightInd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合同当事人均有责任的，由双方根据其责任分别承担。合同当事人无法达成一致的，按照第4.4款〔商定或确定〕执行。</w:t>
      </w:r>
    </w:p>
    <w:p w14:paraId="32A33079">
      <w:pPr>
        <w:pStyle w:val="8"/>
        <w:spacing w:before="120" w:after="120" w:line="360" w:lineRule="auto"/>
        <w:rPr>
          <w:rFonts w:hint="eastAsia" w:ascii="宋体" w:hAnsi="宋体" w:eastAsia="宋体" w:cs="宋体"/>
          <w:b w:val="0"/>
          <w:color w:val="auto"/>
          <w:sz w:val="21"/>
          <w:szCs w:val="21"/>
        </w:rPr>
      </w:pPr>
      <w:bookmarkStart w:id="366" w:name="_Toc351203538"/>
      <w:r>
        <w:rPr>
          <w:rFonts w:hint="eastAsia" w:ascii="宋体" w:hAnsi="宋体" w:eastAsia="宋体" w:cs="宋体"/>
          <w:b w:val="0"/>
          <w:color w:val="auto"/>
          <w:sz w:val="21"/>
          <w:szCs w:val="21"/>
        </w:rPr>
        <w:t>6</w:t>
      </w:r>
      <w:bookmarkStart w:id="367" w:name="_Toc337558763"/>
      <w:r>
        <w:rPr>
          <w:rFonts w:hint="eastAsia" w:ascii="宋体" w:hAnsi="宋体" w:eastAsia="宋体" w:cs="宋体"/>
          <w:b w:val="0"/>
          <w:color w:val="auto"/>
          <w:sz w:val="21"/>
          <w:szCs w:val="21"/>
        </w:rPr>
        <w:t>. 安全文明施工与环境保护</w:t>
      </w:r>
      <w:bookmarkEnd w:id="366"/>
    </w:p>
    <w:bookmarkEnd w:id="367"/>
    <w:p w14:paraId="4B01AE63">
      <w:pPr>
        <w:pStyle w:val="9"/>
        <w:spacing w:before="120" w:after="120" w:line="360" w:lineRule="auto"/>
        <w:ind w:firstLine="420" w:firstLineChars="200"/>
        <w:rPr>
          <w:rFonts w:hint="eastAsia" w:ascii="宋体" w:hAnsi="宋体" w:eastAsia="宋体" w:cs="宋体"/>
          <w:b w:val="0"/>
          <w:color w:val="auto"/>
          <w:sz w:val="21"/>
          <w:szCs w:val="21"/>
        </w:rPr>
      </w:pPr>
      <w:bookmarkStart w:id="368" w:name="_Toc351203539"/>
      <w:r>
        <w:rPr>
          <w:rFonts w:hint="eastAsia" w:ascii="宋体" w:hAnsi="宋体" w:eastAsia="宋体" w:cs="宋体"/>
          <w:b w:val="0"/>
          <w:color w:val="auto"/>
          <w:sz w:val="21"/>
          <w:szCs w:val="21"/>
        </w:rPr>
        <w:t>6</w:t>
      </w:r>
      <w:bookmarkStart w:id="369" w:name="_Toc337558764"/>
      <w:r>
        <w:rPr>
          <w:rFonts w:hint="eastAsia" w:ascii="宋体" w:hAnsi="宋体" w:eastAsia="宋体" w:cs="宋体"/>
          <w:b w:val="0"/>
          <w:color w:val="auto"/>
          <w:sz w:val="21"/>
          <w:szCs w:val="21"/>
        </w:rPr>
        <w:t>.1安全文明施工</w:t>
      </w:r>
      <w:bookmarkEnd w:id="368"/>
    </w:p>
    <w:bookmarkEnd w:id="369"/>
    <w:p w14:paraId="79B4F6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6.1.1安全生产要求</w:t>
      </w:r>
    </w:p>
    <w:p w14:paraId="4F8CAF4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386C3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 w:val="21"/>
          <w:szCs w:val="21"/>
        </w:rPr>
        <w:t>政府有关行政管理部门</w:t>
      </w:r>
      <w:r>
        <w:rPr>
          <w:rFonts w:hint="eastAsia" w:ascii="宋体" w:hAnsi="宋体" w:eastAsia="宋体" w:cs="宋体"/>
          <w:color w:val="auto"/>
          <w:sz w:val="21"/>
          <w:szCs w:val="21"/>
        </w:rPr>
        <w:t>采取应急措施。</w:t>
      </w:r>
    </w:p>
    <w:p w14:paraId="04016B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因安全生产需要暂停施工的，按照第7.8款〔暂停施工〕的约定执行。</w:t>
      </w:r>
    </w:p>
    <w:p w14:paraId="07F50B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6.1.2 安全生产保证措施</w:t>
      </w:r>
    </w:p>
    <w:p w14:paraId="185FFE6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承包人应当按照有关</w:t>
      </w:r>
      <w:r>
        <w:rPr>
          <w:rFonts w:hint="eastAsia" w:ascii="宋体" w:hAnsi="宋体" w:eastAsia="宋体" w:cs="宋体"/>
          <w:color w:val="auto"/>
          <w:kern w:val="0"/>
          <w:sz w:val="21"/>
          <w:szCs w:val="21"/>
        </w:rPr>
        <w:t>规定编制安全技术措施或者专项施工方案，</w:t>
      </w:r>
      <w:r>
        <w:rPr>
          <w:rFonts w:hint="eastAsia" w:ascii="宋体" w:hAnsi="宋体" w:eastAsia="宋体" w:cs="宋体"/>
          <w:color w:val="auto"/>
          <w:sz w:val="21"/>
          <w:szCs w:val="21"/>
        </w:rPr>
        <w:t>建立安全生产责任制度、治安保卫制度及安全生产教育培训制度，并</w:t>
      </w:r>
      <w:r>
        <w:rPr>
          <w:rFonts w:hint="eastAsia" w:ascii="宋体" w:hAnsi="宋体" w:eastAsia="宋体" w:cs="宋体"/>
          <w:color w:val="auto"/>
          <w:kern w:val="0"/>
          <w:sz w:val="21"/>
          <w:szCs w:val="21"/>
        </w:rPr>
        <w:t>按安全生产法律规定及合同约定履行安全职责，如实</w:t>
      </w:r>
      <w:r>
        <w:rPr>
          <w:rFonts w:hint="eastAsia" w:ascii="宋体" w:hAnsi="宋体" w:eastAsia="宋体" w:cs="宋体"/>
          <w:color w:val="auto"/>
          <w:sz w:val="21"/>
          <w:szCs w:val="21"/>
        </w:rPr>
        <w:t>编制工程安全生产的有关记录，</w:t>
      </w:r>
      <w:r>
        <w:rPr>
          <w:rFonts w:hint="eastAsia" w:ascii="宋体" w:hAnsi="宋体" w:eastAsia="宋体" w:cs="宋体"/>
          <w:color w:val="auto"/>
          <w:kern w:val="0"/>
          <w:sz w:val="21"/>
          <w:szCs w:val="21"/>
        </w:rPr>
        <w:t>接受发包人、监理人及政府安全监督部门的检查与监督。</w:t>
      </w:r>
    </w:p>
    <w:p w14:paraId="591260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6.1.3特别安全生产事项</w:t>
      </w:r>
    </w:p>
    <w:p w14:paraId="3789A61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17EF47C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承包人在动力设备、输电线路、地下管道、密封防震车间、易燃易爆地段以及临街交通要道附近施工时，施工开始前应向发包人和监理人提出安全防护措施，经发包人认可后实施。 </w:t>
      </w:r>
    </w:p>
    <w:p w14:paraId="3ADF42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09B1AD3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需单独编制危险性较大分部分项专项工程施工方案的，及要求进行专家论证的超过一定规模的危险性较大的分部分项工程，承包人应及时编制和组织论证。</w:t>
      </w:r>
    </w:p>
    <w:p w14:paraId="1C70B02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6.1.4 治安保卫</w:t>
      </w:r>
    </w:p>
    <w:p w14:paraId="25E01FA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除专用合同条款另有约定外，发包人应与当地公安部门协商，在现场建立治安管理机构或联防组织，统一管理施工场地的治安保卫事项，履行合同工程的治安保卫职责。</w:t>
      </w:r>
    </w:p>
    <w:p w14:paraId="03B9BB1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发包人和承包人除应协助现场治安管理机构或联防组织维护施工场地的社会治安外，还应做好包括生活区在内的各自管辖区的治安保卫工作。</w:t>
      </w:r>
    </w:p>
    <w:p w14:paraId="708680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78942685">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sz w:val="21"/>
          <w:szCs w:val="21"/>
        </w:rPr>
        <w:t>6.1.5 文明施工</w:t>
      </w:r>
    </w:p>
    <w:p w14:paraId="6291CED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0E2204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337586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6.1.6 安全文明施工费</w:t>
      </w:r>
    </w:p>
    <w:p w14:paraId="7267061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安全文明施工费由发包人承担，发包人不得以任何形式扣减该部分费用。因基准日期后合同所适用的法律或政府有关规定发生变化，增加的安全文明施工费由发包人承担。</w:t>
      </w:r>
    </w:p>
    <w:p w14:paraId="2591E2E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承包人经发包人同意采取合同约定以外的安全措施所产生的费用，由发包人承担。未经发包人同意的，如果该措施避免了发包人的损失，则发包人在避免损失的额度内承担该措施</w:t>
      </w:r>
      <w:r>
        <w:rPr>
          <w:rFonts w:hint="eastAsia" w:ascii="宋体" w:hAnsi="宋体" w:cs="宋体"/>
          <w:color w:val="auto"/>
          <w:kern w:val="0"/>
          <w:sz w:val="21"/>
          <w:szCs w:val="21"/>
          <w:lang w:eastAsia="zh-CN"/>
        </w:rPr>
        <w:t>费用</w:t>
      </w:r>
      <w:r>
        <w:rPr>
          <w:rFonts w:hint="eastAsia" w:ascii="宋体" w:hAnsi="宋体" w:eastAsia="宋体" w:cs="宋体"/>
          <w:color w:val="auto"/>
          <w:kern w:val="0"/>
          <w:sz w:val="21"/>
          <w:szCs w:val="21"/>
        </w:rPr>
        <w:t>。如果该措施避免了承包人的损失，由承包人承担该措施费。</w:t>
      </w:r>
    </w:p>
    <w:p w14:paraId="1472509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024C10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22AD605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6.1.7 紧急情况处理</w:t>
      </w:r>
    </w:p>
    <w:p w14:paraId="76EFE21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0E3BFD8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6.1.8 事故处理</w:t>
      </w:r>
    </w:p>
    <w:p w14:paraId="20E1707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86A003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6.1.9 安全生产责任</w:t>
      </w:r>
    </w:p>
    <w:p w14:paraId="602FDAC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6.1.9.1 发包人的安全责任</w:t>
      </w:r>
    </w:p>
    <w:p w14:paraId="5D4294D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发包人应负责赔偿以下各种情况造成的损失：</w:t>
      </w:r>
    </w:p>
    <w:p w14:paraId="677E536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（1）工程或工程的任何部分对土地的占用所造成的第三者财产损失；</w:t>
      </w:r>
    </w:p>
    <w:p w14:paraId="5B5D3A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（2）由于发包人原因在施工场地及其毗邻地带造成的第三者人身伤亡和财产损失；</w:t>
      </w:r>
    </w:p>
    <w:p w14:paraId="05AB327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（3）由于发包人原因对承包人、监理人造成的人员人身伤亡和财产损失；</w:t>
      </w:r>
    </w:p>
    <w:p w14:paraId="1BB075B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（4）由于发包人原因造成的发包人自身人员的人身伤害以及财产损失。</w:t>
      </w:r>
    </w:p>
    <w:p w14:paraId="5A18D96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6.1.9.2 承包人的安全责任</w:t>
      </w:r>
    </w:p>
    <w:p w14:paraId="556BBFF7">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sz w:val="21"/>
          <w:szCs w:val="21"/>
        </w:rPr>
        <w:t>由于承包人原因在施工场地内及其毗邻地带造成的发包人、监理人以及第三者人员伤亡和财产损失，由承包人负责赔偿。</w:t>
      </w:r>
    </w:p>
    <w:p w14:paraId="4616066D">
      <w:pPr>
        <w:pStyle w:val="9"/>
        <w:spacing w:before="120" w:after="120" w:line="360" w:lineRule="auto"/>
        <w:ind w:firstLine="420" w:firstLineChars="200"/>
        <w:rPr>
          <w:rFonts w:hint="eastAsia" w:ascii="宋体" w:hAnsi="宋体" w:eastAsia="宋体" w:cs="宋体"/>
          <w:b w:val="0"/>
          <w:color w:val="auto"/>
          <w:sz w:val="21"/>
          <w:szCs w:val="21"/>
        </w:rPr>
      </w:pPr>
      <w:bookmarkStart w:id="370" w:name="_Toc351203540"/>
      <w:r>
        <w:rPr>
          <w:rFonts w:hint="eastAsia" w:ascii="宋体" w:hAnsi="宋体" w:eastAsia="宋体" w:cs="宋体"/>
          <w:b w:val="0"/>
          <w:color w:val="auto"/>
          <w:sz w:val="21"/>
          <w:szCs w:val="21"/>
        </w:rPr>
        <w:t>6</w:t>
      </w:r>
      <w:bookmarkStart w:id="371" w:name="_Toc337558765"/>
      <w:r>
        <w:rPr>
          <w:rFonts w:hint="eastAsia" w:ascii="宋体" w:hAnsi="宋体" w:eastAsia="宋体" w:cs="宋体"/>
          <w:b w:val="0"/>
          <w:color w:val="auto"/>
          <w:sz w:val="21"/>
          <w:szCs w:val="21"/>
        </w:rPr>
        <w:t>.2 职业健康</w:t>
      </w:r>
      <w:bookmarkEnd w:id="370"/>
    </w:p>
    <w:bookmarkEnd w:id="371"/>
    <w:p w14:paraId="2F6BBB4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6.2.1 劳动保护</w:t>
      </w:r>
    </w:p>
    <w:p w14:paraId="5F5AF52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承包人应按照法律规定安排现场施工人员的劳动和休息时间，保障劳动者的休息时间，并支付合理的报酬和费用。承包人应依法为其履行合同所雇用的人员办理必要的证件、许可、保险和注册等，承包人应</w:t>
      </w:r>
      <w:r>
        <w:rPr>
          <w:rFonts w:hint="eastAsia" w:ascii="宋体" w:hAnsi="宋体" w:cs="宋体"/>
          <w:color w:val="auto"/>
          <w:kern w:val="0"/>
          <w:sz w:val="21"/>
          <w:szCs w:val="21"/>
          <w:lang w:eastAsia="zh-CN"/>
        </w:rPr>
        <w:t>督促</w:t>
      </w:r>
      <w:r>
        <w:rPr>
          <w:rFonts w:hint="eastAsia" w:ascii="宋体" w:hAnsi="宋体" w:eastAsia="宋体" w:cs="宋体"/>
          <w:color w:val="auto"/>
          <w:kern w:val="0"/>
          <w:sz w:val="21"/>
          <w:szCs w:val="21"/>
        </w:rPr>
        <w:t>分包人为分包人所雇用的人员办理必要的证件、许可、保险和注册等。</w:t>
      </w:r>
    </w:p>
    <w:p w14:paraId="3D0D39D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承包人应按照法律规定保障现场施工人员的劳动安全，并提供劳动保护</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并应</w:t>
      </w:r>
      <w:r>
        <w:rPr>
          <w:rFonts w:hint="eastAsia" w:ascii="宋体" w:hAnsi="宋体" w:cs="宋体"/>
          <w:color w:val="auto"/>
          <w:kern w:val="0"/>
          <w:sz w:val="21"/>
          <w:szCs w:val="21"/>
          <w:lang w:eastAsia="zh-CN"/>
        </w:rPr>
        <w:t>按照</w:t>
      </w:r>
      <w:r>
        <w:rPr>
          <w:rFonts w:hint="eastAsia" w:ascii="宋体" w:hAnsi="宋体" w:eastAsia="宋体" w:cs="宋体"/>
          <w:color w:val="auto"/>
          <w:kern w:val="0"/>
          <w:sz w:val="21"/>
          <w:szCs w:val="21"/>
        </w:rPr>
        <w:t>国家有关劳动保护的规定，采取有效</w:t>
      </w:r>
      <w:r>
        <w:rPr>
          <w:rFonts w:hint="eastAsia" w:ascii="宋体" w:hAnsi="宋体" w:cs="宋体"/>
          <w:color w:val="auto"/>
          <w:kern w:val="0"/>
          <w:sz w:val="21"/>
          <w:szCs w:val="21"/>
          <w:lang w:eastAsia="zh-CN"/>
        </w:rPr>
        <w:t>地</w:t>
      </w:r>
      <w:r>
        <w:rPr>
          <w:rFonts w:hint="eastAsia" w:ascii="宋体" w:hAnsi="宋体" w:eastAsia="宋体" w:cs="宋体"/>
          <w:color w:val="auto"/>
          <w:kern w:val="0"/>
          <w:sz w:val="21"/>
          <w:szCs w:val="21"/>
        </w:rPr>
        <w:t>防止粉尘、降低噪声、控制有害气体和保障高温、高寒、高空作业安全等劳动保护措施。承包人雇佣人员在施工中受到伤害的，承包人应立即采取有效措施进行抢救和治疗。</w:t>
      </w:r>
    </w:p>
    <w:p w14:paraId="644E031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342661C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6.2.2 生活条件</w:t>
      </w:r>
    </w:p>
    <w:p w14:paraId="4B93291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 xml:space="preserve"> 在远离城镇的施工场地，还应配备必要的伤病防治和急救的医务人员与医疗设施。</w:t>
      </w:r>
    </w:p>
    <w:p w14:paraId="37D1076D">
      <w:pPr>
        <w:pStyle w:val="9"/>
        <w:spacing w:before="120" w:after="120" w:line="360" w:lineRule="auto"/>
        <w:ind w:firstLine="420" w:firstLineChars="200"/>
        <w:rPr>
          <w:rFonts w:hint="eastAsia" w:ascii="宋体" w:hAnsi="宋体" w:eastAsia="宋体" w:cs="宋体"/>
          <w:b w:val="0"/>
          <w:color w:val="auto"/>
          <w:sz w:val="21"/>
          <w:szCs w:val="21"/>
        </w:rPr>
      </w:pPr>
      <w:bookmarkStart w:id="372" w:name="_Toc351203541"/>
      <w:r>
        <w:rPr>
          <w:rFonts w:hint="eastAsia" w:ascii="宋体" w:hAnsi="宋体" w:eastAsia="宋体" w:cs="宋体"/>
          <w:b w:val="0"/>
          <w:color w:val="auto"/>
          <w:sz w:val="21"/>
          <w:szCs w:val="21"/>
        </w:rPr>
        <w:t>6</w:t>
      </w:r>
      <w:bookmarkStart w:id="373" w:name="_Toc337558766"/>
      <w:r>
        <w:rPr>
          <w:rFonts w:hint="eastAsia" w:ascii="宋体" w:hAnsi="宋体" w:eastAsia="宋体" w:cs="宋体"/>
          <w:b w:val="0"/>
          <w:color w:val="auto"/>
          <w:sz w:val="21"/>
          <w:szCs w:val="21"/>
        </w:rPr>
        <w:t>.3 环境保护</w:t>
      </w:r>
      <w:bookmarkEnd w:id="372"/>
    </w:p>
    <w:bookmarkEnd w:id="373"/>
    <w:p w14:paraId="09FEAC7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承包人应在施工组织设计中列明环境保护的具体措施。在合同履行期间，承包人应采取合理措施保护施工现场环境。对施工作业过程中可能引起的大气、水、</w:t>
      </w:r>
      <w:r>
        <w:rPr>
          <w:rFonts w:hint="eastAsia" w:ascii="宋体" w:hAnsi="宋体" w:cs="宋体"/>
          <w:color w:val="auto"/>
          <w:kern w:val="0"/>
          <w:sz w:val="21"/>
          <w:szCs w:val="21"/>
          <w:lang w:eastAsia="zh-CN"/>
        </w:rPr>
        <w:t>噪声</w:t>
      </w:r>
      <w:r>
        <w:rPr>
          <w:rFonts w:hint="eastAsia" w:ascii="宋体" w:hAnsi="宋体" w:eastAsia="宋体" w:cs="宋体"/>
          <w:color w:val="auto"/>
          <w:kern w:val="0"/>
          <w:sz w:val="21"/>
          <w:szCs w:val="21"/>
        </w:rPr>
        <w:t>以及固体废物污染采取具体可行的防范措施。</w:t>
      </w:r>
    </w:p>
    <w:p w14:paraId="210D59E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承包人应当承担因其原因引起的环境污染侵权损害赔偿责任，因上述环境污染引起纠纷而导致暂停施工的，由此增加的费用和（或）延误的工期由承包人承担。</w:t>
      </w:r>
    </w:p>
    <w:p w14:paraId="3E0974D0">
      <w:pPr>
        <w:pStyle w:val="8"/>
        <w:spacing w:before="120" w:after="120" w:line="360" w:lineRule="auto"/>
        <w:rPr>
          <w:rFonts w:hint="eastAsia" w:ascii="宋体" w:hAnsi="宋体" w:eastAsia="宋体" w:cs="宋体"/>
          <w:b w:val="0"/>
          <w:color w:val="auto"/>
          <w:sz w:val="21"/>
          <w:szCs w:val="21"/>
        </w:rPr>
      </w:pPr>
      <w:bookmarkStart w:id="374" w:name="_Toc351203542"/>
      <w:r>
        <w:rPr>
          <w:rFonts w:hint="eastAsia" w:ascii="宋体" w:hAnsi="宋体" w:eastAsia="宋体" w:cs="宋体"/>
          <w:b w:val="0"/>
          <w:color w:val="auto"/>
          <w:sz w:val="21"/>
          <w:szCs w:val="21"/>
        </w:rPr>
        <w:t>7</w:t>
      </w:r>
      <w:bookmarkStart w:id="375" w:name="_Toc337558767"/>
      <w:r>
        <w:rPr>
          <w:rFonts w:hint="eastAsia" w:ascii="宋体" w:hAnsi="宋体" w:eastAsia="宋体" w:cs="宋体"/>
          <w:b w:val="0"/>
          <w:color w:val="auto"/>
          <w:sz w:val="21"/>
          <w:szCs w:val="21"/>
        </w:rPr>
        <w:t>. 工期和进度</w:t>
      </w:r>
      <w:bookmarkEnd w:id="374"/>
    </w:p>
    <w:bookmarkEnd w:id="375"/>
    <w:p w14:paraId="39E3EF75">
      <w:pPr>
        <w:pStyle w:val="9"/>
        <w:spacing w:before="120" w:after="120" w:line="360" w:lineRule="auto"/>
        <w:ind w:firstLine="420" w:firstLineChars="200"/>
        <w:rPr>
          <w:rFonts w:hint="eastAsia" w:ascii="宋体" w:hAnsi="宋体" w:eastAsia="宋体" w:cs="宋体"/>
          <w:b w:val="0"/>
          <w:color w:val="auto"/>
          <w:sz w:val="21"/>
          <w:szCs w:val="21"/>
        </w:rPr>
      </w:pPr>
      <w:bookmarkStart w:id="376" w:name="_Toc351203543"/>
      <w:r>
        <w:rPr>
          <w:rFonts w:hint="eastAsia" w:ascii="宋体" w:hAnsi="宋体" w:eastAsia="宋体" w:cs="宋体"/>
          <w:b w:val="0"/>
          <w:color w:val="auto"/>
          <w:sz w:val="21"/>
          <w:szCs w:val="21"/>
        </w:rPr>
        <w:t>7</w:t>
      </w:r>
      <w:bookmarkStart w:id="377" w:name="_Toc337558768"/>
      <w:bookmarkStart w:id="378" w:name="_Toc296503066"/>
      <w:bookmarkStart w:id="379" w:name="_Toc296346567"/>
      <w:r>
        <w:rPr>
          <w:rFonts w:hint="eastAsia" w:ascii="宋体" w:hAnsi="宋体" w:eastAsia="宋体" w:cs="宋体"/>
          <w:b w:val="0"/>
          <w:color w:val="auto"/>
          <w:sz w:val="21"/>
          <w:szCs w:val="21"/>
        </w:rPr>
        <w:t>.1施工组织设计</w:t>
      </w:r>
      <w:bookmarkEnd w:id="376"/>
    </w:p>
    <w:bookmarkEnd w:id="377"/>
    <w:p w14:paraId="5F4D903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7.1.1 </w:t>
      </w:r>
      <w:r>
        <w:rPr>
          <w:rFonts w:hint="eastAsia" w:ascii="宋体" w:hAnsi="宋体" w:eastAsia="宋体" w:cs="宋体"/>
          <w:color w:val="auto"/>
          <w:kern w:val="0"/>
          <w:sz w:val="21"/>
          <w:szCs w:val="21"/>
        </w:rPr>
        <w:t>施工组织设计的内容</w:t>
      </w:r>
    </w:p>
    <w:p w14:paraId="13B7AEB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施工组织设计应包含以下内容：</w:t>
      </w:r>
    </w:p>
    <w:p w14:paraId="1A8F142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（1）施工方案； </w:t>
      </w:r>
    </w:p>
    <w:p w14:paraId="526C200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（2）施工现场平面布置图；</w:t>
      </w:r>
    </w:p>
    <w:p w14:paraId="1F9AD97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（3）施工进度计划和保证措施； </w:t>
      </w:r>
    </w:p>
    <w:p w14:paraId="53E150C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（4）劳动力及材料供应计划；</w:t>
      </w:r>
    </w:p>
    <w:p w14:paraId="5AC9C4E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（5）施工机械设备的选用；</w:t>
      </w:r>
    </w:p>
    <w:p w14:paraId="0C74612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（6）质量保证体系及措施；</w:t>
      </w:r>
    </w:p>
    <w:p w14:paraId="610C281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（7）安全生产、文明施工措施；</w:t>
      </w:r>
    </w:p>
    <w:p w14:paraId="70E0BB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（8）环境保护、成本控制措施；</w:t>
      </w:r>
    </w:p>
    <w:p w14:paraId="4861454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（9）合同当事人约定的其他内容。</w:t>
      </w:r>
    </w:p>
    <w:p w14:paraId="3CD3A29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7.1.2 </w:t>
      </w:r>
      <w:r>
        <w:rPr>
          <w:rFonts w:hint="eastAsia" w:ascii="宋体" w:hAnsi="宋体" w:eastAsia="宋体" w:cs="宋体"/>
          <w:color w:val="auto"/>
          <w:kern w:val="0"/>
          <w:sz w:val="21"/>
          <w:szCs w:val="21"/>
        </w:rPr>
        <w:t>施工组织设计的提交和修改</w:t>
      </w:r>
    </w:p>
    <w:p w14:paraId="4FC6428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D165FF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施工进度计划的编制和修改按照第7.2款〔施工进度计划〕执行。</w:t>
      </w:r>
    </w:p>
    <w:p w14:paraId="5C77378C">
      <w:pPr>
        <w:pStyle w:val="9"/>
        <w:spacing w:before="120" w:after="120" w:line="360" w:lineRule="auto"/>
        <w:ind w:firstLine="420" w:firstLineChars="200"/>
        <w:rPr>
          <w:rFonts w:hint="eastAsia" w:ascii="宋体" w:hAnsi="宋体" w:eastAsia="宋体" w:cs="宋体"/>
          <w:b w:val="0"/>
          <w:color w:val="auto"/>
          <w:sz w:val="21"/>
          <w:szCs w:val="21"/>
        </w:rPr>
      </w:pPr>
      <w:bookmarkStart w:id="380" w:name="_Toc351203544"/>
      <w:r>
        <w:rPr>
          <w:rFonts w:hint="eastAsia" w:ascii="宋体" w:hAnsi="宋体" w:eastAsia="宋体" w:cs="宋体"/>
          <w:b w:val="0"/>
          <w:color w:val="auto"/>
          <w:sz w:val="21"/>
          <w:szCs w:val="21"/>
        </w:rPr>
        <w:t>7</w:t>
      </w:r>
      <w:bookmarkStart w:id="381" w:name="_Toc337558769"/>
      <w:r>
        <w:rPr>
          <w:rFonts w:hint="eastAsia" w:ascii="宋体" w:hAnsi="宋体" w:eastAsia="宋体" w:cs="宋体"/>
          <w:b w:val="0"/>
          <w:color w:val="auto"/>
          <w:sz w:val="21"/>
          <w:szCs w:val="21"/>
        </w:rPr>
        <w:t>.2 施工进度计划</w:t>
      </w:r>
      <w:bookmarkEnd w:id="380"/>
    </w:p>
    <w:bookmarkEnd w:id="381"/>
    <w:p w14:paraId="53E1888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7.2.1 施工进度计划的编制</w:t>
      </w:r>
    </w:p>
    <w:p w14:paraId="4FADD5E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5BD372D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7.2.2 施工进度计划的修订</w:t>
      </w:r>
    </w:p>
    <w:p w14:paraId="2E1457B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964D8EA">
      <w:pPr>
        <w:pStyle w:val="9"/>
        <w:spacing w:before="120" w:after="120" w:line="360" w:lineRule="auto"/>
        <w:ind w:firstLine="420" w:firstLineChars="200"/>
        <w:rPr>
          <w:rFonts w:hint="eastAsia" w:ascii="宋体" w:hAnsi="宋体" w:eastAsia="宋体" w:cs="宋体"/>
          <w:b w:val="0"/>
          <w:color w:val="auto"/>
          <w:sz w:val="21"/>
          <w:szCs w:val="21"/>
        </w:rPr>
      </w:pPr>
      <w:bookmarkStart w:id="382" w:name="_Toc351203545"/>
      <w:r>
        <w:rPr>
          <w:rFonts w:hint="eastAsia" w:ascii="宋体" w:hAnsi="宋体" w:eastAsia="宋体" w:cs="宋体"/>
          <w:b w:val="0"/>
          <w:color w:val="auto"/>
          <w:sz w:val="21"/>
          <w:szCs w:val="21"/>
        </w:rPr>
        <w:t>7</w:t>
      </w:r>
      <w:bookmarkStart w:id="383" w:name="_Toc337558770"/>
      <w:r>
        <w:rPr>
          <w:rFonts w:hint="eastAsia" w:ascii="宋体" w:hAnsi="宋体" w:eastAsia="宋体" w:cs="宋体"/>
          <w:b w:val="0"/>
          <w:color w:val="auto"/>
          <w:sz w:val="21"/>
          <w:szCs w:val="21"/>
        </w:rPr>
        <w:t>.3 开工</w:t>
      </w:r>
      <w:bookmarkEnd w:id="382"/>
    </w:p>
    <w:p w14:paraId="23B7C4C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7.3.1 开工准备</w:t>
      </w:r>
    </w:p>
    <w:p w14:paraId="7C78AC0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5EB0F7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除专用合同条款另有约定外，合同当事人应按约定完成开工准备工作。</w:t>
      </w:r>
    </w:p>
    <w:p w14:paraId="1EBBBED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7.3.2 开工通知</w:t>
      </w:r>
    </w:p>
    <w:bookmarkEnd w:id="383"/>
    <w:p w14:paraId="17C2939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F0ECA0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1DA38AC5">
      <w:pPr>
        <w:pStyle w:val="9"/>
        <w:spacing w:before="120" w:after="120" w:line="360" w:lineRule="auto"/>
        <w:ind w:firstLine="420" w:firstLineChars="200"/>
        <w:rPr>
          <w:rFonts w:hint="eastAsia" w:ascii="宋体" w:hAnsi="宋体" w:eastAsia="宋体" w:cs="宋体"/>
          <w:b w:val="0"/>
          <w:color w:val="auto"/>
          <w:sz w:val="21"/>
          <w:szCs w:val="21"/>
        </w:rPr>
      </w:pPr>
      <w:bookmarkStart w:id="384" w:name="_Toc351203546"/>
      <w:r>
        <w:rPr>
          <w:rFonts w:hint="eastAsia" w:ascii="宋体" w:hAnsi="宋体" w:eastAsia="宋体" w:cs="宋体"/>
          <w:b w:val="0"/>
          <w:color w:val="auto"/>
          <w:sz w:val="21"/>
          <w:szCs w:val="21"/>
        </w:rPr>
        <w:t>7.4测量放线</w:t>
      </w:r>
      <w:bookmarkEnd w:id="384"/>
    </w:p>
    <w:p w14:paraId="31DE0BD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765404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20B62B5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D55C8E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施工过程中对施工现场内水准点等测量标志物的保护工作由承包人负责。</w:t>
      </w:r>
      <w:bookmarkStart w:id="385" w:name="_Toc351203547"/>
    </w:p>
    <w:p w14:paraId="5D414DBD">
      <w:pPr>
        <w:pStyle w:val="9"/>
        <w:spacing w:before="120" w:after="120" w:line="360" w:lineRule="auto"/>
        <w:ind w:firstLine="420" w:firstLineChars="200"/>
        <w:rPr>
          <w:rFonts w:hint="eastAsia" w:ascii="宋体" w:hAnsi="宋体" w:eastAsia="宋体" w:cs="宋体"/>
          <w:b w:val="0"/>
          <w:color w:val="auto"/>
          <w:sz w:val="21"/>
          <w:szCs w:val="21"/>
        </w:rPr>
      </w:pPr>
      <w:r>
        <w:rPr>
          <w:rFonts w:hint="eastAsia" w:ascii="宋体" w:hAnsi="宋体" w:eastAsia="宋体" w:cs="宋体"/>
          <w:b w:val="0"/>
          <w:color w:val="auto"/>
          <w:sz w:val="21"/>
          <w:szCs w:val="21"/>
        </w:rPr>
        <w:t>7</w:t>
      </w:r>
      <w:bookmarkEnd w:id="378"/>
      <w:bookmarkEnd w:id="379"/>
      <w:bookmarkStart w:id="386" w:name="_Toc296346574"/>
      <w:bookmarkStart w:id="387" w:name="_Toc296503073"/>
      <w:bookmarkStart w:id="388" w:name="_Toc337558772"/>
      <w:r>
        <w:rPr>
          <w:rFonts w:hint="eastAsia" w:ascii="宋体" w:hAnsi="宋体" w:eastAsia="宋体" w:cs="宋体"/>
          <w:b w:val="0"/>
          <w:color w:val="auto"/>
          <w:sz w:val="21"/>
          <w:szCs w:val="21"/>
        </w:rPr>
        <w:t>.5 工期延误</w:t>
      </w:r>
      <w:bookmarkEnd w:id="385"/>
    </w:p>
    <w:bookmarkEnd w:id="386"/>
    <w:bookmarkEnd w:id="387"/>
    <w:bookmarkEnd w:id="388"/>
    <w:p w14:paraId="3BCD76A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7.5.1 因发包人原因导致工期延误</w:t>
      </w:r>
    </w:p>
    <w:p w14:paraId="739C0A5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在合同履行过程中，因下列情况导致工期延误和（或）费用增加的，由发包人承担由此延误的工期和（或）增加的费用，且发包人应支付承包人合理的利润： </w:t>
      </w:r>
    </w:p>
    <w:p w14:paraId="3C54995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（1）发包人未能按合同约定提供图纸或所提供图纸不符合合同约定的；</w:t>
      </w:r>
    </w:p>
    <w:p w14:paraId="0723035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（2）发包人未能按合同约定提供施工现场、施工条件、基础资料、许可、批准等开工条件的；</w:t>
      </w:r>
    </w:p>
    <w:p w14:paraId="25B785F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（3）发包人提供的测量基准点、基准线和水准点及其书面资料存在错误或疏漏的；</w:t>
      </w:r>
    </w:p>
    <w:p w14:paraId="313D0C2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（4）发包人未能在计划开工日期之日起7天内同意下达开工通知的；</w:t>
      </w:r>
    </w:p>
    <w:p w14:paraId="6540EB1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（5）发包人未能按合同约定日期支付工程预付款、进度款或竣工结算款的；</w:t>
      </w:r>
    </w:p>
    <w:p w14:paraId="3C72CCB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（6）监理人未按合同约定发出指示、批准等文件的；</w:t>
      </w:r>
    </w:p>
    <w:p w14:paraId="7891D67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（7）专用合同条款中约定的其他情形。</w:t>
      </w:r>
    </w:p>
    <w:p w14:paraId="78DF1D8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CDD4476">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7.5.2 因承包人原因导致工期延误</w:t>
      </w:r>
    </w:p>
    <w:p w14:paraId="10A97F4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bookmarkStart w:id="389" w:name="_Toc296503076"/>
      <w:bookmarkStart w:id="390" w:name="_Toc296346577"/>
      <w:r>
        <w:rPr>
          <w:rFonts w:hint="eastAsia" w:ascii="宋体" w:hAnsi="宋体" w:eastAsia="宋体" w:cs="宋体"/>
          <w:color w:val="auto"/>
          <w:kern w:val="0"/>
          <w:sz w:val="21"/>
          <w:szCs w:val="21"/>
        </w:rPr>
        <w:t>因</w:t>
      </w:r>
      <w:bookmarkEnd w:id="389"/>
      <w:bookmarkEnd w:id="390"/>
      <w:r>
        <w:rPr>
          <w:rFonts w:hint="eastAsia" w:ascii="宋体" w:hAnsi="宋体" w:eastAsia="宋体" w:cs="宋体"/>
          <w:color w:val="auto"/>
          <w:kern w:val="0"/>
          <w:sz w:val="21"/>
          <w:szCs w:val="21"/>
        </w:rPr>
        <w:t>承包人原因造成工期延误的，可以在专用合同条款中约定逾期竣工违约金的计算方法和逾期竣工违约金的上限。承包人支付逾期竣工违约金后，不免除承包人继续完成工程及修补缺陷的义务。</w:t>
      </w:r>
    </w:p>
    <w:p w14:paraId="0CD54D42">
      <w:pPr>
        <w:pStyle w:val="9"/>
        <w:spacing w:before="120" w:after="120" w:line="360" w:lineRule="auto"/>
        <w:ind w:firstLine="420" w:firstLineChars="200"/>
        <w:rPr>
          <w:rFonts w:hint="eastAsia" w:ascii="宋体" w:hAnsi="宋体" w:eastAsia="宋体" w:cs="宋体"/>
          <w:b w:val="0"/>
          <w:color w:val="auto"/>
          <w:sz w:val="21"/>
          <w:szCs w:val="21"/>
        </w:rPr>
      </w:pPr>
      <w:bookmarkStart w:id="391" w:name="_Toc351203548"/>
      <w:r>
        <w:rPr>
          <w:rFonts w:hint="eastAsia" w:ascii="宋体" w:hAnsi="宋体" w:eastAsia="宋体" w:cs="宋体"/>
          <w:b w:val="0"/>
          <w:color w:val="auto"/>
          <w:sz w:val="21"/>
          <w:szCs w:val="21"/>
        </w:rPr>
        <w:t>7</w:t>
      </w:r>
      <w:bookmarkStart w:id="392" w:name="_Toc337558773"/>
      <w:bookmarkStart w:id="393" w:name="_Toc296346575"/>
      <w:bookmarkStart w:id="394" w:name="_Toc296503074"/>
      <w:bookmarkStart w:id="395" w:name="_Toc296346578"/>
      <w:bookmarkStart w:id="396" w:name="_Toc296503077"/>
      <w:r>
        <w:rPr>
          <w:rFonts w:hint="eastAsia" w:ascii="宋体" w:hAnsi="宋体" w:eastAsia="宋体" w:cs="宋体"/>
          <w:b w:val="0"/>
          <w:color w:val="auto"/>
          <w:sz w:val="21"/>
          <w:szCs w:val="21"/>
        </w:rPr>
        <w:t>.6 不利物质条件</w:t>
      </w:r>
      <w:bookmarkEnd w:id="391"/>
    </w:p>
    <w:bookmarkEnd w:id="392"/>
    <w:bookmarkEnd w:id="393"/>
    <w:bookmarkEnd w:id="394"/>
    <w:p w14:paraId="3025823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40B9026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3E4F9B0">
      <w:pPr>
        <w:pStyle w:val="9"/>
        <w:spacing w:before="120" w:after="120" w:line="360" w:lineRule="auto"/>
        <w:ind w:firstLine="420" w:firstLineChars="200"/>
        <w:rPr>
          <w:rFonts w:hint="eastAsia" w:ascii="宋体" w:hAnsi="宋体" w:eastAsia="宋体" w:cs="宋体"/>
          <w:b w:val="0"/>
          <w:color w:val="auto"/>
          <w:sz w:val="21"/>
          <w:szCs w:val="21"/>
        </w:rPr>
      </w:pPr>
      <w:bookmarkStart w:id="397" w:name="_Toc351203549"/>
      <w:r>
        <w:rPr>
          <w:rFonts w:hint="eastAsia" w:ascii="宋体" w:hAnsi="宋体" w:eastAsia="宋体" w:cs="宋体"/>
          <w:b w:val="0"/>
          <w:color w:val="auto"/>
          <w:sz w:val="21"/>
          <w:szCs w:val="21"/>
        </w:rPr>
        <w:t>7</w:t>
      </w:r>
      <w:bookmarkStart w:id="398" w:name="_Toc296346576"/>
      <w:bookmarkStart w:id="399" w:name="_Toc337558774"/>
      <w:bookmarkStart w:id="400" w:name="_Toc296503075"/>
      <w:r>
        <w:rPr>
          <w:rFonts w:hint="eastAsia" w:ascii="宋体" w:hAnsi="宋体" w:eastAsia="宋体" w:cs="宋体"/>
          <w:b w:val="0"/>
          <w:color w:val="auto"/>
          <w:sz w:val="21"/>
          <w:szCs w:val="21"/>
        </w:rPr>
        <w:t>.7 异常恶劣的气候条件</w:t>
      </w:r>
      <w:bookmarkEnd w:id="397"/>
    </w:p>
    <w:bookmarkEnd w:id="398"/>
    <w:bookmarkEnd w:id="399"/>
    <w:bookmarkEnd w:id="400"/>
    <w:p w14:paraId="5DFBA30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68D7E3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401" w:name="_Toc351203550"/>
    </w:p>
    <w:p w14:paraId="56DEA918">
      <w:pPr>
        <w:autoSpaceDE w:val="0"/>
        <w:autoSpaceDN w:val="0"/>
        <w:adjustRightInd w:val="0"/>
        <w:spacing w:line="360" w:lineRule="auto"/>
        <w:ind w:firstLine="420" w:firstLineChars="200"/>
        <w:jc w:val="left"/>
        <w:outlineLvl w:val="0"/>
        <w:rPr>
          <w:rFonts w:hint="eastAsia" w:ascii="宋体" w:hAnsi="宋体" w:eastAsia="宋体" w:cs="宋体"/>
          <w:bCs/>
          <w:color w:val="auto"/>
          <w:sz w:val="21"/>
          <w:szCs w:val="21"/>
        </w:rPr>
      </w:pPr>
      <w:r>
        <w:rPr>
          <w:rFonts w:hint="eastAsia" w:ascii="宋体" w:hAnsi="宋体" w:eastAsia="宋体" w:cs="宋体"/>
          <w:bCs/>
          <w:color w:val="auto"/>
          <w:sz w:val="21"/>
          <w:szCs w:val="21"/>
        </w:rPr>
        <w:t>7</w:t>
      </w:r>
      <w:bookmarkStart w:id="402" w:name="_Toc337558775"/>
      <w:r>
        <w:rPr>
          <w:rFonts w:hint="eastAsia" w:ascii="宋体" w:hAnsi="宋体" w:eastAsia="宋体" w:cs="宋体"/>
          <w:bCs/>
          <w:color w:val="auto"/>
          <w:sz w:val="21"/>
          <w:szCs w:val="21"/>
        </w:rPr>
        <w:t>.8 暂停施工</w:t>
      </w:r>
      <w:bookmarkEnd w:id="401"/>
    </w:p>
    <w:bookmarkEnd w:id="395"/>
    <w:bookmarkEnd w:id="396"/>
    <w:bookmarkEnd w:id="402"/>
    <w:p w14:paraId="202183F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7.8.1发包人原因引起的暂停施工</w:t>
      </w:r>
    </w:p>
    <w:p w14:paraId="2DB8E28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因发包人原因引起暂停施工的，监理人经发包人同意后，应及时下达暂停施工指示。情况紧急且监理人未及时下达暂停施工指示的，按照第7.8.4项〔紧急情况下的暂停施工〕执行。</w:t>
      </w:r>
    </w:p>
    <w:p w14:paraId="1607456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因发包人原因引起的暂停施工，发包人应承担由此增加的费用和（或）延误的工期，并支付承包人合理的利润。</w:t>
      </w:r>
    </w:p>
    <w:p w14:paraId="2A8B699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7.8.2 承包人原因引起的暂停施工</w:t>
      </w:r>
    </w:p>
    <w:p w14:paraId="2A1805E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E61F35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7.8.3 指示暂停施工</w:t>
      </w:r>
    </w:p>
    <w:p w14:paraId="119EC3A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监理人认为有必要时，并经发包人批准后，可向承包人作出暂停施工的指示，承包人应按监理人指示暂停施工。</w:t>
      </w:r>
    </w:p>
    <w:p w14:paraId="60D2CA6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7.8.4 紧急情况下的暂停施工</w:t>
      </w:r>
    </w:p>
    <w:p w14:paraId="7504BE3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3568BB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7.8.5 暂停施工后的复工</w:t>
      </w:r>
    </w:p>
    <w:p w14:paraId="0E8D6A6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F31A26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承包人无故拖延和拒绝复工的，承包人承担由此增加的费用和（或）延误的工期；因发包人原因无法按时复工的，按照第7.5.1项〔因发包人原因导致工期延误〕约定办理。</w:t>
      </w:r>
    </w:p>
    <w:p w14:paraId="42F3CA8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7.8.6 暂停施工持续56天以上</w:t>
      </w:r>
    </w:p>
    <w:p w14:paraId="2E9EBDF2">
      <w:pPr>
        <w:spacing w:line="360" w:lineRule="auto"/>
        <w:ind w:firstLine="409" w:firstLineChars="195"/>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080D8E05">
      <w:pPr>
        <w:spacing w:line="360" w:lineRule="auto"/>
        <w:ind w:firstLine="409" w:firstLineChars="195"/>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68E7CD8">
      <w:pPr>
        <w:spacing w:line="360" w:lineRule="auto"/>
        <w:ind w:left="16" w:firstLine="409" w:firstLineChars="195"/>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7.8.7 暂停施工期间的工程照管</w:t>
      </w:r>
    </w:p>
    <w:p w14:paraId="2CE6327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暂停施工期间，承包人应负责妥善照管工程并提供安全保障，由此增加的费用由责任方承担。</w:t>
      </w:r>
    </w:p>
    <w:p w14:paraId="31D0C1B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7.8.8 暂停施工的措施</w:t>
      </w:r>
    </w:p>
    <w:p w14:paraId="4B1AFD7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暂停施工期间，发包人和承包人均应采取必要的措施确保工程质量及安全，防止因暂停施工扩大损失。</w:t>
      </w:r>
    </w:p>
    <w:p w14:paraId="43883625">
      <w:pPr>
        <w:pStyle w:val="9"/>
        <w:spacing w:before="120" w:after="120" w:line="360" w:lineRule="auto"/>
        <w:ind w:firstLine="420" w:firstLineChars="200"/>
        <w:rPr>
          <w:rFonts w:hint="eastAsia" w:ascii="宋体" w:hAnsi="宋体" w:eastAsia="宋体" w:cs="宋体"/>
          <w:b w:val="0"/>
          <w:color w:val="auto"/>
          <w:sz w:val="21"/>
          <w:szCs w:val="21"/>
        </w:rPr>
      </w:pPr>
      <w:bookmarkStart w:id="403" w:name="_Toc351203551"/>
      <w:r>
        <w:rPr>
          <w:rFonts w:hint="eastAsia" w:ascii="宋体" w:hAnsi="宋体" w:eastAsia="宋体" w:cs="宋体"/>
          <w:b w:val="0"/>
          <w:color w:val="auto"/>
          <w:sz w:val="21"/>
          <w:szCs w:val="21"/>
        </w:rPr>
        <w:t>7.9提前竣工</w:t>
      </w:r>
      <w:bookmarkEnd w:id="403"/>
    </w:p>
    <w:p w14:paraId="054D147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37F49F7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7.9.2 发包人要求承包人提前竣工，或承包人提出提前竣工的建议能够给发包人带来效益的，合同当事人可以在专用合同条款中约定提前竣工的奖励。</w:t>
      </w:r>
    </w:p>
    <w:p w14:paraId="6174E4C2">
      <w:pPr>
        <w:pStyle w:val="8"/>
        <w:spacing w:before="120" w:after="120" w:line="360" w:lineRule="auto"/>
        <w:rPr>
          <w:rFonts w:hint="eastAsia" w:ascii="宋体" w:hAnsi="宋体" w:eastAsia="宋体" w:cs="宋体"/>
          <w:b w:val="0"/>
          <w:color w:val="auto"/>
          <w:sz w:val="21"/>
          <w:szCs w:val="21"/>
        </w:rPr>
      </w:pPr>
      <w:bookmarkStart w:id="404" w:name="_Toc351203552"/>
      <w:r>
        <w:rPr>
          <w:rFonts w:hint="eastAsia" w:ascii="宋体" w:hAnsi="宋体" w:eastAsia="宋体" w:cs="宋体"/>
          <w:b w:val="0"/>
          <w:color w:val="auto"/>
          <w:sz w:val="21"/>
          <w:szCs w:val="21"/>
        </w:rPr>
        <w:t>8</w:t>
      </w:r>
      <w:bookmarkStart w:id="405" w:name="_Toc337558776"/>
      <w:bookmarkStart w:id="406" w:name="_Toc296346559"/>
      <w:bookmarkStart w:id="407" w:name="_Toc296503058"/>
      <w:r>
        <w:rPr>
          <w:rFonts w:hint="eastAsia" w:ascii="宋体" w:hAnsi="宋体" w:eastAsia="宋体" w:cs="宋体"/>
          <w:b w:val="0"/>
          <w:color w:val="auto"/>
          <w:sz w:val="21"/>
          <w:szCs w:val="21"/>
        </w:rPr>
        <w:t>. 材料与设备</w:t>
      </w:r>
      <w:bookmarkEnd w:id="404"/>
    </w:p>
    <w:bookmarkEnd w:id="405"/>
    <w:bookmarkEnd w:id="406"/>
    <w:bookmarkEnd w:id="407"/>
    <w:p w14:paraId="2ED551A0">
      <w:pPr>
        <w:pStyle w:val="9"/>
        <w:spacing w:before="120" w:after="120" w:line="360" w:lineRule="auto"/>
        <w:ind w:firstLine="420" w:firstLineChars="200"/>
        <w:rPr>
          <w:rFonts w:hint="eastAsia" w:ascii="宋体" w:hAnsi="宋体" w:eastAsia="宋体" w:cs="宋体"/>
          <w:b w:val="0"/>
          <w:color w:val="auto"/>
          <w:sz w:val="21"/>
          <w:szCs w:val="21"/>
        </w:rPr>
      </w:pPr>
      <w:bookmarkStart w:id="408" w:name="_Toc351203553"/>
      <w:r>
        <w:rPr>
          <w:rFonts w:hint="eastAsia" w:ascii="宋体" w:hAnsi="宋体" w:eastAsia="宋体" w:cs="宋体"/>
          <w:b w:val="0"/>
          <w:color w:val="auto"/>
          <w:sz w:val="21"/>
          <w:szCs w:val="21"/>
        </w:rPr>
        <w:t>8</w:t>
      </w:r>
      <w:bookmarkStart w:id="409" w:name="_Toc337558777"/>
      <w:bookmarkStart w:id="410" w:name="_Toc296503059"/>
      <w:bookmarkStart w:id="411" w:name="_Toc296346560"/>
      <w:bookmarkStart w:id="412" w:name="_Toc468936960"/>
      <w:r>
        <w:rPr>
          <w:rFonts w:hint="eastAsia" w:ascii="宋体" w:hAnsi="宋体" w:eastAsia="宋体" w:cs="宋体"/>
          <w:b w:val="0"/>
          <w:color w:val="auto"/>
          <w:sz w:val="21"/>
          <w:szCs w:val="21"/>
        </w:rPr>
        <w:t>.1发包人供应材料与工程设备</w:t>
      </w:r>
      <w:bookmarkEnd w:id="408"/>
    </w:p>
    <w:bookmarkEnd w:id="409"/>
    <w:bookmarkEnd w:id="410"/>
    <w:bookmarkEnd w:id="411"/>
    <w:p w14:paraId="58863DB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发包人自行供应材料、工程设备的，应在签订合同时在专用合同条款的附件《发包人供应材料设备一览表》中明确材料、工程设备的品种、规格、型号、数量、单价、质量等级和送达地点。</w:t>
      </w:r>
    </w:p>
    <w:p w14:paraId="7A68569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7A4FE367">
      <w:pPr>
        <w:pStyle w:val="9"/>
        <w:spacing w:before="120" w:after="120" w:line="360" w:lineRule="auto"/>
        <w:ind w:firstLine="420" w:firstLineChars="200"/>
        <w:rPr>
          <w:rFonts w:hint="eastAsia" w:ascii="宋体" w:hAnsi="宋体" w:eastAsia="宋体" w:cs="宋体"/>
          <w:color w:val="auto"/>
          <w:sz w:val="21"/>
          <w:szCs w:val="21"/>
        </w:rPr>
      </w:pPr>
      <w:bookmarkStart w:id="413" w:name="_Toc351203554"/>
      <w:r>
        <w:rPr>
          <w:rFonts w:hint="eastAsia" w:ascii="宋体" w:hAnsi="宋体" w:eastAsia="宋体" w:cs="宋体"/>
          <w:b w:val="0"/>
          <w:color w:val="auto"/>
          <w:sz w:val="21"/>
          <w:szCs w:val="21"/>
        </w:rPr>
        <w:t>8</w:t>
      </w:r>
      <w:bookmarkStart w:id="414" w:name="_Toc296503060"/>
      <w:bookmarkStart w:id="415" w:name="_Toc296346561"/>
      <w:bookmarkStart w:id="416" w:name="_Toc337558778"/>
      <w:r>
        <w:rPr>
          <w:rFonts w:hint="eastAsia" w:ascii="宋体" w:hAnsi="宋体" w:eastAsia="宋体" w:cs="宋体"/>
          <w:b w:val="0"/>
          <w:color w:val="auto"/>
          <w:sz w:val="21"/>
          <w:szCs w:val="21"/>
        </w:rPr>
        <w:t>.2承包人采购材料与工程设备</w:t>
      </w:r>
      <w:bookmarkEnd w:id="413"/>
    </w:p>
    <w:bookmarkEnd w:id="414"/>
    <w:bookmarkEnd w:id="415"/>
    <w:bookmarkEnd w:id="416"/>
    <w:p w14:paraId="1FAD49F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E130BD8">
      <w:pPr>
        <w:pStyle w:val="9"/>
        <w:spacing w:before="120" w:after="120" w:line="360" w:lineRule="auto"/>
        <w:ind w:firstLine="420" w:firstLineChars="200"/>
        <w:rPr>
          <w:rFonts w:hint="eastAsia" w:ascii="宋体" w:hAnsi="宋体" w:eastAsia="宋体" w:cs="宋体"/>
          <w:b w:val="0"/>
          <w:color w:val="auto"/>
          <w:sz w:val="21"/>
          <w:szCs w:val="21"/>
        </w:rPr>
      </w:pPr>
      <w:bookmarkStart w:id="417" w:name="_Toc351203555"/>
      <w:r>
        <w:rPr>
          <w:rFonts w:hint="eastAsia" w:ascii="宋体" w:hAnsi="宋体" w:eastAsia="宋体" w:cs="宋体"/>
          <w:b w:val="0"/>
          <w:color w:val="auto"/>
          <w:sz w:val="21"/>
          <w:szCs w:val="21"/>
        </w:rPr>
        <w:t>8</w:t>
      </w:r>
      <w:bookmarkStart w:id="418" w:name="_Toc337558779"/>
      <w:bookmarkStart w:id="419" w:name="_Toc296503061"/>
      <w:bookmarkStart w:id="420" w:name="_Toc296346562"/>
      <w:r>
        <w:rPr>
          <w:rFonts w:hint="eastAsia" w:ascii="宋体" w:hAnsi="宋体" w:eastAsia="宋体" w:cs="宋体"/>
          <w:b w:val="0"/>
          <w:color w:val="auto"/>
          <w:sz w:val="21"/>
          <w:szCs w:val="21"/>
        </w:rPr>
        <w:t>.3材料与工程设备的接收与拒收</w:t>
      </w:r>
      <w:bookmarkEnd w:id="417"/>
    </w:p>
    <w:bookmarkEnd w:id="418"/>
    <w:bookmarkEnd w:id="419"/>
    <w:bookmarkEnd w:id="420"/>
    <w:p w14:paraId="7209E70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4A44C1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发包人提供的材料和工程设备的规格、数量或质量不符合合同约定的，或因发包人原因导致交货日期延误或交货地点变更等情况的，按照第16.1款〔发包人违约〕约定办理。</w:t>
      </w:r>
    </w:p>
    <w:p w14:paraId="701423E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8.3.2 承包人采购的材料和工程设备，应保证产品质量合格，承包人应在材料和工程设备到货前24小时通知监理人检验。承</w:t>
      </w:r>
      <w:bookmarkStart w:id="421" w:name="_Toc250655469"/>
      <w:r>
        <w:rPr>
          <w:rFonts w:hint="eastAsia" w:ascii="宋体" w:hAnsi="宋体" w:eastAsia="宋体" w:cs="宋体"/>
          <w:color w:val="auto"/>
          <w:kern w:val="0"/>
          <w:sz w:val="21"/>
          <w:szCs w:val="21"/>
        </w:rPr>
        <w:t>包人进行永久设备、材料的制造和生产的，应符合相关质量标准，并向监理人提交材料的样本以及有关资料，并应在使用该材料或工程设备之前获得监理人同意。</w:t>
      </w:r>
    </w:p>
    <w:bookmarkEnd w:id="421"/>
    <w:p w14:paraId="039AAE61">
      <w:pPr>
        <w:autoSpaceDE w:val="0"/>
        <w:autoSpaceDN w:val="0"/>
        <w:adjustRightInd w:val="0"/>
        <w:spacing w:line="360" w:lineRule="auto"/>
        <w:ind w:firstLine="315" w:firstLineChars="1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132FE32">
      <w:pPr>
        <w:pStyle w:val="9"/>
        <w:spacing w:before="120" w:after="120" w:line="360" w:lineRule="auto"/>
        <w:ind w:firstLine="420" w:firstLineChars="200"/>
        <w:rPr>
          <w:rFonts w:hint="eastAsia" w:ascii="宋体" w:hAnsi="宋体" w:eastAsia="宋体" w:cs="宋体"/>
          <w:b w:val="0"/>
          <w:color w:val="auto"/>
          <w:sz w:val="21"/>
          <w:szCs w:val="21"/>
        </w:rPr>
      </w:pPr>
      <w:bookmarkStart w:id="422" w:name="_Toc351203556"/>
      <w:r>
        <w:rPr>
          <w:rFonts w:hint="eastAsia" w:ascii="宋体" w:hAnsi="宋体" w:eastAsia="宋体" w:cs="宋体"/>
          <w:b w:val="0"/>
          <w:color w:val="auto"/>
          <w:sz w:val="21"/>
          <w:szCs w:val="21"/>
        </w:rPr>
        <w:t>8</w:t>
      </w:r>
      <w:bookmarkStart w:id="423" w:name="_Toc296346563"/>
      <w:bookmarkStart w:id="424" w:name="_Toc296503062"/>
      <w:bookmarkStart w:id="425" w:name="_Toc337558780"/>
      <w:r>
        <w:rPr>
          <w:rFonts w:hint="eastAsia" w:ascii="宋体" w:hAnsi="宋体" w:eastAsia="宋体" w:cs="宋体"/>
          <w:b w:val="0"/>
          <w:color w:val="auto"/>
          <w:sz w:val="21"/>
          <w:szCs w:val="21"/>
        </w:rPr>
        <w:t>.4材料与工程设备的保管与使用</w:t>
      </w:r>
      <w:bookmarkEnd w:id="422"/>
    </w:p>
    <w:bookmarkEnd w:id="423"/>
    <w:bookmarkEnd w:id="424"/>
    <w:bookmarkEnd w:id="425"/>
    <w:p w14:paraId="10A1A40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8.4.1 发包人供应</w:t>
      </w:r>
      <w:r>
        <w:rPr>
          <w:rFonts w:hint="eastAsia" w:ascii="宋体" w:hAnsi="宋体" w:eastAsia="宋体" w:cs="宋体"/>
          <w:color w:val="auto"/>
          <w:sz w:val="21"/>
          <w:szCs w:val="21"/>
        </w:rPr>
        <w:t>材料与</w:t>
      </w:r>
      <w:r>
        <w:rPr>
          <w:rFonts w:hint="eastAsia" w:ascii="宋体" w:hAnsi="宋体" w:eastAsia="宋体" w:cs="宋体"/>
          <w:color w:val="auto"/>
          <w:kern w:val="0"/>
          <w:sz w:val="21"/>
          <w:szCs w:val="21"/>
        </w:rPr>
        <w:t>工程</w:t>
      </w:r>
      <w:r>
        <w:rPr>
          <w:rFonts w:hint="eastAsia" w:ascii="宋体" w:hAnsi="宋体" w:eastAsia="宋体" w:cs="宋体"/>
          <w:color w:val="auto"/>
          <w:sz w:val="21"/>
          <w:szCs w:val="21"/>
        </w:rPr>
        <w:t>设备的保管与使用</w:t>
      </w:r>
    </w:p>
    <w:p w14:paraId="6C8862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9B8B13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发包人供应的材料和工程设备使用前，由承包人负责检验，检验费用由发包人承担，不合格的不得使用。</w:t>
      </w:r>
    </w:p>
    <w:p w14:paraId="0CED42F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8.4.2 承包人采购</w:t>
      </w:r>
      <w:r>
        <w:rPr>
          <w:rFonts w:hint="eastAsia" w:ascii="宋体" w:hAnsi="宋体" w:eastAsia="宋体" w:cs="宋体"/>
          <w:color w:val="auto"/>
          <w:sz w:val="21"/>
          <w:szCs w:val="21"/>
        </w:rPr>
        <w:t>材料与</w:t>
      </w:r>
      <w:r>
        <w:rPr>
          <w:rFonts w:hint="eastAsia" w:ascii="宋体" w:hAnsi="宋体" w:eastAsia="宋体" w:cs="宋体"/>
          <w:color w:val="auto"/>
          <w:kern w:val="0"/>
          <w:sz w:val="21"/>
          <w:szCs w:val="21"/>
        </w:rPr>
        <w:t>工程</w:t>
      </w:r>
      <w:r>
        <w:rPr>
          <w:rFonts w:hint="eastAsia" w:ascii="宋体" w:hAnsi="宋体" w:eastAsia="宋体" w:cs="宋体"/>
          <w:color w:val="auto"/>
          <w:sz w:val="21"/>
          <w:szCs w:val="21"/>
        </w:rPr>
        <w:t>设备的保管与使用</w:t>
      </w:r>
    </w:p>
    <w:p w14:paraId="2A9583A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44A30F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发包人或监理人发现承包人使用不符合设计或有关标准要求的材料和工程设备时，有权要求承包人进行修复、拆除或重新采购，由此增加的费用和（或）延误的工期，由承包人承担。</w:t>
      </w:r>
    </w:p>
    <w:p w14:paraId="35CC7413">
      <w:pPr>
        <w:pStyle w:val="9"/>
        <w:spacing w:before="120" w:after="120" w:line="360" w:lineRule="auto"/>
        <w:ind w:firstLine="420" w:firstLineChars="200"/>
        <w:rPr>
          <w:rFonts w:hint="eastAsia" w:ascii="宋体" w:hAnsi="宋体" w:eastAsia="宋体" w:cs="宋体"/>
          <w:b w:val="0"/>
          <w:color w:val="auto"/>
          <w:sz w:val="21"/>
          <w:szCs w:val="21"/>
        </w:rPr>
      </w:pPr>
      <w:bookmarkStart w:id="426" w:name="_Toc351203557"/>
      <w:r>
        <w:rPr>
          <w:rFonts w:hint="eastAsia" w:ascii="宋体" w:hAnsi="宋体" w:eastAsia="宋体" w:cs="宋体"/>
          <w:b w:val="0"/>
          <w:color w:val="auto"/>
          <w:sz w:val="21"/>
          <w:szCs w:val="21"/>
        </w:rPr>
        <w:t>8.5禁止使用不合格的材料和工程设备</w:t>
      </w:r>
      <w:bookmarkEnd w:id="426"/>
    </w:p>
    <w:p w14:paraId="3F40C79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8.5.1 监理人有权拒绝承包人提供的不合格材料或工程设备，并要求承包人立即进行更换。监理人应在更换后再次进行检查和检验，由此增加的费用和（或）延误的工期由承包人承担。</w:t>
      </w:r>
    </w:p>
    <w:p w14:paraId="3E59433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8.5.2 监理人发现承包人使用了不合格的材料和工程设备，承包人应按照监理人的指示立即改正，并禁止在工程中继续使用不合格的材料和工程设备。</w:t>
      </w:r>
    </w:p>
    <w:p w14:paraId="5536B9C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8.5.3 发包人提供的材料或工程设备不符合合同要求的，承包人有权拒绝，并可要求发包人更换，由此增加的费用和（或）延误的工期由发包人承担，并支付承包人合理的利润。</w:t>
      </w:r>
    </w:p>
    <w:p w14:paraId="4CFC9069">
      <w:pPr>
        <w:pStyle w:val="9"/>
        <w:spacing w:before="120" w:after="120" w:line="360" w:lineRule="auto"/>
        <w:ind w:firstLine="420" w:firstLineChars="200"/>
        <w:rPr>
          <w:rFonts w:hint="eastAsia" w:ascii="宋体" w:hAnsi="宋体" w:eastAsia="宋体" w:cs="宋体"/>
          <w:b w:val="0"/>
          <w:color w:val="auto"/>
          <w:sz w:val="21"/>
          <w:szCs w:val="21"/>
        </w:rPr>
      </w:pPr>
      <w:bookmarkStart w:id="427" w:name="_Toc351203558"/>
      <w:r>
        <w:rPr>
          <w:rFonts w:hint="eastAsia" w:ascii="宋体" w:hAnsi="宋体" w:eastAsia="宋体" w:cs="宋体"/>
          <w:b w:val="0"/>
          <w:color w:val="auto"/>
          <w:sz w:val="21"/>
          <w:szCs w:val="21"/>
        </w:rPr>
        <w:t>8.6 样品</w:t>
      </w:r>
      <w:bookmarkEnd w:id="427"/>
    </w:p>
    <w:p w14:paraId="4A9552D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8.6.1</w:t>
      </w:r>
      <w:r>
        <w:rPr>
          <w:rFonts w:hint="eastAsia" w:ascii="宋体" w:hAnsi="宋体" w:eastAsia="宋体" w:cs="宋体"/>
          <w:color w:val="auto"/>
          <w:kern w:val="0"/>
          <w:sz w:val="21"/>
          <w:szCs w:val="21"/>
        </w:rPr>
        <w:tab/>
      </w:r>
      <w:r>
        <w:rPr>
          <w:rFonts w:hint="eastAsia" w:ascii="宋体" w:hAnsi="宋体" w:eastAsia="宋体" w:cs="宋体"/>
          <w:color w:val="auto"/>
          <w:kern w:val="0"/>
          <w:sz w:val="21"/>
          <w:szCs w:val="21"/>
        </w:rPr>
        <w:t>样品的报送与封存</w:t>
      </w:r>
    </w:p>
    <w:p w14:paraId="2B359D9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需要承包人报送样品的材料或工程设备，样品的种类、名称、规格、数量等要求均应在专用合同条款中约定。样品的报送程序如下：</w:t>
      </w:r>
    </w:p>
    <w:p w14:paraId="3CA1AE5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71E7C09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（2）承包人每次报送样品时应随附申报单，申报单应载明报送样品的相关数据和资料，并标明每件样品对应的图纸号，预留监理人批复意见栏。监理人应在收到承包人报送的样品后7</w:t>
      </w:r>
      <w:r>
        <w:rPr>
          <w:rFonts w:hint="eastAsia" w:ascii="宋体" w:hAnsi="宋体" w:cs="宋体"/>
          <w:color w:val="auto"/>
          <w:kern w:val="0"/>
          <w:sz w:val="21"/>
          <w:szCs w:val="21"/>
          <w:lang w:eastAsia="zh-CN"/>
        </w:rPr>
        <w:t>天内</w:t>
      </w:r>
      <w:r>
        <w:rPr>
          <w:rFonts w:hint="eastAsia" w:ascii="宋体" w:hAnsi="宋体" w:eastAsia="宋体" w:cs="宋体"/>
          <w:color w:val="auto"/>
          <w:kern w:val="0"/>
          <w:sz w:val="21"/>
          <w:szCs w:val="21"/>
        </w:rPr>
        <w:t>向承包人回复经发包人签认的样品审批意见。</w:t>
      </w:r>
    </w:p>
    <w:p w14:paraId="727B37C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（3）经发包人和监理人审批确认的样品应按约定的方法封样，封存的样品作为检验工程相关部分的标准之一。承包人在施工过程中不得使用与样品不符的材料或工程设备。</w:t>
      </w:r>
    </w:p>
    <w:p w14:paraId="0758950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（4）发包人和监理人对样品的审批确认仅为确认相关材料或工程设备的特征或用途，不得被理解为对合同的修改或改变，也并不减轻或免除承包人</w:t>
      </w:r>
      <w:r>
        <w:rPr>
          <w:rFonts w:hint="eastAsia" w:ascii="宋体" w:hAnsi="宋体" w:cs="宋体"/>
          <w:color w:val="auto"/>
          <w:kern w:val="0"/>
          <w:sz w:val="21"/>
          <w:szCs w:val="21"/>
          <w:lang w:eastAsia="zh-CN"/>
        </w:rPr>
        <w:t>任何</w:t>
      </w:r>
      <w:r>
        <w:rPr>
          <w:rFonts w:hint="eastAsia" w:ascii="宋体" w:hAnsi="宋体" w:eastAsia="宋体" w:cs="宋体"/>
          <w:color w:val="auto"/>
          <w:kern w:val="0"/>
          <w:sz w:val="21"/>
          <w:szCs w:val="21"/>
        </w:rPr>
        <w:t>责任和义务。如果封存的样品修改或改变了合同约定，合同当事人应当以书面协议予以确认。</w:t>
      </w:r>
    </w:p>
    <w:p w14:paraId="42A488D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8.6.2 样品的保管</w:t>
      </w:r>
    </w:p>
    <w:p w14:paraId="05E04CF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经批准的样品应由监理人负责封存于现场，承包人应在现场为保存样品提供适当和固定的场所并保持适当和良好的存储环境条件。</w:t>
      </w:r>
    </w:p>
    <w:p w14:paraId="221C2A96">
      <w:pPr>
        <w:pStyle w:val="9"/>
        <w:spacing w:before="120" w:after="120" w:line="360" w:lineRule="auto"/>
        <w:ind w:firstLine="420" w:firstLineChars="200"/>
        <w:rPr>
          <w:rFonts w:hint="eastAsia" w:ascii="宋体" w:hAnsi="宋体" w:eastAsia="宋体" w:cs="宋体"/>
          <w:b w:val="0"/>
          <w:color w:val="auto"/>
          <w:sz w:val="21"/>
          <w:szCs w:val="21"/>
        </w:rPr>
      </w:pPr>
      <w:bookmarkStart w:id="428" w:name="_Toc351203559"/>
      <w:r>
        <w:rPr>
          <w:rFonts w:hint="eastAsia" w:ascii="宋体" w:hAnsi="宋体" w:eastAsia="宋体" w:cs="宋体"/>
          <w:b w:val="0"/>
          <w:color w:val="auto"/>
          <w:sz w:val="21"/>
          <w:szCs w:val="21"/>
        </w:rPr>
        <w:t>8.7材料与工程设备的替代</w:t>
      </w:r>
      <w:bookmarkEnd w:id="428"/>
    </w:p>
    <w:p w14:paraId="3480E7D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8.7.1 出现下列情况需要使用替代材料和工程设备的，承包人应按照第8.7.2项约定的程序执行：</w:t>
      </w:r>
    </w:p>
    <w:p w14:paraId="187B929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（1）基准日期后生效的法律规定禁止使用的；</w:t>
      </w:r>
    </w:p>
    <w:p w14:paraId="6E53499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（2）发包人要求使用替代品的；</w:t>
      </w:r>
    </w:p>
    <w:p w14:paraId="79887C8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（3）因其他原因必须使用替代品的。</w:t>
      </w:r>
    </w:p>
    <w:p w14:paraId="5739BFE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8.7.2 承包人应在使用替代材料和工程设备28天前书面通知监理人，并附下列文件：</w:t>
      </w:r>
    </w:p>
    <w:p w14:paraId="2A66567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（1）被替代的材料和工程设备的名称、数量、规格、型号、品牌、性能、价格及其他相关资料；</w:t>
      </w:r>
    </w:p>
    <w:p w14:paraId="25E1EC9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（2）替代品的名称、数量、规格、型号、品牌、性能、价格及其他相关资料；</w:t>
      </w:r>
    </w:p>
    <w:p w14:paraId="27A517C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（3）替代品与被替代产品之间的差异以及使用替代品可能对工程产生的影响；</w:t>
      </w:r>
    </w:p>
    <w:p w14:paraId="22896D0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（4）替代品与被替代产品的价格差异；</w:t>
      </w:r>
    </w:p>
    <w:p w14:paraId="2695805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（5）使用替代品的理由和原因说明；</w:t>
      </w:r>
    </w:p>
    <w:p w14:paraId="2B5D0AF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（6）监理人要求的其他文件。</w:t>
      </w:r>
    </w:p>
    <w:p w14:paraId="6070523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监理人应在收到通知后14天内向承包人发出经发包人签认的书面指示；监理人逾期发出书面指示的，视为发包人和监理人同意使用替代品。</w:t>
      </w:r>
    </w:p>
    <w:p w14:paraId="58C0DD9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73364026">
      <w:pPr>
        <w:pStyle w:val="9"/>
        <w:spacing w:before="120" w:after="120" w:line="360" w:lineRule="auto"/>
        <w:ind w:firstLine="420" w:firstLineChars="200"/>
        <w:rPr>
          <w:rFonts w:hint="eastAsia" w:ascii="宋体" w:hAnsi="宋体" w:eastAsia="宋体" w:cs="宋体"/>
          <w:b w:val="0"/>
          <w:color w:val="auto"/>
          <w:sz w:val="21"/>
          <w:szCs w:val="21"/>
        </w:rPr>
      </w:pPr>
      <w:bookmarkStart w:id="429" w:name="_Toc351203560"/>
      <w:r>
        <w:rPr>
          <w:rFonts w:hint="eastAsia" w:ascii="宋体" w:hAnsi="宋体" w:eastAsia="宋体" w:cs="宋体"/>
          <w:b w:val="0"/>
          <w:color w:val="auto"/>
          <w:sz w:val="21"/>
          <w:szCs w:val="21"/>
        </w:rPr>
        <w:t>8.8施工设备和临时设施</w:t>
      </w:r>
      <w:bookmarkEnd w:id="429"/>
    </w:p>
    <w:p w14:paraId="32C08B7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8.8.1 承包人提供的施工设备和临时设施</w:t>
      </w:r>
    </w:p>
    <w:p w14:paraId="57FA51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承包人应按合同进度计划的要求，及时配置施工设备和修建临时设施。进入施工场地的承包人设备需经监理人核查后才能投入使用。承包人更换合同约定的承包人设备的，应报监理人批准。</w:t>
      </w:r>
    </w:p>
    <w:p w14:paraId="0BC6BC0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除专用合同条款另有约定外，承包人应自行承担修建临时设施的费用，需要临时占地的，应由发包人办理申请手续并承担相应费用。</w:t>
      </w:r>
    </w:p>
    <w:p w14:paraId="4266B91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8.8.2发包人提供的施工设备和临时设施</w:t>
      </w:r>
    </w:p>
    <w:p w14:paraId="4A2E5A9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发包人提供的施工设备或临时设施在专用合同条款中约定。</w:t>
      </w:r>
    </w:p>
    <w:p w14:paraId="616D6CF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8.8.3要求承包人增加或更换施工设备</w:t>
      </w:r>
    </w:p>
    <w:p w14:paraId="49A2E52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承包人使用的施工设备不能满足合同进度计划和（或）质量要求时，监理人有权要求承包人增加或更换施工设备，承包人应及时增加或更换，由此增加的费用和（或）延误的工期由承包人承担。</w:t>
      </w:r>
    </w:p>
    <w:p w14:paraId="483C2F78">
      <w:pPr>
        <w:pStyle w:val="9"/>
        <w:spacing w:before="120" w:after="120" w:line="360" w:lineRule="auto"/>
        <w:ind w:firstLine="420" w:firstLineChars="200"/>
        <w:rPr>
          <w:rFonts w:hint="eastAsia" w:ascii="宋体" w:hAnsi="宋体" w:eastAsia="宋体" w:cs="宋体"/>
          <w:b w:val="0"/>
          <w:color w:val="auto"/>
          <w:sz w:val="21"/>
          <w:szCs w:val="21"/>
        </w:rPr>
      </w:pPr>
      <w:bookmarkStart w:id="430" w:name="_Toc351203561"/>
      <w:r>
        <w:rPr>
          <w:rFonts w:hint="eastAsia" w:ascii="宋体" w:hAnsi="宋体" w:eastAsia="宋体" w:cs="宋体"/>
          <w:b w:val="0"/>
          <w:color w:val="auto"/>
          <w:sz w:val="21"/>
          <w:szCs w:val="21"/>
        </w:rPr>
        <w:t>8</w:t>
      </w:r>
      <w:bookmarkStart w:id="431" w:name="_Toc337558781"/>
      <w:bookmarkStart w:id="432" w:name="_Toc296346564"/>
      <w:bookmarkStart w:id="433" w:name="_Toc296503063"/>
      <w:r>
        <w:rPr>
          <w:rFonts w:hint="eastAsia" w:ascii="宋体" w:hAnsi="宋体" w:eastAsia="宋体" w:cs="宋体"/>
          <w:b w:val="0"/>
          <w:color w:val="auto"/>
          <w:sz w:val="21"/>
          <w:szCs w:val="21"/>
        </w:rPr>
        <w:t>.9材料与设备专用</w:t>
      </w:r>
      <w:bookmarkEnd w:id="430"/>
      <w:r>
        <w:rPr>
          <w:rFonts w:hint="eastAsia" w:ascii="宋体" w:hAnsi="宋体" w:eastAsia="宋体" w:cs="宋体"/>
          <w:b w:val="0"/>
          <w:color w:val="auto"/>
          <w:sz w:val="21"/>
          <w:szCs w:val="21"/>
        </w:rPr>
        <w:t>要求</w:t>
      </w:r>
    </w:p>
    <w:bookmarkEnd w:id="431"/>
    <w:bookmarkEnd w:id="432"/>
    <w:bookmarkEnd w:id="433"/>
    <w:p w14:paraId="48CAB2D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w:t>
      </w:r>
      <w:r>
        <w:rPr>
          <w:rFonts w:hint="eastAsia" w:ascii="宋体" w:hAnsi="宋体" w:cs="宋体"/>
          <w:color w:val="auto"/>
          <w:kern w:val="0"/>
          <w:sz w:val="21"/>
          <w:szCs w:val="21"/>
          <w:lang w:eastAsia="zh-CN"/>
        </w:rPr>
        <w:t>进入</w:t>
      </w:r>
      <w:r>
        <w:rPr>
          <w:rFonts w:hint="eastAsia" w:ascii="宋体" w:hAnsi="宋体" w:eastAsia="宋体" w:cs="宋体"/>
          <w:color w:val="auto"/>
          <w:kern w:val="0"/>
          <w:sz w:val="21"/>
          <w:szCs w:val="21"/>
        </w:rPr>
        <w:t>施工现场的材料、工程设备、施工设备以及在施工场地建设的临时设施，包括备品备件、安装工具与资料，必须专用于工程。未经发包人批准，承包人不得运出施工现场或挪作他用；</w:t>
      </w:r>
      <w:bookmarkEnd w:id="412"/>
      <w:r>
        <w:rPr>
          <w:rFonts w:hint="eastAsia" w:ascii="宋体" w:hAnsi="宋体" w:eastAsia="宋体" w:cs="宋体"/>
          <w:color w:val="auto"/>
          <w:kern w:val="0"/>
          <w:sz w:val="21"/>
          <w:szCs w:val="21"/>
        </w:rPr>
        <w:t>经发包人批准，承包人可以根据施工进度计划撤走闲置的施工设备和其他物品。</w:t>
      </w:r>
    </w:p>
    <w:p w14:paraId="5E4A6590">
      <w:pPr>
        <w:pStyle w:val="8"/>
        <w:spacing w:before="120" w:after="120" w:line="360" w:lineRule="auto"/>
        <w:rPr>
          <w:rFonts w:hint="eastAsia" w:ascii="宋体" w:hAnsi="宋体" w:eastAsia="宋体" w:cs="宋体"/>
          <w:b w:val="0"/>
          <w:color w:val="auto"/>
          <w:sz w:val="21"/>
          <w:szCs w:val="21"/>
        </w:rPr>
      </w:pPr>
      <w:bookmarkStart w:id="434" w:name="_Toc351203562"/>
      <w:r>
        <w:rPr>
          <w:rFonts w:hint="eastAsia" w:ascii="宋体" w:hAnsi="宋体" w:eastAsia="宋体" w:cs="宋体"/>
          <w:b w:val="0"/>
          <w:color w:val="auto"/>
          <w:sz w:val="21"/>
          <w:szCs w:val="21"/>
        </w:rPr>
        <w:t>9</w:t>
      </w:r>
      <w:bookmarkStart w:id="435" w:name="_Toc337558782"/>
      <w:bookmarkStart w:id="436" w:name="_Toc296503083"/>
      <w:bookmarkStart w:id="437" w:name="_Toc296346584"/>
      <w:r>
        <w:rPr>
          <w:rFonts w:hint="eastAsia" w:ascii="宋体" w:hAnsi="宋体" w:eastAsia="宋体" w:cs="宋体"/>
          <w:b w:val="0"/>
          <w:color w:val="auto"/>
          <w:sz w:val="21"/>
          <w:szCs w:val="21"/>
        </w:rPr>
        <w:t>. 试验与检验</w:t>
      </w:r>
      <w:bookmarkEnd w:id="434"/>
    </w:p>
    <w:bookmarkEnd w:id="435"/>
    <w:p w14:paraId="4FB29FB1">
      <w:pPr>
        <w:pStyle w:val="9"/>
        <w:spacing w:before="120" w:after="120" w:line="360" w:lineRule="auto"/>
        <w:ind w:firstLine="420" w:firstLineChars="200"/>
        <w:rPr>
          <w:rFonts w:hint="eastAsia" w:ascii="宋体" w:hAnsi="宋体" w:eastAsia="宋体" w:cs="宋体"/>
          <w:b w:val="0"/>
          <w:color w:val="auto"/>
          <w:sz w:val="21"/>
          <w:szCs w:val="21"/>
        </w:rPr>
      </w:pPr>
      <w:bookmarkStart w:id="438" w:name="_Toc351203563"/>
      <w:r>
        <w:rPr>
          <w:rFonts w:hint="eastAsia" w:ascii="宋体" w:hAnsi="宋体" w:eastAsia="宋体" w:cs="宋体"/>
          <w:b w:val="0"/>
          <w:color w:val="auto"/>
          <w:sz w:val="21"/>
          <w:szCs w:val="21"/>
        </w:rPr>
        <w:t>9</w:t>
      </w:r>
      <w:bookmarkStart w:id="439" w:name="_Toc337558783"/>
      <w:r>
        <w:rPr>
          <w:rFonts w:hint="eastAsia" w:ascii="宋体" w:hAnsi="宋体" w:eastAsia="宋体" w:cs="宋体"/>
          <w:b w:val="0"/>
          <w:color w:val="auto"/>
          <w:sz w:val="21"/>
          <w:szCs w:val="21"/>
        </w:rPr>
        <w:t>.1试验设备与试验人员</w:t>
      </w:r>
      <w:bookmarkEnd w:id="438"/>
    </w:p>
    <w:bookmarkEnd w:id="439"/>
    <w:p w14:paraId="25BDF65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F6221D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9.1.2 承包人应按专用合同条款的约定提供试验设备、取样装置、试验场所和试验条件，并向监理人提交相应进场计划表。</w:t>
      </w:r>
    </w:p>
    <w:p w14:paraId="3A1B2FF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承包人配置的试验设备要符合相应试验规程的要求并经过具有资质的检测单位检测，且在正式使用该试验设备前，需要经过监理人与承包人共同校定。</w:t>
      </w:r>
    </w:p>
    <w:p w14:paraId="577BAB3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9.1.3 承包人应向监理人提交试验人员的名单及其岗位、资格等证明资料，试验人员必须能够熟练进行相应的检测试验，承包人对试验人员的试验程序和试验结果的正确性负责。</w:t>
      </w:r>
    </w:p>
    <w:p w14:paraId="59518549">
      <w:pPr>
        <w:pStyle w:val="9"/>
        <w:spacing w:before="120" w:after="120" w:line="360" w:lineRule="auto"/>
        <w:ind w:firstLine="420" w:firstLineChars="200"/>
        <w:rPr>
          <w:rFonts w:hint="eastAsia" w:ascii="宋体" w:hAnsi="宋体" w:eastAsia="宋体" w:cs="宋体"/>
          <w:b w:val="0"/>
          <w:color w:val="auto"/>
          <w:sz w:val="21"/>
          <w:szCs w:val="21"/>
        </w:rPr>
      </w:pPr>
      <w:bookmarkStart w:id="440" w:name="_Toc351203564"/>
      <w:r>
        <w:rPr>
          <w:rFonts w:hint="eastAsia" w:ascii="宋体" w:hAnsi="宋体" w:eastAsia="宋体" w:cs="宋体"/>
          <w:b w:val="0"/>
          <w:color w:val="auto"/>
          <w:sz w:val="21"/>
          <w:szCs w:val="21"/>
        </w:rPr>
        <w:t>9</w:t>
      </w:r>
      <w:bookmarkStart w:id="441" w:name="_Toc337558784"/>
      <w:r>
        <w:rPr>
          <w:rFonts w:hint="eastAsia" w:ascii="宋体" w:hAnsi="宋体" w:eastAsia="宋体" w:cs="宋体"/>
          <w:b w:val="0"/>
          <w:color w:val="auto"/>
          <w:sz w:val="21"/>
          <w:szCs w:val="21"/>
        </w:rPr>
        <w:t>.2取样</w:t>
      </w:r>
      <w:bookmarkEnd w:id="440"/>
    </w:p>
    <w:bookmarkEnd w:id="441"/>
    <w:p w14:paraId="2765FB4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试验属于自检性质的，承包人可以单独取样。试验属于监理人抽检性质的，可由监理人取样，也可由承包人的试验人员在监理人的监督下取样。</w:t>
      </w:r>
    </w:p>
    <w:p w14:paraId="75D69CC4">
      <w:pPr>
        <w:pStyle w:val="9"/>
        <w:spacing w:before="120" w:after="120" w:line="360" w:lineRule="auto"/>
        <w:ind w:firstLine="420" w:firstLineChars="200"/>
        <w:rPr>
          <w:rFonts w:hint="eastAsia" w:ascii="宋体" w:hAnsi="宋体" w:eastAsia="宋体" w:cs="宋体"/>
          <w:b w:val="0"/>
          <w:color w:val="auto"/>
          <w:sz w:val="21"/>
          <w:szCs w:val="21"/>
        </w:rPr>
      </w:pPr>
      <w:bookmarkStart w:id="442" w:name="_Toc351203565"/>
      <w:r>
        <w:rPr>
          <w:rFonts w:hint="eastAsia" w:ascii="宋体" w:hAnsi="宋体" w:eastAsia="宋体" w:cs="宋体"/>
          <w:b w:val="0"/>
          <w:color w:val="auto"/>
          <w:sz w:val="21"/>
          <w:szCs w:val="21"/>
        </w:rPr>
        <w:t>9</w:t>
      </w:r>
      <w:bookmarkStart w:id="443" w:name="_Toc337558785"/>
      <w:r>
        <w:rPr>
          <w:rFonts w:hint="eastAsia" w:ascii="宋体" w:hAnsi="宋体" w:eastAsia="宋体" w:cs="宋体"/>
          <w:b w:val="0"/>
          <w:color w:val="auto"/>
          <w:sz w:val="21"/>
          <w:szCs w:val="21"/>
        </w:rPr>
        <w:t>.3材料、工程设备和工程的试验和检验</w:t>
      </w:r>
      <w:bookmarkEnd w:id="442"/>
    </w:p>
    <w:bookmarkEnd w:id="443"/>
    <w:p w14:paraId="6993E83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9B8F6A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76D964D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1077F8C">
      <w:pPr>
        <w:pStyle w:val="9"/>
        <w:spacing w:before="120" w:after="120" w:line="360" w:lineRule="auto"/>
        <w:ind w:firstLine="420" w:firstLineChars="200"/>
        <w:rPr>
          <w:rFonts w:hint="eastAsia" w:ascii="宋体" w:hAnsi="宋体" w:eastAsia="宋体" w:cs="宋体"/>
          <w:b w:val="0"/>
          <w:color w:val="auto"/>
          <w:sz w:val="21"/>
          <w:szCs w:val="21"/>
        </w:rPr>
      </w:pPr>
      <w:bookmarkStart w:id="444" w:name="_Toc351203566"/>
      <w:r>
        <w:rPr>
          <w:rFonts w:hint="eastAsia" w:ascii="宋体" w:hAnsi="宋体" w:eastAsia="宋体" w:cs="宋体"/>
          <w:b w:val="0"/>
          <w:color w:val="auto"/>
          <w:sz w:val="21"/>
          <w:szCs w:val="21"/>
        </w:rPr>
        <w:t>9</w:t>
      </w:r>
      <w:bookmarkStart w:id="445" w:name="_Toc337558786"/>
      <w:r>
        <w:rPr>
          <w:rFonts w:hint="eastAsia" w:ascii="宋体" w:hAnsi="宋体" w:eastAsia="宋体" w:cs="宋体"/>
          <w:b w:val="0"/>
          <w:color w:val="auto"/>
          <w:sz w:val="21"/>
          <w:szCs w:val="21"/>
        </w:rPr>
        <w:t>.4现场工艺试验</w:t>
      </w:r>
      <w:bookmarkEnd w:id="444"/>
    </w:p>
    <w:bookmarkEnd w:id="445"/>
    <w:p w14:paraId="5CF3C7D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承包人应按合同约定或监理人指示进行现场工艺试验。对大型的现场工艺试验，监理人认为必要时，承包人应根据监理人提出的工艺试验要求，编制工艺试验措施计划，报送监理人审查。</w:t>
      </w:r>
    </w:p>
    <w:p w14:paraId="73B3655B">
      <w:pPr>
        <w:pStyle w:val="8"/>
        <w:spacing w:before="120" w:after="120" w:line="360" w:lineRule="auto"/>
        <w:rPr>
          <w:rFonts w:hint="eastAsia" w:ascii="宋体" w:hAnsi="宋体" w:eastAsia="宋体" w:cs="宋体"/>
          <w:b w:val="0"/>
          <w:color w:val="auto"/>
          <w:sz w:val="21"/>
          <w:szCs w:val="21"/>
        </w:rPr>
      </w:pPr>
      <w:bookmarkStart w:id="446" w:name="_Toc351203567"/>
      <w:r>
        <w:rPr>
          <w:rFonts w:hint="eastAsia" w:ascii="宋体" w:hAnsi="宋体" w:eastAsia="宋体" w:cs="宋体"/>
          <w:b w:val="0"/>
          <w:color w:val="auto"/>
          <w:sz w:val="21"/>
          <w:szCs w:val="21"/>
        </w:rPr>
        <w:t>1</w:t>
      </w:r>
      <w:bookmarkStart w:id="447" w:name="_Toc337558787"/>
      <w:r>
        <w:rPr>
          <w:rFonts w:hint="eastAsia" w:ascii="宋体" w:hAnsi="宋体" w:eastAsia="宋体" w:cs="宋体"/>
          <w:b w:val="0"/>
          <w:color w:val="auto"/>
          <w:sz w:val="21"/>
          <w:szCs w:val="21"/>
        </w:rPr>
        <w:t>0. 变更</w:t>
      </w:r>
      <w:bookmarkEnd w:id="436"/>
      <w:bookmarkEnd w:id="437"/>
      <w:bookmarkEnd w:id="446"/>
    </w:p>
    <w:bookmarkEnd w:id="447"/>
    <w:p w14:paraId="0B84D991">
      <w:pPr>
        <w:pStyle w:val="9"/>
        <w:spacing w:before="120" w:after="120" w:line="360" w:lineRule="auto"/>
        <w:ind w:firstLine="420" w:firstLineChars="200"/>
        <w:rPr>
          <w:rFonts w:hint="eastAsia" w:ascii="宋体" w:hAnsi="宋体" w:eastAsia="宋体" w:cs="宋体"/>
          <w:b w:val="0"/>
          <w:color w:val="auto"/>
          <w:sz w:val="21"/>
          <w:szCs w:val="21"/>
        </w:rPr>
      </w:pPr>
      <w:bookmarkStart w:id="448" w:name="_Toc351203568"/>
      <w:r>
        <w:rPr>
          <w:rFonts w:hint="eastAsia" w:ascii="宋体" w:hAnsi="宋体" w:eastAsia="宋体" w:cs="宋体"/>
          <w:b w:val="0"/>
          <w:color w:val="auto"/>
          <w:sz w:val="21"/>
          <w:szCs w:val="21"/>
        </w:rPr>
        <w:t>1</w:t>
      </w:r>
      <w:bookmarkStart w:id="449" w:name="_Toc337558788"/>
      <w:bookmarkStart w:id="450" w:name="_Toc296503084"/>
      <w:bookmarkStart w:id="451" w:name="_Toc296346585"/>
      <w:r>
        <w:rPr>
          <w:rFonts w:hint="eastAsia" w:ascii="宋体" w:hAnsi="宋体" w:eastAsia="宋体" w:cs="宋体"/>
          <w:b w:val="0"/>
          <w:color w:val="auto"/>
          <w:sz w:val="21"/>
          <w:szCs w:val="21"/>
        </w:rPr>
        <w:t>0.1变更的范围</w:t>
      </w:r>
      <w:bookmarkEnd w:id="448"/>
    </w:p>
    <w:bookmarkEnd w:id="449"/>
    <w:bookmarkEnd w:id="450"/>
    <w:bookmarkEnd w:id="451"/>
    <w:p w14:paraId="5BE97AA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除专用合同条款另有约定外，合同履行过程中发生以下情形的，应按照本条约定进行变更：</w:t>
      </w:r>
    </w:p>
    <w:p w14:paraId="5FEBA72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（1）增加或减少合同中任何工作，或追加额外的工作；</w:t>
      </w:r>
    </w:p>
    <w:p w14:paraId="616E400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（2）取消合同中任何工作，但转由他人实施的工作除外；</w:t>
      </w:r>
    </w:p>
    <w:p w14:paraId="10DA179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（3）改变合同中任何工作的质量标准或其他特性；</w:t>
      </w:r>
    </w:p>
    <w:p w14:paraId="66D6240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（4）改变工程的基线、标高、位置和尺寸；</w:t>
      </w:r>
    </w:p>
    <w:p w14:paraId="71A115D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（5）改变工程的时间安排或实施顺序。</w:t>
      </w:r>
    </w:p>
    <w:p w14:paraId="0121540B">
      <w:pPr>
        <w:pStyle w:val="9"/>
        <w:spacing w:before="120" w:after="120" w:line="360" w:lineRule="auto"/>
        <w:ind w:firstLine="420" w:firstLineChars="200"/>
        <w:rPr>
          <w:rFonts w:hint="eastAsia" w:ascii="宋体" w:hAnsi="宋体" w:eastAsia="宋体" w:cs="宋体"/>
          <w:b w:val="0"/>
          <w:color w:val="auto"/>
          <w:sz w:val="21"/>
          <w:szCs w:val="21"/>
        </w:rPr>
      </w:pPr>
      <w:bookmarkStart w:id="452" w:name="_Toc351203569"/>
      <w:r>
        <w:rPr>
          <w:rFonts w:hint="eastAsia" w:ascii="宋体" w:hAnsi="宋体" w:eastAsia="宋体" w:cs="宋体"/>
          <w:b w:val="0"/>
          <w:color w:val="auto"/>
          <w:sz w:val="21"/>
          <w:szCs w:val="21"/>
        </w:rPr>
        <w:t>1</w:t>
      </w:r>
      <w:bookmarkStart w:id="453" w:name="_Toc296346586"/>
      <w:bookmarkStart w:id="454" w:name="_Toc296503085"/>
      <w:bookmarkStart w:id="455" w:name="_Toc337558789"/>
      <w:r>
        <w:rPr>
          <w:rFonts w:hint="eastAsia" w:ascii="宋体" w:hAnsi="宋体" w:eastAsia="宋体" w:cs="宋体"/>
          <w:b w:val="0"/>
          <w:color w:val="auto"/>
          <w:sz w:val="21"/>
          <w:szCs w:val="21"/>
        </w:rPr>
        <w:t>0.2变更权</w:t>
      </w:r>
      <w:bookmarkEnd w:id="452"/>
    </w:p>
    <w:bookmarkEnd w:id="453"/>
    <w:bookmarkEnd w:id="454"/>
    <w:bookmarkEnd w:id="455"/>
    <w:p w14:paraId="46E6E95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F5118A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涉及设计变更的，应由设计人提供变更后的图纸和说明。如变更超过原设计标准或批准的建设规模时，发包人应及时办理规划、设计变更等审批手续。</w:t>
      </w:r>
    </w:p>
    <w:p w14:paraId="5A18EE27">
      <w:pPr>
        <w:pStyle w:val="9"/>
        <w:spacing w:before="120" w:after="120" w:line="360" w:lineRule="auto"/>
        <w:ind w:firstLine="420" w:firstLineChars="200"/>
        <w:rPr>
          <w:rFonts w:hint="eastAsia" w:ascii="宋体" w:hAnsi="宋体" w:eastAsia="宋体" w:cs="宋体"/>
          <w:b w:val="0"/>
          <w:color w:val="auto"/>
          <w:sz w:val="21"/>
          <w:szCs w:val="21"/>
        </w:rPr>
      </w:pPr>
      <w:bookmarkStart w:id="456" w:name="_Toc351203570"/>
      <w:r>
        <w:rPr>
          <w:rFonts w:hint="eastAsia" w:ascii="宋体" w:hAnsi="宋体" w:eastAsia="宋体" w:cs="宋体"/>
          <w:b w:val="0"/>
          <w:color w:val="auto"/>
          <w:sz w:val="21"/>
          <w:szCs w:val="21"/>
        </w:rPr>
        <w:t>1</w:t>
      </w:r>
      <w:bookmarkStart w:id="457" w:name="_Toc296346587"/>
      <w:bookmarkStart w:id="458" w:name="_Toc337558790"/>
      <w:bookmarkStart w:id="459" w:name="_Toc296503086"/>
      <w:r>
        <w:rPr>
          <w:rFonts w:hint="eastAsia" w:ascii="宋体" w:hAnsi="宋体" w:eastAsia="宋体" w:cs="宋体"/>
          <w:b w:val="0"/>
          <w:color w:val="auto"/>
          <w:sz w:val="21"/>
          <w:szCs w:val="21"/>
        </w:rPr>
        <w:t>0.3变更程序</w:t>
      </w:r>
      <w:bookmarkEnd w:id="456"/>
    </w:p>
    <w:bookmarkEnd w:id="457"/>
    <w:bookmarkEnd w:id="458"/>
    <w:bookmarkEnd w:id="459"/>
    <w:p w14:paraId="065A8D8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10</w:t>
      </w:r>
      <w:r>
        <w:rPr>
          <w:rFonts w:hint="eastAsia" w:ascii="宋体" w:hAnsi="宋体" w:eastAsia="宋体" w:cs="宋体"/>
          <w:color w:val="auto"/>
          <w:kern w:val="0"/>
          <w:sz w:val="21"/>
          <w:szCs w:val="21"/>
        </w:rPr>
        <w:t>.3.1 发包人提出变更</w:t>
      </w:r>
    </w:p>
    <w:p w14:paraId="780E73E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发包人提出变更的，应通过监理人向承包人发出变更指示，变更指示应说明计划变更的工程范围和变更的内容。</w:t>
      </w:r>
    </w:p>
    <w:p w14:paraId="767E9FA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10</w:t>
      </w:r>
      <w:r>
        <w:rPr>
          <w:rFonts w:hint="eastAsia" w:ascii="宋体" w:hAnsi="宋体" w:eastAsia="宋体" w:cs="宋体"/>
          <w:color w:val="auto"/>
          <w:kern w:val="0"/>
          <w:sz w:val="21"/>
          <w:szCs w:val="21"/>
        </w:rPr>
        <w:t>.3.2 监理人提出变更建议</w:t>
      </w:r>
    </w:p>
    <w:p w14:paraId="6457199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B717878">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10.3.3 变更执行</w:t>
      </w:r>
    </w:p>
    <w:p w14:paraId="2F658A9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A5B6A06">
      <w:pPr>
        <w:pStyle w:val="9"/>
        <w:spacing w:before="120" w:after="120" w:line="360" w:lineRule="auto"/>
        <w:ind w:firstLine="420" w:firstLineChars="200"/>
        <w:rPr>
          <w:rFonts w:hint="eastAsia" w:ascii="宋体" w:hAnsi="宋体" w:eastAsia="宋体" w:cs="宋体"/>
          <w:b w:val="0"/>
          <w:color w:val="auto"/>
          <w:sz w:val="21"/>
          <w:szCs w:val="21"/>
        </w:rPr>
      </w:pPr>
      <w:bookmarkStart w:id="460" w:name="_Toc351203571"/>
      <w:r>
        <w:rPr>
          <w:rFonts w:hint="eastAsia" w:ascii="宋体" w:hAnsi="宋体" w:eastAsia="宋体" w:cs="宋体"/>
          <w:b w:val="0"/>
          <w:color w:val="auto"/>
          <w:sz w:val="21"/>
          <w:szCs w:val="21"/>
        </w:rPr>
        <w:t>1</w:t>
      </w:r>
      <w:bookmarkStart w:id="461" w:name="_Toc296346588"/>
      <w:bookmarkStart w:id="462" w:name="_Toc296503087"/>
      <w:bookmarkStart w:id="463" w:name="_Toc337558791"/>
      <w:r>
        <w:rPr>
          <w:rFonts w:hint="eastAsia" w:ascii="宋体" w:hAnsi="宋体" w:eastAsia="宋体" w:cs="宋体"/>
          <w:b w:val="0"/>
          <w:color w:val="auto"/>
          <w:sz w:val="21"/>
          <w:szCs w:val="21"/>
        </w:rPr>
        <w:t>0.4变更估价</w:t>
      </w:r>
      <w:bookmarkEnd w:id="460"/>
    </w:p>
    <w:bookmarkEnd w:id="461"/>
    <w:bookmarkEnd w:id="462"/>
    <w:bookmarkEnd w:id="463"/>
    <w:p w14:paraId="76C735E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10.4.1 变更估价原则</w:t>
      </w:r>
    </w:p>
    <w:p w14:paraId="61C5129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除专用合同条款另有约定外，变更估价按照本款约定处理：</w:t>
      </w:r>
    </w:p>
    <w:p w14:paraId="55D7643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（1）已标价工程量清单或预算书有相同项目的，按照相同项目单价认定；</w:t>
      </w:r>
    </w:p>
    <w:p w14:paraId="48518E7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（2）已标价工程量清单或预算书中无相同项目，但有类似项目的，参照类似项目的单价认定；</w:t>
      </w:r>
    </w:p>
    <w:p w14:paraId="20F4D8C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1882DBE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10.4.2 变更估价程序</w:t>
      </w:r>
    </w:p>
    <w:p w14:paraId="49F2D0A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3C8BCC1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因变更引起的价格调整应计入最近一期的进度款中支付。</w:t>
      </w:r>
    </w:p>
    <w:p w14:paraId="072B9505">
      <w:pPr>
        <w:pStyle w:val="9"/>
        <w:spacing w:before="120" w:after="120" w:line="360" w:lineRule="auto"/>
        <w:ind w:firstLine="420" w:firstLineChars="200"/>
        <w:rPr>
          <w:rFonts w:hint="eastAsia" w:ascii="宋体" w:hAnsi="宋体" w:eastAsia="宋体" w:cs="宋体"/>
          <w:b w:val="0"/>
          <w:color w:val="auto"/>
          <w:sz w:val="21"/>
          <w:szCs w:val="21"/>
        </w:rPr>
      </w:pPr>
      <w:bookmarkStart w:id="464" w:name="_Toc351203572"/>
      <w:r>
        <w:rPr>
          <w:rFonts w:hint="eastAsia" w:ascii="宋体" w:hAnsi="宋体" w:eastAsia="宋体" w:cs="宋体"/>
          <w:b w:val="0"/>
          <w:color w:val="auto"/>
          <w:sz w:val="21"/>
          <w:szCs w:val="21"/>
        </w:rPr>
        <w:t>1</w:t>
      </w:r>
      <w:bookmarkStart w:id="465" w:name="_Toc337558792"/>
      <w:bookmarkStart w:id="466" w:name="_Toc296346595"/>
      <w:bookmarkStart w:id="467" w:name="_Toc296503094"/>
      <w:r>
        <w:rPr>
          <w:rFonts w:hint="eastAsia" w:ascii="宋体" w:hAnsi="宋体" w:eastAsia="宋体" w:cs="宋体"/>
          <w:b w:val="0"/>
          <w:color w:val="auto"/>
          <w:sz w:val="21"/>
          <w:szCs w:val="21"/>
        </w:rPr>
        <w:t>0.5承包人的合理化建议</w:t>
      </w:r>
      <w:bookmarkEnd w:id="464"/>
    </w:p>
    <w:bookmarkEnd w:id="465"/>
    <w:bookmarkEnd w:id="466"/>
    <w:bookmarkEnd w:id="467"/>
    <w:p w14:paraId="33CDE4D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承包人提出合理化建议的，应向监理人提交合理化建议说明，说明建议的内容和理由，以及实施该建议对合同价格和工期的影响。</w:t>
      </w:r>
    </w:p>
    <w:p w14:paraId="027EC6B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除专用合同条款另有约定外，监理人应在收到承包人提交的合理化建议后7天内审查完毕并报送发包人，发现</w:t>
      </w:r>
      <w:r>
        <w:rPr>
          <w:rFonts w:hint="eastAsia" w:ascii="宋体" w:hAnsi="宋体" w:cs="宋体"/>
          <w:color w:val="auto"/>
          <w:kern w:val="0"/>
          <w:sz w:val="21"/>
          <w:szCs w:val="21"/>
          <w:lang w:eastAsia="zh-CN"/>
        </w:rPr>
        <w:t>其</w:t>
      </w:r>
      <w:r>
        <w:rPr>
          <w:rFonts w:hint="eastAsia" w:ascii="宋体" w:hAnsi="宋体" w:eastAsia="宋体" w:cs="宋体"/>
          <w:color w:val="auto"/>
          <w:kern w:val="0"/>
          <w:sz w:val="21"/>
          <w:szCs w:val="21"/>
        </w:rPr>
        <w:t>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0669056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合理化建议降低了合同价格或者提高了工程经济效益的，发包人可对承包人给予奖励，奖励的方法和金额在专用合同条款中约定。</w:t>
      </w:r>
    </w:p>
    <w:p w14:paraId="3636AD06">
      <w:pPr>
        <w:pStyle w:val="9"/>
        <w:spacing w:before="120" w:after="120" w:line="360" w:lineRule="auto"/>
        <w:ind w:firstLine="420" w:firstLineChars="200"/>
        <w:rPr>
          <w:rFonts w:hint="eastAsia" w:ascii="宋体" w:hAnsi="宋体" w:eastAsia="宋体" w:cs="宋体"/>
          <w:color w:val="auto"/>
          <w:sz w:val="21"/>
          <w:szCs w:val="21"/>
        </w:rPr>
      </w:pPr>
      <w:bookmarkStart w:id="468" w:name="_Toc351203573"/>
      <w:r>
        <w:rPr>
          <w:rFonts w:hint="eastAsia" w:ascii="宋体" w:hAnsi="宋体" w:eastAsia="宋体" w:cs="宋体"/>
          <w:b w:val="0"/>
          <w:color w:val="auto"/>
          <w:sz w:val="21"/>
          <w:szCs w:val="21"/>
        </w:rPr>
        <w:t>1</w:t>
      </w:r>
      <w:bookmarkStart w:id="469" w:name="_Toc337558793"/>
      <w:r>
        <w:rPr>
          <w:rFonts w:hint="eastAsia" w:ascii="宋体" w:hAnsi="宋体" w:eastAsia="宋体" w:cs="宋体"/>
          <w:b w:val="0"/>
          <w:color w:val="auto"/>
          <w:sz w:val="21"/>
          <w:szCs w:val="21"/>
        </w:rPr>
        <w:t>0.6变更引起的工期调整</w:t>
      </w:r>
      <w:bookmarkEnd w:id="468"/>
      <w:r>
        <w:rPr>
          <w:rFonts w:hint="eastAsia" w:ascii="宋体" w:hAnsi="宋体" w:eastAsia="宋体" w:cs="宋体"/>
          <w:b w:val="0"/>
          <w:color w:val="auto"/>
          <w:sz w:val="21"/>
          <w:szCs w:val="21"/>
        </w:rPr>
        <w:t xml:space="preserve"> </w:t>
      </w:r>
      <w:bookmarkEnd w:id="469"/>
      <w:r>
        <w:rPr>
          <w:rFonts w:hint="eastAsia" w:ascii="宋体" w:hAnsi="宋体" w:eastAsia="宋体" w:cs="宋体"/>
          <w:b w:val="0"/>
          <w:color w:val="auto"/>
          <w:sz w:val="21"/>
          <w:szCs w:val="21"/>
        </w:rPr>
        <w:t xml:space="preserve"> </w:t>
      </w:r>
      <w:r>
        <w:rPr>
          <w:rFonts w:hint="eastAsia" w:ascii="宋体" w:hAnsi="宋体" w:eastAsia="宋体" w:cs="宋体"/>
          <w:color w:val="auto"/>
          <w:sz w:val="21"/>
          <w:szCs w:val="21"/>
        </w:rPr>
        <w:t xml:space="preserve"> </w:t>
      </w:r>
    </w:p>
    <w:p w14:paraId="5BE9DF5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因变更引起工期变化的，合同当事人均可要求调整合同工期，由合同当事人按照第4.4款〔商定或确定〕并参考工程所在地的工期定额标准确定增减工期天数。</w:t>
      </w:r>
    </w:p>
    <w:p w14:paraId="31DD0641">
      <w:pPr>
        <w:pStyle w:val="9"/>
        <w:spacing w:before="120" w:after="120" w:line="360" w:lineRule="auto"/>
        <w:ind w:firstLine="420" w:firstLineChars="200"/>
        <w:rPr>
          <w:rFonts w:hint="eastAsia" w:ascii="宋体" w:hAnsi="宋体" w:eastAsia="宋体" w:cs="宋体"/>
          <w:b w:val="0"/>
          <w:color w:val="auto"/>
          <w:sz w:val="21"/>
          <w:szCs w:val="21"/>
        </w:rPr>
      </w:pPr>
      <w:bookmarkStart w:id="470" w:name="_Toc351203574"/>
      <w:r>
        <w:rPr>
          <w:rFonts w:hint="eastAsia" w:ascii="宋体" w:hAnsi="宋体" w:eastAsia="宋体" w:cs="宋体"/>
          <w:b w:val="0"/>
          <w:color w:val="auto"/>
          <w:sz w:val="21"/>
          <w:szCs w:val="21"/>
        </w:rPr>
        <w:t>10.7暂估价</w:t>
      </w:r>
      <w:bookmarkEnd w:id="470"/>
    </w:p>
    <w:p w14:paraId="3C5BBDD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暂估价专业分包工程、服务、材料和工程设备的明细由合同当事人在专用合同条款中约定。</w:t>
      </w:r>
    </w:p>
    <w:p w14:paraId="63A1C3A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10.7.1</w:t>
      </w:r>
      <w:r>
        <w:rPr>
          <w:rFonts w:hint="eastAsia" w:ascii="宋体" w:hAnsi="宋体" w:eastAsia="宋体" w:cs="宋体"/>
          <w:color w:val="auto"/>
          <w:kern w:val="0"/>
          <w:sz w:val="21"/>
          <w:szCs w:val="21"/>
        </w:rPr>
        <w:t xml:space="preserve"> 依法必须招标的暂估价项目</w:t>
      </w:r>
    </w:p>
    <w:p w14:paraId="0C17449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对于依法必须招标的暂估价项目，采取以下第1种方式确定。合同当事人也可以在专用合同条款中选择其他招标方式。</w:t>
      </w:r>
    </w:p>
    <w:p w14:paraId="103295B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第1种方式：对于依法必须招标的暂估价项目，由承包人招标，对该暂估价项目的确认和批准按照以下约定执行：</w:t>
      </w:r>
    </w:p>
    <w:p w14:paraId="297DFB0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3E20BDE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5E5DAC8">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BF22F3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1598F1B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10.7.2</w:t>
      </w:r>
      <w:r>
        <w:rPr>
          <w:rFonts w:hint="eastAsia" w:ascii="宋体" w:hAnsi="宋体" w:eastAsia="宋体" w:cs="宋体"/>
          <w:color w:val="auto"/>
          <w:kern w:val="0"/>
          <w:sz w:val="21"/>
          <w:szCs w:val="21"/>
        </w:rPr>
        <w:t>不属于依法必须招标的暂估价项目</w:t>
      </w:r>
    </w:p>
    <w:p w14:paraId="75A5942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除专用合同条款另有约定外，对于不属于依法必须招标的暂估价项目，采取以下第1种方式确定： </w:t>
      </w:r>
    </w:p>
    <w:p w14:paraId="28E8937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第1种方式：对于不属于依法必须招标的暂估价项目，按本项约定确认和批准：</w:t>
      </w:r>
    </w:p>
    <w:p w14:paraId="07A60A4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C975A4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（2）发包人认为承包人确定的供应商、分包人无法满足工程质量或合同要求的，发包人可以要求承包人重新确定暂估价项目的供应商、分包人</w:t>
      </w:r>
      <w:r>
        <w:rPr>
          <w:rFonts w:hint="eastAsia" w:ascii="宋体" w:hAnsi="宋体" w:cs="宋体"/>
          <w:color w:val="auto"/>
          <w:kern w:val="0"/>
          <w:sz w:val="21"/>
          <w:szCs w:val="21"/>
          <w:lang w:eastAsia="zh-CN"/>
        </w:rPr>
        <w:t>；</w:t>
      </w:r>
    </w:p>
    <w:p w14:paraId="4CAA64E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（3）承包人应当在签订暂估价合同后7天内，将暂估价合同副本报送发包人留存。</w:t>
      </w:r>
    </w:p>
    <w:p w14:paraId="14AB823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第2种方式：承包人按照第10.7.1项〔依法必须招标的暂估价项目〕约定的第1种方式确定暂估价项目。</w:t>
      </w:r>
    </w:p>
    <w:p w14:paraId="217CA71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第3种方式：</w:t>
      </w:r>
      <w:r>
        <w:rPr>
          <w:rFonts w:hint="eastAsia" w:ascii="宋体" w:hAnsi="宋体" w:eastAsia="宋体" w:cs="宋体"/>
          <w:color w:val="auto"/>
          <w:kern w:val="0"/>
          <w:sz w:val="21"/>
          <w:szCs w:val="21"/>
        </w:rPr>
        <w:t>承包人直接实施的暂估价项目</w:t>
      </w:r>
    </w:p>
    <w:p w14:paraId="656CDAF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承包人具备实施暂估价项目的资格和条件的，经发包人和承包人协商一致后，可由承包人自行实施暂估价项目，合同当事人可以在专用合同条</w:t>
      </w:r>
      <w:r>
        <w:rPr>
          <w:rFonts w:hint="eastAsia" w:ascii="宋体" w:hAnsi="宋体" w:cs="宋体"/>
          <w:color w:val="auto"/>
          <w:kern w:val="0"/>
          <w:sz w:val="21"/>
          <w:szCs w:val="21"/>
          <w:lang w:eastAsia="zh-CN"/>
        </w:rPr>
        <w:t>款中</w:t>
      </w:r>
      <w:r>
        <w:rPr>
          <w:rFonts w:hint="eastAsia" w:ascii="宋体" w:hAnsi="宋体" w:eastAsia="宋体" w:cs="宋体"/>
          <w:color w:val="auto"/>
          <w:kern w:val="0"/>
          <w:sz w:val="21"/>
          <w:szCs w:val="21"/>
        </w:rPr>
        <w:t>约定具体事项。</w:t>
      </w:r>
    </w:p>
    <w:p w14:paraId="30D84BD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F26CD41">
      <w:pPr>
        <w:pStyle w:val="9"/>
        <w:spacing w:before="120" w:after="120" w:line="360" w:lineRule="auto"/>
        <w:ind w:firstLine="420" w:firstLineChars="200"/>
        <w:rPr>
          <w:rFonts w:hint="eastAsia" w:ascii="宋体" w:hAnsi="宋体" w:eastAsia="宋体" w:cs="宋体"/>
          <w:b w:val="0"/>
          <w:color w:val="auto"/>
          <w:sz w:val="21"/>
          <w:szCs w:val="21"/>
        </w:rPr>
      </w:pPr>
      <w:bookmarkStart w:id="471" w:name="_Toc351203575"/>
      <w:r>
        <w:rPr>
          <w:rFonts w:hint="eastAsia" w:ascii="宋体" w:hAnsi="宋体" w:eastAsia="宋体" w:cs="宋体"/>
          <w:b w:val="0"/>
          <w:color w:val="auto"/>
          <w:sz w:val="21"/>
          <w:szCs w:val="21"/>
        </w:rPr>
        <w:t>1</w:t>
      </w:r>
      <w:bookmarkStart w:id="472" w:name="_Toc337558794"/>
      <w:bookmarkStart w:id="473" w:name="_Toc322522561"/>
      <w:bookmarkStart w:id="474" w:name="_Toc296503090"/>
      <w:bookmarkStart w:id="475" w:name="_Toc296346591"/>
      <w:r>
        <w:rPr>
          <w:rFonts w:hint="eastAsia" w:ascii="宋体" w:hAnsi="宋体" w:eastAsia="宋体" w:cs="宋体"/>
          <w:b w:val="0"/>
          <w:color w:val="auto"/>
          <w:sz w:val="21"/>
          <w:szCs w:val="21"/>
        </w:rPr>
        <w:t>0.8暂列金额</w:t>
      </w:r>
      <w:bookmarkEnd w:id="471"/>
    </w:p>
    <w:bookmarkEnd w:id="472"/>
    <w:p w14:paraId="71B3034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暂列金额应按照发包人的要求使用，发包人的要求应通过监理人发出。合同当事人可以在专用合同条款中协商确定有关事项。</w:t>
      </w:r>
    </w:p>
    <w:bookmarkEnd w:id="473"/>
    <w:bookmarkEnd w:id="474"/>
    <w:bookmarkEnd w:id="475"/>
    <w:p w14:paraId="0D0F3D23">
      <w:pPr>
        <w:pStyle w:val="9"/>
        <w:spacing w:before="120" w:after="120" w:line="360" w:lineRule="auto"/>
        <w:ind w:firstLine="420" w:firstLineChars="200"/>
        <w:rPr>
          <w:rFonts w:hint="eastAsia" w:ascii="宋体" w:hAnsi="宋体" w:eastAsia="宋体" w:cs="宋体"/>
          <w:b w:val="0"/>
          <w:color w:val="auto"/>
          <w:sz w:val="21"/>
          <w:szCs w:val="21"/>
        </w:rPr>
      </w:pPr>
      <w:bookmarkStart w:id="476" w:name="_Toc351203576"/>
      <w:r>
        <w:rPr>
          <w:rFonts w:hint="eastAsia" w:ascii="宋体" w:hAnsi="宋体" w:eastAsia="宋体" w:cs="宋体"/>
          <w:b w:val="0"/>
          <w:color w:val="auto"/>
          <w:sz w:val="21"/>
          <w:szCs w:val="21"/>
        </w:rPr>
        <w:t>1</w:t>
      </w:r>
      <w:bookmarkStart w:id="477" w:name="_Toc296346592"/>
      <w:bookmarkStart w:id="478" w:name="_Toc337558796"/>
      <w:bookmarkStart w:id="479" w:name="_Toc296503091"/>
      <w:r>
        <w:rPr>
          <w:rFonts w:hint="eastAsia" w:ascii="宋体" w:hAnsi="宋体" w:eastAsia="宋体" w:cs="宋体"/>
          <w:b w:val="0"/>
          <w:color w:val="auto"/>
          <w:sz w:val="21"/>
          <w:szCs w:val="21"/>
        </w:rPr>
        <w:t>0.9计日工</w:t>
      </w:r>
      <w:bookmarkEnd w:id="476"/>
      <w:r>
        <w:rPr>
          <w:rFonts w:hint="eastAsia" w:ascii="宋体" w:hAnsi="宋体" w:eastAsia="宋体" w:cs="宋体"/>
          <w:b w:val="0"/>
          <w:color w:val="auto"/>
          <w:sz w:val="21"/>
          <w:szCs w:val="21"/>
        </w:rPr>
        <w:t xml:space="preserve"> </w:t>
      </w:r>
      <w:bookmarkEnd w:id="477"/>
      <w:bookmarkEnd w:id="478"/>
      <w:bookmarkEnd w:id="479"/>
    </w:p>
    <w:p w14:paraId="7CC2B44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9F1626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采用计日工计价的任何一项工作，承包人应在该项工作实施过程中，每天提交以下报表和有关凭证报送监理人审查：</w:t>
      </w:r>
    </w:p>
    <w:p w14:paraId="477DC4AB">
      <w:pPr>
        <w:spacing w:line="360" w:lineRule="auto"/>
        <w:ind w:firstLine="315" w:firstLineChars="1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（1）工作名称、内容和数量；</w:t>
      </w:r>
    </w:p>
    <w:p w14:paraId="453D2499">
      <w:pPr>
        <w:spacing w:line="360" w:lineRule="auto"/>
        <w:ind w:firstLine="315" w:firstLineChars="1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（2）投入该工作的所有人员的姓名、专业、工种、级别和耗用工时；</w:t>
      </w:r>
    </w:p>
    <w:p w14:paraId="5CEB5178">
      <w:pPr>
        <w:spacing w:line="360" w:lineRule="auto"/>
        <w:ind w:firstLine="315" w:firstLineChars="1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（3）投入该工作的材料类别和数量；</w:t>
      </w:r>
    </w:p>
    <w:p w14:paraId="5C7E2F2E">
      <w:pPr>
        <w:spacing w:line="360" w:lineRule="auto"/>
        <w:ind w:firstLine="315" w:firstLineChars="1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（4）投入该工作的施工设备型号、台数和耗用台时；</w:t>
      </w:r>
    </w:p>
    <w:p w14:paraId="5EBB89E4">
      <w:pPr>
        <w:spacing w:line="360" w:lineRule="auto"/>
        <w:ind w:firstLine="315" w:firstLineChars="1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（5）其他有关资料和凭证。</w:t>
      </w:r>
    </w:p>
    <w:p w14:paraId="37D7266C">
      <w:pPr>
        <w:spacing w:line="360" w:lineRule="auto"/>
        <w:ind w:firstLine="315" w:firstLineChars="15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计日工由承包人汇总后，列入最近一期进度付款申请单，由监理人审查并经发包人批准后列入进度付款。</w:t>
      </w:r>
    </w:p>
    <w:p w14:paraId="24774849">
      <w:pPr>
        <w:pStyle w:val="8"/>
        <w:spacing w:before="120" w:after="120" w:line="360" w:lineRule="auto"/>
        <w:rPr>
          <w:rFonts w:hint="eastAsia" w:ascii="宋体" w:hAnsi="宋体" w:eastAsia="宋体" w:cs="宋体"/>
          <w:b w:val="0"/>
          <w:color w:val="auto"/>
          <w:sz w:val="21"/>
          <w:szCs w:val="21"/>
        </w:rPr>
      </w:pPr>
      <w:bookmarkStart w:id="480" w:name="_Toc351203577"/>
      <w:r>
        <w:rPr>
          <w:rFonts w:hint="eastAsia" w:ascii="宋体" w:hAnsi="宋体" w:eastAsia="宋体" w:cs="宋体"/>
          <w:b w:val="0"/>
          <w:color w:val="auto"/>
          <w:sz w:val="21"/>
          <w:szCs w:val="21"/>
        </w:rPr>
        <w:t>11. 价格调整</w:t>
      </w:r>
      <w:bookmarkEnd w:id="480"/>
    </w:p>
    <w:p w14:paraId="45431016">
      <w:pPr>
        <w:pStyle w:val="9"/>
        <w:spacing w:before="120" w:after="120" w:line="360" w:lineRule="auto"/>
        <w:ind w:firstLine="420" w:firstLineChars="200"/>
        <w:rPr>
          <w:rFonts w:hint="eastAsia" w:ascii="宋体" w:hAnsi="宋体" w:eastAsia="宋体" w:cs="宋体"/>
          <w:b w:val="0"/>
          <w:color w:val="auto"/>
          <w:sz w:val="21"/>
          <w:szCs w:val="21"/>
        </w:rPr>
      </w:pPr>
      <w:bookmarkStart w:id="481" w:name="_Toc351203578"/>
      <w:bookmarkStart w:id="482" w:name="_Toc337558797"/>
      <w:bookmarkStart w:id="483" w:name="_Toc296503092"/>
      <w:bookmarkStart w:id="484" w:name="_Toc296346593"/>
      <w:r>
        <w:rPr>
          <w:rFonts w:hint="eastAsia" w:ascii="宋体" w:hAnsi="宋体" w:eastAsia="宋体" w:cs="宋体"/>
          <w:b w:val="0"/>
          <w:color w:val="auto"/>
          <w:sz w:val="21"/>
          <w:szCs w:val="21"/>
        </w:rPr>
        <w:t>11.1市场价格波动引起的调整</w:t>
      </w:r>
      <w:bookmarkEnd w:id="481"/>
    </w:p>
    <w:bookmarkEnd w:id="482"/>
    <w:bookmarkEnd w:id="483"/>
    <w:bookmarkEnd w:id="484"/>
    <w:p w14:paraId="7528243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除专用合同条款另有约定外，市场价格波动超过合同当事人约定的范围，合同价格应当调整。合同当事人可以在专用合同条款中约定选择以下一种方式对合同价格进行调整：</w:t>
      </w:r>
    </w:p>
    <w:p w14:paraId="77FF1B1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第1种方式：采用价格指数进行价格调整。</w:t>
      </w:r>
    </w:p>
    <w:p w14:paraId="5BEA59BD">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（1）价格调整公式</w:t>
      </w:r>
    </w:p>
    <w:p w14:paraId="39BA74C9">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因人工、材料和设备等价格波动影响合同价格时，根据专用合同条款中约定的数据，按以下公式计算差额并调整合同价格：</w:t>
      </w:r>
    </w:p>
    <w:p w14:paraId="634D89CD">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position w:val="-30"/>
          <w:sz w:val="21"/>
          <w:szCs w:val="21"/>
        </w:rPr>
        <w:object>
          <v:shape id="_x0000_i1025" o:spt="75" type="#_x0000_t75" style="height:44.3pt;width:359.85pt;" o:ole="t" filled="f" o:preferrelative="t" stroked="f" coordsize="21600,21600">
            <v:path/>
            <v:fill on="f" focussize="0,0"/>
            <v:stroke on="f" joinstyle="miter"/>
            <v:imagedata r:id="rId17" o:title=""/>
            <o:lock v:ext="edit" aspectratio="t"/>
            <w10:wrap type="none"/>
            <w10:anchorlock/>
          </v:shape>
          <o:OLEObject Type="Embed" ProgID="Equation.KSEE3" ShapeID="_x0000_i1025" DrawAspect="Content" ObjectID="_1468075725" r:id="rId16">
            <o:LockedField>false</o:LockedField>
          </o:OLEObject>
        </w:object>
      </w:r>
    </w:p>
    <w:p w14:paraId="26C2F702">
      <w:pPr>
        <w:tabs>
          <w:tab w:val="left" w:pos="0"/>
          <w:tab w:val="left" w:pos="360"/>
          <w:tab w:val="left" w:pos="540"/>
        </w:tabs>
        <w:spacing w:line="360" w:lineRule="auto"/>
        <w:ind w:firstLine="640"/>
        <w:rPr>
          <w:rFonts w:hint="eastAsia" w:ascii="宋体" w:hAnsi="宋体" w:eastAsia="宋体" w:cs="宋体"/>
          <w:color w:val="auto"/>
          <w:sz w:val="21"/>
          <w:szCs w:val="21"/>
        </w:rPr>
      </w:pPr>
      <w:r>
        <w:rPr>
          <w:rFonts w:hint="eastAsia" w:ascii="宋体" w:hAnsi="宋体" w:eastAsia="宋体" w:cs="宋体"/>
          <w:color w:val="auto"/>
          <w:sz w:val="21"/>
          <w:szCs w:val="21"/>
        </w:rPr>
        <w:t>公式中：ΔP——需调整的价格差额；</w:t>
      </w:r>
    </w:p>
    <w:p w14:paraId="0AB73BB4">
      <w:pPr>
        <w:tabs>
          <w:tab w:val="left" w:pos="0"/>
          <w:tab w:val="left" w:pos="360"/>
          <w:tab w:val="left" w:pos="540"/>
        </w:tabs>
        <w:spacing w:line="360" w:lineRule="auto"/>
        <w:ind w:firstLine="1260" w:firstLineChars="600"/>
        <w:rPr>
          <w:rFonts w:hint="eastAsia" w:ascii="宋体" w:hAnsi="宋体" w:eastAsia="宋体" w:cs="宋体"/>
          <w:color w:val="auto"/>
          <w:sz w:val="21"/>
          <w:szCs w:val="21"/>
        </w:rPr>
      </w:pPr>
      <w:r>
        <w:rPr>
          <w:rFonts w:hint="eastAsia" w:ascii="宋体" w:hAnsi="宋体" w:eastAsia="宋体" w:cs="宋体"/>
          <w:color w:val="auto"/>
          <w:position w:val="-6"/>
          <w:sz w:val="21"/>
          <w:szCs w:val="21"/>
        </w:rPr>
        <w:object>
          <v:shape id="_x0000_i1026" o:spt="75" type="#_x0000_t75" style="height:18pt;width:18pt;" o:ole="t" filled="f" o:preferrelative="t" stroked="f" coordsize="21600,21600">
            <v:path/>
            <v:fill on="f" focussize="0,0"/>
            <v:stroke on="f" joinstyle="miter"/>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宋体" w:hAnsi="宋体" w:eastAsia="宋体" w:cs="宋体"/>
          <w:color w:val="auto"/>
          <w:sz w:val="21"/>
          <w:szCs w:val="21"/>
        </w:rPr>
        <w:t>——约定的付款证书中承包人应得到的已完成工程量的金额。此项金额应不包括价格调整、不计质量保证金的扣留和支付、预付款的支付和扣回。约定的变更及其他金额已按现行价格计价的，也不计在内；</w:t>
      </w:r>
    </w:p>
    <w:p w14:paraId="6F7265AA">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A——定值权重（即不调部分的权重）；</w:t>
      </w:r>
    </w:p>
    <w:p w14:paraId="32FADD58">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position w:val="-10"/>
          <w:sz w:val="21"/>
          <w:szCs w:val="21"/>
        </w:rPr>
        <w:object>
          <v:shape id="_x0000_i1027" o:spt="75" type="#_x0000_t75" style="height:21pt;width:101.25pt;" o:ole="t" filled="f" o:preferrelative="t" stroked="f" coordsize="21600,21600">
            <v:path/>
            <v:fill on="f" focussize="0,0"/>
            <v:stroke on="f" joinstyle="miter"/>
            <v:imagedata r:id="rId21" o:title=""/>
            <o:lock v:ext="edit" aspectratio="t"/>
            <w10:wrap type="none"/>
            <w10:anchorlock/>
          </v:shape>
          <o:OLEObject Type="Embed" ProgID="Equation.KSEE3" ShapeID="_x0000_i1027" DrawAspect="Content" ObjectID="_1468075727" r:id="rId20">
            <o:LockedField>false</o:LockedField>
          </o:OLEObject>
        </w:object>
      </w:r>
      <w:r>
        <w:rPr>
          <w:rFonts w:hint="eastAsia" w:ascii="宋体" w:hAnsi="宋体" w:eastAsia="宋体" w:cs="宋体"/>
          <w:color w:val="auto"/>
          <w:sz w:val="21"/>
          <w:szCs w:val="21"/>
        </w:rPr>
        <w:t>——各可调因子的变值权重（即可调部分的权重），为各可调因子在签约合同价中所占的比例；</w:t>
      </w:r>
    </w:p>
    <w:p w14:paraId="01C24F8F">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position w:val="-10"/>
          <w:sz w:val="21"/>
          <w:szCs w:val="21"/>
        </w:rPr>
        <w:object>
          <v:shape id="_x0000_i1028" o:spt="75" type="#_x0000_t75" style="height:20.25pt;width:102.05pt;" o:ole="t" filled="f" o:preferrelative="t" stroked="f" coordsize="21600,21600">
            <v:path/>
            <v:fill on="f" focussize="0,0"/>
            <v:stroke on="f" joinstyle="miter"/>
            <v:imagedata r:id="rId23" o:title=""/>
            <o:lock v:ext="edit" aspectratio="t"/>
            <w10:wrap type="none"/>
            <w10:anchorlock/>
          </v:shape>
          <o:OLEObject Type="Embed" ProgID="Equation.KSEE3" ShapeID="_x0000_i1028" DrawAspect="Content" ObjectID="_1468075728" r:id="rId22">
            <o:LockedField>false</o:LockedField>
          </o:OLEObject>
        </w:object>
      </w:r>
      <w:r>
        <w:rPr>
          <w:rFonts w:hint="eastAsia" w:ascii="宋体" w:hAnsi="宋体" w:eastAsia="宋体" w:cs="宋体"/>
          <w:color w:val="auto"/>
          <w:sz w:val="21"/>
          <w:szCs w:val="21"/>
        </w:rPr>
        <w:t>——各可调因子的现行价格指数，指约定的付款证书相关周期最后一天的前42天的各可调因子的价格指数；</w:t>
      </w:r>
    </w:p>
    <w:p w14:paraId="40913694">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position w:val="-10"/>
          <w:sz w:val="21"/>
          <w:szCs w:val="21"/>
        </w:rPr>
        <w:object>
          <v:shape id="_x0000_i1029" o:spt="75" type="#_x0000_t75" style="height:20.25pt;width:108pt;" o:ole="t" filled="f" o:preferrelative="t" stroked="f" coordsize="21600,21600">
            <v:path/>
            <v:fill on="f" focussize="0,0"/>
            <v:stroke on="f" joinstyle="miter"/>
            <v:imagedata r:id="rId25" o:title=""/>
            <o:lock v:ext="edit" aspectratio="t"/>
            <w10:wrap type="none"/>
            <w10:anchorlock/>
          </v:shape>
          <o:OLEObject Type="Embed" ProgID="Equation.KSEE3" ShapeID="_x0000_i1029" DrawAspect="Content" ObjectID="_1468075729" r:id="rId24">
            <o:LockedField>false</o:LockedField>
          </o:OLEObject>
        </w:object>
      </w:r>
      <w:r>
        <w:rPr>
          <w:rFonts w:hint="eastAsia" w:ascii="宋体" w:hAnsi="宋体" w:eastAsia="宋体" w:cs="宋体"/>
          <w:color w:val="auto"/>
          <w:sz w:val="21"/>
          <w:szCs w:val="21"/>
        </w:rPr>
        <w:t>——各可调因子的基本价格指数，指基准日期的各可调因子的价格指数。</w:t>
      </w:r>
    </w:p>
    <w:p w14:paraId="5F34853F">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402C0C2">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（2）暂时确定调整差额</w:t>
      </w:r>
    </w:p>
    <w:p w14:paraId="50A34F1C">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在计算调整差额时无现行价格指数的，合同当事人同意暂用前次价格指数计算。实际价格指数有调整的，合同当事人进行相应调整。</w:t>
      </w:r>
    </w:p>
    <w:p w14:paraId="361B228C">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（3）权重的调整</w:t>
      </w:r>
    </w:p>
    <w:p w14:paraId="1184A635">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因变更导致合同约定的权重不合理时，按照第4.4款〔商定或确定〕执行。</w:t>
      </w:r>
    </w:p>
    <w:p w14:paraId="1447DADA">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（4）因承包人原因工期延误后的价格调整</w:t>
      </w:r>
    </w:p>
    <w:p w14:paraId="58201D4D">
      <w:pPr>
        <w:tabs>
          <w:tab w:val="left" w:pos="0"/>
          <w:tab w:val="left" w:pos="360"/>
          <w:tab w:val="left" w:pos="540"/>
        </w:tabs>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因承包人原因未按期竣工的，对合同约定的竣工日期后继续施工的工程，在使用价格调整公式时，应采用计划竣工日期与实际竣工日期的两个价格指数中较低的一个作为现行价格指数。</w:t>
      </w:r>
    </w:p>
    <w:p w14:paraId="07F60B9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第2种方式：采用造价信息进行价格调整。</w:t>
      </w:r>
    </w:p>
    <w:p w14:paraId="07ED7C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91081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471447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（2）材料、工程设备价格变化的价款调整按照发包人提供的基准价格，按以下风险范围规定执行:</w:t>
      </w:r>
    </w:p>
    <w:p w14:paraId="6820154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2E890CD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CADD6E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③承包人在已标价工程量清单或预算书中载明材料单价等于基准价格的：除专用合同条款另有约定外，合同履行期间材料单价涨跌幅以基准价格为基础超过±5%时，其超过部分据实调整。</w:t>
      </w:r>
    </w:p>
    <w:p w14:paraId="54EC19A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38211F2">
      <w:pPr>
        <w:spacing w:line="360" w:lineRule="auto"/>
        <w:ind w:firstLine="420" w:firstLineChars="200"/>
        <w:rPr>
          <w:rFonts w:hint="eastAsia" w:ascii="宋体" w:hAnsi="宋体" w:eastAsia="宋体" w:cs="宋体"/>
          <w:color w:val="auto"/>
          <w:sz w:val="21"/>
          <w:szCs w:val="21"/>
        </w:rPr>
      </w:pPr>
      <w:bookmarkStart w:id="485" w:name="OLE_LINK3"/>
      <w:r>
        <w:rPr>
          <w:rFonts w:hint="eastAsia" w:ascii="宋体" w:hAnsi="宋体" w:eastAsia="宋体" w:cs="宋体"/>
          <w:color w:val="auto"/>
          <w:sz w:val="21"/>
          <w:szCs w:val="21"/>
        </w:rPr>
        <w:t>前述基准价格是指由发包人在招标文件或专用合同条款中给定的材料、工程设备的价格，该价格原则上应当按照省级或行业建设主管部门或其授权的工程造价管理机构发布的信息价编制。</w:t>
      </w:r>
    </w:p>
    <w:p w14:paraId="351840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（3）施工机械台班单价或施工机械使用费发生变化超过省级或行业建设主管部门或其授权的工程造价管理机构规定的范围时，按规定调整合同价格。</w:t>
      </w:r>
    </w:p>
    <w:p w14:paraId="2345C65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第3种方式：专用合同条款约定的其他方式。</w:t>
      </w:r>
    </w:p>
    <w:p w14:paraId="4B048AB2">
      <w:pPr>
        <w:pStyle w:val="9"/>
        <w:spacing w:before="120" w:after="120" w:line="360" w:lineRule="auto"/>
        <w:ind w:firstLine="420" w:firstLineChars="200"/>
        <w:rPr>
          <w:rFonts w:hint="eastAsia" w:ascii="宋体" w:hAnsi="宋体" w:eastAsia="宋体" w:cs="宋体"/>
          <w:b w:val="0"/>
          <w:color w:val="auto"/>
          <w:sz w:val="21"/>
          <w:szCs w:val="21"/>
        </w:rPr>
      </w:pPr>
      <w:bookmarkStart w:id="486" w:name="_Toc351203579"/>
      <w:bookmarkStart w:id="487" w:name="_Toc296503093"/>
      <w:bookmarkStart w:id="488" w:name="_Toc337558798"/>
      <w:bookmarkStart w:id="489" w:name="_Toc296346594"/>
      <w:r>
        <w:rPr>
          <w:rFonts w:hint="eastAsia" w:ascii="宋体" w:hAnsi="宋体" w:eastAsia="宋体" w:cs="宋体"/>
          <w:b w:val="0"/>
          <w:color w:val="auto"/>
          <w:sz w:val="21"/>
          <w:szCs w:val="21"/>
        </w:rPr>
        <w:t>11.2法律变化引起的调整</w:t>
      </w:r>
      <w:bookmarkEnd w:id="486"/>
    </w:p>
    <w:bookmarkEnd w:id="487"/>
    <w:bookmarkEnd w:id="488"/>
    <w:bookmarkEnd w:id="489"/>
    <w:p w14:paraId="34F7D8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3157AE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因法律变化引起的合同价格和工期调整，合同当事人无法达成一致的，由总监理工程师按第4.4款〔商定或确定〕的约定处理。</w:t>
      </w:r>
    </w:p>
    <w:p w14:paraId="35542D4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因承包人原因造成工期延误，在工期延误期间出现法律变化的，由此增加的费用和（或）延误的工期由承包人承担。</w:t>
      </w:r>
    </w:p>
    <w:p w14:paraId="6B69AD51">
      <w:pPr>
        <w:pStyle w:val="8"/>
        <w:spacing w:before="120" w:after="120" w:line="360" w:lineRule="auto"/>
        <w:rPr>
          <w:rFonts w:hint="eastAsia" w:ascii="宋体" w:hAnsi="宋体" w:eastAsia="宋体" w:cs="宋体"/>
          <w:b w:val="0"/>
          <w:color w:val="auto"/>
          <w:sz w:val="21"/>
          <w:szCs w:val="21"/>
        </w:rPr>
      </w:pPr>
      <w:bookmarkStart w:id="490" w:name="_Toc351203580"/>
      <w:bookmarkStart w:id="491" w:name="_Toc337558799"/>
      <w:bookmarkStart w:id="492" w:name="_Toc296346597"/>
      <w:bookmarkStart w:id="493" w:name="_Toc296503096"/>
      <w:r>
        <w:rPr>
          <w:rFonts w:hint="eastAsia" w:ascii="宋体" w:hAnsi="宋体" w:eastAsia="宋体" w:cs="宋体"/>
          <w:b w:val="0"/>
          <w:color w:val="auto"/>
          <w:sz w:val="21"/>
          <w:szCs w:val="21"/>
        </w:rPr>
        <w:t>12. 合同价格、计量与支付</w:t>
      </w:r>
      <w:bookmarkEnd w:id="490"/>
    </w:p>
    <w:bookmarkEnd w:id="491"/>
    <w:p w14:paraId="35804760">
      <w:pPr>
        <w:pStyle w:val="9"/>
        <w:spacing w:before="120" w:after="120" w:line="360" w:lineRule="auto"/>
        <w:ind w:firstLine="420" w:firstLineChars="200"/>
        <w:rPr>
          <w:rFonts w:hint="eastAsia" w:ascii="宋体" w:hAnsi="宋体" w:eastAsia="宋体" w:cs="宋体"/>
          <w:b w:val="0"/>
          <w:color w:val="auto"/>
          <w:sz w:val="21"/>
          <w:szCs w:val="21"/>
        </w:rPr>
      </w:pPr>
      <w:bookmarkStart w:id="494" w:name="_Toc351203581"/>
      <w:bookmarkStart w:id="495" w:name="_Toc337558800"/>
      <w:r>
        <w:rPr>
          <w:rFonts w:hint="eastAsia" w:ascii="宋体" w:hAnsi="宋体" w:eastAsia="宋体" w:cs="宋体"/>
          <w:b w:val="0"/>
          <w:color w:val="auto"/>
          <w:sz w:val="21"/>
          <w:szCs w:val="21"/>
        </w:rPr>
        <w:t>12.1 合同价</w:t>
      </w:r>
      <w:bookmarkEnd w:id="492"/>
      <w:bookmarkEnd w:id="493"/>
      <w:r>
        <w:rPr>
          <w:rFonts w:hint="eastAsia" w:ascii="宋体" w:hAnsi="宋体" w:eastAsia="宋体" w:cs="宋体"/>
          <w:b w:val="0"/>
          <w:color w:val="auto"/>
          <w:sz w:val="21"/>
          <w:szCs w:val="21"/>
        </w:rPr>
        <w:t>格形式</w:t>
      </w:r>
      <w:bookmarkEnd w:id="494"/>
    </w:p>
    <w:bookmarkEnd w:id="495"/>
    <w:p w14:paraId="51EBFB9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发包人和承包人应在合同协议书中选择下列一种合同价格形式： </w:t>
      </w:r>
    </w:p>
    <w:p w14:paraId="764B741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1.单价合同</w:t>
      </w:r>
    </w:p>
    <w:p w14:paraId="34F9A49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单价合同是指合同当事人约定以工程量清单及其综合单价进行合同价格计算、调整和确认的建设工程施工合同，</w:t>
      </w:r>
      <w:r>
        <w:rPr>
          <w:rFonts w:hint="eastAsia" w:ascii="宋体" w:hAnsi="宋体" w:eastAsia="宋体" w:cs="宋体"/>
          <w:color w:val="auto"/>
          <w:sz w:val="21"/>
          <w:szCs w:val="21"/>
        </w:rPr>
        <w:t>在约定的范围内合同单价不作调整</w:t>
      </w:r>
      <w:r>
        <w:rPr>
          <w:rFonts w:hint="eastAsia" w:ascii="宋体" w:hAnsi="宋体" w:eastAsia="宋体" w:cs="宋体"/>
          <w:color w:val="auto"/>
          <w:kern w:val="0"/>
          <w:sz w:val="21"/>
          <w:szCs w:val="21"/>
        </w:rPr>
        <w:t>。合同当事人应在专用合同条款中约定综合单价包含的风险范围和风险费用的计算方法</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并约定风险范围以外的合同价格的调整方法，其中因市场价格波动引起的调整按第11.1款〔市场价格波动引起的调整〕约定执行。</w:t>
      </w:r>
    </w:p>
    <w:p w14:paraId="4317A28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2.总价合同</w:t>
      </w:r>
    </w:p>
    <w:p w14:paraId="1BE824B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 w:val="21"/>
          <w:szCs w:val="21"/>
        </w:rPr>
        <w:t>在约定的范围内合同总价不作调整</w:t>
      </w:r>
      <w:r>
        <w:rPr>
          <w:rFonts w:hint="eastAsia" w:ascii="宋体" w:hAnsi="宋体" w:eastAsia="宋体" w:cs="宋体"/>
          <w:color w:val="auto"/>
          <w:kern w:val="0"/>
          <w:sz w:val="21"/>
          <w:szCs w:val="21"/>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181A955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cs="宋体"/>
          <w:color w:val="auto"/>
          <w:kern w:val="0"/>
          <w:sz w:val="21"/>
          <w:szCs w:val="21"/>
          <w:lang w:eastAsia="zh-CN"/>
        </w:rPr>
        <w:t>其他</w:t>
      </w:r>
      <w:r>
        <w:rPr>
          <w:rFonts w:hint="eastAsia" w:ascii="宋体" w:hAnsi="宋体" w:eastAsia="宋体" w:cs="宋体"/>
          <w:color w:val="auto"/>
          <w:kern w:val="0"/>
          <w:sz w:val="21"/>
          <w:szCs w:val="21"/>
        </w:rPr>
        <w:t>价格形式</w:t>
      </w:r>
    </w:p>
    <w:p w14:paraId="69382EF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合同当事人可在专用合同条款中约定其他合同价格形式。</w:t>
      </w:r>
    </w:p>
    <w:p w14:paraId="04387126">
      <w:pPr>
        <w:pStyle w:val="9"/>
        <w:spacing w:before="120" w:after="120" w:line="360" w:lineRule="auto"/>
        <w:ind w:firstLine="420" w:firstLineChars="200"/>
        <w:rPr>
          <w:rFonts w:hint="eastAsia" w:ascii="宋体" w:hAnsi="宋体" w:eastAsia="宋体" w:cs="宋体"/>
          <w:b w:val="0"/>
          <w:color w:val="auto"/>
          <w:sz w:val="21"/>
          <w:szCs w:val="21"/>
        </w:rPr>
      </w:pPr>
      <w:bookmarkStart w:id="496" w:name="_Toc296346598"/>
      <w:bookmarkStart w:id="497" w:name="_Toc296503097"/>
      <w:bookmarkStart w:id="498" w:name="_Toc351203582"/>
      <w:bookmarkStart w:id="499" w:name="_Toc337558801"/>
      <w:r>
        <w:rPr>
          <w:rFonts w:hint="eastAsia" w:ascii="宋体" w:hAnsi="宋体" w:eastAsia="宋体" w:cs="宋体"/>
          <w:b w:val="0"/>
          <w:color w:val="auto"/>
          <w:sz w:val="21"/>
          <w:szCs w:val="21"/>
        </w:rPr>
        <w:t>12.2预</w:t>
      </w:r>
      <w:bookmarkEnd w:id="496"/>
      <w:bookmarkEnd w:id="497"/>
      <w:bookmarkStart w:id="500" w:name="_Toc296503100"/>
      <w:bookmarkStart w:id="501" w:name="_Toc296346601"/>
      <w:r>
        <w:rPr>
          <w:rFonts w:hint="eastAsia" w:ascii="宋体" w:hAnsi="宋体" w:eastAsia="宋体" w:cs="宋体"/>
          <w:b w:val="0"/>
          <w:color w:val="auto"/>
          <w:sz w:val="21"/>
          <w:szCs w:val="21"/>
        </w:rPr>
        <w:t>付款</w:t>
      </w:r>
      <w:bookmarkEnd w:id="498"/>
    </w:p>
    <w:bookmarkEnd w:id="499"/>
    <w:bookmarkEnd w:id="500"/>
    <w:bookmarkEnd w:id="501"/>
    <w:p w14:paraId="67ED2DB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12.2.</w:t>
      </w:r>
      <w:r>
        <w:rPr>
          <w:rFonts w:hint="eastAsia" w:ascii="宋体" w:hAnsi="宋体" w:eastAsia="宋体" w:cs="宋体"/>
          <w:color w:val="auto"/>
          <w:kern w:val="0"/>
          <w:sz w:val="21"/>
          <w:szCs w:val="21"/>
        </w:rPr>
        <w:t>1预付款的支付</w:t>
      </w:r>
    </w:p>
    <w:p w14:paraId="7633C5C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预付款的支付按照专用合同条款约定执行，但至迟应在开工通知载明的开工日期7天前支付。预付款应当用于材料、工程设备、施工设备的采购及修建临时工程、组织施工队伍进场等。</w:t>
      </w:r>
    </w:p>
    <w:p w14:paraId="7A6437D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除专用合同条款另有约定外，预付款在进度付款中同比例扣回。</w:t>
      </w:r>
      <w:bookmarkEnd w:id="485"/>
      <w:r>
        <w:rPr>
          <w:rFonts w:hint="eastAsia" w:ascii="宋体" w:hAnsi="宋体" w:eastAsia="宋体" w:cs="宋体"/>
          <w:color w:val="auto"/>
          <w:kern w:val="0"/>
          <w:sz w:val="21"/>
          <w:szCs w:val="21"/>
        </w:rPr>
        <w:t>在颁发工程接收证书前，提前解除合同的，尚未扣完的预付款应与合同价款一并结算。</w:t>
      </w:r>
    </w:p>
    <w:p w14:paraId="2DAA159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发包人逾期支付预付款超过7天的，承包人有权向发包人发出要求预付的催告通知，发包人收到通知后7天内仍未支付的，承包人有权暂停施工，并按第16.1.1项〔发包人违约的情形〕执行。</w:t>
      </w:r>
    </w:p>
    <w:p w14:paraId="38B5906B">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12.2.2 预付款担保</w:t>
      </w:r>
    </w:p>
    <w:p w14:paraId="2662A1A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FE86AC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发包人在工程款中逐期扣回预付款后，预付款担保额度应相应减少，但剩余的预付款担保金额不得低于未被扣回的预付款金额。</w:t>
      </w:r>
    </w:p>
    <w:p w14:paraId="7B75FA1E">
      <w:pPr>
        <w:pStyle w:val="9"/>
        <w:spacing w:before="120" w:after="120" w:line="360" w:lineRule="auto"/>
        <w:ind w:firstLine="420" w:firstLineChars="200"/>
        <w:rPr>
          <w:rFonts w:hint="eastAsia" w:ascii="宋体" w:hAnsi="宋体" w:eastAsia="宋体" w:cs="宋体"/>
          <w:b w:val="0"/>
          <w:color w:val="auto"/>
          <w:sz w:val="21"/>
          <w:szCs w:val="21"/>
        </w:rPr>
      </w:pPr>
      <w:bookmarkStart w:id="502" w:name="_Toc351203583"/>
      <w:bookmarkStart w:id="503" w:name="_Toc337558802"/>
      <w:r>
        <w:rPr>
          <w:rFonts w:hint="eastAsia" w:ascii="宋体" w:hAnsi="宋体" w:eastAsia="宋体" w:cs="宋体"/>
          <w:b w:val="0"/>
          <w:color w:val="auto"/>
          <w:sz w:val="21"/>
          <w:szCs w:val="21"/>
        </w:rPr>
        <w:t>12.3计量</w:t>
      </w:r>
      <w:bookmarkEnd w:id="502"/>
    </w:p>
    <w:bookmarkEnd w:id="503"/>
    <w:p w14:paraId="68DBC05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12.3.1 计量原则</w:t>
      </w:r>
    </w:p>
    <w:p w14:paraId="2B0D030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工程量计量按照合同约定的工程量计算规则、图纸及变更指示等进行计量。工程量计算规则应以相关的国家标准、行业标准等为依据，由合同当事人在专用合同条款中约定。</w:t>
      </w:r>
    </w:p>
    <w:p w14:paraId="74E927E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12.3.2 计量周期</w:t>
      </w:r>
    </w:p>
    <w:p w14:paraId="500074D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除专用合同条款另有约定外，工程量的计量按月进行。</w:t>
      </w:r>
    </w:p>
    <w:p w14:paraId="73698BA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12.3.3 单价合同的计量</w:t>
      </w:r>
    </w:p>
    <w:p w14:paraId="3DF157B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除专用合同条款另有约定外，单价合同的计量按照本项约定执行：</w:t>
      </w:r>
    </w:p>
    <w:p w14:paraId="6330711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（1）承包人应于每月25日向监理人报送上月20日至当月19日已完成的工程量报告，并附具进度付款申请单、已完成工程量报表和有关资料。</w:t>
      </w:r>
    </w:p>
    <w:p w14:paraId="7A2E407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34285A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（3）监理人未在收到承包人提交的工程量报表后的7天内完成审核的，承包人报送的工程量报告中的工程量视为承包人实际完成的工程量，据此计算工程价款。</w:t>
      </w:r>
    </w:p>
    <w:p w14:paraId="177E750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12.3.4 总价合同的计量</w:t>
      </w:r>
    </w:p>
    <w:p w14:paraId="5B77508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除专用合同条款另有约定外，按月计量支付的总价合同，按照本项约定执行：</w:t>
      </w:r>
    </w:p>
    <w:p w14:paraId="1EB8C65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（1）承包人应于每月25日向监理人报送上月20日至当月19日已完成的工程量报告，并附具进度付款申请单、已完成工程量报表和有关资料。</w:t>
      </w:r>
    </w:p>
    <w:p w14:paraId="3C9741F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6C18581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（3）监理人未在收到承包人提交的工程量报表后的7天内完成复核的，承包人提交的工程量报告中的工程量视为承包人实际完成的工程量。</w:t>
      </w:r>
    </w:p>
    <w:p w14:paraId="5C82D39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12.3.5 总价合同采用支付分解表计量支付的，可以按照第12.3.4项〔总价合同的计量〕约定进行计量，但合同价款按照支付分解表进行支付。</w:t>
      </w:r>
    </w:p>
    <w:p w14:paraId="7417C19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12.3.6 其他价格形式合同的计量</w:t>
      </w:r>
    </w:p>
    <w:p w14:paraId="7FEE863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合同当事人可在专用合同条款中约定其他价格形式合同的计量方式和程序。</w:t>
      </w:r>
    </w:p>
    <w:p w14:paraId="7D317B4C">
      <w:pPr>
        <w:pStyle w:val="9"/>
        <w:spacing w:before="120" w:after="120" w:line="360" w:lineRule="auto"/>
        <w:ind w:firstLine="420" w:firstLineChars="200"/>
        <w:rPr>
          <w:rFonts w:hint="eastAsia" w:ascii="宋体" w:hAnsi="宋体" w:eastAsia="宋体" w:cs="宋体"/>
          <w:b w:val="0"/>
          <w:color w:val="auto"/>
          <w:sz w:val="21"/>
          <w:szCs w:val="21"/>
        </w:rPr>
      </w:pPr>
      <w:bookmarkStart w:id="504" w:name="_Toc296503101"/>
      <w:bookmarkStart w:id="505" w:name="_Toc296346602"/>
      <w:bookmarkStart w:id="506" w:name="_Toc351203584"/>
      <w:bookmarkStart w:id="507" w:name="_Toc337558803"/>
      <w:r>
        <w:rPr>
          <w:rFonts w:hint="eastAsia" w:ascii="宋体" w:hAnsi="宋体" w:eastAsia="宋体" w:cs="宋体"/>
          <w:b w:val="0"/>
          <w:color w:val="auto"/>
          <w:sz w:val="21"/>
          <w:szCs w:val="21"/>
        </w:rPr>
        <w:t>12.4工程进度款支</w:t>
      </w:r>
      <w:bookmarkEnd w:id="504"/>
      <w:bookmarkEnd w:id="505"/>
      <w:r>
        <w:rPr>
          <w:rFonts w:hint="eastAsia" w:ascii="宋体" w:hAnsi="宋体" w:eastAsia="宋体" w:cs="宋体"/>
          <w:b w:val="0"/>
          <w:color w:val="auto"/>
          <w:sz w:val="21"/>
          <w:szCs w:val="21"/>
        </w:rPr>
        <w:t>付</w:t>
      </w:r>
      <w:bookmarkEnd w:id="506"/>
    </w:p>
    <w:bookmarkEnd w:id="507"/>
    <w:p w14:paraId="4F1B73C3">
      <w:pPr>
        <w:autoSpaceDE w:val="0"/>
        <w:autoSpaceDN w:val="0"/>
        <w:adjustRightInd w:val="0"/>
        <w:spacing w:line="360" w:lineRule="auto"/>
        <w:ind w:firstLine="420" w:firstLineChars="200"/>
        <w:jc w:val="left"/>
        <w:outlineLvl w:val="0"/>
        <w:rPr>
          <w:rFonts w:hint="eastAsia" w:ascii="宋体" w:hAnsi="宋体" w:eastAsia="宋体" w:cs="宋体"/>
          <w:color w:val="auto"/>
          <w:kern w:val="0"/>
          <w:sz w:val="21"/>
          <w:szCs w:val="21"/>
        </w:rPr>
      </w:pPr>
      <w:r>
        <w:rPr>
          <w:rFonts w:hint="eastAsia" w:ascii="宋体" w:hAnsi="宋体" w:eastAsia="宋体" w:cs="宋体"/>
          <w:color w:val="auto"/>
          <w:sz w:val="21"/>
          <w:szCs w:val="21"/>
        </w:rPr>
        <w:t>12.4</w:t>
      </w:r>
      <w:r>
        <w:rPr>
          <w:rFonts w:hint="eastAsia" w:ascii="宋体" w:hAnsi="宋体" w:eastAsia="宋体" w:cs="宋体"/>
          <w:color w:val="auto"/>
          <w:kern w:val="0"/>
          <w:sz w:val="21"/>
          <w:szCs w:val="21"/>
        </w:rPr>
        <w:t>.1 付款周期</w:t>
      </w:r>
    </w:p>
    <w:p w14:paraId="10B1B34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除专用合同条款另有约定外，付款周期应按照第12.3.2项〔计量周期〕的约定与计量周期保持一致。</w:t>
      </w:r>
    </w:p>
    <w:p w14:paraId="1C34750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12.4</w:t>
      </w:r>
      <w:r>
        <w:rPr>
          <w:rFonts w:hint="eastAsia" w:ascii="宋体" w:hAnsi="宋体" w:eastAsia="宋体" w:cs="宋体"/>
          <w:color w:val="auto"/>
          <w:kern w:val="0"/>
          <w:sz w:val="21"/>
          <w:szCs w:val="21"/>
        </w:rPr>
        <w:t>.2 进度付款申请单的编制</w:t>
      </w:r>
    </w:p>
    <w:p w14:paraId="197733E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除专用合同条款另有约定外，进度付款申请单应包括下列内容：</w:t>
      </w:r>
    </w:p>
    <w:p w14:paraId="5EDEC0D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（1）截至本次付款周期已完成工作对应的金额；</w:t>
      </w:r>
    </w:p>
    <w:p w14:paraId="0BD868C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（2）根据第10条〔变更〕应增加和扣减的变更金额；</w:t>
      </w:r>
    </w:p>
    <w:p w14:paraId="7F43887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（3）根据第12.2款〔预付款〕约定应支付的预付款和扣减的返还预付款；</w:t>
      </w:r>
    </w:p>
    <w:p w14:paraId="355F506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（4）根据第15.3款〔质量保证金〕约定应扣减的质量保证金；</w:t>
      </w:r>
    </w:p>
    <w:p w14:paraId="662047A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（5）根据第19条〔索赔〕应增加和扣减的索赔金额；</w:t>
      </w:r>
    </w:p>
    <w:p w14:paraId="43EECB2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（6）对已签发的进度款支付证书中出现错误的修正，应在本次进度付款中支付或扣除的金额；</w:t>
      </w:r>
    </w:p>
    <w:p w14:paraId="01A4C79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（7）根据合同约定应增加和扣减的其他金额。</w:t>
      </w:r>
    </w:p>
    <w:p w14:paraId="797BA444">
      <w:pPr>
        <w:autoSpaceDE w:val="0"/>
        <w:autoSpaceDN w:val="0"/>
        <w:adjustRightInd w:val="0"/>
        <w:spacing w:line="360" w:lineRule="auto"/>
        <w:ind w:firstLine="420" w:firstLineChars="200"/>
        <w:jc w:val="left"/>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12.4.3 进度付款申请单的提交</w:t>
      </w:r>
    </w:p>
    <w:p w14:paraId="29575CE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（1）单价合同进度付款申请单的提交</w:t>
      </w:r>
    </w:p>
    <w:p w14:paraId="7771305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044005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（2）总价合同进度付款申请单的提交</w:t>
      </w:r>
    </w:p>
    <w:p w14:paraId="36ED98E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总价合同按月计量支付的，承包人按照第12.3.4项〔总价合同的计量〕约定的时间按月向监理人提交进度付款申请单，并附上已完成工程量报表和有关资料。</w:t>
      </w:r>
    </w:p>
    <w:p w14:paraId="6B63547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总价合同按支付分解表支付的，承包人应按照第12.4.6项〔支付分解表〕及第12.4.2项〔进度付款申请单的编制〕的约定向监理人提交进度付款申请单。</w:t>
      </w:r>
    </w:p>
    <w:p w14:paraId="4C4A56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（3）其他价格形式合同的进度付款申请单的提交</w:t>
      </w:r>
    </w:p>
    <w:p w14:paraId="2569789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合同当事人可在专用合同条款中约定其他价格形式合同的进度付款申请单的编制和提交程序。</w:t>
      </w:r>
    </w:p>
    <w:p w14:paraId="4CF135B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12.4</w:t>
      </w:r>
      <w:r>
        <w:rPr>
          <w:rFonts w:hint="eastAsia" w:ascii="宋体" w:hAnsi="宋体" w:eastAsia="宋体" w:cs="宋体"/>
          <w:color w:val="auto"/>
          <w:kern w:val="0"/>
          <w:sz w:val="21"/>
          <w:szCs w:val="21"/>
        </w:rPr>
        <w:t>.4 进度款审核和支付</w:t>
      </w:r>
    </w:p>
    <w:p w14:paraId="68508E2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342E267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2B32E6D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00173B8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（3）发包人签发进度款支付证书或临时进度款支付证书，不表明发包人已同意、批准或接受了承包人完成的相应部分的工作。</w:t>
      </w:r>
    </w:p>
    <w:p w14:paraId="590BE28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12.4.5 进度付款的修正</w:t>
      </w:r>
    </w:p>
    <w:p w14:paraId="1B22517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在对已签发的进度款支付证书进行阶段汇总和复核中发现错误、遗漏或重复的，发包人和承包人均有权提出修正申请。经发包人和承包人同意的修正，应在下期进度付款中支付或扣除。</w:t>
      </w:r>
    </w:p>
    <w:p w14:paraId="17EB09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12.4.6 支付分解表</w:t>
      </w:r>
    </w:p>
    <w:p w14:paraId="3CF4803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1.支付分解表的编制要求</w:t>
      </w:r>
    </w:p>
    <w:p w14:paraId="262FCC5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（1）支付分解表中所列的每期付款金额，应为第12.4.2项〔进度付款申请单的编制〕第（1）目的</w:t>
      </w:r>
      <w:r>
        <w:rPr>
          <w:rFonts w:hint="eastAsia" w:ascii="宋体" w:hAnsi="宋体" w:cs="宋体"/>
          <w:color w:val="auto"/>
          <w:kern w:val="0"/>
          <w:sz w:val="21"/>
          <w:szCs w:val="21"/>
          <w:lang w:eastAsia="zh-CN"/>
        </w:rPr>
        <w:t>结算金额</w:t>
      </w:r>
      <w:r>
        <w:rPr>
          <w:rFonts w:hint="eastAsia" w:ascii="宋体" w:hAnsi="宋体" w:eastAsia="宋体" w:cs="宋体"/>
          <w:color w:val="auto"/>
          <w:kern w:val="0"/>
          <w:sz w:val="21"/>
          <w:szCs w:val="21"/>
        </w:rPr>
        <w:t>；</w:t>
      </w:r>
    </w:p>
    <w:p w14:paraId="06CA922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（2）实际进度与施工进度计划不一致的，合同当事人可按照第4.4款〔商定或确定〕修改支付分解表；</w:t>
      </w:r>
    </w:p>
    <w:p w14:paraId="391B30E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（3）不采用支付分解表的，承包人应向发包人和监理人提交按季度编制的支付估算分解表，用于支付参考。</w:t>
      </w:r>
    </w:p>
    <w:p w14:paraId="2F008CD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2.总价合同支付分解表的编制与审批</w:t>
      </w:r>
    </w:p>
    <w:p w14:paraId="699055B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109F53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（2）监理人应在收到支付分解表后7天内完成审核并报送发包人。发包人应在收到经监理人审核的支付分解表后7天内完成审批，经发包人批准的支付分解表为有约束力的支付分解表。</w:t>
      </w:r>
    </w:p>
    <w:p w14:paraId="78995B1F">
      <w:pPr>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    （3）发包人逾期未完成支付分解表审批的，也未及时要求承包人进行修正和提供补充资料的，则承包人提交的支付分解表视为已经获得发包人批准。</w:t>
      </w:r>
    </w:p>
    <w:p w14:paraId="1AECDB2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3.单价合同的总价项目支付分解表的编制与审批</w:t>
      </w:r>
    </w:p>
    <w:p w14:paraId="6C44F86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408CABD">
      <w:pPr>
        <w:pStyle w:val="9"/>
        <w:spacing w:before="120" w:after="120" w:line="360" w:lineRule="auto"/>
        <w:ind w:firstLine="420" w:firstLineChars="200"/>
        <w:rPr>
          <w:rFonts w:hint="eastAsia" w:ascii="宋体" w:hAnsi="宋体" w:eastAsia="宋体" w:cs="宋体"/>
          <w:b w:val="0"/>
          <w:color w:val="auto"/>
          <w:sz w:val="21"/>
          <w:szCs w:val="21"/>
        </w:rPr>
      </w:pPr>
      <w:bookmarkStart w:id="508" w:name="_Toc351203585"/>
      <w:r>
        <w:rPr>
          <w:rFonts w:hint="eastAsia" w:ascii="宋体" w:hAnsi="宋体" w:eastAsia="宋体" w:cs="宋体"/>
          <w:b w:val="0"/>
          <w:color w:val="auto"/>
          <w:sz w:val="21"/>
          <w:szCs w:val="21"/>
        </w:rPr>
        <w:t>12.5支付账户</w:t>
      </w:r>
      <w:bookmarkEnd w:id="508"/>
    </w:p>
    <w:p w14:paraId="48F35CA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发包人应将合同价款支付至合同协议书中约定的承包人账户。</w:t>
      </w:r>
    </w:p>
    <w:p w14:paraId="3932BFA9">
      <w:pPr>
        <w:pStyle w:val="8"/>
        <w:spacing w:before="120" w:after="120" w:line="360" w:lineRule="auto"/>
        <w:rPr>
          <w:rFonts w:hint="eastAsia" w:ascii="宋体" w:hAnsi="宋体" w:eastAsia="宋体" w:cs="宋体"/>
          <w:b w:val="0"/>
          <w:color w:val="auto"/>
          <w:sz w:val="21"/>
          <w:szCs w:val="21"/>
        </w:rPr>
      </w:pPr>
      <w:bookmarkStart w:id="509" w:name="_Toc351203586"/>
      <w:bookmarkStart w:id="510" w:name="_Toc322522574"/>
      <w:bookmarkStart w:id="511" w:name="_Toc296346607"/>
      <w:bookmarkStart w:id="512" w:name="_Toc337558804"/>
      <w:bookmarkStart w:id="513" w:name="_Toc296503106"/>
      <w:r>
        <w:rPr>
          <w:rFonts w:hint="eastAsia" w:ascii="宋体" w:hAnsi="宋体" w:eastAsia="宋体" w:cs="宋体"/>
          <w:b w:val="0"/>
          <w:color w:val="auto"/>
          <w:sz w:val="21"/>
          <w:szCs w:val="21"/>
        </w:rPr>
        <w:t>13. 验收和工程试车</w:t>
      </w:r>
      <w:bookmarkEnd w:id="509"/>
    </w:p>
    <w:bookmarkEnd w:id="510"/>
    <w:bookmarkEnd w:id="511"/>
    <w:bookmarkEnd w:id="512"/>
    <w:bookmarkEnd w:id="513"/>
    <w:p w14:paraId="1F27317F">
      <w:pPr>
        <w:pStyle w:val="9"/>
        <w:spacing w:before="120" w:after="120" w:line="360" w:lineRule="auto"/>
        <w:ind w:firstLine="420" w:firstLineChars="200"/>
        <w:rPr>
          <w:rFonts w:hint="eastAsia" w:ascii="宋体" w:hAnsi="宋体" w:eastAsia="宋体" w:cs="宋体"/>
          <w:b w:val="0"/>
          <w:color w:val="auto"/>
          <w:sz w:val="21"/>
          <w:szCs w:val="21"/>
        </w:rPr>
      </w:pPr>
      <w:bookmarkStart w:id="514" w:name="_Toc351203587"/>
      <w:bookmarkStart w:id="515" w:name="_Toc337558805"/>
      <w:bookmarkStart w:id="516" w:name="_Toc296346611"/>
      <w:bookmarkStart w:id="517" w:name="_Toc296503110"/>
      <w:r>
        <w:rPr>
          <w:rFonts w:hint="eastAsia" w:ascii="宋体" w:hAnsi="宋体" w:eastAsia="宋体" w:cs="宋体"/>
          <w:b w:val="0"/>
          <w:color w:val="auto"/>
          <w:sz w:val="21"/>
          <w:szCs w:val="21"/>
        </w:rPr>
        <w:t>13.1分部分项工程验收</w:t>
      </w:r>
      <w:bookmarkEnd w:id="514"/>
    </w:p>
    <w:bookmarkEnd w:id="515"/>
    <w:p w14:paraId="45FC76C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13.1.1 分部分项工程质量应符合国家有关工程施工验收规范、标准及合同约定，承包人应按照施工组织设计的要求完成分部分项工程施工。</w:t>
      </w:r>
    </w:p>
    <w:p w14:paraId="088FB68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 w:val="21"/>
          <w:szCs w:val="21"/>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 w:val="21"/>
          <w:szCs w:val="21"/>
        </w:rPr>
        <w:t>分部分项工程未经验收的，不得进入下一道工序施工。</w:t>
      </w:r>
    </w:p>
    <w:p w14:paraId="7BA3F37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分部分项工程的验收资料应当作为竣工资料的组成部分。</w:t>
      </w:r>
    </w:p>
    <w:p w14:paraId="50C503F7">
      <w:pPr>
        <w:pStyle w:val="9"/>
        <w:spacing w:before="120" w:after="120" w:line="360" w:lineRule="auto"/>
        <w:ind w:firstLine="420" w:firstLineChars="200"/>
        <w:rPr>
          <w:rFonts w:hint="eastAsia" w:ascii="宋体" w:hAnsi="宋体" w:eastAsia="宋体" w:cs="宋体"/>
          <w:b w:val="0"/>
          <w:color w:val="auto"/>
          <w:sz w:val="21"/>
          <w:szCs w:val="21"/>
        </w:rPr>
      </w:pPr>
      <w:bookmarkStart w:id="518" w:name="_Toc351203588"/>
      <w:bookmarkStart w:id="519" w:name="_Toc337558806"/>
      <w:r>
        <w:rPr>
          <w:rFonts w:hint="eastAsia" w:ascii="宋体" w:hAnsi="宋体" w:eastAsia="宋体" w:cs="宋体"/>
          <w:b w:val="0"/>
          <w:color w:val="auto"/>
          <w:sz w:val="21"/>
          <w:szCs w:val="21"/>
        </w:rPr>
        <w:t>13.2竣工验收</w:t>
      </w:r>
      <w:bookmarkEnd w:id="518"/>
    </w:p>
    <w:bookmarkEnd w:id="516"/>
    <w:bookmarkEnd w:id="517"/>
    <w:bookmarkEnd w:id="519"/>
    <w:p w14:paraId="179C191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13.2.1竣工验收条件</w:t>
      </w:r>
    </w:p>
    <w:p w14:paraId="38A2AB6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工程具备以下条件的，承包人可以申请竣工验收：</w:t>
      </w:r>
    </w:p>
    <w:p w14:paraId="03500E8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（1）除发包人同意的甩项工作和缺陷修补工作外，合同范围内的全部工程以及有关工作，包括合同要求的试验、试运行以及检验均已完成，并符合合同要求；</w:t>
      </w:r>
    </w:p>
    <w:p w14:paraId="7F95D74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（2）已按合同约定编制了甩项工作和缺陷修补工作清单以及相应的施工计划；</w:t>
      </w:r>
    </w:p>
    <w:p w14:paraId="38E27D8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（3）已按合同约定的内容和份数备齐竣工资料。</w:t>
      </w:r>
    </w:p>
    <w:p w14:paraId="3958653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13.2.2竣工验收程序</w:t>
      </w:r>
    </w:p>
    <w:p w14:paraId="0C5CFF3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除专用合同条款另有约定外，承包人申请竣工验收的，应当按照以下程序进行：</w:t>
      </w:r>
    </w:p>
    <w:p w14:paraId="147641B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79E40E9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7365BF0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（3）竣工验收合格的，发包人应在验收合格后14天内向承包人签发工程接收证书。发包人无正当理由逾期不颁发工程接收证书的，自验收合格后第15天起视为已颁发工程接收证书。</w:t>
      </w:r>
    </w:p>
    <w:p w14:paraId="56CB32B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4A4652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481C25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除专用合同条款另有约定外，发包人不按照本项约定组织竣工验收、颁发工程接收证书的，每逾期一天，应以签约合同价为基数，按照中国人民银行发布的同期同类贷款基准利率支付违约金。</w:t>
      </w:r>
    </w:p>
    <w:p w14:paraId="2EE8A6F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13.2.3竣工日期</w:t>
      </w:r>
    </w:p>
    <w:p w14:paraId="704184A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520" w:name="#go14"/>
      <w:bookmarkEnd w:id="520"/>
      <w:r>
        <w:rPr>
          <w:rFonts w:hint="eastAsia" w:ascii="宋体" w:hAnsi="宋体" w:eastAsia="宋体" w:cs="宋体"/>
          <w:color w:val="auto"/>
          <w:kern w:val="0"/>
          <w:sz w:val="21"/>
          <w:szCs w:val="21"/>
        </w:rPr>
        <w:t>收申请报告的日期为实际竣工日期；工程未经竣工验收，发包人擅自使用的，以转移占有工程之日为实际竣工日期。</w:t>
      </w:r>
    </w:p>
    <w:p w14:paraId="4BB06DF9">
      <w:pPr>
        <w:spacing w:line="360" w:lineRule="auto"/>
        <w:ind w:firstLine="420" w:firstLineChars="200"/>
        <w:jc w:val="left"/>
        <w:outlineLvl w:val="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13.2.4 拒绝接收全部或部分工程</w:t>
      </w:r>
    </w:p>
    <w:p w14:paraId="2758BD2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16FA3D5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13.2.5 移交、接收全部与部分工程</w:t>
      </w:r>
    </w:p>
    <w:p w14:paraId="79561AC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除专用合同条款另有约定外，合同当事人应当在颁发工程接收证书后7天内完成工程的移交。</w:t>
      </w:r>
    </w:p>
    <w:p w14:paraId="1F40F11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发包人无正当理由不接收工程的，发包人自应当接收工程之日起，承担工程照管、成品保护、保管等与工程有关的各项费用，合同当事人可以在专用合同条款中另行约定发包人逾期接收工程的违约责任。</w:t>
      </w:r>
    </w:p>
    <w:p w14:paraId="033A741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承包人无正当理由不移交工程的，承包人应承担工程照管、成品保护、保管等与工程有关的各项费用，合同当事人可以在专用合同条款中另行约定承包人无正当理由不移交工程的违约责任。</w:t>
      </w:r>
    </w:p>
    <w:p w14:paraId="590EEA78">
      <w:pPr>
        <w:pStyle w:val="9"/>
        <w:spacing w:before="120" w:after="120" w:line="360" w:lineRule="auto"/>
        <w:ind w:firstLine="420" w:firstLineChars="200"/>
        <w:rPr>
          <w:rFonts w:hint="eastAsia" w:ascii="宋体" w:hAnsi="宋体" w:eastAsia="宋体" w:cs="宋体"/>
          <w:b w:val="0"/>
          <w:color w:val="auto"/>
          <w:sz w:val="21"/>
          <w:szCs w:val="21"/>
        </w:rPr>
      </w:pPr>
      <w:bookmarkStart w:id="521" w:name="_Toc351203589"/>
      <w:bookmarkStart w:id="522" w:name="_Toc337558807"/>
      <w:bookmarkStart w:id="523" w:name="_Toc296346612"/>
      <w:bookmarkStart w:id="524" w:name="_Toc296503111"/>
      <w:r>
        <w:rPr>
          <w:rFonts w:hint="eastAsia" w:ascii="宋体" w:hAnsi="宋体" w:eastAsia="宋体" w:cs="宋体"/>
          <w:b w:val="0"/>
          <w:color w:val="auto"/>
          <w:sz w:val="21"/>
          <w:szCs w:val="21"/>
        </w:rPr>
        <w:t>13.3工程试车</w:t>
      </w:r>
      <w:bookmarkEnd w:id="521"/>
    </w:p>
    <w:bookmarkEnd w:id="522"/>
    <w:bookmarkEnd w:id="523"/>
    <w:bookmarkEnd w:id="524"/>
    <w:p w14:paraId="4198F60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13.3.1试车程序</w:t>
      </w:r>
    </w:p>
    <w:p w14:paraId="3AC16A1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工程需要试车的，除专用合同条款另有约定外，试车内容应与承包人承包范围相一致，试车费用由承包人承担。工程试车应按如下程序进行：</w:t>
      </w:r>
    </w:p>
    <w:p w14:paraId="5BA0EEA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15B7727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08D9AC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142D28F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13.3.2 试车中的责任</w:t>
      </w:r>
    </w:p>
    <w:p w14:paraId="13D675E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795AC0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79C309A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13.3.3 投料试车</w:t>
      </w:r>
    </w:p>
    <w:p w14:paraId="58C94CA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如需进行投料试车的，发包人应在工程竣工验收后组织投料试车。发包人要求在工程竣工验收前进行或需要承包人配合时，应征得承包人同意，并在专用合同条款中约定有关事项。</w:t>
      </w:r>
    </w:p>
    <w:p w14:paraId="69A1C5F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D156C9D">
      <w:pPr>
        <w:pStyle w:val="9"/>
        <w:spacing w:before="120" w:after="120" w:line="360" w:lineRule="auto"/>
        <w:rPr>
          <w:rFonts w:hint="eastAsia" w:ascii="宋体" w:hAnsi="宋体" w:eastAsia="宋体" w:cs="宋体"/>
          <w:b w:val="0"/>
          <w:color w:val="auto"/>
          <w:sz w:val="21"/>
          <w:szCs w:val="21"/>
        </w:rPr>
      </w:pPr>
      <w:bookmarkStart w:id="525" w:name="_Toc337558808"/>
      <w:r>
        <w:rPr>
          <w:rFonts w:hint="eastAsia" w:ascii="宋体" w:hAnsi="宋体" w:eastAsia="宋体" w:cs="宋体"/>
          <w:b w:val="0"/>
          <w:color w:val="auto"/>
          <w:sz w:val="21"/>
          <w:szCs w:val="21"/>
        </w:rPr>
        <w:t xml:space="preserve">    </w:t>
      </w:r>
      <w:bookmarkStart w:id="526" w:name="_Toc351203590"/>
      <w:r>
        <w:rPr>
          <w:rFonts w:hint="eastAsia" w:ascii="宋体" w:hAnsi="宋体" w:eastAsia="宋体" w:cs="宋体"/>
          <w:b w:val="0"/>
          <w:color w:val="auto"/>
          <w:sz w:val="21"/>
          <w:szCs w:val="21"/>
        </w:rPr>
        <w:t>13.4提前交付单位工程的验收</w:t>
      </w:r>
      <w:bookmarkEnd w:id="526"/>
    </w:p>
    <w:bookmarkEnd w:id="525"/>
    <w:p w14:paraId="3E04880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13.4.1 发包人需要在工程竣工前使用单位工程的，或承包人提出提前交付已经竣工的单位工程且经发包人同意的，可进行单位工程验收，验收的程序按照第13.2款〔竣工验收〕的约定进行。</w:t>
      </w:r>
    </w:p>
    <w:p w14:paraId="2AABDE1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6CA365F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13.4.2 发包人要求在工程竣工前交付单位工程，由此导致承包人费用增加和（或）工期延误的，由发包人承担由此增加的费用和（或）延误的工期，并支付承包人合理的利润。</w:t>
      </w:r>
    </w:p>
    <w:p w14:paraId="0B06144A">
      <w:pPr>
        <w:pStyle w:val="9"/>
        <w:spacing w:before="120" w:after="120" w:line="360" w:lineRule="auto"/>
        <w:ind w:firstLine="420" w:firstLineChars="200"/>
        <w:rPr>
          <w:rFonts w:hint="eastAsia" w:ascii="宋体" w:hAnsi="宋体" w:eastAsia="宋体" w:cs="宋体"/>
          <w:b w:val="0"/>
          <w:color w:val="auto"/>
          <w:sz w:val="21"/>
          <w:szCs w:val="21"/>
        </w:rPr>
      </w:pPr>
      <w:bookmarkStart w:id="527" w:name="_Toc351203591"/>
      <w:r>
        <w:rPr>
          <w:rFonts w:hint="eastAsia" w:ascii="宋体" w:hAnsi="宋体" w:eastAsia="宋体" w:cs="宋体"/>
          <w:b w:val="0"/>
          <w:color w:val="auto"/>
          <w:sz w:val="21"/>
          <w:szCs w:val="21"/>
        </w:rPr>
        <w:t>13.5 施工期运行</w:t>
      </w:r>
      <w:bookmarkEnd w:id="527"/>
    </w:p>
    <w:p w14:paraId="69BDE1E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67E5120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13.5.2 在施工期运行中发现工程或工程设备损坏或存在缺陷的，由承包人按第15.2款〔缺陷责任期〕约定进行修复。</w:t>
      </w:r>
    </w:p>
    <w:p w14:paraId="64319B70">
      <w:pPr>
        <w:pStyle w:val="9"/>
        <w:spacing w:before="120" w:after="120" w:line="360" w:lineRule="auto"/>
        <w:ind w:firstLine="420" w:firstLineChars="200"/>
        <w:rPr>
          <w:rFonts w:hint="eastAsia" w:ascii="宋体" w:hAnsi="宋体" w:eastAsia="宋体" w:cs="宋体"/>
          <w:b w:val="0"/>
          <w:color w:val="auto"/>
          <w:sz w:val="21"/>
          <w:szCs w:val="21"/>
        </w:rPr>
      </w:pPr>
      <w:bookmarkStart w:id="528" w:name="_Toc296503112"/>
      <w:bookmarkStart w:id="529" w:name="_Toc296346613"/>
      <w:bookmarkStart w:id="530" w:name="_Toc351203592"/>
      <w:bookmarkStart w:id="531" w:name="_Toc337558809"/>
      <w:r>
        <w:rPr>
          <w:rFonts w:hint="eastAsia" w:ascii="宋体" w:hAnsi="宋体" w:eastAsia="宋体" w:cs="宋体"/>
          <w:b w:val="0"/>
          <w:color w:val="auto"/>
          <w:sz w:val="21"/>
          <w:szCs w:val="21"/>
        </w:rPr>
        <w:t>13.6 竣工退</w:t>
      </w:r>
      <w:bookmarkEnd w:id="528"/>
      <w:bookmarkEnd w:id="529"/>
      <w:r>
        <w:rPr>
          <w:rFonts w:hint="eastAsia" w:ascii="宋体" w:hAnsi="宋体" w:eastAsia="宋体" w:cs="宋体"/>
          <w:b w:val="0"/>
          <w:color w:val="auto"/>
          <w:sz w:val="21"/>
          <w:szCs w:val="21"/>
        </w:rPr>
        <w:t>场</w:t>
      </w:r>
      <w:bookmarkEnd w:id="530"/>
    </w:p>
    <w:bookmarkEnd w:id="531"/>
    <w:p w14:paraId="66DDE3A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13.6.1 竣工退场</w:t>
      </w:r>
    </w:p>
    <w:p w14:paraId="18FED17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颁发工程接收证书后，承包人应按以下要求对施工现场进行清理：</w:t>
      </w:r>
    </w:p>
    <w:p w14:paraId="54E1117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（1）施工现场内残留的垃圾已全部清除出场；</w:t>
      </w:r>
    </w:p>
    <w:p w14:paraId="7D76842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（2）临时工程已拆除，场地已进行清理、平整或复原；</w:t>
      </w:r>
    </w:p>
    <w:p w14:paraId="03FE9129">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（3）按合同约定应撤离的人员、承包人施工设备和剩余的材料，包括废弃的施工设备和材料，已按计划撤离施工现场；</w:t>
      </w:r>
    </w:p>
    <w:p w14:paraId="6918910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（4）施工现场周边及其附近道路、河道的施工堆积物，已全部清理；</w:t>
      </w:r>
    </w:p>
    <w:p w14:paraId="47956FE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（5）施工现场其他场地清理工作已全部完成。</w:t>
      </w:r>
    </w:p>
    <w:p w14:paraId="7B0F216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831271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13.6.2 地表还原</w:t>
      </w:r>
    </w:p>
    <w:p w14:paraId="0B1EBE3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46027A8B">
      <w:pPr>
        <w:pStyle w:val="8"/>
        <w:spacing w:before="120" w:after="120" w:line="360" w:lineRule="auto"/>
        <w:rPr>
          <w:rFonts w:hint="eastAsia" w:ascii="宋体" w:hAnsi="宋体" w:eastAsia="宋体" w:cs="宋体"/>
          <w:b w:val="0"/>
          <w:color w:val="auto"/>
          <w:sz w:val="21"/>
          <w:szCs w:val="21"/>
        </w:rPr>
      </w:pPr>
      <w:bookmarkStart w:id="532" w:name="_Toc351203593"/>
      <w:bookmarkStart w:id="533" w:name="_Toc337558810"/>
      <w:bookmarkStart w:id="534" w:name="_Toc296346614"/>
      <w:bookmarkStart w:id="535" w:name="_Toc296503113"/>
      <w:r>
        <w:rPr>
          <w:rFonts w:hint="eastAsia" w:ascii="宋体" w:hAnsi="宋体" w:eastAsia="宋体" w:cs="宋体"/>
          <w:b w:val="0"/>
          <w:color w:val="auto"/>
          <w:sz w:val="21"/>
          <w:szCs w:val="21"/>
        </w:rPr>
        <w:t>14. 竣工结算</w:t>
      </w:r>
      <w:bookmarkEnd w:id="532"/>
    </w:p>
    <w:bookmarkEnd w:id="533"/>
    <w:p w14:paraId="35A7C99D">
      <w:pPr>
        <w:pStyle w:val="9"/>
        <w:spacing w:before="120" w:after="120" w:line="360" w:lineRule="auto"/>
        <w:ind w:firstLine="420" w:firstLineChars="200"/>
        <w:rPr>
          <w:rFonts w:hint="eastAsia" w:ascii="宋体" w:hAnsi="宋体" w:eastAsia="宋体" w:cs="宋体"/>
          <w:b w:val="0"/>
          <w:color w:val="auto"/>
          <w:sz w:val="21"/>
          <w:szCs w:val="21"/>
        </w:rPr>
      </w:pPr>
      <w:bookmarkStart w:id="536" w:name="_Toc351203594"/>
      <w:bookmarkStart w:id="537" w:name="_Toc337558811"/>
      <w:r>
        <w:rPr>
          <w:rFonts w:hint="eastAsia" w:ascii="宋体" w:hAnsi="宋体" w:eastAsia="宋体" w:cs="宋体"/>
          <w:b w:val="0"/>
          <w:color w:val="auto"/>
          <w:sz w:val="21"/>
          <w:szCs w:val="21"/>
        </w:rPr>
        <w:t>14.1 竣工结算申请</w:t>
      </w:r>
      <w:bookmarkEnd w:id="536"/>
    </w:p>
    <w:bookmarkEnd w:id="537"/>
    <w:p w14:paraId="4AA58714">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除专用合同条款另有约定外，</w:t>
      </w:r>
      <w:r>
        <w:rPr>
          <w:rFonts w:hint="eastAsia" w:ascii="宋体" w:hAnsi="宋体" w:eastAsia="宋体" w:cs="宋体"/>
          <w:color w:val="auto"/>
          <w:sz w:val="21"/>
          <w:szCs w:val="21"/>
        </w:rPr>
        <w:t>承包人应在工程竣工验收合格后28天内向发包人和监理人提交竣工结算申请单，并提交完整的结算资料，有关竣工结算申请单的资料清单和份数等要求由合同当事人在专用合同条款中约定。</w:t>
      </w:r>
    </w:p>
    <w:p w14:paraId="6A9DAA54">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除专用合同条款另有约定外，竣工结算申请单应包括以下内容：</w:t>
      </w:r>
    </w:p>
    <w:p w14:paraId="3E11500A">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（1）竣工结算合同价格；</w:t>
      </w:r>
    </w:p>
    <w:p w14:paraId="0ABC33CE">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（2）发包人已支付承包人的款项；</w:t>
      </w:r>
    </w:p>
    <w:p w14:paraId="4AF4B179">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（3）应扣留的质量保证金。已缴纳履约保证金的或提供其他工程质量担保方式的除外； </w:t>
      </w:r>
    </w:p>
    <w:p w14:paraId="202D0D91">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（4）发包人应支付承包人的合同价款。</w:t>
      </w:r>
    </w:p>
    <w:p w14:paraId="3CF515D4">
      <w:pPr>
        <w:pStyle w:val="9"/>
        <w:spacing w:before="120" w:after="120" w:line="360" w:lineRule="auto"/>
        <w:ind w:firstLine="420" w:firstLineChars="200"/>
        <w:rPr>
          <w:rFonts w:hint="eastAsia" w:ascii="宋体" w:hAnsi="宋体" w:eastAsia="宋体" w:cs="宋体"/>
          <w:b w:val="0"/>
          <w:color w:val="auto"/>
          <w:sz w:val="21"/>
          <w:szCs w:val="21"/>
        </w:rPr>
      </w:pPr>
      <w:bookmarkStart w:id="538" w:name="_Toc351203595"/>
      <w:bookmarkStart w:id="539" w:name="_Toc337558812"/>
      <w:r>
        <w:rPr>
          <w:rFonts w:hint="eastAsia" w:ascii="宋体" w:hAnsi="宋体" w:eastAsia="宋体" w:cs="宋体"/>
          <w:b w:val="0"/>
          <w:color w:val="auto"/>
          <w:sz w:val="21"/>
          <w:szCs w:val="21"/>
        </w:rPr>
        <w:t>14.2 竣工结算审核</w:t>
      </w:r>
      <w:bookmarkEnd w:id="538"/>
    </w:p>
    <w:bookmarkEnd w:id="539"/>
    <w:p w14:paraId="00A973A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 w:val="21"/>
          <w:szCs w:val="21"/>
        </w:rPr>
        <w:t>发包人对竣工</w:t>
      </w:r>
      <w:r>
        <w:rPr>
          <w:rFonts w:hint="eastAsia" w:ascii="宋体" w:hAnsi="宋体" w:eastAsia="宋体" w:cs="宋体"/>
          <w:color w:val="auto"/>
          <w:kern w:val="0"/>
          <w:sz w:val="21"/>
          <w:szCs w:val="21"/>
        </w:rPr>
        <w:t>结算</w:t>
      </w:r>
      <w:r>
        <w:rPr>
          <w:rFonts w:hint="eastAsia" w:ascii="宋体" w:hAnsi="宋体" w:eastAsia="宋体" w:cs="宋体"/>
          <w:color w:val="auto"/>
          <w:sz w:val="21"/>
          <w:szCs w:val="21"/>
        </w:rPr>
        <w:t>申请单有异议的，有权要求承包人进行修正和提供补充资料，承包人应提交修正后的竣工</w:t>
      </w:r>
      <w:r>
        <w:rPr>
          <w:rFonts w:hint="eastAsia" w:ascii="宋体" w:hAnsi="宋体" w:eastAsia="宋体" w:cs="宋体"/>
          <w:color w:val="auto"/>
          <w:kern w:val="0"/>
          <w:sz w:val="21"/>
          <w:szCs w:val="21"/>
        </w:rPr>
        <w:t>结算</w:t>
      </w:r>
      <w:r>
        <w:rPr>
          <w:rFonts w:hint="eastAsia" w:ascii="宋体" w:hAnsi="宋体" w:eastAsia="宋体" w:cs="宋体"/>
          <w:color w:val="auto"/>
          <w:sz w:val="21"/>
          <w:szCs w:val="21"/>
        </w:rPr>
        <w:t>申请单。</w:t>
      </w:r>
    </w:p>
    <w:p w14:paraId="6F4ACE4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9F1C39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DDB3BD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34C0A036">
      <w:pPr>
        <w:pStyle w:val="9"/>
        <w:spacing w:before="120" w:after="120" w:line="360" w:lineRule="auto"/>
        <w:ind w:firstLine="420" w:firstLineChars="200"/>
        <w:rPr>
          <w:rFonts w:hint="eastAsia" w:ascii="宋体" w:hAnsi="宋体" w:eastAsia="宋体" w:cs="宋体"/>
          <w:b w:val="0"/>
          <w:color w:val="auto"/>
          <w:sz w:val="21"/>
          <w:szCs w:val="21"/>
        </w:rPr>
      </w:pPr>
      <w:bookmarkStart w:id="540" w:name="_Toc351203596"/>
      <w:bookmarkStart w:id="541" w:name="_Toc337558813"/>
      <w:r>
        <w:rPr>
          <w:rFonts w:hint="eastAsia" w:ascii="宋体" w:hAnsi="宋体" w:eastAsia="宋体" w:cs="宋体"/>
          <w:b w:val="0"/>
          <w:color w:val="auto"/>
          <w:sz w:val="21"/>
          <w:szCs w:val="21"/>
        </w:rPr>
        <w:t>14.3 甩项竣工协议</w:t>
      </w:r>
      <w:bookmarkEnd w:id="540"/>
    </w:p>
    <w:bookmarkEnd w:id="541"/>
    <w:p w14:paraId="26CD6C2D">
      <w:pPr>
        <w:autoSpaceDE w:val="0"/>
        <w:autoSpaceDN w:val="0"/>
        <w:adjustRightInd w:val="0"/>
        <w:spacing w:line="360" w:lineRule="auto"/>
        <w:ind w:firstLine="411" w:firstLineChars="196"/>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50FE8B4C">
      <w:pPr>
        <w:pStyle w:val="9"/>
        <w:spacing w:before="120" w:after="120" w:line="360" w:lineRule="auto"/>
        <w:ind w:firstLine="420" w:firstLineChars="200"/>
        <w:rPr>
          <w:rFonts w:hint="eastAsia" w:ascii="宋体" w:hAnsi="宋体" w:eastAsia="宋体" w:cs="宋体"/>
          <w:b w:val="0"/>
          <w:color w:val="auto"/>
          <w:sz w:val="21"/>
          <w:szCs w:val="21"/>
        </w:rPr>
      </w:pPr>
      <w:bookmarkStart w:id="542" w:name="_Toc351203597"/>
      <w:bookmarkStart w:id="543" w:name="_Toc337558814"/>
      <w:r>
        <w:rPr>
          <w:rFonts w:hint="eastAsia" w:ascii="宋体" w:hAnsi="宋体" w:eastAsia="宋体" w:cs="宋体"/>
          <w:b w:val="0"/>
          <w:color w:val="auto"/>
          <w:sz w:val="21"/>
          <w:szCs w:val="21"/>
        </w:rPr>
        <w:t>14.4 最终结清</w:t>
      </w:r>
      <w:bookmarkEnd w:id="542"/>
    </w:p>
    <w:bookmarkEnd w:id="543"/>
    <w:p w14:paraId="5B2FD73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14.4.1 最终结清申请单</w:t>
      </w:r>
    </w:p>
    <w:p w14:paraId="254792A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（1）除专用合同条款另有约定外，承包人应在缺陷责任期终止证书颁发后7天内，按专用合同条款约定的份数向发包人提交最终结清申请单，并提供相关证明材料。</w:t>
      </w:r>
    </w:p>
    <w:p w14:paraId="0975CED5">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w:t>
      </w:r>
      <w:r>
        <w:rPr>
          <w:rFonts w:hint="eastAsia" w:ascii="宋体" w:hAnsi="宋体" w:eastAsia="宋体" w:cs="宋体"/>
          <w:color w:val="auto"/>
          <w:kern w:val="0"/>
          <w:sz w:val="21"/>
          <w:szCs w:val="21"/>
        </w:rPr>
        <w:t>最终结清申请单</w:t>
      </w:r>
      <w:r>
        <w:rPr>
          <w:rFonts w:hint="eastAsia" w:ascii="宋体" w:hAnsi="宋体" w:eastAsia="宋体" w:cs="宋体"/>
          <w:color w:val="auto"/>
          <w:sz w:val="21"/>
          <w:szCs w:val="21"/>
        </w:rPr>
        <w:t>应列明质量保证金、应扣除的质量保证金、缺陷责任期内发生的增减费用。</w:t>
      </w:r>
    </w:p>
    <w:p w14:paraId="5F8B71E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（2）发包人对最终结清申请单内容有异议的，有权要求承包人进行修正和提供补充资料，承包人应向发包人提交修正后的最终结清申请单。</w:t>
      </w:r>
    </w:p>
    <w:p w14:paraId="7761928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14.4.2 最终结清证书和支付</w:t>
      </w:r>
    </w:p>
    <w:p w14:paraId="7C22E83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5DE73DD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29DA7F5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（3）承包人对发包人颁发的最终结清证书有异议的，按第20条〔争议解决〕的约定办理。</w:t>
      </w:r>
    </w:p>
    <w:p w14:paraId="0579DA34">
      <w:pPr>
        <w:pStyle w:val="8"/>
        <w:spacing w:before="120" w:after="120" w:line="360" w:lineRule="auto"/>
        <w:rPr>
          <w:rFonts w:hint="eastAsia" w:ascii="宋体" w:hAnsi="宋体" w:eastAsia="宋体" w:cs="宋体"/>
          <w:b w:val="0"/>
          <w:color w:val="auto"/>
          <w:sz w:val="21"/>
          <w:szCs w:val="21"/>
        </w:rPr>
      </w:pPr>
      <w:bookmarkStart w:id="544" w:name="_Toc351203598"/>
      <w:bookmarkStart w:id="545" w:name="_Toc337558815"/>
      <w:r>
        <w:rPr>
          <w:rFonts w:hint="eastAsia" w:ascii="宋体" w:hAnsi="宋体" w:eastAsia="宋体" w:cs="宋体"/>
          <w:b w:val="0"/>
          <w:color w:val="auto"/>
          <w:sz w:val="21"/>
          <w:szCs w:val="21"/>
        </w:rPr>
        <w:t>15. 缺陷责任与保修</w:t>
      </w:r>
      <w:bookmarkEnd w:id="544"/>
    </w:p>
    <w:bookmarkEnd w:id="534"/>
    <w:bookmarkEnd w:id="535"/>
    <w:bookmarkEnd w:id="545"/>
    <w:p w14:paraId="790F8F06">
      <w:pPr>
        <w:pStyle w:val="9"/>
        <w:spacing w:before="120" w:after="120" w:line="360" w:lineRule="auto"/>
        <w:ind w:firstLine="420" w:firstLineChars="200"/>
        <w:rPr>
          <w:rFonts w:hint="eastAsia" w:ascii="宋体" w:hAnsi="宋体" w:eastAsia="宋体" w:cs="宋体"/>
          <w:b w:val="0"/>
          <w:color w:val="auto"/>
          <w:sz w:val="21"/>
          <w:szCs w:val="21"/>
        </w:rPr>
      </w:pPr>
      <w:bookmarkStart w:id="546" w:name="_Toc351203599"/>
      <w:bookmarkStart w:id="547" w:name="_Toc337558816"/>
      <w:bookmarkStart w:id="548" w:name="_Toc296346615"/>
      <w:bookmarkStart w:id="549" w:name="_Toc296503114"/>
      <w:r>
        <w:rPr>
          <w:rFonts w:hint="eastAsia" w:ascii="宋体" w:hAnsi="宋体" w:eastAsia="宋体" w:cs="宋体"/>
          <w:b w:val="0"/>
          <w:color w:val="auto"/>
          <w:sz w:val="21"/>
          <w:szCs w:val="21"/>
        </w:rPr>
        <w:t>15.1 工程保修的原则</w:t>
      </w:r>
      <w:bookmarkEnd w:id="546"/>
    </w:p>
    <w:bookmarkEnd w:id="547"/>
    <w:p w14:paraId="35293A3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在工程移交发包人后，因承包人原因产生的质量缺陷，承包人应承担质量缺陷责任和保修义务。缺陷责任期届满，承包人仍应按合同约定的工程各部位保修年限承担保修义务。</w:t>
      </w:r>
    </w:p>
    <w:p w14:paraId="64C1DD55">
      <w:pPr>
        <w:pStyle w:val="9"/>
        <w:spacing w:before="120" w:after="120" w:line="360" w:lineRule="auto"/>
        <w:ind w:firstLine="420" w:firstLineChars="200"/>
        <w:rPr>
          <w:rFonts w:hint="eastAsia" w:ascii="宋体" w:hAnsi="宋体" w:eastAsia="宋体" w:cs="宋体"/>
          <w:b w:val="0"/>
          <w:color w:val="auto"/>
          <w:sz w:val="21"/>
          <w:szCs w:val="21"/>
        </w:rPr>
      </w:pPr>
      <w:bookmarkStart w:id="550" w:name="_Toc351203600"/>
      <w:bookmarkStart w:id="551" w:name="_Toc337558817"/>
      <w:r>
        <w:rPr>
          <w:rFonts w:hint="eastAsia" w:ascii="宋体" w:hAnsi="宋体" w:eastAsia="宋体" w:cs="宋体"/>
          <w:b w:val="0"/>
          <w:color w:val="auto"/>
          <w:sz w:val="21"/>
          <w:szCs w:val="21"/>
        </w:rPr>
        <w:t>15.2 缺陷责任期</w:t>
      </w:r>
      <w:bookmarkEnd w:id="548"/>
      <w:bookmarkEnd w:id="549"/>
      <w:bookmarkEnd w:id="550"/>
    </w:p>
    <w:bookmarkEnd w:id="551"/>
    <w:p w14:paraId="73878AF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15.2.1 缺陷责任期从工程通过竣工验收之日起计算，合同当事人应在专用合同条款约定缺陷责任期的具体期限，但该期限最长不超过24个月。</w:t>
      </w:r>
    </w:p>
    <w:p w14:paraId="6170381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39E27D4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 w:val="21"/>
          <w:szCs w:val="21"/>
        </w:rPr>
        <w:t>包人延长缺陷责任期，</w:t>
      </w:r>
      <w:r>
        <w:rPr>
          <w:rFonts w:hint="eastAsia" w:ascii="宋体" w:hAnsi="宋体" w:eastAsia="宋体" w:cs="宋体"/>
          <w:color w:val="auto"/>
          <w:kern w:val="0"/>
          <w:sz w:val="21"/>
          <w:szCs w:val="21"/>
        </w:rPr>
        <w:t>并应在原缺陷责任期届满前发出延长通知。</w:t>
      </w:r>
      <w:r>
        <w:rPr>
          <w:rFonts w:hint="eastAsia" w:ascii="宋体" w:hAnsi="宋体" w:eastAsia="宋体" w:cs="宋体"/>
          <w:bCs/>
          <w:color w:val="auto"/>
          <w:sz w:val="21"/>
          <w:szCs w:val="21"/>
        </w:rPr>
        <w:t>但缺陷责任期（含延长部分）最长</w:t>
      </w:r>
      <w:r>
        <w:rPr>
          <w:rFonts w:hint="eastAsia" w:ascii="宋体" w:hAnsi="宋体" w:eastAsia="宋体" w:cs="宋体"/>
          <w:color w:val="auto"/>
          <w:kern w:val="0"/>
          <w:sz w:val="21"/>
          <w:szCs w:val="21"/>
        </w:rPr>
        <w:t>不能超过24个月。</w:t>
      </w:r>
    </w:p>
    <w:p w14:paraId="30383DB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由他人原因造成的缺陷，发包人负责组织维修，承包人不承担费用，且发包人不得从保证金中扣除费用。</w:t>
      </w:r>
    </w:p>
    <w:p w14:paraId="0ADFF17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15.2.3 任何一项缺陷或损坏修复后，经检查证明其影响了工程或工程设备的使用性能，承包人应重新进行合同约定的试验和试运行，试验和试运行的全部费用应由责任方承担。</w:t>
      </w:r>
    </w:p>
    <w:p w14:paraId="034DE10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2E36686">
      <w:pPr>
        <w:pStyle w:val="9"/>
        <w:spacing w:before="120" w:after="120" w:line="360" w:lineRule="auto"/>
        <w:ind w:firstLine="420" w:firstLineChars="200"/>
        <w:rPr>
          <w:rFonts w:hint="eastAsia" w:ascii="宋体" w:hAnsi="宋体" w:eastAsia="宋体" w:cs="宋体"/>
          <w:b w:val="0"/>
          <w:color w:val="auto"/>
          <w:sz w:val="21"/>
          <w:szCs w:val="21"/>
        </w:rPr>
      </w:pPr>
      <w:bookmarkStart w:id="552" w:name="_Toc351203601"/>
      <w:bookmarkStart w:id="553" w:name="_Toc337558818"/>
      <w:bookmarkStart w:id="554" w:name="_Toc296346616"/>
      <w:bookmarkStart w:id="555" w:name="_Toc296503115"/>
      <w:r>
        <w:rPr>
          <w:rFonts w:hint="eastAsia" w:ascii="宋体" w:hAnsi="宋体" w:eastAsia="宋体" w:cs="宋体"/>
          <w:b w:val="0"/>
          <w:color w:val="auto"/>
          <w:sz w:val="21"/>
          <w:szCs w:val="21"/>
        </w:rPr>
        <w:t>15.3 质量保证金</w:t>
      </w:r>
      <w:bookmarkEnd w:id="552"/>
    </w:p>
    <w:bookmarkEnd w:id="553"/>
    <w:p w14:paraId="5C54E0F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经合同当事人协商一致扣留质量保证金的，应在专用合同条款中予以明确。</w:t>
      </w:r>
    </w:p>
    <w:p w14:paraId="1901855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在工程项目竣工前，承包人已经提供履约担保的，发包人不得同时预留工程质量保证金。</w:t>
      </w:r>
    </w:p>
    <w:p w14:paraId="276E244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p>
    <w:p w14:paraId="6C943E1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15.3.1 承包人提供质量保证金的方式</w:t>
      </w:r>
    </w:p>
    <w:p w14:paraId="42D4D75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承包人提供质量保证金有以下三种方式：</w:t>
      </w:r>
    </w:p>
    <w:p w14:paraId="2D9C0AD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（1）质量保证金保函； </w:t>
      </w:r>
    </w:p>
    <w:p w14:paraId="1962A01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（2）相应比例的工程款；</w:t>
      </w:r>
    </w:p>
    <w:p w14:paraId="78CC5BF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（3）双方约定的其他方式。</w:t>
      </w:r>
    </w:p>
    <w:p w14:paraId="42F3B7C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除专用合同条款另有约定外，质量保证金原则上采用上述第（1）种方式。</w:t>
      </w:r>
    </w:p>
    <w:p w14:paraId="3D79458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15.3.2 质量保证金的扣留</w:t>
      </w:r>
    </w:p>
    <w:p w14:paraId="59F0BEE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质量保证金的扣留有以下三种方式：</w:t>
      </w:r>
    </w:p>
    <w:p w14:paraId="44C0BE3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（1）在支付工程进度款时逐次扣留，在此情形下，质量保证金的计算基数不包括预付款的支付、扣回以及价格调整的金额；</w:t>
      </w:r>
    </w:p>
    <w:p w14:paraId="29BAA8F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（2）工</w:t>
      </w:r>
      <w:bookmarkStart w:id="556" w:name="#go6"/>
      <w:bookmarkEnd w:id="556"/>
      <w:r>
        <w:rPr>
          <w:rFonts w:hint="eastAsia" w:ascii="宋体" w:hAnsi="宋体" w:eastAsia="宋体" w:cs="宋体"/>
          <w:color w:val="auto"/>
          <w:kern w:val="0"/>
          <w:sz w:val="21"/>
          <w:szCs w:val="21"/>
        </w:rPr>
        <w:t>程竣工结算时一次性扣留质量保证金；</w:t>
      </w:r>
    </w:p>
    <w:p w14:paraId="6D6DA4B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（3）双方约定的其他扣留方式。</w:t>
      </w:r>
    </w:p>
    <w:p w14:paraId="0B0CB96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除专用合同条款另有约定外，质量保证金的扣留原则上采用上述第（1）种方式。</w:t>
      </w:r>
    </w:p>
    <w:p w14:paraId="02CF3C0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w:t>
      </w:r>
      <w:bookmarkStart w:id="557" w:name="#go4"/>
      <w:bookmarkEnd w:id="557"/>
      <w:r>
        <w:rPr>
          <w:rFonts w:hint="eastAsia" w:ascii="宋体" w:hAnsi="宋体" w:eastAsia="宋体" w:cs="宋体"/>
          <w:color w:val="auto"/>
          <w:kern w:val="0"/>
          <w:sz w:val="21"/>
          <w:szCs w:val="21"/>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0719D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发包人在退还质量保证金的同时按照中国人民银行发布的同期同类贷款基准利率支付利息。</w:t>
      </w:r>
    </w:p>
    <w:p w14:paraId="4575C19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15.3.3 </w:t>
      </w:r>
      <w:r>
        <w:rPr>
          <w:rFonts w:hint="eastAsia" w:ascii="宋体" w:hAnsi="宋体" w:eastAsia="宋体" w:cs="宋体"/>
          <w:color w:val="auto"/>
          <w:sz w:val="21"/>
          <w:szCs w:val="21"/>
        </w:rPr>
        <w:t>质量保证金</w:t>
      </w:r>
      <w:r>
        <w:rPr>
          <w:rFonts w:hint="eastAsia" w:ascii="宋体" w:hAnsi="宋体" w:eastAsia="宋体" w:cs="宋体"/>
          <w:color w:val="auto"/>
          <w:kern w:val="0"/>
          <w:sz w:val="21"/>
          <w:szCs w:val="21"/>
        </w:rPr>
        <w:t>的退还</w:t>
      </w:r>
    </w:p>
    <w:p w14:paraId="2397002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缺陷责任期内，承包人认真履行合同约定的责任，到期后，承包人可向发包人申请返还保证金。</w:t>
      </w:r>
    </w:p>
    <w:p w14:paraId="4ED93CA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DB6376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发包人和承包人对保证金预留、返还以及工程维修质量、费用有争议的，按本合同第20条约定的争议和纠纷解决程序处理。</w:t>
      </w:r>
    </w:p>
    <w:p w14:paraId="09489629">
      <w:pPr>
        <w:pStyle w:val="9"/>
        <w:spacing w:before="120" w:after="120" w:line="360" w:lineRule="auto"/>
        <w:ind w:firstLine="420" w:firstLineChars="200"/>
        <w:rPr>
          <w:rFonts w:hint="eastAsia" w:ascii="宋体" w:hAnsi="宋体" w:eastAsia="宋体" w:cs="宋体"/>
          <w:b w:val="0"/>
          <w:color w:val="auto"/>
          <w:sz w:val="21"/>
          <w:szCs w:val="21"/>
        </w:rPr>
      </w:pPr>
      <w:bookmarkStart w:id="558" w:name="_Toc351203602"/>
      <w:bookmarkStart w:id="559" w:name="_Toc337558819"/>
      <w:r>
        <w:rPr>
          <w:rFonts w:hint="eastAsia" w:ascii="宋体" w:hAnsi="宋体" w:eastAsia="宋体" w:cs="宋体"/>
          <w:b w:val="0"/>
          <w:color w:val="auto"/>
          <w:sz w:val="21"/>
          <w:szCs w:val="21"/>
        </w:rPr>
        <w:t>15.4 保修</w:t>
      </w:r>
      <w:bookmarkEnd w:id="558"/>
    </w:p>
    <w:bookmarkEnd w:id="554"/>
    <w:bookmarkEnd w:id="555"/>
    <w:bookmarkEnd w:id="559"/>
    <w:p w14:paraId="5D7682D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15.4.1保修责任</w:t>
      </w:r>
    </w:p>
    <w:p w14:paraId="14D1AE0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5087199">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发包人未经竣工验收擅自使用工程的，保修期自</w:t>
      </w:r>
      <w:r>
        <w:rPr>
          <w:rFonts w:hint="eastAsia" w:ascii="宋体" w:hAnsi="宋体" w:eastAsia="宋体" w:cs="宋体"/>
          <w:color w:val="auto"/>
          <w:kern w:val="0"/>
          <w:sz w:val="21"/>
          <w:szCs w:val="21"/>
        </w:rPr>
        <w:t>转移占有之日起算</w:t>
      </w:r>
      <w:r>
        <w:rPr>
          <w:rFonts w:hint="eastAsia" w:ascii="宋体" w:hAnsi="宋体" w:eastAsia="宋体" w:cs="宋体"/>
          <w:color w:val="auto"/>
          <w:sz w:val="21"/>
          <w:szCs w:val="21"/>
        </w:rPr>
        <w:t>。</w:t>
      </w:r>
    </w:p>
    <w:p w14:paraId="0D0707A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15.4.2 修复费用</w:t>
      </w:r>
    </w:p>
    <w:p w14:paraId="1B3B689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保修期内，修复的费用按照以下约定处理：</w:t>
      </w:r>
    </w:p>
    <w:p w14:paraId="534F7C2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（1）保修期内，因承包人原因造成工程的缺陷、损坏，承包人应负责修复，并承担修复的费用以及因工程的缺陷、损坏造成的人身伤害和财产损失；</w:t>
      </w:r>
    </w:p>
    <w:p w14:paraId="00FBD2E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（2）保修期内，因发包人使用不当造成工程的缺陷、损坏，可以委托承包人修复，但发包人应承担修复的费用，并支付承包人合理利润；</w:t>
      </w:r>
    </w:p>
    <w:p w14:paraId="3431C17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（3）因其他原因造成工程的缺陷、损坏，可以委托承包人修复，发包人应承担修复的费用，并支付承包人合理的利润，因工程的缺陷、损坏造成的人身伤害和财产损失由责任方承担。</w:t>
      </w:r>
    </w:p>
    <w:p w14:paraId="2C9ED52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15.4.3 修复通知</w:t>
      </w:r>
    </w:p>
    <w:p w14:paraId="4F2A9F4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670141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15.4.4 未能修复</w:t>
      </w:r>
    </w:p>
    <w:p w14:paraId="0896C0F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997231F">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15.4.5 承包人出入权</w:t>
      </w:r>
    </w:p>
    <w:p w14:paraId="0D93511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218BFBE">
      <w:pPr>
        <w:pStyle w:val="8"/>
        <w:spacing w:before="120" w:after="120" w:line="360" w:lineRule="auto"/>
        <w:rPr>
          <w:rFonts w:hint="eastAsia" w:ascii="宋体" w:hAnsi="宋体" w:eastAsia="宋体" w:cs="宋体"/>
          <w:b w:val="0"/>
          <w:color w:val="auto"/>
          <w:sz w:val="21"/>
          <w:szCs w:val="21"/>
        </w:rPr>
      </w:pPr>
      <w:bookmarkStart w:id="560" w:name="_Toc351203603"/>
      <w:bookmarkStart w:id="561" w:name="_Toc337558820"/>
      <w:r>
        <w:rPr>
          <w:rFonts w:hint="eastAsia" w:ascii="宋体" w:hAnsi="宋体" w:eastAsia="宋体" w:cs="宋体"/>
          <w:b w:val="0"/>
          <w:color w:val="auto"/>
          <w:sz w:val="21"/>
          <w:szCs w:val="21"/>
        </w:rPr>
        <w:t>16. 违约</w:t>
      </w:r>
      <w:bookmarkEnd w:id="560"/>
    </w:p>
    <w:bookmarkEnd w:id="561"/>
    <w:p w14:paraId="6EB26C55">
      <w:pPr>
        <w:pStyle w:val="9"/>
        <w:spacing w:before="120" w:after="120" w:line="360" w:lineRule="auto"/>
        <w:ind w:firstLine="420" w:firstLineChars="200"/>
        <w:rPr>
          <w:rFonts w:hint="eastAsia" w:ascii="宋体" w:hAnsi="宋体" w:eastAsia="宋体" w:cs="宋体"/>
          <w:b w:val="0"/>
          <w:color w:val="auto"/>
          <w:sz w:val="21"/>
          <w:szCs w:val="21"/>
        </w:rPr>
      </w:pPr>
      <w:bookmarkStart w:id="562" w:name="_Toc296503129"/>
      <w:bookmarkStart w:id="563" w:name="_Toc296346630"/>
      <w:bookmarkStart w:id="564" w:name="_Toc351203604"/>
      <w:bookmarkStart w:id="565" w:name="_Toc337558821"/>
      <w:r>
        <w:rPr>
          <w:rFonts w:hint="eastAsia" w:ascii="宋体" w:hAnsi="宋体" w:eastAsia="宋体" w:cs="宋体"/>
          <w:b w:val="0"/>
          <w:color w:val="auto"/>
          <w:sz w:val="21"/>
          <w:szCs w:val="21"/>
        </w:rPr>
        <w:t>16.1 发</w:t>
      </w:r>
      <w:bookmarkEnd w:id="562"/>
      <w:bookmarkEnd w:id="563"/>
      <w:r>
        <w:rPr>
          <w:rFonts w:hint="eastAsia" w:ascii="宋体" w:hAnsi="宋体" w:eastAsia="宋体" w:cs="宋体"/>
          <w:b w:val="0"/>
          <w:color w:val="auto"/>
          <w:sz w:val="21"/>
          <w:szCs w:val="21"/>
        </w:rPr>
        <w:t>包人违约</w:t>
      </w:r>
      <w:bookmarkEnd w:id="564"/>
    </w:p>
    <w:bookmarkEnd w:id="565"/>
    <w:p w14:paraId="5BE8460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16.1.1 发包人违约的情形</w:t>
      </w:r>
    </w:p>
    <w:p w14:paraId="657B3B7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在合同履行过程中发生的下列情形，属于发包人违约：</w:t>
      </w:r>
    </w:p>
    <w:p w14:paraId="4A4596B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（1）因发包人原因未能在计划开工日期前7天内下达开工通知的；</w:t>
      </w:r>
    </w:p>
    <w:p w14:paraId="55715A1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（2）因发包人原因未能按合同约定支付合同价款的；</w:t>
      </w:r>
    </w:p>
    <w:p w14:paraId="2A701E6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（3）发包人违反第10.1款〔变更的范围〕第（2）项约定，自行实施被取消的工作或转由他人实施的；</w:t>
      </w:r>
    </w:p>
    <w:p w14:paraId="6FD5EA5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（4）发包人提供的材料、工程设备的规格、数量或质量不符合合同约定，或因发包人原因导致交货日期延误或交货地点变更等情况的；</w:t>
      </w:r>
    </w:p>
    <w:p w14:paraId="3E9E94D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（5）因发包人违反合同约定造成暂停施工的；</w:t>
      </w:r>
    </w:p>
    <w:p w14:paraId="465F658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（6）发包人无正当理由没有在约定期限内发出复工指示，导致承包人无法复工的；</w:t>
      </w:r>
    </w:p>
    <w:p w14:paraId="274B88D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（7）发包人明确表示或者以其行为表明不履行合同主要义务的；</w:t>
      </w:r>
    </w:p>
    <w:p w14:paraId="086A038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（8）发包人未能按照合同约定履行其他义务的。</w:t>
      </w:r>
    </w:p>
    <w:p w14:paraId="2C20178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EB3558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16.1.2 发包人违约的责任</w:t>
      </w:r>
    </w:p>
    <w:p w14:paraId="40ED9F6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发包人应承担因其违约给承包人增加的费用和（或）延误的工期，并支付承包人合理的利润。此外，合同当事人可在专用合同条款中另行约定发包人违约责任的承担方式和计算方法。</w:t>
      </w:r>
    </w:p>
    <w:p w14:paraId="11B8FE5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16.1.3 因发包人违约解除合同</w:t>
      </w:r>
    </w:p>
    <w:p w14:paraId="258C903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7E1FC34F">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16.1.4 因发包人违约解除合同后的付款</w:t>
      </w:r>
    </w:p>
    <w:p w14:paraId="27E888B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承包人按照本款约定解除合同的，发包人应在解除合同后28天内支付下列款项，并解除履约担保：</w:t>
      </w:r>
    </w:p>
    <w:p w14:paraId="55B30D9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（1）合同解除前所完成工作的价款；</w:t>
      </w:r>
    </w:p>
    <w:p w14:paraId="20F16DA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（2）承包人为工程施工订购并已付款的材料、工程设备和其他物品的价款；</w:t>
      </w:r>
    </w:p>
    <w:p w14:paraId="3B40F29C">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（3）承包人撤离施工现场以及遣散承包人人员的款项；</w:t>
      </w:r>
    </w:p>
    <w:p w14:paraId="2B03053A">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（4）按照合同约定在合同解除前应支付的违约金；</w:t>
      </w:r>
    </w:p>
    <w:p w14:paraId="238650B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（5）按照合同约定应当支付给承包人的其他款项；</w:t>
      </w:r>
    </w:p>
    <w:p w14:paraId="4C81EE7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（6）按照合同约定应退还的质量保证金；</w:t>
      </w:r>
    </w:p>
    <w:p w14:paraId="522CE89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（7）因解除合同给承包人造成的损失。</w:t>
      </w:r>
    </w:p>
    <w:p w14:paraId="5B4590A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合同当事人未能就解除合同后的结清达成一致的，按照第20条〔争议解决〕的约定处理。</w:t>
      </w:r>
    </w:p>
    <w:p w14:paraId="7D15D15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承包人应妥善做好已</w:t>
      </w:r>
      <w:r>
        <w:rPr>
          <w:rFonts w:hint="eastAsia" w:ascii="宋体" w:hAnsi="宋体" w:cs="宋体"/>
          <w:color w:val="auto"/>
          <w:kern w:val="0"/>
          <w:sz w:val="21"/>
          <w:szCs w:val="21"/>
          <w:lang w:eastAsia="zh-CN"/>
        </w:rPr>
        <w:t>完成</w:t>
      </w:r>
      <w:r>
        <w:rPr>
          <w:rFonts w:hint="eastAsia" w:ascii="宋体" w:hAnsi="宋体" w:eastAsia="宋体" w:cs="宋体"/>
          <w:color w:val="auto"/>
          <w:kern w:val="0"/>
          <w:sz w:val="21"/>
          <w:szCs w:val="21"/>
        </w:rPr>
        <w:t>工程和与工程有关的已购材料、工程设备的保护和移交工作，并将施工设备和人员撤出施工现场，发包人应为承包人撤出提供必要条件。</w:t>
      </w:r>
    </w:p>
    <w:p w14:paraId="43BBBA97">
      <w:pPr>
        <w:pStyle w:val="9"/>
        <w:spacing w:before="120" w:after="120" w:line="360" w:lineRule="auto"/>
        <w:ind w:firstLine="420" w:firstLineChars="200"/>
        <w:rPr>
          <w:rFonts w:hint="eastAsia" w:ascii="宋体" w:hAnsi="宋体" w:eastAsia="宋体" w:cs="宋体"/>
          <w:b w:val="0"/>
          <w:color w:val="auto"/>
          <w:sz w:val="21"/>
          <w:szCs w:val="21"/>
        </w:rPr>
      </w:pPr>
      <w:bookmarkStart w:id="566" w:name="_Toc351203605"/>
      <w:bookmarkStart w:id="567" w:name="_Toc337558822"/>
      <w:bookmarkStart w:id="568" w:name="_Toc296346632"/>
      <w:bookmarkStart w:id="569" w:name="_Toc296503131"/>
      <w:r>
        <w:rPr>
          <w:rFonts w:hint="eastAsia" w:ascii="宋体" w:hAnsi="宋体" w:eastAsia="宋体" w:cs="宋体"/>
          <w:b w:val="0"/>
          <w:color w:val="auto"/>
          <w:sz w:val="21"/>
          <w:szCs w:val="21"/>
        </w:rPr>
        <w:t>16.2 承包人违约</w:t>
      </w:r>
      <w:bookmarkEnd w:id="566"/>
    </w:p>
    <w:bookmarkEnd w:id="567"/>
    <w:bookmarkEnd w:id="568"/>
    <w:bookmarkEnd w:id="569"/>
    <w:p w14:paraId="6EE7970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16.2.1 承包人违约的情形</w:t>
      </w:r>
    </w:p>
    <w:p w14:paraId="724BDB6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在合同履行过程中发生的下列情形，属于承包人违约：</w:t>
      </w:r>
    </w:p>
    <w:p w14:paraId="4E882E4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（1）承包人违反合同约定进行转包或违法分包的；</w:t>
      </w:r>
    </w:p>
    <w:p w14:paraId="6E8DC32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（2）承包人违反合同约定采购和使用不合格的材料和工程设备的；</w:t>
      </w:r>
    </w:p>
    <w:p w14:paraId="5C414F4D">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（3）因承包人原因导致工程质量不符合合同要求的； </w:t>
      </w:r>
    </w:p>
    <w:p w14:paraId="7A4C49D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（4）承包人违反第8.9款〔材料与设备专用要求〕的约定，未经批准，私自将已按照合同约定进入施工现场的材料或设备撤离施工现场的；</w:t>
      </w:r>
    </w:p>
    <w:p w14:paraId="6F68495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（5）承包人未能按施工进度计划及时完成合同约定的工作，造成工期延误的；</w:t>
      </w:r>
    </w:p>
    <w:p w14:paraId="39D5AF1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（6）承包人在缺陷责任期及保修期内，未能在合理期</w:t>
      </w:r>
      <w:r>
        <w:rPr>
          <w:rFonts w:hint="eastAsia" w:ascii="宋体" w:hAnsi="宋体" w:cs="宋体"/>
          <w:color w:val="auto"/>
          <w:kern w:val="0"/>
          <w:sz w:val="21"/>
          <w:szCs w:val="21"/>
          <w:lang w:eastAsia="zh-CN"/>
        </w:rPr>
        <w:t>限内</w:t>
      </w:r>
      <w:r>
        <w:rPr>
          <w:rFonts w:hint="eastAsia" w:ascii="宋体" w:hAnsi="宋体" w:eastAsia="宋体" w:cs="宋体"/>
          <w:color w:val="auto"/>
          <w:kern w:val="0"/>
          <w:sz w:val="21"/>
          <w:szCs w:val="21"/>
        </w:rPr>
        <w:t>对工程缺陷进行修复，或拒绝按发包人要求进行修复的；</w:t>
      </w:r>
    </w:p>
    <w:p w14:paraId="117722A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（7）承包人明确表示或者以其行为表明不履行合同主要义务的；</w:t>
      </w:r>
    </w:p>
    <w:p w14:paraId="280443A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（8）承包人未能按照合同约定履行其他义务的。</w:t>
      </w:r>
    </w:p>
    <w:p w14:paraId="2F7CDFD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承包人发生除本项第（7）目约定以外的其他违约情况时，监理人可向承包人发出整改通知，要求其在指定的期限内改正。</w:t>
      </w:r>
    </w:p>
    <w:p w14:paraId="3510660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16.2.2 承包人违约的责任</w:t>
      </w:r>
    </w:p>
    <w:p w14:paraId="134AC2D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承包人应承担因其违约行为而增加的费用和（或）延误的工期。此外，合同当事人可在专用合同条款中另行约定承包人违约责任的承担方式和计算方法。</w:t>
      </w:r>
    </w:p>
    <w:p w14:paraId="3C072DD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16.2.3 因承包人违约解除合同</w:t>
      </w:r>
    </w:p>
    <w:p w14:paraId="27A0490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088C89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16.2.4因承包人违约解除合同后的处理</w:t>
      </w:r>
    </w:p>
    <w:p w14:paraId="4D96BCC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因承包人原因导致合同解除的，则合同当事人应在合同解除后28天内完成估价、付款和清算，并按以下约定执行：</w:t>
      </w:r>
    </w:p>
    <w:p w14:paraId="2668108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（1）合同解除后，按第4.4款〔商定或确定〕商定或确定承包人实际完成工作对应的合同价款，以及承包人已提供的材料、工程设备、施工设备和临时工程等的价值；</w:t>
      </w:r>
    </w:p>
    <w:p w14:paraId="77177F23">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（2）合同解除后，承包人应支付的违约金；</w:t>
      </w:r>
    </w:p>
    <w:p w14:paraId="3BF04DA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（3）合同解除后，因解除合同给发包人造成的损失；</w:t>
      </w:r>
    </w:p>
    <w:p w14:paraId="6E0E8B7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（4）合同解除后，承包人应按照发包人要求和监理人的指示完成现场的清理和撤离；</w:t>
      </w:r>
    </w:p>
    <w:p w14:paraId="2EA48515">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（5）发包人和承包人应在合同解除后进行清算，出具最终结清付款证书，结清全部款项。</w:t>
      </w:r>
    </w:p>
    <w:p w14:paraId="7A374452">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因承包人违约解除合同的，发包人有权暂停对承包人的付款，查清各项付款和已扣款项。发包人和承包人未能就合同解除后的清算和款项支付达成一致的，按照第20条〔争议解决〕的约定处理。</w:t>
      </w:r>
    </w:p>
    <w:p w14:paraId="2BC239C4">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16.2.5采购合同权益转让</w:t>
      </w:r>
    </w:p>
    <w:p w14:paraId="5DE4C2A7">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1EBB6930">
      <w:pPr>
        <w:pStyle w:val="9"/>
        <w:spacing w:before="120" w:after="120" w:line="360" w:lineRule="auto"/>
        <w:ind w:firstLine="420" w:firstLineChars="200"/>
        <w:rPr>
          <w:rFonts w:hint="eastAsia" w:ascii="宋体" w:hAnsi="宋体" w:eastAsia="宋体" w:cs="宋体"/>
          <w:b w:val="0"/>
          <w:color w:val="auto"/>
          <w:sz w:val="21"/>
          <w:szCs w:val="21"/>
        </w:rPr>
      </w:pPr>
      <w:bookmarkStart w:id="570" w:name="_Toc351203606"/>
      <w:r>
        <w:rPr>
          <w:rFonts w:hint="eastAsia" w:ascii="宋体" w:hAnsi="宋体" w:eastAsia="宋体" w:cs="宋体"/>
          <w:b w:val="0"/>
          <w:color w:val="auto"/>
          <w:sz w:val="21"/>
          <w:szCs w:val="21"/>
        </w:rPr>
        <w:t>16.3 第三人造成的违约</w:t>
      </w:r>
      <w:bookmarkEnd w:id="570"/>
    </w:p>
    <w:p w14:paraId="6D49039E">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在履行合同过程中，一方当事人因第三人的原因造成违约的，应当向对方当事人承担违约责任。一方当事人和第三人之间的纠纷，依照法律规定或者按照约定解决。</w:t>
      </w:r>
    </w:p>
    <w:p w14:paraId="228E55E8">
      <w:pPr>
        <w:pStyle w:val="8"/>
        <w:spacing w:before="120" w:after="120" w:line="360" w:lineRule="auto"/>
        <w:rPr>
          <w:rFonts w:hint="eastAsia" w:ascii="宋体" w:hAnsi="宋体" w:eastAsia="宋体" w:cs="宋体"/>
          <w:b w:val="0"/>
          <w:color w:val="auto"/>
          <w:sz w:val="21"/>
          <w:szCs w:val="21"/>
        </w:rPr>
      </w:pPr>
      <w:bookmarkStart w:id="571" w:name="_Toc351203607"/>
      <w:bookmarkStart w:id="572" w:name="_Toc296503116"/>
      <w:bookmarkStart w:id="573" w:name="_Toc337558823"/>
      <w:bookmarkStart w:id="574" w:name="_Toc296346617"/>
      <w:r>
        <w:rPr>
          <w:rFonts w:hint="eastAsia" w:ascii="宋体" w:hAnsi="宋体" w:eastAsia="宋体" w:cs="宋体"/>
          <w:b w:val="0"/>
          <w:color w:val="auto"/>
          <w:sz w:val="21"/>
          <w:szCs w:val="21"/>
        </w:rPr>
        <w:t>17. 不可抗力</w:t>
      </w:r>
      <w:bookmarkEnd w:id="571"/>
      <w:r>
        <w:rPr>
          <w:rFonts w:hint="eastAsia" w:ascii="宋体" w:hAnsi="宋体" w:eastAsia="宋体" w:cs="宋体"/>
          <w:b w:val="0"/>
          <w:color w:val="auto"/>
          <w:sz w:val="21"/>
          <w:szCs w:val="21"/>
        </w:rPr>
        <w:t xml:space="preserve"> </w:t>
      </w:r>
      <w:bookmarkEnd w:id="572"/>
      <w:bookmarkEnd w:id="573"/>
      <w:bookmarkEnd w:id="574"/>
    </w:p>
    <w:p w14:paraId="312E4818">
      <w:pPr>
        <w:pStyle w:val="9"/>
        <w:spacing w:before="120" w:after="120" w:line="360" w:lineRule="auto"/>
        <w:ind w:firstLine="420" w:firstLineChars="200"/>
        <w:rPr>
          <w:rFonts w:hint="eastAsia" w:ascii="宋体" w:hAnsi="宋体" w:eastAsia="宋体" w:cs="宋体"/>
          <w:b w:val="0"/>
          <w:color w:val="auto"/>
          <w:sz w:val="21"/>
          <w:szCs w:val="21"/>
        </w:rPr>
      </w:pPr>
      <w:bookmarkStart w:id="575" w:name="_Toc351203608"/>
      <w:bookmarkStart w:id="576" w:name="_Toc337558824"/>
      <w:bookmarkStart w:id="577" w:name="_Toc296503117"/>
      <w:bookmarkStart w:id="578" w:name="_Toc296346618"/>
      <w:r>
        <w:rPr>
          <w:rFonts w:hint="eastAsia" w:ascii="宋体" w:hAnsi="宋体" w:eastAsia="宋体" w:cs="宋体"/>
          <w:b w:val="0"/>
          <w:color w:val="auto"/>
          <w:sz w:val="21"/>
          <w:szCs w:val="21"/>
        </w:rPr>
        <w:t>17.1 不可抗力的确认</w:t>
      </w:r>
      <w:bookmarkEnd w:id="575"/>
    </w:p>
    <w:bookmarkEnd w:id="576"/>
    <w:bookmarkEnd w:id="577"/>
    <w:bookmarkEnd w:id="578"/>
    <w:p w14:paraId="055F361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2890C73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不可抗力发生后，发包人和承包人应收集证明不可抗力发生及不可抗力造成损失的证据，并及时认真统计所造成的损失。合同当事人对是否属于不可抗力</w:t>
      </w:r>
      <w:r>
        <w:rPr>
          <w:rFonts w:hint="eastAsia" w:ascii="宋体" w:hAnsi="宋体" w:cs="宋体"/>
          <w:color w:val="auto"/>
          <w:kern w:val="0"/>
          <w:sz w:val="21"/>
          <w:szCs w:val="21"/>
          <w:lang w:eastAsia="zh-CN"/>
        </w:rPr>
        <w:t>或</w:t>
      </w:r>
      <w:r>
        <w:rPr>
          <w:rFonts w:hint="eastAsia" w:ascii="宋体" w:hAnsi="宋体" w:eastAsia="宋体" w:cs="宋体"/>
          <w:color w:val="auto"/>
          <w:kern w:val="0"/>
          <w:sz w:val="21"/>
          <w:szCs w:val="21"/>
        </w:rPr>
        <w:t>损失的意见不一致的，由监理人按第4.4款〔商定或确定〕的约定处理。发生争议时，按第20条〔争议解决〕的约定处理。</w:t>
      </w:r>
    </w:p>
    <w:p w14:paraId="167589E8">
      <w:pPr>
        <w:pStyle w:val="9"/>
        <w:spacing w:before="120" w:after="120" w:line="360" w:lineRule="auto"/>
        <w:ind w:firstLine="420" w:firstLineChars="200"/>
        <w:rPr>
          <w:rFonts w:hint="eastAsia" w:ascii="宋体" w:hAnsi="宋体" w:eastAsia="宋体" w:cs="宋体"/>
          <w:b w:val="0"/>
          <w:color w:val="auto"/>
          <w:sz w:val="21"/>
          <w:szCs w:val="21"/>
        </w:rPr>
      </w:pPr>
      <w:bookmarkStart w:id="579" w:name="_Toc351203609"/>
      <w:bookmarkStart w:id="580" w:name="_Toc337558825"/>
      <w:bookmarkStart w:id="581" w:name="_Toc296503118"/>
      <w:bookmarkStart w:id="582" w:name="_Toc296346619"/>
      <w:r>
        <w:rPr>
          <w:rFonts w:hint="eastAsia" w:ascii="宋体" w:hAnsi="宋体" w:eastAsia="宋体" w:cs="宋体"/>
          <w:b w:val="0"/>
          <w:color w:val="auto"/>
          <w:sz w:val="21"/>
          <w:szCs w:val="21"/>
        </w:rPr>
        <w:t>17.2 不可抗力的通知</w:t>
      </w:r>
      <w:bookmarkEnd w:id="579"/>
    </w:p>
    <w:bookmarkEnd w:id="580"/>
    <w:bookmarkEnd w:id="581"/>
    <w:bookmarkEnd w:id="582"/>
    <w:p w14:paraId="2C7ECF0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合同一方当事人遇到不可抗力事件，使其履行合同义务受到阻碍时，应立即通知合同另一方当事人和监理人，书面说明不可抗力和受阻碍的详细情况，并提供必要的证明。</w:t>
      </w:r>
    </w:p>
    <w:p w14:paraId="436F7CB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不可抗力持续发生的，合同一方当事人应及时向合同另一方当事人和监理人提交中间报告，说明不可抗力和履行合同受阻的情况，并于不可抗力事件结束后28天内提交最终报告及有关资料。</w:t>
      </w:r>
    </w:p>
    <w:p w14:paraId="0B18E16A">
      <w:pPr>
        <w:pStyle w:val="9"/>
        <w:spacing w:before="120" w:after="120" w:line="360" w:lineRule="auto"/>
        <w:ind w:firstLine="420" w:firstLineChars="200"/>
        <w:rPr>
          <w:rFonts w:hint="eastAsia" w:ascii="宋体" w:hAnsi="宋体" w:eastAsia="宋体" w:cs="宋体"/>
          <w:b w:val="0"/>
          <w:color w:val="auto"/>
          <w:sz w:val="21"/>
          <w:szCs w:val="21"/>
        </w:rPr>
      </w:pPr>
      <w:bookmarkStart w:id="583" w:name="_Toc351203610"/>
      <w:bookmarkStart w:id="584" w:name="_Toc337558826"/>
      <w:bookmarkStart w:id="585" w:name="_Toc296346620"/>
      <w:bookmarkStart w:id="586" w:name="_Toc296503119"/>
      <w:r>
        <w:rPr>
          <w:rFonts w:hint="eastAsia" w:ascii="宋体" w:hAnsi="宋体" w:eastAsia="宋体" w:cs="宋体"/>
          <w:b w:val="0"/>
          <w:color w:val="auto"/>
          <w:sz w:val="21"/>
          <w:szCs w:val="21"/>
        </w:rPr>
        <w:t>17.3 不可抗力后果的承担</w:t>
      </w:r>
      <w:bookmarkEnd w:id="583"/>
    </w:p>
    <w:bookmarkEnd w:id="584"/>
    <w:bookmarkEnd w:id="585"/>
    <w:bookmarkEnd w:id="586"/>
    <w:p w14:paraId="6A9087F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17.3.1 不可抗力引起的后果及造成的损失由合同当事人按照法律规定及合同约定各自承担。不可抗力发生前已完成的工程应当按照合同约定进行计量支付。</w:t>
      </w:r>
    </w:p>
    <w:p w14:paraId="72A4ADE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17.3.2 不可抗力导致的人员伤亡、财产损失、费用增加和（或）工期延误等后果，由合同当事人按以下原则承担：</w:t>
      </w:r>
    </w:p>
    <w:p w14:paraId="70DAB43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（1）永久工程、已运至施工现场的材料和工程设备的损坏，以及因工程损坏造成的第三人人员伤亡和财产损失由发包人承担；</w:t>
      </w:r>
    </w:p>
    <w:p w14:paraId="6A67167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（2）承包人施工设备的损坏由承包人承担；</w:t>
      </w:r>
    </w:p>
    <w:p w14:paraId="02CF6B7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（3）发包人和承包人承担各自人员伤亡和财产的损失；</w:t>
      </w:r>
    </w:p>
    <w:p w14:paraId="3DD050D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8E4DD3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（5）因不可抗力引起或将引起工期延误，发包人要求赶工的，由此增加的赶工费用由发包人承担；</w:t>
      </w:r>
    </w:p>
    <w:p w14:paraId="3821665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（6）承包人在停工期间按照发包人要求照管、清理和修复工程的费用由发包人承担。</w:t>
      </w:r>
    </w:p>
    <w:p w14:paraId="65B0293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不可抗力发生后，合同当事人均应采取措施尽量避免和减少损失的扩大，任何一方当事人没有采取有效措施导致损失扩大的，应对扩大的损失承担责任。</w:t>
      </w:r>
    </w:p>
    <w:p w14:paraId="1EC0280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因合同一方迟延履行合同义务，在迟延履行期间遭遇不可抗力的，不免除其违约责任。</w:t>
      </w:r>
    </w:p>
    <w:p w14:paraId="7F458070">
      <w:pPr>
        <w:pStyle w:val="9"/>
        <w:spacing w:before="120" w:after="120" w:line="360" w:lineRule="auto"/>
        <w:ind w:firstLine="420" w:firstLineChars="200"/>
        <w:rPr>
          <w:rFonts w:hint="eastAsia" w:ascii="宋体" w:hAnsi="宋体" w:eastAsia="宋体" w:cs="宋体"/>
          <w:b w:val="0"/>
          <w:color w:val="auto"/>
          <w:sz w:val="21"/>
          <w:szCs w:val="21"/>
        </w:rPr>
      </w:pPr>
      <w:bookmarkStart w:id="587" w:name="_Toc351203611"/>
      <w:bookmarkStart w:id="588" w:name="_Toc337558827"/>
      <w:r>
        <w:rPr>
          <w:rFonts w:hint="eastAsia" w:ascii="宋体" w:hAnsi="宋体" w:eastAsia="宋体" w:cs="宋体"/>
          <w:b w:val="0"/>
          <w:color w:val="auto"/>
          <w:sz w:val="21"/>
          <w:szCs w:val="21"/>
        </w:rPr>
        <w:t>17.4 因不可抗力解除合同</w:t>
      </w:r>
      <w:bookmarkEnd w:id="587"/>
    </w:p>
    <w:bookmarkEnd w:id="588"/>
    <w:p w14:paraId="4A3164C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363DFF6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（1）合同解除前承包人已完成工作的价款；</w:t>
      </w:r>
    </w:p>
    <w:p w14:paraId="5462831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（2）承包人为工程订购的并已交付给承包人，或承包人有责任接受交付的材料、工程设备和其他物品的价款；</w:t>
      </w:r>
    </w:p>
    <w:p w14:paraId="6BB0E75B">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（3）发包人要求承包人退货或解除订货合同而产生的费用，或因不能退货或解除合同而产生的损失；</w:t>
      </w:r>
    </w:p>
    <w:p w14:paraId="05BF4648">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（4）承包人撤离施工现场以及遣散承包人人员的费用；</w:t>
      </w:r>
    </w:p>
    <w:p w14:paraId="753911C1">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（5）按照合同约定在合同解除前应支付给承包人的其他款项；</w:t>
      </w:r>
    </w:p>
    <w:p w14:paraId="130CA2A0">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（6）扣减承包人按照合同约定应向发包人支付的款项；</w:t>
      </w:r>
    </w:p>
    <w:p w14:paraId="251D8A5D">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（7）双方商定或确定的其他款项。</w:t>
      </w:r>
    </w:p>
    <w:p w14:paraId="1C14AF66">
      <w:pPr>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除专用合同条款另有约定外，合同解除后，发包人应在商定或确定上述款项后28天内完成上述款项的支付。</w:t>
      </w:r>
    </w:p>
    <w:p w14:paraId="29AD7FAD">
      <w:pPr>
        <w:pStyle w:val="8"/>
        <w:spacing w:before="120" w:after="120" w:line="360" w:lineRule="auto"/>
        <w:rPr>
          <w:rFonts w:hint="eastAsia" w:ascii="宋体" w:hAnsi="宋体" w:eastAsia="宋体" w:cs="宋体"/>
          <w:b w:val="0"/>
          <w:color w:val="auto"/>
          <w:sz w:val="21"/>
          <w:szCs w:val="21"/>
        </w:rPr>
      </w:pPr>
      <w:bookmarkStart w:id="589" w:name="_Toc351203612"/>
      <w:bookmarkStart w:id="590" w:name="_Toc296503120"/>
      <w:bookmarkStart w:id="591" w:name="_Toc337558828"/>
      <w:bookmarkStart w:id="592" w:name="_Toc296346621"/>
      <w:r>
        <w:rPr>
          <w:rFonts w:hint="eastAsia" w:ascii="宋体" w:hAnsi="宋体" w:eastAsia="宋体" w:cs="宋体"/>
          <w:b w:val="0"/>
          <w:color w:val="auto"/>
          <w:sz w:val="21"/>
          <w:szCs w:val="21"/>
        </w:rPr>
        <w:t>18. 保险</w:t>
      </w:r>
      <w:bookmarkEnd w:id="589"/>
    </w:p>
    <w:bookmarkEnd w:id="590"/>
    <w:bookmarkEnd w:id="591"/>
    <w:bookmarkEnd w:id="592"/>
    <w:p w14:paraId="68DCC6B7">
      <w:pPr>
        <w:pStyle w:val="9"/>
        <w:spacing w:before="120" w:after="120" w:line="360" w:lineRule="auto"/>
        <w:ind w:firstLine="420" w:firstLineChars="200"/>
        <w:rPr>
          <w:rFonts w:hint="eastAsia" w:ascii="宋体" w:hAnsi="宋体" w:eastAsia="宋体" w:cs="宋体"/>
          <w:b w:val="0"/>
          <w:color w:val="auto"/>
          <w:sz w:val="21"/>
          <w:szCs w:val="21"/>
        </w:rPr>
      </w:pPr>
      <w:bookmarkStart w:id="593" w:name="_Toc351203613"/>
      <w:bookmarkStart w:id="594" w:name="_Toc296346622"/>
      <w:bookmarkStart w:id="595" w:name="_Toc337558829"/>
      <w:bookmarkStart w:id="596" w:name="_Toc296503121"/>
      <w:r>
        <w:rPr>
          <w:rFonts w:hint="eastAsia" w:ascii="宋体" w:hAnsi="宋体" w:eastAsia="宋体" w:cs="宋体"/>
          <w:b w:val="0"/>
          <w:color w:val="auto"/>
          <w:sz w:val="21"/>
          <w:szCs w:val="21"/>
        </w:rPr>
        <w:t>18.1 工程保险</w:t>
      </w:r>
      <w:bookmarkEnd w:id="593"/>
    </w:p>
    <w:bookmarkEnd w:id="594"/>
    <w:bookmarkEnd w:id="595"/>
    <w:bookmarkEnd w:id="596"/>
    <w:p w14:paraId="058CE1E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除专用合同条款另有约定外，发包人应投保建筑工程一切险或安装工程一切险；发包人委托承包人投保的，因投保产生的保险费和其他相关费用由发包人承担。</w:t>
      </w:r>
    </w:p>
    <w:p w14:paraId="3068CF53">
      <w:pPr>
        <w:pStyle w:val="9"/>
        <w:spacing w:before="120" w:after="120" w:line="360" w:lineRule="auto"/>
        <w:ind w:firstLine="420" w:firstLineChars="200"/>
        <w:rPr>
          <w:rFonts w:hint="eastAsia" w:ascii="宋体" w:hAnsi="宋体" w:eastAsia="宋体" w:cs="宋体"/>
          <w:b w:val="0"/>
          <w:color w:val="auto"/>
          <w:sz w:val="21"/>
          <w:szCs w:val="21"/>
        </w:rPr>
      </w:pPr>
      <w:bookmarkStart w:id="597" w:name="_Toc351203614"/>
      <w:bookmarkStart w:id="598" w:name="_Toc337558830"/>
      <w:bookmarkStart w:id="599" w:name="_Toc296503122"/>
      <w:bookmarkStart w:id="600" w:name="_Toc296346623"/>
      <w:r>
        <w:rPr>
          <w:rFonts w:hint="eastAsia" w:ascii="宋体" w:hAnsi="宋体" w:eastAsia="宋体" w:cs="宋体"/>
          <w:b w:val="0"/>
          <w:color w:val="auto"/>
          <w:sz w:val="21"/>
          <w:szCs w:val="21"/>
        </w:rPr>
        <w:t>18.2 工伤保险</w:t>
      </w:r>
      <w:bookmarkEnd w:id="597"/>
    </w:p>
    <w:bookmarkEnd w:id="598"/>
    <w:bookmarkEnd w:id="599"/>
    <w:bookmarkEnd w:id="600"/>
    <w:p w14:paraId="64B84D1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18.2.1 发包人应依照法律规定参加工伤保险，并为在施工现场的全部员工办理工伤保险，缴纳工伤保险费，并要求监理人及由发包人为履行合同聘请的第三方依法参加工伤保险。</w:t>
      </w:r>
    </w:p>
    <w:p w14:paraId="56DC3BE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18.2.2 承包人应依照法律规定参加工伤保险，并为其履行合同的全部员工办理工伤保险，缴纳工伤保险费，并要求分包人及由承包人为履行合同聘请的第三方依法参加工伤保险。</w:t>
      </w:r>
    </w:p>
    <w:p w14:paraId="6F4B17C4">
      <w:pPr>
        <w:pStyle w:val="9"/>
        <w:spacing w:before="120" w:after="120" w:line="360" w:lineRule="auto"/>
        <w:ind w:firstLine="420" w:firstLineChars="200"/>
        <w:rPr>
          <w:rFonts w:hint="eastAsia" w:ascii="宋体" w:hAnsi="宋体" w:eastAsia="宋体" w:cs="宋体"/>
          <w:b w:val="0"/>
          <w:color w:val="auto"/>
          <w:sz w:val="21"/>
          <w:szCs w:val="21"/>
        </w:rPr>
      </w:pPr>
      <w:bookmarkStart w:id="601" w:name="_Toc351203615"/>
      <w:bookmarkStart w:id="602" w:name="_Toc296346626"/>
      <w:bookmarkStart w:id="603" w:name="_Toc337558831"/>
      <w:bookmarkStart w:id="604" w:name="_Toc296503125"/>
      <w:r>
        <w:rPr>
          <w:rFonts w:hint="eastAsia" w:ascii="宋体" w:hAnsi="宋体" w:eastAsia="宋体" w:cs="宋体"/>
          <w:b w:val="0"/>
          <w:color w:val="auto"/>
          <w:sz w:val="21"/>
          <w:szCs w:val="21"/>
        </w:rPr>
        <w:t>18.3其他保险</w:t>
      </w:r>
      <w:bookmarkEnd w:id="601"/>
    </w:p>
    <w:bookmarkEnd w:id="602"/>
    <w:bookmarkEnd w:id="603"/>
    <w:bookmarkEnd w:id="604"/>
    <w:p w14:paraId="4C024DF4">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发包人和承包人可以为其施工现场的全部人员办理意外伤害保险并支付保险费，包括其员工及为履行合同聘请的第三方的人员，具体事项由合同当事人在专用合同条款约定。</w:t>
      </w:r>
    </w:p>
    <w:p w14:paraId="50AD9426">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除专用合同条款另有约定外，承包人应为其施工设备等办理财产保险。</w:t>
      </w:r>
    </w:p>
    <w:p w14:paraId="35D80B49">
      <w:pPr>
        <w:pStyle w:val="9"/>
        <w:spacing w:before="120" w:after="120" w:line="360" w:lineRule="auto"/>
        <w:ind w:firstLine="420" w:firstLineChars="200"/>
        <w:rPr>
          <w:rFonts w:hint="eastAsia" w:ascii="宋体" w:hAnsi="宋体" w:eastAsia="宋体" w:cs="宋体"/>
          <w:b w:val="0"/>
          <w:color w:val="auto"/>
          <w:sz w:val="21"/>
          <w:szCs w:val="21"/>
        </w:rPr>
      </w:pPr>
      <w:bookmarkStart w:id="605" w:name="_Toc351203616"/>
      <w:r>
        <w:rPr>
          <w:rFonts w:hint="eastAsia" w:ascii="宋体" w:hAnsi="宋体" w:eastAsia="宋体" w:cs="宋体"/>
          <w:b w:val="0"/>
          <w:color w:val="auto"/>
          <w:sz w:val="21"/>
          <w:szCs w:val="21"/>
        </w:rPr>
        <w:t>18.4持续保险</w:t>
      </w:r>
      <w:bookmarkEnd w:id="605"/>
    </w:p>
    <w:p w14:paraId="751854D7">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合同当事人应与保险人保持联系，使保险人能够随时了解工程实施中的变动，并确保按保险合同条款要求持续保险。</w:t>
      </w:r>
    </w:p>
    <w:p w14:paraId="7687EB66">
      <w:pPr>
        <w:pStyle w:val="9"/>
        <w:spacing w:before="120" w:after="120" w:line="360" w:lineRule="auto"/>
        <w:ind w:firstLine="420" w:firstLineChars="200"/>
        <w:rPr>
          <w:rFonts w:hint="eastAsia" w:ascii="宋体" w:hAnsi="宋体" w:eastAsia="宋体" w:cs="宋体"/>
          <w:b w:val="0"/>
          <w:color w:val="auto"/>
          <w:sz w:val="21"/>
          <w:szCs w:val="21"/>
        </w:rPr>
      </w:pPr>
      <w:bookmarkStart w:id="606" w:name="_Toc351203617"/>
      <w:bookmarkStart w:id="607" w:name="_Toc337558832"/>
      <w:bookmarkStart w:id="608" w:name="_Toc296503126"/>
      <w:bookmarkStart w:id="609" w:name="_Toc296346627"/>
      <w:r>
        <w:rPr>
          <w:rFonts w:hint="eastAsia" w:ascii="宋体" w:hAnsi="宋体" w:eastAsia="宋体" w:cs="宋体"/>
          <w:b w:val="0"/>
          <w:color w:val="auto"/>
          <w:sz w:val="21"/>
          <w:szCs w:val="21"/>
        </w:rPr>
        <w:t>18.5 保险凭证</w:t>
      </w:r>
      <w:bookmarkEnd w:id="606"/>
    </w:p>
    <w:bookmarkEnd w:id="607"/>
    <w:bookmarkEnd w:id="608"/>
    <w:bookmarkEnd w:id="609"/>
    <w:p w14:paraId="4267F8D8">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合同当事人应及时向另一方当事人提交其已投保的各项保险的凭证和保险单复印件。</w:t>
      </w:r>
    </w:p>
    <w:p w14:paraId="34AFDEC6">
      <w:pPr>
        <w:pStyle w:val="9"/>
        <w:spacing w:before="120" w:after="120" w:line="360" w:lineRule="auto"/>
        <w:ind w:firstLine="420" w:firstLineChars="200"/>
        <w:rPr>
          <w:rFonts w:hint="eastAsia" w:ascii="宋体" w:hAnsi="宋体" w:eastAsia="宋体" w:cs="宋体"/>
          <w:b w:val="0"/>
          <w:color w:val="auto"/>
          <w:sz w:val="21"/>
          <w:szCs w:val="21"/>
        </w:rPr>
      </w:pPr>
      <w:bookmarkStart w:id="610" w:name="_Toc351203618"/>
      <w:bookmarkStart w:id="611" w:name="_Toc296346628"/>
      <w:bookmarkStart w:id="612" w:name="_Toc337558833"/>
      <w:bookmarkStart w:id="613" w:name="_Toc296503127"/>
      <w:r>
        <w:rPr>
          <w:rFonts w:hint="eastAsia" w:ascii="宋体" w:hAnsi="宋体" w:eastAsia="宋体" w:cs="宋体"/>
          <w:b w:val="0"/>
          <w:color w:val="auto"/>
          <w:sz w:val="21"/>
          <w:szCs w:val="21"/>
        </w:rPr>
        <w:t>18.6 未按约定投保的补救</w:t>
      </w:r>
      <w:bookmarkEnd w:id="610"/>
    </w:p>
    <w:bookmarkEnd w:id="611"/>
    <w:bookmarkEnd w:id="612"/>
    <w:bookmarkEnd w:id="613"/>
    <w:p w14:paraId="157E3195">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18.6.1发包人未按合同约定办理保险，或未能使保险持续有效的，则承包人可代为办理，所需费用由发包人承担。发包人未按合同约定办理保险，导致未能得到足额赔偿的，由发包人负责补足。</w:t>
      </w:r>
    </w:p>
    <w:p w14:paraId="01EBE67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18.6.2承包人未按合同约定办理保险，或未能使保险持续有效的，则发包人可代为办理，所需费用由承包人承担。承包人未按合同约定办理保险，导致未能得到足额赔偿的，由承包人负责补足。</w:t>
      </w:r>
    </w:p>
    <w:p w14:paraId="19243DFE">
      <w:pPr>
        <w:pStyle w:val="9"/>
        <w:spacing w:before="120" w:after="120" w:line="360" w:lineRule="auto"/>
        <w:ind w:firstLine="420" w:firstLineChars="200"/>
        <w:rPr>
          <w:rFonts w:hint="eastAsia" w:ascii="宋体" w:hAnsi="宋体" w:eastAsia="宋体" w:cs="宋体"/>
          <w:b w:val="0"/>
          <w:color w:val="auto"/>
          <w:sz w:val="21"/>
          <w:szCs w:val="21"/>
        </w:rPr>
      </w:pPr>
      <w:bookmarkStart w:id="614" w:name="_Toc351203619"/>
      <w:bookmarkStart w:id="615" w:name="_Toc337558834"/>
      <w:r>
        <w:rPr>
          <w:rFonts w:hint="eastAsia" w:ascii="宋体" w:hAnsi="宋体" w:eastAsia="宋体" w:cs="宋体"/>
          <w:b w:val="0"/>
          <w:color w:val="auto"/>
          <w:sz w:val="21"/>
          <w:szCs w:val="21"/>
        </w:rPr>
        <w:t>18.7 通知义务</w:t>
      </w:r>
      <w:bookmarkEnd w:id="614"/>
    </w:p>
    <w:bookmarkEnd w:id="615"/>
    <w:p w14:paraId="707A434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7FCAAC3C">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保险事故发生时，投保人应按照保险合同规定的条件和期限及时向保险人报告。发包人和承包人应当在知道保险事故发生后及时通知对方。</w:t>
      </w:r>
    </w:p>
    <w:p w14:paraId="3BF5FDD1">
      <w:pPr>
        <w:pStyle w:val="8"/>
        <w:spacing w:before="120" w:after="120" w:line="360" w:lineRule="auto"/>
        <w:rPr>
          <w:rFonts w:hint="eastAsia" w:ascii="宋体" w:hAnsi="宋体" w:eastAsia="宋体" w:cs="宋体"/>
          <w:b w:val="0"/>
          <w:color w:val="auto"/>
          <w:sz w:val="21"/>
          <w:szCs w:val="21"/>
        </w:rPr>
      </w:pPr>
      <w:bookmarkStart w:id="616" w:name="_Toc351203620"/>
      <w:bookmarkStart w:id="617" w:name="_Toc296503140"/>
      <w:bookmarkStart w:id="618" w:name="_Toc337558835"/>
      <w:bookmarkStart w:id="619" w:name="_Toc296346641"/>
      <w:r>
        <w:rPr>
          <w:rFonts w:hint="eastAsia" w:ascii="宋体" w:hAnsi="宋体" w:eastAsia="宋体" w:cs="宋体"/>
          <w:b w:val="0"/>
          <w:color w:val="auto"/>
          <w:sz w:val="21"/>
          <w:szCs w:val="21"/>
        </w:rPr>
        <w:t>19. 索赔</w:t>
      </w:r>
      <w:bookmarkEnd w:id="616"/>
    </w:p>
    <w:bookmarkEnd w:id="617"/>
    <w:bookmarkEnd w:id="618"/>
    <w:bookmarkEnd w:id="619"/>
    <w:p w14:paraId="170B3FF3">
      <w:pPr>
        <w:pStyle w:val="9"/>
        <w:spacing w:before="120" w:after="120" w:line="360" w:lineRule="auto"/>
        <w:ind w:firstLine="420" w:firstLineChars="200"/>
        <w:rPr>
          <w:rFonts w:hint="eastAsia" w:ascii="宋体" w:hAnsi="宋体" w:eastAsia="宋体" w:cs="宋体"/>
          <w:b w:val="0"/>
          <w:color w:val="auto"/>
          <w:sz w:val="21"/>
          <w:szCs w:val="21"/>
        </w:rPr>
      </w:pPr>
      <w:bookmarkStart w:id="620" w:name="_Toc351203621"/>
      <w:bookmarkStart w:id="621" w:name="_Toc296503141"/>
      <w:bookmarkStart w:id="622" w:name="_Toc337558836"/>
      <w:bookmarkStart w:id="623" w:name="_Toc296346642"/>
      <w:r>
        <w:rPr>
          <w:rFonts w:hint="eastAsia" w:ascii="宋体" w:hAnsi="宋体" w:eastAsia="宋体" w:cs="宋体"/>
          <w:b w:val="0"/>
          <w:color w:val="auto"/>
          <w:sz w:val="21"/>
          <w:szCs w:val="21"/>
        </w:rPr>
        <w:t>19.1承包人的索赔</w:t>
      </w:r>
      <w:bookmarkEnd w:id="620"/>
    </w:p>
    <w:bookmarkEnd w:id="621"/>
    <w:bookmarkEnd w:id="622"/>
    <w:bookmarkEnd w:id="623"/>
    <w:p w14:paraId="58A5F31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根据合同约定，承包人认为有权得到追加付款和（或）延长工期的，应按以下程序向发包人提出索赔：</w:t>
      </w:r>
    </w:p>
    <w:p w14:paraId="5026E11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54CEA80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（2）承包人应在发出索赔意向通知书后28天内，向监理人正式递交索赔报告；索赔报告应详细说明索赔理由以及要求追加的付款金额和（或）延长的工期，并附必要的记录和证明材料；</w:t>
      </w:r>
    </w:p>
    <w:p w14:paraId="78D3FD5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（3）索赔事件具有持续影响的，承包人应按合理时间间隔继续递交延续索赔通知，说明持续影响的实际情况和记录，列出累计的追加付款金额和（或）工期延长天数；</w:t>
      </w:r>
    </w:p>
    <w:p w14:paraId="29821E4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（4）在索赔事件影响结束后28天内，承包人应向监理人递交最终索赔报告，说明最终要求索赔的追加付款金额和（或）延长的工期，并附必要的记录和证明材料。</w:t>
      </w:r>
    </w:p>
    <w:p w14:paraId="03B7F391">
      <w:pPr>
        <w:pStyle w:val="9"/>
        <w:spacing w:before="120" w:after="120" w:line="360" w:lineRule="auto"/>
        <w:ind w:firstLine="420" w:firstLineChars="200"/>
        <w:rPr>
          <w:rFonts w:hint="eastAsia" w:ascii="宋体" w:hAnsi="宋体" w:eastAsia="宋体" w:cs="宋体"/>
          <w:b w:val="0"/>
          <w:color w:val="auto"/>
          <w:sz w:val="21"/>
          <w:szCs w:val="21"/>
        </w:rPr>
      </w:pPr>
      <w:bookmarkStart w:id="624" w:name="_Toc351203622"/>
      <w:bookmarkStart w:id="625" w:name="_Toc337558837"/>
      <w:bookmarkStart w:id="626" w:name="_Toc296346643"/>
      <w:bookmarkStart w:id="627" w:name="_Toc296503142"/>
      <w:r>
        <w:rPr>
          <w:rFonts w:hint="eastAsia" w:ascii="宋体" w:hAnsi="宋体" w:eastAsia="宋体" w:cs="宋体"/>
          <w:b w:val="0"/>
          <w:color w:val="auto"/>
          <w:sz w:val="21"/>
          <w:szCs w:val="21"/>
        </w:rPr>
        <w:t>19.2 对承包人索赔的处理</w:t>
      </w:r>
      <w:bookmarkEnd w:id="624"/>
    </w:p>
    <w:bookmarkEnd w:id="625"/>
    <w:bookmarkEnd w:id="626"/>
    <w:bookmarkEnd w:id="627"/>
    <w:p w14:paraId="47B4EBF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对承包人索赔的处理如下：</w:t>
      </w:r>
    </w:p>
    <w:p w14:paraId="04D87D5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（1）监理人应在收到索赔报告后14天内完成审查并报送发包人。监理人对索赔报告存在异议的，有权要求承包人提交全部原始记录副本；</w:t>
      </w:r>
    </w:p>
    <w:p w14:paraId="60F0B7CC">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（2）发包人应在监理人收到索赔报告或有关索赔的进一步证明材料后的28天内，由监理人向承包人出具经发包人签认的索赔处理结果。发包人逾期答复的，则视为认可承包人的索赔要求；</w:t>
      </w:r>
    </w:p>
    <w:p w14:paraId="4305C57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（3）承包人接受索赔处理结果的，索赔款项在当期进度款中进行支付；承包人不接受索赔处理结果的，按照第20条〔争议解决〕约定处理。</w:t>
      </w:r>
    </w:p>
    <w:p w14:paraId="0388458F">
      <w:pPr>
        <w:pStyle w:val="9"/>
        <w:spacing w:before="120" w:after="120" w:line="360" w:lineRule="auto"/>
        <w:ind w:firstLine="420" w:firstLineChars="200"/>
        <w:rPr>
          <w:rFonts w:hint="eastAsia" w:ascii="宋体" w:hAnsi="宋体" w:eastAsia="宋体" w:cs="宋体"/>
          <w:b w:val="0"/>
          <w:color w:val="auto"/>
          <w:sz w:val="21"/>
          <w:szCs w:val="21"/>
        </w:rPr>
      </w:pPr>
      <w:bookmarkStart w:id="628" w:name="_Toc351203623"/>
      <w:bookmarkStart w:id="629" w:name="_Toc337558838"/>
      <w:bookmarkStart w:id="630" w:name="_Toc296503143"/>
      <w:bookmarkStart w:id="631" w:name="_Toc296346644"/>
      <w:r>
        <w:rPr>
          <w:rFonts w:hint="eastAsia" w:ascii="宋体" w:hAnsi="宋体" w:eastAsia="宋体" w:cs="宋体"/>
          <w:b w:val="0"/>
          <w:color w:val="auto"/>
          <w:sz w:val="21"/>
          <w:szCs w:val="21"/>
        </w:rPr>
        <w:t>19.3发包人的索赔</w:t>
      </w:r>
      <w:bookmarkEnd w:id="628"/>
    </w:p>
    <w:bookmarkEnd w:id="629"/>
    <w:bookmarkEnd w:id="630"/>
    <w:bookmarkEnd w:id="631"/>
    <w:p w14:paraId="062F95D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根据合同约定，发包人认为有权得到赔付金额和（或）延长缺陷责任期的，监理人应向承包人发出通知并附有详细的证明。</w:t>
      </w:r>
    </w:p>
    <w:p w14:paraId="14CCAC7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4A185887">
      <w:pPr>
        <w:pStyle w:val="9"/>
        <w:spacing w:before="120" w:after="120" w:line="360" w:lineRule="auto"/>
        <w:ind w:firstLine="420" w:firstLineChars="200"/>
        <w:rPr>
          <w:rFonts w:hint="eastAsia" w:ascii="宋体" w:hAnsi="宋体" w:eastAsia="宋体" w:cs="宋体"/>
          <w:b w:val="0"/>
          <w:color w:val="auto"/>
          <w:sz w:val="21"/>
          <w:szCs w:val="21"/>
        </w:rPr>
      </w:pPr>
      <w:bookmarkStart w:id="632" w:name="_Toc351203624"/>
      <w:bookmarkStart w:id="633" w:name="_Toc296503144"/>
      <w:bookmarkStart w:id="634" w:name="_Toc337558839"/>
      <w:bookmarkStart w:id="635" w:name="_Toc296346645"/>
      <w:r>
        <w:rPr>
          <w:rFonts w:hint="eastAsia" w:ascii="宋体" w:hAnsi="宋体" w:eastAsia="宋体" w:cs="宋体"/>
          <w:b w:val="0"/>
          <w:color w:val="auto"/>
          <w:sz w:val="21"/>
          <w:szCs w:val="21"/>
        </w:rPr>
        <w:t>19.4 对发包人索赔的处理</w:t>
      </w:r>
      <w:bookmarkEnd w:id="632"/>
    </w:p>
    <w:bookmarkEnd w:id="633"/>
    <w:bookmarkEnd w:id="634"/>
    <w:bookmarkEnd w:id="635"/>
    <w:p w14:paraId="3250AE6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对发包人索赔的处理如下：</w:t>
      </w:r>
    </w:p>
    <w:p w14:paraId="47F31D8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（1）承包人收到发包人提交的索赔报告后，应及时审查索赔报告的内容、查验发包人证明材料；</w:t>
      </w:r>
    </w:p>
    <w:p w14:paraId="6AC9300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（2）承包人应在收到索赔报告或有关索赔的进一步证明材料后28天内，将索赔处理结果答复发包人。如果承包人未在上述期限内作出答复的，则视为对发包人索赔要求的认可；</w:t>
      </w:r>
    </w:p>
    <w:p w14:paraId="7FBC17A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（3）承包人接受索赔处理结果的，发包人可从应支付给承包人的合同价款中扣除赔付的金额或延长缺陷责任期；发包人不接受索赔处理结果的，按第20条〔争议解决〕约定处理。</w:t>
      </w:r>
    </w:p>
    <w:p w14:paraId="4B8F7494">
      <w:pPr>
        <w:pStyle w:val="9"/>
        <w:spacing w:before="120" w:after="120" w:line="360" w:lineRule="auto"/>
        <w:ind w:firstLine="420" w:firstLineChars="200"/>
        <w:rPr>
          <w:rFonts w:hint="eastAsia" w:ascii="宋体" w:hAnsi="宋体" w:eastAsia="宋体" w:cs="宋体"/>
          <w:b w:val="0"/>
          <w:color w:val="auto"/>
          <w:sz w:val="21"/>
          <w:szCs w:val="21"/>
        </w:rPr>
      </w:pPr>
      <w:bookmarkStart w:id="636" w:name="_Toc351203625"/>
      <w:r>
        <w:rPr>
          <w:rFonts w:hint="eastAsia" w:ascii="宋体" w:hAnsi="宋体" w:eastAsia="宋体" w:cs="宋体"/>
          <w:b w:val="0"/>
          <w:color w:val="auto"/>
          <w:sz w:val="21"/>
          <w:szCs w:val="21"/>
        </w:rPr>
        <w:t>19.5 提出索赔的期限</w:t>
      </w:r>
      <w:bookmarkEnd w:id="636"/>
    </w:p>
    <w:p w14:paraId="3A35BFAE">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（1）承包人按第14.2款〔竣工结算审核〕约定接收竣工付款证书后，应被视为已无权再提出在工程接收证书颁发前所发生的任何索赔。</w:t>
      </w:r>
    </w:p>
    <w:p w14:paraId="77616211">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（2）承包人按第14.4款〔最终结清〕提交的最终结清申请单中，只限于提出工程接收证书颁发后发生的索赔。提出索赔的期限自接受最终结清证书时终止。</w:t>
      </w:r>
    </w:p>
    <w:p w14:paraId="7A2FC627">
      <w:pPr>
        <w:pStyle w:val="8"/>
        <w:spacing w:before="120" w:after="120" w:line="360" w:lineRule="auto"/>
        <w:rPr>
          <w:rFonts w:hint="eastAsia" w:ascii="宋体" w:hAnsi="宋体" w:eastAsia="宋体" w:cs="宋体"/>
          <w:b w:val="0"/>
          <w:color w:val="auto"/>
          <w:sz w:val="21"/>
          <w:szCs w:val="21"/>
        </w:rPr>
      </w:pPr>
      <w:bookmarkStart w:id="637" w:name="_Toc351203626"/>
      <w:r>
        <w:rPr>
          <w:rFonts w:hint="eastAsia" w:ascii="宋体" w:hAnsi="宋体" w:eastAsia="宋体" w:cs="宋体"/>
          <w:b w:val="0"/>
          <w:color w:val="auto"/>
          <w:sz w:val="21"/>
          <w:szCs w:val="21"/>
        </w:rPr>
        <w:t>20</w:t>
      </w:r>
      <w:bookmarkStart w:id="638" w:name="_Toc296346647"/>
      <w:bookmarkStart w:id="639" w:name="_Toc337558840"/>
      <w:bookmarkStart w:id="640" w:name="_Toc296503146"/>
      <w:r>
        <w:rPr>
          <w:rFonts w:hint="eastAsia" w:ascii="宋体" w:hAnsi="宋体" w:eastAsia="宋体" w:cs="宋体"/>
          <w:b w:val="0"/>
          <w:color w:val="auto"/>
          <w:sz w:val="21"/>
          <w:szCs w:val="21"/>
        </w:rPr>
        <w:t>. 争议解决</w:t>
      </w:r>
      <w:bookmarkEnd w:id="637"/>
    </w:p>
    <w:bookmarkEnd w:id="638"/>
    <w:bookmarkEnd w:id="639"/>
    <w:bookmarkEnd w:id="640"/>
    <w:p w14:paraId="60C611C9">
      <w:pPr>
        <w:pStyle w:val="9"/>
        <w:spacing w:before="120" w:after="120" w:line="360" w:lineRule="auto"/>
        <w:ind w:firstLine="420" w:firstLineChars="200"/>
        <w:rPr>
          <w:rFonts w:hint="eastAsia" w:ascii="宋体" w:hAnsi="宋体" w:eastAsia="宋体" w:cs="宋体"/>
          <w:b w:val="0"/>
          <w:color w:val="auto"/>
          <w:sz w:val="21"/>
          <w:szCs w:val="21"/>
        </w:rPr>
      </w:pPr>
      <w:bookmarkStart w:id="641" w:name="_Toc351203627"/>
      <w:bookmarkStart w:id="642" w:name="_Toc296503147"/>
      <w:bookmarkStart w:id="643" w:name="_Toc337558841"/>
      <w:bookmarkStart w:id="644" w:name="_Toc296346648"/>
      <w:r>
        <w:rPr>
          <w:rFonts w:hint="eastAsia" w:ascii="宋体" w:hAnsi="宋体" w:eastAsia="宋体" w:cs="宋体"/>
          <w:b w:val="0"/>
          <w:color w:val="auto"/>
          <w:sz w:val="21"/>
          <w:szCs w:val="21"/>
        </w:rPr>
        <w:t>20.1和解</w:t>
      </w:r>
      <w:bookmarkEnd w:id="641"/>
    </w:p>
    <w:bookmarkEnd w:id="642"/>
    <w:bookmarkEnd w:id="643"/>
    <w:bookmarkEnd w:id="644"/>
    <w:p w14:paraId="1295C13A">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合同当事人可以就争议自行和解，自行和解达成协议的经双方签字并盖章后作为合同补充文件，双方均应遵照执行。</w:t>
      </w:r>
    </w:p>
    <w:p w14:paraId="0806AE3E">
      <w:pPr>
        <w:pStyle w:val="9"/>
        <w:spacing w:before="120" w:after="120" w:line="360" w:lineRule="auto"/>
        <w:ind w:firstLine="420" w:firstLineChars="200"/>
        <w:rPr>
          <w:rFonts w:hint="eastAsia" w:ascii="宋体" w:hAnsi="宋体" w:eastAsia="宋体" w:cs="宋体"/>
          <w:b w:val="0"/>
          <w:color w:val="auto"/>
          <w:sz w:val="21"/>
          <w:szCs w:val="21"/>
        </w:rPr>
      </w:pPr>
      <w:bookmarkStart w:id="645" w:name="_Toc351203628"/>
      <w:r>
        <w:rPr>
          <w:rFonts w:hint="eastAsia" w:ascii="宋体" w:hAnsi="宋体" w:eastAsia="宋体" w:cs="宋体"/>
          <w:b w:val="0"/>
          <w:color w:val="auto"/>
          <w:sz w:val="21"/>
          <w:szCs w:val="21"/>
        </w:rPr>
        <w:t>20</w:t>
      </w:r>
      <w:bookmarkStart w:id="646" w:name="_Toc296346649"/>
      <w:bookmarkStart w:id="647" w:name="_Toc296503148"/>
      <w:bookmarkStart w:id="648" w:name="_Toc337558842"/>
      <w:r>
        <w:rPr>
          <w:rFonts w:hint="eastAsia" w:ascii="宋体" w:hAnsi="宋体" w:eastAsia="宋体" w:cs="宋体"/>
          <w:b w:val="0"/>
          <w:color w:val="auto"/>
          <w:sz w:val="21"/>
          <w:szCs w:val="21"/>
        </w:rPr>
        <w:t>.2调解</w:t>
      </w:r>
      <w:bookmarkEnd w:id="645"/>
    </w:p>
    <w:bookmarkEnd w:id="646"/>
    <w:bookmarkEnd w:id="647"/>
    <w:bookmarkEnd w:id="648"/>
    <w:p w14:paraId="674F196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合同当事人可以就争议请求建设行政主管部门、行业协会或其他第三方进行调解，调解达成协议的，经双方签字并盖章后作为合同补充文件，双方均应遵照执行。</w:t>
      </w:r>
    </w:p>
    <w:p w14:paraId="5DCADAA2">
      <w:pPr>
        <w:pStyle w:val="9"/>
        <w:spacing w:before="120" w:after="120" w:line="360" w:lineRule="auto"/>
        <w:ind w:firstLine="420" w:firstLineChars="200"/>
        <w:rPr>
          <w:rFonts w:hint="eastAsia" w:ascii="宋体" w:hAnsi="宋体" w:eastAsia="宋体" w:cs="宋体"/>
          <w:b w:val="0"/>
          <w:color w:val="auto"/>
          <w:sz w:val="21"/>
          <w:szCs w:val="21"/>
        </w:rPr>
      </w:pPr>
      <w:bookmarkStart w:id="649" w:name="_Toc351203629"/>
      <w:bookmarkStart w:id="650" w:name="_Toc337558843"/>
      <w:bookmarkStart w:id="651" w:name="_Toc296346650"/>
      <w:bookmarkStart w:id="652" w:name="_Toc296503149"/>
      <w:r>
        <w:rPr>
          <w:rFonts w:hint="eastAsia" w:ascii="宋体" w:hAnsi="宋体" w:eastAsia="宋体" w:cs="宋体"/>
          <w:b w:val="0"/>
          <w:color w:val="auto"/>
          <w:sz w:val="21"/>
          <w:szCs w:val="21"/>
        </w:rPr>
        <w:t>20.3争议评审</w:t>
      </w:r>
      <w:bookmarkEnd w:id="649"/>
    </w:p>
    <w:bookmarkEnd w:id="650"/>
    <w:bookmarkEnd w:id="651"/>
    <w:bookmarkEnd w:id="652"/>
    <w:p w14:paraId="599F3E8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合同当事人在专用合同条款中约定采取争议评审方式解决争议以及评审规则，并按下列约定执行： </w:t>
      </w:r>
    </w:p>
    <w:p w14:paraId="351B8CB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20.3.1 争议评审小组的确定</w:t>
      </w:r>
    </w:p>
    <w:p w14:paraId="172FEE7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合同当事人可以共同选择一名或三名争议评审员，组成争议评审小组。除专用合同条款另有约定外，合同当事人应当自合同签订后28天内，或者争议发生后14天内，选定争议评审员。</w:t>
      </w:r>
    </w:p>
    <w:p w14:paraId="6CEB818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0E7D202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除专用合同条款另有约定外，评审员报酬由发包人和承包人各承担一半。</w:t>
      </w:r>
    </w:p>
    <w:p w14:paraId="3CDA45F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20.3.2 争议评审小组的决定</w:t>
      </w:r>
    </w:p>
    <w:p w14:paraId="302B1BC9">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5371AA26">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20.3.3 争议评审小组决定的效力</w:t>
      </w:r>
    </w:p>
    <w:p w14:paraId="5382AF00">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争议评审小组作出的书面决定经合同当事人签字确认后，对双方具有约束力，双方应遵照执行。</w:t>
      </w:r>
    </w:p>
    <w:p w14:paraId="25389C9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任何一方当事人不接受争议评审小组决定或不履行争议评审小组决定的，双方</w:t>
      </w:r>
      <w:r>
        <w:rPr>
          <w:rFonts w:hint="eastAsia" w:ascii="宋体" w:hAnsi="宋体" w:cs="宋体"/>
          <w:color w:val="auto"/>
          <w:kern w:val="0"/>
          <w:sz w:val="21"/>
          <w:szCs w:val="21"/>
          <w:lang w:eastAsia="zh-CN"/>
        </w:rPr>
        <w:t>可以</w:t>
      </w:r>
      <w:r>
        <w:rPr>
          <w:rFonts w:hint="eastAsia" w:ascii="宋体" w:hAnsi="宋体" w:eastAsia="宋体" w:cs="宋体"/>
          <w:color w:val="auto"/>
          <w:kern w:val="0"/>
          <w:sz w:val="21"/>
          <w:szCs w:val="21"/>
        </w:rPr>
        <w:t>选择采用其他争议解决方式。</w:t>
      </w:r>
    </w:p>
    <w:p w14:paraId="3AA071ED">
      <w:pPr>
        <w:pStyle w:val="9"/>
        <w:spacing w:before="120" w:after="120" w:line="360" w:lineRule="auto"/>
        <w:ind w:firstLine="420" w:firstLineChars="200"/>
        <w:rPr>
          <w:rFonts w:hint="eastAsia" w:ascii="宋体" w:hAnsi="宋体" w:eastAsia="宋体" w:cs="宋体"/>
          <w:b w:val="0"/>
          <w:color w:val="auto"/>
          <w:sz w:val="21"/>
          <w:szCs w:val="21"/>
        </w:rPr>
      </w:pPr>
      <w:bookmarkStart w:id="653" w:name="_Toc351203630"/>
      <w:bookmarkStart w:id="654" w:name="_Toc296346651"/>
      <w:bookmarkStart w:id="655" w:name="_Toc337558844"/>
      <w:bookmarkStart w:id="656" w:name="_Toc296503150"/>
      <w:r>
        <w:rPr>
          <w:rFonts w:hint="eastAsia" w:ascii="宋体" w:hAnsi="宋体" w:eastAsia="宋体" w:cs="宋体"/>
          <w:b w:val="0"/>
          <w:color w:val="auto"/>
          <w:sz w:val="21"/>
          <w:szCs w:val="21"/>
        </w:rPr>
        <w:t>20.4仲裁或诉讼</w:t>
      </w:r>
      <w:bookmarkEnd w:id="653"/>
    </w:p>
    <w:bookmarkEnd w:id="654"/>
    <w:bookmarkEnd w:id="655"/>
    <w:bookmarkEnd w:id="656"/>
    <w:p w14:paraId="7D657215">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因合同及合同有关事项产生的争议，合同当事人可以在专用合同条款中约定以下一种方式解决争议：</w:t>
      </w:r>
    </w:p>
    <w:p w14:paraId="18BD6841">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（1）向约定的仲裁委员会申请仲裁；</w:t>
      </w:r>
    </w:p>
    <w:p w14:paraId="48EA0977">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（2）向有管辖权的人民法院起诉。</w:t>
      </w:r>
    </w:p>
    <w:p w14:paraId="7B78469A">
      <w:pPr>
        <w:pStyle w:val="9"/>
        <w:spacing w:before="120" w:after="120" w:line="360" w:lineRule="auto"/>
        <w:ind w:firstLine="420" w:firstLineChars="200"/>
        <w:rPr>
          <w:rFonts w:hint="eastAsia" w:ascii="宋体" w:hAnsi="宋体" w:eastAsia="宋体" w:cs="宋体"/>
          <w:b w:val="0"/>
          <w:color w:val="auto"/>
          <w:sz w:val="21"/>
          <w:szCs w:val="21"/>
        </w:rPr>
      </w:pPr>
      <w:bookmarkStart w:id="657" w:name="_Toc351203631"/>
      <w:bookmarkStart w:id="658" w:name="_Toc337558845"/>
      <w:bookmarkStart w:id="659" w:name="_Toc296346653"/>
      <w:bookmarkStart w:id="660" w:name="_Toc296503152"/>
      <w:r>
        <w:rPr>
          <w:rFonts w:hint="eastAsia" w:ascii="宋体" w:hAnsi="宋体" w:eastAsia="宋体" w:cs="宋体"/>
          <w:b w:val="0"/>
          <w:color w:val="auto"/>
          <w:sz w:val="21"/>
          <w:szCs w:val="21"/>
        </w:rPr>
        <w:t>20.5争议解决条款效力</w:t>
      </w:r>
      <w:bookmarkEnd w:id="657"/>
    </w:p>
    <w:bookmarkEnd w:id="658"/>
    <w:bookmarkEnd w:id="659"/>
    <w:bookmarkEnd w:id="660"/>
    <w:p w14:paraId="73D3A2B4">
      <w:pPr>
        <w:autoSpaceDE w:val="0"/>
        <w:autoSpaceDN w:val="0"/>
        <w:adjustRightInd w:val="0"/>
        <w:spacing w:line="360" w:lineRule="auto"/>
        <w:ind w:firstLine="420" w:firstLineChars="200"/>
        <w:jc w:val="left"/>
        <w:rPr>
          <w:rFonts w:hint="eastAsia" w:ascii="宋体" w:hAnsi="宋体" w:eastAsia="宋体" w:cs="宋体"/>
          <w:b/>
          <w:color w:val="auto"/>
          <w:kern w:val="0"/>
          <w:sz w:val="21"/>
          <w:szCs w:val="21"/>
        </w:rPr>
      </w:pPr>
      <w:r>
        <w:rPr>
          <w:rFonts w:hint="eastAsia" w:ascii="宋体" w:hAnsi="宋体" w:eastAsia="宋体" w:cs="宋体"/>
          <w:color w:val="auto"/>
          <w:kern w:val="0"/>
          <w:sz w:val="21"/>
          <w:szCs w:val="21"/>
        </w:rPr>
        <w:t>合同有关争议解决的条款独立存在，合同的变更、解除、终止、无效或者被撤销均不影响其效力</w:t>
      </w:r>
      <w:r>
        <w:rPr>
          <w:rFonts w:hint="eastAsia" w:ascii="宋体" w:hAnsi="宋体" w:eastAsia="宋体" w:cs="宋体"/>
          <w:b/>
          <w:color w:val="auto"/>
          <w:kern w:val="0"/>
          <w:sz w:val="21"/>
          <w:szCs w:val="21"/>
        </w:rPr>
        <w:t>。</w:t>
      </w:r>
    </w:p>
    <w:p w14:paraId="3165C5E9">
      <w:pPr>
        <w:pStyle w:val="10"/>
        <w:rPr>
          <w:rFonts w:hint="eastAsia" w:ascii="宋体" w:hAnsi="宋体" w:eastAsia="宋体" w:cs="宋体"/>
          <w:color w:val="auto"/>
          <w:sz w:val="18"/>
          <w:szCs w:val="18"/>
        </w:rPr>
      </w:pPr>
    </w:p>
    <w:p w14:paraId="0658DF67">
      <w:pPr>
        <w:pStyle w:val="10"/>
        <w:rPr>
          <w:rFonts w:hint="eastAsia" w:ascii="宋体" w:hAnsi="宋体" w:eastAsia="宋体" w:cs="宋体"/>
          <w:color w:val="auto"/>
          <w:sz w:val="18"/>
          <w:szCs w:val="18"/>
        </w:rPr>
      </w:pPr>
    </w:p>
    <w:p w14:paraId="55618EF8">
      <w:pPr>
        <w:pStyle w:val="10"/>
        <w:rPr>
          <w:rFonts w:hint="eastAsia" w:ascii="宋体" w:hAnsi="宋体" w:eastAsia="宋体" w:cs="宋体"/>
          <w:color w:val="auto"/>
          <w:sz w:val="18"/>
          <w:szCs w:val="18"/>
        </w:rPr>
      </w:pPr>
    </w:p>
    <w:p w14:paraId="30EF906E">
      <w:pPr>
        <w:pStyle w:val="10"/>
        <w:rPr>
          <w:rFonts w:hint="eastAsia" w:ascii="宋体" w:hAnsi="宋体" w:eastAsia="宋体" w:cs="宋体"/>
          <w:color w:val="auto"/>
          <w:sz w:val="18"/>
          <w:szCs w:val="18"/>
        </w:rPr>
      </w:pPr>
    </w:p>
    <w:p w14:paraId="61E95DF0">
      <w:pPr>
        <w:pStyle w:val="10"/>
        <w:rPr>
          <w:rFonts w:hint="eastAsia" w:ascii="宋体" w:hAnsi="宋体" w:eastAsia="宋体" w:cs="宋体"/>
          <w:color w:val="auto"/>
          <w:sz w:val="18"/>
          <w:szCs w:val="18"/>
        </w:rPr>
      </w:pPr>
    </w:p>
    <w:p w14:paraId="2FC7E44B">
      <w:pPr>
        <w:pStyle w:val="10"/>
        <w:rPr>
          <w:rFonts w:hint="eastAsia" w:ascii="宋体" w:hAnsi="宋体" w:eastAsia="宋体" w:cs="宋体"/>
          <w:color w:val="auto"/>
          <w:sz w:val="18"/>
          <w:szCs w:val="18"/>
        </w:rPr>
      </w:pPr>
    </w:p>
    <w:p w14:paraId="3BAFF9D9">
      <w:pPr>
        <w:pStyle w:val="10"/>
        <w:rPr>
          <w:rFonts w:hint="eastAsia" w:ascii="宋体" w:hAnsi="宋体" w:eastAsia="宋体" w:cs="宋体"/>
          <w:color w:val="auto"/>
          <w:sz w:val="18"/>
          <w:szCs w:val="18"/>
        </w:rPr>
      </w:pPr>
    </w:p>
    <w:p w14:paraId="050643E5">
      <w:pPr>
        <w:pStyle w:val="10"/>
        <w:rPr>
          <w:rFonts w:hint="eastAsia" w:ascii="宋体" w:hAnsi="宋体" w:eastAsia="宋体" w:cs="宋体"/>
          <w:color w:val="auto"/>
          <w:sz w:val="18"/>
          <w:szCs w:val="18"/>
        </w:rPr>
      </w:pPr>
    </w:p>
    <w:p w14:paraId="5E438A74">
      <w:pPr>
        <w:pStyle w:val="10"/>
        <w:rPr>
          <w:rFonts w:hint="eastAsia" w:ascii="宋体" w:hAnsi="宋体" w:eastAsia="宋体" w:cs="宋体"/>
          <w:color w:val="auto"/>
          <w:sz w:val="18"/>
          <w:szCs w:val="18"/>
        </w:rPr>
      </w:pPr>
    </w:p>
    <w:p w14:paraId="5EC4FDF1">
      <w:pPr>
        <w:pStyle w:val="10"/>
        <w:rPr>
          <w:rFonts w:hint="eastAsia" w:ascii="宋体" w:hAnsi="宋体" w:eastAsia="宋体" w:cs="宋体"/>
          <w:color w:val="auto"/>
          <w:sz w:val="18"/>
          <w:szCs w:val="18"/>
        </w:rPr>
      </w:pPr>
    </w:p>
    <w:p w14:paraId="0EAE54A9">
      <w:pPr>
        <w:pStyle w:val="10"/>
        <w:rPr>
          <w:rFonts w:hint="eastAsia" w:ascii="宋体" w:hAnsi="宋体" w:eastAsia="宋体" w:cs="宋体"/>
          <w:color w:val="auto"/>
          <w:sz w:val="18"/>
          <w:szCs w:val="18"/>
        </w:rPr>
      </w:pPr>
    </w:p>
    <w:p w14:paraId="6D0925B1">
      <w:pPr>
        <w:pStyle w:val="10"/>
        <w:rPr>
          <w:rFonts w:hint="eastAsia" w:ascii="宋体" w:hAnsi="宋体" w:eastAsia="宋体" w:cs="宋体"/>
          <w:color w:val="auto"/>
          <w:sz w:val="18"/>
          <w:szCs w:val="18"/>
        </w:rPr>
      </w:pPr>
    </w:p>
    <w:p w14:paraId="700CA7CE">
      <w:pPr>
        <w:pStyle w:val="10"/>
        <w:rPr>
          <w:rFonts w:hint="eastAsia" w:ascii="宋体" w:hAnsi="宋体" w:eastAsia="宋体" w:cs="宋体"/>
          <w:color w:val="auto"/>
          <w:sz w:val="18"/>
          <w:szCs w:val="18"/>
        </w:rPr>
      </w:pPr>
    </w:p>
    <w:p w14:paraId="49E84ABA">
      <w:pPr>
        <w:pStyle w:val="10"/>
        <w:rPr>
          <w:rFonts w:hint="eastAsia" w:ascii="宋体" w:hAnsi="宋体" w:eastAsia="宋体" w:cs="宋体"/>
          <w:color w:val="auto"/>
          <w:sz w:val="18"/>
          <w:szCs w:val="18"/>
        </w:rPr>
      </w:pPr>
    </w:p>
    <w:p w14:paraId="268F8D3E">
      <w:pPr>
        <w:pStyle w:val="10"/>
        <w:rPr>
          <w:rFonts w:hint="eastAsia" w:ascii="宋体" w:hAnsi="宋体" w:eastAsia="宋体" w:cs="宋体"/>
          <w:color w:val="auto"/>
          <w:sz w:val="18"/>
          <w:szCs w:val="18"/>
        </w:rPr>
      </w:pPr>
    </w:p>
    <w:p w14:paraId="2AA79E96">
      <w:pPr>
        <w:pStyle w:val="10"/>
        <w:rPr>
          <w:rFonts w:hint="eastAsia" w:ascii="宋体" w:hAnsi="宋体" w:eastAsia="宋体" w:cs="宋体"/>
          <w:color w:val="auto"/>
          <w:sz w:val="18"/>
          <w:szCs w:val="18"/>
        </w:rPr>
      </w:pPr>
    </w:p>
    <w:p w14:paraId="2EE35A72">
      <w:pPr>
        <w:pStyle w:val="10"/>
        <w:rPr>
          <w:rFonts w:hint="eastAsia" w:ascii="宋体" w:hAnsi="宋体" w:eastAsia="宋体" w:cs="宋体"/>
          <w:color w:val="auto"/>
          <w:sz w:val="18"/>
          <w:szCs w:val="18"/>
        </w:rPr>
      </w:pPr>
    </w:p>
    <w:p w14:paraId="7ADED0B9">
      <w:pPr>
        <w:pStyle w:val="10"/>
        <w:rPr>
          <w:rFonts w:hint="eastAsia" w:ascii="宋体" w:hAnsi="宋体" w:eastAsia="宋体" w:cs="宋体"/>
          <w:color w:val="auto"/>
          <w:sz w:val="18"/>
          <w:szCs w:val="18"/>
        </w:rPr>
      </w:pPr>
    </w:p>
    <w:p w14:paraId="360408B6">
      <w:pPr>
        <w:pStyle w:val="10"/>
        <w:rPr>
          <w:rFonts w:hint="eastAsia" w:ascii="宋体" w:hAnsi="宋体" w:eastAsia="宋体" w:cs="宋体"/>
          <w:color w:val="auto"/>
          <w:sz w:val="18"/>
          <w:szCs w:val="18"/>
        </w:rPr>
      </w:pPr>
    </w:p>
    <w:p w14:paraId="19A34BD7">
      <w:pPr>
        <w:pStyle w:val="10"/>
        <w:rPr>
          <w:rFonts w:hint="eastAsia" w:ascii="宋体" w:hAnsi="宋体" w:eastAsia="宋体" w:cs="宋体"/>
          <w:color w:val="auto"/>
          <w:sz w:val="18"/>
          <w:szCs w:val="18"/>
        </w:rPr>
      </w:pPr>
    </w:p>
    <w:p w14:paraId="5942D088">
      <w:pPr>
        <w:pStyle w:val="10"/>
        <w:rPr>
          <w:rFonts w:hint="eastAsia" w:ascii="宋体" w:hAnsi="宋体" w:eastAsia="宋体" w:cs="宋体"/>
          <w:color w:val="auto"/>
          <w:sz w:val="18"/>
          <w:szCs w:val="18"/>
        </w:rPr>
      </w:pPr>
    </w:p>
    <w:p w14:paraId="11B441F2">
      <w:pPr>
        <w:pStyle w:val="10"/>
        <w:rPr>
          <w:rFonts w:hint="eastAsia" w:ascii="宋体" w:hAnsi="宋体" w:eastAsia="宋体" w:cs="宋体"/>
          <w:color w:val="auto"/>
          <w:sz w:val="18"/>
          <w:szCs w:val="18"/>
        </w:rPr>
      </w:pPr>
    </w:p>
    <w:p w14:paraId="1259F80C">
      <w:pPr>
        <w:pStyle w:val="10"/>
        <w:rPr>
          <w:rFonts w:hint="eastAsia" w:ascii="宋体" w:hAnsi="宋体" w:eastAsia="宋体" w:cs="宋体"/>
          <w:color w:val="auto"/>
          <w:sz w:val="18"/>
          <w:szCs w:val="18"/>
        </w:rPr>
      </w:pPr>
    </w:p>
    <w:p w14:paraId="3B30D0A1">
      <w:pPr>
        <w:pStyle w:val="10"/>
        <w:rPr>
          <w:rFonts w:hint="eastAsia" w:ascii="宋体" w:hAnsi="宋体" w:eastAsia="宋体" w:cs="宋体"/>
          <w:color w:val="auto"/>
          <w:sz w:val="18"/>
          <w:szCs w:val="18"/>
        </w:rPr>
      </w:pPr>
    </w:p>
    <w:p w14:paraId="15BD7A2D">
      <w:pPr>
        <w:pStyle w:val="10"/>
        <w:rPr>
          <w:rFonts w:hint="eastAsia" w:ascii="宋体" w:hAnsi="宋体" w:eastAsia="宋体" w:cs="宋体"/>
          <w:color w:val="auto"/>
          <w:sz w:val="18"/>
          <w:szCs w:val="18"/>
        </w:rPr>
      </w:pPr>
    </w:p>
    <w:p w14:paraId="304B2247">
      <w:pPr>
        <w:pStyle w:val="10"/>
        <w:rPr>
          <w:rFonts w:hint="eastAsia" w:ascii="宋体" w:hAnsi="宋体" w:eastAsia="宋体" w:cs="宋体"/>
          <w:color w:val="auto"/>
          <w:sz w:val="18"/>
          <w:szCs w:val="18"/>
        </w:rPr>
      </w:pPr>
    </w:p>
    <w:p w14:paraId="394C0B2E">
      <w:pPr>
        <w:pStyle w:val="10"/>
        <w:rPr>
          <w:rFonts w:hint="eastAsia" w:ascii="宋体" w:hAnsi="宋体" w:eastAsia="宋体" w:cs="宋体"/>
          <w:color w:val="auto"/>
          <w:sz w:val="18"/>
          <w:szCs w:val="18"/>
        </w:rPr>
      </w:pPr>
    </w:p>
    <w:p w14:paraId="462BD4E2">
      <w:pPr>
        <w:pStyle w:val="5"/>
        <w:keepNext w:val="0"/>
        <w:keepLines w:val="0"/>
        <w:spacing w:line="300" w:lineRule="auto"/>
        <w:jc w:val="center"/>
        <w:rPr>
          <w:rFonts w:hint="eastAsia" w:ascii="宋体" w:hAnsi="宋体" w:eastAsia="宋体" w:cs="宋体"/>
          <w:color w:val="auto"/>
          <w:sz w:val="24"/>
          <w:szCs w:val="24"/>
        </w:rPr>
      </w:pPr>
      <w:bookmarkStart w:id="661" w:name="_Toc389065257"/>
      <w:bookmarkStart w:id="662" w:name="_Toc467599552"/>
      <w:bookmarkStart w:id="663" w:name="_Toc7291"/>
      <w:bookmarkStart w:id="664" w:name="_Toc5360"/>
      <w:bookmarkStart w:id="665" w:name="_Toc9776_WPSOffice_Level2"/>
      <w:r>
        <w:rPr>
          <w:rFonts w:hint="eastAsia" w:ascii="宋体" w:hAnsi="宋体" w:eastAsia="宋体" w:cs="宋体"/>
          <w:color w:val="auto"/>
          <w:sz w:val="24"/>
          <w:szCs w:val="24"/>
        </w:rPr>
        <w:t>第三部分 专用合同条款</w:t>
      </w:r>
      <w:bookmarkEnd w:id="661"/>
      <w:bookmarkEnd w:id="662"/>
      <w:bookmarkEnd w:id="663"/>
      <w:bookmarkEnd w:id="664"/>
      <w:bookmarkEnd w:id="665"/>
    </w:p>
    <w:p w14:paraId="67830CD7">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666" w:name="_Toc351203633"/>
      <w:bookmarkStart w:id="667" w:name="_Toc373478339"/>
      <w:bookmarkStart w:id="668" w:name="_Toc373227692"/>
      <w:bookmarkStart w:id="669" w:name="_Toc25858_WPSOffice_Level3"/>
      <w:bookmarkStart w:id="670" w:name="_Toc467599553"/>
      <w:bookmarkStart w:id="671" w:name="_Toc389065258"/>
      <w:r>
        <w:rPr>
          <w:rFonts w:hint="eastAsia" w:ascii="宋体" w:hAnsi="宋体" w:eastAsia="宋体" w:cs="宋体"/>
          <w:color w:val="auto"/>
          <w:sz w:val="21"/>
          <w:szCs w:val="21"/>
        </w:rPr>
        <w:t>1</w:t>
      </w:r>
      <w:bookmarkStart w:id="672" w:name="_Toc292559361"/>
      <w:bookmarkStart w:id="673" w:name="_Toc296347155"/>
      <w:bookmarkStart w:id="674" w:name="_Toc297048342"/>
      <w:bookmarkStart w:id="675" w:name="_Toc296503156"/>
      <w:bookmarkStart w:id="676" w:name="_Toc292559866"/>
      <w:bookmarkStart w:id="677" w:name="_Toc296891196"/>
      <w:bookmarkStart w:id="678" w:name="_Toc296890984"/>
      <w:bookmarkStart w:id="679" w:name="_Toc296944495"/>
      <w:bookmarkStart w:id="680" w:name="_Toc296346657"/>
      <w:bookmarkStart w:id="681" w:name="_Toc297120456"/>
      <w:r>
        <w:rPr>
          <w:rFonts w:hint="eastAsia" w:ascii="宋体" w:hAnsi="宋体" w:eastAsia="宋体" w:cs="宋体"/>
          <w:color w:val="auto"/>
          <w:sz w:val="21"/>
          <w:szCs w:val="21"/>
        </w:rPr>
        <w:t>. 一般约定</w:t>
      </w:r>
      <w:bookmarkEnd w:id="666"/>
      <w:bookmarkEnd w:id="667"/>
      <w:bookmarkEnd w:id="668"/>
      <w:bookmarkEnd w:id="669"/>
      <w:bookmarkEnd w:id="670"/>
      <w:bookmarkEnd w:id="671"/>
    </w:p>
    <w:bookmarkEnd w:id="672"/>
    <w:bookmarkEnd w:id="673"/>
    <w:bookmarkEnd w:id="674"/>
    <w:bookmarkEnd w:id="675"/>
    <w:bookmarkEnd w:id="676"/>
    <w:bookmarkEnd w:id="677"/>
    <w:bookmarkEnd w:id="678"/>
    <w:bookmarkEnd w:id="679"/>
    <w:bookmarkEnd w:id="680"/>
    <w:bookmarkEnd w:id="681"/>
    <w:p w14:paraId="0CA6A497">
      <w:pPr>
        <w:pStyle w:val="7"/>
        <w:adjustRightInd w:val="0"/>
        <w:snapToGrid w:val="0"/>
        <w:ind w:firstLine="422" w:firstLineChars="200"/>
        <w:rPr>
          <w:rFonts w:hint="eastAsia" w:ascii="宋体" w:hAnsi="宋体" w:eastAsia="宋体" w:cs="宋体"/>
          <w:color w:val="auto"/>
          <w:sz w:val="21"/>
          <w:szCs w:val="21"/>
        </w:rPr>
      </w:pPr>
      <w:bookmarkStart w:id="682" w:name="_Toc389065259"/>
      <w:bookmarkStart w:id="683" w:name="_Toc373227693"/>
      <w:bookmarkStart w:id="684" w:name="_Toc373478340"/>
      <w:bookmarkStart w:id="685" w:name="_Toc467599554"/>
      <w:r>
        <w:rPr>
          <w:rFonts w:hint="eastAsia" w:ascii="宋体" w:hAnsi="宋体" w:eastAsia="宋体" w:cs="宋体"/>
          <w:color w:val="auto"/>
          <w:sz w:val="21"/>
          <w:szCs w:val="21"/>
        </w:rPr>
        <w:t>1.1 词语定义</w:t>
      </w:r>
      <w:bookmarkEnd w:id="682"/>
      <w:bookmarkEnd w:id="683"/>
      <w:bookmarkEnd w:id="684"/>
      <w:bookmarkEnd w:id="685"/>
    </w:p>
    <w:p w14:paraId="2D25AE07">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 合同</w:t>
      </w:r>
    </w:p>
    <w:p w14:paraId="5A031331">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1.1.1.10 其他合同文件包括：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8330F8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合同当事人及其他相关方</w:t>
      </w:r>
    </w:p>
    <w:p w14:paraId="4DD00362">
      <w:pPr>
        <w:adjustRightInd w:val="0"/>
        <w:snapToGrid w:val="0"/>
        <w:spacing w:line="360" w:lineRule="auto"/>
        <w:ind w:firstLine="420" w:firstLineChars="200"/>
        <w:outlineLvl w:val="0"/>
        <w:rPr>
          <w:rFonts w:hint="eastAsia" w:ascii="宋体" w:hAnsi="宋体" w:eastAsia="宋体" w:cs="宋体"/>
          <w:color w:val="auto"/>
          <w:sz w:val="21"/>
          <w:szCs w:val="21"/>
        </w:rPr>
      </w:pPr>
      <w:bookmarkStart w:id="686" w:name="_Toc18522"/>
      <w:bookmarkStart w:id="687" w:name="_Toc25624"/>
      <w:r>
        <w:rPr>
          <w:rFonts w:hint="eastAsia" w:ascii="宋体" w:hAnsi="宋体" w:eastAsia="宋体" w:cs="宋体"/>
          <w:color w:val="auto"/>
          <w:sz w:val="21"/>
          <w:szCs w:val="21"/>
        </w:rPr>
        <w:t>1.1.2.4 监理人：</w:t>
      </w:r>
      <w:bookmarkEnd w:id="686"/>
      <w:bookmarkEnd w:id="687"/>
    </w:p>
    <w:p w14:paraId="01F73C1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rPr>
        <w:t>；</w:t>
      </w:r>
    </w:p>
    <w:p w14:paraId="0D96C9E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rPr>
        <w:t>               </w:t>
      </w:r>
      <w:r>
        <w:rPr>
          <w:rFonts w:hint="eastAsia" w:ascii="宋体" w:hAnsi="宋体" w:eastAsia="宋体" w:cs="宋体"/>
          <w:color w:val="auto"/>
          <w:sz w:val="21"/>
          <w:szCs w:val="21"/>
        </w:rPr>
        <w:t>；</w:t>
      </w:r>
    </w:p>
    <w:p w14:paraId="168D360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4048112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1102855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50C9563D">
      <w:pPr>
        <w:adjustRightInd w:val="0"/>
        <w:snapToGrid w:val="0"/>
        <w:spacing w:line="360" w:lineRule="auto"/>
        <w:ind w:firstLine="420" w:firstLineChars="200"/>
        <w:outlineLvl w:val="0"/>
        <w:rPr>
          <w:rFonts w:hint="eastAsia" w:ascii="宋体" w:hAnsi="宋体" w:eastAsia="宋体" w:cs="宋体"/>
          <w:color w:val="auto"/>
          <w:sz w:val="21"/>
          <w:szCs w:val="21"/>
        </w:rPr>
      </w:pPr>
      <w:bookmarkStart w:id="688" w:name="_Toc6664"/>
      <w:bookmarkStart w:id="689" w:name="_Toc31271"/>
      <w:r>
        <w:rPr>
          <w:rFonts w:hint="eastAsia" w:ascii="宋体" w:hAnsi="宋体" w:eastAsia="宋体" w:cs="宋体"/>
          <w:color w:val="auto"/>
          <w:sz w:val="21"/>
          <w:szCs w:val="21"/>
        </w:rPr>
        <w:t>1.1.2.5 设计人：</w:t>
      </w:r>
      <w:bookmarkEnd w:id="688"/>
      <w:bookmarkEnd w:id="689"/>
    </w:p>
    <w:p w14:paraId="235D2F6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名    称：</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rPr>
        <w:t>；</w:t>
      </w:r>
    </w:p>
    <w:p w14:paraId="661D224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资质类别和等级：</w:t>
      </w:r>
      <w:r>
        <w:rPr>
          <w:rFonts w:hint="eastAsia" w:ascii="宋体" w:hAnsi="宋体" w:eastAsia="宋体" w:cs="宋体"/>
          <w:color w:val="auto"/>
          <w:sz w:val="21"/>
          <w:szCs w:val="21"/>
          <w:u w:val="single"/>
        </w:rPr>
        <w:t>               </w:t>
      </w:r>
      <w:r>
        <w:rPr>
          <w:rFonts w:hint="eastAsia" w:ascii="宋体" w:hAnsi="宋体" w:eastAsia="宋体" w:cs="宋体"/>
          <w:color w:val="auto"/>
          <w:sz w:val="21"/>
          <w:szCs w:val="21"/>
        </w:rPr>
        <w:t>；</w:t>
      </w:r>
    </w:p>
    <w:p w14:paraId="320E1E3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             </w:t>
      </w:r>
      <w:r>
        <w:rPr>
          <w:rFonts w:hint="eastAsia" w:ascii="宋体" w:hAnsi="宋体" w:eastAsia="宋体" w:cs="宋体"/>
          <w:color w:val="auto"/>
          <w:sz w:val="21"/>
          <w:szCs w:val="21"/>
        </w:rPr>
        <w:t>；</w:t>
      </w:r>
    </w:p>
    <w:p w14:paraId="45B85CB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rPr>
        <w:t>；</w:t>
      </w:r>
    </w:p>
    <w:p w14:paraId="1CA557B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1E47D35F">
      <w:pPr>
        <w:adjustRightInd w:val="0"/>
        <w:snapToGrid w:val="0"/>
        <w:spacing w:line="360" w:lineRule="auto"/>
        <w:ind w:firstLine="422" w:firstLineChars="200"/>
        <w:rPr>
          <w:rFonts w:hint="eastAsia" w:ascii="宋体" w:hAnsi="宋体" w:eastAsia="宋体" w:cs="宋体"/>
          <w:b/>
          <w:bCs/>
          <w:color w:val="auto"/>
          <w:sz w:val="21"/>
          <w:szCs w:val="21"/>
        </w:rPr>
      </w:pPr>
      <w:bookmarkStart w:id="690" w:name="_Toc467599556"/>
      <w:bookmarkStart w:id="691" w:name="_Toc373478342"/>
      <w:bookmarkStart w:id="692" w:name="_Toc373227695"/>
      <w:bookmarkStart w:id="693" w:name="_Toc389065261"/>
      <w:r>
        <w:rPr>
          <w:rFonts w:hint="eastAsia" w:ascii="宋体" w:hAnsi="宋体" w:eastAsia="宋体" w:cs="宋体"/>
          <w:b/>
          <w:bCs/>
          <w:color w:val="auto"/>
          <w:sz w:val="21"/>
          <w:szCs w:val="21"/>
        </w:rPr>
        <w:t>1.1.3 工程和设备</w:t>
      </w:r>
    </w:p>
    <w:p w14:paraId="3C745BD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1.1.3.7 作为施工现场组成部分的其他场所包括：</w:t>
      </w:r>
      <w:r>
        <w:rPr>
          <w:rFonts w:hint="eastAsia" w:ascii="宋体" w:hAnsi="宋体" w:eastAsia="宋体" w:cs="宋体"/>
          <w:color w:val="auto"/>
          <w:sz w:val="21"/>
          <w:szCs w:val="21"/>
          <w:u w:val="single"/>
        </w:rPr>
        <w:t xml:space="preserve"> 按通用条款执行 </w:t>
      </w:r>
      <w:r>
        <w:rPr>
          <w:rFonts w:hint="eastAsia" w:ascii="宋体" w:hAnsi="宋体" w:eastAsia="宋体" w:cs="宋体"/>
          <w:color w:val="auto"/>
          <w:sz w:val="21"/>
          <w:szCs w:val="21"/>
        </w:rPr>
        <w:t>。</w:t>
      </w:r>
    </w:p>
    <w:p w14:paraId="0D2E652C">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1.1.3.9 永久占地包括：</w:t>
      </w:r>
      <w:r>
        <w:rPr>
          <w:rFonts w:hint="eastAsia" w:ascii="宋体" w:hAnsi="宋体" w:eastAsia="宋体" w:cs="宋体"/>
          <w:color w:val="auto"/>
          <w:sz w:val="21"/>
          <w:szCs w:val="21"/>
          <w:u w:val="single"/>
        </w:rPr>
        <w:t xml:space="preserve"> 按合同约定建造并移交给发包人的工程（包括工程设备）所占用的土地</w:t>
      </w:r>
      <w:r>
        <w:rPr>
          <w:rFonts w:hint="eastAsia" w:ascii="宋体" w:hAnsi="宋体" w:eastAsia="宋体" w:cs="宋体"/>
          <w:color w:val="auto"/>
          <w:kern w:val="0"/>
          <w:sz w:val="21"/>
          <w:szCs w:val="21"/>
        </w:rPr>
        <w:t>。</w:t>
      </w:r>
    </w:p>
    <w:p w14:paraId="1C19507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1.1.3.10 临时占地包括：</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u w:val="single"/>
        </w:rPr>
        <w:t></w:t>
      </w:r>
      <w:r>
        <w:rPr>
          <w:rFonts w:hint="eastAsia" w:ascii="宋体" w:hAnsi="宋体" w:eastAsia="宋体" w:cs="宋体"/>
          <w:color w:val="auto"/>
          <w:kern w:val="0"/>
          <w:sz w:val="21"/>
          <w:szCs w:val="21"/>
        </w:rPr>
        <w:t>。</w:t>
      </w:r>
    </w:p>
    <w:p w14:paraId="03BCF7F0">
      <w:pPr>
        <w:adjustRightInd w:val="0"/>
        <w:snapToGrid w:val="0"/>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1.3法律 </w:t>
      </w:r>
    </w:p>
    <w:p w14:paraId="367E3D98">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rPr>
        <w:t>按通用合同条款</w:t>
      </w:r>
      <w:r>
        <w:rPr>
          <w:rFonts w:hint="eastAsia" w:ascii="宋体" w:hAnsi="宋体" w:eastAsia="宋体" w:cs="宋体"/>
          <w:color w:val="auto"/>
          <w:sz w:val="21"/>
          <w:szCs w:val="21"/>
        </w:rPr>
        <w:t>。</w:t>
      </w:r>
    </w:p>
    <w:p w14:paraId="75C73C28">
      <w:pPr>
        <w:pStyle w:val="7"/>
        <w:adjustRightInd w:val="0"/>
        <w:snapToGrid w:val="0"/>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 标准和规范</w:t>
      </w:r>
      <w:bookmarkEnd w:id="690"/>
      <w:bookmarkEnd w:id="691"/>
      <w:bookmarkEnd w:id="692"/>
      <w:bookmarkEnd w:id="693"/>
    </w:p>
    <w:p w14:paraId="7D5A902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1.4.1 适用于工程的标准规范包括：</w:t>
      </w:r>
      <w:r>
        <w:rPr>
          <w:rFonts w:hint="eastAsia" w:ascii="宋体" w:hAnsi="宋体" w:eastAsia="宋体" w:cs="宋体"/>
          <w:color w:val="auto"/>
          <w:sz w:val="21"/>
          <w:szCs w:val="21"/>
          <w:u w:val="single"/>
        </w:rPr>
        <w:t>除按通用条款外，承包人还必须遵守《</w:t>
      </w:r>
      <w:r>
        <w:rPr>
          <w:rFonts w:hint="eastAsia" w:ascii="宋体" w:hAnsi="宋体" w:cs="宋体"/>
          <w:color w:val="auto"/>
          <w:sz w:val="21"/>
          <w:szCs w:val="21"/>
          <w:u w:val="single"/>
          <w:lang w:val="en-US" w:eastAsia="zh-CN"/>
        </w:rPr>
        <w:t>中华人民共和国民法典</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eastAsia="zh-CN"/>
        </w:rPr>
        <w:t>中华人民共和国政府采购法</w:t>
      </w:r>
      <w:r>
        <w:rPr>
          <w:rFonts w:hint="eastAsia" w:ascii="宋体" w:hAnsi="宋体" w:eastAsia="宋体" w:cs="宋体"/>
          <w:color w:val="auto"/>
          <w:sz w:val="21"/>
          <w:szCs w:val="21"/>
          <w:u w:val="single"/>
        </w:rPr>
        <w:t>》、《建筑安装工程承包合同条例》以及现行国家部门和地方性的法律、法规</w:t>
      </w:r>
      <w:r>
        <w:rPr>
          <w:rFonts w:hint="eastAsia" w:ascii="宋体" w:hAnsi="宋体" w:eastAsia="宋体" w:cs="宋体"/>
          <w:color w:val="auto"/>
          <w:sz w:val="21"/>
          <w:szCs w:val="21"/>
        </w:rPr>
        <w:t>。</w:t>
      </w:r>
    </w:p>
    <w:p w14:paraId="00A27269">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1.4.2 发包人提供国外标准、规范的名称：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 xml:space="preserve">   </w:t>
      </w:r>
    </w:p>
    <w:p w14:paraId="7213C553">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发包人提供国外标准、规范的份数：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3A785B8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发包人提供国外标准、规范的名称：</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55F1607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1.4.3 发包人对工程的技术标准和功能要求的特殊要求：</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rPr>
        <w:t>。</w:t>
      </w:r>
    </w:p>
    <w:p w14:paraId="4648FACE">
      <w:pPr>
        <w:pStyle w:val="7"/>
        <w:adjustRightInd w:val="0"/>
        <w:snapToGrid w:val="0"/>
        <w:ind w:firstLine="422" w:firstLineChars="200"/>
        <w:rPr>
          <w:rFonts w:hint="eastAsia" w:ascii="宋体" w:hAnsi="宋体" w:eastAsia="宋体" w:cs="宋体"/>
          <w:color w:val="auto"/>
          <w:sz w:val="21"/>
          <w:szCs w:val="21"/>
        </w:rPr>
      </w:pPr>
      <w:bookmarkStart w:id="694" w:name="_Toc467599557"/>
      <w:bookmarkStart w:id="695" w:name="_Toc389065262"/>
      <w:bookmarkStart w:id="696" w:name="_Toc373478343"/>
      <w:bookmarkStart w:id="697" w:name="_Toc373227696"/>
      <w:r>
        <w:rPr>
          <w:rFonts w:hint="eastAsia" w:ascii="宋体" w:hAnsi="宋体" w:eastAsia="宋体" w:cs="宋体"/>
          <w:color w:val="auto"/>
          <w:sz w:val="21"/>
          <w:szCs w:val="21"/>
        </w:rPr>
        <w:t>1.5 合同文件的优先顺序</w:t>
      </w:r>
      <w:bookmarkEnd w:id="694"/>
      <w:bookmarkEnd w:id="695"/>
      <w:bookmarkEnd w:id="696"/>
      <w:bookmarkEnd w:id="697"/>
    </w:p>
    <w:p w14:paraId="797807A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合同文件组成及优先顺序为：</w:t>
      </w:r>
    </w:p>
    <w:p w14:paraId="76A0A231">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（1）合同协议书；</w:t>
      </w:r>
    </w:p>
    <w:p w14:paraId="3AD3630F">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（2）中标通知书（如有）；</w:t>
      </w:r>
    </w:p>
    <w:p w14:paraId="2BDC761F">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（3）投标函及其附录（如有）；</w:t>
      </w:r>
    </w:p>
    <w:p w14:paraId="7A958E5A">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（4）专用合同条款及其附件；</w:t>
      </w:r>
    </w:p>
    <w:p w14:paraId="4E6CA7EC">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（5）通用合同条款；</w:t>
      </w:r>
    </w:p>
    <w:p w14:paraId="18A456CA">
      <w:pPr>
        <w:adjustRightInd w:val="0"/>
        <w:snapToGrid w:val="0"/>
        <w:spacing w:line="360" w:lineRule="auto"/>
        <w:ind w:firstLine="420" w:firstLineChars="200"/>
        <w:rPr>
          <w:rFonts w:hint="eastAsia" w:ascii="宋体" w:hAnsi="宋体" w:eastAsia="宋体" w:cs="宋体"/>
          <w:color w:val="auto"/>
          <w:spacing w:val="1"/>
          <w:sz w:val="21"/>
          <w:szCs w:val="21"/>
        </w:rPr>
      </w:pPr>
      <w:r>
        <w:rPr>
          <w:rFonts w:hint="eastAsia" w:ascii="宋体" w:hAnsi="宋体" w:eastAsia="宋体" w:cs="宋体"/>
          <w:color w:val="auto"/>
          <w:sz w:val="21"/>
          <w:szCs w:val="21"/>
        </w:rPr>
        <w:t>（6</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技术标准和要求 ；</w:t>
      </w:r>
    </w:p>
    <w:p w14:paraId="1C7823F9">
      <w:pPr>
        <w:adjustRightInd w:val="0"/>
        <w:snapToGrid w:val="0"/>
        <w:spacing w:line="360" w:lineRule="auto"/>
        <w:ind w:firstLine="420" w:firstLineChars="200"/>
        <w:rPr>
          <w:rFonts w:hint="eastAsia" w:ascii="宋体" w:hAnsi="宋体" w:eastAsia="宋体" w:cs="宋体"/>
          <w:color w:val="auto"/>
          <w:spacing w:val="1"/>
          <w:sz w:val="21"/>
          <w:szCs w:val="21"/>
        </w:rPr>
      </w:pPr>
      <w:r>
        <w:rPr>
          <w:rFonts w:hint="eastAsia" w:ascii="宋体" w:hAnsi="宋体" w:eastAsia="宋体" w:cs="宋体"/>
          <w:color w:val="auto"/>
          <w:sz w:val="21"/>
          <w:szCs w:val="21"/>
        </w:rPr>
        <w:t>（7</w:t>
      </w:r>
      <w:r>
        <w:rPr>
          <w:rFonts w:hint="eastAsia" w:ascii="宋体" w:hAnsi="宋体" w:eastAsia="宋体" w:cs="宋体"/>
          <w:color w:val="auto"/>
          <w:spacing w:val="1"/>
          <w:sz w:val="21"/>
          <w:szCs w:val="21"/>
        </w:rPr>
        <w:t>）</w:t>
      </w:r>
      <w:r>
        <w:rPr>
          <w:rFonts w:hint="eastAsia" w:ascii="宋体" w:hAnsi="宋体" w:eastAsia="宋体" w:cs="宋体"/>
          <w:color w:val="auto"/>
          <w:kern w:val="0"/>
          <w:sz w:val="21"/>
          <w:szCs w:val="21"/>
        </w:rPr>
        <w:t>已标价工程量清单或预算书；</w:t>
      </w:r>
    </w:p>
    <w:p w14:paraId="36B95F40">
      <w:pPr>
        <w:adjustRightInd w:val="0"/>
        <w:snapToGrid w:val="0"/>
        <w:spacing w:line="360" w:lineRule="auto"/>
        <w:ind w:firstLine="420" w:firstLineChars="200"/>
        <w:rPr>
          <w:rFonts w:hint="eastAsia" w:ascii="宋体" w:hAnsi="宋体" w:eastAsia="宋体" w:cs="宋体"/>
          <w:color w:val="auto"/>
          <w:spacing w:val="1"/>
          <w:sz w:val="21"/>
          <w:szCs w:val="21"/>
        </w:rPr>
      </w:pPr>
      <w:r>
        <w:rPr>
          <w:rFonts w:hint="eastAsia" w:ascii="宋体" w:hAnsi="宋体" w:eastAsia="宋体" w:cs="宋体"/>
          <w:color w:val="auto"/>
          <w:sz w:val="21"/>
          <w:szCs w:val="21"/>
        </w:rPr>
        <w:t>（8</w:t>
      </w:r>
      <w:r>
        <w:rPr>
          <w:rFonts w:hint="eastAsia" w:ascii="宋体" w:hAnsi="宋体" w:eastAsia="宋体" w:cs="宋体"/>
          <w:color w:val="auto"/>
          <w:spacing w:val="1"/>
          <w:sz w:val="21"/>
          <w:szCs w:val="21"/>
        </w:rPr>
        <w:t>）</w:t>
      </w:r>
      <w:r>
        <w:rPr>
          <w:rFonts w:hint="eastAsia" w:ascii="宋体" w:hAnsi="宋体" w:eastAsia="宋体" w:cs="宋体"/>
          <w:color w:val="auto"/>
          <w:sz w:val="21"/>
          <w:szCs w:val="21"/>
        </w:rPr>
        <w:t>图纸；</w:t>
      </w:r>
    </w:p>
    <w:p w14:paraId="6A9F65D7">
      <w:pPr>
        <w:adjustRightInd w:val="0"/>
        <w:snapToGrid w:val="0"/>
        <w:spacing w:line="360" w:lineRule="auto"/>
        <w:ind w:firstLine="408" w:firstLineChars="200"/>
        <w:rPr>
          <w:rFonts w:hint="eastAsia" w:ascii="宋体" w:hAnsi="宋体" w:eastAsia="宋体" w:cs="宋体"/>
          <w:color w:val="auto"/>
          <w:spacing w:val="-3"/>
          <w:kern w:val="0"/>
          <w:sz w:val="21"/>
          <w:szCs w:val="21"/>
        </w:rPr>
      </w:pPr>
      <w:r>
        <w:rPr>
          <w:rFonts w:hint="eastAsia" w:ascii="宋体" w:hAnsi="宋体" w:eastAsia="宋体" w:cs="宋体"/>
          <w:color w:val="auto"/>
          <w:spacing w:val="-3"/>
          <w:kern w:val="0"/>
          <w:sz w:val="21"/>
          <w:szCs w:val="21"/>
        </w:rPr>
        <w:t>（</w:t>
      </w:r>
      <w:r>
        <w:rPr>
          <w:rFonts w:hint="eastAsia" w:ascii="宋体" w:hAnsi="宋体" w:eastAsia="宋体" w:cs="宋体"/>
          <w:color w:val="auto"/>
          <w:sz w:val="21"/>
          <w:szCs w:val="21"/>
        </w:rPr>
        <w:t>9</w:t>
      </w:r>
      <w:r>
        <w:rPr>
          <w:rFonts w:hint="eastAsia" w:ascii="宋体" w:hAnsi="宋体" w:eastAsia="宋体" w:cs="宋体"/>
          <w:color w:val="auto"/>
          <w:spacing w:val="-3"/>
          <w:kern w:val="0"/>
          <w:sz w:val="21"/>
          <w:szCs w:val="21"/>
        </w:rPr>
        <w:t>）</w:t>
      </w:r>
      <w:r>
        <w:rPr>
          <w:rFonts w:hint="eastAsia" w:ascii="宋体" w:hAnsi="宋体" w:eastAsia="宋体" w:cs="宋体"/>
          <w:color w:val="auto"/>
          <w:sz w:val="21"/>
          <w:szCs w:val="21"/>
        </w:rPr>
        <w:t>其他合同文件。</w:t>
      </w:r>
    </w:p>
    <w:p w14:paraId="2F41CBAE">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14:paraId="78BF7735">
      <w:pPr>
        <w:pStyle w:val="7"/>
        <w:adjustRightInd w:val="0"/>
        <w:snapToGrid w:val="0"/>
        <w:ind w:firstLine="422" w:firstLineChars="200"/>
        <w:rPr>
          <w:rFonts w:hint="eastAsia" w:ascii="宋体" w:hAnsi="宋体" w:eastAsia="宋体" w:cs="宋体"/>
          <w:color w:val="auto"/>
          <w:sz w:val="21"/>
          <w:szCs w:val="21"/>
        </w:rPr>
      </w:pPr>
      <w:bookmarkStart w:id="698" w:name="_Toc389065263"/>
      <w:bookmarkStart w:id="699" w:name="_Toc373478344"/>
      <w:bookmarkStart w:id="700" w:name="_Toc373227697"/>
      <w:bookmarkStart w:id="701" w:name="_Toc467599558"/>
      <w:r>
        <w:rPr>
          <w:rFonts w:hint="eastAsia" w:ascii="宋体" w:hAnsi="宋体" w:eastAsia="宋体" w:cs="宋体"/>
          <w:color w:val="auto"/>
          <w:sz w:val="21"/>
          <w:szCs w:val="21"/>
        </w:rPr>
        <w:t>1.6 图纸和承包人文件</w:t>
      </w:r>
      <w:bookmarkEnd w:id="698"/>
      <w:bookmarkEnd w:id="699"/>
      <w:bookmarkEnd w:id="700"/>
      <w:bookmarkEnd w:id="701"/>
      <w:r>
        <w:rPr>
          <w:rFonts w:hint="eastAsia" w:ascii="宋体" w:hAnsi="宋体" w:eastAsia="宋体" w:cs="宋体"/>
          <w:color w:val="auto"/>
          <w:sz w:val="21"/>
          <w:szCs w:val="21"/>
        </w:rPr>
        <w:tab/>
      </w:r>
    </w:p>
    <w:p w14:paraId="153B364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图纸的提供</w:t>
      </w:r>
    </w:p>
    <w:p w14:paraId="31C0F22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color w:val="auto"/>
          <w:sz w:val="21"/>
          <w:szCs w:val="21"/>
          <w:u w:val="single"/>
        </w:rPr>
        <w:t>合同生效之日起  日内</w:t>
      </w:r>
      <w:r>
        <w:rPr>
          <w:rFonts w:hint="eastAsia" w:ascii="宋体" w:hAnsi="宋体" w:eastAsia="宋体" w:cs="宋体"/>
          <w:color w:val="auto"/>
          <w:sz w:val="21"/>
          <w:szCs w:val="21"/>
        </w:rPr>
        <w:t>；</w:t>
      </w:r>
    </w:p>
    <w:p w14:paraId="3287DF0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color w:val="auto"/>
          <w:sz w:val="21"/>
          <w:szCs w:val="21"/>
          <w:u w:val="single"/>
        </w:rPr>
        <w:t> 套，承包人需要增加图纸套数的，发包人应代为复制，复制费用由承包人承担</w:t>
      </w:r>
      <w:r>
        <w:rPr>
          <w:rFonts w:hint="eastAsia" w:ascii="宋体" w:hAnsi="宋体" w:eastAsia="宋体" w:cs="宋体"/>
          <w:color w:val="auto"/>
          <w:sz w:val="21"/>
          <w:szCs w:val="21"/>
        </w:rPr>
        <w:t>；</w:t>
      </w:r>
    </w:p>
    <w:p w14:paraId="6714BEE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发包人向承包人提供图纸的内容：</w:t>
      </w:r>
      <w:r>
        <w:rPr>
          <w:rFonts w:hint="eastAsia" w:ascii="宋体" w:hAnsi="宋体" w:eastAsia="宋体" w:cs="宋体"/>
          <w:color w:val="auto"/>
          <w:sz w:val="21"/>
          <w:szCs w:val="21"/>
          <w:u w:val="single"/>
        </w:rPr>
        <w:t>经审图单位盖章认定的全套施工图纸</w:t>
      </w:r>
      <w:r>
        <w:rPr>
          <w:rFonts w:hint="eastAsia" w:ascii="宋体" w:hAnsi="宋体" w:eastAsia="宋体" w:cs="宋体"/>
          <w:color w:val="auto"/>
          <w:sz w:val="21"/>
          <w:szCs w:val="21"/>
        </w:rPr>
        <w:t>。</w:t>
      </w:r>
    </w:p>
    <w:p w14:paraId="2125D7A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 承包人文件</w:t>
      </w:r>
    </w:p>
    <w:p w14:paraId="6E76AA89">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rPr>
        <w:t>施工合同、施工组织设计（施工方案）和进度计划时间</w:t>
      </w:r>
      <w:r>
        <w:rPr>
          <w:rFonts w:hint="eastAsia" w:ascii="宋体" w:hAnsi="宋体" w:eastAsia="宋体" w:cs="宋体"/>
          <w:color w:val="auto"/>
          <w:sz w:val="21"/>
          <w:szCs w:val="21"/>
        </w:rPr>
        <w:t>；</w:t>
      </w:r>
    </w:p>
    <w:p w14:paraId="7F71C58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color w:val="auto"/>
          <w:sz w:val="21"/>
          <w:szCs w:val="21"/>
          <w:u w:val="single"/>
        </w:rPr>
        <w:t>本合同签订之日起   日内</w:t>
      </w:r>
      <w:r>
        <w:rPr>
          <w:rFonts w:hint="eastAsia" w:ascii="宋体" w:hAnsi="宋体" w:eastAsia="宋体" w:cs="宋体"/>
          <w:color w:val="auto"/>
          <w:sz w:val="21"/>
          <w:szCs w:val="21"/>
        </w:rPr>
        <w:t>；</w:t>
      </w:r>
    </w:p>
    <w:p w14:paraId="69EACB1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rPr>
        <w:t>      套</w:t>
      </w:r>
      <w:r>
        <w:rPr>
          <w:rFonts w:hint="eastAsia" w:ascii="宋体" w:hAnsi="宋体" w:eastAsia="宋体" w:cs="宋体"/>
          <w:color w:val="auto"/>
          <w:sz w:val="21"/>
          <w:szCs w:val="21"/>
        </w:rPr>
        <w:t>；</w:t>
      </w:r>
    </w:p>
    <w:p w14:paraId="688A575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rPr>
        <w:t>书面形式</w:t>
      </w:r>
      <w:r>
        <w:rPr>
          <w:rFonts w:hint="eastAsia" w:ascii="宋体" w:hAnsi="宋体" w:eastAsia="宋体" w:cs="宋体"/>
          <w:color w:val="auto"/>
          <w:sz w:val="21"/>
          <w:szCs w:val="21"/>
        </w:rPr>
        <w:t>；</w:t>
      </w:r>
    </w:p>
    <w:p w14:paraId="42F2FE2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rPr>
        <w:t>收到承包人提交的文件之日起   日内</w:t>
      </w:r>
      <w:r>
        <w:rPr>
          <w:rFonts w:hint="eastAsia" w:ascii="宋体" w:hAnsi="宋体" w:eastAsia="宋体" w:cs="宋体"/>
          <w:color w:val="auto"/>
          <w:sz w:val="21"/>
          <w:szCs w:val="21"/>
        </w:rPr>
        <w:t>。</w:t>
      </w:r>
    </w:p>
    <w:p w14:paraId="120B590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现场图纸准备</w:t>
      </w:r>
    </w:p>
    <w:p w14:paraId="39907B0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关于现场图纸准备的约定：</w:t>
      </w:r>
      <w:r>
        <w:rPr>
          <w:rFonts w:hint="eastAsia" w:ascii="宋体" w:hAnsi="宋体" w:eastAsia="宋体" w:cs="宋体"/>
          <w:color w:val="auto"/>
          <w:sz w:val="21"/>
          <w:szCs w:val="21"/>
          <w:u w:val="single"/>
        </w:rPr>
        <w:t>承包人在施工现场另外保存一套完整的图纸和承包人文件，供发包人、监理人及有关人员进行工程检查时使用</w:t>
      </w:r>
      <w:r>
        <w:rPr>
          <w:rFonts w:hint="eastAsia" w:ascii="宋体" w:hAnsi="宋体" w:eastAsia="宋体" w:cs="宋体"/>
          <w:color w:val="auto"/>
          <w:sz w:val="21"/>
          <w:szCs w:val="21"/>
        </w:rPr>
        <w:t>。</w:t>
      </w:r>
    </w:p>
    <w:p w14:paraId="017A0856">
      <w:pPr>
        <w:pStyle w:val="7"/>
        <w:adjustRightInd w:val="0"/>
        <w:snapToGrid w:val="0"/>
        <w:ind w:firstLine="422" w:firstLineChars="200"/>
        <w:rPr>
          <w:rFonts w:hint="eastAsia" w:ascii="宋体" w:hAnsi="宋体" w:eastAsia="宋体" w:cs="宋体"/>
          <w:color w:val="auto"/>
          <w:sz w:val="21"/>
          <w:szCs w:val="21"/>
        </w:rPr>
      </w:pPr>
      <w:bookmarkStart w:id="702" w:name="_Toc373478345"/>
      <w:bookmarkStart w:id="703" w:name="_Toc467599559"/>
      <w:bookmarkStart w:id="704" w:name="_Toc373227698"/>
      <w:bookmarkStart w:id="705" w:name="_Toc389065264"/>
      <w:r>
        <w:rPr>
          <w:rFonts w:hint="eastAsia" w:ascii="宋体" w:hAnsi="宋体" w:eastAsia="宋体" w:cs="宋体"/>
          <w:color w:val="auto"/>
          <w:sz w:val="21"/>
          <w:szCs w:val="21"/>
        </w:rPr>
        <w:t>1.7 联络</w:t>
      </w:r>
      <w:bookmarkEnd w:id="702"/>
      <w:bookmarkEnd w:id="703"/>
      <w:bookmarkEnd w:id="704"/>
      <w:bookmarkEnd w:id="705"/>
    </w:p>
    <w:p w14:paraId="10C9FBB2">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1.7.1发包人和承包人应当在</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天内将与合同有关的通知、批准、证明、证书、指示、指令、要求、请求、同意、意见、确定和决定等书面函件送达对方当事人。</w:t>
      </w:r>
    </w:p>
    <w:p w14:paraId="5A369882">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1.7.2 发包人接收文件的地点：</w:t>
      </w:r>
      <w:r>
        <w:rPr>
          <w:rFonts w:hint="eastAsia" w:ascii="宋体" w:hAnsi="宋体" w:eastAsia="宋体" w:cs="宋体"/>
          <w:color w:val="auto"/>
          <w:sz w:val="21"/>
          <w:szCs w:val="21"/>
          <w:u w:val="single"/>
        </w:rPr>
        <w:t>现场代表办公室</w:t>
      </w:r>
      <w:r>
        <w:rPr>
          <w:rFonts w:hint="eastAsia" w:ascii="宋体" w:hAnsi="宋体" w:eastAsia="宋体" w:cs="宋体"/>
          <w:color w:val="auto"/>
          <w:kern w:val="0"/>
          <w:sz w:val="21"/>
          <w:szCs w:val="21"/>
        </w:rPr>
        <w:t>；</w:t>
      </w:r>
    </w:p>
    <w:p w14:paraId="27300911">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发包人指定的接收人为：</w:t>
      </w:r>
      <w:r>
        <w:rPr>
          <w:rFonts w:hint="eastAsia" w:ascii="宋体" w:hAnsi="宋体" w:eastAsia="宋体" w:cs="宋体"/>
          <w:color w:val="auto"/>
          <w:sz w:val="21"/>
          <w:szCs w:val="21"/>
          <w:u w:val="single"/>
        </w:rPr>
        <w:t>现场代表人</w:t>
      </w:r>
      <w:r>
        <w:rPr>
          <w:rFonts w:hint="eastAsia" w:ascii="宋体" w:hAnsi="宋体" w:eastAsia="宋体" w:cs="宋体"/>
          <w:color w:val="auto"/>
          <w:kern w:val="0"/>
          <w:sz w:val="21"/>
          <w:szCs w:val="21"/>
        </w:rPr>
        <w:t>。</w:t>
      </w:r>
    </w:p>
    <w:p w14:paraId="358D07CC">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承包人接收文件的地点：</w:t>
      </w:r>
      <w:r>
        <w:rPr>
          <w:rFonts w:hint="eastAsia" w:ascii="宋体" w:hAnsi="宋体" w:eastAsia="宋体" w:cs="宋体"/>
          <w:color w:val="auto"/>
          <w:sz w:val="21"/>
          <w:szCs w:val="21"/>
          <w:u w:val="single"/>
        </w:rPr>
        <w:t>项目经理办公室</w:t>
      </w:r>
      <w:r>
        <w:rPr>
          <w:rFonts w:hint="eastAsia" w:ascii="宋体" w:hAnsi="宋体" w:eastAsia="宋体" w:cs="宋体"/>
          <w:color w:val="auto"/>
          <w:kern w:val="0"/>
          <w:sz w:val="21"/>
          <w:szCs w:val="21"/>
        </w:rPr>
        <w:t>；</w:t>
      </w:r>
    </w:p>
    <w:p w14:paraId="41DA00AE">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承包人指定的接收人为：</w:t>
      </w:r>
      <w:r>
        <w:rPr>
          <w:rFonts w:hint="eastAsia" w:ascii="宋体" w:hAnsi="宋体" w:eastAsia="宋体" w:cs="宋体"/>
          <w:color w:val="auto"/>
          <w:sz w:val="21"/>
          <w:szCs w:val="21"/>
          <w:u w:val="single"/>
        </w:rPr>
        <w:t>现场项目经理</w:t>
      </w:r>
      <w:r>
        <w:rPr>
          <w:rFonts w:hint="eastAsia" w:ascii="宋体" w:hAnsi="宋体" w:eastAsia="宋体" w:cs="宋体"/>
          <w:color w:val="auto"/>
          <w:kern w:val="0"/>
          <w:sz w:val="21"/>
          <w:szCs w:val="21"/>
        </w:rPr>
        <w:t>。</w:t>
      </w:r>
    </w:p>
    <w:p w14:paraId="66540415">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监理人接收文件的地点：</w:t>
      </w:r>
      <w:r>
        <w:rPr>
          <w:rFonts w:hint="eastAsia" w:ascii="宋体" w:hAnsi="宋体" w:eastAsia="宋体" w:cs="宋体"/>
          <w:color w:val="auto"/>
          <w:sz w:val="21"/>
          <w:szCs w:val="21"/>
          <w:u w:val="single"/>
        </w:rPr>
        <w:t>项目监理办公室</w:t>
      </w:r>
      <w:r>
        <w:rPr>
          <w:rFonts w:hint="eastAsia" w:ascii="宋体" w:hAnsi="宋体" w:eastAsia="宋体" w:cs="宋体"/>
          <w:color w:val="auto"/>
          <w:kern w:val="0"/>
          <w:sz w:val="21"/>
          <w:szCs w:val="21"/>
        </w:rPr>
        <w:t>；</w:t>
      </w:r>
    </w:p>
    <w:p w14:paraId="0D90C5C9">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监理人指定的接收人为：</w:t>
      </w:r>
      <w:r>
        <w:rPr>
          <w:rFonts w:hint="eastAsia" w:ascii="宋体" w:hAnsi="宋体" w:eastAsia="宋体" w:cs="宋体"/>
          <w:color w:val="auto"/>
          <w:sz w:val="21"/>
          <w:szCs w:val="21"/>
          <w:u w:val="single"/>
        </w:rPr>
        <w:t>现场监理工程师</w:t>
      </w:r>
      <w:r>
        <w:rPr>
          <w:rFonts w:hint="eastAsia" w:ascii="宋体" w:hAnsi="宋体" w:eastAsia="宋体" w:cs="宋体"/>
          <w:color w:val="auto"/>
          <w:kern w:val="0"/>
          <w:sz w:val="21"/>
          <w:szCs w:val="21"/>
        </w:rPr>
        <w:t>。</w:t>
      </w:r>
    </w:p>
    <w:p w14:paraId="5CF19233">
      <w:pPr>
        <w:pStyle w:val="7"/>
        <w:adjustRightInd w:val="0"/>
        <w:snapToGrid w:val="0"/>
        <w:ind w:firstLine="422" w:firstLineChars="200"/>
        <w:rPr>
          <w:rFonts w:hint="eastAsia" w:ascii="宋体" w:hAnsi="宋体" w:eastAsia="宋体" w:cs="宋体"/>
          <w:color w:val="auto"/>
          <w:sz w:val="21"/>
          <w:szCs w:val="21"/>
        </w:rPr>
      </w:pPr>
      <w:bookmarkStart w:id="706" w:name="_Toc373478346"/>
      <w:bookmarkStart w:id="707" w:name="_Toc389065265"/>
      <w:bookmarkStart w:id="708" w:name="_Toc373227699"/>
      <w:bookmarkStart w:id="709" w:name="_Toc467599560"/>
      <w:r>
        <w:rPr>
          <w:rFonts w:hint="eastAsia" w:ascii="宋体" w:hAnsi="宋体" w:eastAsia="宋体" w:cs="宋体"/>
          <w:color w:val="auto"/>
          <w:sz w:val="21"/>
          <w:szCs w:val="21"/>
        </w:rPr>
        <w:t>1.10 交通运输</w:t>
      </w:r>
      <w:bookmarkEnd w:id="706"/>
      <w:bookmarkEnd w:id="707"/>
      <w:bookmarkEnd w:id="708"/>
      <w:bookmarkEnd w:id="709"/>
    </w:p>
    <w:p w14:paraId="2764FAE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710" w:name="_Toc312677986"/>
      <w:bookmarkStart w:id="711" w:name="_Toc300934943"/>
      <w:bookmarkStart w:id="712" w:name="_Toc303539100"/>
      <w:bookmarkStart w:id="713" w:name="_Toc304295521"/>
      <w:bookmarkStart w:id="714" w:name="_Toc318581155"/>
      <w:r>
        <w:rPr>
          <w:rFonts w:hint="eastAsia" w:ascii="宋体" w:hAnsi="宋体" w:eastAsia="宋体" w:cs="宋体"/>
          <w:color w:val="auto"/>
          <w:sz w:val="21"/>
          <w:szCs w:val="21"/>
        </w:rPr>
        <w:t>.10.1 出入现场的权利</w:t>
      </w:r>
    </w:p>
    <w:p w14:paraId="231644DC">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rPr>
        <w:t>按通用条款1.10.1执行</w:t>
      </w:r>
      <w:r>
        <w:rPr>
          <w:rFonts w:hint="eastAsia" w:ascii="宋体" w:hAnsi="宋体" w:eastAsia="宋体" w:cs="宋体"/>
          <w:color w:val="auto"/>
          <w:sz w:val="21"/>
          <w:szCs w:val="21"/>
        </w:rPr>
        <w:t>。</w:t>
      </w:r>
    </w:p>
    <w:bookmarkEnd w:id="710"/>
    <w:bookmarkEnd w:id="711"/>
    <w:bookmarkEnd w:id="712"/>
    <w:bookmarkEnd w:id="713"/>
    <w:bookmarkEnd w:id="714"/>
    <w:p w14:paraId="734DEDA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715" w:name="_Toc312677987"/>
      <w:bookmarkStart w:id="716" w:name="_Toc300934944"/>
      <w:bookmarkStart w:id="717" w:name="_Toc318581156"/>
      <w:bookmarkStart w:id="718" w:name="_Toc303539101"/>
      <w:bookmarkStart w:id="719" w:name="_Toc304295522"/>
      <w:r>
        <w:rPr>
          <w:rFonts w:hint="eastAsia" w:ascii="宋体" w:hAnsi="宋体" w:eastAsia="宋体" w:cs="宋体"/>
          <w:color w:val="auto"/>
          <w:sz w:val="21"/>
          <w:szCs w:val="21"/>
        </w:rPr>
        <w:t>.10.3 场内交通</w:t>
      </w:r>
    </w:p>
    <w:p w14:paraId="7FFDC895">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关于场外交通和场内交通的边界的约定：</w:t>
      </w:r>
      <w:r>
        <w:rPr>
          <w:rFonts w:hint="eastAsia" w:ascii="宋体" w:hAnsi="宋体" w:eastAsia="宋体" w:cs="宋体"/>
          <w:color w:val="auto"/>
          <w:sz w:val="21"/>
          <w:szCs w:val="21"/>
          <w:u w:val="single"/>
        </w:rPr>
        <w:t>本项目约定工程所在地块红线范围内为场内</w:t>
      </w:r>
      <w:r>
        <w:rPr>
          <w:rFonts w:hint="eastAsia" w:ascii="宋体" w:hAnsi="宋体" w:eastAsia="宋体" w:cs="宋体"/>
          <w:color w:val="auto"/>
          <w:sz w:val="21"/>
          <w:szCs w:val="21"/>
        </w:rPr>
        <w:t>。</w:t>
      </w:r>
    </w:p>
    <w:p w14:paraId="2119752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w:t>
      </w:r>
      <w:bookmarkEnd w:id="715"/>
      <w:bookmarkEnd w:id="716"/>
      <w:bookmarkEnd w:id="717"/>
      <w:bookmarkEnd w:id="718"/>
      <w:bookmarkEnd w:id="719"/>
      <w:bookmarkStart w:id="720" w:name="_Toc318581157"/>
    </w:p>
    <w:p w14:paraId="0D88F0D3">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1.10.4 超大件和超重件的运输</w:t>
      </w:r>
    </w:p>
    <w:p w14:paraId="2C5E4362">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sz w:val="21"/>
          <w:szCs w:val="21"/>
        </w:rPr>
        <w:t>承担。</w:t>
      </w:r>
    </w:p>
    <w:bookmarkEnd w:id="720"/>
    <w:p w14:paraId="1DA0AAF1">
      <w:pPr>
        <w:pStyle w:val="7"/>
        <w:adjustRightInd w:val="0"/>
        <w:snapToGrid w:val="0"/>
        <w:ind w:firstLine="422" w:firstLineChars="200"/>
        <w:rPr>
          <w:rFonts w:hint="eastAsia" w:ascii="宋体" w:hAnsi="宋体" w:eastAsia="宋体" w:cs="宋体"/>
          <w:color w:val="auto"/>
          <w:sz w:val="21"/>
          <w:szCs w:val="21"/>
        </w:rPr>
      </w:pPr>
      <w:bookmarkStart w:id="721" w:name="_Toc373478347"/>
      <w:bookmarkStart w:id="722" w:name="_Toc467599561"/>
      <w:bookmarkStart w:id="723" w:name="_Toc389065266"/>
      <w:bookmarkStart w:id="724" w:name="_Toc373227700"/>
      <w:r>
        <w:rPr>
          <w:rFonts w:hint="eastAsia" w:ascii="宋体" w:hAnsi="宋体" w:eastAsia="宋体" w:cs="宋体"/>
          <w:color w:val="auto"/>
          <w:sz w:val="21"/>
          <w:szCs w:val="21"/>
        </w:rPr>
        <w:t>1.11 知识产权</w:t>
      </w:r>
      <w:bookmarkEnd w:id="721"/>
      <w:bookmarkEnd w:id="722"/>
      <w:bookmarkEnd w:id="723"/>
      <w:bookmarkEnd w:id="724"/>
    </w:p>
    <w:p w14:paraId="344CCBD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发包人</w:t>
      </w:r>
      <w:r>
        <w:rPr>
          <w:rFonts w:hint="eastAsia" w:ascii="宋体" w:hAnsi="宋体" w:eastAsia="宋体" w:cs="宋体"/>
          <w:color w:val="auto"/>
          <w:sz w:val="21"/>
          <w:szCs w:val="21"/>
        </w:rPr>
        <w:t>。</w:t>
      </w:r>
    </w:p>
    <w:p w14:paraId="5946D3C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 xml:space="preserve">承包人可以为实现合同目的而复制、使用此类文件，但不能用于与本合同无关的其他事项，未经发包人书面同意，承包人不得为了本合同以外的目的而复制、使用上述文件或将之提供给任何第三方。   </w:t>
      </w:r>
    </w:p>
    <w:p w14:paraId="283C43D2">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 xml:space="preserve">除署名以外属于发包人。 </w:t>
      </w:r>
    </w:p>
    <w:p w14:paraId="1B463839">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 xml:space="preserve">未经发包人书面同意，承包人不能为了合同以外的目的而复制、使用上述文件或将之提供给任何第三方。   </w:t>
      </w:r>
    </w:p>
    <w:p w14:paraId="5136E0A9">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 xml:space="preserve">由承包人承担 </w:t>
      </w:r>
      <w:r>
        <w:rPr>
          <w:rFonts w:hint="eastAsia" w:ascii="宋体" w:hAnsi="宋体" w:eastAsia="宋体" w:cs="宋体"/>
          <w:color w:val="auto"/>
          <w:kern w:val="0"/>
          <w:sz w:val="21"/>
          <w:szCs w:val="21"/>
        </w:rPr>
        <w:t>。</w:t>
      </w:r>
    </w:p>
    <w:p w14:paraId="71DBF85C">
      <w:pPr>
        <w:pStyle w:val="7"/>
        <w:adjustRightInd w:val="0"/>
        <w:snapToGrid w:val="0"/>
        <w:ind w:firstLine="422" w:firstLineChars="200"/>
        <w:rPr>
          <w:rFonts w:hint="eastAsia" w:ascii="宋体" w:hAnsi="宋体" w:eastAsia="宋体" w:cs="宋体"/>
          <w:color w:val="auto"/>
          <w:sz w:val="21"/>
          <w:szCs w:val="21"/>
        </w:rPr>
      </w:pPr>
      <w:bookmarkStart w:id="725" w:name="_Toc373227701"/>
      <w:bookmarkStart w:id="726" w:name="_Toc467599562"/>
      <w:bookmarkStart w:id="727" w:name="_Toc373478348"/>
      <w:bookmarkStart w:id="728" w:name="_Toc389065267"/>
      <w:r>
        <w:rPr>
          <w:rFonts w:hint="eastAsia" w:ascii="宋体" w:hAnsi="宋体" w:eastAsia="宋体" w:cs="宋体"/>
          <w:color w:val="auto"/>
          <w:sz w:val="21"/>
          <w:szCs w:val="21"/>
        </w:rPr>
        <w:t>1.13工程量清单错误的修正</w:t>
      </w:r>
      <w:bookmarkEnd w:id="725"/>
      <w:bookmarkEnd w:id="726"/>
      <w:bookmarkEnd w:id="727"/>
      <w:bookmarkEnd w:id="728"/>
    </w:p>
    <w:p w14:paraId="3249826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出现工程量清单工程量偏差时，是否调整合同价格：</w:t>
      </w:r>
      <w:r>
        <w:rPr>
          <w:rFonts w:hint="eastAsia" w:ascii="宋体" w:hAnsi="宋体" w:eastAsia="宋体" w:cs="宋体"/>
          <w:color w:val="auto"/>
          <w:sz w:val="21"/>
          <w:szCs w:val="21"/>
          <w:u w:val="single"/>
        </w:rPr>
        <w:t xml:space="preserve"> 是 </w:t>
      </w:r>
      <w:r>
        <w:rPr>
          <w:rFonts w:hint="eastAsia" w:ascii="宋体" w:hAnsi="宋体" w:eastAsia="宋体" w:cs="宋体"/>
          <w:color w:val="auto"/>
          <w:kern w:val="0"/>
          <w:sz w:val="21"/>
          <w:szCs w:val="21"/>
        </w:rPr>
        <w:t>。</w:t>
      </w:r>
    </w:p>
    <w:p w14:paraId="1C8812D5">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允许调整合同价格的工程量偏差范围及其调整办法：</w:t>
      </w:r>
      <w:r>
        <w:rPr>
          <w:rFonts w:hint="eastAsia" w:ascii="宋体" w:hAnsi="宋体" w:eastAsia="宋体" w:cs="宋体"/>
          <w:color w:val="auto"/>
          <w:sz w:val="21"/>
          <w:szCs w:val="21"/>
          <w:u w:val="single"/>
        </w:rPr>
        <w:t xml:space="preserve">当工程量存在偏差时，由承包人提出，经监理人、发包人共同核实确认后，按实际工程量进行结算。 </w:t>
      </w:r>
    </w:p>
    <w:p w14:paraId="1DAEC0B1">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729" w:name="_Toc373478349"/>
      <w:bookmarkStart w:id="730" w:name="_Toc373227702"/>
      <w:bookmarkStart w:id="731" w:name="_Toc467599563"/>
      <w:bookmarkStart w:id="732" w:name="_Toc351203634"/>
      <w:bookmarkStart w:id="733" w:name="_Toc15590_WPSOffice_Level3"/>
      <w:bookmarkStart w:id="734" w:name="_Toc389065268"/>
      <w:r>
        <w:rPr>
          <w:rFonts w:hint="eastAsia" w:ascii="宋体" w:hAnsi="宋体" w:eastAsia="宋体" w:cs="宋体"/>
          <w:color w:val="auto"/>
          <w:sz w:val="21"/>
          <w:szCs w:val="21"/>
        </w:rPr>
        <w:t>2</w:t>
      </w:r>
      <w:bookmarkStart w:id="735" w:name="_Toc292559867"/>
      <w:bookmarkStart w:id="736" w:name="_Toc296346658"/>
      <w:bookmarkStart w:id="737" w:name="_Toc296891197"/>
      <w:bookmarkStart w:id="738" w:name="_Toc292559362"/>
      <w:bookmarkStart w:id="739" w:name="_Toc296503157"/>
      <w:bookmarkStart w:id="740" w:name="_Toc296890985"/>
      <w:bookmarkStart w:id="741" w:name="_Toc297120457"/>
      <w:bookmarkStart w:id="742" w:name="_Toc297048343"/>
      <w:bookmarkStart w:id="743" w:name="_Toc296944496"/>
      <w:bookmarkStart w:id="744" w:name="_Toc296347156"/>
      <w:r>
        <w:rPr>
          <w:rFonts w:hint="eastAsia" w:ascii="宋体" w:hAnsi="宋体" w:eastAsia="宋体" w:cs="宋体"/>
          <w:color w:val="auto"/>
          <w:sz w:val="21"/>
          <w:szCs w:val="21"/>
        </w:rPr>
        <w:t>. 发包人</w:t>
      </w:r>
      <w:bookmarkEnd w:id="729"/>
      <w:bookmarkEnd w:id="730"/>
      <w:bookmarkEnd w:id="731"/>
      <w:bookmarkEnd w:id="732"/>
      <w:bookmarkEnd w:id="733"/>
      <w:bookmarkEnd w:id="734"/>
    </w:p>
    <w:bookmarkEnd w:id="735"/>
    <w:bookmarkEnd w:id="736"/>
    <w:bookmarkEnd w:id="737"/>
    <w:bookmarkEnd w:id="738"/>
    <w:bookmarkEnd w:id="739"/>
    <w:bookmarkEnd w:id="740"/>
    <w:bookmarkEnd w:id="741"/>
    <w:bookmarkEnd w:id="742"/>
    <w:bookmarkEnd w:id="743"/>
    <w:bookmarkEnd w:id="744"/>
    <w:p w14:paraId="0E1808BF">
      <w:pPr>
        <w:pStyle w:val="7"/>
        <w:adjustRightInd w:val="0"/>
        <w:snapToGrid w:val="0"/>
        <w:ind w:firstLine="422" w:firstLineChars="200"/>
        <w:rPr>
          <w:rFonts w:hint="eastAsia" w:ascii="宋体" w:hAnsi="宋体" w:eastAsia="宋体" w:cs="宋体"/>
          <w:color w:val="auto"/>
          <w:sz w:val="21"/>
          <w:szCs w:val="21"/>
        </w:rPr>
      </w:pPr>
      <w:bookmarkStart w:id="745" w:name="_Toc467599564"/>
      <w:bookmarkStart w:id="746" w:name="_Toc373227703"/>
      <w:bookmarkStart w:id="747" w:name="_Toc389065269"/>
      <w:bookmarkStart w:id="748" w:name="_Toc373478350"/>
      <w:r>
        <w:rPr>
          <w:rFonts w:hint="eastAsia" w:ascii="宋体" w:hAnsi="宋体" w:eastAsia="宋体" w:cs="宋体"/>
          <w:color w:val="auto"/>
          <w:sz w:val="21"/>
          <w:szCs w:val="21"/>
        </w:rPr>
        <w:t>2.2 发包人代表</w:t>
      </w:r>
      <w:bookmarkEnd w:id="745"/>
      <w:bookmarkEnd w:id="746"/>
      <w:bookmarkEnd w:id="747"/>
      <w:bookmarkEnd w:id="748"/>
    </w:p>
    <w:p w14:paraId="7298AEA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发包人代表：</w:t>
      </w:r>
    </w:p>
    <w:p w14:paraId="2276496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45E4F099">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1389B96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2FFF420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167E8D2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17D4674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w:t>
      </w:r>
    </w:p>
    <w:p w14:paraId="6301FAF5">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发包人对发包人代表的授权范围如下：</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w:t>
      </w:r>
    </w:p>
    <w:p w14:paraId="3606656E">
      <w:pPr>
        <w:pStyle w:val="7"/>
        <w:adjustRightInd w:val="0"/>
        <w:snapToGrid w:val="0"/>
        <w:ind w:firstLine="422" w:firstLineChars="200"/>
        <w:rPr>
          <w:rFonts w:hint="eastAsia" w:ascii="宋体" w:hAnsi="宋体" w:eastAsia="宋体" w:cs="宋体"/>
          <w:color w:val="auto"/>
          <w:sz w:val="21"/>
          <w:szCs w:val="21"/>
        </w:rPr>
      </w:pPr>
      <w:bookmarkStart w:id="749" w:name="_Toc373478351"/>
      <w:bookmarkStart w:id="750" w:name="_Toc467599565"/>
      <w:bookmarkStart w:id="751" w:name="_Toc389065270"/>
      <w:bookmarkStart w:id="752" w:name="_Toc373227704"/>
      <w:r>
        <w:rPr>
          <w:rFonts w:hint="eastAsia" w:ascii="宋体" w:hAnsi="宋体" w:eastAsia="宋体" w:cs="宋体"/>
          <w:color w:val="auto"/>
          <w:sz w:val="21"/>
          <w:szCs w:val="21"/>
        </w:rPr>
        <w:t>2.4 施工现场、施工条件和基础资料的提供</w:t>
      </w:r>
      <w:bookmarkEnd w:id="749"/>
      <w:bookmarkEnd w:id="750"/>
      <w:bookmarkEnd w:id="751"/>
      <w:bookmarkEnd w:id="752"/>
    </w:p>
    <w:p w14:paraId="7C2B9B5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提供施工现场</w:t>
      </w:r>
    </w:p>
    <w:p w14:paraId="06538F29">
      <w:pPr>
        <w:pStyle w:val="8"/>
        <w:rPr>
          <w:rFonts w:hint="eastAsia" w:ascii="宋体" w:hAnsi="宋体" w:eastAsia="宋体" w:cs="宋体"/>
          <w:color w:val="auto"/>
          <w:sz w:val="22"/>
          <w:szCs w:val="22"/>
        </w:rPr>
      </w:pPr>
      <w:r>
        <w:rPr>
          <w:rFonts w:hint="eastAsia" w:ascii="宋体" w:hAnsi="宋体" w:eastAsia="宋体" w:cs="宋体"/>
          <w:color w:val="auto"/>
          <w:sz w:val="21"/>
          <w:szCs w:val="22"/>
        </w:rPr>
        <w:t>发包人提供的施工场地范围为：</w:t>
      </w:r>
      <w:r>
        <w:rPr>
          <w:rFonts w:hint="eastAsia" w:ascii="宋体" w:hAnsi="宋体" w:eastAsia="宋体" w:cs="宋体"/>
          <w:color w:val="auto"/>
          <w:sz w:val="21"/>
          <w:szCs w:val="22"/>
          <w:u w:val="single"/>
        </w:rPr>
        <w:t>发包人负责办理工地范围内的征地和拆迁等有关手续，向承包人提供施工用地及施工所需水电</w:t>
      </w:r>
      <w:r>
        <w:rPr>
          <w:rFonts w:hint="eastAsia" w:ascii="宋体" w:hAnsi="宋体" w:eastAsia="宋体" w:cs="宋体"/>
          <w:color w:val="auto"/>
          <w:sz w:val="21"/>
          <w:szCs w:val="22"/>
          <w:u w:val="single"/>
          <w:lang w:eastAsia="zh-CN"/>
        </w:rPr>
        <w:t>（</w:t>
      </w:r>
      <w:r>
        <w:rPr>
          <w:rFonts w:hint="eastAsia" w:ascii="宋体" w:hAnsi="宋体" w:eastAsia="宋体" w:cs="宋体"/>
          <w:color w:val="auto"/>
          <w:sz w:val="21"/>
          <w:szCs w:val="22"/>
          <w:u w:val="single"/>
        </w:rPr>
        <w:t>水电费由承包方承担</w:t>
      </w:r>
      <w:r>
        <w:rPr>
          <w:rFonts w:hint="eastAsia" w:ascii="宋体" w:hAnsi="宋体" w:eastAsia="宋体" w:cs="宋体"/>
          <w:color w:val="auto"/>
          <w:sz w:val="21"/>
          <w:szCs w:val="22"/>
          <w:u w:val="single"/>
          <w:lang w:eastAsia="zh-CN"/>
        </w:rPr>
        <w:t>）</w:t>
      </w:r>
      <w:r>
        <w:rPr>
          <w:rFonts w:hint="eastAsia" w:ascii="宋体" w:hAnsi="宋体" w:eastAsia="宋体" w:cs="宋体"/>
          <w:color w:val="auto"/>
          <w:sz w:val="21"/>
          <w:szCs w:val="22"/>
          <w:u w:val="single"/>
        </w:rPr>
        <w:t>。并提供弃土场</w:t>
      </w:r>
      <w:r>
        <w:rPr>
          <w:rFonts w:hint="eastAsia" w:ascii="宋体" w:hAnsi="宋体" w:eastAsia="宋体" w:cs="宋体"/>
          <w:color w:val="auto"/>
          <w:sz w:val="21"/>
          <w:szCs w:val="22"/>
          <w:u w:val="single"/>
          <w:lang w:eastAsia="zh-CN"/>
        </w:rPr>
        <w:t>，</w:t>
      </w:r>
      <w:r>
        <w:rPr>
          <w:rFonts w:hint="eastAsia" w:ascii="宋体" w:hAnsi="宋体" w:eastAsia="宋体" w:cs="宋体"/>
          <w:color w:val="auto"/>
          <w:sz w:val="21"/>
          <w:szCs w:val="22"/>
          <w:u w:val="single"/>
        </w:rPr>
        <w:t>确保工地运输车辆能在村屯道路上通行。</w:t>
      </w:r>
    </w:p>
    <w:p w14:paraId="48FC164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rPr>
        <w:t xml:space="preserve">开工前7日内 </w:t>
      </w:r>
      <w:r>
        <w:rPr>
          <w:rFonts w:hint="eastAsia" w:ascii="宋体" w:hAnsi="宋体" w:eastAsia="宋体" w:cs="宋体"/>
          <w:color w:val="auto"/>
          <w:sz w:val="21"/>
          <w:szCs w:val="21"/>
        </w:rPr>
        <w:t>。</w:t>
      </w:r>
    </w:p>
    <w:p w14:paraId="3761401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提供施工条件</w:t>
      </w:r>
    </w:p>
    <w:p w14:paraId="0748DBA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关于发包人应负责提供施工所需要的条件，包括：</w:t>
      </w:r>
      <w:r>
        <w:rPr>
          <w:rFonts w:hint="eastAsia" w:ascii="宋体" w:hAnsi="宋体" w:eastAsia="宋体" w:cs="宋体"/>
          <w:color w:val="auto"/>
          <w:sz w:val="21"/>
          <w:szCs w:val="21"/>
          <w:u w:val="single"/>
        </w:rPr>
        <w:t xml:space="preserve">            </w:t>
      </w:r>
    </w:p>
    <w:p w14:paraId="47DAE7BD">
      <w:pPr>
        <w:pStyle w:val="7"/>
        <w:adjustRightInd w:val="0"/>
        <w:snapToGrid w:val="0"/>
        <w:ind w:firstLine="422" w:firstLineChars="200"/>
        <w:rPr>
          <w:rFonts w:hint="eastAsia" w:ascii="宋体" w:hAnsi="宋体" w:eastAsia="宋体" w:cs="宋体"/>
          <w:color w:val="auto"/>
          <w:sz w:val="21"/>
          <w:szCs w:val="21"/>
        </w:rPr>
      </w:pPr>
      <w:bookmarkStart w:id="753" w:name="_Toc373478352"/>
      <w:bookmarkStart w:id="754" w:name="_Toc389065271"/>
      <w:bookmarkStart w:id="755" w:name="_Toc373227705"/>
      <w:bookmarkStart w:id="756" w:name="_Toc467599566"/>
      <w:r>
        <w:rPr>
          <w:rFonts w:hint="eastAsia" w:ascii="宋体" w:hAnsi="宋体" w:eastAsia="宋体" w:cs="宋体"/>
          <w:color w:val="auto"/>
          <w:sz w:val="21"/>
          <w:szCs w:val="21"/>
        </w:rPr>
        <w:t>2.5 资金来源证明及支付担保</w:t>
      </w:r>
      <w:bookmarkEnd w:id="753"/>
      <w:bookmarkEnd w:id="754"/>
      <w:bookmarkEnd w:id="755"/>
      <w:bookmarkEnd w:id="756"/>
    </w:p>
    <w:p w14:paraId="5A857BC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发包人提供资金来源证明的期限要求：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3C9490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发包人是否提供支付担保：</w:t>
      </w:r>
      <w:r>
        <w:rPr>
          <w:rFonts w:hint="eastAsia" w:ascii="宋体" w:hAnsi="宋体" w:eastAsia="宋体" w:cs="宋体"/>
          <w:color w:val="auto"/>
          <w:sz w:val="21"/>
          <w:szCs w:val="21"/>
          <w:u w:val="single"/>
        </w:rPr>
        <w:t xml:space="preserve">      无         </w:t>
      </w:r>
      <w:r>
        <w:rPr>
          <w:rFonts w:hint="eastAsia" w:ascii="宋体" w:hAnsi="宋体" w:eastAsia="宋体" w:cs="宋体"/>
          <w:color w:val="auto"/>
          <w:sz w:val="21"/>
          <w:szCs w:val="21"/>
        </w:rPr>
        <w:t>。</w:t>
      </w:r>
    </w:p>
    <w:p w14:paraId="0CFA394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发包人提供支付担保的形式：</w:t>
      </w:r>
      <w:r>
        <w:rPr>
          <w:rFonts w:hint="eastAsia" w:ascii="宋体" w:hAnsi="宋体" w:eastAsia="宋体" w:cs="宋体"/>
          <w:color w:val="auto"/>
          <w:sz w:val="21"/>
          <w:szCs w:val="21"/>
          <w:u w:val="single"/>
        </w:rPr>
        <w:t>      无         </w:t>
      </w:r>
      <w:r>
        <w:rPr>
          <w:rFonts w:hint="eastAsia" w:ascii="宋体" w:hAnsi="宋体" w:eastAsia="宋体" w:cs="宋体"/>
          <w:color w:val="auto"/>
          <w:sz w:val="21"/>
          <w:szCs w:val="21"/>
        </w:rPr>
        <w:t>。</w:t>
      </w:r>
    </w:p>
    <w:p w14:paraId="5A1DF90A">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757" w:name="_Toc8191_WPSOffice_Level3"/>
      <w:bookmarkStart w:id="758" w:name="_Toc373478353"/>
      <w:bookmarkStart w:id="759" w:name="_Toc389065272"/>
      <w:bookmarkStart w:id="760" w:name="_Toc373227706"/>
      <w:bookmarkStart w:id="761" w:name="_Toc351203635"/>
      <w:bookmarkStart w:id="762" w:name="_Toc467599567"/>
      <w:r>
        <w:rPr>
          <w:rFonts w:hint="eastAsia" w:ascii="宋体" w:hAnsi="宋体" w:eastAsia="宋体" w:cs="宋体"/>
          <w:color w:val="auto"/>
          <w:sz w:val="21"/>
          <w:szCs w:val="21"/>
        </w:rPr>
        <w:t>3</w:t>
      </w:r>
      <w:bookmarkStart w:id="763" w:name="_Toc296346659"/>
      <w:bookmarkStart w:id="764" w:name="_Toc292559868"/>
      <w:bookmarkStart w:id="765" w:name="_Toc297120458"/>
      <w:bookmarkStart w:id="766" w:name="_Toc292559363"/>
      <w:bookmarkStart w:id="767" w:name="_Toc297048344"/>
      <w:bookmarkStart w:id="768" w:name="_Toc296503158"/>
      <w:bookmarkStart w:id="769" w:name="_Toc296347157"/>
      <w:bookmarkStart w:id="770" w:name="_Toc296944497"/>
      <w:bookmarkStart w:id="771" w:name="_Toc296890986"/>
      <w:bookmarkStart w:id="772" w:name="_Toc296891198"/>
      <w:r>
        <w:rPr>
          <w:rFonts w:hint="eastAsia" w:ascii="宋体" w:hAnsi="宋体" w:eastAsia="宋体" w:cs="宋体"/>
          <w:color w:val="auto"/>
          <w:sz w:val="21"/>
          <w:szCs w:val="21"/>
        </w:rPr>
        <w:t>. 承包人</w:t>
      </w:r>
      <w:bookmarkEnd w:id="757"/>
      <w:bookmarkEnd w:id="758"/>
      <w:bookmarkEnd w:id="759"/>
      <w:bookmarkEnd w:id="760"/>
      <w:bookmarkEnd w:id="761"/>
      <w:bookmarkEnd w:id="762"/>
    </w:p>
    <w:bookmarkEnd w:id="763"/>
    <w:bookmarkEnd w:id="764"/>
    <w:bookmarkEnd w:id="765"/>
    <w:bookmarkEnd w:id="766"/>
    <w:bookmarkEnd w:id="767"/>
    <w:bookmarkEnd w:id="768"/>
    <w:bookmarkEnd w:id="769"/>
    <w:bookmarkEnd w:id="770"/>
    <w:bookmarkEnd w:id="771"/>
    <w:bookmarkEnd w:id="772"/>
    <w:p w14:paraId="5EB4073C">
      <w:pPr>
        <w:pStyle w:val="7"/>
        <w:adjustRightInd w:val="0"/>
        <w:snapToGrid w:val="0"/>
        <w:ind w:firstLine="422" w:firstLineChars="200"/>
        <w:rPr>
          <w:rFonts w:hint="eastAsia" w:ascii="宋体" w:hAnsi="宋体" w:eastAsia="宋体" w:cs="宋体"/>
          <w:color w:val="auto"/>
          <w:sz w:val="21"/>
          <w:szCs w:val="21"/>
        </w:rPr>
      </w:pPr>
      <w:bookmarkStart w:id="773" w:name="_Toc389065273"/>
      <w:bookmarkStart w:id="774" w:name="_Toc373478354"/>
      <w:bookmarkStart w:id="775" w:name="_Toc373227707"/>
      <w:bookmarkStart w:id="776" w:name="_Toc467599568"/>
      <w:r>
        <w:rPr>
          <w:rFonts w:hint="eastAsia" w:ascii="宋体" w:hAnsi="宋体" w:eastAsia="宋体" w:cs="宋体"/>
          <w:color w:val="auto"/>
          <w:sz w:val="21"/>
          <w:szCs w:val="21"/>
        </w:rPr>
        <w:t>3.1 承包人的一般义务</w:t>
      </w:r>
      <w:bookmarkEnd w:id="773"/>
      <w:bookmarkEnd w:id="774"/>
      <w:bookmarkEnd w:id="775"/>
      <w:bookmarkEnd w:id="776"/>
    </w:p>
    <w:p w14:paraId="39BB952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（9）</w:t>
      </w:r>
      <w:r>
        <w:rPr>
          <w:rFonts w:hint="eastAsia" w:ascii="宋体" w:hAnsi="宋体" w:eastAsia="宋体" w:cs="宋体"/>
          <w:color w:val="auto"/>
          <w:sz w:val="21"/>
          <w:szCs w:val="21"/>
        </w:rPr>
        <w:t>承包人提交的竣工资料的内容：</w:t>
      </w:r>
      <w:r>
        <w:rPr>
          <w:rFonts w:hint="eastAsia" w:ascii="宋体" w:hAnsi="宋体" w:eastAsia="宋体" w:cs="宋体"/>
          <w:color w:val="auto"/>
          <w:sz w:val="21"/>
          <w:szCs w:val="21"/>
          <w:u w:val="single"/>
        </w:rPr>
        <w:t>承包人按国家工程竣工验收有关规定，向发包人递交完整竣工资料及竣工验收报告</w:t>
      </w:r>
      <w:r>
        <w:rPr>
          <w:rFonts w:hint="eastAsia" w:ascii="宋体" w:hAnsi="宋体" w:eastAsia="宋体" w:cs="宋体"/>
          <w:color w:val="auto"/>
          <w:sz w:val="21"/>
          <w:szCs w:val="21"/>
        </w:rPr>
        <w:t xml:space="preserve">。                      </w:t>
      </w:r>
    </w:p>
    <w:p w14:paraId="3E79326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 xml:space="preserve">    套  </w:t>
      </w:r>
      <w:r>
        <w:rPr>
          <w:rFonts w:hint="eastAsia" w:ascii="宋体" w:hAnsi="宋体" w:eastAsia="宋体" w:cs="宋体"/>
          <w:color w:val="auto"/>
          <w:sz w:val="21"/>
          <w:szCs w:val="21"/>
        </w:rPr>
        <w:t>。</w:t>
      </w:r>
    </w:p>
    <w:p w14:paraId="5D0A130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由承包人自行承担</w:t>
      </w:r>
      <w:r>
        <w:rPr>
          <w:rFonts w:hint="eastAsia" w:ascii="宋体" w:hAnsi="宋体" w:eastAsia="宋体" w:cs="宋体"/>
          <w:color w:val="auto"/>
          <w:sz w:val="21"/>
          <w:szCs w:val="21"/>
        </w:rPr>
        <w:t>。</w:t>
      </w:r>
    </w:p>
    <w:p w14:paraId="70DD1BA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承包人提交的竣工资料移交时间：</w:t>
      </w:r>
      <w:r>
        <w:rPr>
          <w:rFonts w:hint="eastAsia" w:ascii="宋体" w:hAnsi="宋体" w:eastAsia="宋体" w:cs="宋体"/>
          <w:color w:val="auto"/>
          <w:sz w:val="21"/>
          <w:szCs w:val="21"/>
          <w:u w:val="single"/>
        </w:rPr>
        <w:t>工程竣工验收合格各方签字盖章之日起 天内</w:t>
      </w:r>
      <w:r>
        <w:rPr>
          <w:rFonts w:hint="eastAsia" w:ascii="宋体" w:hAnsi="宋体" w:eastAsia="宋体" w:cs="宋体"/>
          <w:color w:val="auto"/>
          <w:sz w:val="21"/>
          <w:szCs w:val="21"/>
        </w:rPr>
        <w:t>。</w:t>
      </w:r>
    </w:p>
    <w:p w14:paraId="3CA9886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承包人提交的竣工资料形式要求：</w:t>
      </w:r>
      <w:r>
        <w:rPr>
          <w:rFonts w:hint="eastAsia" w:ascii="宋体" w:hAnsi="宋体" w:eastAsia="宋体" w:cs="宋体"/>
          <w:color w:val="auto"/>
          <w:sz w:val="21"/>
          <w:szCs w:val="21"/>
          <w:u w:val="single"/>
        </w:rPr>
        <w:t>纸质及电子文档并装订成册</w:t>
      </w:r>
      <w:r>
        <w:rPr>
          <w:rFonts w:hint="eastAsia" w:ascii="宋体" w:hAnsi="宋体" w:eastAsia="宋体" w:cs="宋体"/>
          <w:color w:val="auto"/>
          <w:sz w:val="21"/>
          <w:szCs w:val="21"/>
        </w:rPr>
        <w:t>。</w:t>
      </w:r>
    </w:p>
    <w:p w14:paraId="5FE62C7D">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（10）承包人应履行的其他义务：</w:t>
      </w:r>
    </w:p>
    <w:p w14:paraId="7919DC1B">
      <w:pPr>
        <w:adjustRightInd w:val="0"/>
        <w:snapToGrid w:val="0"/>
        <w:spacing w:line="360" w:lineRule="auto"/>
        <w:ind w:firstLine="420" w:firstLineChars="200"/>
        <w:rPr>
          <w:rFonts w:hint="eastAsia" w:ascii="宋体" w:hAnsi="宋体" w:eastAsia="宋体" w:cs="宋体"/>
          <w:b/>
          <w:color w:val="auto"/>
          <w:kern w:val="0"/>
          <w:sz w:val="21"/>
          <w:szCs w:val="21"/>
          <w:u w:val="single"/>
        </w:rPr>
      </w:pPr>
      <w:r>
        <w:rPr>
          <w:rFonts w:hint="eastAsia" w:ascii="宋体" w:hAnsi="宋体" w:eastAsia="宋体" w:cs="宋体"/>
          <w:color w:val="auto"/>
          <w:kern w:val="0"/>
          <w:sz w:val="21"/>
          <w:szCs w:val="21"/>
          <w:u w:val="single"/>
        </w:rPr>
        <w:t xml:space="preserve"> </w:t>
      </w:r>
      <w:r>
        <w:rPr>
          <w:rFonts w:hint="eastAsia" w:ascii="宋体" w:hAnsi="宋体" w:eastAsia="宋体" w:cs="宋体"/>
          <w:b/>
          <w:color w:val="auto"/>
          <w:kern w:val="0"/>
          <w:sz w:val="21"/>
          <w:szCs w:val="21"/>
          <w:u w:val="single"/>
        </w:rPr>
        <w:t>①施工场地周围地下管线和邻近建筑物、构筑物（含文物保护建筑）、古树名木的保护要求及费用承担：承包人施工时应探明并负责保护且承包费用，施工时如损坏地下管线、邻近建筑物、构筑物，所发生费用由承包人承担。</w:t>
      </w:r>
    </w:p>
    <w:p w14:paraId="71B040AF">
      <w:pPr>
        <w:adjustRightInd w:val="0"/>
        <w:snapToGrid w:val="0"/>
        <w:spacing w:line="360" w:lineRule="auto"/>
        <w:ind w:firstLine="422" w:firstLineChars="200"/>
        <w:rPr>
          <w:rFonts w:hint="eastAsia" w:ascii="宋体" w:hAnsi="宋体" w:eastAsia="宋体" w:cs="宋体"/>
          <w:color w:val="auto"/>
          <w:kern w:val="0"/>
          <w:sz w:val="21"/>
          <w:szCs w:val="21"/>
          <w:u w:val="single"/>
        </w:rPr>
      </w:pPr>
      <w:r>
        <w:rPr>
          <w:rFonts w:hint="eastAsia" w:ascii="宋体" w:hAnsi="宋体" w:eastAsia="宋体" w:cs="宋体"/>
          <w:b/>
          <w:color w:val="auto"/>
          <w:kern w:val="0"/>
          <w:sz w:val="21"/>
          <w:szCs w:val="21"/>
          <w:u w:val="single"/>
        </w:rPr>
        <w:t>②协助发包人解决</w:t>
      </w:r>
      <w:r>
        <w:rPr>
          <w:rFonts w:hint="eastAsia" w:ascii="宋体" w:hAnsi="宋体" w:eastAsia="宋体" w:cs="宋体"/>
          <w:b/>
          <w:color w:val="auto"/>
          <w:sz w:val="21"/>
          <w:szCs w:val="21"/>
          <w:u w:val="single"/>
        </w:rPr>
        <w:t>取土场及弃土场的问题。</w:t>
      </w:r>
    </w:p>
    <w:p w14:paraId="273A10DE">
      <w:pPr>
        <w:pStyle w:val="7"/>
        <w:adjustRightInd w:val="0"/>
        <w:snapToGrid w:val="0"/>
        <w:ind w:firstLine="422" w:firstLineChars="200"/>
        <w:rPr>
          <w:rFonts w:hint="eastAsia" w:ascii="宋体" w:hAnsi="宋体" w:eastAsia="宋体" w:cs="宋体"/>
          <w:color w:val="auto"/>
          <w:sz w:val="21"/>
          <w:szCs w:val="21"/>
        </w:rPr>
      </w:pPr>
      <w:bookmarkStart w:id="777" w:name="_Toc467599569"/>
      <w:bookmarkStart w:id="778" w:name="_Toc373478355"/>
      <w:bookmarkStart w:id="779" w:name="_Toc373227708"/>
      <w:bookmarkStart w:id="780" w:name="_Toc389065274"/>
      <w:r>
        <w:rPr>
          <w:rFonts w:hint="eastAsia" w:ascii="宋体" w:hAnsi="宋体" w:eastAsia="宋体" w:cs="宋体"/>
          <w:color w:val="auto"/>
          <w:sz w:val="21"/>
          <w:szCs w:val="21"/>
        </w:rPr>
        <w:t>3.2 项目经理</w:t>
      </w:r>
      <w:bookmarkEnd w:id="777"/>
      <w:bookmarkEnd w:id="778"/>
      <w:bookmarkEnd w:id="779"/>
      <w:bookmarkEnd w:id="780"/>
    </w:p>
    <w:p w14:paraId="148F376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3.2.1 </w:t>
      </w:r>
      <w:r>
        <w:rPr>
          <w:rFonts w:hint="eastAsia" w:ascii="宋体" w:hAnsi="宋体" w:eastAsia="宋体" w:cs="宋体"/>
          <w:color w:val="auto"/>
          <w:sz w:val="21"/>
          <w:szCs w:val="21"/>
        </w:rPr>
        <w:t>项目经理：</w:t>
      </w:r>
    </w:p>
    <w:p w14:paraId="57E2B33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5C833E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8145CAF">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建造师执业资格等级：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70C525E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25C969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建造师执业印章号：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3E76C55">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5539D0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D88AEF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75820C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FA03B7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承包人对项目经理的授权范围如下：</w:t>
      </w:r>
      <w:r>
        <w:rPr>
          <w:rFonts w:hint="eastAsia" w:ascii="宋体" w:hAnsi="宋体" w:eastAsia="宋体" w:cs="宋体"/>
          <w:color w:val="auto"/>
          <w:sz w:val="21"/>
          <w:szCs w:val="21"/>
          <w:u w:val="single"/>
        </w:rPr>
        <w:t>实行项目经理责任制，负责项目的施工组织与管理</w:t>
      </w:r>
      <w:r>
        <w:rPr>
          <w:rFonts w:hint="eastAsia" w:ascii="宋体" w:hAnsi="宋体" w:eastAsia="宋体" w:cs="宋体"/>
          <w:color w:val="auto"/>
          <w:sz w:val="21"/>
          <w:szCs w:val="21"/>
        </w:rPr>
        <w:t>。</w:t>
      </w:r>
    </w:p>
    <w:p w14:paraId="19C4C786">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关于项目经理每月在施工现场的时间要求：</w:t>
      </w:r>
      <w:r>
        <w:rPr>
          <w:rFonts w:hint="eastAsia" w:ascii="宋体" w:hAnsi="宋体" w:eastAsia="宋体" w:cs="宋体"/>
          <w:color w:val="auto"/>
          <w:sz w:val="21"/>
          <w:szCs w:val="21"/>
          <w:u w:val="single"/>
        </w:rPr>
        <w:t>项目经理及项目技术负责人每个月在工地现场工作时间均不得低于   天</w:t>
      </w:r>
      <w:r>
        <w:rPr>
          <w:rFonts w:hint="eastAsia" w:ascii="宋体" w:hAnsi="宋体" w:eastAsia="宋体" w:cs="宋体"/>
          <w:color w:val="auto"/>
          <w:sz w:val="21"/>
          <w:szCs w:val="21"/>
        </w:rPr>
        <w:t>。</w:t>
      </w:r>
    </w:p>
    <w:p w14:paraId="235FC092">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承包人未提交劳动合同，以及没有为项目经理缴纳社会保险证明的违约责任：</w:t>
      </w:r>
      <w:r>
        <w:rPr>
          <w:rFonts w:hint="eastAsia" w:ascii="宋体" w:hAnsi="宋体" w:eastAsia="宋体" w:cs="宋体"/>
          <w:color w:val="auto"/>
          <w:sz w:val="21"/>
          <w:szCs w:val="21"/>
          <w:u w:val="single"/>
        </w:rPr>
        <w:t>发包人有权要求承包人限期更换项目经理，如承包人逾期不更换的，应向发包人支付50000元违约金。</w:t>
      </w:r>
    </w:p>
    <w:p w14:paraId="0D316D6C">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项目经理未经批准，擅自离开施工现场的违约责任：</w:t>
      </w:r>
      <w:r>
        <w:rPr>
          <w:rFonts w:hint="eastAsia" w:ascii="宋体" w:hAnsi="宋体" w:eastAsia="宋体" w:cs="宋体"/>
          <w:color w:val="auto"/>
          <w:sz w:val="21"/>
          <w:szCs w:val="21"/>
          <w:u w:val="single"/>
        </w:rPr>
        <w:t xml:space="preserve">项目经理每月在岗带班时间不得少于当月施工时间的80%。未经发包人同意或正当理由，项目经理每月在岗带班时间少于当月施工时间80%的，少在岗带班一天，发包人有权处违约金 1000元/日（人民币）  </w:t>
      </w:r>
      <w:r>
        <w:rPr>
          <w:rFonts w:hint="eastAsia" w:ascii="宋体" w:hAnsi="宋体" w:eastAsia="宋体" w:cs="宋体"/>
          <w:color w:val="auto"/>
          <w:sz w:val="21"/>
          <w:szCs w:val="21"/>
        </w:rPr>
        <w:t>。</w:t>
      </w:r>
    </w:p>
    <w:p w14:paraId="59A942C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 承包人擅自更换项目经理的违约责任：</w:t>
      </w:r>
      <w:r>
        <w:rPr>
          <w:rFonts w:hint="eastAsia" w:ascii="宋体" w:hAnsi="宋体" w:eastAsia="宋体" w:cs="宋体"/>
          <w:color w:val="auto"/>
          <w:sz w:val="21"/>
          <w:szCs w:val="21"/>
          <w:u w:val="single"/>
        </w:rPr>
        <w:t>承包人项目经理必须与承包人投标时所承诺的人员一致，并在（开工日期）前到任。在监理人向承包人颁发（竣工证明材料名称）前，项目经理不得同时兼任其他任何项目的项目经理</w:t>
      </w:r>
      <w:r>
        <w:rPr>
          <w:rFonts w:hint="eastAsia" w:ascii="宋体" w:hAnsi="宋体" w:eastAsia="宋体" w:cs="宋体"/>
          <w:color w:val="auto"/>
          <w:kern w:val="0"/>
          <w:sz w:val="21"/>
          <w:szCs w:val="21"/>
          <w:u w:val="single"/>
        </w:rPr>
        <w:t>（符合桂建管</w:t>
      </w:r>
      <w:r>
        <w:rPr>
          <w:rFonts w:hint="eastAsia" w:ascii="宋体" w:hAnsi="宋体" w:eastAsia="宋体" w:cs="宋体"/>
          <w:color w:val="auto"/>
          <w:sz w:val="21"/>
          <w:szCs w:val="21"/>
          <w:u w:val="single"/>
        </w:rPr>
        <w:t>﹝2013﹞</w:t>
      </w:r>
      <w:r>
        <w:rPr>
          <w:rFonts w:hint="eastAsia" w:ascii="宋体" w:hAnsi="宋体" w:eastAsia="宋体" w:cs="宋体"/>
          <w:color w:val="auto"/>
          <w:kern w:val="0"/>
          <w:sz w:val="21"/>
          <w:szCs w:val="21"/>
          <w:u w:val="single"/>
        </w:rPr>
        <w:t>17号和</w:t>
      </w:r>
      <w:r>
        <w:rPr>
          <w:rFonts w:hint="eastAsia" w:ascii="宋体" w:hAnsi="宋体" w:eastAsia="宋体" w:cs="宋体"/>
          <w:color w:val="auto"/>
          <w:sz w:val="21"/>
          <w:szCs w:val="21"/>
          <w:u w:val="single"/>
        </w:rPr>
        <w:t>桂建管﹝2014﹞25号</w:t>
      </w:r>
      <w:r>
        <w:rPr>
          <w:rFonts w:hint="eastAsia" w:ascii="宋体" w:hAnsi="宋体" w:eastAsia="宋体" w:cs="宋体"/>
          <w:color w:val="auto"/>
          <w:kern w:val="0"/>
          <w:sz w:val="21"/>
          <w:szCs w:val="21"/>
          <w:u w:val="single"/>
        </w:rPr>
        <w:t>文除外）</w:t>
      </w:r>
      <w:r>
        <w:rPr>
          <w:rFonts w:hint="eastAsia" w:ascii="宋体" w:hAnsi="宋体" w:eastAsia="宋体" w:cs="宋体"/>
          <w:color w:val="auto"/>
          <w:sz w:val="21"/>
          <w:szCs w:val="21"/>
          <w:u w:val="single"/>
        </w:rPr>
        <w:t>。未经发包人书面同意，承包人擅自更换项目经理的视为违约，违约金处 1000元/人•次（人民币）</w:t>
      </w:r>
      <w:r>
        <w:rPr>
          <w:rFonts w:hint="eastAsia" w:ascii="宋体" w:hAnsi="宋体" w:eastAsia="宋体" w:cs="宋体"/>
          <w:color w:val="auto"/>
          <w:sz w:val="21"/>
          <w:szCs w:val="21"/>
        </w:rPr>
        <w:t>。</w:t>
      </w:r>
    </w:p>
    <w:p w14:paraId="049AD1E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3.2.4 承包人无正当理由拒绝更换项目经理的违约责任：</w:t>
      </w:r>
      <w:r>
        <w:rPr>
          <w:rFonts w:hint="eastAsia" w:ascii="宋体" w:hAnsi="宋体" w:eastAsia="宋体" w:cs="宋体"/>
          <w:color w:val="auto"/>
          <w:sz w:val="21"/>
          <w:szCs w:val="21"/>
          <w:u w:val="single"/>
        </w:rPr>
        <w:t>因承包人项目经理不称职，发包人要求调换而未及时调换的，视为承包人违约，必须向发包人</w:t>
      </w:r>
      <w:r>
        <w:rPr>
          <w:rFonts w:hint="eastAsia" w:ascii="宋体" w:hAnsi="宋体" w:cs="宋体"/>
          <w:color w:val="auto"/>
          <w:sz w:val="21"/>
          <w:szCs w:val="21"/>
          <w:u w:val="single"/>
          <w:lang w:eastAsia="zh-CN"/>
        </w:rPr>
        <w:t>缴纳</w:t>
      </w:r>
      <w:r>
        <w:rPr>
          <w:rFonts w:hint="eastAsia" w:ascii="宋体" w:hAnsi="宋体" w:eastAsia="宋体" w:cs="宋体"/>
          <w:color w:val="auto"/>
          <w:sz w:val="21"/>
          <w:szCs w:val="21"/>
          <w:u w:val="single"/>
        </w:rPr>
        <w:t>处罚金1000 元/人•次（人民币）</w:t>
      </w:r>
      <w:r>
        <w:rPr>
          <w:rFonts w:hint="eastAsia" w:ascii="宋体" w:hAnsi="宋体" w:eastAsia="宋体" w:cs="宋体"/>
          <w:color w:val="auto"/>
          <w:sz w:val="21"/>
          <w:szCs w:val="21"/>
        </w:rPr>
        <w:t>。</w:t>
      </w:r>
    </w:p>
    <w:p w14:paraId="2D1FF60D">
      <w:pPr>
        <w:pStyle w:val="7"/>
        <w:adjustRightInd w:val="0"/>
        <w:snapToGrid w:val="0"/>
        <w:ind w:firstLine="422" w:firstLineChars="200"/>
        <w:rPr>
          <w:rFonts w:hint="eastAsia" w:ascii="宋体" w:hAnsi="宋体" w:eastAsia="宋体" w:cs="宋体"/>
          <w:color w:val="auto"/>
          <w:sz w:val="21"/>
          <w:szCs w:val="21"/>
        </w:rPr>
      </w:pPr>
      <w:bookmarkStart w:id="781" w:name="_Toc373227709"/>
      <w:bookmarkStart w:id="782" w:name="_Toc389065275"/>
      <w:bookmarkStart w:id="783" w:name="_Toc373478356"/>
      <w:bookmarkStart w:id="784" w:name="_Toc467599570"/>
      <w:r>
        <w:rPr>
          <w:rFonts w:hint="eastAsia" w:ascii="宋体" w:hAnsi="宋体" w:eastAsia="宋体" w:cs="宋体"/>
          <w:color w:val="auto"/>
          <w:sz w:val="21"/>
          <w:szCs w:val="21"/>
        </w:rPr>
        <w:t>3.3 承包人人员</w:t>
      </w:r>
      <w:bookmarkEnd w:id="781"/>
      <w:bookmarkEnd w:id="782"/>
      <w:bookmarkEnd w:id="783"/>
      <w:bookmarkEnd w:id="784"/>
    </w:p>
    <w:p w14:paraId="0A168CD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承包人提交项目管理机构及施工现场管理人员安排报告（格式见合同附件2）的期限：</w:t>
      </w:r>
      <w:r>
        <w:rPr>
          <w:rFonts w:hint="eastAsia" w:ascii="宋体" w:hAnsi="宋体" w:eastAsia="宋体" w:cs="宋体"/>
          <w:color w:val="auto"/>
          <w:sz w:val="21"/>
          <w:szCs w:val="21"/>
          <w:u w:val="single"/>
        </w:rPr>
        <w:t xml:space="preserve"> 开工之日起   日内</w:t>
      </w:r>
      <w:r>
        <w:rPr>
          <w:rFonts w:hint="eastAsia" w:ascii="宋体" w:hAnsi="宋体" w:eastAsia="宋体" w:cs="宋体"/>
          <w:color w:val="auto"/>
          <w:sz w:val="21"/>
          <w:szCs w:val="21"/>
        </w:rPr>
        <w:t>。</w:t>
      </w:r>
    </w:p>
    <w:p w14:paraId="1A598D7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u w:val="single"/>
          <w:lang w:eastAsia="zh-CN"/>
        </w:rPr>
        <w:t>缴纳</w:t>
      </w:r>
      <w:r>
        <w:rPr>
          <w:rFonts w:hint="eastAsia" w:ascii="宋体" w:hAnsi="宋体" w:eastAsia="宋体" w:cs="宋体"/>
          <w:color w:val="auto"/>
          <w:sz w:val="21"/>
          <w:szCs w:val="21"/>
          <w:u w:val="single"/>
        </w:rPr>
        <w:t>处罚金，处罚标准：技术负责人 1000 元/人•次（人民币）；专业工程师500 元/人•次（人民币）</w:t>
      </w:r>
      <w:r>
        <w:rPr>
          <w:rFonts w:hint="eastAsia" w:ascii="宋体" w:hAnsi="宋体" w:eastAsia="宋体" w:cs="宋体"/>
          <w:color w:val="auto"/>
          <w:sz w:val="21"/>
          <w:szCs w:val="21"/>
        </w:rPr>
        <w:t>。</w:t>
      </w:r>
    </w:p>
    <w:p w14:paraId="51FF3977">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3.3.4 承包人主要施工管理人员离开施工现场的批准要求：</w:t>
      </w:r>
      <w:r>
        <w:rPr>
          <w:rFonts w:hint="eastAsia" w:ascii="宋体" w:hAnsi="宋体" w:eastAsia="宋体" w:cs="宋体"/>
          <w:color w:val="auto"/>
          <w:sz w:val="21"/>
          <w:szCs w:val="21"/>
          <w:u w:val="single"/>
        </w:rPr>
        <w:t>需经发包人及监理工程师审批后可以离开，并按规定时间</w:t>
      </w:r>
      <w:r>
        <w:rPr>
          <w:rFonts w:hint="eastAsia" w:ascii="宋体" w:hAnsi="宋体" w:cs="宋体"/>
          <w:color w:val="auto"/>
          <w:sz w:val="21"/>
          <w:szCs w:val="21"/>
          <w:u w:val="single"/>
          <w:lang w:eastAsia="zh-CN"/>
        </w:rPr>
        <w:t>回到</w:t>
      </w:r>
      <w:r>
        <w:rPr>
          <w:rFonts w:hint="eastAsia" w:ascii="宋体" w:hAnsi="宋体" w:eastAsia="宋体" w:cs="宋体"/>
          <w:color w:val="auto"/>
          <w:sz w:val="21"/>
          <w:szCs w:val="21"/>
          <w:u w:val="single"/>
        </w:rPr>
        <w:t>施工现场</w:t>
      </w:r>
      <w:r>
        <w:rPr>
          <w:rFonts w:hint="eastAsia" w:ascii="宋体" w:hAnsi="宋体" w:eastAsia="宋体" w:cs="宋体"/>
          <w:color w:val="auto"/>
          <w:sz w:val="21"/>
          <w:szCs w:val="21"/>
        </w:rPr>
        <w:t>。</w:t>
      </w:r>
    </w:p>
    <w:p w14:paraId="66FB58F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3.3.5 承包人擅自更换主要施工管理人员的违约责任：</w:t>
      </w:r>
      <w:r>
        <w:rPr>
          <w:rFonts w:hint="eastAsia" w:ascii="宋体" w:hAnsi="宋体" w:eastAsia="宋体" w:cs="宋体"/>
          <w:color w:val="auto"/>
          <w:sz w:val="21"/>
          <w:szCs w:val="21"/>
          <w:u w:val="single"/>
        </w:rPr>
        <w:t>项目技术负责人、专职安全员及其承诺的</w:t>
      </w:r>
      <w:r>
        <w:rPr>
          <w:rFonts w:hint="eastAsia" w:ascii="宋体" w:hAnsi="宋体" w:cs="宋体"/>
          <w:color w:val="auto"/>
          <w:sz w:val="21"/>
          <w:szCs w:val="21"/>
          <w:u w:val="single"/>
          <w:lang w:eastAsia="zh-CN"/>
        </w:rPr>
        <w:t>其他</w:t>
      </w:r>
      <w:r>
        <w:rPr>
          <w:rFonts w:hint="eastAsia" w:ascii="宋体" w:hAnsi="宋体" w:eastAsia="宋体" w:cs="宋体"/>
          <w:color w:val="auto"/>
          <w:sz w:val="21"/>
          <w:szCs w:val="21"/>
          <w:u w:val="single"/>
        </w:rPr>
        <w:t>在场管理人员未经发包人书面同意不准擅自更换，擅自更换项目技术负责人处 1000 元/人•次（人民币）违约金；擅自更换专职安全员处500元/人•次（人民币）违约金；擅自更换</w:t>
      </w:r>
      <w:r>
        <w:rPr>
          <w:rFonts w:hint="eastAsia" w:ascii="宋体" w:hAnsi="宋体" w:cs="宋体"/>
          <w:color w:val="auto"/>
          <w:sz w:val="21"/>
          <w:szCs w:val="21"/>
          <w:u w:val="single"/>
          <w:lang w:eastAsia="zh-CN"/>
        </w:rPr>
        <w:t>其他</w:t>
      </w:r>
      <w:r>
        <w:rPr>
          <w:rFonts w:hint="eastAsia" w:ascii="宋体" w:hAnsi="宋体" w:eastAsia="宋体" w:cs="宋体"/>
          <w:color w:val="auto"/>
          <w:sz w:val="21"/>
          <w:szCs w:val="21"/>
          <w:u w:val="single"/>
        </w:rPr>
        <w:t>在场管理人员处400元/人•次（人民币）违约金</w:t>
      </w:r>
      <w:r>
        <w:rPr>
          <w:rFonts w:hint="eastAsia" w:ascii="宋体" w:hAnsi="宋体" w:eastAsia="宋体" w:cs="宋体"/>
          <w:color w:val="auto"/>
          <w:sz w:val="21"/>
          <w:szCs w:val="21"/>
        </w:rPr>
        <w:t>。</w:t>
      </w:r>
    </w:p>
    <w:p w14:paraId="365135A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承包人主要施工管理人员擅自离开施工现场的违约责任：</w:t>
      </w:r>
      <w:r>
        <w:rPr>
          <w:rFonts w:hint="eastAsia" w:ascii="宋体" w:hAnsi="宋体" w:eastAsia="宋体" w:cs="宋体"/>
          <w:color w:val="auto"/>
          <w:sz w:val="21"/>
          <w:szCs w:val="21"/>
          <w:u w:val="single"/>
        </w:rPr>
        <w:t>未经发包人同意，项目技术负责人擅自离岗的，视为承包人违约，发包人有权处违约金1000元/人•次（人民币）；未经发包人同意，专职安全员擅自离岗的，视为承包人违约，发包人有权处违约金1000元/人•次（人民币）；</w:t>
      </w:r>
      <w:r>
        <w:rPr>
          <w:rFonts w:hint="eastAsia" w:ascii="宋体" w:hAnsi="宋体" w:cs="宋体"/>
          <w:color w:val="auto"/>
          <w:sz w:val="21"/>
          <w:szCs w:val="21"/>
          <w:u w:val="single"/>
          <w:lang w:eastAsia="zh-CN"/>
        </w:rPr>
        <w:t>其他</w:t>
      </w:r>
      <w:r>
        <w:rPr>
          <w:rFonts w:hint="eastAsia" w:ascii="宋体" w:hAnsi="宋体" w:eastAsia="宋体" w:cs="宋体"/>
          <w:color w:val="auto"/>
          <w:sz w:val="21"/>
          <w:szCs w:val="21"/>
          <w:u w:val="single"/>
        </w:rPr>
        <w:t>在场管理人员擅自离岗的，视为承包人违约，发包人有权处违约金500元/人•次（人民币）</w:t>
      </w:r>
      <w:r>
        <w:rPr>
          <w:rFonts w:hint="eastAsia" w:ascii="宋体" w:hAnsi="宋体" w:eastAsia="宋体" w:cs="宋体"/>
          <w:color w:val="auto"/>
          <w:sz w:val="21"/>
          <w:szCs w:val="21"/>
        </w:rPr>
        <w:t>。</w:t>
      </w:r>
    </w:p>
    <w:p w14:paraId="46255C4F">
      <w:pPr>
        <w:pStyle w:val="7"/>
        <w:adjustRightInd w:val="0"/>
        <w:snapToGrid w:val="0"/>
        <w:ind w:firstLine="422" w:firstLineChars="200"/>
        <w:rPr>
          <w:rFonts w:hint="eastAsia" w:ascii="宋体" w:hAnsi="宋体" w:eastAsia="宋体" w:cs="宋体"/>
          <w:color w:val="auto"/>
          <w:sz w:val="21"/>
          <w:szCs w:val="21"/>
        </w:rPr>
      </w:pPr>
      <w:bookmarkStart w:id="785" w:name="_Toc373227710"/>
      <w:bookmarkStart w:id="786" w:name="_Toc389065276"/>
      <w:bookmarkStart w:id="787" w:name="_Toc467599571"/>
      <w:bookmarkStart w:id="788" w:name="_Toc373478357"/>
      <w:r>
        <w:rPr>
          <w:rFonts w:hint="eastAsia" w:ascii="宋体" w:hAnsi="宋体" w:eastAsia="宋体" w:cs="宋体"/>
          <w:color w:val="auto"/>
          <w:sz w:val="21"/>
          <w:szCs w:val="21"/>
        </w:rPr>
        <w:t>3</w:t>
      </w:r>
      <w:bookmarkStart w:id="789" w:name="_Toc303539102"/>
      <w:bookmarkStart w:id="790" w:name="_Toc296890987"/>
      <w:bookmarkStart w:id="791" w:name="_Toc292559869"/>
      <w:bookmarkStart w:id="792" w:name="_Toc300934945"/>
      <w:bookmarkStart w:id="793" w:name="_Toc296944498"/>
      <w:bookmarkStart w:id="794" w:name="_Toc297048345"/>
      <w:bookmarkStart w:id="795" w:name="_Toc297123492"/>
      <w:bookmarkStart w:id="796" w:name="_Toc312677988"/>
      <w:bookmarkStart w:id="797" w:name="_Toc304295523"/>
      <w:bookmarkStart w:id="798" w:name="_Toc297216151"/>
      <w:bookmarkStart w:id="799" w:name="_Toc296503159"/>
      <w:bookmarkStart w:id="800" w:name="_Toc296346660"/>
      <w:bookmarkStart w:id="801" w:name="_Toc296347158"/>
      <w:bookmarkStart w:id="802" w:name="_Toc297120459"/>
      <w:bookmarkStart w:id="803" w:name="_Toc296891199"/>
      <w:bookmarkStart w:id="804" w:name="_Toc292559364"/>
      <w:r>
        <w:rPr>
          <w:rFonts w:hint="eastAsia" w:ascii="宋体" w:hAnsi="宋体" w:eastAsia="宋体" w:cs="宋体"/>
          <w:color w:val="auto"/>
          <w:sz w:val="21"/>
          <w:szCs w:val="21"/>
        </w:rPr>
        <w:t>.4 分包</w:t>
      </w:r>
      <w:bookmarkEnd w:id="785"/>
      <w:bookmarkEnd w:id="786"/>
      <w:bookmarkEnd w:id="787"/>
      <w:bookmarkEnd w:id="788"/>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44C6A11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805" w:name="_Toc318581158"/>
      <w:bookmarkStart w:id="806" w:name="_Toc300934946"/>
      <w:bookmarkStart w:id="807" w:name="_Toc296944499"/>
      <w:bookmarkStart w:id="808" w:name="_Toc297123493"/>
      <w:bookmarkStart w:id="809" w:name="_Toc292559870"/>
      <w:bookmarkStart w:id="810" w:name="_Toc296503160"/>
      <w:bookmarkStart w:id="811" w:name="_Toc296346661"/>
      <w:bookmarkStart w:id="812" w:name="_Toc296891200"/>
      <w:bookmarkStart w:id="813" w:name="_Toc312677989"/>
      <w:bookmarkStart w:id="814" w:name="_Toc292559365"/>
      <w:bookmarkStart w:id="815" w:name="_Toc304295524"/>
      <w:bookmarkStart w:id="816" w:name="_Toc297216152"/>
      <w:bookmarkStart w:id="817" w:name="_Toc303539103"/>
      <w:bookmarkStart w:id="818" w:name="_Toc296890988"/>
      <w:bookmarkStart w:id="819" w:name="_Toc296347159"/>
      <w:bookmarkStart w:id="820" w:name="_Toc297120460"/>
      <w:bookmarkStart w:id="821" w:name="_Toc297048346"/>
      <w:r>
        <w:rPr>
          <w:rFonts w:hint="eastAsia" w:ascii="宋体" w:hAnsi="宋体" w:eastAsia="宋体" w:cs="宋体"/>
          <w:color w:val="auto"/>
          <w:sz w:val="21"/>
          <w:szCs w:val="21"/>
        </w:rPr>
        <w:t>.4.1 分包的一般约定</w:t>
      </w:r>
    </w:p>
    <w:p w14:paraId="45D645E1">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禁止分包的工程包括：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B3D19E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主体结构、关键性工作的范围：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A3D2FE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bookmarkStart w:id="822" w:name="_Toc312677990"/>
      <w:bookmarkStart w:id="823" w:name="_Toc318581159"/>
      <w:r>
        <w:rPr>
          <w:rFonts w:hint="eastAsia" w:ascii="宋体" w:hAnsi="宋体" w:eastAsia="宋体" w:cs="宋体"/>
          <w:color w:val="auto"/>
          <w:sz w:val="21"/>
          <w:szCs w:val="21"/>
        </w:rPr>
        <w:t>.4.2 分包的确定</w:t>
      </w:r>
    </w:p>
    <w:p w14:paraId="663DC17F">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允许分包的专业工程包括：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4353D5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其他关于分包的约定：</w:t>
      </w:r>
    </w:p>
    <w:p w14:paraId="6D7A47ED">
      <w:pPr>
        <w:numPr>
          <w:ilvl w:val="0"/>
          <w:numId w:val="7"/>
        </w:num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7D18472">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（2）在相关分包合同签订并报送有关建设行政主管部门备案后7天内，承包人应当将一份副本提交给监理人，承包人应保障分包工作不得再次分包。</w:t>
      </w:r>
    </w:p>
    <w:p w14:paraId="71F6655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lang w:eastAsia="zh-CN"/>
        </w:rPr>
        <w:t>（</w:t>
      </w:r>
      <w:r>
        <w:rPr>
          <w:rFonts w:hint="eastAsia" w:ascii="宋体" w:hAnsi="宋体" w:eastAsia="宋体" w:cs="宋体"/>
          <w:color w:val="auto"/>
          <w:sz w:val="21"/>
          <w:szCs w:val="21"/>
        </w:rPr>
        <w:t>或</w:t>
      </w:r>
      <w:r>
        <w:rPr>
          <w:rFonts w:hint="eastAsia" w:ascii="宋体" w:hAnsi="宋体" w:cs="宋体"/>
          <w:color w:val="auto"/>
          <w:sz w:val="21"/>
          <w:szCs w:val="21"/>
          <w:lang w:eastAsia="zh-CN"/>
        </w:rPr>
        <w:t>）</w:t>
      </w:r>
      <w:r>
        <w:rPr>
          <w:rFonts w:hint="eastAsia" w:ascii="宋体" w:hAnsi="宋体" w:eastAsia="宋体" w:cs="宋体"/>
          <w:color w:val="auto"/>
          <w:sz w:val="21"/>
          <w:szCs w:val="21"/>
        </w:rPr>
        <w:t>延误的工期由发包人承担。</w:t>
      </w:r>
    </w:p>
    <w:p w14:paraId="27ED8BF0">
      <w:pPr>
        <w:pStyle w:val="16"/>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（4）承包人有以下情况之一者，发包人有权解除合同，没收全部履约保证金：</w:t>
      </w:r>
    </w:p>
    <w:p w14:paraId="7CC4A2E3">
      <w:pPr>
        <w:pStyle w:val="16"/>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①个人承包工程，包括本人单位及外单位人员承包，发包人不承认其个人拥有任何资质等级及营业许可资格。</w:t>
      </w:r>
    </w:p>
    <w:p w14:paraId="4E2B5758">
      <w:pPr>
        <w:pStyle w:val="16"/>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②承接工程后，就地组织暗分包队伍，不具备完成本工程的技术、机械能力，被发包人判定为没有能力履行的承包人。</w:t>
      </w:r>
    </w:p>
    <w:p w14:paraId="0868C939">
      <w:pPr>
        <w:pStyle w:val="16"/>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③就地转包全部的工程，以谋取高额转让费、管理费的承包人。没收全部履约保证金。</w:t>
      </w:r>
    </w:p>
    <w:p w14:paraId="3D153880">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④承包人有部分分包现象（其中包括冒充承包人下属单位的</w:t>
      </w:r>
      <w:r>
        <w:rPr>
          <w:rFonts w:hint="eastAsia" w:ascii="宋体" w:hAnsi="宋体" w:cs="宋体"/>
          <w:color w:val="auto"/>
          <w:sz w:val="21"/>
          <w:szCs w:val="21"/>
          <w:lang w:eastAsia="zh-CN"/>
        </w:rPr>
        <w:t>挂钩</w:t>
      </w:r>
      <w:r>
        <w:rPr>
          <w:rFonts w:hint="eastAsia" w:ascii="宋体" w:hAnsi="宋体" w:eastAsia="宋体" w:cs="宋体"/>
          <w:color w:val="auto"/>
          <w:sz w:val="21"/>
          <w:szCs w:val="21"/>
        </w:rPr>
        <w:t>单位，凭口头协议参与施工的分包人及其他暗分包个体户），一经发现核实，发包人将采取驱逐该暗分包人措施，由此引发的一切后果由承包人承担。</w:t>
      </w:r>
    </w:p>
    <w:p w14:paraId="4338AAE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3.4.3 分包合同价款</w:t>
      </w:r>
    </w:p>
    <w:bookmarkEnd w:id="822"/>
    <w:bookmarkEnd w:id="823"/>
    <w:p w14:paraId="64746451">
      <w:pPr>
        <w:adjustRightInd w:val="0"/>
        <w:snapToGrid w:val="0"/>
        <w:spacing w:line="360" w:lineRule="auto"/>
        <w:ind w:firstLine="420" w:firstLineChars="200"/>
        <w:rPr>
          <w:rFonts w:hint="eastAsia" w:ascii="宋体" w:hAnsi="宋体" w:eastAsia="宋体" w:cs="宋体"/>
          <w:color w:val="auto"/>
          <w:sz w:val="21"/>
          <w:szCs w:val="21"/>
        </w:rPr>
      </w:pPr>
      <w:bookmarkStart w:id="824" w:name="_Toc373227711"/>
      <w:bookmarkStart w:id="825" w:name="_Toc389065277"/>
      <w:bookmarkStart w:id="826" w:name="_Toc373478358"/>
      <w:r>
        <w:rPr>
          <w:rFonts w:hint="eastAsia" w:ascii="宋体" w:hAnsi="宋体" w:eastAsia="宋体" w:cs="宋体"/>
          <w:color w:val="auto"/>
          <w:sz w:val="21"/>
          <w:szCs w:val="21"/>
        </w:rPr>
        <w:t>关于分包合同价款支付的约定：</w:t>
      </w:r>
      <w:r>
        <w:rPr>
          <w:rFonts w:hint="eastAsia" w:ascii="宋体" w:hAnsi="宋体" w:eastAsia="宋体" w:cs="宋体"/>
          <w:color w:val="auto"/>
          <w:sz w:val="21"/>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2E3978D3">
      <w:pPr>
        <w:pStyle w:val="7"/>
        <w:adjustRightInd w:val="0"/>
        <w:snapToGrid w:val="0"/>
        <w:ind w:firstLine="422" w:firstLineChars="200"/>
        <w:rPr>
          <w:rFonts w:hint="eastAsia" w:ascii="宋体" w:hAnsi="宋体" w:eastAsia="宋体" w:cs="宋体"/>
          <w:color w:val="auto"/>
          <w:sz w:val="21"/>
          <w:szCs w:val="21"/>
        </w:rPr>
      </w:pPr>
      <w:bookmarkStart w:id="827" w:name="_Toc467599572"/>
      <w:r>
        <w:rPr>
          <w:rFonts w:hint="eastAsia" w:ascii="宋体" w:hAnsi="宋体" w:eastAsia="宋体" w:cs="宋体"/>
          <w:color w:val="auto"/>
          <w:sz w:val="21"/>
          <w:szCs w:val="21"/>
        </w:rPr>
        <w:t>3.5 工程照管与成品、半成品保护</w:t>
      </w:r>
      <w:bookmarkEnd w:id="824"/>
      <w:bookmarkEnd w:id="825"/>
      <w:bookmarkEnd w:id="826"/>
      <w:bookmarkEnd w:id="827"/>
    </w:p>
    <w:p w14:paraId="008BC1F1">
      <w:pPr>
        <w:adjustRightInd w:val="0"/>
        <w:snapToGrid w:val="0"/>
        <w:spacing w:line="360" w:lineRule="auto"/>
        <w:ind w:firstLine="420" w:firstLineChars="200"/>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承包人负责照管工程及工程相关的材料、工程设备的起始时间：</w:t>
      </w:r>
      <w:r>
        <w:rPr>
          <w:rFonts w:hint="eastAsia" w:ascii="宋体" w:hAnsi="宋体" w:eastAsia="宋体" w:cs="宋体"/>
          <w:color w:val="auto"/>
          <w:sz w:val="21"/>
          <w:szCs w:val="21"/>
          <w:u w:val="single"/>
        </w:rPr>
        <w:t>从进场之日起直至工程竣工验收或移交发包人为止</w:t>
      </w:r>
      <w:r>
        <w:rPr>
          <w:rFonts w:hint="eastAsia" w:ascii="宋体" w:hAnsi="宋体" w:eastAsia="宋体" w:cs="宋体"/>
          <w:color w:val="auto"/>
          <w:sz w:val="21"/>
          <w:szCs w:val="21"/>
        </w:rPr>
        <w:t>。</w:t>
      </w:r>
    </w:p>
    <w:p w14:paraId="2EB37008">
      <w:pPr>
        <w:pStyle w:val="7"/>
        <w:adjustRightInd w:val="0"/>
        <w:snapToGrid w:val="0"/>
        <w:ind w:firstLine="422" w:firstLineChars="200"/>
        <w:rPr>
          <w:rFonts w:hint="eastAsia" w:ascii="宋体" w:hAnsi="宋体" w:eastAsia="宋体" w:cs="宋体"/>
          <w:color w:val="auto"/>
          <w:sz w:val="21"/>
          <w:szCs w:val="21"/>
        </w:rPr>
      </w:pPr>
      <w:bookmarkStart w:id="828" w:name="_Toc389065278"/>
      <w:bookmarkStart w:id="829" w:name="_Toc373227712"/>
      <w:bookmarkStart w:id="830" w:name="_Toc373478359"/>
      <w:bookmarkStart w:id="831" w:name="_Toc467599573"/>
      <w:r>
        <w:rPr>
          <w:rFonts w:hint="eastAsia" w:ascii="宋体" w:hAnsi="宋体" w:eastAsia="宋体" w:cs="宋体"/>
          <w:color w:val="auto"/>
          <w:sz w:val="21"/>
          <w:szCs w:val="21"/>
        </w:rPr>
        <w:t>3.6 履约</w:t>
      </w:r>
      <w:bookmarkEnd w:id="828"/>
      <w:bookmarkEnd w:id="829"/>
      <w:bookmarkEnd w:id="830"/>
      <w:r>
        <w:rPr>
          <w:rFonts w:hint="eastAsia" w:ascii="宋体" w:hAnsi="宋体" w:eastAsia="宋体" w:cs="宋体"/>
          <w:color w:val="auto"/>
          <w:sz w:val="21"/>
          <w:szCs w:val="21"/>
        </w:rPr>
        <w:t>保证金</w:t>
      </w:r>
      <w:bookmarkEnd w:id="831"/>
    </w:p>
    <w:p w14:paraId="30E544FB">
      <w:pPr>
        <w:adjustRightInd w:val="0"/>
        <w:snapToGrid w:val="0"/>
        <w:spacing w:line="360" w:lineRule="auto"/>
        <w:ind w:firstLine="420" w:firstLineChars="200"/>
        <w:jc w:val="left"/>
        <w:rPr>
          <w:rFonts w:hint="eastAsia" w:ascii="宋体" w:hAnsi="宋体" w:eastAsia="宋体" w:cs="宋体"/>
          <w:color w:val="auto"/>
          <w:sz w:val="21"/>
          <w:szCs w:val="21"/>
        </w:rPr>
      </w:pPr>
      <w:bookmarkStart w:id="832" w:name="_Toc351203636"/>
      <w:bookmarkStart w:id="833" w:name="_Toc373227713"/>
      <w:bookmarkStart w:id="834" w:name="_Toc373478360"/>
      <w:bookmarkStart w:id="835" w:name="_Toc389065279"/>
      <w:r>
        <w:rPr>
          <w:rFonts w:hint="eastAsia" w:ascii="宋体" w:hAnsi="宋体" w:eastAsia="宋体" w:cs="宋体"/>
          <w:color w:val="auto"/>
          <w:sz w:val="21"/>
          <w:szCs w:val="21"/>
        </w:rPr>
        <w:t>承包人提供履约担保的形式、金额及</w:t>
      </w:r>
      <w:r>
        <w:rPr>
          <w:rFonts w:hint="eastAsia" w:ascii="宋体" w:hAnsi="宋体" w:cs="宋体"/>
          <w:color w:val="auto"/>
          <w:sz w:val="21"/>
          <w:szCs w:val="21"/>
          <w:lang w:eastAsia="zh-CN"/>
        </w:rPr>
        <w:t>期限</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承包人在收到中标通知书后，须在30日内向发包人提交合同价款扣除建安劳保费、发包人材料设备价款、暂估专业工程、暂列金额后的 5 %的履约担保（银行转账、电汇或网上支付银行保函、工程担保、工程保证保险）。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27C3E13A">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承包人对验收发现问题完成整改并且竣工验收合格之日起  日内，发包人支付履约保证金的50%；承包人向发包人完成（施工）竣工资料移交手续后，可向发包人申请退还剩余履约保证金，发包人应在收到申请之日起   个日历天内扣减承包人赔偿金和其他应从承包人扣回的款项后，将履约保证金的余额退还给承包人。</w:t>
      </w:r>
    </w:p>
    <w:p w14:paraId="117C80B6">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承包人在中标后7个工作日内，按（各市住房城乡建设行政主管部门规定）规定将农民工工资保障金存入</w:t>
      </w:r>
      <w:r>
        <w:rPr>
          <w:rFonts w:hint="eastAsia" w:ascii="宋体" w:hAnsi="宋体" w:cs="宋体"/>
          <w:color w:val="auto"/>
          <w:sz w:val="21"/>
          <w:szCs w:val="21"/>
          <w:u w:val="single"/>
          <w:lang w:eastAsia="zh-CN"/>
        </w:rPr>
        <w:t>账户</w:t>
      </w:r>
      <w:r>
        <w:rPr>
          <w:rFonts w:hint="eastAsia" w:ascii="宋体" w:hAnsi="宋体" w:eastAsia="宋体" w:cs="宋体"/>
          <w:color w:val="auto"/>
          <w:sz w:val="21"/>
          <w:szCs w:val="21"/>
          <w:u w:val="single"/>
        </w:rPr>
        <w:t>。工程竣工验收结算经审定后，按照规定程序，将农民工工资保障金没有使用或剩余的金额退还给承包人</w:t>
      </w:r>
      <w:r>
        <w:rPr>
          <w:rFonts w:hint="eastAsia" w:ascii="宋体" w:hAnsi="宋体" w:eastAsia="宋体" w:cs="宋体"/>
          <w:color w:val="auto"/>
          <w:sz w:val="21"/>
          <w:szCs w:val="21"/>
        </w:rPr>
        <w:t>。</w:t>
      </w:r>
    </w:p>
    <w:p w14:paraId="215B85B1">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836" w:name="_Toc467599574"/>
      <w:bookmarkStart w:id="837" w:name="_Toc29399_WPSOffice_Level3"/>
      <w:r>
        <w:rPr>
          <w:rFonts w:hint="eastAsia" w:ascii="宋体" w:hAnsi="宋体" w:eastAsia="宋体" w:cs="宋体"/>
          <w:color w:val="auto"/>
          <w:sz w:val="21"/>
          <w:szCs w:val="21"/>
        </w:rPr>
        <w:t>4</w:t>
      </w:r>
      <w:bookmarkStart w:id="838" w:name="_Toc296891202"/>
      <w:bookmarkStart w:id="839" w:name="_Toc296944501"/>
      <w:bookmarkStart w:id="840" w:name="_Toc292559871"/>
      <w:bookmarkStart w:id="841" w:name="_Toc296346663"/>
      <w:bookmarkStart w:id="842" w:name="_Toc296347161"/>
      <w:bookmarkStart w:id="843" w:name="_Toc296503162"/>
      <w:bookmarkStart w:id="844" w:name="_Toc297120462"/>
      <w:bookmarkStart w:id="845" w:name="_Toc267251413"/>
      <w:bookmarkStart w:id="846" w:name="_Toc296890990"/>
      <w:bookmarkStart w:id="847" w:name="_Toc297048348"/>
      <w:bookmarkStart w:id="848" w:name="_Toc292559366"/>
      <w:r>
        <w:rPr>
          <w:rFonts w:hint="eastAsia" w:ascii="宋体" w:hAnsi="宋体" w:eastAsia="宋体" w:cs="宋体"/>
          <w:color w:val="auto"/>
          <w:sz w:val="21"/>
          <w:szCs w:val="21"/>
        </w:rPr>
        <w:t>. 监</w:t>
      </w:r>
      <w:bookmarkEnd w:id="838"/>
      <w:bookmarkEnd w:id="839"/>
      <w:bookmarkEnd w:id="840"/>
      <w:bookmarkEnd w:id="841"/>
      <w:bookmarkEnd w:id="842"/>
      <w:bookmarkEnd w:id="843"/>
      <w:bookmarkEnd w:id="844"/>
      <w:bookmarkEnd w:id="845"/>
      <w:bookmarkEnd w:id="846"/>
      <w:bookmarkEnd w:id="847"/>
      <w:bookmarkEnd w:id="848"/>
      <w:r>
        <w:rPr>
          <w:rFonts w:hint="eastAsia" w:ascii="宋体" w:hAnsi="宋体" w:eastAsia="宋体" w:cs="宋体"/>
          <w:color w:val="auto"/>
          <w:sz w:val="21"/>
          <w:szCs w:val="21"/>
        </w:rPr>
        <w:t>理人</w:t>
      </w:r>
      <w:bookmarkEnd w:id="832"/>
      <w:bookmarkEnd w:id="833"/>
      <w:bookmarkEnd w:id="834"/>
      <w:bookmarkEnd w:id="835"/>
      <w:bookmarkEnd w:id="836"/>
      <w:bookmarkEnd w:id="837"/>
    </w:p>
    <w:p w14:paraId="6E1D475D">
      <w:pPr>
        <w:pStyle w:val="7"/>
        <w:adjustRightInd w:val="0"/>
        <w:snapToGrid w:val="0"/>
        <w:ind w:firstLine="422" w:firstLineChars="200"/>
        <w:rPr>
          <w:rFonts w:hint="eastAsia" w:ascii="宋体" w:hAnsi="宋体" w:eastAsia="宋体" w:cs="宋体"/>
          <w:color w:val="auto"/>
          <w:sz w:val="21"/>
          <w:szCs w:val="21"/>
        </w:rPr>
      </w:pPr>
      <w:bookmarkStart w:id="849" w:name="_Toc373478361"/>
      <w:bookmarkStart w:id="850" w:name="_Toc467599575"/>
      <w:bookmarkStart w:id="851" w:name="_Toc389065280"/>
      <w:bookmarkStart w:id="852" w:name="_Toc373227714"/>
      <w:r>
        <w:rPr>
          <w:rFonts w:hint="eastAsia" w:ascii="宋体" w:hAnsi="宋体" w:eastAsia="宋体" w:cs="宋体"/>
          <w:color w:val="auto"/>
          <w:sz w:val="21"/>
          <w:szCs w:val="21"/>
        </w:rPr>
        <w:t>4.1 监理人的一般规定</w:t>
      </w:r>
      <w:bookmarkEnd w:id="849"/>
      <w:bookmarkEnd w:id="850"/>
      <w:bookmarkEnd w:id="851"/>
      <w:bookmarkEnd w:id="852"/>
    </w:p>
    <w:p w14:paraId="3F19A64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 xml:space="preserve"> 《建设工程委托监理合同》  </w:t>
      </w:r>
      <w:r>
        <w:rPr>
          <w:rFonts w:hint="eastAsia" w:ascii="宋体" w:hAnsi="宋体" w:eastAsia="宋体" w:cs="宋体"/>
          <w:color w:val="auto"/>
          <w:sz w:val="21"/>
          <w:szCs w:val="21"/>
        </w:rPr>
        <w:t>。</w:t>
      </w:r>
    </w:p>
    <w:p w14:paraId="60C128C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关于监理人的监理权限：</w:t>
      </w:r>
      <w:r>
        <w:rPr>
          <w:rFonts w:hint="eastAsia" w:ascii="宋体" w:hAnsi="宋体" w:eastAsia="宋体" w:cs="宋体"/>
          <w:color w:val="auto"/>
          <w:sz w:val="21"/>
          <w:szCs w:val="21"/>
          <w:u w:val="single"/>
        </w:rPr>
        <w:t xml:space="preserve"> 《建设工程委托监理合同》  </w:t>
      </w:r>
      <w:r>
        <w:rPr>
          <w:rFonts w:hint="eastAsia" w:ascii="宋体" w:hAnsi="宋体" w:eastAsia="宋体" w:cs="宋体"/>
          <w:color w:val="auto"/>
          <w:sz w:val="21"/>
          <w:szCs w:val="21"/>
        </w:rPr>
        <w:t xml:space="preserve">。 </w:t>
      </w:r>
    </w:p>
    <w:p w14:paraId="70329782">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关于监理人在施工现场的办公场所、生活场所的提供和费用承担的约定：</w:t>
      </w:r>
      <w:r>
        <w:rPr>
          <w:rFonts w:hint="eastAsia" w:ascii="宋体" w:hAnsi="宋体" w:eastAsia="宋体" w:cs="宋体"/>
          <w:color w:val="auto"/>
          <w:sz w:val="21"/>
          <w:szCs w:val="21"/>
          <w:u w:val="single"/>
        </w:rPr>
        <w:t xml:space="preserve"> 由委托人提供办公场所、生活场所  </w:t>
      </w:r>
      <w:r>
        <w:rPr>
          <w:rFonts w:hint="eastAsia" w:ascii="宋体" w:hAnsi="宋体" w:eastAsia="宋体" w:cs="宋体"/>
          <w:color w:val="auto"/>
          <w:sz w:val="21"/>
          <w:szCs w:val="21"/>
        </w:rPr>
        <w:t>。</w:t>
      </w:r>
    </w:p>
    <w:p w14:paraId="57BD0542">
      <w:pPr>
        <w:pStyle w:val="7"/>
        <w:adjustRightInd w:val="0"/>
        <w:snapToGrid w:val="0"/>
        <w:ind w:firstLine="422" w:firstLineChars="200"/>
        <w:rPr>
          <w:rFonts w:hint="eastAsia" w:ascii="宋体" w:hAnsi="宋体" w:eastAsia="宋体" w:cs="宋体"/>
          <w:color w:val="auto"/>
          <w:sz w:val="21"/>
          <w:szCs w:val="21"/>
        </w:rPr>
      </w:pPr>
      <w:bookmarkStart w:id="853" w:name="_Toc389065281"/>
      <w:bookmarkStart w:id="854" w:name="_Toc373227715"/>
      <w:bookmarkStart w:id="855" w:name="_Toc467599576"/>
      <w:bookmarkStart w:id="856" w:name="_Toc373478362"/>
      <w:r>
        <w:rPr>
          <w:rFonts w:hint="eastAsia" w:ascii="宋体" w:hAnsi="宋体" w:eastAsia="宋体" w:cs="宋体"/>
          <w:color w:val="auto"/>
          <w:sz w:val="21"/>
          <w:szCs w:val="21"/>
        </w:rPr>
        <w:t>4.2 监理人员</w:t>
      </w:r>
      <w:bookmarkEnd w:id="853"/>
      <w:bookmarkEnd w:id="854"/>
      <w:bookmarkEnd w:id="855"/>
      <w:bookmarkEnd w:id="856"/>
    </w:p>
    <w:p w14:paraId="2347781E">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224A9AE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0F1D211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77695B8D">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FC2E15C">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1EC4CA9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0FC87EF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19594277">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关于监理人的其他约定：</w:t>
      </w:r>
      <w:r>
        <w:rPr>
          <w:rFonts w:hint="eastAsia" w:ascii="宋体" w:hAnsi="宋体" w:eastAsia="宋体" w:cs="宋体"/>
          <w:color w:val="auto"/>
          <w:sz w:val="21"/>
          <w:szCs w:val="21"/>
          <w:u w:val="single"/>
        </w:rPr>
        <w:t>   </w:t>
      </w:r>
      <w:r>
        <w:rPr>
          <w:rFonts w:hint="eastAsia" w:ascii="宋体" w:hAnsi="宋体" w:eastAsia="宋体" w:cs="宋体"/>
          <w:color w:val="auto"/>
          <w:sz w:val="21"/>
          <w:szCs w:val="21"/>
        </w:rPr>
        <w:t>。</w:t>
      </w:r>
    </w:p>
    <w:p w14:paraId="0F672AE3">
      <w:pPr>
        <w:pStyle w:val="7"/>
        <w:adjustRightInd w:val="0"/>
        <w:snapToGrid w:val="0"/>
        <w:ind w:firstLine="422" w:firstLineChars="200"/>
        <w:rPr>
          <w:rFonts w:hint="eastAsia" w:ascii="宋体" w:hAnsi="宋体" w:eastAsia="宋体" w:cs="宋体"/>
          <w:color w:val="auto"/>
          <w:sz w:val="21"/>
          <w:szCs w:val="21"/>
        </w:rPr>
      </w:pPr>
      <w:bookmarkStart w:id="857" w:name="_Toc373227716"/>
      <w:bookmarkStart w:id="858" w:name="_Toc389065282"/>
      <w:bookmarkStart w:id="859" w:name="_Toc373478363"/>
      <w:bookmarkStart w:id="860" w:name="_Toc467599577"/>
      <w:r>
        <w:rPr>
          <w:rFonts w:hint="eastAsia" w:ascii="宋体" w:hAnsi="宋体" w:eastAsia="宋体" w:cs="宋体"/>
          <w:color w:val="auto"/>
          <w:sz w:val="21"/>
          <w:szCs w:val="21"/>
        </w:rPr>
        <w:t>4.4 商定或确定</w:t>
      </w:r>
      <w:bookmarkEnd w:id="857"/>
      <w:bookmarkEnd w:id="858"/>
      <w:bookmarkEnd w:id="859"/>
      <w:bookmarkEnd w:id="860"/>
    </w:p>
    <w:p w14:paraId="6A043E1D">
      <w:pPr>
        <w:adjustRightInd w:val="0"/>
        <w:snapToGrid w:val="0"/>
        <w:spacing w:line="360" w:lineRule="auto"/>
        <w:ind w:firstLine="420" w:firstLineChars="200"/>
        <w:rPr>
          <w:rFonts w:hint="eastAsia" w:ascii="宋体" w:hAnsi="宋体" w:eastAsia="宋体" w:cs="宋体"/>
          <w:color w:val="auto"/>
          <w:sz w:val="21"/>
          <w:szCs w:val="21"/>
        </w:rPr>
      </w:pPr>
      <w:bookmarkStart w:id="861" w:name="_Toc267251418"/>
      <w:r>
        <w:rPr>
          <w:rFonts w:hint="eastAsia" w:ascii="宋体" w:hAnsi="宋体" w:eastAsia="宋体" w:cs="宋体"/>
          <w:color w:val="auto"/>
          <w:sz w:val="21"/>
          <w:szCs w:val="21"/>
        </w:rPr>
        <w:t>在发包人和承包人不能通过协商达成一致意见时，发包人授权监理人对以下事项进行确定：</w:t>
      </w:r>
    </w:p>
    <w:p w14:paraId="0BC3CE5F">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sz w:val="21"/>
          <w:szCs w:val="21"/>
          <w:u w:val="single"/>
        </w:rPr>
        <w:t xml:space="preserve">      另议     </w:t>
      </w:r>
      <w:r>
        <w:rPr>
          <w:rFonts w:hint="eastAsia" w:ascii="宋体" w:hAnsi="宋体" w:eastAsia="宋体" w:cs="宋体"/>
          <w:color w:val="auto"/>
          <w:sz w:val="21"/>
          <w:szCs w:val="21"/>
        </w:rPr>
        <w:t>；</w:t>
      </w:r>
    </w:p>
    <w:p w14:paraId="51CDD39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color w:val="auto"/>
          <w:sz w:val="21"/>
          <w:szCs w:val="21"/>
          <w:u w:val="single"/>
        </w:rPr>
        <w:t xml:space="preserve">       /       </w:t>
      </w:r>
      <w:r>
        <w:rPr>
          <w:rFonts w:hint="eastAsia" w:ascii="宋体" w:hAnsi="宋体" w:cs="宋体"/>
          <w:color w:val="auto"/>
          <w:sz w:val="21"/>
          <w:szCs w:val="21"/>
          <w:u w:val="single"/>
          <w:lang w:eastAsia="zh-CN"/>
        </w:rPr>
        <w:t>;</w:t>
      </w:r>
    </w:p>
    <w:p w14:paraId="14CB52CE">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59586E1">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862" w:name="_Toc373227717"/>
      <w:bookmarkStart w:id="863" w:name="_Toc467599578"/>
      <w:bookmarkStart w:id="864" w:name="_Toc4246_WPSOffice_Level3"/>
      <w:bookmarkStart w:id="865" w:name="_Toc373478364"/>
      <w:bookmarkStart w:id="866" w:name="_Toc351203637"/>
      <w:bookmarkStart w:id="867" w:name="_Toc389065283"/>
      <w:r>
        <w:rPr>
          <w:rFonts w:hint="eastAsia" w:ascii="宋体" w:hAnsi="宋体" w:eastAsia="宋体" w:cs="宋体"/>
          <w:color w:val="auto"/>
          <w:sz w:val="21"/>
          <w:szCs w:val="21"/>
        </w:rPr>
        <w:t>5</w:t>
      </w:r>
      <w:bookmarkEnd w:id="861"/>
      <w:bookmarkStart w:id="868" w:name="_Toc296890991"/>
      <w:bookmarkStart w:id="869" w:name="_Toc292559367"/>
      <w:bookmarkStart w:id="870" w:name="_Toc296944502"/>
      <w:bookmarkStart w:id="871" w:name="_Toc297120463"/>
      <w:bookmarkStart w:id="872" w:name="_Toc292559872"/>
      <w:bookmarkStart w:id="873" w:name="_Toc296503163"/>
      <w:bookmarkStart w:id="874" w:name="_Toc296346664"/>
      <w:bookmarkStart w:id="875" w:name="_Toc296891203"/>
      <w:bookmarkStart w:id="876" w:name="_Toc296347162"/>
      <w:bookmarkStart w:id="877" w:name="_Toc297048349"/>
      <w:r>
        <w:rPr>
          <w:rFonts w:hint="eastAsia" w:ascii="宋体" w:hAnsi="宋体" w:eastAsia="宋体" w:cs="宋体"/>
          <w:color w:val="auto"/>
          <w:sz w:val="21"/>
          <w:szCs w:val="21"/>
        </w:rPr>
        <w:t>. 工程质量</w:t>
      </w:r>
      <w:bookmarkEnd w:id="862"/>
      <w:bookmarkEnd w:id="863"/>
      <w:bookmarkEnd w:id="864"/>
      <w:bookmarkEnd w:id="865"/>
      <w:bookmarkEnd w:id="866"/>
      <w:bookmarkEnd w:id="867"/>
    </w:p>
    <w:p w14:paraId="32A03490">
      <w:pPr>
        <w:pStyle w:val="7"/>
        <w:adjustRightInd w:val="0"/>
        <w:snapToGrid w:val="0"/>
        <w:ind w:firstLine="422" w:firstLineChars="200"/>
        <w:rPr>
          <w:rFonts w:hint="eastAsia" w:ascii="宋体" w:hAnsi="宋体" w:eastAsia="宋体" w:cs="宋体"/>
          <w:color w:val="auto"/>
          <w:sz w:val="21"/>
          <w:szCs w:val="21"/>
        </w:rPr>
      </w:pPr>
      <w:bookmarkStart w:id="878" w:name="_Toc373478365"/>
      <w:bookmarkStart w:id="879" w:name="_Toc373227718"/>
      <w:bookmarkStart w:id="880" w:name="_Toc389065284"/>
      <w:bookmarkStart w:id="881" w:name="_Toc467599579"/>
      <w:r>
        <w:rPr>
          <w:rFonts w:hint="eastAsia" w:ascii="宋体" w:hAnsi="宋体" w:eastAsia="宋体" w:cs="宋体"/>
          <w:color w:val="auto"/>
          <w:sz w:val="21"/>
          <w:szCs w:val="21"/>
        </w:rPr>
        <w:t>5.1 质量要求</w:t>
      </w:r>
      <w:bookmarkEnd w:id="878"/>
      <w:bookmarkEnd w:id="879"/>
      <w:bookmarkEnd w:id="880"/>
      <w:bookmarkEnd w:id="881"/>
    </w:p>
    <w:p w14:paraId="55F9DBDF">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5</w:t>
      </w:r>
      <w:bookmarkStart w:id="882" w:name="_Toc300934949"/>
      <w:bookmarkStart w:id="883" w:name="_Toc297216155"/>
      <w:bookmarkStart w:id="884" w:name="_Toc312677997"/>
      <w:bookmarkStart w:id="885" w:name="_Toc297123496"/>
      <w:bookmarkStart w:id="886" w:name="_Toc318581164"/>
      <w:bookmarkStart w:id="887" w:name="_Toc303539106"/>
      <w:bookmarkStart w:id="888" w:name="_Toc304295527"/>
      <w:r>
        <w:rPr>
          <w:rFonts w:hint="eastAsia" w:ascii="宋体" w:hAnsi="宋体" w:eastAsia="宋体" w:cs="宋体"/>
          <w:color w:val="auto"/>
          <w:sz w:val="21"/>
          <w:szCs w:val="21"/>
        </w:rPr>
        <w:t>.1.1 特殊质量标准和要求：</w:t>
      </w:r>
      <w:r>
        <w:rPr>
          <w:rFonts w:hint="eastAsia" w:ascii="宋体" w:hAnsi="宋体" w:eastAsia="宋体" w:cs="宋体"/>
          <w:color w:val="auto"/>
          <w:sz w:val="21"/>
          <w:szCs w:val="21"/>
          <w:u w:val="single"/>
        </w:rPr>
        <w:t>特殊要求：严格执行广西壮族自治区住房和城乡建设厅《关于严格实行房屋建筑和市政基础设施工程质量终身责任承诺、永久性质量责任标牌、终身责任信息档案等制度的通知》</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u w:val="single"/>
        </w:rPr>
        <w:t>桂建管</w:t>
      </w:r>
      <w:r>
        <w:rPr>
          <w:rFonts w:hint="eastAsia" w:ascii="宋体" w:hAnsi="宋体" w:cs="宋体"/>
          <w:color w:val="auto"/>
          <w:sz w:val="21"/>
          <w:szCs w:val="21"/>
          <w:u w:val="single"/>
          <w:lang w:eastAsia="zh-CN"/>
        </w:rPr>
        <w:t>〔2014〕96号）</w:t>
      </w:r>
      <w:r>
        <w:rPr>
          <w:rFonts w:hint="eastAsia" w:ascii="宋体" w:hAnsi="宋体" w:eastAsia="宋体" w:cs="宋体"/>
          <w:color w:val="auto"/>
          <w:sz w:val="21"/>
          <w:szCs w:val="21"/>
          <w:u w:val="single"/>
        </w:rPr>
        <w:t>和南宁市城乡建设委员会《关于落实建设工程质量终身责任，加强工程质量管理的通知》（南建质安</w:t>
      </w:r>
      <w:r>
        <w:rPr>
          <w:rFonts w:hint="eastAsia" w:ascii="宋体" w:hAnsi="宋体" w:cs="宋体"/>
          <w:color w:val="auto"/>
          <w:sz w:val="21"/>
          <w:szCs w:val="21"/>
          <w:u w:val="single"/>
          <w:lang w:eastAsia="zh-CN"/>
        </w:rPr>
        <w:t>〔2014〕155号</w:t>
      </w:r>
      <w:r>
        <w:rPr>
          <w:rFonts w:hint="eastAsia" w:ascii="宋体" w:hAnsi="宋体" w:eastAsia="宋体" w:cs="宋体"/>
          <w:color w:val="auto"/>
          <w:sz w:val="21"/>
          <w:szCs w:val="21"/>
          <w:u w:val="single"/>
        </w:rPr>
        <w:t>）要求，落实建设工程质量终身责任。</w:t>
      </w:r>
    </w:p>
    <w:p w14:paraId="61F5C5F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关于工程奖项的约定：</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355AE8B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5.3 隐蔽工程检查</w:t>
      </w:r>
    </w:p>
    <w:p w14:paraId="5971C15E">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5.3.2承包人提前通知监理人隐蔽工程检查的期限的约定：</w:t>
      </w:r>
      <w:r>
        <w:rPr>
          <w:rFonts w:hint="eastAsia" w:ascii="宋体" w:hAnsi="宋体" w:eastAsia="宋体" w:cs="宋体"/>
          <w:bCs/>
          <w:color w:val="auto"/>
          <w:sz w:val="21"/>
          <w:szCs w:val="21"/>
        </w:rPr>
        <w:t>工程隐蔽或中间验收前</w:t>
      </w:r>
      <w:r>
        <w:rPr>
          <w:rFonts w:hint="eastAsia" w:ascii="宋体" w:hAnsi="宋体" w:eastAsia="宋体" w:cs="宋体"/>
          <w:bCs/>
          <w:color w:val="auto"/>
          <w:sz w:val="21"/>
          <w:szCs w:val="21"/>
          <w:u w:val="single"/>
        </w:rPr>
        <w:t xml:space="preserve">  48  </w:t>
      </w:r>
      <w:r>
        <w:rPr>
          <w:rFonts w:hint="eastAsia" w:ascii="宋体" w:hAnsi="宋体" w:eastAsia="宋体" w:cs="宋体"/>
          <w:bCs/>
          <w:color w:val="auto"/>
          <w:sz w:val="21"/>
          <w:szCs w:val="21"/>
        </w:rPr>
        <w:t>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bCs/>
          <w:color w:val="auto"/>
          <w:sz w:val="21"/>
          <w:szCs w:val="21"/>
          <w:lang w:eastAsia="zh-CN"/>
        </w:rPr>
        <w:t>商定</w:t>
      </w:r>
      <w:r>
        <w:rPr>
          <w:rFonts w:hint="eastAsia" w:ascii="宋体" w:hAnsi="宋体" w:eastAsia="宋体" w:cs="宋体"/>
          <w:bCs/>
          <w:color w:val="auto"/>
          <w:sz w:val="21"/>
          <w:szCs w:val="21"/>
        </w:rPr>
        <w:t>时限内修改后按上述循序重新验收。</w:t>
      </w:r>
    </w:p>
    <w:p w14:paraId="3A80F0D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24  </w:t>
      </w:r>
      <w:r>
        <w:rPr>
          <w:rFonts w:hint="eastAsia" w:ascii="宋体" w:hAnsi="宋体" w:eastAsia="宋体" w:cs="宋体"/>
          <w:color w:val="auto"/>
          <w:sz w:val="21"/>
          <w:szCs w:val="21"/>
        </w:rPr>
        <w:t>小时提交书面延期要求。</w:t>
      </w:r>
    </w:p>
    <w:p w14:paraId="09938BB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48 </w:t>
      </w:r>
      <w:r>
        <w:rPr>
          <w:rFonts w:hint="eastAsia" w:ascii="宋体" w:hAnsi="宋体" w:eastAsia="宋体" w:cs="宋体"/>
          <w:color w:val="auto"/>
          <w:sz w:val="21"/>
          <w:szCs w:val="21"/>
        </w:rPr>
        <w:t>小时。</w:t>
      </w:r>
    </w:p>
    <w:p w14:paraId="66A67892">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889" w:name="_Toc5235_WPSOffice_Level3"/>
      <w:bookmarkStart w:id="890" w:name="_Toc467599580"/>
      <w:bookmarkStart w:id="891" w:name="_Toc373227719"/>
      <w:bookmarkStart w:id="892" w:name="_Toc373478366"/>
      <w:bookmarkStart w:id="893" w:name="_Toc389065285"/>
      <w:bookmarkStart w:id="894" w:name="_Toc351203638"/>
      <w:r>
        <w:rPr>
          <w:rFonts w:hint="eastAsia" w:ascii="宋体" w:hAnsi="宋体" w:eastAsia="宋体" w:cs="宋体"/>
          <w:color w:val="auto"/>
          <w:sz w:val="21"/>
          <w:szCs w:val="21"/>
        </w:rPr>
        <w:t>6. 安全文明施工与环境保护</w:t>
      </w:r>
      <w:bookmarkEnd w:id="889"/>
      <w:bookmarkEnd w:id="890"/>
      <w:bookmarkEnd w:id="891"/>
      <w:bookmarkEnd w:id="892"/>
      <w:bookmarkEnd w:id="893"/>
      <w:bookmarkEnd w:id="894"/>
    </w:p>
    <w:p w14:paraId="115514E9">
      <w:pPr>
        <w:pStyle w:val="7"/>
        <w:adjustRightInd w:val="0"/>
        <w:snapToGrid w:val="0"/>
        <w:ind w:firstLine="422" w:firstLineChars="200"/>
        <w:rPr>
          <w:rFonts w:hint="eastAsia" w:ascii="宋体" w:hAnsi="宋体" w:eastAsia="宋体" w:cs="宋体"/>
          <w:color w:val="auto"/>
          <w:sz w:val="21"/>
          <w:szCs w:val="21"/>
        </w:rPr>
      </w:pPr>
      <w:bookmarkStart w:id="895" w:name="_Toc373478367"/>
      <w:bookmarkStart w:id="896" w:name="_Toc467599581"/>
      <w:bookmarkStart w:id="897" w:name="_Toc389065286"/>
      <w:bookmarkStart w:id="898" w:name="_Toc373227720"/>
      <w:r>
        <w:rPr>
          <w:rFonts w:hint="eastAsia" w:ascii="宋体" w:hAnsi="宋体" w:eastAsia="宋体" w:cs="宋体"/>
          <w:color w:val="auto"/>
          <w:sz w:val="21"/>
          <w:szCs w:val="21"/>
        </w:rPr>
        <w:t>6.1 安全文明施工</w:t>
      </w:r>
      <w:bookmarkEnd w:id="895"/>
      <w:bookmarkEnd w:id="896"/>
      <w:bookmarkEnd w:id="897"/>
      <w:bookmarkEnd w:id="898"/>
    </w:p>
    <w:p w14:paraId="1C03E51D">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要求达到《建筑施工安全检查标准》（JGJ59-2011）标准</w:t>
      </w:r>
      <w:r>
        <w:rPr>
          <w:rFonts w:hint="eastAsia" w:ascii="宋体" w:hAnsi="宋体" w:eastAsia="宋体" w:cs="宋体"/>
          <w:color w:val="auto"/>
          <w:sz w:val="21"/>
          <w:szCs w:val="21"/>
        </w:rPr>
        <w:t>。</w:t>
      </w:r>
    </w:p>
    <w:p w14:paraId="16A7602B">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关于安全文明施工奖项的约定：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4CD3567">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承包人应承担施工安全保卫工作及施工照明的责任，承包人应采取一切合理的预防措施，防止人员伤亡、财产损失事故，费用由承包人承担。承包人生活设施及施工场应自费配备消防设备，防止火灾发生，否则，应承担由此引起的一切风险和责任。</w:t>
      </w:r>
    </w:p>
    <w:p w14:paraId="45E9B31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 xml:space="preserve"> 由施工单位在编制施工组织时同步编制 </w:t>
      </w:r>
      <w:r>
        <w:rPr>
          <w:rFonts w:hint="eastAsia" w:ascii="宋体" w:hAnsi="宋体" w:eastAsia="宋体" w:cs="宋体"/>
          <w:color w:val="auto"/>
          <w:sz w:val="21"/>
          <w:szCs w:val="21"/>
        </w:rPr>
        <w:t>。</w:t>
      </w:r>
    </w:p>
    <w:p w14:paraId="3FCCCE5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6.1.5 文明施工</w:t>
      </w:r>
    </w:p>
    <w:p w14:paraId="04E23192">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合同当事人对文明施工的要求：</w:t>
      </w:r>
      <w:r>
        <w:rPr>
          <w:rFonts w:hint="eastAsia" w:ascii="宋体" w:hAnsi="宋体" w:eastAsia="宋体" w:cs="宋体"/>
          <w:color w:val="auto"/>
          <w:sz w:val="21"/>
          <w:szCs w:val="21"/>
          <w:u w:val="single"/>
        </w:rPr>
        <w:t>严格执行《</w:t>
      </w:r>
      <w:r>
        <w:rPr>
          <w:rFonts w:hint="eastAsia" w:ascii="宋体" w:hAnsi="宋体" w:cs="宋体"/>
          <w:color w:val="auto"/>
          <w:sz w:val="21"/>
          <w:szCs w:val="21"/>
          <w:u w:val="single"/>
          <w:lang w:eastAsia="zh-CN"/>
        </w:rPr>
        <w:t>中华人民共和国大气污染防治法</w:t>
      </w:r>
      <w:r>
        <w:rPr>
          <w:rFonts w:hint="eastAsia" w:ascii="宋体" w:hAnsi="宋体" w:eastAsia="宋体" w:cs="宋体"/>
          <w:color w:val="auto"/>
          <w:sz w:val="21"/>
          <w:szCs w:val="21"/>
          <w:u w:val="single"/>
        </w:rPr>
        <w:t>》（主席令第三十一号）、《南宁市建设工程质量和安全生产管理办法》（南宁市政府令第46号）、《关于推进建筑业改革发展提升工程治理水平的若干意见》（南府规</w:t>
      </w:r>
      <w:r>
        <w:rPr>
          <w:rFonts w:hint="eastAsia" w:ascii="宋体" w:hAnsi="宋体" w:cs="宋体"/>
          <w:color w:val="auto"/>
          <w:sz w:val="21"/>
          <w:szCs w:val="21"/>
          <w:u w:val="single"/>
          <w:lang w:eastAsia="zh-CN"/>
        </w:rPr>
        <w:t>〔2016〕24号</w:t>
      </w:r>
      <w:r>
        <w:rPr>
          <w:rFonts w:hint="eastAsia" w:ascii="宋体" w:hAnsi="宋体" w:eastAsia="宋体" w:cs="宋体"/>
          <w:color w:val="auto"/>
          <w:sz w:val="21"/>
          <w:szCs w:val="21"/>
          <w:u w:val="single"/>
        </w:rPr>
        <w:t>）、《南宁市土方作业文明施工工作导则》、《南宁市建设工程质量安全标准化图集》、《广西壮族自治区建设工程安全文明施工费使用管理细则》（桂建质</w:t>
      </w:r>
      <w:r>
        <w:rPr>
          <w:rFonts w:hint="eastAsia" w:ascii="宋体" w:hAnsi="宋体" w:cs="宋体"/>
          <w:color w:val="auto"/>
          <w:sz w:val="21"/>
          <w:szCs w:val="21"/>
          <w:u w:val="single"/>
          <w:lang w:eastAsia="zh-CN"/>
        </w:rPr>
        <w:t>〔2015〕16号</w:t>
      </w:r>
      <w:r>
        <w:rPr>
          <w:rFonts w:hint="eastAsia" w:ascii="宋体" w:hAnsi="宋体" w:eastAsia="宋体" w:cs="宋体"/>
          <w:color w:val="auto"/>
          <w:sz w:val="21"/>
          <w:szCs w:val="21"/>
          <w:u w:val="single"/>
        </w:rPr>
        <w:t>）、《南宁市建设工程安全防护、文明施工措施费用管理规定》的有关规定，必须与合法运输企业签订运输合</w:t>
      </w:r>
      <w:r>
        <w:rPr>
          <w:rFonts w:hint="eastAsia" w:ascii="宋体" w:hAnsi="宋体" w:cs="宋体"/>
          <w:color w:val="auto"/>
          <w:sz w:val="21"/>
          <w:szCs w:val="21"/>
          <w:u w:val="single"/>
          <w:lang w:eastAsia="zh-CN"/>
        </w:rPr>
        <w:t>同并</w:t>
      </w:r>
      <w:r>
        <w:rPr>
          <w:rFonts w:hint="eastAsia" w:ascii="宋体" w:hAnsi="宋体" w:eastAsia="宋体" w:cs="宋体"/>
          <w:color w:val="auto"/>
          <w:sz w:val="21"/>
          <w:szCs w:val="21"/>
          <w:u w:val="single"/>
        </w:rPr>
        <w:t>使用符合密闭规定的合法车辆进行散体物料（建筑渣土、垃圾、砂石等）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p>
    <w:p w14:paraId="4A6F3DF4">
      <w:pPr>
        <w:adjustRightInd w:val="0"/>
        <w:snapToGrid w:val="0"/>
        <w:spacing w:line="360" w:lineRule="auto"/>
        <w:ind w:firstLine="420" w:firstLineChars="200"/>
        <w:jc w:val="left"/>
        <w:rPr>
          <w:rFonts w:hint="eastAsia" w:ascii="宋体" w:hAnsi="宋体" w:eastAsia="宋体" w:cs="宋体"/>
          <w:b/>
          <w:color w:val="auto"/>
          <w:sz w:val="21"/>
          <w:szCs w:val="21"/>
          <w:u w:val="single"/>
        </w:rPr>
      </w:pPr>
      <w:r>
        <w:rPr>
          <w:rFonts w:hint="eastAsia" w:ascii="宋体" w:hAnsi="宋体" w:eastAsia="宋体" w:cs="宋体"/>
          <w:color w:val="auto"/>
          <w:sz w:val="21"/>
          <w:szCs w:val="21"/>
          <w:u w:val="single"/>
        </w:rPr>
        <w:t xml:space="preserve">6.1.6 关于安全文明施工费支付比例和支付期限的约定：本合同价款已包含安全防护、文明施工措施费元，使用要求：专款专用。具体按桂建质【2015】16号文《广西壮族自治区建设工程安全文明施工费使用管理细则》和《南宁市建设工程安全防护、文明施工措施费用管理规定》要求执行。 </w:t>
      </w:r>
    </w:p>
    <w:p w14:paraId="7AB929C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6.1.6 关于安全文明施工费支付比例和支付期限的约定：</w:t>
      </w:r>
    </w:p>
    <w:p w14:paraId="17E7A2CC">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（1）本合同价款已包含安全文明施工费</w:t>
      </w:r>
      <w:r>
        <w:rPr>
          <w:rFonts w:hint="eastAsia" w:ascii="宋体" w:hAnsi="宋体" w:eastAsia="宋体" w:cs="宋体"/>
          <w:color w:val="auto"/>
          <w:kern w:val="0"/>
          <w:sz w:val="21"/>
          <w:szCs w:val="21"/>
          <w:u w:val="single"/>
        </w:rPr>
        <w:t xml:space="preserve">     /      </w:t>
      </w:r>
      <w:r>
        <w:rPr>
          <w:rFonts w:hint="eastAsia" w:ascii="宋体" w:hAnsi="宋体" w:eastAsia="宋体" w:cs="宋体"/>
          <w:color w:val="auto"/>
          <w:kern w:val="0"/>
          <w:sz w:val="21"/>
          <w:szCs w:val="21"/>
        </w:rPr>
        <w:t>元。</w:t>
      </w:r>
    </w:p>
    <w:p w14:paraId="0430D73C">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（2）使用要求：专款专用。具体按</w:t>
      </w:r>
      <w:r>
        <w:rPr>
          <w:rFonts w:hint="eastAsia" w:ascii="宋体" w:hAnsi="宋体" w:eastAsia="宋体" w:cs="宋体"/>
          <w:color w:val="auto"/>
          <w:kern w:val="0"/>
          <w:sz w:val="21"/>
          <w:szCs w:val="21"/>
          <w:u w:val="single"/>
        </w:rPr>
        <w:t>《广西壮族自治区建设工程安全文明施工费使用管理细则》（桂建质〔2015〕16号）</w:t>
      </w:r>
      <w:r>
        <w:rPr>
          <w:rFonts w:hint="eastAsia" w:ascii="宋体" w:hAnsi="宋体" w:eastAsia="宋体" w:cs="宋体"/>
          <w:color w:val="auto"/>
          <w:kern w:val="0"/>
          <w:sz w:val="21"/>
          <w:szCs w:val="21"/>
        </w:rPr>
        <w:t xml:space="preserve">和 </w:t>
      </w:r>
      <w:r>
        <w:rPr>
          <w:rFonts w:hint="eastAsia" w:ascii="宋体" w:hAnsi="宋体" w:eastAsia="宋体" w:cs="宋体"/>
          <w:color w:val="auto"/>
          <w:kern w:val="0"/>
          <w:sz w:val="21"/>
          <w:szCs w:val="21"/>
          <w:u w:val="single"/>
        </w:rPr>
        <w:t>《关于印发崇左市建设工程安全防护、文明施工措施费用管理规定的通知》</w:t>
      </w:r>
      <w:r>
        <w:rPr>
          <w:rFonts w:hint="eastAsia" w:ascii="宋体" w:hAnsi="宋体" w:eastAsia="宋体" w:cs="宋体"/>
          <w:color w:val="auto"/>
          <w:sz w:val="21"/>
          <w:szCs w:val="21"/>
          <w:u w:val="single"/>
        </w:rPr>
        <w:t>桂建质〔2015〕16</w:t>
      </w:r>
      <w:r>
        <w:rPr>
          <w:rFonts w:hint="eastAsia" w:ascii="宋体" w:hAnsi="宋体" w:eastAsia="宋体" w:cs="宋体"/>
          <w:color w:val="auto"/>
          <w:spacing w:val="1"/>
          <w:sz w:val="21"/>
          <w:szCs w:val="21"/>
          <w:u w:val="single"/>
        </w:rPr>
        <w:t>号</w:t>
      </w:r>
      <w:r>
        <w:rPr>
          <w:rFonts w:hint="eastAsia" w:ascii="宋体" w:hAnsi="宋体" w:eastAsia="宋体" w:cs="宋体"/>
          <w:color w:val="auto"/>
          <w:kern w:val="0"/>
          <w:sz w:val="21"/>
          <w:szCs w:val="21"/>
        </w:rPr>
        <w:t>相关规定执行。</w:t>
      </w:r>
    </w:p>
    <w:p w14:paraId="632FA2DF">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（3）支付约定：</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3B8B4A68">
      <w:pPr>
        <w:pStyle w:val="7"/>
        <w:adjustRightInd w:val="0"/>
        <w:snapToGrid w:val="0"/>
        <w:ind w:firstLine="422" w:firstLineChars="200"/>
        <w:rPr>
          <w:rFonts w:hint="eastAsia" w:ascii="宋体" w:hAnsi="宋体" w:eastAsia="宋体" w:cs="宋体"/>
          <w:color w:val="auto"/>
          <w:sz w:val="21"/>
          <w:szCs w:val="21"/>
        </w:rPr>
      </w:pPr>
      <w:bookmarkStart w:id="899" w:name="_Toc373478368"/>
      <w:bookmarkStart w:id="900" w:name="_Toc373227721"/>
      <w:bookmarkStart w:id="901" w:name="_Toc389065287"/>
      <w:bookmarkStart w:id="902" w:name="_Toc467599582"/>
      <w:r>
        <w:rPr>
          <w:rFonts w:hint="eastAsia" w:ascii="宋体" w:hAnsi="宋体" w:eastAsia="宋体" w:cs="宋体"/>
          <w:color w:val="auto"/>
          <w:sz w:val="21"/>
          <w:szCs w:val="21"/>
        </w:rPr>
        <w:t>6.3 环境保</w:t>
      </w:r>
      <w:bookmarkEnd w:id="899"/>
      <w:bookmarkEnd w:id="900"/>
      <w:bookmarkEnd w:id="901"/>
      <w:bookmarkEnd w:id="902"/>
      <w:r>
        <w:rPr>
          <w:rFonts w:hint="eastAsia" w:ascii="宋体" w:hAnsi="宋体" w:eastAsia="宋体" w:cs="宋体"/>
          <w:color w:val="auto"/>
          <w:sz w:val="21"/>
          <w:szCs w:val="21"/>
        </w:rPr>
        <w:t>护</w:t>
      </w:r>
    </w:p>
    <w:p w14:paraId="4585024A">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因施工需要，经发包人批准，由承包人办理有关施工场地交通、环卫和施工噪音管理等手续，费用由承包人负责。</w:t>
      </w:r>
    </w:p>
    <w:p w14:paraId="3B3F8F6B">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经过城市道路的施工车辆，必须按交警、城管、运输等部门相关规定执行。由于施工车辆造成的道路、环境等污染，其责任和费用均由承包人承担。</w:t>
      </w:r>
    </w:p>
    <w:bookmarkEnd w:id="882"/>
    <w:bookmarkEnd w:id="883"/>
    <w:bookmarkEnd w:id="884"/>
    <w:bookmarkEnd w:id="885"/>
    <w:bookmarkEnd w:id="886"/>
    <w:bookmarkEnd w:id="887"/>
    <w:bookmarkEnd w:id="888"/>
    <w:p w14:paraId="57F77388">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903" w:name="_Toc20925_WPSOffice_Level3"/>
      <w:bookmarkStart w:id="904" w:name="_Toc373227722"/>
      <w:bookmarkStart w:id="905" w:name="_Toc373478369"/>
      <w:bookmarkStart w:id="906" w:name="_Toc351203639"/>
      <w:bookmarkStart w:id="907" w:name="_Toc389065288"/>
      <w:bookmarkStart w:id="908" w:name="_Toc467599583"/>
      <w:r>
        <w:rPr>
          <w:rFonts w:hint="eastAsia" w:ascii="宋体" w:hAnsi="宋体" w:eastAsia="宋体" w:cs="宋体"/>
          <w:color w:val="auto"/>
          <w:sz w:val="21"/>
          <w:szCs w:val="21"/>
        </w:rPr>
        <w:t>7. 工期和进度</w:t>
      </w:r>
      <w:bookmarkEnd w:id="903"/>
      <w:bookmarkEnd w:id="904"/>
      <w:bookmarkEnd w:id="905"/>
      <w:bookmarkEnd w:id="906"/>
      <w:bookmarkEnd w:id="907"/>
      <w:bookmarkEnd w:id="908"/>
    </w:p>
    <w:p w14:paraId="639F8FEF">
      <w:pPr>
        <w:pStyle w:val="7"/>
        <w:adjustRightInd w:val="0"/>
        <w:snapToGrid w:val="0"/>
        <w:ind w:firstLine="422" w:firstLineChars="200"/>
        <w:rPr>
          <w:rFonts w:hint="eastAsia" w:ascii="宋体" w:hAnsi="宋体" w:eastAsia="宋体" w:cs="宋体"/>
          <w:color w:val="auto"/>
          <w:sz w:val="21"/>
          <w:szCs w:val="21"/>
        </w:rPr>
      </w:pPr>
      <w:bookmarkStart w:id="909" w:name="_Toc389065289"/>
      <w:bookmarkStart w:id="910" w:name="_Toc467599584"/>
      <w:bookmarkStart w:id="911" w:name="_Toc373227723"/>
      <w:bookmarkStart w:id="912" w:name="_Toc373478370"/>
      <w:r>
        <w:rPr>
          <w:rFonts w:hint="eastAsia" w:ascii="宋体" w:hAnsi="宋体" w:eastAsia="宋体" w:cs="宋体"/>
          <w:color w:val="auto"/>
          <w:sz w:val="21"/>
          <w:szCs w:val="21"/>
        </w:rPr>
        <w:t>7.1 施工组织设计</w:t>
      </w:r>
      <w:bookmarkEnd w:id="909"/>
      <w:bookmarkEnd w:id="910"/>
      <w:bookmarkEnd w:id="911"/>
      <w:bookmarkEnd w:id="912"/>
    </w:p>
    <w:p w14:paraId="5B3284F8">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7.1.1 合</w:t>
      </w:r>
      <w:r>
        <w:rPr>
          <w:rFonts w:hint="eastAsia" w:ascii="宋体" w:hAnsi="宋体" w:eastAsia="宋体" w:cs="宋体"/>
          <w:color w:val="auto"/>
          <w:kern w:val="0"/>
          <w:sz w:val="21"/>
          <w:szCs w:val="21"/>
        </w:rPr>
        <w:t>同当事人约定的施工组织设计应包括的其他内容：</w:t>
      </w:r>
      <w:r>
        <w:rPr>
          <w:rFonts w:hint="eastAsia" w:ascii="宋体" w:hAnsi="宋体" w:eastAsia="宋体" w:cs="宋体"/>
          <w:color w:val="auto"/>
          <w:sz w:val="21"/>
          <w:szCs w:val="21"/>
          <w:u w:val="single"/>
        </w:rPr>
        <w:t xml:space="preserve">  按通用合同条款执行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E5AADE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7.1.2 </w:t>
      </w:r>
      <w:r>
        <w:rPr>
          <w:rFonts w:hint="eastAsia" w:ascii="宋体" w:hAnsi="宋体" w:eastAsia="宋体" w:cs="宋体"/>
          <w:color w:val="auto"/>
          <w:kern w:val="0"/>
          <w:sz w:val="21"/>
          <w:szCs w:val="21"/>
        </w:rPr>
        <w:t>施工组织设计的提交和修改</w:t>
      </w:r>
    </w:p>
    <w:p w14:paraId="3BB14D9E">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承包人提交详细施工组织设计的期限的约定：</w:t>
      </w:r>
      <w:r>
        <w:rPr>
          <w:rFonts w:hint="eastAsia" w:ascii="宋体" w:hAnsi="宋体" w:eastAsia="宋体" w:cs="宋体"/>
          <w:color w:val="auto"/>
          <w:sz w:val="21"/>
          <w:szCs w:val="21"/>
          <w:u w:val="single"/>
        </w:rPr>
        <w:t xml:space="preserve">  按通用合同条款执行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51FA8E1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w:t>
      </w:r>
      <w:r>
        <w:rPr>
          <w:rFonts w:hint="eastAsia" w:ascii="宋体" w:hAnsi="宋体" w:eastAsia="宋体" w:cs="宋体"/>
          <w:color w:val="auto"/>
          <w:sz w:val="21"/>
          <w:szCs w:val="21"/>
          <w:u w:val="single"/>
        </w:rPr>
        <w:t xml:space="preserve"> 按通用合同条款执行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84C3D90">
      <w:pPr>
        <w:pStyle w:val="7"/>
        <w:adjustRightInd w:val="0"/>
        <w:snapToGrid w:val="0"/>
        <w:ind w:firstLine="422" w:firstLineChars="200"/>
        <w:rPr>
          <w:rFonts w:hint="eastAsia" w:ascii="宋体" w:hAnsi="宋体" w:eastAsia="宋体" w:cs="宋体"/>
          <w:color w:val="auto"/>
          <w:sz w:val="21"/>
          <w:szCs w:val="21"/>
        </w:rPr>
      </w:pPr>
      <w:bookmarkStart w:id="913" w:name="_Toc389065290"/>
      <w:bookmarkStart w:id="914" w:name="_Toc373478371"/>
      <w:bookmarkStart w:id="915" w:name="_Toc467599585"/>
      <w:bookmarkStart w:id="916" w:name="_Toc373227724"/>
      <w:r>
        <w:rPr>
          <w:rFonts w:hint="eastAsia" w:ascii="宋体" w:hAnsi="宋体" w:eastAsia="宋体" w:cs="宋体"/>
          <w:color w:val="auto"/>
          <w:sz w:val="21"/>
          <w:szCs w:val="21"/>
        </w:rPr>
        <w:t>7</w:t>
      </w:r>
      <w:bookmarkStart w:id="917" w:name="_Toc312677479"/>
      <w:bookmarkStart w:id="918" w:name="_Toc304295541"/>
      <w:bookmarkStart w:id="919" w:name="_Toc297123514"/>
      <w:bookmarkStart w:id="920" w:name="_Toc297216173"/>
      <w:bookmarkStart w:id="921" w:name="_Toc300934966"/>
      <w:bookmarkStart w:id="922" w:name="_Toc312678005"/>
      <w:bookmarkStart w:id="923" w:name="_Toc303539123"/>
      <w:r>
        <w:rPr>
          <w:rFonts w:hint="eastAsia" w:ascii="宋体" w:hAnsi="宋体" w:eastAsia="宋体" w:cs="宋体"/>
          <w:color w:val="auto"/>
          <w:sz w:val="21"/>
          <w:szCs w:val="21"/>
        </w:rPr>
        <w:t>.2 施工进度计划</w:t>
      </w:r>
      <w:bookmarkEnd w:id="913"/>
      <w:bookmarkEnd w:id="914"/>
      <w:bookmarkEnd w:id="915"/>
      <w:bookmarkEnd w:id="916"/>
    </w:p>
    <w:p w14:paraId="59112BE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7.2.2 施工进度计划的修订</w:t>
      </w:r>
    </w:p>
    <w:p w14:paraId="79446D2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w:t>
      </w:r>
      <w:r>
        <w:rPr>
          <w:rFonts w:hint="eastAsia" w:ascii="宋体" w:hAnsi="宋体" w:eastAsia="宋体" w:cs="宋体"/>
          <w:color w:val="auto"/>
          <w:sz w:val="21"/>
          <w:szCs w:val="21"/>
          <w:u w:val="single"/>
        </w:rPr>
        <w:t xml:space="preserve"> 收到修订合同进度计划之日起    日内 </w:t>
      </w:r>
      <w:r>
        <w:rPr>
          <w:rFonts w:hint="eastAsia" w:ascii="宋体" w:hAnsi="宋体" w:eastAsia="宋体" w:cs="宋体"/>
          <w:color w:val="auto"/>
          <w:sz w:val="21"/>
          <w:szCs w:val="21"/>
        </w:rPr>
        <w:t>。</w:t>
      </w:r>
    </w:p>
    <w:p w14:paraId="63EE17DC">
      <w:pPr>
        <w:pStyle w:val="7"/>
        <w:adjustRightInd w:val="0"/>
        <w:snapToGrid w:val="0"/>
        <w:ind w:firstLine="422" w:firstLineChars="200"/>
        <w:rPr>
          <w:rFonts w:hint="eastAsia" w:ascii="宋体" w:hAnsi="宋体" w:eastAsia="宋体" w:cs="宋体"/>
          <w:color w:val="auto"/>
          <w:sz w:val="21"/>
          <w:szCs w:val="21"/>
        </w:rPr>
      </w:pPr>
      <w:bookmarkStart w:id="924" w:name="_Toc373478372"/>
      <w:bookmarkStart w:id="925" w:name="_Toc467599586"/>
      <w:bookmarkStart w:id="926" w:name="_Toc373227725"/>
      <w:bookmarkStart w:id="927" w:name="_Toc389065291"/>
      <w:r>
        <w:rPr>
          <w:rFonts w:hint="eastAsia" w:ascii="宋体" w:hAnsi="宋体" w:eastAsia="宋体" w:cs="宋体"/>
          <w:color w:val="auto"/>
          <w:sz w:val="21"/>
          <w:szCs w:val="21"/>
        </w:rPr>
        <w:t>7.3 开工</w:t>
      </w:r>
      <w:bookmarkEnd w:id="924"/>
      <w:bookmarkEnd w:id="925"/>
      <w:bookmarkEnd w:id="926"/>
      <w:bookmarkEnd w:id="927"/>
    </w:p>
    <w:p w14:paraId="5CB02011">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7.3.1 开工准备</w:t>
      </w:r>
    </w:p>
    <w:p w14:paraId="3A568B66">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关于承包人提交</w:t>
      </w:r>
      <w:r>
        <w:rPr>
          <w:rFonts w:hint="eastAsia" w:ascii="宋体" w:hAnsi="宋体" w:eastAsia="宋体" w:cs="宋体"/>
          <w:color w:val="auto"/>
          <w:kern w:val="0"/>
          <w:sz w:val="21"/>
          <w:szCs w:val="21"/>
        </w:rPr>
        <w:t>工程开工报审表的期限：</w:t>
      </w:r>
      <w:r>
        <w:rPr>
          <w:rFonts w:hint="eastAsia" w:ascii="宋体" w:hAnsi="宋体" w:eastAsia="宋体" w:cs="宋体"/>
          <w:color w:val="auto"/>
          <w:sz w:val="21"/>
          <w:szCs w:val="21"/>
          <w:u w:val="single"/>
        </w:rPr>
        <w:t xml:space="preserve">开工前7日内 </w:t>
      </w:r>
      <w:r>
        <w:rPr>
          <w:rFonts w:hint="eastAsia" w:ascii="宋体" w:hAnsi="宋体" w:eastAsia="宋体" w:cs="宋体"/>
          <w:color w:val="auto"/>
          <w:sz w:val="21"/>
          <w:szCs w:val="21"/>
        </w:rPr>
        <w:t>。</w:t>
      </w:r>
    </w:p>
    <w:p w14:paraId="362968AD">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关于发包人应完成的其他开工准备工作及期限：</w:t>
      </w:r>
      <w:r>
        <w:rPr>
          <w:rFonts w:hint="eastAsia" w:ascii="宋体" w:hAnsi="宋体" w:eastAsia="宋体" w:cs="宋体"/>
          <w:color w:val="auto"/>
          <w:sz w:val="21"/>
          <w:szCs w:val="21"/>
          <w:u w:val="single"/>
        </w:rPr>
        <w:t xml:space="preserve"> 开工前7日内 </w:t>
      </w:r>
      <w:r>
        <w:rPr>
          <w:rFonts w:hint="eastAsia" w:ascii="宋体" w:hAnsi="宋体" w:eastAsia="宋体" w:cs="宋体"/>
          <w:color w:val="auto"/>
          <w:sz w:val="21"/>
          <w:szCs w:val="21"/>
        </w:rPr>
        <w:t>。</w:t>
      </w:r>
    </w:p>
    <w:p w14:paraId="2E43701D">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关于承包人应完成的其他开工准备工作及期限：</w:t>
      </w:r>
      <w:r>
        <w:rPr>
          <w:rFonts w:hint="eastAsia" w:ascii="宋体" w:hAnsi="宋体" w:eastAsia="宋体" w:cs="宋体"/>
          <w:color w:val="auto"/>
          <w:sz w:val="21"/>
          <w:szCs w:val="21"/>
          <w:u w:val="single"/>
        </w:rPr>
        <w:t xml:space="preserve">开工前7日内 </w:t>
      </w:r>
      <w:r>
        <w:rPr>
          <w:rFonts w:hint="eastAsia" w:ascii="宋体" w:hAnsi="宋体" w:eastAsia="宋体" w:cs="宋体"/>
          <w:color w:val="auto"/>
          <w:sz w:val="21"/>
          <w:szCs w:val="21"/>
        </w:rPr>
        <w:t>。</w:t>
      </w:r>
    </w:p>
    <w:p w14:paraId="1220A0B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7.3.2 开工通知</w:t>
      </w:r>
    </w:p>
    <w:p w14:paraId="6249432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因发包人原因造成监理人未能在计划开工日期之日起</w:t>
      </w:r>
      <w:r>
        <w:rPr>
          <w:rFonts w:hint="eastAsia" w:ascii="宋体" w:hAnsi="宋体" w:eastAsia="宋体" w:cs="宋体"/>
          <w:color w:val="auto"/>
          <w:sz w:val="21"/>
          <w:szCs w:val="21"/>
          <w:u w:val="single"/>
        </w:rPr>
        <w:t xml:space="preserve"> 7 </w:t>
      </w:r>
      <w:r>
        <w:rPr>
          <w:rFonts w:hint="eastAsia" w:ascii="宋体" w:hAnsi="宋体" w:eastAsia="宋体" w:cs="宋体"/>
          <w:color w:val="auto"/>
          <w:sz w:val="21"/>
          <w:szCs w:val="21"/>
        </w:rPr>
        <w:t>天内发出开工通知的，承包人有权提出价格调整要求，或者解除合同。</w:t>
      </w:r>
    </w:p>
    <w:bookmarkEnd w:id="917"/>
    <w:bookmarkEnd w:id="918"/>
    <w:bookmarkEnd w:id="919"/>
    <w:bookmarkEnd w:id="920"/>
    <w:bookmarkEnd w:id="921"/>
    <w:bookmarkEnd w:id="922"/>
    <w:bookmarkEnd w:id="923"/>
    <w:p w14:paraId="14AF37D5">
      <w:pPr>
        <w:pStyle w:val="7"/>
        <w:adjustRightInd w:val="0"/>
        <w:snapToGrid w:val="0"/>
        <w:ind w:firstLine="422" w:firstLineChars="200"/>
        <w:rPr>
          <w:rFonts w:hint="eastAsia" w:ascii="宋体" w:hAnsi="宋体" w:eastAsia="宋体" w:cs="宋体"/>
          <w:color w:val="auto"/>
          <w:sz w:val="21"/>
          <w:szCs w:val="21"/>
        </w:rPr>
      </w:pPr>
      <w:bookmarkStart w:id="928" w:name="_Toc373227726"/>
      <w:bookmarkStart w:id="929" w:name="_Toc467599587"/>
      <w:bookmarkStart w:id="930" w:name="_Toc389065292"/>
      <w:bookmarkStart w:id="931" w:name="_Toc373478373"/>
      <w:r>
        <w:rPr>
          <w:rFonts w:hint="eastAsia" w:ascii="宋体" w:hAnsi="宋体" w:eastAsia="宋体" w:cs="宋体"/>
          <w:color w:val="auto"/>
          <w:sz w:val="21"/>
          <w:szCs w:val="21"/>
        </w:rPr>
        <w:t>7.4 测量放线</w:t>
      </w:r>
      <w:bookmarkEnd w:id="928"/>
      <w:bookmarkEnd w:id="929"/>
      <w:bookmarkEnd w:id="930"/>
      <w:bookmarkEnd w:id="931"/>
    </w:p>
    <w:p w14:paraId="58F7CBBA">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7.4.1发包人通过监理人向承包人提供测量基准点、基准线和水准点及其书面资料的期限</w:t>
      </w:r>
      <w:r>
        <w:rPr>
          <w:rFonts w:hint="eastAsia" w:ascii="宋体" w:hAnsi="宋体" w:cs="宋体"/>
          <w:color w:val="auto"/>
          <w:sz w:val="21"/>
          <w:szCs w:val="21"/>
          <w:lang w:eastAsia="zh-CN"/>
        </w:rPr>
        <w:t>：在</w:t>
      </w:r>
      <w:r>
        <w:rPr>
          <w:rFonts w:hint="eastAsia" w:ascii="宋体" w:hAnsi="宋体" w:eastAsia="宋体" w:cs="宋体"/>
          <w:color w:val="auto"/>
          <w:sz w:val="21"/>
          <w:szCs w:val="21"/>
          <w:u w:val="single"/>
        </w:rPr>
        <w:t xml:space="preserve"> 开工日期前7日内向承包人提供 </w:t>
      </w:r>
      <w:r>
        <w:rPr>
          <w:rFonts w:hint="eastAsia" w:ascii="宋体" w:hAnsi="宋体" w:eastAsia="宋体" w:cs="宋体"/>
          <w:color w:val="auto"/>
          <w:sz w:val="21"/>
          <w:szCs w:val="21"/>
        </w:rPr>
        <w:t>。</w:t>
      </w:r>
    </w:p>
    <w:p w14:paraId="09479389">
      <w:pPr>
        <w:pStyle w:val="7"/>
        <w:adjustRightInd w:val="0"/>
        <w:snapToGrid w:val="0"/>
        <w:ind w:firstLine="422" w:firstLineChars="200"/>
        <w:rPr>
          <w:rFonts w:hint="eastAsia" w:ascii="宋体" w:hAnsi="宋体" w:eastAsia="宋体" w:cs="宋体"/>
          <w:color w:val="auto"/>
          <w:sz w:val="21"/>
          <w:szCs w:val="21"/>
        </w:rPr>
      </w:pPr>
      <w:bookmarkStart w:id="932" w:name="_Toc373478374"/>
      <w:bookmarkStart w:id="933" w:name="_Toc467599588"/>
      <w:bookmarkStart w:id="934" w:name="_Toc389065293"/>
      <w:bookmarkStart w:id="935" w:name="_Toc373227727"/>
      <w:r>
        <w:rPr>
          <w:rFonts w:hint="eastAsia" w:ascii="宋体" w:hAnsi="宋体" w:eastAsia="宋体" w:cs="宋体"/>
          <w:color w:val="auto"/>
          <w:sz w:val="21"/>
          <w:szCs w:val="21"/>
        </w:rPr>
        <w:t>7</w:t>
      </w:r>
      <w:bookmarkStart w:id="936" w:name="_Toc312678010"/>
      <w:bookmarkStart w:id="937" w:name="_Toc303539125"/>
      <w:bookmarkStart w:id="938" w:name="_Toc297216175"/>
      <w:bookmarkStart w:id="939" w:name="_Toc297123516"/>
      <w:bookmarkStart w:id="940" w:name="_Toc312677484"/>
      <w:bookmarkStart w:id="941" w:name="_Toc300934968"/>
      <w:bookmarkStart w:id="942" w:name="_Toc304295546"/>
      <w:r>
        <w:rPr>
          <w:rFonts w:hint="eastAsia" w:ascii="宋体" w:hAnsi="宋体" w:eastAsia="宋体" w:cs="宋体"/>
          <w:color w:val="auto"/>
          <w:sz w:val="21"/>
          <w:szCs w:val="21"/>
        </w:rPr>
        <w:t>.5 工期延误</w:t>
      </w:r>
      <w:bookmarkEnd w:id="932"/>
      <w:bookmarkEnd w:id="933"/>
      <w:bookmarkEnd w:id="934"/>
      <w:bookmarkEnd w:id="935"/>
    </w:p>
    <w:bookmarkEnd w:id="936"/>
    <w:bookmarkEnd w:id="937"/>
    <w:bookmarkEnd w:id="938"/>
    <w:bookmarkEnd w:id="939"/>
    <w:bookmarkEnd w:id="940"/>
    <w:bookmarkEnd w:id="941"/>
    <w:bookmarkEnd w:id="942"/>
    <w:p w14:paraId="76E7289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7.5.1 因发包人原因导致工期延误</w:t>
      </w:r>
    </w:p>
    <w:p w14:paraId="2F418FB8">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（7）因发包人原因导致工期延误的其他情形：</w:t>
      </w:r>
      <w:r>
        <w:rPr>
          <w:rFonts w:hint="eastAsia" w:ascii="宋体" w:hAnsi="宋体" w:eastAsia="宋体" w:cs="宋体"/>
          <w:color w:val="auto"/>
          <w:sz w:val="21"/>
          <w:szCs w:val="21"/>
          <w:u w:val="single"/>
        </w:rPr>
        <w:t>①重大图纸变更影响</w:t>
      </w:r>
      <w:r>
        <w:rPr>
          <w:rFonts w:hint="eastAsia" w:ascii="宋体" w:hAnsi="宋体" w:cs="宋体"/>
          <w:color w:val="auto"/>
          <w:sz w:val="21"/>
          <w:szCs w:val="21"/>
          <w:u w:val="single"/>
          <w:lang w:eastAsia="zh-CN"/>
        </w:rPr>
        <w:t>关键</w:t>
      </w:r>
      <w:r>
        <w:rPr>
          <w:rFonts w:hint="eastAsia" w:ascii="宋体" w:hAnsi="宋体" w:eastAsia="宋体" w:cs="宋体"/>
          <w:color w:val="auto"/>
          <w:sz w:val="21"/>
          <w:szCs w:val="21"/>
          <w:u w:val="single"/>
        </w:rPr>
        <w:t>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sz w:val="21"/>
          <w:szCs w:val="21"/>
        </w:rPr>
        <w:t xml:space="preserve"> 。</w:t>
      </w:r>
    </w:p>
    <w:p w14:paraId="484F26C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bookmarkStart w:id="943" w:name="_Toc312678012"/>
      <w:bookmarkStart w:id="944" w:name="_Toc312677486"/>
      <w:bookmarkStart w:id="945" w:name="_Toc318581169"/>
      <w:bookmarkStart w:id="946" w:name="_Toc297123518"/>
      <w:bookmarkStart w:id="947" w:name="_Toc300934970"/>
      <w:bookmarkStart w:id="948" w:name="_Toc304295548"/>
      <w:bookmarkStart w:id="949" w:name="_Toc303539127"/>
      <w:bookmarkStart w:id="950" w:name="_Toc297216177"/>
      <w:r>
        <w:rPr>
          <w:rFonts w:hint="eastAsia" w:ascii="宋体" w:hAnsi="宋体" w:eastAsia="宋体" w:cs="宋体"/>
          <w:color w:val="auto"/>
          <w:sz w:val="21"/>
          <w:szCs w:val="21"/>
        </w:rPr>
        <w:t>.5.2 因承包人原因导致工期延误</w:t>
      </w:r>
    </w:p>
    <w:bookmarkEnd w:id="943"/>
    <w:bookmarkEnd w:id="944"/>
    <w:bookmarkEnd w:id="945"/>
    <w:p w14:paraId="7C01369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双方约定经监理工程师确认，工期相应顺延的情况：</w:t>
      </w:r>
      <w:r>
        <w:rPr>
          <w:rFonts w:hint="eastAsia" w:ascii="宋体" w:hAnsi="宋体" w:eastAsia="宋体" w:cs="宋体"/>
          <w:color w:val="auto"/>
          <w:sz w:val="21"/>
          <w:szCs w:val="21"/>
          <w:u w:val="single"/>
        </w:rPr>
        <w:t xml:space="preserve">  异常恶劣的气候条件   </w:t>
      </w:r>
      <w:r>
        <w:rPr>
          <w:rFonts w:hint="eastAsia" w:ascii="宋体" w:hAnsi="宋体" w:eastAsia="宋体" w:cs="宋体"/>
          <w:color w:val="auto"/>
          <w:sz w:val="21"/>
          <w:szCs w:val="21"/>
        </w:rPr>
        <w:t>。</w:t>
      </w:r>
    </w:p>
    <w:p w14:paraId="2DDAAD61">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因</w:t>
      </w:r>
      <w:bookmarkStart w:id="951" w:name="_Toc312678013"/>
      <w:bookmarkStart w:id="952" w:name="_Toc318581170"/>
      <w:bookmarkStart w:id="953" w:name="_Toc312677487"/>
      <w:r>
        <w:rPr>
          <w:rFonts w:hint="eastAsia" w:ascii="宋体" w:hAnsi="宋体" w:eastAsia="宋体" w:cs="宋体"/>
          <w:color w:val="auto"/>
          <w:sz w:val="21"/>
          <w:szCs w:val="21"/>
        </w:rPr>
        <w:t>承包人原因造成工期延误，逾期竣工违约金的计算方法为：</w:t>
      </w:r>
      <w:r>
        <w:rPr>
          <w:rFonts w:hint="eastAsia" w:ascii="宋体" w:hAnsi="宋体" w:eastAsia="宋体" w:cs="宋体"/>
          <w:color w:val="auto"/>
          <w:sz w:val="21"/>
          <w:szCs w:val="21"/>
          <w:u w:val="single"/>
        </w:rPr>
        <w:t>非上述原因，承包人不能按合同约定的时间竣工，承包人应承担违约责任，应向发包人支付误期赔偿费，每延误一天</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u w:val="single"/>
        </w:rPr>
        <w:t>按工程总价的万分之0.2向发包方支付违约金</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u w:val="single"/>
        </w:rPr>
        <w:t>违约金可直接从结算款中扣除。误期时间从规定竣工日期起直到实际竣工日期的天数（扣除发包人批准顺延的工期）。发包人可从应向承包人支付的任何金额中扣除此项</w:t>
      </w:r>
      <w:r>
        <w:rPr>
          <w:rFonts w:hint="eastAsia" w:ascii="宋体" w:hAnsi="宋体" w:cs="宋体"/>
          <w:color w:val="auto"/>
          <w:sz w:val="21"/>
          <w:szCs w:val="21"/>
          <w:u w:val="single"/>
          <w:lang w:eastAsia="zh-CN"/>
        </w:rPr>
        <w:t>赔偿</w:t>
      </w:r>
      <w:r>
        <w:rPr>
          <w:rFonts w:hint="eastAsia" w:ascii="宋体" w:hAnsi="宋体" w:eastAsia="宋体" w:cs="宋体"/>
          <w:color w:val="auto"/>
          <w:sz w:val="21"/>
          <w:szCs w:val="21"/>
          <w:u w:val="single"/>
        </w:rPr>
        <w:t>费或其他方式收回此款，此赔偿款的支付并不能解除承包人应完成工程的责任或合同规定的其他责任。</w:t>
      </w:r>
    </w:p>
    <w:bookmarkEnd w:id="946"/>
    <w:bookmarkEnd w:id="947"/>
    <w:bookmarkEnd w:id="948"/>
    <w:bookmarkEnd w:id="949"/>
    <w:bookmarkEnd w:id="950"/>
    <w:bookmarkEnd w:id="951"/>
    <w:bookmarkEnd w:id="952"/>
    <w:bookmarkEnd w:id="953"/>
    <w:p w14:paraId="1BA4AFA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因承包人原因造成工期延误，逾</w:t>
      </w:r>
      <w:bookmarkStart w:id="954" w:name="_Toc312678014"/>
      <w:bookmarkStart w:id="955" w:name="_Toc318581171"/>
      <w:r>
        <w:rPr>
          <w:rFonts w:hint="eastAsia" w:ascii="宋体" w:hAnsi="宋体" w:eastAsia="宋体" w:cs="宋体"/>
          <w:color w:val="auto"/>
          <w:sz w:val="21"/>
          <w:szCs w:val="21"/>
        </w:rPr>
        <w:t>期竣工违约金的上限：</w:t>
      </w:r>
      <w:r>
        <w:rPr>
          <w:rFonts w:hint="eastAsia" w:ascii="宋体" w:hAnsi="宋体" w:eastAsia="宋体" w:cs="宋体"/>
          <w:color w:val="auto"/>
          <w:sz w:val="21"/>
          <w:szCs w:val="21"/>
          <w:u w:val="single"/>
        </w:rPr>
        <w:t>逾期竣工的单位工程结算造价扣除建安劳保费、发包人材料价款、暂估专业工程、暂列金额后的 0.3%</w:t>
      </w:r>
      <w:r>
        <w:rPr>
          <w:rFonts w:hint="eastAsia" w:ascii="宋体" w:hAnsi="宋体" w:eastAsia="宋体" w:cs="宋体"/>
          <w:color w:val="auto"/>
          <w:sz w:val="21"/>
          <w:szCs w:val="21"/>
        </w:rPr>
        <w:t>。</w:t>
      </w:r>
    </w:p>
    <w:bookmarkEnd w:id="954"/>
    <w:bookmarkEnd w:id="955"/>
    <w:p w14:paraId="0BA9076A">
      <w:pPr>
        <w:pStyle w:val="7"/>
        <w:adjustRightInd w:val="0"/>
        <w:snapToGrid w:val="0"/>
        <w:ind w:firstLine="422" w:firstLineChars="200"/>
        <w:rPr>
          <w:rFonts w:hint="eastAsia" w:ascii="宋体" w:hAnsi="宋体" w:eastAsia="宋体" w:cs="宋体"/>
          <w:color w:val="auto"/>
          <w:sz w:val="21"/>
          <w:szCs w:val="21"/>
        </w:rPr>
      </w:pPr>
      <w:bookmarkStart w:id="956" w:name="_Toc373227728"/>
      <w:bookmarkStart w:id="957" w:name="_Toc373478375"/>
      <w:bookmarkStart w:id="958" w:name="_Toc467599589"/>
      <w:bookmarkStart w:id="959" w:name="_Toc389065294"/>
      <w:r>
        <w:rPr>
          <w:rFonts w:hint="eastAsia" w:ascii="宋体" w:hAnsi="宋体" w:eastAsia="宋体" w:cs="宋体"/>
          <w:color w:val="auto"/>
          <w:sz w:val="21"/>
          <w:szCs w:val="21"/>
        </w:rPr>
        <w:t>7</w:t>
      </w:r>
      <w:bookmarkStart w:id="960" w:name="_Toc303539128"/>
      <w:bookmarkStart w:id="961" w:name="_Toc304295549"/>
      <w:bookmarkStart w:id="962" w:name="_Toc297216178"/>
      <w:bookmarkStart w:id="963" w:name="_Toc297123519"/>
      <w:bookmarkStart w:id="964" w:name="_Toc312678015"/>
      <w:bookmarkStart w:id="965" w:name="_Toc300934971"/>
      <w:r>
        <w:rPr>
          <w:rFonts w:hint="eastAsia" w:ascii="宋体" w:hAnsi="宋体" w:eastAsia="宋体" w:cs="宋体"/>
          <w:color w:val="auto"/>
          <w:sz w:val="21"/>
          <w:szCs w:val="21"/>
        </w:rPr>
        <w:t>.6 不</w:t>
      </w:r>
      <w:bookmarkEnd w:id="960"/>
      <w:bookmarkEnd w:id="961"/>
      <w:bookmarkEnd w:id="962"/>
      <w:bookmarkEnd w:id="963"/>
      <w:bookmarkEnd w:id="964"/>
      <w:bookmarkEnd w:id="965"/>
      <w:r>
        <w:rPr>
          <w:rFonts w:hint="eastAsia" w:ascii="宋体" w:hAnsi="宋体" w:eastAsia="宋体" w:cs="宋体"/>
          <w:color w:val="auto"/>
          <w:sz w:val="21"/>
          <w:szCs w:val="21"/>
        </w:rPr>
        <w:t>利物质条件</w:t>
      </w:r>
      <w:bookmarkEnd w:id="956"/>
      <w:bookmarkEnd w:id="957"/>
      <w:bookmarkEnd w:id="958"/>
      <w:bookmarkEnd w:id="959"/>
    </w:p>
    <w:p w14:paraId="782504E5">
      <w:pPr>
        <w:adjustRightInd w:val="0"/>
        <w:snapToGrid w:val="0"/>
        <w:spacing w:line="360" w:lineRule="auto"/>
        <w:ind w:firstLine="420" w:firstLineChars="200"/>
        <w:jc w:val="left"/>
        <w:rPr>
          <w:rFonts w:hint="eastAsia" w:ascii="宋体" w:hAnsi="宋体" w:eastAsia="宋体" w:cs="宋体"/>
          <w:color w:val="auto"/>
          <w:sz w:val="21"/>
          <w:szCs w:val="21"/>
          <w:u w:val="single"/>
        </w:rPr>
      </w:pPr>
      <w:bookmarkStart w:id="966" w:name="_Toc297216179"/>
      <w:bookmarkStart w:id="967" w:name="_Toc318581172"/>
      <w:bookmarkStart w:id="968" w:name="_Toc304295550"/>
      <w:bookmarkStart w:id="969" w:name="_Toc297123520"/>
      <w:bookmarkStart w:id="970" w:name="_Toc303539129"/>
      <w:bookmarkStart w:id="971" w:name="_Toc312678016"/>
      <w:bookmarkStart w:id="972" w:name="_Toc300934972"/>
      <w:r>
        <w:rPr>
          <w:rFonts w:hint="eastAsia" w:ascii="宋体" w:hAnsi="宋体" w:eastAsia="宋体" w:cs="宋体"/>
          <w:color w:val="auto"/>
          <w:sz w:val="21"/>
          <w:szCs w:val="21"/>
        </w:rPr>
        <w:t>不利物质条件的其他情形和有关约定：</w:t>
      </w:r>
      <w:r>
        <w:rPr>
          <w:rFonts w:hint="eastAsia" w:ascii="宋体" w:hAnsi="宋体" w:eastAsia="宋体" w:cs="宋体"/>
          <w:color w:val="auto"/>
          <w:sz w:val="21"/>
          <w:szCs w:val="21"/>
          <w:u w:val="single"/>
        </w:rPr>
        <w:t>按通用条款7.6执行</w:t>
      </w:r>
      <w:r>
        <w:rPr>
          <w:rFonts w:hint="eastAsia" w:ascii="宋体" w:hAnsi="宋体" w:eastAsia="宋体" w:cs="宋体"/>
          <w:color w:val="auto"/>
          <w:sz w:val="21"/>
          <w:szCs w:val="21"/>
        </w:rPr>
        <w:t>。</w:t>
      </w:r>
    </w:p>
    <w:bookmarkEnd w:id="966"/>
    <w:bookmarkEnd w:id="967"/>
    <w:bookmarkEnd w:id="968"/>
    <w:bookmarkEnd w:id="969"/>
    <w:bookmarkEnd w:id="970"/>
    <w:bookmarkEnd w:id="971"/>
    <w:bookmarkEnd w:id="972"/>
    <w:p w14:paraId="162B995F">
      <w:pPr>
        <w:pStyle w:val="7"/>
        <w:adjustRightInd w:val="0"/>
        <w:snapToGrid w:val="0"/>
        <w:ind w:firstLine="422" w:firstLineChars="200"/>
        <w:rPr>
          <w:rFonts w:hint="eastAsia" w:ascii="宋体" w:hAnsi="宋体" w:eastAsia="宋体" w:cs="宋体"/>
          <w:color w:val="auto"/>
          <w:sz w:val="21"/>
          <w:szCs w:val="21"/>
        </w:rPr>
      </w:pPr>
      <w:bookmarkStart w:id="973" w:name="_Toc373478376"/>
      <w:bookmarkStart w:id="974" w:name="_Toc389065295"/>
      <w:bookmarkStart w:id="975" w:name="_Toc467599590"/>
      <w:bookmarkStart w:id="976" w:name="_Toc373227729"/>
      <w:r>
        <w:rPr>
          <w:rFonts w:hint="eastAsia" w:ascii="宋体" w:hAnsi="宋体" w:eastAsia="宋体" w:cs="宋体"/>
          <w:color w:val="auto"/>
          <w:sz w:val="21"/>
          <w:szCs w:val="21"/>
        </w:rPr>
        <w:t>7</w:t>
      </w:r>
      <w:bookmarkStart w:id="977" w:name="_Toc303539130"/>
      <w:bookmarkStart w:id="978" w:name="_Toc304295551"/>
      <w:bookmarkStart w:id="979" w:name="_Toc297123521"/>
      <w:bookmarkStart w:id="980" w:name="_Toc297216180"/>
      <w:bookmarkStart w:id="981" w:name="_Toc312678017"/>
      <w:bookmarkStart w:id="982" w:name="_Toc300934973"/>
      <w:r>
        <w:rPr>
          <w:rFonts w:hint="eastAsia" w:ascii="宋体" w:hAnsi="宋体" w:eastAsia="宋体" w:cs="宋体"/>
          <w:color w:val="auto"/>
          <w:sz w:val="21"/>
          <w:szCs w:val="21"/>
        </w:rPr>
        <w:t>.7 异常恶劣的气候条件</w:t>
      </w:r>
      <w:bookmarkEnd w:id="973"/>
      <w:bookmarkEnd w:id="974"/>
      <w:bookmarkEnd w:id="975"/>
      <w:bookmarkEnd w:id="976"/>
    </w:p>
    <w:bookmarkEnd w:id="977"/>
    <w:bookmarkEnd w:id="978"/>
    <w:bookmarkEnd w:id="979"/>
    <w:bookmarkEnd w:id="980"/>
    <w:bookmarkEnd w:id="981"/>
    <w:bookmarkEnd w:id="982"/>
    <w:p w14:paraId="0C7B58E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发包人和承包人同意以下情形视为异常恶劣的气候条件：</w:t>
      </w:r>
    </w:p>
    <w:p w14:paraId="3D8E51A0">
      <w:pPr>
        <w:adjustRightInd w:val="0"/>
        <w:snapToGrid w:val="0"/>
        <w:spacing w:line="360" w:lineRule="auto"/>
        <w:ind w:firstLine="420" w:firstLineChars="200"/>
        <w:rPr>
          <w:rFonts w:hint="eastAsia" w:ascii="宋体" w:hAnsi="宋体" w:eastAsia="宋体" w:cs="宋体"/>
          <w:color w:val="auto"/>
          <w:sz w:val="21"/>
          <w:szCs w:val="21"/>
          <w:u w:val="single"/>
        </w:rPr>
      </w:pPr>
      <w:bookmarkStart w:id="983" w:name="_Toc467599591"/>
      <w:bookmarkStart w:id="984" w:name="_Toc373478377"/>
      <w:bookmarkStart w:id="985" w:name="_Toc373227730"/>
      <w:bookmarkStart w:id="986" w:name="_Toc389065296"/>
      <w:r>
        <w:rPr>
          <w:rFonts w:hint="eastAsia" w:ascii="宋体" w:hAnsi="宋体" w:eastAsia="宋体" w:cs="宋体"/>
          <w:color w:val="auto"/>
          <w:sz w:val="21"/>
          <w:szCs w:val="21"/>
        </w:rPr>
        <w:t>（1）</w:t>
      </w:r>
      <w:r>
        <w:rPr>
          <w:rFonts w:hint="eastAsia" w:ascii="宋体" w:hAnsi="宋体" w:eastAsia="宋体" w:cs="宋体"/>
          <w:color w:val="auto"/>
          <w:spacing w:val="3"/>
          <w:sz w:val="21"/>
          <w:szCs w:val="21"/>
          <w:u w:val="single"/>
        </w:rPr>
        <w:t>日降雨量大于200㎜的雨日超过 1 天</w:t>
      </w:r>
      <w:r>
        <w:rPr>
          <w:rFonts w:hint="eastAsia" w:ascii="宋体" w:hAnsi="宋体" w:eastAsia="宋体" w:cs="宋体"/>
          <w:color w:val="auto"/>
          <w:sz w:val="21"/>
          <w:szCs w:val="21"/>
        </w:rPr>
        <w:t>；</w:t>
      </w:r>
    </w:p>
    <w:p w14:paraId="4320520E">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（2）</w:t>
      </w:r>
      <w:r>
        <w:rPr>
          <w:rFonts w:hint="eastAsia" w:ascii="宋体" w:hAnsi="宋体" w:eastAsia="宋体" w:cs="宋体"/>
          <w:color w:val="auto"/>
          <w:spacing w:val="3"/>
          <w:sz w:val="21"/>
          <w:szCs w:val="21"/>
          <w:u w:val="single"/>
        </w:rPr>
        <w:t>10 级以上的持续 1 日的大风（以气象部门鉴定为准）</w:t>
      </w:r>
    </w:p>
    <w:p w14:paraId="6FE1996C">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w:t>
      </w:r>
      <w:r>
        <w:rPr>
          <w:rFonts w:hint="eastAsia" w:ascii="宋体" w:hAnsi="宋体" w:eastAsia="宋体" w:cs="宋体"/>
          <w:color w:val="auto"/>
          <w:spacing w:val="3"/>
          <w:sz w:val="21"/>
          <w:szCs w:val="21"/>
          <w:u w:val="single"/>
        </w:rPr>
        <w:t>日气温超过 40 ℃的高温大于 2 天</w:t>
      </w:r>
      <w:r>
        <w:rPr>
          <w:rFonts w:hint="eastAsia" w:ascii="宋体" w:hAnsi="宋体" w:eastAsia="宋体" w:cs="宋体"/>
          <w:color w:val="auto"/>
          <w:sz w:val="21"/>
          <w:szCs w:val="21"/>
        </w:rPr>
        <w:t>；</w:t>
      </w:r>
    </w:p>
    <w:p w14:paraId="0F4FA6E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w:t>
      </w:r>
      <w:r>
        <w:rPr>
          <w:rFonts w:hint="eastAsia" w:ascii="宋体" w:hAnsi="宋体" w:eastAsia="宋体" w:cs="宋体"/>
          <w:color w:val="auto"/>
          <w:spacing w:val="3"/>
          <w:sz w:val="21"/>
          <w:szCs w:val="21"/>
          <w:u w:val="single"/>
        </w:rPr>
        <w:t>日气温低于 -10℃的严寒大于 2 天</w:t>
      </w:r>
      <w:r>
        <w:rPr>
          <w:rFonts w:hint="eastAsia" w:ascii="宋体" w:hAnsi="宋体" w:eastAsia="宋体" w:cs="宋体"/>
          <w:color w:val="auto"/>
          <w:sz w:val="21"/>
          <w:szCs w:val="21"/>
        </w:rPr>
        <w:t>。</w:t>
      </w:r>
    </w:p>
    <w:p w14:paraId="40A31768">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pacing w:val="3"/>
          <w:sz w:val="21"/>
          <w:szCs w:val="21"/>
          <w:u w:val="single"/>
        </w:rPr>
        <w:t>造成工程损坏的冰雹和大雪灾害</w:t>
      </w:r>
      <w:r>
        <w:rPr>
          <w:rFonts w:hint="eastAsia" w:ascii="宋体" w:hAnsi="宋体" w:eastAsia="宋体" w:cs="宋体"/>
          <w:color w:val="auto"/>
          <w:sz w:val="21"/>
          <w:szCs w:val="21"/>
        </w:rPr>
        <w:t>；</w:t>
      </w:r>
    </w:p>
    <w:p w14:paraId="44F5AD7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pacing w:val="3"/>
          <w:sz w:val="21"/>
          <w:szCs w:val="21"/>
          <w:u w:val="single"/>
        </w:rPr>
        <w:t>6 级以上的地震</w:t>
      </w:r>
      <w:r>
        <w:rPr>
          <w:rFonts w:hint="eastAsia" w:ascii="宋体" w:hAnsi="宋体" w:eastAsia="宋体" w:cs="宋体"/>
          <w:color w:val="auto"/>
          <w:sz w:val="21"/>
          <w:szCs w:val="21"/>
        </w:rPr>
        <w:t>；</w:t>
      </w:r>
    </w:p>
    <w:p w14:paraId="405F84C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pacing w:val="3"/>
          <w:sz w:val="21"/>
          <w:szCs w:val="21"/>
          <w:u w:val="single"/>
        </w:rPr>
        <w:t>50 年一遇及以上的洪水</w:t>
      </w:r>
      <w:r>
        <w:rPr>
          <w:rFonts w:hint="eastAsia" w:ascii="宋体" w:hAnsi="宋体" w:eastAsia="宋体" w:cs="宋体"/>
          <w:color w:val="auto"/>
          <w:sz w:val="21"/>
          <w:szCs w:val="21"/>
        </w:rPr>
        <w:t>；</w:t>
      </w:r>
    </w:p>
    <w:p w14:paraId="61681EAB">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pacing w:val="3"/>
          <w:sz w:val="21"/>
          <w:szCs w:val="21"/>
          <w:u w:val="single"/>
        </w:rPr>
        <w:t>其他异常恶劣气候灾害</w:t>
      </w:r>
      <w:r>
        <w:rPr>
          <w:rFonts w:hint="eastAsia" w:ascii="宋体" w:hAnsi="宋体" w:eastAsia="宋体" w:cs="宋体"/>
          <w:color w:val="auto"/>
          <w:sz w:val="21"/>
          <w:szCs w:val="21"/>
        </w:rPr>
        <w:t>。</w:t>
      </w:r>
    </w:p>
    <w:p w14:paraId="4D21A0C1">
      <w:pPr>
        <w:pStyle w:val="7"/>
        <w:adjustRightInd w:val="0"/>
        <w:snapToGrid w:val="0"/>
        <w:ind w:firstLine="422" w:firstLineChars="200"/>
        <w:rPr>
          <w:rFonts w:hint="eastAsia" w:ascii="宋体" w:hAnsi="宋体" w:eastAsia="宋体" w:cs="宋体"/>
          <w:color w:val="auto"/>
          <w:sz w:val="21"/>
          <w:szCs w:val="21"/>
        </w:rPr>
      </w:pPr>
      <w:r>
        <w:rPr>
          <w:rFonts w:hint="eastAsia" w:ascii="宋体" w:hAnsi="宋体" w:eastAsia="宋体" w:cs="宋体"/>
          <w:color w:val="auto"/>
          <w:sz w:val="21"/>
          <w:szCs w:val="21"/>
        </w:rPr>
        <w:t>7.9 提前竣工</w:t>
      </w:r>
      <w:bookmarkEnd w:id="983"/>
      <w:bookmarkEnd w:id="984"/>
      <w:bookmarkEnd w:id="985"/>
      <w:bookmarkEnd w:id="986"/>
    </w:p>
    <w:p w14:paraId="4E9D3F4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7.9.2提前竣工（赶工）增加费的计算方法：</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0C821E43">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987" w:name="_Toc373478378"/>
      <w:bookmarkStart w:id="988" w:name="_Toc389065297"/>
      <w:bookmarkStart w:id="989" w:name="_Toc24237_WPSOffice_Level3"/>
      <w:bookmarkStart w:id="990" w:name="_Toc351203640"/>
      <w:bookmarkStart w:id="991" w:name="_Toc373227731"/>
      <w:bookmarkStart w:id="992" w:name="_Toc467599592"/>
      <w:r>
        <w:rPr>
          <w:rFonts w:hint="eastAsia" w:ascii="宋体" w:hAnsi="宋体" w:eastAsia="宋体" w:cs="宋体"/>
          <w:color w:val="auto"/>
          <w:sz w:val="21"/>
          <w:szCs w:val="21"/>
        </w:rPr>
        <w:t>8. 材料与设备</w:t>
      </w:r>
      <w:bookmarkEnd w:id="987"/>
      <w:bookmarkEnd w:id="988"/>
      <w:bookmarkEnd w:id="989"/>
      <w:bookmarkEnd w:id="990"/>
      <w:bookmarkEnd w:id="991"/>
      <w:bookmarkEnd w:id="992"/>
    </w:p>
    <w:bookmarkEnd w:id="868"/>
    <w:bookmarkEnd w:id="869"/>
    <w:bookmarkEnd w:id="870"/>
    <w:bookmarkEnd w:id="871"/>
    <w:bookmarkEnd w:id="872"/>
    <w:bookmarkEnd w:id="873"/>
    <w:bookmarkEnd w:id="874"/>
    <w:bookmarkEnd w:id="875"/>
    <w:bookmarkEnd w:id="876"/>
    <w:bookmarkEnd w:id="877"/>
    <w:p w14:paraId="66F3EE54">
      <w:pPr>
        <w:pStyle w:val="7"/>
        <w:adjustRightInd w:val="0"/>
        <w:snapToGrid w:val="0"/>
        <w:ind w:firstLine="422" w:firstLineChars="200"/>
        <w:rPr>
          <w:rFonts w:hint="eastAsia" w:ascii="宋体" w:hAnsi="宋体" w:eastAsia="宋体" w:cs="宋体"/>
          <w:color w:val="auto"/>
          <w:sz w:val="21"/>
          <w:szCs w:val="21"/>
        </w:rPr>
      </w:pPr>
      <w:bookmarkStart w:id="993" w:name="_Toc373478379"/>
      <w:bookmarkStart w:id="994" w:name="_Toc389065298"/>
      <w:bookmarkStart w:id="995" w:name="_Toc467599593"/>
      <w:bookmarkStart w:id="996" w:name="_Toc373227732"/>
      <w:r>
        <w:rPr>
          <w:rFonts w:hint="eastAsia" w:ascii="宋体" w:hAnsi="宋体" w:eastAsia="宋体" w:cs="宋体"/>
          <w:color w:val="auto"/>
          <w:sz w:val="21"/>
          <w:szCs w:val="21"/>
        </w:rPr>
        <w:t>8.2 承包人采购材料与工程设备</w:t>
      </w:r>
      <w:bookmarkEnd w:id="993"/>
      <w:bookmarkEnd w:id="994"/>
      <w:bookmarkEnd w:id="995"/>
      <w:bookmarkEnd w:id="996"/>
    </w:p>
    <w:p w14:paraId="226EBB1D">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除已标价工程量清单《发包人提供主要材料和工程设备一览表》中明确的材料、工程设备外，由承包人负责材料和工程设备的采购、运输和保管。《</w:t>
      </w:r>
      <w:r>
        <w:rPr>
          <w:rFonts w:hint="eastAsia" w:ascii="宋体" w:hAnsi="宋体" w:eastAsia="宋体" w:cs="宋体"/>
          <w:color w:val="auto"/>
          <w:sz w:val="21"/>
          <w:szCs w:val="21"/>
        </w:rPr>
        <w:t>承包人提供主要材料和工程设备一览表》</w:t>
      </w:r>
      <w:r>
        <w:rPr>
          <w:rFonts w:hint="eastAsia" w:ascii="宋体" w:hAnsi="宋体" w:eastAsia="宋体" w:cs="宋体"/>
          <w:color w:val="auto"/>
          <w:kern w:val="0"/>
          <w:sz w:val="21"/>
          <w:szCs w:val="21"/>
        </w:rPr>
        <w:t>见已标价工程量清单。</w:t>
      </w:r>
    </w:p>
    <w:p w14:paraId="25EB9350">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bookmarkStart w:id="997" w:name="_Toc373227733"/>
      <w:bookmarkStart w:id="998" w:name="_Toc373478380"/>
      <w:bookmarkStart w:id="999" w:name="_Toc389065299"/>
      <w:r>
        <w:rPr>
          <w:rFonts w:hint="eastAsia" w:ascii="宋体" w:hAnsi="宋体" w:eastAsia="宋体" w:cs="宋体"/>
          <w:color w:val="auto"/>
          <w:sz w:val="21"/>
          <w:szCs w:val="21"/>
        </w:rPr>
        <w:t>对发包人在招标时有“参照或相当于**品牌、级别”约定的材料或设备，承包人采购时必须按</w:t>
      </w:r>
      <w:r>
        <w:rPr>
          <w:rFonts w:hint="eastAsia" w:ascii="宋体" w:hAnsi="宋体" w:cs="宋体"/>
          <w:color w:val="auto"/>
          <w:sz w:val="21"/>
          <w:szCs w:val="21"/>
          <w:lang w:eastAsia="zh-CN"/>
        </w:rPr>
        <w:t>类似</w:t>
      </w:r>
      <w:r>
        <w:rPr>
          <w:rFonts w:hint="eastAsia" w:ascii="宋体" w:hAnsi="宋体" w:eastAsia="宋体" w:cs="宋体"/>
          <w:color w:val="auto"/>
          <w:sz w:val="21"/>
          <w:szCs w:val="21"/>
        </w:rPr>
        <w:t>或优于所约定品牌、等级进行采购，施工期间该部分材料或设备如未超过招标约定的风险幅度的，结算时按投标单价支付，不得调整。</w:t>
      </w:r>
    </w:p>
    <w:p w14:paraId="7972A04D">
      <w:pPr>
        <w:pStyle w:val="7"/>
        <w:adjustRightInd w:val="0"/>
        <w:snapToGrid w:val="0"/>
        <w:ind w:firstLine="422" w:firstLineChars="200"/>
        <w:rPr>
          <w:rFonts w:hint="eastAsia" w:ascii="宋体" w:hAnsi="宋体" w:eastAsia="宋体" w:cs="宋体"/>
          <w:color w:val="auto"/>
          <w:sz w:val="21"/>
          <w:szCs w:val="21"/>
        </w:rPr>
      </w:pPr>
      <w:bookmarkStart w:id="1000" w:name="_Toc467599594"/>
      <w:r>
        <w:rPr>
          <w:rFonts w:hint="eastAsia" w:ascii="宋体" w:hAnsi="宋体" w:eastAsia="宋体" w:cs="宋体"/>
          <w:color w:val="auto"/>
          <w:sz w:val="21"/>
          <w:szCs w:val="21"/>
        </w:rPr>
        <w:t>8</w:t>
      </w:r>
      <w:bookmarkStart w:id="1001" w:name="_Toc296890995"/>
      <w:bookmarkStart w:id="1002" w:name="_Toc280868654"/>
      <w:bookmarkStart w:id="1003" w:name="_Toc296891207"/>
      <w:bookmarkStart w:id="1004" w:name="_Toc292559372"/>
      <w:bookmarkStart w:id="1005" w:name="_Toc296346668"/>
      <w:bookmarkStart w:id="1006" w:name="_Toc296347166"/>
      <w:bookmarkStart w:id="1007" w:name="_Toc303539136"/>
      <w:bookmarkStart w:id="1008" w:name="_Toc292559877"/>
      <w:bookmarkStart w:id="1009" w:name="_Toc312677493"/>
      <w:bookmarkStart w:id="1010" w:name="_Toc300934979"/>
      <w:bookmarkStart w:id="1011" w:name="_Toc312678019"/>
      <w:bookmarkStart w:id="1012" w:name="_Toc304295556"/>
      <w:bookmarkStart w:id="1013" w:name="_Toc296503167"/>
      <w:bookmarkStart w:id="1014" w:name="_Toc297120467"/>
      <w:bookmarkStart w:id="1015" w:name="_Toc296944506"/>
      <w:bookmarkStart w:id="1016" w:name="_Toc297123527"/>
      <w:bookmarkStart w:id="1017" w:name="_Toc297216186"/>
      <w:bookmarkStart w:id="1018" w:name="_Toc297048353"/>
      <w:bookmarkStart w:id="1019" w:name="_Toc267251424"/>
      <w:bookmarkStart w:id="1020" w:name="_Toc280868656"/>
      <w:bookmarkStart w:id="1021" w:name="_Toc280868655"/>
      <w:r>
        <w:rPr>
          <w:rFonts w:hint="eastAsia" w:ascii="宋体" w:hAnsi="宋体" w:eastAsia="宋体" w:cs="宋体"/>
          <w:color w:val="auto"/>
          <w:sz w:val="21"/>
          <w:szCs w:val="21"/>
        </w:rPr>
        <w:t>.4 材料与工程设备的保管与使用</w:t>
      </w:r>
      <w:bookmarkEnd w:id="997"/>
      <w:bookmarkEnd w:id="998"/>
      <w:bookmarkEnd w:id="999"/>
      <w:bookmarkEnd w:id="1000"/>
    </w:p>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p w14:paraId="410FB875">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8</w:t>
      </w:r>
      <w:bookmarkStart w:id="1022" w:name="_Toc292559878"/>
      <w:bookmarkStart w:id="1023" w:name="_Toc292559373"/>
      <w:bookmarkStart w:id="1024" w:name="_Toc312678020"/>
      <w:bookmarkStart w:id="1025" w:name="_Toc296944507"/>
      <w:bookmarkStart w:id="1026" w:name="_Toc296346669"/>
      <w:bookmarkStart w:id="1027" w:name="_Toc296503168"/>
      <w:bookmarkStart w:id="1028" w:name="_Toc297048354"/>
      <w:bookmarkStart w:id="1029" w:name="_Toc296891208"/>
      <w:bookmarkStart w:id="1030" w:name="_Toc312677494"/>
      <w:bookmarkStart w:id="1031" w:name="_Toc296890996"/>
      <w:bookmarkStart w:id="1032" w:name="_Toc297123528"/>
      <w:bookmarkStart w:id="1033" w:name="_Toc297216187"/>
      <w:bookmarkStart w:id="1034" w:name="_Toc303539137"/>
      <w:bookmarkStart w:id="1035" w:name="_Toc300934980"/>
      <w:bookmarkStart w:id="1036" w:name="_Toc296347167"/>
      <w:bookmarkStart w:id="1037" w:name="_Toc304295557"/>
      <w:bookmarkStart w:id="1038" w:name="_Toc297120468"/>
      <w:bookmarkStart w:id="1039" w:name="_Toc318581173"/>
      <w:r>
        <w:rPr>
          <w:rFonts w:hint="eastAsia" w:ascii="宋体" w:hAnsi="宋体" w:eastAsia="宋体" w:cs="宋体"/>
          <w:color w:val="auto"/>
          <w:sz w:val="21"/>
          <w:szCs w:val="21"/>
        </w:rPr>
        <w:t>.4.1发包人供应的材料设备的保管费用的承担：</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bookmarkEnd w:id="1022"/>
    <w:bookmarkEnd w:id="1023"/>
    <w:p w14:paraId="5FDCF7E8">
      <w:pPr>
        <w:pStyle w:val="7"/>
        <w:adjustRightInd w:val="0"/>
        <w:snapToGrid w:val="0"/>
        <w:ind w:firstLine="422" w:firstLineChars="200"/>
        <w:rPr>
          <w:rFonts w:hint="eastAsia" w:ascii="宋体" w:hAnsi="宋体" w:eastAsia="宋体" w:cs="宋体"/>
          <w:color w:val="auto"/>
          <w:sz w:val="21"/>
          <w:szCs w:val="21"/>
        </w:rPr>
      </w:pPr>
      <w:bookmarkStart w:id="1040" w:name="_Toc373227734"/>
      <w:bookmarkStart w:id="1041" w:name="_Toc373478381"/>
      <w:bookmarkStart w:id="1042" w:name="_Toc389065300"/>
      <w:bookmarkStart w:id="1043" w:name="_Toc467599595"/>
      <w:r>
        <w:rPr>
          <w:rFonts w:hint="eastAsia" w:ascii="宋体" w:hAnsi="宋体" w:eastAsia="宋体" w:cs="宋体"/>
          <w:color w:val="auto"/>
          <w:sz w:val="21"/>
          <w:szCs w:val="21"/>
        </w:rPr>
        <w:t>8.6 样品</w:t>
      </w:r>
      <w:bookmarkEnd w:id="1040"/>
      <w:bookmarkEnd w:id="1041"/>
      <w:bookmarkEnd w:id="1042"/>
      <w:bookmarkEnd w:id="1043"/>
    </w:p>
    <w:p w14:paraId="5524B161">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8.6.1 样品的报送与封存</w:t>
      </w:r>
    </w:p>
    <w:p w14:paraId="36C7E6CD">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需要承包人报送样品的材料或工程设备，样品的种类、名称、规格、数量要求：</w:t>
      </w:r>
      <w:r>
        <w:rPr>
          <w:rFonts w:hint="eastAsia" w:ascii="宋体" w:hAnsi="宋体" w:eastAsia="宋体" w:cs="宋体"/>
          <w:color w:val="auto"/>
          <w:sz w:val="21"/>
          <w:szCs w:val="21"/>
          <w:u w:val="single"/>
        </w:rPr>
        <w:t>主要材料涉及品种、款式、颜色等方面内容的，承包人应提交准备合格的材料样品送发包人选定，并由双方封存样品。</w:t>
      </w:r>
    </w:p>
    <w:p w14:paraId="260870DF">
      <w:pPr>
        <w:pStyle w:val="7"/>
        <w:adjustRightInd w:val="0"/>
        <w:snapToGrid w:val="0"/>
        <w:ind w:firstLine="422" w:firstLineChars="200"/>
        <w:rPr>
          <w:rFonts w:hint="eastAsia" w:ascii="宋体" w:hAnsi="宋体" w:eastAsia="宋体" w:cs="宋体"/>
          <w:color w:val="auto"/>
          <w:sz w:val="21"/>
          <w:szCs w:val="21"/>
        </w:rPr>
      </w:pPr>
      <w:bookmarkStart w:id="1044" w:name="_Toc467599596"/>
      <w:bookmarkStart w:id="1045" w:name="_Toc373478382"/>
      <w:bookmarkStart w:id="1046" w:name="_Toc373227735"/>
      <w:bookmarkStart w:id="1047" w:name="_Toc389065301"/>
      <w:r>
        <w:rPr>
          <w:rFonts w:hint="eastAsia" w:ascii="宋体" w:hAnsi="宋体" w:eastAsia="宋体" w:cs="宋体"/>
          <w:color w:val="auto"/>
          <w:sz w:val="21"/>
          <w:szCs w:val="21"/>
        </w:rPr>
        <w:t>8.8 施工设备和临时设施</w:t>
      </w:r>
      <w:bookmarkEnd w:id="1044"/>
      <w:bookmarkEnd w:id="1045"/>
      <w:bookmarkEnd w:id="1046"/>
      <w:bookmarkEnd w:id="1047"/>
    </w:p>
    <w:p w14:paraId="1BA27CEA">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8.8.1 承包人提供的施工设备和临时设施</w:t>
      </w:r>
    </w:p>
    <w:p w14:paraId="040369E1">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除专用合同条款另有约定的其他独立承包人和监理人指示的他人提供条件外，承包人</w:t>
      </w:r>
      <w:r>
        <w:rPr>
          <w:rFonts w:hint="eastAsia" w:ascii="宋体" w:hAnsi="宋体" w:cs="宋体"/>
          <w:color w:val="auto"/>
          <w:sz w:val="21"/>
          <w:szCs w:val="21"/>
          <w:lang w:eastAsia="zh-CN"/>
        </w:rPr>
        <w:t>进入</w:t>
      </w:r>
      <w:r>
        <w:rPr>
          <w:rFonts w:hint="eastAsia" w:ascii="宋体" w:hAnsi="宋体" w:eastAsia="宋体" w:cs="宋体"/>
          <w:color w:val="auto"/>
          <w:sz w:val="21"/>
          <w:szCs w:val="21"/>
        </w:rPr>
        <w:t>施工场地的所有施工设备以及在施工场地建设的临时设施仅限于用于合同工程。承包人用于本工程的主要机械设备清单见合同附件3。</w:t>
      </w:r>
    </w:p>
    <w:p w14:paraId="45EABA33">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关于修建临时设施费用承担的约定：</w:t>
      </w:r>
    </w:p>
    <w:p w14:paraId="10CDE971">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8.8.2 发包人提供的施工设备和临时设施</w:t>
      </w:r>
    </w:p>
    <w:p w14:paraId="3E814AB8">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3F180C2">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发包人提供的施工设备和临时设施的运行、维护、拆除、清运费用的承担人：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14:paraId="42A45A94">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048" w:name="_Toc389065302"/>
      <w:bookmarkStart w:id="1049" w:name="_Toc467599597"/>
      <w:bookmarkStart w:id="1050" w:name="_Toc373478383"/>
      <w:bookmarkStart w:id="1051" w:name="_Toc373227736"/>
      <w:bookmarkStart w:id="1052" w:name="_Toc351203641"/>
      <w:bookmarkStart w:id="1053" w:name="_Toc19239_WPSOffice_Level3"/>
      <w:r>
        <w:rPr>
          <w:rFonts w:hint="eastAsia" w:ascii="宋体" w:hAnsi="宋体" w:eastAsia="宋体" w:cs="宋体"/>
          <w:color w:val="auto"/>
          <w:sz w:val="21"/>
          <w:szCs w:val="21"/>
        </w:rPr>
        <w:t>9</w:t>
      </w:r>
      <w:bookmarkEnd w:id="1019"/>
      <w:bookmarkEnd w:id="1020"/>
      <w:bookmarkEnd w:id="1021"/>
      <w:bookmarkStart w:id="1054" w:name="_Toc297216192"/>
      <w:bookmarkStart w:id="1055" w:name="_Toc312678021"/>
      <w:bookmarkStart w:id="1056" w:name="_Toc303539139"/>
      <w:bookmarkStart w:id="1057" w:name="_Toc300934982"/>
      <w:bookmarkStart w:id="1058" w:name="_Toc297123533"/>
      <w:bookmarkStart w:id="1059" w:name="_Toc312677495"/>
      <w:bookmarkStart w:id="1060" w:name="_Toc304295559"/>
      <w:bookmarkStart w:id="1061" w:name="_Toc267251428"/>
      <w:bookmarkStart w:id="1062" w:name="_Toc296891001"/>
      <w:bookmarkStart w:id="1063" w:name="_Toc292559883"/>
      <w:bookmarkStart w:id="1064" w:name="_Toc297120473"/>
      <w:bookmarkStart w:id="1065" w:name="_Toc297048359"/>
      <w:bookmarkStart w:id="1066" w:name="_Toc296346674"/>
      <w:bookmarkStart w:id="1067" w:name="_Toc292559378"/>
      <w:bookmarkStart w:id="1068" w:name="_Toc296347172"/>
      <w:bookmarkStart w:id="1069" w:name="_Toc296503173"/>
      <w:bookmarkStart w:id="1070" w:name="_Toc296944512"/>
      <w:bookmarkStart w:id="1071" w:name="_Toc267251427"/>
      <w:bookmarkStart w:id="1072" w:name="_Toc296891213"/>
      <w:r>
        <w:rPr>
          <w:rFonts w:hint="eastAsia" w:ascii="宋体" w:hAnsi="宋体" w:eastAsia="宋体" w:cs="宋体"/>
          <w:color w:val="auto"/>
          <w:sz w:val="21"/>
          <w:szCs w:val="21"/>
        </w:rPr>
        <w:t>. 试验与检验</w:t>
      </w:r>
      <w:bookmarkEnd w:id="1048"/>
      <w:bookmarkEnd w:id="1049"/>
      <w:bookmarkEnd w:id="1050"/>
      <w:bookmarkEnd w:id="1051"/>
      <w:bookmarkEnd w:id="1052"/>
      <w:bookmarkEnd w:id="1053"/>
    </w:p>
    <w:bookmarkEnd w:id="1054"/>
    <w:bookmarkEnd w:id="1055"/>
    <w:bookmarkEnd w:id="1056"/>
    <w:bookmarkEnd w:id="1057"/>
    <w:bookmarkEnd w:id="1058"/>
    <w:bookmarkEnd w:id="1059"/>
    <w:bookmarkEnd w:id="1060"/>
    <w:p w14:paraId="244A0747">
      <w:pPr>
        <w:pStyle w:val="7"/>
        <w:adjustRightInd w:val="0"/>
        <w:snapToGrid w:val="0"/>
        <w:ind w:firstLine="422" w:firstLineChars="200"/>
        <w:rPr>
          <w:rFonts w:hint="eastAsia" w:ascii="宋体" w:hAnsi="宋体" w:eastAsia="宋体" w:cs="宋体"/>
          <w:color w:val="auto"/>
          <w:sz w:val="21"/>
          <w:szCs w:val="21"/>
        </w:rPr>
      </w:pPr>
      <w:bookmarkStart w:id="1073" w:name="_Toc467599598"/>
      <w:bookmarkStart w:id="1074" w:name="_Toc389065303"/>
      <w:bookmarkStart w:id="1075" w:name="_Toc373227737"/>
      <w:bookmarkStart w:id="1076" w:name="_Toc373478384"/>
      <w:r>
        <w:rPr>
          <w:rFonts w:hint="eastAsia" w:ascii="宋体" w:hAnsi="宋体" w:eastAsia="宋体" w:cs="宋体"/>
          <w:color w:val="auto"/>
          <w:sz w:val="21"/>
          <w:szCs w:val="21"/>
        </w:rPr>
        <w:t>9</w:t>
      </w:r>
      <w:bookmarkStart w:id="1077" w:name="_Toc300934983"/>
      <w:bookmarkStart w:id="1078" w:name="_Toc312678022"/>
      <w:bookmarkStart w:id="1079" w:name="_Toc297216193"/>
      <w:bookmarkStart w:id="1080" w:name="_Toc297123534"/>
      <w:bookmarkStart w:id="1081" w:name="_Toc303539140"/>
      <w:bookmarkStart w:id="1082" w:name="_Toc304295560"/>
      <w:bookmarkStart w:id="1083" w:name="_Toc312677496"/>
      <w:r>
        <w:rPr>
          <w:rFonts w:hint="eastAsia" w:ascii="宋体" w:hAnsi="宋体" w:eastAsia="宋体" w:cs="宋体"/>
          <w:color w:val="auto"/>
          <w:sz w:val="21"/>
          <w:szCs w:val="21"/>
        </w:rPr>
        <w:t>.1 试验设备与试验人员</w:t>
      </w:r>
      <w:bookmarkEnd w:id="1073"/>
      <w:bookmarkEnd w:id="1074"/>
      <w:bookmarkEnd w:id="1075"/>
      <w:bookmarkEnd w:id="1076"/>
    </w:p>
    <w:bookmarkEnd w:id="1077"/>
    <w:bookmarkEnd w:id="1078"/>
    <w:bookmarkEnd w:id="1079"/>
    <w:bookmarkEnd w:id="1080"/>
    <w:bookmarkEnd w:id="1081"/>
    <w:bookmarkEnd w:id="1082"/>
    <w:bookmarkEnd w:id="1083"/>
    <w:p w14:paraId="01E9623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bookmarkStart w:id="1084" w:name="_Toc312677497"/>
      <w:bookmarkStart w:id="1085" w:name="_Toc300934984"/>
      <w:bookmarkStart w:id="1086" w:name="_Toc304295561"/>
      <w:bookmarkStart w:id="1087" w:name="_Toc303539141"/>
      <w:bookmarkStart w:id="1088" w:name="_Toc312678023"/>
      <w:bookmarkStart w:id="1089" w:name="_Toc297216194"/>
      <w:bookmarkStart w:id="1090" w:name="_Toc297123535"/>
      <w:bookmarkStart w:id="1091" w:name="_Toc318581174"/>
      <w:r>
        <w:rPr>
          <w:rFonts w:hint="eastAsia" w:ascii="宋体" w:hAnsi="宋体" w:eastAsia="宋体" w:cs="宋体"/>
          <w:color w:val="auto"/>
          <w:sz w:val="21"/>
          <w:szCs w:val="21"/>
        </w:rPr>
        <w:t>.1.2 试验设备</w:t>
      </w:r>
    </w:p>
    <w:p w14:paraId="68449F0B">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施工现场需要配置的试验场所：</w:t>
      </w:r>
      <w:bookmarkEnd w:id="1084"/>
      <w:bookmarkEnd w:id="1085"/>
      <w:bookmarkEnd w:id="1086"/>
      <w:bookmarkEnd w:id="1087"/>
      <w:bookmarkEnd w:id="1088"/>
      <w:bookmarkEnd w:id="1089"/>
      <w:bookmarkEnd w:id="1090"/>
      <w:bookmarkStart w:id="1092" w:name="_Toc297216195"/>
      <w:bookmarkStart w:id="1093" w:name="_Toc300934985"/>
      <w:bookmarkStart w:id="1094" w:name="_Toc312677498"/>
      <w:bookmarkStart w:id="1095" w:name="_Toc303539142"/>
      <w:bookmarkStart w:id="1096" w:name="_Toc297123536"/>
      <w:bookmarkStart w:id="1097" w:name="_Toc304295562"/>
      <w:bookmarkStart w:id="1098" w:name="_Toc312678024"/>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6150C61C">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217BB569">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0626ED83">
      <w:pPr>
        <w:pStyle w:val="7"/>
        <w:adjustRightInd w:val="0"/>
        <w:snapToGrid w:val="0"/>
        <w:ind w:firstLine="422" w:firstLineChars="200"/>
        <w:rPr>
          <w:rFonts w:hint="eastAsia" w:ascii="宋体" w:hAnsi="宋体" w:eastAsia="宋体" w:cs="宋体"/>
          <w:color w:val="auto"/>
          <w:sz w:val="21"/>
          <w:szCs w:val="21"/>
        </w:rPr>
      </w:pPr>
      <w:bookmarkStart w:id="1099" w:name="_Toc373227738"/>
      <w:bookmarkStart w:id="1100" w:name="_Toc389065304"/>
      <w:bookmarkStart w:id="1101" w:name="_Toc373478385"/>
      <w:bookmarkStart w:id="1102" w:name="_Toc467599599"/>
      <w:r>
        <w:rPr>
          <w:rFonts w:hint="eastAsia" w:ascii="宋体" w:hAnsi="宋体" w:eastAsia="宋体" w:cs="宋体"/>
          <w:color w:val="auto"/>
          <w:sz w:val="21"/>
          <w:szCs w:val="21"/>
        </w:rPr>
        <w:t>9.4 现场工艺试验</w:t>
      </w:r>
      <w:bookmarkEnd w:id="1099"/>
      <w:bookmarkEnd w:id="1100"/>
      <w:bookmarkEnd w:id="1101"/>
      <w:bookmarkEnd w:id="1102"/>
      <w:r>
        <w:rPr>
          <w:rFonts w:hint="eastAsia" w:ascii="宋体" w:hAnsi="宋体" w:eastAsia="宋体" w:cs="宋体"/>
          <w:color w:val="auto"/>
          <w:sz w:val="21"/>
          <w:szCs w:val="21"/>
        </w:rPr>
        <w:t xml:space="preserve"> </w:t>
      </w:r>
    </w:p>
    <w:p w14:paraId="68B1E7E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4A94FD74">
      <w:pPr>
        <w:pStyle w:val="7"/>
        <w:adjustRightInd w:val="0"/>
        <w:snapToGrid w:val="0"/>
        <w:ind w:firstLine="422" w:firstLineChars="200"/>
        <w:rPr>
          <w:rFonts w:hint="eastAsia" w:ascii="宋体" w:hAnsi="宋体" w:eastAsia="宋体" w:cs="宋体"/>
          <w:color w:val="auto"/>
          <w:sz w:val="21"/>
          <w:szCs w:val="21"/>
        </w:rPr>
      </w:pPr>
      <w:bookmarkStart w:id="1103" w:name="_Toc467599600"/>
      <w:bookmarkStart w:id="1104" w:name="OLE_LINK1"/>
      <w:r>
        <w:rPr>
          <w:rFonts w:hint="eastAsia" w:ascii="宋体" w:hAnsi="宋体" w:eastAsia="宋体" w:cs="宋体"/>
          <w:color w:val="auto"/>
          <w:sz w:val="21"/>
          <w:szCs w:val="21"/>
        </w:rPr>
        <w:t>9.5 检验费用</w:t>
      </w:r>
      <w:bookmarkEnd w:id="1103"/>
    </w:p>
    <w:p w14:paraId="1735EF83">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根据《建设工程质量检测管理办法》（建设部令第141号）以及</w:t>
      </w:r>
      <w:r>
        <w:rPr>
          <w:rFonts w:hint="eastAsia" w:ascii="宋体" w:hAnsi="宋体" w:eastAsia="宋体" w:cs="宋体"/>
          <w:bCs/>
          <w:color w:val="auto"/>
          <w:sz w:val="21"/>
          <w:szCs w:val="21"/>
        </w:rPr>
        <w:t>《广西壮族自治区建设工程质量检测管理规定》（桂建管〔2013〕11号）</w:t>
      </w:r>
      <w:r>
        <w:rPr>
          <w:rFonts w:hint="eastAsia" w:ascii="宋体" w:hAnsi="宋体" w:eastAsia="宋体" w:cs="宋体"/>
          <w:color w:val="auto"/>
          <w:sz w:val="21"/>
          <w:szCs w:val="21"/>
        </w:rPr>
        <w:t>规定，工程质量检测业务由发包人委托有相应资质的检测机构检测。费用从发包人的项目建设经费中支出并直接支付给检测机构，不计入合同价款内。</w:t>
      </w:r>
    </w:p>
    <w:bookmarkEnd w:id="1091"/>
    <w:bookmarkEnd w:id="1092"/>
    <w:bookmarkEnd w:id="1093"/>
    <w:bookmarkEnd w:id="1094"/>
    <w:bookmarkEnd w:id="1095"/>
    <w:bookmarkEnd w:id="1096"/>
    <w:bookmarkEnd w:id="1097"/>
    <w:bookmarkEnd w:id="1098"/>
    <w:bookmarkEnd w:id="1104"/>
    <w:p w14:paraId="5B77B7D3">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105" w:name="_Toc389065305"/>
      <w:bookmarkStart w:id="1106" w:name="_Toc373227739"/>
      <w:bookmarkStart w:id="1107" w:name="_Toc373478386"/>
      <w:bookmarkStart w:id="1108" w:name="_Toc26315_WPSOffice_Level3"/>
      <w:bookmarkStart w:id="1109" w:name="_Toc351203642"/>
      <w:bookmarkStart w:id="1110" w:name="_Toc467599601"/>
      <w:r>
        <w:rPr>
          <w:rFonts w:hint="eastAsia" w:ascii="宋体" w:hAnsi="宋体" w:eastAsia="宋体" w:cs="宋体"/>
          <w:color w:val="auto"/>
          <w:sz w:val="21"/>
          <w:szCs w:val="21"/>
        </w:rPr>
        <w:t>1</w:t>
      </w:r>
      <w:bookmarkEnd w:id="1061"/>
      <w:bookmarkEnd w:id="1062"/>
      <w:bookmarkEnd w:id="1063"/>
      <w:bookmarkEnd w:id="1064"/>
      <w:bookmarkEnd w:id="1065"/>
      <w:bookmarkEnd w:id="1066"/>
      <w:bookmarkEnd w:id="1067"/>
      <w:bookmarkEnd w:id="1068"/>
      <w:bookmarkEnd w:id="1069"/>
      <w:bookmarkEnd w:id="1070"/>
      <w:bookmarkEnd w:id="1071"/>
      <w:bookmarkEnd w:id="1072"/>
      <w:bookmarkStart w:id="1111" w:name="_Toc300934989"/>
      <w:bookmarkStart w:id="1112" w:name="_Toc297048379"/>
      <w:bookmarkStart w:id="1113" w:name="_Toc297216199"/>
      <w:bookmarkStart w:id="1114" w:name="_Toc296346694"/>
      <w:bookmarkStart w:id="1115" w:name="_Toc304295566"/>
      <w:bookmarkStart w:id="1116" w:name="_Toc297123540"/>
      <w:bookmarkStart w:id="1117" w:name="_Toc296891233"/>
      <w:bookmarkStart w:id="1118" w:name="_Toc296891021"/>
      <w:bookmarkStart w:id="1119" w:name="_Toc297120493"/>
      <w:bookmarkStart w:id="1120" w:name="_Toc292559398"/>
      <w:bookmarkStart w:id="1121" w:name="_Toc296944532"/>
      <w:bookmarkStart w:id="1122" w:name="_Toc303539146"/>
      <w:bookmarkStart w:id="1123" w:name="_Toc296503193"/>
      <w:bookmarkStart w:id="1124" w:name="_Toc292559903"/>
      <w:bookmarkStart w:id="1125" w:name="_Toc296347192"/>
      <w:bookmarkStart w:id="1126" w:name="_Toc312678025"/>
      <w:bookmarkStart w:id="1127" w:name="_Toc312677499"/>
      <w:bookmarkStart w:id="1128" w:name="_Toc267251435"/>
      <w:bookmarkStart w:id="1129" w:name="_Toc267251433"/>
      <w:bookmarkStart w:id="1130" w:name="_Toc267251439"/>
      <w:bookmarkStart w:id="1131" w:name="_Toc267251440"/>
      <w:bookmarkStart w:id="1132" w:name="_Toc267251441"/>
      <w:bookmarkStart w:id="1133" w:name="_Toc267251437"/>
      <w:bookmarkStart w:id="1134" w:name="_Toc267251442"/>
      <w:r>
        <w:rPr>
          <w:rFonts w:hint="eastAsia" w:ascii="宋体" w:hAnsi="宋体" w:eastAsia="宋体" w:cs="宋体"/>
          <w:color w:val="auto"/>
          <w:sz w:val="21"/>
          <w:szCs w:val="21"/>
        </w:rPr>
        <w:t>0. 变更</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bookmarkEnd w:id="1126"/>
    <w:bookmarkEnd w:id="1127"/>
    <w:p w14:paraId="762C038F">
      <w:pPr>
        <w:pStyle w:val="7"/>
        <w:adjustRightInd w:val="0"/>
        <w:snapToGrid w:val="0"/>
        <w:ind w:firstLine="422" w:firstLineChars="200"/>
        <w:rPr>
          <w:rFonts w:hint="eastAsia" w:ascii="宋体" w:hAnsi="宋体" w:eastAsia="宋体" w:cs="宋体"/>
          <w:color w:val="auto"/>
          <w:sz w:val="21"/>
          <w:szCs w:val="21"/>
        </w:rPr>
      </w:pPr>
      <w:bookmarkStart w:id="1135" w:name="_Toc373478387"/>
      <w:bookmarkStart w:id="1136" w:name="_Toc373227740"/>
      <w:bookmarkStart w:id="1137" w:name="_Toc389065306"/>
      <w:bookmarkStart w:id="1138" w:name="_Toc467599602"/>
      <w:r>
        <w:rPr>
          <w:rFonts w:hint="eastAsia" w:ascii="宋体" w:hAnsi="宋体" w:eastAsia="宋体" w:cs="宋体"/>
          <w:color w:val="auto"/>
          <w:sz w:val="21"/>
          <w:szCs w:val="21"/>
        </w:rPr>
        <w:t>1</w:t>
      </w:r>
      <w:bookmarkStart w:id="1139" w:name="_Toc296944533"/>
      <w:bookmarkStart w:id="1140" w:name="_Toc304295567"/>
      <w:bookmarkStart w:id="1141" w:name="_Toc292559904"/>
      <w:bookmarkStart w:id="1142" w:name="_Toc303539147"/>
      <w:bookmarkStart w:id="1143" w:name="_Toc300934990"/>
      <w:bookmarkStart w:id="1144" w:name="_Toc297120494"/>
      <w:bookmarkStart w:id="1145" w:name="_Toc297216200"/>
      <w:bookmarkStart w:id="1146" w:name="_Toc296891234"/>
      <w:bookmarkStart w:id="1147" w:name="_Toc296503194"/>
      <w:bookmarkStart w:id="1148" w:name="_Toc296347193"/>
      <w:bookmarkStart w:id="1149" w:name="_Toc312677500"/>
      <w:bookmarkStart w:id="1150" w:name="_Toc297048380"/>
      <w:bookmarkStart w:id="1151" w:name="_Toc312678026"/>
      <w:bookmarkStart w:id="1152" w:name="_Toc292559399"/>
      <w:bookmarkStart w:id="1153" w:name="_Toc296346695"/>
      <w:bookmarkStart w:id="1154" w:name="_Toc297123541"/>
      <w:bookmarkStart w:id="1155" w:name="_Toc296891022"/>
      <w:r>
        <w:rPr>
          <w:rFonts w:hint="eastAsia" w:ascii="宋体" w:hAnsi="宋体" w:eastAsia="宋体" w:cs="宋体"/>
          <w:color w:val="auto"/>
          <w:sz w:val="21"/>
          <w:szCs w:val="21"/>
        </w:rPr>
        <w:t>0.1 变更的范围</w:t>
      </w:r>
      <w:bookmarkEnd w:id="1135"/>
      <w:bookmarkEnd w:id="1136"/>
      <w:bookmarkEnd w:id="1137"/>
      <w:bookmarkEnd w:id="1138"/>
    </w:p>
    <w:p w14:paraId="70CADC7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关于变更的范围的约定：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3923F1C">
      <w:pPr>
        <w:pStyle w:val="7"/>
        <w:adjustRightInd w:val="0"/>
        <w:snapToGrid w:val="0"/>
        <w:ind w:firstLine="422" w:firstLineChars="200"/>
        <w:rPr>
          <w:rFonts w:hint="eastAsia" w:ascii="宋体" w:hAnsi="宋体" w:eastAsia="宋体" w:cs="宋体"/>
          <w:color w:val="auto"/>
          <w:sz w:val="21"/>
          <w:szCs w:val="21"/>
        </w:rPr>
      </w:pPr>
      <w:bookmarkStart w:id="1156" w:name="_Toc373227741"/>
      <w:bookmarkStart w:id="1157" w:name="_Toc389065307"/>
      <w:bookmarkStart w:id="1158" w:name="_Toc373478388"/>
      <w:bookmarkStart w:id="1159" w:name="_Toc467599603"/>
      <w:r>
        <w:rPr>
          <w:rFonts w:hint="eastAsia" w:ascii="宋体" w:hAnsi="宋体" w:eastAsia="宋体" w:cs="宋体"/>
          <w:color w:val="auto"/>
          <w:sz w:val="21"/>
          <w:szCs w:val="21"/>
        </w:rPr>
        <w:t>10.3 变更程序</w:t>
      </w:r>
      <w:bookmarkEnd w:id="1156"/>
      <w:bookmarkEnd w:id="1157"/>
      <w:bookmarkEnd w:id="1158"/>
      <w:bookmarkEnd w:id="1159"/>
    </w:p>
    <w:p w14:paraId="64FA74E1">
      <w:pPr>
        <w:pStyle w:val="16"/>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10.3.1 政府及国有投资项目：</w:t>
      </w:r>
    </w:p>
    <w:p w14:paraId="7C5EA91E">
      <w:pPr>
        <w:pStyle w:val="16"/>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⑴设计变更和工程签证，按各市政府或相关部门的规定办理。属不可抗力（自然灾害、突发事件等）造成变更的，按特事特办原则予以办理。</w:t>
      </w:r>
    </w:p>
    <w:p w14:paraId="71C810BB">
      <w:pPr>
        <w:pStyle w:val="16"/>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⑵建设单位在实施项目过程中，若发生单价变动，由建设单位、监理单位、施工单位及其他相关单位共同商定并签字确认。</w:t>
      </w:r>
    </w:p>
    <w:p w14:paraId="7FFDEEA8">
      <w:pPr>
        <w:adjustRightInd w:val="0"/>
        <w:snapToGrid w:val="0"/>
        <w:spacing w:line="36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⑶ 当合同规定的合同价款调整情况发生后，承包人未在规定时间内通知发包人，或者未在规定时间内提出调整报告，发包人可以根据有关资料，决定是否调整和调整的金额，并书面通知承包人。</w:t>
      </w:r>
    </w:p>
    <w:p w14:paraId="436EAF51">
      <w:pPr>
        <w:adjustRightInd w:val="0"/>
        <w:snapToGrid w:val="0"/>
        <w:spacing w:line="36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10.3.2 非国有投资项目： </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w:t>
      </w:r>
    </w:p>
    <w:p w14:paraId="76D10A6C">
      <w:pPr>
        <w:pStyle w:val="7"/>
        <w:adjustRightInd w:val="0"/>
        <w:snapToGrid w:val="0"/>
        <w:ind w:firstLine="422" w:firstLineChars="200"/>
        <w:rPr>
          <w:rFonts w:hint="eastAsia" w:ascii="宋体" w:hAnsi="宋体" w:eastAsia="宋体" w:cs="宋体"/>
          <w:color w:val="auto"/>
          <w:sz w:val="21"/>
          <w:szCs w:val="21"/>
        </w:rPr>
      </w:pPr>
      <w:bookmarkStart w:id="1160" w:name="_Toc467599604"/>
      <w:bookmarkStart w:id="1161" w:name="_Toc373227742"/>
      <w:bookmarkStart w:id="1162" w:name="_Toc373478389"/>
      <w:bookmarkStart w:id="1163" w:name="_Toc389065308"/>
      <w:r>
        <w:rPr>
          <w:rFonts w:hint="eastAsia" w:ascii="宋体" w:hAnsi="宋体" w:eastAsia="宋体" w:cs="宋体"/>
          <w:color w:val="auto"/>
          <w:sz w:val="21"/>
          <w:szCs w:val="21"/>
        </w:rPr>
        <w:t>10.4 变更估价</w:t>
      </w:r>
      <w:bookmarkEnd w:id="1160"/>
      <w:bookmarkEnd w:id="1161"/>
      <w:bookmarkEnd w:id="1162"/>
      <w:bookmarkEnd w:id="1163"/>
    </w:p>
    <w:p w14:paraId="0D82044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10.4.1 变更估价原则</w:t>
      </w:r>
    </w:p>
    <w:p w14:paraId="2AE24553">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关于变更估价的约定: </w:t>
      </w:r>
      <w:bookmarkStart w:id="1164" w:name="_Toc251051742"/>
      <w:r>
        <w:rPr>
          <w:rFonts w:hint="eastAsia" w:ascii="宋体" w:hAnsi="宋体" w:eastAsia="宋体" w:cs="宋体"/>
          <w:bCs/>
          <w:color w:val="auto"/>
          <w:sz w:val="21"/>
          <w:szCs w:val="21"/>
          <w:u w:val="single"/>
        </w:rPr>
        <w:t>工程变更合同价款按下列方法进行：（1）合同中已有相同清单项目的，按合同该清单项目价格进行计算；（2）合同中</w:t>
      </w:r>
      <w:r>
        <w:rPr>
          <w:rFonts w:hint="eastAsia" w:ascii="宋体" w:hAnsi="宋体" w:cs="宋体"/>
          <w:bCs/>
          <w:color w:val="auto"/>
          <w:sz w:val="21"/>
          <w:szCs w:val="21"/>
          <w:u w:val="single"/>
          <w:lang w:eastAsia="zh-CN"/>
        </w:rPr>
        <w:t>有</w:t>
      </w:r>
      <w:r>
        <w:rPr>
          <w:rFonts w:hint="eastAsia" w:ascii="宋体" w:hAnsi="宋体" w:eastAsia="宋体" w:cs="宋体"/>
          <w:bCs/>
          <w:color w:val="auto"/>
          <w:sz w:val="21"/>
          <w:szCs w:val="21"/>
          <w:u w:val="single"/>
        </w:rPr>
        <w:t>类似清单项目的，参照该类似清单项目价格进行计算；（3）合同中没有适用或类似清单项目的价格计算方法：有定额的套定额，并（</w:t>
      </w:r>
      <w:r>
        <w:rPr>
          <w:rFonts w:hint="eastAsia" w:ascii="宋体" w:hAnsi="宋体" w:eastAsia="宋体" w:cs="宋体"/>
          <w:b/>
          <w:color w:val="auto"/>
          <w:sz w:val="21"/>
          <w:szCs w:val="21"/>
        </w:rPr>
        <w:t>□</w:t>
      </w:r>
      <w:r>
        <w:rPr>
          <w:rFonts w:hint="eastAsia" w:ascii="宋体" w:hAnsi="宋体" w:eastAsia="宋体" w:cs="宋体"/>
          <w:bCs/>
          <w:color w:val="auto"/>
          <w:sz w:val="21"/>
          <w:szCs w:val="21"/>
          <w:u w:val="single"/>
        </w:rPr>
        <w:t>乘以下浮系数      %，</w:t>
      </w:r>
      <w:r>
        <w:rPr>
          <w:rFonts w:hint="eastAsia" w:ascii="宋体" w:hAnsi="宋体" w:eastAsia="宋体" w:cs="宋体"/>
          <w:b/>
          <w:color w:val="auto"/>
          <w:sz w:val="21"/>
          <w:szCs w:val="21"/>
        </w:rPr>
        <w:t>□</w:t>
      </w:r>
      <w:r>
        <w:rPr>
          <w:rFonts w:hint="eastAsia" w:ascii="宋体" w:hAnsi="宋体" w:eastAsia="宋体" w:cs="宋体"/>
          <w:bCs/>
          <w:color w:val="auto"/>
          <w:sz w:val="21"/>
          <w:szCs w:val="21"/>
          <w:u w:val="single"/>
        </w:rPr>
        <w:t>不乘下浮系数）计算，其中材料价格按施工期间的《崇左市建设工程造价信息》相应价格信息进行计算；《崇左市建设工程造价信息》没有相应价格信息的按市场价计算；无定额可套的，根据市场价格协商确定综合价格，如协商不成的，由财政评审中心询价确定；对于政府及国有资金投资的项目，新增项目的单价必须经      审定</w:t>
      </w:r>
      <w:bookmarkEnd w:id="1164"/>
      <w:r>
        <w:rPr>
          <w:rFonts w:hint="eastAsia" w:ascii="宋体" w:hAnsi="宋体" w:eastAsia="宋体" w:cs="宋体"/>
          <w:color w:val="auto"/>
          <w:sz w:val="21"/>
          <w:szCs w:val="21"/>
        </w:rPr>
        <w:t>。</w:t>
      </w:r>
    </w:p>
    <w:p w14:paraId="7CFF0E38">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工程变更导致实际完成的变更工程量与已标价清单或预算书中列明的该项目工程量有偏差时，其综合单价的确定按专用条款“1.13工程量清单错误的修正”执行。</w:t>
      </w:r>
    </w:p>
    <w:p w14:paraId="772D3AC5">
      <w:pPr>
        <w:pStyle w:val="7"/>
        <w:adjustRightInd w:val="0"/>
        <w:snapToGrid w:val="0"/>
        <w:ind w:firstLine="422" w:firstLineChars="200"/>
        <w:rPr>
          <w:rFonts w:hint="eastAsia" w:ascii="宋体" w:hAnsi="宋体" w:eastAsia="宋体" w:cs="宋体"/>
          <w:color w:val="auto"/>
          <w:sz w:val="21"/>
          <w:szCs w:val="21"/>
        </w:rPr>
      </w:pPr>
      <w:bookmarkStart w:id="1165" w:name="_Toc373227743"/>
      <w:bookmarkStart w:id="1166" w:name="_Toc389065309"/>
      <w:bookmarkStart w:id="1167" w:name="_Toc373478390"/>
      <w:bookmarkStart w:id="1168" w:name="_Toc467599605"/>
      <w:r>
        <w:rPr>
          <w:rFonts w:hint="eastAsia" w:ascii="宋体" w:hAnsi="宋体" w:eastAsia="宋体" w:cs="宋体"/>
          <w:color w:val="auto"/>
          <w:sz w:val="21"/>
          <w:szCs w:val="21"/>
        </w:rPr>
        <w:t>1</w:t>
      </w:r>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Start w:id="1169" w:name="_Toc296891025"/>
      <w:bookmarkStart w:id="1170" w:name="_Toc292559402"/>
      <w:bookmarkStart w:id="1171" w:name="_Toc296944536"/>
      <w:bookmarkStart w:id="1172" w:name="_Toc292559907"/>
      <w:bookmarkStart w:id="1173" w:name="_Toc296347196"/>
      <w:bookmarkStart w:id="1174" w:name="_Toc303539150"/>
      <w:bookmarkStart w:id="1175" w:name="_Toc296503197"/>
      <w:bookmarkStart w:id="1176" w:name="_Toc297048383"/>
      <w:bookmarkStart w:id="1177" w:name="_Toc296346698"/>
      <w:bookmarkStart w:id="1178" w:name="_Toc296891237"/>
      <w:bookmarkStart w:id="1179" w:name="_Toc300934993"/>
      <w:bookmarkStart w:id="1180" w:name="_Toc297120497"/>
      <w:bookmarkStart w:id="1181" w:name="_Toc297216203"/>
      <w:bookmarkStart w:id="1182" w:name="_Toc297123544"/>
      <w:bookmarkStart w:id="1183" w:name="_Toc312677503"/>
      <w:bookmarkStart w:id="1184" w:name="_Toc304295570"/>
      <w:bookmarkStart w:id="1185" w:name="_Toc312678029"/>
      <w:r>
        <w:rPr>
          <w:rFonts w:hint="eastAsia" w:ascii="宋体" w:hAnsi="宋体" w:eastAsia="宋体" w:cs="宋体"/>
          <w:color w:val="auto"/>
          <w:sz w:val="21"/>
          <w:szCs w:val="21"/>
        </w:rPr>
        <w:t>0.5 承</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Start w:id="1186" w:name="_Toc296891031"/>
      <w:bookmarkStart w:id="1187" w:name="_Toc297048389"/>
      <w:bookmarkStart w:id="1188" w:name="_Toc292559913"/>
      <w:bookmarkStart w:id="1189" w:name="_Toc297120503"/>
      <w:bookmarkStart w:id="1190" w:name="_Toc296503203"/>
      <w:bookmarkStart w:id="1191" w:name="_Toc292559408"/>
      <w:bookmarkStart w:id="1192" w:name="_Toc297216204"/>
      <w:bookmarkStart w:id="1193" w:name="_Toc297123545"/>
      <w:bookmarkStart w:id="1194" w:name="_Toc296346704"/>
      <w:bookmarkStart w:id="1195" w:name="_Toc296347202"/>
      <w:bookmarkStart w:id="1196" w:name="_Toc300934994"/>
      <w:bookmarkStart w:id="1197" w:name="_Toc296944542"/>
      <w:bookmarkStart w:id="1198" w:name="_Toc296891243"/>
      <w:bookmarkStart w:id="1199" w:name="_Toc303539151"/>
      <w:r>
        <w:rPr>
          <w:rFonts w:hint="eastAsia" w:ascii="宋体" w:hAnsi="宋体" w:eastAsia="宋体" w:cs="宋体"/>
          <w:color w:val="auto"/>
          <w:sz w:val="21"/>
          <w:szCs w:val="21"/>
        </w:rPr>
        <w:t>包人的合理化建议</w:t>
      </w:r>
      <w:bookmarkEnd w:id="1165"/>
      <w:bookmarkEnd w:id="1166"/>
      <w:bookmarkEnd w:id="1167"/>
      <w:bookmarkEnd w:id="1168"/>
    </w:p>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p w14:paraId="525FEC7B">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监理人审查承包人合理化建议的期限：</w:t>
      </w:r>
      <w:r>
        <w:rPr>
          <w:rFonts w:hint="eastAsia" w:ascii="宋体" w:hAnsi="宋体" w:eastAsia="宋体" w:cs="宋体"/>
          <w:color w:val="auto"/>
          <w:sz w:val="21"/>
          <w:szCs w:val="21"/>
          <w:u w:val="single"/>
        </w:rPr>
        <w:t xml:space="preserve">  7天内  </w:t>
      </w:r>
      <w:r>
        <w:rPr>
          <w:rFonts w:hint="eastAsia" w:ascii="宋体" w:hAnsi="宋体" w:eastAsia="宋体" w:cs="宋体"/>
          <w:color w:val="auto"/>
          <w:sz w:val="21"/>
          <w:szCs w:val="21"/>
        </w:rPr>
        <w:t>。</w:t>
      </w:r>
    </w:p>
    <w:p w14:paraId="5D1F4081">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 xml:space="preserve">  7天内  </w:t>
      </w:r>
      <w:r>
        <w:rPr>
          <w:rFonts w:hint="eastAsia" w:ascii="宋体" w:hAnsi="宋体" w:eastAsia="宋体" w:cs="宋体"/>
          <w:color w:val="auto"/>
          <w:sz w:val="21"/>
          <w:szCs w:val="21"/>
        </w:rPr>
        <w:t>。</w:t>
      </w:r>
    </w:p>
    <w:p w14:paraId="71AA6918">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承</w:t>
      </w:r>
      <w:bookmarkStart w:id="1200" w:name="_Toc303539152"/>
      <w:bookmarkStart w:id="1201" w:name="_Toc296347203"/>
      <w:bookmarkStart w:id="1202" w:name="_Toc297216205"/>
      <w:bookmarkStart w:id="1203" w:name="_Toc292559409"/>
      <w:bookmarkStart w:id="1204" w:name="_Toc296503204"/>
      <w:bookmarkStart w:id="1205" w:name="_Toc312677504"/>
      <w:bookmarkStart w:id="1206" w:name="_Toc296891032"/>
      <w:bookmarkStart w:id="1207" w:name="_Toc300934995"/>
      <w:bookmarkStart w:id="1208" w:name="_Toc296944543"/>
      <w:bookmarkStart w:id="1209" w:name="_Toc296891244"/>
      <w:bookmarkStart w:id="1210" w:name="_Toc318581175"/>
      <w:bookmarkStart w:id="1211" w:name="_Toc296346705"/>
      <w:bookmarkStart w:id="1212" w:name="_Toc297048390"/>
      <w:bookmarkStart w:id="1213" w:name="_Toc304295571"/>
      <w:bookmarkStart w:id="1214" w:name="_Toc297123546"/>
      <w:bookmarkStart w:id="1215" w:name="_Toc312678030"/>
      <w:bookmarkStart w:id="1216" w:name="_Toc297120504"/>
      <w:bookmarkStart w:id="1217" w:name="_Toc292559914"/>
      <w:r>
        <w:rPr>
          <w:rFonts w:hint="eastAsia" w:ascii="宋体" w:hAnsi="宋体" w:eastAsia="宋体" w:cs="宋体"/>
          <w:color w:val="auto"/>
          <w:sz w:val="21"/>
          <w:szCs w:val="21"/>
        </w:rPr>
        <w:t>包人提出的合理化建议降低了合同价格或者提高了工程经济效益的奖励的方法和金额为：</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14:paraId="329B4173">
      <w:pPr>
        <w:pStyle w:val="7"/>
        <w:adjustRightInd w:val="0"/>
        <w:snapToGrid w:val="0"/>
        <w:ind w:firstLine="422" w:firstLineChars="200"/>
        <w:rPr>
          <w:rFonts w:hint="eastAsia" w:ascii="宋体" w:hAnsi="宋体" w:eastAsia="宋体" w:cs="宋体"/>
          <w:color w:val="auto"/>
          <w:sz w:val="21"/>
          <w:szCs w:val="21"/>
        </w:rPr>
      </w:pPr>
      <w:bookmarkStart w:id="1218" w:name="_Toc389065310"/>
      <w:bookmarkStart w:id="1219" w:name="_Toc373478391"/>
      <w:bookmarkStart w:id="1220" w:name="_Toc373227744"/>
      <w:bookmarkStart w:id="1221" w:name="_Toc467599606"/>
      <w:r>
        <w:rPr>
          <w:rFonts w:hint="eastAsia" w:ascii="宋体" w:hAnsi="宋体" w:eastAsia="宋体" w:cs="宋体"/>
          <w:color w:val="auto"/>
          <w:sz w:val="21"/>
          <w:szCs w:val="21"/>
        </w:rPr>
        <w:t>1</w:t>
      </w:r>
      <w:bookmarkStart w:id="1222" w:name="_Toc296503199"/>
      <w:bookmarkStart w:id="1223" w:name="_Toc303539154"/>
      <w:bookmarkStart w:id="1224" w:name="_Toc304295574"/>
      <w:bookmarkStart w:id="1225" w:name="_Toc297123548"/>
      <w:bookmarkStart w:id="1226" w:name="_Toc296891239"/>
      <w:bookmarkStart w:id="1227" w:name="_Toc296891027"/>
      <w:bookmarkStart w:id="1228" w:name="_Toc297120499"/>
      <w:bookmarkStart w:id="1229" w:name="_Toc300934997"/>
      <w:bookmarkStart w:id="1230" w:name="_Toc292559404"/>
      <w:bookmarkStart w:id="1231" w:name="_Toc296944538"/>
      <w:bookmarkStart w:id="1232" w:name="_Toc297216207"/>
      <w:bookmarkStart w:id="1233" w:name="_Toc292559909"/>
      <w:bookmarkStart w:id="1234" w:name="_Toc296347198"/>
      <w:bookmarkStart w:id="1235" w:name="_Toc312678033"/>
      <w:bookmarkStart w:id="1236" w:name="_Toc312677507"/>
      <w:bookmarkStart w:id="1237" w:name="_Toc297048385"/>
      <w:bookmarkStart w:id="1238" w:name="_Toc296346700"/>
      <w:r>
        <w:rPr>
          <w:rFonts w:hint="eastAsia" w:ascii="宋体" w:hAnsi="宋体" w:eastAsia="宋体" w:cs="宋体"/>
          <w:color w:val="auto"/>
          <w:sz w:val="21"/>
          <w:szCs w:val="21"/>
        </w:rPr>
        <w:t>0.7 暂估价</w:t>
      </w:r>
      <w:bookmarkEnd w:id="1218"/>
      <w:bookmarkEnd w:id="1219"/>
      <w:bookmarkEnd w:id="1220"/>
      <w:bookmarkEnd w:id="1221"/>
    </w:p>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14:paraId="107316D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暂</w:t>
      </w:r>
      <w:bookmarkStart w:id="1239" w:name="_Toc312677508"/>
      <w:bookmarkStart w:id="1240" w:name="_Toc318581176"/>
      <w:bookmarkStart w:id="1241" w:name="_Toc312678034"/>
      <w:r>
        <w:rPr>
          <w:rFonts w:hint="eastAsia" w:ascii="宋体" w:hAnsi="宋体" w:eastAsia="宋体" w:cs="宋体"/>
          <w:color w:val="auto"/>
          <w:kern w:val="0"/>
          <w:sz w:val="21"/>
          <w:szCs w:val="21"/>
        </w:rPr>
        <w:t>估价材料和工程设备的明细详见已标价工程量清单《</w:t>
      </w:r>
      <w:r>
        <w:rPr>
          <w:rFonts w:hint="eastAsia" w:ascii="宋体" w:hAnsi="宋体" w:eastAsia="宋体" w:cs="宋体"/>
          <w:color w:val="auto"/>
          <w:sz w:val="21"/>
          <w:szCs w:val="21"/>
        </w:rPr>
        <w:t>材料（工程设备）暂估价格及调整表》</w:t>
      </w:r>
      <w:r>
        <w:rPr>
          <w:rFonts w:hint="eastAsia" w:ascii="宋体" w:hAnsi="宋体" w:eastAsia="宋体" w:cs="宋体"/>
          <w:color w:val="auto"/>
          <w:kern w:val="0"/>
          <w:sz w:val="21"/>
          <w:szCs w:val="21"/>
        </w:rPr>
        <w:t>（表12-2）和《</w:t>
      </w:r>
      <w:r>
        <w:rPr>
          <w:rFonts w:hint="eastAsia" w:ascii="宋体" w:hAnsi="宋体" w:eastAsia="宋体" w:cs="宋体"/>
          <w:color w:val="auto"/>
          <w:sz w:val="21"/>
          <w:szCs w:val="21"/>
        </w:rPr>
        <w:t>专业工程暂估价表》（</w:t>
      </w:r>
      <w:r>
        <w:rPr>
          <w:rFonts w:hint="eastAsia" w:ascii="宋体" w:hAnsi="宋体" w:eastAsia="宋体" w:cs="宋体"/>
          <w:color w:val="auto"/>
          <w:kern w:val="0"/>
          <w:sz w:val="21"/>
          <w:szCs w:val="21"/>
        </w:rPr>
        <w:t>表12-3）。</w:t>
      </w:r>
    </w:p>
    <w:bookmarkEnd w:id="1239"/>
    <w:bookmarkEnd w:id="1240"/>
    <w:bookmarkEnd w:id="1241"/>
    <w:p w14:paraId="1CFBC47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bookmarkStart w:id="1242" w:name="_Toc318581177"/>
      <w:bookmarkStart w:id="1243" w:name="_Toc312678035"/>
      <w:bookmarkStart w:id="1244" w:name="_Toc312677509"/>
      <w:r>
        <w:rPr>
          <w:rFonts w:hint="eastAsia" w:ascii="宋体" w:hAnsi="宋体" w:eastAsia="宋体" w:cs="宋体"/>
          <w:color w:val="auto"/>
          <w:sz w:val="21"/>
          <w:szCs w:val="21"/>
        </w:rPr>
        <w:t>0.7.1 依法必须招标的暂估价项目</w:t>
      </w:r>
    </w:p>
    <w:bookmarkEnd w:id="1242"/>
    <w:bookmarkEnd w:id="1243"/>
    <w:bookmarkEnd w:id="1244"/>
    <w:p w14:paraId="209989C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对于依法必须招标的暂估价项目的确认和批准采取通用条款第10.7.1条第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种方式确定。</w:t>
      </w:r>
    </w:p>
    <w:p w14:paraId="1B77A83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10.7.2 不属于依法必须招标的暂估价项目</w:t>
      </w:r>
    </w:p>
    <w:p w14:paraId="4E79A46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对于不属于依法必须招标的暂估价项目的确认和批准采取通用条款第10.7.2条第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种方式确定。</w:t>
      </w:r>
    </w:p>
    <w:p w14:paraId="2A0BC9D0">
      <w:pPr>
        <w:adjustRightInd w:val="0"/>
        <w:snapToGrid w:val="0"/>
        <w:spacing w:line="360" w:lineRule="auto"/>
        <w:ind w:firstLine="420" w:firstLineChars="200"/>
        <w:jc w:val="left"/>
        <w:rPr>
          <w:rFonts w:hint="eastAsia" w:ascii="宋体" w:hAnsi="宋体" w:eastAsia="宋体" w:cs="宋体"/>
          <w:color w:val="auto"/>
          <w:kern w:val="0"/>
          <w:sz w:val="21"/>
          <w:szCs w:val="21"/>
        </w:rPr>
      </w:pPr>
      <w:bookmarkStart w:id="1245" w:name="_Toc8595_WPSOffice_Level2"/>
      <w:r>
        <w:rPr>
          <w:rFonts w:hint="eastAsia" w:ascii="宋体" w:hAnsi="宋体" w:eastAsia="宋体" w:cs="宋体"/>
          <w:color w:val="auto"/>
          <w:sz w:val="21"/>
          <w:szCs w:val="21"/>
        </w:rPr>
        <w:t>第3种方式：</w:t>
      </w:r>
      <w:r>
        <w:rPr>
          <w:rFonts w:hint="eastAsia" w:ascii="宋体" w:hAnsi="宋体" w:eastAsia="宋体" w:cs="宋体"/>
          <w:color w:val="auto"/>
          <w:kern w:val="0"/>
          <w:sz w:val="21"/>
          <w:szCs w:val="21"/>
        </w:rPr>
        <w:t>承包人直接实施的暂估价项目</w:t>
      </w:r>
      <w:bookmarkEnd w:id="1245"/>
    </w:p>
    <w:p w14:paraId="25E64CF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6529489F">
      <w:pPr>
        <w:pStyle w:val="7"/>
        <w:adjustRightInd w:val="0"/>
        <w:snapToGrid w:val="0"/>
        <w:ind w:firstLine="422" w:firstLineChars="200"/>
        <w:rPr>
          <w:rFonts w:hint="eastAsia" w:ascii="宋体" w:hAnsi="宋体" w:eastAsia="宋体" w:cs="宋体"/>
          <w:color w:val="auto"/>
          <w:sz w:val="21"/>
          <w:szCs w:val="21"/>
        </w:rPr>
      </w:pPr>
      <w:bookmarkStart w:id="1246" w:name="_Toc373227745"/>
      <w:bookmarkStart w:id="1247" w:name="_Toc373478392"/>
      <w:bookmarkStart w:id="1248" w:name="_Toc467599607"/>
      <w:bookmarkStart w:id="1249" w:name="_Toc389065311"/>
      <w:r>
        <w:rPr>
          <w:rFonts w:hint="eastAsia" w:ascii="宋体" w:hAnsi="宋体" w:eastAsia="宋体" w:cs="宋体"/>
          <w:color w:val="auto"/>
          <w:sz w:val="21"/>
          <w:szCs w:val="21"/>
        </w:rPr>
        <w:t>10.8 暂列金额</w:t>
      </w:r>
      <w:bookmarkEnd w:id="1246"/>
      <w:bookmarkEnd w:id="1247"/>
      <w:bookmarkEnd w:id="1248"/>
      <w:bookmarkEnd w:id="1249"/>
    </w:p>
    <w:p w14:paraId="767A9A31">
      <w:pPr>
        <w:autoSpaceDE w:val="0"/>
        <w:autoSpaceDN w:val="0"/>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合同当事人关于暂列金额使用的约定：</w:t>
      </w:r>
      <w:r>
        <w:rPr>
          <w:rFonts w:hint="eastAsia" w:ascii="宋体" w:hAnsi="宋体" w:eastAsia="宋体" w:cs="宋体"/>
          <w:color w:val="auto"/>
          <w:sz w:val="21"/>
          <w:szCs w:val="21"/>
          <w:u w:val="single"/>
        </w:rPr>
        <w:t>由承包人根据发包人要求编制，并按工程进度提前7日向发包人提交</w:t>
      </w:r>
      <w:r>
        <w:rPr>
          <w:rFonts w:hint="eastAsia" w:ascii="宋体" w:hAnsi="宋体" w:eastAsia="宋体" w:cs="宋体"/>
          <w:color w:val="auto"/>
          <w:kern w:val="0"/>
          <w:sz w:val="21"/>
          <w:szCs w:val="21"/>
        </w:rPr>
        <w:t>。</w:t>
      </w:r>
    </w:p>
    <w:p w14:paraId="4CBFD2EB">
      <w:pPr>
        <w:pStyle w:val="6"/>
        <w:numPr>
          <w:ilvl w:val="0"/>
          <w:numId w:val="8"/>
        </w:numPr>
        <w:adjustRightInd w:val="0"/>
        <w:snapToGrid w:val="0"/>
        <w:spacing w:before="0" w:after="0" w:line="360" w:lineRule="auto"/>
        <w:ind w:firstLine="422" w:firstLineChars="200"/>
        <w:rPr>
          <w:rFonts w:hint="eastAsia" w:ascii="宋体" w:hAnsi="宋体" w:eastAsia="宋体" w:cs="宋体"/>
          <w:color w:val="auto"/>
          <w:sz w:val="21"/>
          <w:szCs w:val="21"/>
        </w:rPr>
      </w:pPr>
      <w:bookmarkStart w:id="1250" w:name="_Toc373227746"/>
      <w:bookmarkStart w:id="1251" w:name="_Toc24538_WPSOffice_Level3"/>
      <w:bookmarkStart w:id="1252" w:name="_Toc389065312"/>
      <w:bookmarkStart w:id="1253" w:name="_Toc373478393"/>
      <w:bookmarkStart w:id="1254" w:name="_Toc351203643"/>
      <w:bookmarkStart w:id="1255" w:name="_Toc467599608"/>
      <w:r>
        <w:rPr>
          <w:rFonts w:hint="eastAsia" w:ascii="宋体" w:hAnsi="宋体" w:eastAsia="宋体" w:cs="宋体"/>
          <w:color w:val="auto"/>
          <w:sz w:val="21"/>
          <w:szCs w:val="21"/>
        </w:rPr>
        <w:t>价格调整</w:t>
      </w:r>
      <w:bookmarkEnd w:id="1250"/>
      <w:bookmarkEnd w:id="1251"/>
      <w:bookmarkEnd w:id="1252"/>
      <w:bookmarkEnd w:id="1253"/>
      <w:bookmarkEnd w:id="1254"/>
      <w:bookmarkEnd w:id="1255"/>
    </w:p>
    <w:p w14:paraId="537E807D">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①法律变化引起的调整；</w:t>
      </w:r>
    </w:p>
    <w:p w14:paraId="7485F1CE">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②工程变更、项目特征不符、工程量清单缺项、工程量偏差引起的调整；</w:t>
      </w:r>
    </w:p>
    <w:p w14:paraId="6E754713">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③计日工引起的调整。</w:t>
      </w:r>
    </w:p>
    <w:p w14:paraId="785472D1">
      <w:pPr>
        <w:pStyle w:val="7"/>
        <w:adjustRightInd w:val="0"/>
        <w:snapToGrid w:val="0"/>
        <w:ind w:firstLine="422" w:firstLineChars="200"/>
        <w:rPr>
          <w:rFonts w:hint="eastAsia" w:ascii="宋体" w:hAnsi="宋体" w:eastAsia="宋体" w:cs="宋体"/>
          <w:color w:val="auto"/>
          <w:sz w:val="21"/>
          <w:szCs w:val="21"/>
        </w:rPr>
      </w:pPr>
      <w:bookmarkStart w:id="1256" w:name="_Toc467599609"/>
      <w:bookmarkStart w:id="1257" w:name="_Toc373227747"/>
      <w:bookmarkStart w:id="1258" w:name="_Toc373478394"/>
      <w:bookmarkStart w:id="1259" w:name="_Toc389065313"/>
      <w:bookmarkStart w:id="1260" w:name="_Toc303539157"/>
      <w:bookmarkStart w:id="1261" w:name="_Toc296891029"/>
      <w:bookmarkStart w:id="1262" w:name="_Toc296347200"/>
      <w:bookmarkStart w:id="1263" w:name="_Toc296346702"/>
      <w:bookmarkStart w:id="1264" w:name="_Toc296503201"/>
      <w:bookmarkStart w:id="1265" w:name="_Toc300935000"/>
      <w:bookmarkStart w:id="1266" w:name="_Toc296944540"/>
      <w:bookmarkStart w:id="1267" w:name="_Toc304295577"/>
      <w:bookmarkStart w:id="1268" w:name="_Toc312678039"/>
      <w:bookmarkStart w:id="1269" w:name="_Toc297048387"/>
      <w:bookmarkStart w:id="1270" w:name="_Toc292559911"/>
      <w:bookmarkStart w:id="1271" w:name="_Toc297123550"/>
      <w:bookmarkStart w:id="1272" w:name="_Toc292559406"/>
      <w:bookmarkStart w:id="1273" w:name="_Toc297120501"/>
      <w:bookmarkStart w:id="1274" w:name="_Toc296891241"/>
      <w:bookmarkStart w:id="1275" w:name="_Toc297216209"/>
      <w:r>
        <w:rPr>
          <w:rFonts w:hint="eastAsia" w:ascii="宋体" w:hAnsi="宋体" w:eastAsia="宋体" w:cs="宋体"/>
          <w:color w:val="auto"/>
          <w:sz w:val="21"/>
          <w:szCs w:val="21"/>
        </w:rPr>
        <w:t>11.1 市场价格波动引起的调整</w:t>
      </w:r>
      <w:bookmarkEnd w:id="1256"/>
      <w:bookmarkEnd w:id="1257"/>
      <w:bookmarkEnd w:id="1258"/>
      <w:bookmarkEnd w:id="1259"/>
    </w:p>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14:paraId="3EB98A4F">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市场价格波动是否调整合同价格的约定：</w:t>
      </w:r>
      <w:r>
        <w:rPr>
          <w:rFonts w:hint="eastAsia" w:ascii="宋体" w:hAnsi="宋体" w:cs="宋体"/>
          <w:color w:val="auto"/>
          <w:kern w:val="0"/>
          <w:sz w:val="21"/>
          <w:szCs w:val="21"/>
          <w:u w:val="single"/>
          <w:lang w:val="en-US" w:eastAsia="zh-CN"/>
        </w:rPr>
        <w:t>不</w:t>
      </w:r>
      <w:r>
        <w:rPr>
          <w:rFonts w:hint="eastAsia" w:ascii="宋体" w:hAnsi="宋体" w:eastAsia="宋体" w:cs="宋体"/>
          <w:color w:val="auto"/>
          <w:sz w:val="21"/>
          <w:szCs w:val="21"/>
          <w:u w:val="single"/>
        </w:rPr>
        <w:t>调整。</w:t>
      </w:r>
    </w:p>
    <w:p w14:paraId="6C2AAA2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因市场价格波动调整合同价格，采用以下第</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 xml:space="preserve"> </w:t>
      </w:r>
      <w:r>
        <w:rPr>
          <w:rFonts w:hint="eastAsia" w:ascii="宋体" w:hAnsi="宋体" w:eastAsia="宋体" w:cs="宋体"/>
          <w:color w:val="auto"/>
          <w:sz w:val="21"/>
          <w:szCs w:val="21"/>
        </w:rPr>
        <w:t>种方式对合同价格进行调整：</w:t>
      </w:r>
    </w:p>
    <w:p w14:paraId="2D962DAE">
      <w:pPr>
        <w:adjustRightInd w:val="0"/>
        <w:snapToGrid w:val="0"/>
        <w:spacing w:line="360" w:lineRule="auto"/>
        <w:ind w:firstLine="420" w:firstLineChars="200"/>
        <w:jc w:val="left"/>
        <w:rPr>
          <w:rFonts w:hint="eastAsia" w:ascii="宋体" w:hAnsi="宋体" w:eastAsia="宋体" w:cs="宋体"/>
          <w:color w:val="auto"/>
          <w:sz w:val="21"/>
          <w:szCs w:val="21"/>
        </w:rPr>
      </w:pPr>
      <w:bookmarkStart w:id="1276" w:name="_Toc12676_WPSOffice_Level2"/>
      <w:r>
        <w:rPr>
          <w:rFonts w:hint="eastAsia" w:ascii="宋体" w:hAnsi="宋体" w:eastAsia="宋体" w:cs="宋体"/>
          <w:color w:val="auto"/>
          <w:sz w:val="21"/>
          <w:szCs w:val="21"/>
        </w:rPr>
        <w:t>第1种方式：采用价格指数进行价格调整。</w:t>
      </w:r>
      <w:bookmarkEnd w:id="1276"/>
    </w:p>
    <w:p w14:paraId="32FBD5B2">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关于各可调因子、定值和变值权重，以及基本价格指数及其来源的约定：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14:paraId="412C30A1">
      <w:pPr>
        <w:adjustRightInd w:val="0"/>
        <w:snapToGrid w:val="0"/>
        <w:spacing w:line="360" w:lineRule="auto"/>
        <w:ind w:firstLine="420" w:firstLineChars="200"/>
        <w:jc w:val="left"/>
        <w:rPr>
          <w:rFonts w:hint="eastAsia" w:ascii="宋体" w:hAnsi="宋体" w:eastAsia="宋体" w:cs="宋体"/>
          <w:color w:val="auto"/>
          <w:sz w:val="21"/>
          <w:szCs w:val="21"/>
        </w:rPr>
      </w:pPr>
      <w:bookmarkStart w:id="1277" w:name="_Toc24229_WPSOffice_Level2"/>
      <w:r>
        <w:rPr>
          <w:rFonts w:hint="eastAsia" w:ascii="宋体" w:hAnsi="宋体" w:eastAsia="宋体" w:cs="宋体"/>
          <w:color w:val="auto"/>
          <w:sz w:val="21"/>
          <w:szCs w:val="21"/>
        </w:rPr>
        <w:t>第2种方式：采用造价信息进行价格调整。</w:t>
      </w:r>
      <w:bookmarkEnd w:id="1277"/>
    </w:p>
    <w:p w14:paraId="3A6FDE9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（1）允许调整的主要材料和设备、基期价格、风险系数、投标报价：详见《承包人提供主要材料和设备一览表》。</w:t>
      </w:r>
    </w:p>
    <w:p w14:paraId="4B1FE45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（2）主要材料和设备确认价：</w:t>
      </w:r>
    </w:p>
    <w:p w14:paraId="041FF52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按施工期间《</w:t>
      </w:r>
      <w:r>
        <w:rPr>
          <w:rFonts w:hint="eastAsia" w:ascii="宋体" w:hAnsi="宋体" w:eastAsia="宋体" w:cs="宋体"/>
          <w:color w:val="auto"/>
          <w:sz w:val="21"/>
          <w:szCs w:val="21"/>
          <w:u w:val="single"/>
        </w:rPr>
        <w:t xml:space="preserve"> 崇左 </w:t>
      </w:r>
      <w:r>
        <w:rPr>
          <w:rFonts w:hint="eastAsia" w:ascii="宋体" w:hAnsi="宋体" w:eastAsia="宋体" w:cs="宋体"/>
          <w:color w:val="auto"/>
          <w:sz w:val="21"/>
          <w:szCs w:val="21"/>
        </w:rPr>
        <w:t>市建设工程造价信息》加权平均计算，信息价没有的按通用条款规定确定。</w:t>
      </w:r>
    </w:p>
    <w:p w14:paraId="4573103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（3）价差计算方法：</w:t>
      </w:r>
    </w:p>
    <w:p w14:paraId="61030B1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其超过部分据实调整。</w:t>
      </w:r>
    </w:p>
    <w:p w14:paraId="654981B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②承包人在《承包人提供主要材料和设备一览表》中载明的材料和设备投标报价高于基准价格的：专用合同条款合同履行期间材料和设备单价跌幅以基准价格为基础超过约定的风险范围时，材料和设备单价涨幅以投标报价为基础超过约定的风险范围时，其超过部分据实调整。</w:t>
      </w:r>
    </w:p>
    <w:p w14:paraId="3D5EA6F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③承包人在《承包人提供主要材料和设备一览表》中载明的材料和设备单价等于基准单价的：合同履行期间材料和设备单价涨跌幅以基准单价为基础超过约定的风险范围时，其超过部分据实调整。</w:t>
      </w:r>
    </w:p>
    <w:p w14:paraId="70234337">
      <w:pPr>
        <w:adjustRightInd w:val="0"/>
        <w:snapToGrid w:val="0"/>
        <w:spacing w:line="360" w:lineRule="auto"/>
        <w:ind w:firstLine="420" w:firstLineChars="200"/>
        <w:jc w:val="left"/>
        <w:rPr>
          <w:rFonts w:hint="eastAsia" w:ascii="宋体" w:hAnsi="宋体" w:eastAsia="宋体" w:cs="宋体"/>
          <w:color w:val="auto"/>
          <w:sz w:val="21"/>
          <w:szCs w:val="21"/>
        </w:rPr>
      </w:pPr>
      <w:bookmarkStart w:id="1278" w:name="_Toc20246_WPSOffice_Level2"/>
      <w:r>
        <w:rPr>
          <w:rFonts w:hint="eastAsia" w:ascii="宋体" w:hAnsi="宋体" w:eastAsia="宋体" w:cs="宋体"/>
          <w:color w:val="auto"/>
          <w:sz w:val="21"/>
          <w:szCs w:val="21"/>
        </w:rPr>
        <w:t>第3种方式：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bookmarkEnd w:id="1278"/>
    </w:p>
    <w:bookmarkEnd w:id="1128"/>
    <w:bookmarkEnd w:id="1129"/>
    <w:bookmarkEnd w:id="1130"/>
    <w:bookmarkEnd w:id="1131"/>
    <w:bookmarkEnd w:id="1132"/>
    <w:bookmarkEnd w:id="1133"/>
    <w:p w14:paraId="7BBA06E6">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279" w:name="_Toc296891245"/>
      <w:bookmarkStart w:id="1280" w:name="_Toc292559915"/>
      <w:bookmarkStart w:id="1281" w:name="_Toc296346706"/>
      <w:bookmarkStart w:id="1282" w:name="_Toc297120505"/>
      <w:bookmarkStart w:id="1283" w:name="_Toc296891033"/>
      <w:bookmarkStart w:id="1284" w:name="_Toc296944544"/>
      <w:bookmarkStart w:id="1285" w:name="_Toc292559410"/>
      <w:bookmarkStart w:id="1286" w:name="_Toc296347204"/>
      <w:bookmarkStart w:id="1287" w:name="_Toc297048391"/>
      <w:bookmarkStart w:id="1288" w:name="_Toc296503205"/>
      <w:bookmarkStart w:id="1289" w:name="_Toc815_WPSOffice_Level3"/>
      <w:bookmarkStart w:id="1290" w:name="_Toc373478395"/>
      <w:bookmarkStart w:id="1291" w:name="_Toc467599610"/>
      <w:bookmarkStart w:id="1292" w:name="_Toc373227748"/>
      <w:bookmarkStart w:id="1293" w:name="_Toc351203644"/>
      <w:bookmarkStart w:id="1294" w:name="_Toc303539159"/>
      <w:bookmarkStart w:id="1295" w:name="_Toc300935002"/>
      <w:bookmarkStart w:id="1296" w:name="_Toc297123552"/>
      <w:bookmarkStart w:id="1297" w:name="_Toc304295579"/>
      <w:bookmarkStart w:id="1298" w:name="_Toc312678040"/>
      <w:bookmarkStart w:id="1299" w:name="_Toc297216211"/>
      <w:r>
        <w:rPr>
          <w:rFonts w:hint="eastAsia" w:ascii="宋体" w:hAnsi="宋体" w:eastAsia="宋体" w:cs="宋体"/>
          <w:color w:val="auto"/>
          <w:sz w:val="21"/>
          <w:szCs w:val="21"/>
        </w:rPr>
        <w:t xml:space="preserve">12. </w:t>
      </w:r>
      <w:bookmarkEnd w:id="1279"/>
      <w:bookmarkEnd w:id="1280"/>
      <w:bookmarkEnd w:id="1281"/>
      <w:bookmarkEnd w:id="1282"/>
      <w:bookmarkEnd w:id="1283"/>
      <w:bookmarkEnd w:id="1284"/>
      <w:bookmarkEnd w:id="1285"/>
      <w:bookmarkEnd w:id="1286"/>
      <w:bookmarkEnd w:id="1287"/>
      <w:bookmarkEnd w:id="1288"/>
      <w:r>
        <w:rPr>
          <w:rFonts w:hint="eastAsia" w:ascii="宋体" w:hAnsi="宋体" w:eastAsia="宋体" w:cs="宋体"/>
          <w:color w:val="auto"/>
          <w:sz w:val="21"/>
          <w:szCs w:val="21"/>
        </w:rPr>
        <w:t>合同价格、计量与支付</w:t>
      </w:r>
      <w:bookmarkEnd w:id="1289"/>
      <w:bookmarkEnd w:id="1290"/>
      <w:bookmarkEnd w:id="1291"/>
      <w:bookmarkEnd w:id="1292"/>
      <w:bookmarkEnd w:id="1293"/>
    </w:p>
    <w:bookmarkEnd w:id="1294"/>
    <w:bookmarkEnd w:id="1295"/>
    <w:bookmarkEnd w:id="1296"/>
    <w:bookmarkEnd w:id="1297"/>
    <w:bookmarkEnd w:id="1298"/>
    <w:bookmarkEnd w:id="1299"/>
    <w:p w14:paraId="6224A013">
      <w:pPr>
        <w:pStyle w:val="7"/>
        <w:adjustRightInd w:val="0"/>
        <w:snapToGrid w:val="0"/>
        <w:ind w:firstLine="422" w:firstLineChars="200"/>
        <w:rPr>
          <w:rFonts w:hint="eastAsia" w:ascii="宋体" w:hAnsi="宋体" w:eastAsia="宋体" w:cs="宋体"/>
          <w:color w:val="auto"/>
          <w:sz w:val="21"/>
          <w:szCs w:val="21"/>
        </w:rPr>
      </w:pPr>
      <w:bookmarkStart w:id="1300" w:name="_Toc292559411"/>
      <w:bookmarkStart w:id="1301" w:name="_Toc267251461"/>
      <w:bookmarkStart w:id="1302" w:name="_Toc292559916"/>
      <w:bookmarkStart w:id="1303" w:name="_Toc297048392"/>
      <w:bookmarkStart w:id="1304" w:name="_Toc296346707"/>
      <w:bookmarkStart w:id="1305" w:name="_Toc296891246"/>
      <w:bookmarkStart w:id="1306" w:name="_Toc297120506"/>
      <w:bookmarkStart w:id="1307" w:name="_Toc296347205"/>
      <w:bookmarkStart w:id="1308" w:name="_Toc296503206"/>
      <w:bookmarkStart w:id="1309" w:name="_Toc296891034"/>
      <w:bookmarkStart w:id="1310" w:name="_Toc296944545"/>
      <w:bookmarkStart w:id="1311" w:name="_Toc373227749"/>
      <w:bookmarkStart w:id="1312" w:name="_Toc467599611"/>
      <w:bookmarkStart w:id="1313" w:name="_Toc389065314"/>
      <w:bookmarkStart w:id="1314" w:name="_Toc373478396"/>
      <w:bookmarkStart w:id="1315" w:name="_Toc297123553"/>
      <w:bookmarkStart w:id="1316" w:name="_Toc312678041"/>
      <w:bookmarkStart w:id="1317" w:name="_Toc303539160"/>
      <w:bookmarkStart w:id="1318" w:name="_Toc300935003"/>
      <w:bookmarkStart w:id="1319" w:name="_Toc304295580"/>
      <w:bookmarkStart w:id="1320" w:name="_Toc297216212"/>
      <w:r>
        <w:rPr>
          <w:rFonts w:hint="eastAsia" w:ascii="宋体" w:hAnsi="宋体" w:eastAsia="宋体" w:cs="宋体"/>
          <w:color w:val="auto"/>
          <w:sz w:val="21"/>
          <w:szCs w:val="21"/>
        </w:rPr>
        <w:t>12.1 合</w:t>
      </w:r>
      <w:bookmarkEnd w:id="1300"/>
      <w:bookmarkEnd w:id="1301"/>
      <w:bookmarkEnd w:id="1302"/>
      <w:r>
        <w:rPr>
          <w:rFonts w:hint="eastAsia" w:ascii="宋体" w:hAnsi="宋体" w:eastAsia="宋体" w:cs="宋体"/>
          <w:color w:val="auto"/>
          <w:sz w:val="21"/>
          <w:szCs w:val="21"/>
        </w:rPr>
        <w:t>同价</w:t>
      </w:r>
      <w:bookmarkEnd w:id="1303"/>
      <w:bookmarkEnd w:id="1304"/>
      <w:bookmarkEnd w:id="1305"/>
      <w:bookmarkEnd w:id="1306"/>
      <w:bookmarkEnd w:id="1307"/>
      <w:bookmarkEnd w:id="1308"/>
      <w:bookmarkEnd w:id="1309"/>
      <w:bookmarkEnd w:id="1310"/>
      <w:r>
        <w:rPr>
          <w:rFonts w:hint="eastAsia" w:ascii="宋体" w:hAnsi="宋体" w:eastAsia="宋体" w:cs="宋体"/>
          <w:color w:val="auto"/>
          <w:sz w:val="21"/>
          <w:szCs w:val="21"/>
        </w:rPr>
        <w:t>格形式</w:t>
      </w:r>
      <w:bookmarkEnd w:id="1311"/>
      <w:bookmarkEnd w:id="1312"/>
      <w:bookmarkEnd w:id="1313"/>
      <w:bookmarkEnd w:id="1314"/>
    </w:p>
    <w:bookmarkEnd w:id="1315"/>
    <w:bookmarkEnd w:id="1316"/>
    <w:bookmarkEnd w:id="1317"/>
    <w:bookmarkEnd w:id="1318"/>
    <w:bookmarkEnd w:id="1319"/>
    <w:bookmarkEnd w:id="1320"/>
    <w:p w14:paraId="1FD7A9F5">
      <w:pPr>
        <w:adjustRightInd w:val="0"/>
        <w:snapToGrid w:val="0"/>
        <w:spacing w:line="360" w:lineRule="auto"/>
        <w:ind w:firstLine="420" w:firstLineChars="200"/>
        <w:jc w:val="left"/>
        <w:rPr>
          <w:rFonts w:hint="eastAsia" w:ascii="宋体" w:hAnsi="宋体" w:eastAsia="宋体" w:cs="宋体"/>
          <w:color w:val="auto"/>
          <w:sz w:val="21"/>
          <w:szCs w:val="21"/>
        </w:rPr>
      </w:pPr>
      <w:bookmarkStart w:id="1321" w:name="_Toc373227750"/>
      <w:bookmarkStart w:id="1322" w:name="_Toc389065315"/>
      <w:bookmarkStart w:id="1323" w:name="_Toc373478397"/>
      <w:bookmarkStart w:id="1324" w:name="_Toc297123554"/>
      <w:bookmarkStart w:id="1325" w:name="_Toc297216213"/>
      <w:bookmarkStart w:id="1326" w:name="_Toc312678042"/>
      <w:bookmarkStart w:id="1327" w:name="_Toc303539161"/>
      <w:bookmarkStart w:id="1328" w:name="_Toc300935004"/>
      <w:bookmarkStart w:id="1329" w:name="_Toc304295581"/>
      <w:bookmarkStart w:id="1330" w:name="_Toc297120507"/>
      <w:bookmarkStart w:id="1331" w:name="_Toc297048393"/>
      <w:bookmarkStart w:id="1332" w:name="_Toc296944546"/>
      <w:bookmarkStart w:id="1333" w:name="_Toc296347206"/>
      <w:bookmarkStart w:id="1334" w:name="_Toc296346708"/>
      <w:bookmarkStart w:id="1335" w:name="_Toc292559412"/>
      <w:bookmarkStart w:id="1336" w:name="_Toc292559917"/>
      <w:bookmarkStart w:id="1337" w:name="_Toc296891035"/>
      <w:bookmarkStart w:id="1338" w:name="_Toc296503207"/>
      <w:bookmarkStart w:id="1339" w:name="_Toc296891247"/>
      <w:r>
        <w:rPr>
          <w:rFonts w:hint="eastAsia" w:ascii="宋体" w:hAnsi="宋体" w:eastAsia="宋体" w:cs="宋体"/>
          <w:color w:val="auto"/>
          <w:sz w:val="21"/>
          <w:szCs w:val="21"/>
        </w:rPr>
        <w:t>本工程采用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lang w:val="en-US" w:eastAsia="zh-CN"/>
        </w:rPr>
        <w:t>1</w:t>
      </w:r>
      <w:r>
        <w:rPr>
          <w:rFonts w:hint="eastAsia" w:ascii="宋体" w:hAnsi="宋体" w:eastAsia="宋体" w:cs="宋体"/>
          <w:color w:val="auto"/>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合同价格形式。</w:t>
      </w:r>
    </w:p>
    <w:p w14:paraId="4DEC96F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（1）单价合同。</w:t>
      </w:r>
    </w:p>
    <w:p w14:paraId="4F4CBCE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本合同价款采用固定综合单价方式确定，工程量按实际结算。</w:t>
      </w:r>
    </w:p>
    <w:p w14:paraId="163B7082">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除工程变更、项目特征不符、工程量清单缺项、工程量偏差、政策性调整、本工程《承包人提供主要材料和设备一览表》中约定的材料和设备价格变动风险以外的其他风险因素。</w:t>
      </w:r>
    </w:p>
    <w:p w14:paraId="7F914D33">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风险范围以外合同价格的调整方法：            </w:t>
      </w:r>
    </w:p>
    <w:p w14:paraId="4E338FD4">
      <w:pPr>
        <w:pStyle w:val="16"/>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①工程变更：按10.4.1变更估价原则的约定调整。</w:t>
      </w:r>
    </w:p>
    <w:p w14:paraId="052B9580">
      <w:pPr>
        <w:pStyle w:val="16"/>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②政策性调整：按自治区建设行政主管部门颁布的文件执行。</w:t>
      </w:r>
    </w:p>
    <w:p w14:paraId="2EED2981">
      <w:pPr>
        <w:pStyle w:val="16"/>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③材料价格风险：按11.1的约定调整。</w:t>
      </w:r>
    </w:p>
    <w:p w14:paraId="0C03A49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④</w:t>
      </w:r>
      <w:r>
        <w:rPr>
          <w:rFonts w:hint="eastAsia" w:ascii="宋体" w:hAnsi="宋体" w:cs="宋体"/>
          <w:color w:val="auto"/>
          <w:sz w:val="21"/>
          <w:szCs w:val="21"/>
          <w:lang w:eastAsia="zh-CN"/>
        </w:rPr>
        <w:t>其他</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840E23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（2）总价合同。</w:t>
      </w:r>
    </w:p>
    <w:p w14:paraId="6BDE61D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总价包含的风险范围：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1027C5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1166501">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1"/>
          <w:sz w:val="21"/>
          <w:szCs w:val="21"/>
          <w:u w:val="single"/>
        </w:rPr>
        <w:t>无</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649DA41">
      <w:pPr>
        <w:pStyle w:val="7"/>
        <w:adjustRightInd w:val="0"/>
        <w:snapToGrid w:val="0"/>
        <w:ind w:firstLine="422" w:firstLineChars="200"/>
        <w:rPr>
          <w:rFonts w:hint="eastAsia" w:ascii="宋体" w:hAnsi="宋体" w:eastAsia="宋体" w:cs="宋体"/>
          <w:color w:val="auto"/>
          <w:sz w:val="21"/>
          <w:szCs w:val="21"/>
        </w:rPr>
      </w:pPr>
      <w:bookmarkStart w:id="1340" w:name="_Toc467599612"/>
      <w:r>
        <w:rPr>
          <w:rFonts w:hint="eastAsia" w:ascii="宋体" w:hAnsi="宋体" w:eastAsia="宋体" w:cs="宋体"/>
          <w:color w:val="auto"/>
          <w:sz w:val="21"/>
          <w:szCs w:val="21"/>
        </w:rPr>
        <w:t>12.2 预付款</w:t>
      </w:r>
      <w:bookmarkEnd w:id="1321"/>
      <w:bookmarkEnd w:id="1322"/>
      <w:bookmarkEnd w:id="1323"/>
      <w:bookmarkEnd w:id="1340"/>
    </w:p>
    <w:bookmarkEnd w:id="1324"/>
    <w:bookmarkEnd w:id="1325"/>
    <w:bookmarkEnd w:id="1326"/>
    <w:bookmarkEnd w:id="1327"/>
    <w:bookmarkEnd w:id="1328"/>
    <w:bookmarkEnd w:id="1329"/>
    <w:p w14:paraId="606EB7C7">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r>
        <w:rPr>
          <w:rFonts w:hint="eastAsia" w:ascii="宋体" w:hAnsi="宋体" w:cs="宋体"/>
          <w:color w:val="auto"/>
          <w:sz w:val="21"/>
          <w:szCs w:val="21"/>
          <w:highlight w:val="none"/>
          <w:u w:val="single"/>
          <w:lang w:val="en-US" w:eastAsia="zh-CN"/>
        </w:rPr>
        <w:t>无</w:t>
      </w:r>
      <w:r>
        <w:rPr>
          <w:rFonts w:hint="eastAsia" w:ascii="宋体" w:hAnsi="宋体" w:eastAsia="宋体" w:cs="宋体"/>
          <w:color w:val="auto"/>
          <w:sz w:val="21"/>
          <w:szCs w:val="21"/>
          <w:highlight w:val="none"/>
        </w:rPr>
        <w:t>。</w:t>
      </w:r>
    </w:p>
    <w:p w14:paraId="465DD803">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47E9A12">
      <w:pPr>
        <w:spacing w:line="400" w:lineRule="exact"/>
        <w:ind w:right="248" w:firstLine="480"/>
        <w:rPr>
          <w:rFonts w:hint="eastAsia" w:ascii="宋体" w:hAnsi="宋体" w:eastAsia="宋体" w:cs="宋体"/>
          <w:color w:val="auto"/>
          <w:sz w:val="21"/>
          <w:szCs w:val="21"/>
          <w:highlight w:val="none"/>
        </w:rPr>
      </w:pPr>
      <w:bookmarkStart w:id="1341" w:name="_Toc221951230"/>
      <w:r>
        <w:rPr>
          <w:rFonts w:hint="eastAsia" w:ascii="宋体" w:hAnsi="宋体" w:eastAsia="宋体" w:cs="宋体"/>
          <w:color w:val="auto"/>
          <w:sz w:val="21"/>
          <w:szCs w:val="21"/>
          <w:highlight w:val="none"/>
        </w:rPr>
        <w:t>1）第一次预付款金额为工程预付款总金额的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%，付款时间应在合同协议书签订后，由承包人向发包人</w:t>
      </w:r>
      <w:r>
        <w:rPr>
          <w:rFonts w:hint="eastAsia" w:ascii="宋体" w:hAnsi="宋体" w:cs="宋体"/>
          <w:color w:val="auto"/>
          <w:sz w:val="21"/>
          <w:szCs w:val="21"/>
          <w:highlight w:val="none"/>
          <w:lang w:eastAsia="zh-CN"/>
        </w:rPr>
        <w:t>提交</w:t>
      </w:r>
      <w:r>
        <w:rPr>
          <w:rFonts w:hint="eastAsia" w:ascii="宋体" w:hAnsi="宋体" w:eastAsia="宋体" w:cs="宋体"/>
          <w:color w:val="auto"/>
          <w:sz w:val="21"/>
          <w:szCs w:val="21"/>
          <w:highlight w:val="none"/>
        </w:rPr>
        <w:t>发包人认可的工程预付款担保，并经监理人出具付款证书报送发包人批准后14天内予以支付。</w:t>
      </w:r>
      <w:bookmarkEnd w:id="1341"/>
    </w:p>
    <w:p w14:paraId="5FFDA2FA">
      <w:pPr>
        <w:pStyle w:val="18"/>
        <w:ind w:left="0" w:leftChars="0" w:firstLine="315" w:firstLineChars="150"/>
        <w:rPr>
          <w:rFonts w:hint="eastAsia" w:ascii="宋体" w:hAnsi="宋体" w:eastAsia="宋体" w:cs="宋体"/>
          <w:color w:val="auto"/>
          <w:sz w:val="21"/>
          <w:szCs w:val="21"/>
          <w:highlight w:val="none"/>
        </w:rPr>
      </w:pPr>
      <w:bookmarkStart w:id="1342" w:name="_Toc221951231"/>
      <w:r>
        <w:rPr>
          <w:rFonts w:hint="eastAsia" w:ascii="宋体" w:hAnsi="宋体" w:eastAsia="宋体" w:cs="宋体"/>
          <w:color w:val="auto"/>
          <w:sz w:val="21"/>
          <w:szCs w:val="21"/>
          <w:highlight w:val="none"/>
        </w:rPr>
        <w:t>2）第二</w:t>
      </w:r>
      <w:r>
        <w:rPr>
          <w:rFonts w:hint="eastAsia" w:ascii="宋体" w:hAnsi="宋体" w:cs="宋体"/>
          <w:color w:val="auto"/>
          <w:sz w:val="21"/>
          <w:szCs w:val="21"/>
          <w:highlight w:val="none"/>
          <w:lang w:eastAsia="zh-CN"/>
        </w:rPr>
        <w:t>期</w:t>
      </w:r>
      <w:r>
        <w:rPr>
          <w:rFonts w:hint="eastAsia" w:ascii="宋体" w:hAnsi="宋体" w:eastAsia="宋体" w:cs="宋体"/>
          <w:color w:val="auto"/>
          <w:sz w:val="21"/>
          <w:szCs w:val="21"/>
          <w:highlight w:val="none"/>
        </w:rPr>
        <w:t>预付款金额为工程预付款总金额的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%。付款时间需待承包人主要设备进入工地后，其估算价值已达到本次预付款金额时，由承包人提出书面申请，经监理人核实后出具付款证书报送发包人批准后14天内予以支付。</w:t>
      </w:r>
      <w:bookmarkEnd w:id="1342"/>
    </w:p>
    <w:p w14:paraId="28AB7E8F">
      <w:pPr>
        <w:pStyle w:val="18"/>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cs="宋体"/>
          <w:color w:val="auto"/>
          <w:sz w:val="21"/>
          <w:szCs w:val="21"/>
          <w:highlight w:val="none"/>
          <w:u w:val="single"/>
          <w:lang w:val="en-US" w:eastAsia="zh-CN" w:bidi="hi-IN"/>
        </w:rPr>
        <w:t>/</w:t>
      </w:r>
      <w:r>
        <w:rPr>
          <w:rFonts w:hint="eastAsia" w:ascii="宋体" w:hAnsi="宋体" w:eastAsia="宋体" w:cs="宋体"/>
          <w:color w:val="auto"/>
          <w:sz w:val="21"/>
          <w:szCs w:val="21"/>
          <w:highlight w:val="none"/>
        </w:rPr>
        <w:t>。</w:t>
      </w:r>
      <w:bookmarkStart w:id="1343" w:name="_Toc221951238"/>
    </w:p>
    <w:p w14:paraId="0ADE9C3B">
      <w:pPr>
        <w:pStyle w:val="18"/>
        <w:ind w:left="0"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工程预付款在合同累计完成金额达到签约合同价格的</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%时开始扣款，直至合同累计完成金额达到签约合同价的</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val="en-US"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%时全部扣清。</w:t>
      </w:r>
      <w:bookmarkEnd w:id="1343"/>
    </w:p>
    <w:p w14:paraId="4B50B422">
      <w:pPr>
        <w:pStyle w:val="18"/>
        <w:ind w:firstLine="480"/>
        <w:rPr>
          <w:rFonts w:hint="eastAsia" w:ascii="宋体" w:hAnsi="宋体" w:eastAsia="宋体" w:cs="宋体"/>
          <w:color w:val="auto"/>
          <w:sz w:val="21"/>
          <w:szCs w:val="21"/>
        </w:rPr>
      </w:pPr>
      <w:r>
        <w:rPr>
          <w:rFonts w:hint="eastAsia" w:ascii="宋体" w:hAnsi="宋体" w:eastAsia="宋体" w:cs="宋体"/>
          <w:color w:val="auto"/>
          <w:sz w:val="21"/>
          <w:szCs w:val="21"/>
        </w:rPr>
        <w:drawing>
          <wp:anchor distT="0" distB="0" distL="114300" distR="114300" simplePos="0" relativeHeight="251662336" behindDoc="0" locked="0" layoutInCell="1" allowOverlap="1">
            <wp:simplePos x="0" y="0"/>
            <wp:positionH relativeFrom="column">
              <wp:posOffset>800100</wp:posOffset>
            </wp:positionH>
            <wp:positionV relativeFrom="paragraph">
              <wp:posOffset>100965</wp:posOffset>
            </wp:positionV>
            <wp:extent cx="1605280" cy="400050"/>
            <wp:effectExtent l="0" t="0" r="0" b="0"/>
            <wp:wrapSquare wrapText="bothSides"/>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26"/>
                    <a:stretch>
                      <a:fillRect/>
                    </a:stretch>
                  </pic:blipFill>
                  <pic:spPr>
                    <a:xfrm>
                      <a:off x="0" y="0"/>
                      <a:ext cx="1605280" cy="400050"/>
                    </a:xfrm>
                    <a:prstGeom prst="rect">
                      <a:avLst/>
                    </a:prstGeom>
                    <a:noFill/>
                    <a:ln>
                      <a:noFill/>
                    </a:ln>
                  </pic:spPr>
                </pic:pic>
              </a:graphicData>
            </a:graphic>
          </wp:anchor>
        </w:drawing>
      </w:r>
    </w:p>
    <w:p w14:paraId="5093C297">
      <w:pPr>
        <w:pStyle w:val="18"/>
        <w:ind w:firstLine="480"/>
        <w:rPr>
          <w:rFonts w:hint="eastAsia" w:ascii="宋体" w:hAnsi="宋体" w:eastAsia="宋体" w:cs="宋体"/>
          <w:color w:val="auto"/>
          <w:sz w:val="21"/>
          <w:szCs w:val="21"/>
        </w:rPr>
      </w:pPr>
      <w:bookmarkStart w:id="1344" w:name="_Toc221951240"/>
    </w:p>
    <w:p w14:paraId="1084DE33">
      <w:pPr>
        <w:pStyle w:val="18"/>
        <w:ind w:firstLine="480"/>
        <w:rPr>
          <w:rFonts w:hint="eastAsia" w:ascii="宋体" w:hAnsi="宋体" w:eastAsia="宋体" w:cs="宋体"/>
          <w:color w:val="auto"/>
          <w:sz w:val="21"/>
          <w:szCs w:val="21"/>
        </w:rPr>
      </w:pPr>
      <w:r>
        <w:rPr>
          <w:rFonts w:hint="eastAsia" w:ascii="宋体" w:hAnsi="宋体" w:eastAsia="宋体" w:cs="宋体"/>
          <w:color w:val="auto"/>
          <w:sz w:val="21"/>
          <w:szCs w:val="21"/>
        </w:rPr>
        <w:t>式中：R——每次进度付款中累计扣回的金额；</w:t>
      </w:r>
      <w:bookmarkEnd w:id="1344"/>
    </w:p>
    <w:p w14:paraId="57B0659A">
      <w:pPr>
        <w:pStyle w:val="18"/>
        <w:ind w:firstLine="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1345" w:name="_Toc221951241"/>
      <w:r>
        <w:rPr>
          <w:rFonts w:hint="eastAsia" w:ascii="宋体" w:hAnsi="宋体" w:eastAsia="宋体" w:cs="宋体"/>
          <w:color w:val="auto"/>
          <w:sz w:val="21"/>
          <w:szCs w:val="21"/>
        </w:rPr>
        <w:t>A——工程预付款总金额；</w:t>
      </w:r>
      <w:bookmarkEnd w:id="1345"/>
    </w:p>
    <w:p w14:paraId="6C09707B">
      <w:pPr>
        <w:pStyle w:val="18"/>
        <w:ind w:firstLine="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1346" w:name="_Toc221951242"/>
      <w:r>
        <w:rPr>
          <w:rFonts w:hint="eastAsia" w:ascii="宋体" w:hAnsi="宋体" w:eastAsia="宋体" w:cs="宋体"/>
          <w:color w:val="auto"/>
          <w:sz w:val="21"/>
          <w:szCs w:val="21"/>
        </w:rPr>
        <w:t>S——签约合同价格；</w:t>
      </w:r>
      <w:bookmarkEnd w:id="1346"/>
    </w:p>
    <w:p w14:paraId="640D5729">
      <w:pPr>
        <w:pStyle w:val="18"/>
        <w:ind w:firstLine="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1347" w:name="_Toc221951243"/>
      <w:r>
        <w:rPr>
          <w:rFonts w:hint="eastAsia" w:ascii="宋体" w:hAnsi="宋体" w:eastAsia="宋体" w:cs="宋体"/>
          <w:color w:val="auto"/>
          <w:sz w:val="21"/>
          <w:szCs w:val="21"/>
        </w:rPr>
        <w:t>C——合同累计完成金额；</w:t>
      </w:r>
      <w:bookmarkEnd w:id="1347"/>
    </w:p>
    <w:p w14:paraId="47BE89BF">
      <w:pPr>
        <w:pStyle w:val="18"/>
        <w:ind w:firstLine="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1348" w:name="_Toc221951244"/>
      <w:r>
        <w:rPr>
          <w:rFonts w:hint="eastAsia" w:ascii="宋体" w:hAnsi="宋体" w:eastAsia="宋体" w:cs="宋体"/>
          <w:color w:val="auto"/>
          <w:sz w:val="21"/>
          <w:szCs w:val="21"/>
        </w:rPr>
        <w:t>F1——开始扣款时合同累计完成金额达到签约合同价格的比例；</w:t>
      </w:r>
      <w:bookmarkEnd w:id="1348"/>
    </w:p>
    <w:p w14:paraId="38464C9B">
      <w:pPr>
        <w:pStyle w:val="18"/>
        <w:ind w:firstLine="48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bookmarkStart w:id="1349" w:name="_Toc221951245"/>
      <w:r>
        <w:rPr>
          <w:rFonts w:hint="eastAsia" w:ascii="宋体" w:hAnsi="宋体" w:eastAsia="宋体" w:cs="宋体"/>
          <w:color w:val="auto"/>
          <w:sz w:val="21"/>
          <w:szCs w:val="21"/>
        </w:rPr>
        <w:t>F2——全部扣清时合同累计完成金额达到签约合同价格的比例。</w:t>
      </w:r>
      <w:bookmarkEnd w:id="1349"/>
    </w:p>
    <w:p w14:paraId="43070E77">
      <w:pPr>
        <w:pStyle w:val="18"/>
        <w:ind w:firstLine="480"/>
        <w:rPr>
          <w:rFonts w:hint="eastAsia" w:ascii="宋体" w:hAnsi="宋体" w:eastAsia="宋体" w:cs="宋体"/>
          <w:color w:val="auto"/>
          <w:sz w:val="21"/>
          <w:szCs w:val="21"/>
        </w:rPr>
      </w:pPr>
      <w:bookmarkStart w:id="1350" w:name="_Toc221951246"/>
      <w:r>
        <w:rPr>
          <w:rFonts w:hint="eastAsia" w:ascii="宋体" w:hAnsi="宋体" w:eastAsia="宋体" w:cs="宋体"/>
          <w:color w:val="auto"/>
          <w:sz w:val="21"/>
          <w:szCs w:val="21"/>
        </w:rPr>
        <w:t>上述合同累计完成金额均指价格调整前未</w:t>
      </w:r>
      <w:r>
        <w:rPr>
          <w:rFonts w:hint="eastAsia" w:ascii="宋体" w:hAnsi="宋体" w:cs="宋体"/>
          <w:color w:val="auto"/>
          <w:sz w:val="21"/>
          <w:szCs w:val="21"/>
          <w:lang w:eastAsia="zh-CN"/>
        </w:rPr>
        <w:t>扣除</w:t>
      </w:r>
      <w:r>
        <w:rPr>
          <w:rFonts w:hint="eastAsia" w:ascii="宋体" w:hAnsi="宋体" w:eastAsia="宋体" w:cs="宋体"/>
          <w:color w:val="auto"/>
          <w:sz w:val="21"/>
          <w:szCs w:val="21"/>
        </w:rPr>
        <w:t>质量保证金的金额。</w:t>
      </w:r>
      <w:bookmarkEnd w:id="1350"/>
    </w:p>
    <w:p w14:paraId="3C78EB9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12.2.2 预付款担保</w:t>
      </w:r>
    </w:p>
    <w:p w14:paraId="552E311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承包人提交预付款担保的期限：</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7537C490">
      <w:pPr>
        <w:adjustRightInd w:val="0"/>
        <w:snapToGrid w:val="0"/>
        <w:spacing w:line="360" w:lineRule="auto"/>
        <w:ind w:firstLine="420" w:firstLineChars="200"/>
        <w:jc w:val="left"/>
        <w:rPr>
          <w:rFonts w:hint="eastAsia" w:ascii="宋体" w:hAnsi="宋体" w:eastAsia="宋体" w:cs="宋体"/>
          <w:color w:val="auto"/>
          <w:sz w:val="21"/>
          <w:szCs w:val="21"/>
          <w:highlight w:val="yellow"/>
        </w:rPr>
      </w:pPr>
      <w:r>
        <w:rPr>
          <w:rFonts w:hint="eastAsia" w:ascii="宋体" w:hAnsi="宋体" w:eastAsia="宋体" w:cs="宋体"/>
          <w:color w:val="auto"/>
          <w:sz w:val="21"/>
          <w:szCs w:val="21"/>
        </w:rPr>
        <w:t>预付款担保的形式为：</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bookmarkEnd w:id="1330"/>
    <w:bookmarkEnd w:id="1331"/>
    <w:bookmarkEnd w:id="1332"/>
    <w:bookmarkEnd w:id="1333"/>
    <w:bookmarkEnd w:id="1334"/>
    <w:bookmarkEnd w:id="1335"/>
    <w:bookmarkEnd w:id="1336"/>
    <w:bookmarkEnd w:id="1337"/>
    <w:bookmarkEnd w:id="1338"/>
    <w:bookmarkEnd w:id="1339"/>
    <w:p w14:paraId="327DBACC">
      <w:pPr>
        <w:pStyle w:val="7"/>
        <w:adjustRightInd w:val="0"/>
        <w:snapToGrid w:val="0"/>
        <w:ind w:firstLine="422" w:firstLineChars="200"/>
        <w:rPr>
          <w:rFonts w:hint="eastAsia" w:ascii="宋体" w:hAnsi="宋体" w:eastAsia="宋体" w:cs="宋体"/>
          <w:color w:val="auto"/>
          <w:sz w:val="21"/>
          <w:szCs w:val="21"/>
        </w:rPr>
      </w:pPr>
      <w:bookmarkStart w:id="1351" w:name="_Toc467599613"/>
      <w:bookmarkStart w:id="1352" w:name="_Toc389065316"/>
      <w:bookmarkStart w:id="1353" w:name="_Toc373227751"/>
      <w:bookmarkStart w:id="1354" w:name="_Toc373478398"/>
      <w:r>
        <w:rPr>
          <w:rFonts w:hint="eastAsia" w:ascii="宋体" w:hAnsi="宋体" w:eastAsia="宋体" w:cs="宋体"/>
          <w:color w:val="auto"/>
          <w:sz w:val="21"/>
          <w:szCs w:val="21"/>
        </w:rPr>
        <w:t>12.3 计量</w:t>
      </w:r>
      <w:bookmarkEnd w:id="1351"/>
      <w:bookmarkEnd w:id="1352"/>
      <w:bookmarkEnd w:id="1353"/>
      <w:bookmarkEnd w:id="1354"/>
    </w:p>
    <w:p w14:paraId="66C809B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12.3.1 计量原则</w:t>
      </w:r>
    </w:p>
    <w:p w14:paraId="3EF581A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工程量计算规则：</w:t>
      </w:r>
      <w:r>
        <w:rPr>
          <w:rFonts w:hint="eastAsia" w:ascii="宋体" w:hAnsi="宋体" w:eastAsia="宋体" w:cs="宋体"/>
          <w:color w:val="auto"/>
          <w:sz w:val="21"/>
          <w:szCs w:val="21"/>
          <w:u w:val="single"/>
        </w:rPr>
        <w:t>工程的计量均以《建设工程工程量清单计价规范》（GB50500－2013）</w:t>
      </w:r>
      <w:r>
        <w:rPr>
          <w:rFonts w:hint="eastAsia" w:ascii="宋体" w:hAnsi="宋体" w:cs="宋体"/>
          <w:color w:val="auto"/>
          <w:sz w:val="21"/>
          <w:szCs w:val="21"/>
          <w:u w:val="single"/>
          <w:lang w:eastAsia="zh-CN"/>
        </w:rPr>
        <w:t>及其</w:t>
      </w:r>
      <w:r>
        <w:rPr>
          <w:rFonts w:hint="eastAsia" w:ascii="宋体" w:hAnsi="宋体" w:eastAsia="宋体" w:cs="宋体"/>
          <w:color w:val="auto"/>
          <w:sz w:val="21"/>
          <w:szCs w:val="21"/>
          <w:u w:val="single"/>
        </w:rPr>
        <w:t>广西壮族自治区实施细则、《建设工程工程量清单计算规范》（GB50854~50862－2013）及其广西实施细则、本工程补充项目清单为准。</w:t>
      </w:r>
    </w:p>
    <w:p w14:paraId="0AF2D76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12.3.2 计量周期</w:t>
      </w:r>
    </w:p>
    <w:p w14:paraId="7182736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关于计量周期的约定：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BF9C929">
      <w:pPr>
        <w:adjustRightInd w:val="0"/>
        <w:snapToGrid w:val="0"/>
        <w:spacing w:line="360" w:lineRule="auto"/>
        <w:ind w:firstLine="420" w:firstLineChars="200"/>
        <w:jc w:val="left"/>
        <w:outlineLvl w:val="0"/>
        <w:rPr>
          <w:rFonts w:hint="eastAsia" w:ascii="宋体" w:hAnsi="宋体" w:eastAsia="宋体" w:cs="宋体"/>
          <w:color w:val="auto"/>
          <w:sz w:val="21"/>
          <w:szCs w:val="21"/>
        </w:rPr>
      </w:pPr>
      <w:bookmarkStart w:id="1355" w:name="_Toc15881"/>
      <w:bookmarkStart w:id="1356" w:name="_Toc2003"/>
      <w:r>
        <w:rPr>
          <w:rFonts w:hint="eastAsia" w:ascii="宋体" w:hAnsi="宋体" w:eastAsia="宋体" w:cs="宋体"/>
          <w:color w:val="auto"/>
          <w:sz w:val="21"/>
          <w:szCs w:val="21"/>
        </w:rPr>
        <w:t>12.3.3 单价合同的计量</w:t>
      </w:r>
      <w:bookmarkEnd w:id="1355"/>
      <w:bookmarkEnd w:id="1356"/>
    </w:p>
    <w:p w14:paraId="54D53E3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关于单价合同计量的约定：</w:t>
      </w:r>
    </w:p>
    <w:p w14:paraId="1D177F9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（1）</w:t>
      </w:r>
      <w:r>
        <w:rPr>
          <w:rFonts w:hint="eastAsia" w:ascii="宋体" w:hAnsi="宋体" w:eastAsia="宋体" w:cs="宋体"/>
          <w:color w:val="auto"/>
          <w:sz w:val="21"/>
          <w:szCs w:val="21"/>
        </w:rPr>
        <w:t xml:space="preserve"> 工程量清单所列的工程量，不能作为承包人按合同履行其责任依据，实际施工中发生的工程量增加或减少并不影响承包人履行合同的责任，工程结算以完成的实际工程量为准。</w:t>
      </w:r>
    </w:p>
    <w:p w14:paraId="17D6B78A">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sz w:val="21"/>
          <w:szCs w:val="21"/>
          <w:lang w:eastAsia="zh-CN"/>
        </w:rPr>
        <w:t>（2）</w:t>
      </w:r>
      <w:r>
        <w:rPr>
          <w:rFonts w:hint="eastAsia" w:ascii="宋体" w:hAnsi="宋体" w:eastAsia="宋体" w:cs="宋体"/>
          <w:color w:val="auto"/>
          <w:sz w:val="21"/>
          <w:szCs w:val="21"/>
        </w:rPr>
        <w:t xml:space="preserve"> 除另有规定外，工程师应按照合同通过计量来核实确定已完成的工程量和价款，承包人应得到该价款扣除保留金后的金额。当工程师要对已完工的工程量进行计量时，应适时地通知承包人参加。</w:t>
      </w:r>
    </w:p>
    <w:p w14:paraId="292C2D5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12.3.4 总价合同的计量</w:t>
      </w:r>
    </w:p>
    <w:p w14:paraId="7997EEE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关于总价合同计量的约定：除工程变更外，原图纸范围内的工程量不得按实计量。进度款按支付分解表支付，按通用条款第</w:t>
      </w:r>
      <w:r>
        <w:rPr>
          <w:rFonts w:hint="eastAsia" w:ascii="宋体" w:hAnsi="宋体" w:eastAsia="宋体" w:cs="宋体"/>
          <w:color w:val="auto"/>
          <w:kern w:val="0"/>
          <w:sz w:val="21"/>
          <w:szCs w:val="21"/>
        </w:rPr>
        <w:t>12.3.4</w:t>
      </w:r>
      <w:r>
        <w:rPr>
          <w:rFonts w:hint="eastAsia" w:ascii="宋体" w:hAnsi="宋体" w:eastAsia="宋体" w:cs="宋体"/>
          <w:color w:val="auto"/>
          <w:sz w:val="21"/>
          <w:szCs w:val="21"/>
        </w:rPr>
        <w:t>项</w:t>
      </w:r>
      <w:r>
        <w:rPr>
          <w:rFonts w:hint="eastAsia" w:ascii="宋体" w:hAnsi="宋体" w:eastAsia="宋体" w:cs="宋体"/>
          <w:color w:val="auto"/>
          <w:kern w:val="0"/>
          <w:sz w:val="21"/>
          <w:szCs w:val="21"/>
        </w:rPr>
        <w:t>〔总价合同的计量〕</w:t>
      </w:r>
      <w:r>
        <w:rPr>
          <w:rFonts w:hint="eastAsia" w:ascii="宋体" w:hAnsi="宋体" w:eastAsia="宋体" w:cs="宋体"/>
          <w:color w:val="auto"/>
          <w:sz w:val="21"/>
          <w:szCs w:val="21"/>
        </w:rPr>
        <w:t>约定进行计量，但</w:t>
      </w:r>
      <w:r>
        <w:rPr>
          <w:rFonts w:hint="eastAsia" w:ascii="宋体" w:hAnsi="宋体" w:eastAsia="宋体" w:cs="宋体"/>
          <w:color w:val="auto"/>
          <w:kern w:val="0"/>
          <w:sz w:val="21"/>
          <w:szCs w:val="21"/>
        </w:rPr>
        <w:t>合同价款按照支付分解表进行支付。</w:t>
      </w:r>
    </w:p>
    <w:p w14:paraId="122DD3D7">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12.3.6 其他价格形式合同的计量</w:t>
      </w:r>
    </w:p>
    <w:p w14:paraId="48398891">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其他价格形式的计量方式和程序：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31CF6F86">
      <w:pPr>
        <w:pStyle w:val="7"/>
        <w:adjustRightInd w:val="0"/>
        <w:snapToGrid w:val="0"/>
        <w:ind w:firstLine="422" w:firstLineChars="200"/>
        <w:rPr>
          <w:rFonts w:hint="eastAsia" w:ascii="宋体" w:hAnsi="宋体" w:eastAsia="宋体" w:cs="宋体"/>
          <w:color w:val="auto"/>
          <w:sz w:val="21"/>
          <w:szCs w:val="21"/>
        </w:rPr>
      </w:pPr>
      <w:bookmarkStart w:id="1357" w:name="_Toc389065317"/>
      <w:bookmarkStart w:id="1358" w:name="_Toc373478399"/>
      <w:bookmarkStart w:id="1359" w:name="_Toc373227752"/>
      <w:bookmarkStart w:id="1360" w:name="_Toc467599614"/>
      <w:r>
        <w:rPr>
          <w:rFonts w:hint="eastAsia" w:ascii="宋体" w:hAnsi="宋体" w:eastAsia="宋体" w:cs="宋体"/>
          <w:color w:val="auto"/>
          <w:sz w:val="21"/>
          <w:szCs w:val="21"/>
        </w:rPr>
        <w:t>12.4 工程进度款支付</w:t>
      </w:r>
      <w:bookmarkEnd w:id="1357"/>
      <w:bookmarkEnd w:id="1358"/>
      <w:bookmarkEnd w:id="1359"/>
      <w:bookmarkEnd w:id="1360"/>
    </w:p>
    <w:p w14:paraId="7DBC2D53">
      <w:pPr>
        <w:adjustRightInd w:val="0"/>
        <w:snapToGrid w:val="0"/>
        <w:spacing w:line="360" w:lineRule="auto"/>
        <w:ind w:firstLine="420" w:firstLineChars="200"/>
        <w:jc w:val="left"/>
        <w:rPr>
          <w:rFonts w:hint="eastAsia" w:ascii="宋体" w:hAnsi="宋体" w:eastAsia="宋体" w:cs="宋体"/>
          <w:color w:val="auto"/>
          <w:sz w:val="21"/>
          <w:szCs w:val="21"/>
        </w:rPr>
      </w:pPr>
      <w:bookmarkStart w:id="1361" w:name="_Toc297123556"/>
      <w:bookmarkStart w:id="1362" w:name="_Toc297120511"/>
      <w:bookmarkStart w:id="1363" w:name="_Toc297216215"/>
      <w:bookmarkStart w:id="1364" w:name="_Toc297048397"/>
      <w:bookmarkStart w:id="1365" w:name="_Toc303539163"/>
      <w:bookmarkStart w:id="1366" w:name="_Toc292559416"/>
      <w:bookmarkStart w:id="1367" w:name="_Toc292559921"/>
      <w:bookmarkStart w:id="1368" w:name="_Toc296891251"/>
      <w:bookmarkStart w:id="1369" w:name="_Toc296347210"/>
      <w:bookmarkStart w:id="1370" w:name="_Toc296346712"/>
      <w:bookmarkStart w:id="1371" w:name="_Toc296944550"/>
      <w:bookmarkStart w:id="1372" w:name="_Toc300935006"/>
      <w:bookmarkStart w:id="1373" w:name="_Toc296891039"/>
      <w:bookmarkStart w:id="1374" w:name="_Toc296503211"/>
      <w:r>
        <w:rPr>
          <w:rFonts w:hint="eastAsia" w:ascii="宋体" w:hAnsi="宋体" w:eastAsia="宋体" w:cs="宋体"/>
          <w:color w:val="auto"/>
          <w:sz w:val="21"/>
          <w:szCs w:val="21"/>
        </w:rPr>
        <w:t>12.4.1 付款周期</w:t>
      </w:r>
    </w:p>
    <w:p w14:paraId="5CDEDAC3">
      <w:pPr>
        <w:adjustRightInd w:val="0"/>
        <w:snapToGrid w:val="0"/>
        <w:spacing w:line="360" w:lineRule="auto"/>
        <w:ind w:firstLine="420" w:firstLineChars="200"/>
        <w:jc w:val="left"/>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yellow"/>
        </w:rPr>
        <w:t>关于付款周期的约定：</w:t>
      </w:r>
    </w:p>
    <w:p w14:paraId="06A4933E">
      <w:pPr>
        <w:adjustRightInd w:val="0"/>
        <w:snapToGrid w:val="0"/>
        <w:spacing w:line="360" w:lineRule="auto"/>
        <w:ind w:firstLine="420" w:firstLineChars="200"/>
        <w:jc w:val="left"/>
        <w:rPr>
          <w:rFonts w:hint="eastAsia" w:ascii="宋体" w:hAnsi="宋体" w:cs="宋体"/>
          <w:color w:val="auto"/>
          <w:sz w:val="21"/>
          <w:szCs w:val="21"/>
          <w:highlight w:val="yellow"/>
          <w:u w:val="single"/>
          <w:lang w:val="en-US" w:eastAsia="zh-CN"/>
        </w:rPr>
      </w:pPr>
      <w:r>
        <w:rPr>
          <w:rFonts w:hint="eastAsia" w:ascii="宋体" w:hAnsi="宋体" w:eastAsia="宋体" w:cs="宋体"/>
          <w:bCs/>
          <w:color w:val="auto"/>
          <w:sz w:val="21"/>
          <w:szCs w:val="21"/>
          <w:highlight w:val="yellow"/>
          <w:u w:val="single"/>
        </w:rPr>
        <w:t>工程款原则上按</w:t>
      </w:r>
      <w:r>
        <w:rPr>
          <w:rFonts w:hint="eastAsia" w:ascii="宋体" w:hAnsi="宋体" w:cs="宋体"/>
          <w:bCs/>
          <w:color w:val="auto"/>
          <w:sz w:val="21"/>
          <w:szCs w:val="21"/>
          <w:highlight w:val="yellow"/>
          <w:u w:val="single"/>
          <w:lang w:val="en-US" w:eastAsia="zh-CN"/>
        </w:rPr>
        <w:t>形象进度进行</w:t>
      </w:r>
      <w:r>
        <w:rPr>
          <w:rFonts w:hint="eastAsia" w:ascii="宋体" w:hAnsi="宋体" w:eastAsia="宋体" w:cs="宋体"/>
          <w:bCs/>
          <w:color w:val="auto"/>
          <w:sz w:val="21"/>
          <w:szCs w:val="21"/>
          <w:highlight w:val="yellow"/>
          <w:u w:val="single"/>
        </w:rPr>
        <w:t>支付</w:t>
      </w:r>
      <w:r>
        <w:rPr>
          <w:rFonts w:hint="eastAsia" w:ascii="宋体" w:hAnsi="宋体" w:cs="宋体"/>
          <w:bCs/>
          <w:color w:val="auto"/>
          <w:sz w:val="21"/>
          <w:szCs w:val="21"/>
          <w:highlight w:val="yellow"/>
          <w:u w:val="single"/>
          <w:lang w:eastAsia="zh-CN"/>
        </w:rPr>
        <w:t>，</w:t>
      </w:r>
      <w:r>
        <w:rPr>
          <w:rFonts w:hint="eastAsia" w:ascii="宋体" w:hAnsi="宋体" w:cs="宋体"/>
          <w:color w:val="auto"/>
          <w:sz w:val="21"/>
          <w:szCs w:val="21"/>
          <w:highlight w:val="yellow"/>
          <w:u w:val="single"/>
          <w:lang w:val="en-US" w:eastAsia="zh-CN"/>
        </w:rPr>
        <w:t>发包人在承包人开具发票后10个工作日内支付进度款，根据工程施工进度及建设签证支付进度款限额为已完成工程量的80%，工程变更部分进度款支付限额为已完成工程量的60%；工程完工验收合格，工程结算经审计部门审定并经发包人确认后， 发包人在承包人开具发票后10个工作日内支付至结算总价的97% ；发包人按工程价款结算总价的3%预留工程质量保证金，待工程质量缺陷责任期满后一次性无息返还。</w:t>
      </w:r>
    </w:p>
    <w:p w14:paraId="62F6746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12.4.2 进度付款申请单的编制</w:t>
      </w:r>
    </w:p>
    <w:p w14:paraId="7BDF7A81">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关于进度付款申请单编制的约定：</w:t>
      </w:r>
      <w:r>
        <w:rPr>
          <w:rFonts w:hint="eastAsia" w:ascii="宋体" w:hAnsi="宋体" w:eastAsia="宋体" w:cs="宋体"/>
          <w:color w:val="auto"/>
          <w:sz w:val="21"/>
          <w:szCs w:val="21"/>
          <w:u w:val="single"/>
        </w:rPr>
        <w:t>按通用合同条款执行</w:t>
      </w:r>
      <w:r>
        <w:rPr>
          <w:rFonts w:hint="eastAsia" w:ascii="宋体" w:hAnsi="宋体" w:eastAsia="宋体" w:cs="宋体"/>
          <w:color w:val="auto"/>
          <w:sz w:val="21"/>
          <w:szCs w:val="21"/>
        </w:rPr>
        <w:t>。</w:t>
      </w:r>
    </w:p>
    <w:p w14:paraId="66689D6D">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r>
        <w:rPr>
          <w:rFonts w:hint="eastAsia" w:ascii="宋体" w:hAnsi="宋体" w:eastAsia="宋体" w:cs="宋体"/>
          <w:color w:val="auto"/>
          <w:sz w:val="21"/>
          <w:szCs w:val="21"/>
        </w:rPr>
        <w:t>2.4.3 进度付款申请单的提交</w:t>
      </w:r>
    </w:p>
    <w:p w14:paraId="40C77C8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（1）单价合同进度付款申请单提交的约定：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297EAC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（2）总价合同进度付款申请单提交的约定：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30DF713">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（3）其他价格形式合同进度付款申请单提交的约定：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46F4F22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12.4.4 进度款审核和支付</w:t>
      </w:r>
    </w:p>
    <w:p w14:paraId="7E131C98">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（1）监理人审查并报送发包人的期限：</w:t>
      </w:r>
      <w:r>
        <w:rPr>
          <w:rFonts w:hint="eastAsia" w:ascii="宋体" w:hAnsi="宋体" w:eastAsia="宋体" w:cs="宋体"/>
          <w:color w:val="auto"/>
          <w:sz w:val="21"/>
          <w:szCs w:val="21"/>
          <w:u w:val="single"/>
        </w:rPr>
        <w:t xml:space="preserve"> 按通用合同条款执行  </w:t>
      </w:r>
      <w:r>
        <w:rPr>
          <w:rFonts w:hint="eastAsia" w:ascii="宋体" w:hAnsi="宋体" w:eastAsia="宋体" w:cs="宋体"/>
          <w:color w:val="auto"/>
          <w:sz w:val="21"/>
          <w:szCs w:val="21"/>
        </w:rPr>
        <w:t>。</w:t>
      </w:r>
    </w:p>
    <w:p w14:paraId="59015CB2">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发包人完成审批并签发进度款支付证书的期限：</w:t>
      </w:r>
      <w:r>
        <w:rPr>
          <w:rFonts w:hint="eastAsia" w:ascii="宋体" w:hAnsi="宋体" w:eastAsia="宋体" w:cs="宋体"/>
          <w:color w:val="auto"/>
          <w:sz w:val="21"/>
          <w:szCs w:val="21"/>
          <w:u w:val="single"/>
        </w:rPr>
        <w:t xml:space="preserve">  按通用合同条款执行 </w:t>
      </w:r>
      <w:r>
        <w:rPr>
          <w:rFonts w:hint="eastAsia" w:ascii="宋体" w:hAnsi="宋体" w:eastAsia="宋体" w:cs="宋体"/>
          <w:color w:val="auto"/>
          <w:sz w:val="21"/>
          <w:szCs w:val="21"/>
        </w:rPr>
        <w:t>。</w:t>
      </w:r>
    </w:p>
    <w:p w14:paraId="6A8C2E5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（2）发包人支付进度款的期限：</w:t>
      </w:r>
      <w:r>
        <w:rPr>
          <w:rFonts w:hint="eastAsia" w:ascii="宋体" w:hAnsi="宋体" w:eastAsia="宋体" w:cs="宋体"/>
          <w:color w:val="auto"/>
          <w:sz w:val="21"/>
          <w:szCs w:val="21"/>
          <w:u w:val="single"/>
        </w:rPr>
        <w:t xml:space="preserve"> 签发进度款支付证书之日起21天内  </w:t>
      </w:r>
      <w:r>
        <w:rPr>
          <w:rFonts w:hint="eastAsia" w:ascii="宋体" w:hAnsi="宋体" w:eastAsia="宋体" w:cs="宋体"/>
          <w:color w:val="auto"/>
          <w:sz w:val="21"/>
          <w:szCs w:val="21"/>
        </w:rPr>
        <w:t>。</w:t>
      </w:r>
    </w:p>
    <w:p w14:paraId="16AF7C4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发包人逾期支付进度款的违约金的计算方式：</w:t>
      </w:r>
      <w:r>
        <w:rPr>
          <w:rFonts w:hint="eastAsia" w:ascii="宋体" w:hAnsi="宋体" w:eastAsia="宋体" w:cs="宋体"/>
          <w:color w:val="auto"/>
          <w:sz w:val="21"/>
          <w:szCs w:val="21"/>
          <w:u w:val="single"/>
        </w:rPr>
        <w:t xml:space="preserve"> 以应付未付款项为基数，按照全国银行间同业拆借中心公布的贷款市场报价利率计算违约金 </w:t>
      </w:r>
      <w:r>
        <w:rPr>
          <w:rFonts w:hint="eastAsia" w:ascii="宋体" w:hAnsi="宋体" w:eastAsia="宋体" w:cs="宋体"/>
          <w:color w:val="auto"/>
          <w:sz w:val="21"/>
          <w:szCs w:val="21"/>
        </w:rPr>
        <w:t>。</w:t>
      </w:r>
    </w:p>
    <w:p w14:paraId="133991A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进度款支付方式：</w:t>
      </w:r>
      <w:r>
        <w:rPr>
          <w:rFonts w:hint="eastAsia" w:ascii="宋体" w:hAnsi="宋体" w:eastAsia="宋体" w:cs="宋体"/>
          <w:color w:val="auto"/>
          <w:sz w:val="21"/>
          <w:szCs w:val="21"/>
          <w:u w:val="single"/>
        </w:rPr>
        <w:t>银行转账</w:t>
      </w:r>
      <w:r>
        <w:rPr>
          <w:rFonts w:hint="eastAsia" w:ascii="宋体" w:hAnsi="宋体" w:eastAsia="宋体" w:cs="宋体"/>
          <w:color w:val="auto"/>
          <w:sz w:val="21"/>
          <w:szCs w:val="21"/>
        </w:rPr>
        <w:t>。</w:t>
      </w:r>
    </w:p>
    <w:p w14:paraId="0441D24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12.4.6 支付分解表的编制</w:t>
      </w:r>
    </w:p>
    <w:p w14:paraId="2B96CDFC">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2. 总价合同支付分解表的编制与审批：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653B4BCD">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3. 单价合同的总价项目支付分解表的编制与审批：总价项目不采用支付分解表的方式计算，而按《建设工程工程量清单计价规范（GB50500-2013）广西壮族自治区实施细则》的规定执行。</w:t>
      </w:r>
    </w:p>
    <w:bookmarkEnd w:id="1134"/>
    <w:p w14:paraId="6FBB87A5">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375" w:name="_Toc467599615"/>
      <w:bookmarkStart w:id="1376" w:name="_Toc389065318"/>
      <w:bookmarkStart w:id="1377" w:name="_Toc22104_WPSOffice_Level3"/>
      <w:bookmarkStart w:id="1378" w:name="_Toc373478400"/>
      <w:bookmarkStart w:id="1379" w:name="_Toc351203645"/>
      <w:bookmarkStart w:id="1380" w:name="_Toc373227753"/>
      <w:bookmarkStart w:id="1381" w:name="_Toc296347218"/>
      <w:bookmarkStart w:id="1382" w:name="_Toc297048405"/>
      <w:bookmarkStart w:id="1383" w:name="_Toc296891047"/>
      <w:bookmarkStart w:id="1384" w:name="_Toc296944558"/>
      <w:bookmarkStart w:id="1385" w:name="_Toc297120519"/>
      <w:bookmarkStart w:id="1386" w:name="_Toc297216223"/>
      <w:bookmarkStart w:id="1387" w:name="_Toc312678053"/>
      <w:bookmarkStart w:id="1388" w:name="_Toc296346720"/>
      <w:bookmarkStart w:id="1389" w:name="_Toc304295593"/>
      <w:bookmarkStart w:id="1390" w:name="_Toc303539172"/>
      <w:bookmarkStart w:id="1391" w:name="_Toc296891259"/>
      <w:bookmarkStart w:id="1392" w:name="_Toc292559929"/>
      <w:bookmarkStart w:id="1393" w:name="_Toc300935015"/>
      <w:bookmarkStart w:id="1394" w:name="_Toc296503219"/>
      <w:bookmarkStart w:id="1395" w:name="_Toc292559424"/>
      <w:bookmarkStart w:id="1396" w:name="_Toc297123564"/>
      <w:r>
        <w:rPr>
          <w:rFonts w:hint="eastAsia" w:ascii="宋体" w:hAnsi="宋体" w:eastAsia="宋体" w:cs="宋体"/>
          <w:color w:val="auto"/>
          <w:sz w:val="21"/>
          <w:szCs w:val="21"/>
        </w:rPr>
        <w:t>13. 验收和工程试车</w:t>
      </w:r>
      <w:bookmarkEnd w:id="1375"/>
      <w:bookmarkEnd w:id="1376"/>
      <w:bookmarkEnd w:id="1377"/>
      <w:bookmarkEnd w:id="1378"/>
      <w:bookmarkEnd w:id="1379"/>
      <w:bookmarkEnd w:id="1380"/>
    </w:p>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14:paraId="5C3B91BE">
      <w:pPr>
        <w:pStyle w:val="7"/>
        <w:adjustRightInd w:val="0"/>
        <w:snapToGrid w:val="0"/>
        <w:ind w:firstLine="422" w:firstLineChars="200"/>
        <w:rPr>
          <w:rFonts w:hint="eastAsia" w:ascii="宋体" w:hAnsi="宋体" w:eastAsia="宋体" w:cs="宋体"/>
          <w:color w:val="auto"/>
          <w:sz w:val="21"/>
          <w:szCs w:val="21"/>
        </w:rPr>
      </w:pPr>
      <w:bookmarkStart w:id="1397" w:name="_Toc373227754"/>
      <w:bookmarkStart w:id="1398" w:name="_Toc373478401"/>
      <w:bookmarkStart w:id="1399" w:name="_Toc467599616"/>
      <w:bookmarkStart w:id="1400" w:name="_Toc389065319"/>
      <w:r>
        <w:rPr>
          <w:rFonts w:hint="eastAsia" w:ascii="宋体" w:hAnsi="宋体" w:eastAsia="宋体" w:cs="宋体"/>
          <w:color w:val="auto"/>
          <w:sz w:val="21"/>
          <w:szCs w:val="21"/>
        </w:rPr>
        <w:t>13.1 分部分项工程验收</w:t>
      </w:r>
      <w:bookmarkEnd w:id="1397"/>
      <w:bookmarkEnd w:id="1398"/>
      <w:bookmarkEnd w:id="1399"/>
      <w:bookmarkEnd w:id="1400"/>
    </w:p>
    <w:p w14:paraId="0D8E3B6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13.1.2监理人不能按时进行验收时，应提前</w:t>
      </w:r>
      <w:r>
        <w:rPr>
          <w:rFonts w:hint="eastAsia" w:ascii="宋体" w:hAnsi="宋体" w:eastAsia="宋体" w:cs="宋体"/>
          <w:color w:val="auto"/>
          <w:sz w:val="21"/>
          <w:szCs w:val="21"/>
          <w:u w:val="single"/>
        </w:rPr>
        <w:t xml:space="preserve"> 24 </w:t>
      </w:r>
      <w:r>
        <w:rPr>
          <w:rFonts w:hint="eastAsia" w:ascii="宋体" w:hAnsi="宋体" w:eastAsia="宋体" w:cs="宋体"/>
          <w:color w:val="auto"/>
          <w:sz w:val="21"/>
          <w:szCs w:val="21"/>
        </w:rPr>
        <w:t>小时提交书面延期要求。</w:t>
      </w:r>
    </w:p>
    <w:p w14:paraId="44145FE6">
      <w:pPr>
        <w:adjustRightInd w:val="0"/>
        <w:snapToGrid w:val="0"/>
        <w:spacing w:line="360" w:lineRule="auto"/>
        <w:ind w:firstLine="420" w:firstLineChars="200"/>
        <w:jc w:val="left"/>
        <w:rPr>
          <w:rFonts w:hint="eastAsia" w:ascii="宋体" w:hAnsi="宋体" w:eastAsia="宋体" w:cs="宋体"/>
          <w:b/>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48 </w:t>
      </w:r>
      <w:r>
        <w:rPr>
          <w:rFonts w:hint="eastAsia" w:ascii="宋体" w:hAnsi="宋体" w:eastAsia="宋体" w:cs="宋体"/>
          <w:color w:val="auto"/>
          <w:sz w:val="21"/>
          <w:szCs w:val="21"/>
        </w:rPr>
        <w:t>小时。</w:t>
      </w:r>
    </w:p>
    <w:p w14:paraId="4F4FE605">
      <w:pPr>
        <w:pStyle w:val="7"/>
        <w:adjustRightInd w:val="0"/>
        <w:snapToGrid w:val="0"/>
        <w:ind w:firstLine="422" w:firstLineChars="200"/>
        <w:rPr>
          <w:rFonts w:hint="eastAsia" w:ascii="宋体" w:hAnsi="宋体" w:eastAsia="宋体" w:cs="宋体"/>
          <w:color w:val="auto"/>
          <w:sz w:val="21"/>
          <w:szCs w:val="21"/>
        </w:rPr>
      </w:pPr>
      <w:bookmarkStart w:id="1401" w:name="_Toc373227755"/>
      <w:bookmarkStart w:id="1402" w:name="_Toc373478402"/>
      <w:bookmarkStart w:id="1403" w:name="_Toc389065320"/>
      <w:bookmarkStart w:id="1404" w:name="_Toc467599617"/>
      <w:bookmarkStart w:id="1405" w:name="_Toc296346724"/>
      <w:bookmarkStart w:id="1406" w:name="_Toc296503223"/>
      <w:bookmarkStart w:id="1407" w:name="_Toc296891051"/>
      <w:bookmarkStart w:id="1408" w:name="_Toc297120523"/>
      <w:bookmarkStart w:id="1409" w:name="_Toc300935016"/>
      <w:bookmarkStart w:id="1410" w:name="_Toc292559933"/>
      <w:bookmarkStart w:id="1411" w:name="_Toc296891263"/>
      <w:bookmarkStart w:id="1412" w:name="_Toc296944562"/>
      <w:bookmarkStart w:id="1413" w:name="_Toc292559428"/>
      <w:bookmarkStart w:id="1414" w:name="_Toc303539173"/>
      <w:bookmarkStart w:id="1415" w:name="_Toc297048409"/>
      <w:bookmarkStart w:id="1416" w:name="_Toc297123565"/>
      <w:bookmarkStart w:id="1417" w:name="_Toc304295596"/>
      <w:bookmarkStart w:id="1418" w:name="_Toc296347222"/>
      <w:bookmarkStart w:id="1419" w:name="_Toc297216224"/>
      <w:bookmarkStart w:id="1420" w:name="_Toc312678056"/>
      <w:bookmarkStart w:id="1421" w:name="_Toc267251476"/>
      <w:bookmarkStart w:id="1422" w:name="_Toc267251471"/>
      <w:bookmarkStart w:id="1423" w:name="_Toc267251470"/>
      <w:bookmarkStart w:id="1424" w:name="_Toc267251472"/>
      <w:bookmarkStart w:id="1425" w:name="_Toc267251475"/>
      <w:bookmarkStart w:id="1426" w:name="_Toc267251473"/>
      <w:bookmarkStart w:id="1427" w:name="_Toc267251474"/>
      <w:r>
        <w:rPr>
          <w:rFonts w:hint="eastAsia" w:ascii="宋体" w:hAnsi="宋体" w:eastAsia="宋体" w:cs="宋体"/>
          <w:color w:val="auto"/>
          <w:sz w:val="21"/>
          <w:szCs w:val="21"/>
        </w:rPr>
        <w:t>13.2 竣工验收</w:t>
      </w:r>
      <w:bookmarkEnd w:id="1401"/>
      <w:bookmarkEnd w:id="1402"/>
      <w:bookmarkEnd w:id="1403"/>
      <w:bookmarkEnd w:id="1404"/>
    </w:p>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14:paraId="30F1566C">
      <w:pPr>
        <w:adjustRightInd w:val="0"/>
        <w:snapToGrid w:val="0"/>
        <w:spacing w:line="360" w:lineRule="auto"/>
        <w:ind w:firstLine="420" w:firstLineChars="200"/>
        <w:jc w:val="left"/>
        <w:rPr>
          <w:rFonts w:hint="eastAsia" w:ascii="宋体" w:hAnsi="宋体" w:eastAsia="宋体" w:cs="宋体"/>
          <w:color w:val="auto"/>
          <w:sz w:val="21"/>
          <w:szCs w:val="21"/>
        </w:rPr>
      </w:pPr>
      <w:bookmarkStart w:id="1428" w:name="_Toc280868704"/>
      <w:bookmarkStart w:id="1429" w:name="_Toc280868705"/>
      <w:bookmarkStart w:id="1430" w:name="_Toc280868706"/>
      <w:bookmarkStart w:id="1431" w:name="_Toc280868707"/>
      <w:bookmarkStart w:id="1432" w:name="_Toc280868708"/>
      <w:bookmarkStart w:id="1433" w:name="_Toc280868709"/>
      <w:r>
        <w:rPr>
          <w:rFonts w:hint="eastAsia" w:ascii="宋体" w:hAnsi="宋体" w:eastAsia="宋体" w:cs="宋体"/>
          <w:color w:val="auto"/>
          <w:sz w:val="21"/>
          <w:szCs w:val="21"/>
        </w:rPr>
        <w:t>13.2.1竣工验收条件</w:t>
      </w:r>
    </w:p>
    <w:p w14:paraId="1E3F3FF6">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（3）承包人负责整理和提交的竣工验收资料应当符合工程所在地建设行政主管部门和</w:t>
      </w:r>
      <w:r>
        <w:rPr>
          <w:rFonts w:hint="eastAsia" w:ascii="宋体" w:hAnsi="宋体" w:cs="宋体"/>
          <w:color w:val="auto"/>
          <w:sz w:val="21"/>
          <w:szCs w:val="21"/>
          <w:lang w:eastAsia="zh-CN"/>
        </w:rPr>
        <w:t>（</w:t>
      </w:r>
      <w:r>
        <w:rPr>
          <w:rFonts w:hint="eastAsia" w:ascii="宋体" w:hAnsi="宋体" w:eastAsia="宋体" w:cs="宋体"/>
          <w:color w:val="auto"/>
          <w:sz w:val="21"/>
          <w:szCs w:val="21"/>
        </w:rPr>
        <w:t>或</w:t>
      </w:r>
      <w:r>
        <w:rPr>
          <w:rFonts w:hint="eastAsia" w:ascii="宋体" w:hAnsi="宋体" w:cs="宋体"/>
          <w:color w:val="auto"/>
          <w:sz w:val="21"/>
          <w:szCs w:val="21"/>
          <w:lang w:eastAsia="zh-CN"/>
        </w:rPr>
        <w:t>）</w:t>
      </w:r>
      <w:r>
        <w:rPr>
          <w:rFonts w:hint="eastAsia" w:ascii="宋体" w:hAnsi="宋体" w:eastAsia="宋体" w:cs="宋体"/>
          <w:color w:val="auto"/>
          <w:sz w:val="21"/>
          <w:szCs w:val="21"/>
        </w:rPr>
        <w:t>城市建设档案管理机构有关施工资料的要求，具体内容包括：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E93BD64">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竣工验收资料的份数：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23A195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承包人提供竣工图的约定：</w:t>
      </w:r>
      <w:r>
        <w:rPr>
          <w:rFonts w:hint="eastAsia" w:ascii="宋体" w:hAnsi="宋体" w:eastAsia="宋体" w:cs="宋体"/>
          <w:bCs/>
          <w:color w:val="auto"/>
          <w:sz w:val="21"/>
          <w:szCs w:val="21"/>
          <w:u w:val="single"/>
        </w:rPr>
        <w:t>竣工验收正式通过后5天（工程造价在500万元以下含500万元）、10天（工程造价在500万元至1000万元之间含1000万元）、15天（工程造价在1000万元以上），提供竣工图的数量分别为2套、4套、6套。</w:t>
      </w:r>
    </w:p>
    <w:p w14:paraId="5A434CE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13.2.2竣工验收程序</w:t>
      </w:r>
    </w:p>
    <w:bookmarkEnd w:id="1428"/>
    <w:p w14:paraId="45C9843D">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关于竣工验收程序的约定：</w:t>
      </w:r>
      <w:r>
        <w:rPr>
          <w:rFonts w:hint="eastAsia" w:ascii="宋体" w:hAnsi="宋体" w:eastAsia="宋体" w:cs="宋体"/>
          <w:color w:val="auto"/>
          <w:sz w:val="21"/>
          <w:szCs w:val="21"/>
          <w:u w:val="single"/>
        </w:rPr>
        <w:t xml:space="preserve"> 按通用条款执行 </w:t>
      </w:r>
      <w:r>
        <w:rPr>
          <w:rFonts w:hint="eastAsia" w:ascii="宋体" w:hAnsi="宋体" w:eastAsia="宋体" w:cs="宋体"/>
          <w:color w:val="auto"/>
          <w:sz w:val="21"/>
          <w:szCs w:val="21"/>
        </w:rPr>
        <w:t>。</w:t>
      </w:r>
    </w:p>
    <w:p w14:paraId="65D0E0C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发包人不按照本项约定组织竣工验收、颁发工程接收证书的违约金的计算方法：</w:t>
      </w:r>
      <w:r>
        <w:rPr>
          <w:rFonts w:hint="eastAsia" w:ascii="宋体" w:hAnsi="宋体" w:eastAsia="宋体" w:cs="宋体"/>
          <w:color w:val="auto"/>
          <w:sz w:val="21"/>
          <w:szCs w:val="21"/>
          <w:u w:val="single"/>
        </w:rPr>
        <w:t xml:space="preserve">按通用条款执行 </w:t>
      </w:r>
      <w:r>
        <w:rPr>
          <w:rFonts w:hint="eastAsia" w:ascii="宋体" w:hAnsi="宋体" w:eastAsia="宋体" w:cs="宋体"/>
          <w:color w:val="auto"/>
          <w:sz w:val="21"/>
          <w:szCs w:val="21"/>
        </w:rPr>
        <w:t>。</w:t>
      </w:r>
    </w:p>
    <w:bookmarkEnd w:id="1429"/>
    <w:p w14:paraId="64C8E4F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13.2.5移交、接收全部与部分工程</w:t>
      </w:r>
    </w:p>
    <w:bookmarkEnd w:id="1430"/>
    <w:p w14:paraId="53048EAE">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承包人向发包人移交工程的期限：</w:t>
      </w:r>
      <w:r>
        <w:rPr>
          <w:rFonts w:hint="eastAsia" w:ascii="宋体" w:hAnsi="宋体" w:eastAsia="宋体" w:cs="宋体"/>
          <w:color w:val="auto"/>
          <w:sz w:val="21"/>
          <w:szCs w:val="21"/>
          <w:u w:val="single"/>
        </w:rPr>
        <w:t xml:space="preserve">颁发工程接收证书后7天内 </w:t>
      </w:r>
      <w:r>
        <w:rPr>
          <w:rFonts w:hint="eastAsia" w:ascii="宋体" w:hAnsi="宋体" w:eastAsia="宋体" w:cs="宋体"/>
          <w:color w:val="auto"/>
          <w:sz w:val="21"/>
          <w:szCs w:val="21"/>
        </w:rPr>
        <w:t>。</w:t>
      </w:r>
    </w:p>
    <w:p w14:paraId="35080735">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发包人未按本合同约定接收全部或部分工程的，违约金的计算方法为：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bookmarkEnd w:id="1431"/>
    <w:p w14:paraId="37026BEF">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承包人未按时移交工程的，违约金的计算方法为：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2247A1F">
      <w:pPr>
        <w:pStyle w:val="7"/>
        <w:adjustRightInd w:val="0"/>
        <w:snapToGrid w:val="0"/>
        <w:ind w:firstLine="422" w:firstLineChars="200"/>
        <w:rPr>
          <w:rFonts w:hint="eastAsia" w:ascii="宋体" w:hAnsi="宋体" w:eastAsia="宋体" w:cs="宋体"/>
          <w:color w:val="auto"/>
          <w:sz w:val="21"/>
          <w:szCs w:val="21"/>
        </w:rPr>
      </w:pPr>
      <w:bookmarkStart w:id="1434" w:name="_Toc373478403"/>
      <w:bookmarkStart w:id="1435" w:name="_Toc467599618"/>
      <w:bookmarkStart w:id="1436" w:name="_Toc373227756"/>
      <w:bookmarkStart w:id="1437" w:name="_Toc389065321"/>
      <w:r>
        <w:rPr>
          <w:rFonts w:hint="eastAsia" w:ascii="宋体" w:hAnsi="宋体" w:eastAsia="宋体" w:cs="宋体"/>
          <w:color w:val="auto"/>
          <w:sz w:val="21"/>
          <w:szCs w:val="21"/>
        </w:rPr>
        <w:t>13.3 工程试车</w:t>
      </w:r>
      <w:bookmarkEnd w:id="1434"/>
      <w:bookmarkEnd w:id="1435"/>
      <w:bookmarkEnd w:id="1436"/>
      <w:bookmarkEnd w:id="1437"/>
    </w:p>
    <w:bookmarkEnd w:id="1432"/>
    <w:p w14:paraId="284112AD">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13.3.1 试车程序</w:t>
      </w:r>
    </w:p>
    <w:p w14:paraId="21DC6282">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工程试车内容：</w:t>
      </w:r>
      <w:r>
        <w:rPr>
          <w:rFonts w:hint="eastAsia" w:ascii="宋体" w:hAnsi="宋体" w:eastAsia="宋体" w:cs="宋体"/>
          <w:color w:val="auto"/>
          <w:sz w:val="21"/>
          <w:szCs w:val="21"/>
          <w:u w:val="single"/>
        </w:rPr>
        <w:t xml:space="preserve">按通用合同条款执行 </w:t>
      </w:r>
      <w:r>
        <w:rPr>
          <w:rFonts w:hint="eastAsia" w:ascii="宋体" w:hAnsi="宋体" w:eastAsia="宋体" w:cs="宋体"/>
          <w:color w:val="auto"/>
          <w:sz w:val="21"/>
          <w:szCs w:val="21"/>
        </w:rPr>
        <w:t>。</w:t>
      </w:r>
    </w:p>
    <w:p w14:paraId="77980672">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（1）单机无负荷试车费用由</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kern w:val="0"/>
          <w:sz w:val="21"/>
          <w:szCs w:val="21"/>
        </w:rPr>
        <w:t>承担；</w:t>
      </w:r>
    </w:p>
    <w:p w14:paraId="6286BDDF">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（2）无负荷联动试车费用由</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kern w:val="0"/>
          <w:sz w:val="21"/>
          <w:szCs w:val="21"/>
        </w:rPr>
        <w:t>承担。</w:t>
      </w:r>
    </w:p>
    <w:p w14:paraId="6BC950A7">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13.3.3 投料试车</w:t>
      </w:r>
    </w:p>
    <w:p w14:paraId="79DF6CC5">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关于投料试车相关事项的约定：</w:t>
      </w:r>
      <w:r>
        <w:rPr>
          <w:rFonts w:hint="eastAsia" w:ascii="宋体" w:hAnsi="宋体" w:eastAsia="宋体" w:cs="宋体"/>
          <w:color w:val="auto"/>
          <w:sz w:val="21"/>
          <w:szCs w:val="21"/>
          <w:u w:val="single"/>
        </w:rPr>
        <w:t xml:space="preserve">按通用合同条款执行 </w:t>
      </w:r>
      <w:r>
        <w:rPr>
          <w:rFonts w:hint="eastAsia" w:ascii="宋体" w:hAnsi="宋体" w:eastAsia="宋体" w:cs="宋体"/>
          <w:color w:val="auto"/>
          <w:sz w:val="21"/>
          <w:szCs w:val="21"/>
        </w:rPr>
        <w:t>。</w:t>
      </w:r>
    </w:p>
    <w:p w14:paraId="30C982FE">
      <w:pPr>
        <w:pStyle w:val="7"/>
        <w:adjustRightInd w:val="0"/>
        <w:snapToGrid w:val="0"/>
        <w:ind w:firstLine="422" w:firstLineChars="200"/>
        <w:rPr>
          <w:rFonts w:hint="eastAsia" w:ascii="宋体" w:hAnsi="宋体" w:eastAsia="宋体" w:cs="宋体"/>
          <w:color w:val="auto"/>
          <w:sz w:val="21"/>
          <w:szCs w:val="21"/>
        </w:rPr>
      </w:pPr>
      <w:bookmarkStart w:id="1438" w:name="_Toc467599619"/>
      <w:bookmarkStart w:id="1439" w:name="_Toc373227757"/>
      <w:bookmarkStart w:id="1440" w:name="_Toc389065322"/>
      <w:bookmarkStart w:id="1441" w:name="_Toc373478404"/>
      <w:r>
        <w:rPr>
          <w:rFonts w:hint="eastAsia" w:ascii="宋体" w:hAnsi="宋体" w:eastAsia="宋体" w:cs="宋体"/>
          <w:color w:val="auto"/>
          <w:sz w:val="21"/>
          <w:szCs w:val="21"/>
        </w:rPr>
        <w:t>13.6 竣工退场</w:t>
      </w:r>
      <w:bookmarkEnd w:id="1438"/>
      <w:bookmarkEnd w:id="1439"/>
      <w:bookmarkEnd w:id="1440"/>
      <w:bookmarkEnd w:id="1441"/>
    </w:p>
    <w:p w14:paraId="2CB9C78B">
      <w:pPr>
        <w:adjustRightInd w:val="0"/>
        <w:snapToGrid w:val="0"/>
        <w:spacing w:line="360" w:lineRule="auto"/>
        <w:ind w:firstLine="420" w:firstLineChars="200"/>
        <w:jc w:val="left"/>
        <w:outlineLvl w:val="0"/>
        <w:rPr>
          <w:rFonts w:hint="eastAsia" w:ascii="宋体" w:hAnsi="宋体" w:eastAsia="宋体" w:cs="宋体"/>
          <w:color w:val="auto"/>
          <w:kern w:val="0"/>
          <w:sz w:val="21"/>
          <w:szCs w:val="21"/>
        </w:rPr>
      </w:pPr>
      <w:bookmarkStart w:id="1442" w:name="_Toc28068"/>
      <w:bookmarkStart w:id="1443" w:name="_Toc10214"/>
      <w:r>
        <w:rPr>
          <w:rFonts w:hint="eastAsia" w:ascii="宋体" w:hAnsi="宋体" w:eastAsia="宋体" w:cs="宋体"/>
          <w:color w:val="auto"/>
          <w:kern w:val="0"/>
          <w:sz w:val="21"/>
          <w:szCs w:val="21"/>
        </w:rPr>
        <w:t>13.6.1 竣工退场</w:t>
      </w:r>
      <w:bookmarkEnd w:id="1442"/>
      <w:bookmarkEnd w:id="1443"/>
    </w:p>
    <w:p w14:paraId="66EEC2BA">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承包人完成竣工退场的期限：</w:t>
      </w:r>
      <w:r>
        <w:rPr>
          <w:rFonts w:hint="eastAsia" w:ascii="宋体" w:hAnsi="宋体" w:eastAsia="宋体" w:cs="宋体"/>
          <w:color w:val="auto"/>
          <w:sz w:val="21"/>
          <w:szCs w:val="21"/>
          <w:u w:val="single"/>
        </w:rPr>
        <w:t xml:space="preserve"> 15天内  </w:t>
      </w:r>
      <w:r>
        <w:rPr>
          <w:rFonts w:hint="eastAsia" w:ascii="宋体" w:hAnsi="宋体" w:eastAsia="宋体" w:cs="宋体"/>
          <w:color w:val="auto"/>
          <w:kern w:val="0"/>
          <w:sz w:val="21"/>
          <w:szCs w:val="21"/>
        </w:rPr>
        <w:t>。</w:t>
      </w:r>
    </w:p>
    <w:p w14:paraId="3423AFFD">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444" w:name="_Toc351203646"/>
      <w:bookmarkStart w:id="1445" w:name="_Toc11091_WPSOffice_Level3"/>
      <w:bookmarkStart w:id="1446" w:name="_Toc373478405"/>
      <w:bookmarkStart w:id="1447" w:name="_Toc467599620"/>
      <w:bookmarkStart w:id="1448" w:name="_Toc373227758"/>
      <w:bookmarkStart w:id="1449" w:name="_Toc389065323"/>
      <w:r>
        <w:rPr>
          <w:rFonts w:hint="eastAsia" w:ascii="宋体" w:hAnsi="宋体" w:eastAsia="宋体" w:cs="宋体"/>
          <w:color w:val="auto"/>
          <w:sz w:val="21"/>
          <w:szCs w:val="21"/>
        </w:rPr>
        <w:t>14. 竣工结算</w:t>
      </w:r>
      <w:bookmarkEnd w:id="1444"/>
      <w:bookmarkEnd w:id="1445"/>
      <w:bookmarkEnd w:id="1446"/>
      <w:bookmarkEnd w:id="1447"/>
      <w:bookmarkEnd w:id="1448"/>
      <w:bookmarkEnd w:id="1449"/>
    </w:p>
    <w:p w14:paraId="0E60EC74">
      <w:pPr>
        <w:pStyle w:val="7"/>
        <w:adjustRightInd w:val="0"/>
        <w:snapToGrid w:val="0"/>
        <w:ind w:firstLine="422" w:firstLineChars="200"/>
        <w:rPr>
          <w:rFonts w:hint="eastAsia" w:ascii="宋体" w:hAnsi="宋体" w:eastAsia="宋体" w:cs="宋体"/>
          <w:color w:val="auto"/>
          <w:sz w:val="21"/>
          <w:szCs w:val="21"/>
        </w:rPr>
      </w:pPr>
      <w:bookmarkStart w:id="1450" w:name="_Toc389065324"/>
      <w:bookmarkStart w:id="1451" w:name="_Toc373478406"/>
      <w:bookmarkStart w:id="1452" w:name="_Toc467599621"/>
      <w:bookmarkStart w:id="1453" w:name="_Toc373227759"/>
      <w:r>
        <w:rPr>
          <w:rFonts w:hint="eastAsia" w:ascii="宋体" w:hAnsi="宋体" w:eastAsia="宋体" w:cs="宋体"/>
          <w:color w:val="auto"/>
          <w:sz w:val="21"/>
          <w:szCs w:val="21"/>
        </w:rPr>
        <w:t>14.1 竣工付款申请</w:t>
      </w:r>
      <w:bookmarkEnd w:id="1450"/>
      <w:bookmarkEnd w:id="1451"/>
      <w:bookmarkEnd w:id="1452"/>
      <w:bookmarkEnd w:id="1453"/>
    </w:p>
    <w:p w14:paraId="4DAA891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承包人提交竣工付款申请单的期限：</w:t>
      </w:r>
      <w:r>
        <w:rPr>
          <w:rFonts w:hint="eastAsia" w:ascii="宋体" w:hAnsi="宋体" w:eastAsia="宋体" w:cs="宋体"/>
          <w:color w:val="auto"/>
          <w:sz w:val="21"/>
          <w:szCs w:val="21"/>
          <w:u w:val="single"/>
        </w:rPr>
        <w:t xml:space="preserve">  按通用合同条款执行  </w:t>
      </w:r>
      <w:r>
        <w:rPr>
          <w:rFonts w:hint="eastAsia" w:ascii="宋体" w:hAnsi="宋体" w:eastAsia="宋体" w:cs="宋体"/>
          <w:color w:val="auto"/>
          <w:sz w:val="21"/>
          <w:szCs w:val="21"/>
        </w:rPr>
        <w:t>。</w:t>
      </w:r>
    </w:p>
    <w:p w14:paraId="450868D4">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竣工付款申请单应包括的内容：</w:t>
      </w:r>
      <w:r>
        <w:rPr>
          <w:rFonts w:hint="eastAsia" w:ascii="宋体" w:hAnsi="宋体" w:eastAsia="宋体" w:cs="宋体"/>
          <w:color w:val="auto"/>
          <w:sz w:val="21"/>
          <w:szCs w:val="21"/>
          <w:u w:val="single"/>
        </w:rPr>
        <w:t xml:space="preserve">  按通用合同条款执行   </w:t>
      </w:r>
      <w:r>
        <w:rPr>
          <w:rFonts w:hint="eastAsia" w:ascii="宋体" w:hAnsi="宋体" w:eastAsia="宋体" w:cs="宋体"/>
          <w:color w:val="auto"/>
          <w:sz w:val="21"/>
          <w:szCs w:val="21"/>
        </w:rPr>
        <w:t>。</w:t>
      </w:r>
    </w:p>
    <w:p w14:paraId="0D153633">
      <w:pPr>
        <w:pStyle w:val="7"/>
        <w:adjustRightInd w:val="0"/>
        <w:snapToGrid w:val="0"/>
        <w:ind w:firstLine="422" w:firstLineChars="200"/>
        <w:rPr>
          <w:rFonts w:hint="eastAsia" w:ascii="宋体" w:hAnsi="宋体" w:eastAsia="宋体" w:cs="宋体"/>
          <w:color w:val="auto"/>
          <w:sz w:val="21"/>
          <w:szCs w:val="21"/>
        </w:rPr>
      </w:pPr>
      <w:bookmarkStart w:id="1454" w:name="_Toc389065325"/>
      <w:bookmarkStart w:id="1455" w:name="_Toc467599622"/>
      <w:bookmarkStart w:id="1456" w:name="_Toc373478407"/>
      <w:bookmarkStart w:id="1457" w:name="_Toc373227760"/>
      <w:r>
        <w:rPr>
          <w:rFonts w:hint="eastAsia" w:ascii="宋体" w:hAnsi="宋体" w:eastAsia="宋体" w:cs="宋体"/>
          <w:color w:val="auto"/>
          <w:sz w:val="21"/>
          <w:szCs w:val="21"/>
        </w:rPr>
        <w:t>14.2 竣工结算审核</w:t>
      </w:r>
      <w:bookmarkEnd w:id="1454"/>
      <w:bookmarkEnd w:id="1455"/>
      <w:bookmarkEnd w:id="1456"/>
      <w:bookmarkEnd w:id="1457"/>
    </w:p>
    <w:p w14:paraId="5A632BA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p>
    <w:tbl>
      <w:tblPr>
        <w:tblStyle w:val="2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1E8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545361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 w:val="21"/>
                <w:szCs w:val="21"/>
              </w:rPr>
            </w:pPr>
          </w:p>
        </w:tc>
        <w:tc>
          <w:tcPr>
            <w:tcW w:w="2466" w:type="dxa"/>
            <w:noWrap w:val="0"/>
            <w:vAlign w:val="center"/>
          </w:tcPr>
          <w:p w14:paraId="3B14E02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工程竣工结算报告金额</w:t>
            </w:r>
          </w:p>
        </w:tc>
        <w:tc>
          <w:tcPr>
            <w:tcW w:w="5967" w:type="dxa"/>
            <w:noWrap w:val="0"/>
            <w:vAlign w:val="center"/>
          </w:tcPr>
          <w:p w14:paraId="5A27DC3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发包人审查时间</w:t>
            </w:r>
          </w:p>
        </w:tc>
      </w:tr>
      <w:tr w14:paraId="24BC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E66CE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466" w:type="dxa"/>
            <w:noWrap w:val="0"/>
            <w:vAlign w:val="center"/>
          </w:tcPr>
          <w:p w14:paraId="729FDF7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500万元以下</w:t>
            </w:r>
          </w:p>
        </w:tc>
        <w:tc>
          <w:tcPr>
            <w:tcW w:w="5967" w:type="dxa"/>
            <w:noWrap w:val="0"/>
            <w:vAlign w:val="center"/>
          </w:tcPr>
          <w:p w14:paraId="002748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从接到竣工结算报告和完整的竣工结算资料之日起20天</w:t>
            </w:r>
          </w:p>
        </w:tc>
      </w:tr>
      <w:tr w14:paraId="61CF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284F21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466" w:type="dxa"/>
            <w:noWrap w:val="0"/>
            <w:vAlign w:val="center"/>
          </w:tcPr>
          <w:p w14:paraId="768FD0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500万元-2000万元</w:t>
            </w:r>
          </w:p>
        </w:tc>
        <w:tc>
          <w:tcPr>
            <w:tcW w:w="5967" w:type="dxa"/>
            <w:noWrap w:val="0"/>
            <w:vAlign w:val="center"/>
          </w:tcPr>
          <w:p w14:paraId="0CBCED9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从接到竣工结算报告和完整的竣工结算资料之日起30天</w:t>
            </w:r>
          </w:p>
        </w:tc>
      </w:tr>
      <w:tr w14:paraId="4D8E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7B7E31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466" w:type="dxa"/>
            <w:noWrap w:val="0"/>
            <w:vAlign w:val="center"/>
          </w:tcPr>
          <w:p w14:paraId="752C570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2000万元-5000万元</w:t>
            </w:r>
          </w:p>
        </w:tc>
        <w:tc>
          <w:tcPr>
            <w:tcW w:w="5967" w:type="dxa"/>
            <w:noWrap w:val="0"/>
            <w:vAlign w:val="center"/>
          </w:tcPr>
          <w:p w14:paraId="206D46D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从接到竣工结算报告和完整的竣工结算资料之日起45天</w:t>
            </w:r>
          </w:p>
        </w:tc>
      </w:tr>
      <w:tr w14:paraId="12EE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65" w:type="dxa"/>
            <w:noWrap w:val="0"/>
            <w:vAlign w:val="center"/>
          </w:tcPr>
          <w:p w14:paraId="7786FB7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466" w:type="dxa"/>
            <w:noWrap w:val="0"/>
            <w:vAlign w:val="center"/>
          </w:tcPr>
          <w:p w14:paraId="5BBF9B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5000万元以上</w:t>
            </w:r>
          </w:p>
        </w:tc>
        <w:tc>
          <w:tcPr>
            <w:tcW w:w="5967" w:type="dxa"/>
            <w:noWrap w:val="0"/>
            <w:vAlign w:val="center"/>
          </w:tcPr>
          <w:p w14:paraId="4BEA8E8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从接到竣工结算报告和完整的竣工结算资料之日起60天</w:t>
            </w:r>
          </w:p>
        </w:tc>
      </w:tr>
    </w:tbl>
    <w:p w14:paraId="08CF76DE">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因承包人提供的结算资料不完整而需要补充或承包人不按时对账耽误时间时，审查时间应相应顺延</w:t>
      </w:r>
      <w:r>
        <w:rPr>
          <w:rFonts w:hint="eastAsia" w:ascii="宋体" w:hAnsi="宋体" w:eastAsia="宋体" w:cs="宋体"/>
          <w:color w:val="auto"/>
          <w:sz w:val="21"/>
          <w:szCs w:val="21"/>
        </w:rPr>
        <w:t>。</w:t>
      </w:r>
    </w:p>
    <w:p w14:paraId="464BA6D6">
      <w:pPr>
        <w:adjustRightInd w:val="0"/>
        <w:snapToGrid w:val="0"/>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结算审核约定：</w:t>
      </w:r>
    </w:p>
    <w:p w14:paraId="7BAADC01">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bCs/>
          <w:color w:val="auto"/>
          <w:sz w:val="21"/>
          <w:szCs w:val="21"/>
        </w:rPr>
        <w:t>国有投资项目</w:t>
      </w:r>
      <w:r>
        <w:rPr>
          <w:rFonts w:hint="eastAsia" w:ascii="宋体" w:hAnsi="宋体" w:cs="宋体"/>
          <w:bCs/>
          <w:color w:val="auto"/>
          <w:sz w:val="21"/>
          <w:szCs w:val="21"/>
          <w:lang w:eastAsia="zh-CN"/>
        </w:rPr>
        <w:t>：</w:t>
      </w:r>
    </w:p>
    <w:p w14:paraId="7BA1CAE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1"/>
          <w:sz w:val="21"/>
          <w:szCs w:val="21"/>
          <w:u w:val="single"/>
        </w:rPr>
        <w:t xml:space="preserve"> </w:t>
      </w:r>
      <w:r>
        <w:rPr>
          <w:rFonts w:hint="eastAsia" w:ascii="宋体" w:hAnsi="宋体" w:eastAsia="宋体" w:cs="宋体"/>
          <w:color w:val="auto"/>
          <w:sz w:val="21"/>
          <w:szCs w:val="21"/>
          <w:u w:val="single"/>
        </w:rPr>
        <w:t xml:space="preserve">双方确认审计总额后28天 </w:t>
      </w:r>
      <w:r>
        <w:rPr>
          <w:rFonts w:hint="eastAsia" w:ascii="宋体" w:hAnsi="宋体" w:eastAsia="宋体" w:cs="宋体"/>
          <w:color w:val="auto"/>
          <w:sz w:val="21"/>
          <w:szCs w:val="21"/>
        </w:rPr>
        <w:t>。</w:t>
      </w:r>
    </w:p>
    <w:p w14:paraId="53DE6E09">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 xml:space="preserve"> 建设单位组织相关人员复核</w:t>
      </w:r>
      <w:r>
        <w:rPr>
          <w:rFonts w:hint="eastAsia" w:ascii="宋体" w:hAnsi="宋体" w:eastAsia="宋体" w:cs="宋体"/>
          <w:color w:val="auto"/>
          <w:sz w:val="21"/>
          <w:szCs w:val="21"/>
        </w:rPr>
        <w:t>。</w:t>
      </w:r>
    </w:p>
    <w:p w14:paraId="3E3539D2">
      <w:pPr>
        <w:pStyle w:val="7"/>
        <w:adjustRightInd w:val="0"/>
        <w:snapToGrid w:val="0"/>
        <w:ind w:firstLine="422" w:firstLineChars="200"/>
        <w:rPr>
          <w:rFonts w:hint="eastAsia" w:ascii="宋体" w:hAnsi="宋体" w:eastAsia="宋体" w:cs="宋体"/>
          <w:color w:val="auto"/>
          <w:sz w:val="21"/>
          <w:szCs w:val="21"/>
        </w:rPr>
      </w:pPr>
      <w:bookmarkStart w:id="1458" w:name="_Toc373227761"/>
      <w:bookmarkStart w:id="1459" w:name="_Toc373478408"/>
      <w:bookmarkStart w:id="1460" w:name="_Toc389065326"/>
      <w:bookmarkStart w:id="1461" w:name="_Toc467599623"/>
      <w:r>
        <w:rPr>
          <w:rFonts w:hint="eastAsia" w:ascii="宋体" w:hAnsi="宋体" w:eastAsia="宋体" w:cs="宋体"/>
          <w:color w:val="auto"/>
          <w:sz w:val="21"/>
          <w:szCs w:val="21"/>
        </w:rPr>
        <w:t>14.4 最终结清</w:t>
      </w:r>
      <w:bookmarkEnd w:id="1458"/>
      <w:bookmarkEnd w:id="1459"/>
      <w:bookmarkEnd w:id="1460"/>
      <w:bookmarkEnd w:id="1461"/>
    </w:p>
    <w:p w14:paraId="2A92D619">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14.4.1 最终结清申请单</w:t>
      </w:r>
    </w:p>
    <w:p w14:paraId="18471C16">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承包人提交最终结清申请单的份数：</w:t>
      </w:r>
      <w:r>
        <w:rPr>
          <w:rFonts w:hint="eastAsia" w:ascii="宋体" w:hAnsi="宋体" w:eastAsia="宋体" w:cs="宋体"/>
          <w:color w:val="auto"/>
          <w:sz w:val="21"/>
          <w:szCs w:val="21"/>
          <w:u w:val="single"/>
        </w:rPr>
        <w:t xml:space="preserve"> 一式五份 </w:t>
      </w:r>
      <w:r>
        <w:rPr>
          <w:rFonts w:hint="eastAsia" w:ascii="宋体" w:hAnsi="宋体" w:eastAsia="宋体" w:cs="宋体"/>
          <w:color w:val="auto"/>
          <w:sz w:val="21"/>
          <w:szCs w:val="21"/>
        </w:rPr>
        <w:t>。</w:t>
      </w:r>
    </w:p>
    <w:p w14:paraId="2784809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kern w:val="0"/>
          <w:sz w:val="21"/>
          <w:szCs w:val="21"/>
        </w:rPr>
        <w:t>承包人提交最终结算申请单的期限：</w:t>
      </w:r>
      <w:r>
        <w:rPr>
          <w:rFonts w:hint="eastAsia" w:ascii="宋体" w:hAnsi="宋体" w:eastAsia="宋体" w:cs="宋体"/>
          <w:color w:val="auto"/>
          <w:sz w:val="21"/>
          <w:szCs w:val="21"/>
          <w:u w:val="single"/>
        </w:rPr>
        <w:t xml:space="preserve"> 收到承包人提交的最终结清申请单后14天内  </w:t>
      </w:r>
      <w:r>
        <w:rPr>
          <w:rFonts w:hint="eastAsia" w:ascii="宋体" w:hAnsi="宋体" w:eastAsia="宋体" w:cs="宋体"/>
          <w:color w:val="auto"/>
          <w:sz w:val="21"/>
          <w:szCs w:val="21"/>
        </w:rPr>
        <w:t xml:space="preserve">。 </w:t>
      </w:r>
    </w:p>
    <w:p w14:paraId="448D35C6">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p w14:paraId="7729336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 xml:space="preserve">     天内 </w:t>
      </w:r>
      <w:r>
        <w:rPr>
          <w:rFonts w:hint="eastAsia" w:ascii="宋体" w:hAnsi="宋体" w:eastAsia="宋体" w:cs="宋体"/>
          <w:color w:val="auto"/>
          <w:sz w:val="21"/>
          <w:szCs w:val="21"/>
        </w:rPr>
        <w:t>。</w:t>
      </w:r>
    </w:p>
    <w:p w14:paraId="66C5A1F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 xml:space="preserve">      天内  </w:t>
      </w:r>
      <w:r>
        <w:rPr>
          <w:rFonts w:hint="eastAsia" w:ascii="宋体" w:hAnsi="宋体" w:eastAsia="宋体" w:cs="宋体"/>
          <w:color w:val="auto"/>
          <w:sz w:val="21"/>
          <w:szCs w:val="21"/>
        </w:rPr>
        <w:t>。</w:t>
      </w:r>
    </w:p>
    <w:bookmarkEnd w:id="1421"/>
    <w:bookmarkEnd w:id="1422"/>
    <w:bookmarkEnd w:id="1423"/>
    <w:bookmarkEnd w:id="1424"/>
    <w:bookmarkEnd w:id="1425"/>
    <w:bookmarkEnd w:id="1426"/>
    <w:bookmarkEnd w:id="1427"/>
    <w:bookmarkEnd w:id="1433"/>
    <w:p w14:paraId="3BB4AB79">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462" w:name="_Toc389065327"/>
      <w:bookmarkStart w:id="1463" w:name="_Toc373478409"/>
      <w:bookmarkStart w:id="1464" w:name="_Toc28463_WPSOffice_Level3"/>
      <w:bookmarkStart w:id="1465" w:name="_Toc373227762"/>
      <w:bookmarkStart w:id="1466" w:name="_Toc467599624"/>
      <w:bookmarkStart w:id="1467" w:name="_Toc351203647"/>
      <w:bookmarkStart w:id="1468" w:name="_Toc267251483"/>
      <w:bookmarkStart w:id="1469" w:name="_Toc267251482"/>
      <w:bookmarkStart w:id="1470" w:name="_Toc267251484"/>
      <w:bookmarkStart w:id="1471" w:name="_Toc267251485"/>
      <w:bookmarkStart w:id="1472" w:name="_Toc267251488"/>
      <w:bookmarkStart w:id="1473" w:name="_Toc267251489"/>
      <w:bookmarkStart w:id="1474" w:name="_Toc267251490"/>
      <w:bookmarkStart w:id="1475" w:name="_Toc267251486"/>
      <w:bookmarkStart w:id="1476" w:name="_Toc267251493"/>
      <w:bookmarkStart w:id="1477" w:name="_Toc267251497"/>
      <w:bookmarkStart w:id="1478" w:name="_Toc267251494"/>
      <w:bookmarkStart w:id="1479" w:name="_Toc267251492"/>
      <w:bookmarkStart w:id="1480" w:name="_Toc267251491"/>
      <w:bookmarkStart w:id="1481" w:name="_Toc267251501"/>
      <w:bookmarkStart w:id="1482" w:name="_Toc267251498"/>
      <w:bookmarkStart w:id="1483" w:name="_Toc267251496"/>
      <w:bookmarkStart w:id="1484" w:name="_Toc267251503"/>
      <w:bookmarkStart w:id="1485" w:name="_Toc267251502"/>
      <w:bookmarkStart w:id="1486" w:name="_Toc267251499"/>
      <w:bookmarkStart w:id="1487" w:name="_Toc267251495"/>
      <w:bookmarkStart w:id="1488" w:name="_Toc267251506"/>
      <w:bookmarkStart w:id="1489" w:name="_Toc267251504"/>
      <w:bookmarkStart w:id="1490" w:name="_Toc267251507"/>
      <w:bookmarkStart w:id="1491" w:name="_Toc267251508"/>
      <w:bookmarkStart w:id="1492" w:name="_Toc267251514"/>
      <w:bookmarkStart w:id="1493" w:name="_Toc267251515"/>
      <w:bookmarkStart w:id="1494" w:name="_Toc267251511"/>
      <w:bookmarkStart w:id="1495" w:name="_Toc267251510"/>
      <w:bookmarkStart w:id="1496" w:name="_Toc267251513"/>
      <w:bookmarkStart w:id="1497" w:name="_Toc267251509"/>
      <w:r>
        <w:rPr>
          <w:rFonts w:hint="eastAsia" w:ascii="宋体" w:hAnsi="宋体" w:eastAsia="宋体" w:cs="宋体"/>
          <w:color w:val="auto"/>
          <w:sz w:val="21"/>
          <w:szCs w:val="21"/>
        </w:rPr>
        <w:t>15. 缺陷责任期与保修</w:t>
      </w:r>
      <w:bookmarkEnd w:id="1462"/>
      <w:bookmarkEnd w:id="1463"/>
      <w:bookmarkEnd w:id="1464"/>
      <w:bookmarkEnd w:id="1465"/>
      <w:bookmarkEnd w:id="1466"/>
      <w:bookmarkEnd w:id="1467"/>
    </w:p>
    <w:p w14:paraId="7D19678E">
      <w:pPr>
        <w:pStyle w:val="7"/>
        <w:adjustRightInd w:val="0"/>
        <w:snapToGrid w:val="0"/>
        <w:ind w:firstLine="422" w:firstLineChars="200"/>
        <w:rPr>
          <w:rFonts w:hint="eastAsia" w:ascii="宋体" w:hAnsi="宋体" w:eastAsia="宋体" w:cs="宋体"/>
          <w:color w:val="auto"/>
          <w:sz w:val="21"/>
          <w:szCs w:val="21"/>
        </w:rPr>
      </w:pPr>
      <w:bookmarkStart w:id="1498" w:name="_Toc467599625"/>
      <w:bookmarkStart w:id="1499" w:name="_Toc389065328"/>
      <w:bookmarkStart w:id="1500" w:name="_Toc373478410"/>
      <w:bookmarkStart w:id="1501" w:name="_Toc373227763"/>
      <w:r>
        <w:rPr>
          <w:rFonts w:hint="eastAsia" w:ascii="宋体" w:hAnsi="宋体" w:eastAsia="宋体" w:cs="宋体"/>
          <w:color w:val="auto"/>
          <w:sz w:val="21"/>
          <w:szCs w:val="21"/>
        </w:rPr>
        <w:t>15.2 缺陷责任期</w:t>
      </w:r>
      <w:bookmarkEnd w:id="1468"/>
      <w:bookmarkEnd w:id="1498"/>
      <w:bookmarkEnd w:id="1499"/>
      <w:bookmarkEnd w:id="1500"/>
      <w:bookmarkEnd w:id="1501"/>
    </w:p>
    <w:p w14:paraId="1F89E1E5">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缺陷责任期的具体期限：</w:t>
      </w:r>
      <w:r>
        <w:rPr>
          <w:rFonts w:hint="eastAsia" w:ascii="宋体" w:hAnsi="宋体" w:eastAsia="宋体" w:cs="宋体"/>
          <w:color w:val="auto"/>
          <w:sz w:val="21"/>
          <w:szCs w:val="21"/>
          <w:u w:val="single"/>
        </w:rPr>
        <w:t xml:space="preserve">  12个月   </w:t>
      </w:r>
      <w:r>
        <w:rPr>
          <w:rFonts w:hint="eastAsia" w:ascii="宋体" w:hAnsi="宋体" w:eastAsia="宋体" w:cs="宋体"/>
          <w:color w:val="auto"/>
          <w:sz w:val="21"/>
          <w:szCs w:val="21"/>
        </w:rPr>
        <w:t>。</w:t>
      </w:r>
    </w:p>
    <w:p w14:paraId="428745D7">
      <w:pPr>
        <w:pStyle w:val="7"/>
        <w:adjustRightInd w:val="0"/>
        <w:snapToGrid w:val="0"/>
        <w:ind w:firstLine="422" w:firstLineChars="200"/>
        <w:rPr>
          <w:rFonts w:hint="eastAsia" w:ascii="宋体" w:hAnsi="宋体" w:eastAsia="宋体" w:cs="宋体"/>
          <w:color w:val="auto"/>
          <w:sz w:val="21"/>
          <w:szCs w:val="21"/>
        </w:rPr>
      </w:pPr>
      <w:bookmarkStart w:id="1502" w:name="_Toc373227764"/>
      <w:bookmarkStart w:id="1503" w:name="_Toc373478411"/>
      <w:bookmarkStart w:id="1504" w:name="_Toc389065329"/>
      <w:bookmarkStart w:id="1505" w:name="_Toc467599626"/>
      <w:r>
        <w:rPr>
          <w:rFonts w:hint="eastAsia" w:ascii="宋体" w:hAnsi="宋体" w:eastAsia="宋体" w:cs="宋体"/>
          <w:color w:val="auto"/>
          <w:sz w:val="21"/>
          <w:szCs w:val="21"/>
        </w:rPr>
        <w:t>15.3 质量保证金</w:t>
      </w:r>
      <w:bookmarkEnd w:id="1502"/>
      <w:bookmarkEnd w:id="1503"/>
      <w:bookmarkEnd w:id="1504"/>
      <w:bookmarkEnd w:id="1505"/>
    </w:p>
    <w:p w14:paraId="456936CF">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关于是否扣留质量保证金的约定：</w:t>
      </w:r>
      <w:r>
        <w:rPr>
          <w:rFonts w:hint="eastAsia" w:ascii="宋体" w:hAnsi="宋体" w:eastAsia="宋体" w:cs="宋体"/>
          <w:color w:val="auto"/>
          <w:sz w:val="21"/>
          <w:szCs w:val="21"/>
          <w:u w:val="single"/>
        </w:rPr>
        <w:t xml:space="preserve">      是      </w:t>
      </w:r>
      <w:r>
        <w:rPr>
          <w:rFonts w:hint="eastAsia" w:ascii="宋体" w:hAnsi="宋体" w:eastAsia="宋体" w:cs="宋体"/>
          <w:color w:val="auto"/>
          <w:sz w:val="21"/>
          <w:szCs w:val="21"/>
        </w:rPr>
        <w:t>。</w:t>
      </w:r>
    </w:p>
    <w:p w14:paraId="53DC8EF7">
      <w:pPr>
        <w:adjustRightInd w:val="0"/>
        <w:snapToGrid w:val="0"/>
        <w:spacing w:line="360" w:lineRule="auto"/>
        <w:ind w:firstLine="420" w:firstLineChars="200"/>
        <w:jc w:val="left"/>
        <w:outlineLvl w:val="0"/>
        <w:rPr>
          <w:rFonts w:hint="eastAsia" w:ascii="宋体" w:hAnsi="宋体" w:eastAsia="宋体" w:cs="宋体"/>
          <w:color w:val="auto"/>
          <w:sz w:val="21"/>
          <w:szCs w:val="21"/>
        </w:rPr>
      </w:pPr>
      <w:bookmarkStart w:id="1506" w:name="_Toc1601"/>
      <w:bookmarkStart w:id="1507" w:name="_Toc1249"/>
      <w:r>
        <w:rPr>
          <w:rFonts w:hint="eastAsia" w:ascii="宋体" w:hAnsi="宋体" w:eastAsia="宋体" w:cs="宋体"/>
          <w:color w:val="auto"/>
          <w:sz w:val="21"/>
          <w:szCs w:val="21"/>
        </w:rPr>
        <w:t>15.3.1 承包人提供质量保证金的方式</w:t>
      </w:r>
      <w:bookmarkEnd w:id="1506"/>
      <w:bookmarkEnd w:id="1507"/>
    </w:p>
    <w:p w14:paraId="0A23F648">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质量保证金采用以下第</w:t>
      </w:r>
      <w:r>
        <w:rPr>
          <w:rFonts w:hint="eastAsia" w:ascii="宋体" w:hAnsi="宋体" w:eastAsia="宋体" w:cs="宋体"/>
          <w:color w:val="auto"/>
          <w:sz w:val="21"/>
          <w:szCs w:val="21"/>
          <w:u w:val="single"/>
        </w:rPr>
        <w:t>（2）</w:t>
      </w:r>
      <w:r>
        <w:rPr>
          <w:rFonts w:hint="eastAsia" w:ascii="宋体" w:hAnsi="宋体" w:eastAsia="宋体" w:cs="宋体"/>
          <w:color w:val="auto"/>
          <w:sz w:val="21"/>
          <w:szCs w:val="21"/>
        </w:rPr>
        <w:t>种方式：</w:t>
      </w:r>
    </w:p>
    <w:p w14:paraId="4F7B6145">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（1）质量保证金保函，保证金额为：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工程结算总价的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40C0F452">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r>
        <w:rPr>
          <w:rFonts w:hint="eastAsia" w:ascii="宋体" w:hAnsi="宋体" w:eastAsia="宋体" w:cs="宋体"/>
          <w:bCs/>
          <w:color w:val="auto"/>
          <w:sz w:val="21"/>
          <w:szCs w:val="21"/>
        </w:rPr>
        <w:t>发包人按工程价款结算总额的</w:t>
      </w:r>
      <w:r>
        <w:rPr>
          <w:rFonts w:hint="eastAsia" w:ascii="宋体" w:hAnsi="宋体" w:eastAsia="宋体" w:cs="宋体"/>
          <w:bCs/>
          <w:color w:val="auto"/>
          <w:sz w:val="21"/>
          <w:szCs w:val="21"/>
          <w:u w:val="single"/>
        </w:rPr>
        <w:t xml:space="preserve"> 3  </w:t>
      </w:r>
      <w:r>
        <w:rPr>
          <w:rFonts w:hint="eastAsia" w:ascii="宋体" w:hAnsi="宋体" w:eastAsia="宋体" w:cs="宋体"/>
          <w:bCs/>
          <w:color w:val="auto"/>
          <w:sz w:val="21"/>
          <w:szCs w:val="21"/>
        </w:rPr>
        <w:t>%（</w:t>
      </w:r>
      <w:r>
        <w:rPr>
          <w:rFonts w:hint="eastAsia" w:ascii="宋体" w:hAnsi="宋体" w:cs="宋体"/>
          <w:bCs/>
          <w:color w:val="auto"/>
          <w:sz w:val="21"/>
          <w:szCs w:val="21"/>
          <w:lang w:eastAsia="zh-CN"/>
        </w:rPr>
        <w:t>3%—5%</w:t>
      </w:r>
      <w:r>
        <w:rPr>
          <w:rFonts w:hint="eastAsia" w:ascii="宋体" w:hAnsi="宋体" w:eastAsia="宋体" w:cs="宋体"/>
          <w:bCs/>
          <w:color w:val="auto"/>
          <w:sz w:val="21"/>
          <w:szCs w:val="21"/>
        </w:rPr>
        <w:t>）预留工程质量保证金，待缺陷责任期满之日起</w:t>
      </w:r>
      <w:r>
        <w:rPr>
          <w:rFonts w:hint="eastAsia" w:ascii="宋体" w:hAnsi="宋体" w:eastAsia="宋体" w:cs="宋体"/>
          <w:bCs/>
          <w:color w:val="auto"/>
          <w:sz w:val="21"/>
          <w:szCs w:val="21"/>
          <w:u w:val="single"/>
        </w:rPr>
        <w:t xml:space="preserve"> 28 </w:t>
      </w:r>
      <w:r>
        <w:rPr>
          <w:rFonts w:hint="eastAsia" w:ascii="宋体" w:hAnsi="宋体" w:eastAsia="宋体" w:cs="宋体"/>
          <w:bCs/>
          <w:color w:val="auto"/>
          <w:sz w:val="21"/>
          <w:szCs w:val="21"/>
        </w:rPr>
        <w:t>日内返还（无息）</w:t>
      </w:r>
      <w:r>
        <w:rPr>
          <w:rFonts w:hint="eastAsia" w:ascii="宋体" w:hAnsi="宋体" w:eastAsia="宋体" w:cs="宋体"/>
          <w:color w:val="auto"/>
          <w:kern w:val="0"/>
          <w:sz w:val="21"/>
          <w:szCs w:val="21"/>
        </w:rPr>
        <w:t>；</w:t>
      </w:r>
    </w:p>
    <w:p w14:paraId="1A843DB3">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（3）其他方式：</w:t>
      </w:r>
      <w:r>
        <w:rPr>
          <w:rFonts w:hint="eastAsia" w:ascii="宋体" w:hAnsi="宋体" w:eastAsia="宋体" w:cs="宋体"/>
          <w:bCs/>
          <w:color w:val="auto"/>
          <w:sz w:val="21"/>
          <w:szCs w:val="21"/>
          <w:u w:val="single"/>
        </w:rPr>
        <w:t xml:space="preserve">        无       </w:t>
      </w:r>
      <w:r>
        <w:rPr>
          <w:rFonts w:hint="eastAsia" w:ascii="宋体" w:hAnsi="宋体" w:eastAsia="宋体" w:cs="宋体"/>
          <w:bCs/>
          <w:color w:val="auto"/>
          <w:sz w:val="21"/>
          <w:szCs w:val="21"/>
        </w:rPr>
        <w:t>。</w:t>
      </w:r>
    </w:p>
    <w:p w14:paraId="6808F17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15.3.2 质量保证金的扣留</w:t>
      </w:r>
    </w:p>
    <w:p w14:paraId="6E4D56A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质量保证金的扣留采取以下第</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种方式：</w:t>
      </w:r>
    </w:p>
    <w:p w14:paraId="405CF91F">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（1）在支付工程进度款时逐次扣留，在此情形下，质量保证金的计算基数不包括预付款的支付、扣回以及价格调整的金额；</w:t>
      </w:r>
    </w:p>
    <w:p w14:paraId="6B0B93AB">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（2）工程竣工结算时一次性扣留质量保证金；</w:t>
      </w:r>
    </w:p>
    <w:p w14:paraId="21806871">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（3）其他扣留方式:</w:t>
      </w:r>
      <w:r>
        <w:rPr>
          <w:rFonts w:hint="eastAsia" w:ascii="宋体" w:hAnsi="宋体" w:eastAsia="宋体" w:cs="宋体"/>
          <w:color w:val="auto"/>
          <w:kern w:val="0"/>
          <w:sz w:val="21"/>
          <w:szCs w:val="21"/>
          <w:u w:val="single"/>
        </w:rPr>
        <w:t xml:space="preserve">           /            </w:t>
      </w:r>
      <w:r>
        <w:rPr>
          <w:rFonts w:hint="eastAsia" w:ascii="宋体" w:hAnsi="宋体" w:eastAsia="宋体" w:cs="宋体"/>
          <w:color w:val="auto"/>
          <w:kern w:val="0"/>
          <w:sz w:val="21"/>
          <w:szCs w:val="21"/>
        </w:rPr>
        <w:t>。</w:t>
      </w:r>
    </w:p>
    <w:p w14:paraId="54E3D7B0">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关于质量保证金的补充约定：</w:t>
      </w:r>
      <w:r>
        <w:rPr>
          <w:rFonts w:hint="eastAsia" w:ascii="宋体" w:hAnsi="宋体" w:eastAsia="宋体" w:cs="宋体"/>
          <w:color w:val="auto"/>
          <w:kern w:val="0"/>
          <w:sz w:val="21"/>
          <w:szCs w:val="21"/>
          <w:u w:val="single"/>
        </w:rPr>
        <w:t xml:space="preserve">           /           </w:t>
      </w:r>
      <w:r>
        <w:rPr>
          <w:rFonts w:hint="eastAsia" w:ascii="宋体" w:hAnsi="宋体" w:eastAsia="宋体" w:cs="宋体"/>
          <w:color w:val="auto"/>
          <w:kern w:val="0"/>
          <w:sz w:val="21"/>
          <w:szCs w:val="21"/>
        </w:rPr>
        <w:t>。</w:t>
      </w:r>
    </w:p>
    <w:bookmarkEnd w:id="1469"/>
    <w:bookmarkEnd w:id="1470"/>
    <w:p w14:paraId="49E2F5D9">
      <w:pPr>
        <w:pStyle w:val="7"/>
        <w:adjustRightInd w:val="0"/>
        <w:snapToGrid w:val="0"/>
        <w:ind w:firstLine="422" w:firstLineChars="200"/>
        <w:rPr>
          <w:rFonts w:hint="eastAsia" w:ascii="宋体" w:hAnsi="宋体" w:eastAsia="宋体" w:cs="宋体"/>
          <w:color w:val="auto"/>
          <w:sz w:val="21"/>
          <w:szCs w:val="21"/>
        </w:rPr>
      </w:pPr>
      <w:bookmarkStart w:id="1508" w:name="_Toc467599627"/>
      <w:bookmarkStart w:id="1509" w:name="_Toc373227765"/>
      <w:bookmarkStart w:id="1510" w:name="_Toc389065330"/>
      <w:bookmarkStart w:id="1511" w:name="_Toc373478412"/>
      <w:r>
        <w:rPr>
          <w:rFonts w:hint="eastAsia" w:ascii="宋体" w:hAnsi="宋体" w:eastAsia="宋体" w:cs="宋体"/>
          <w:color w:val="auto"/>
          <w:sz w:val="21"/>
          <w:szCs w:val="21"/>
        </w:rPr>
        <w:t>15.4 保修</w:t>
      </w:r>
      <w:bookmarkEnd w:id="1508"/>
      <w:bookmarkEnd w:id="1509"/>
      <w:bookmarkEnd w:id="1510"/>
      <w:bookmarkEnd w:id="1511"/>
    </w:p>
    <w:bookmarkEnd w:id="1471"/>
    <w:p w14:paraId="1CFD53FE">
      <w:pPr>
        <w:adjustRightInd w:val="0"/>
        <w:snapToGrid w:val="0"/>
        <w:spacing w:line="360" w:lineRule="auto"/>
        <w:ind w:firstLine="420" w:firstLineChars="200"/>
        <w:jc w:val="left"/>
        <w:outlineLvl w:val="0"/>
        <w:rPr>
          <w:rFonts w:hint="eastAsia" w:ascii="宋体" w:hAnsi="宋体" w:eastAsia="宋体" w:cs="宋体"/>
          <w:color w:val="auto"/>
          <w:sz w:val="21"/>
          <w:szCs w:val="21"/>
        </w:rPr>
      </w:pPr>
      <w:bookmarkStart w:id="1512" w:name="_Toc22216"/>
      <w:bookmarkStart w:id="1513" w:name="_Toc11720"/>
      <w:r>
        <w:rPr>
          <w:rFonts w:hint="eastAsia" w:ascii="宋体" w:hAnsi="宋体" w:eastAsia="宋体" w:cs="宋体"/>
          <w:color w:val="auto"/>
          <w:sz w:val="21"/>
          <w:szCs w:val="21"/>
        </w:rPr>
        <w:t>15.4.1 保修责任</w:t>
      </w:r>
      <w:bookmarkEnd w:id="1512"/>
      <w:bookmarkEnd w:id="1513"/>
    </w:p>
    <w:p w14:paraId="4E47ED56">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工程保修期为：</w:t>
      </w:r>
      <w:r>
        <w:rPr>
          <w:rFonts w:hint="eastAsia" w:ascii="宋体" w:hAnsi="宋体" w:eastAsia="宋体" w:cs="宋体"/>
          <w:bCs/>
          <w:color w:val="auto"/>
          <w:sz w:val="21"/>
          <w:szCs w:val="21"/>
          <w:u w:val="single"/>
        </w:rPr>
        <w:t>详见</w:t>
      </w:r>
      <w:r>
        <w:rPr>
          <w:rFonts w:hint="eastAsia" w:ascii="宋体" w:hAnsi="宋体" w:eastAsia="宋体" w:cs="宋体"/>
          <w:color w:val="auto"/>
          <w:sz w:val="21"/>
          <w:szCs w:val="21"/>
          <w:u w:val="single"/>
        </w:rPr>
        <w:t>《工程质量保修书 》（合同附件4）</w:t>
      </w:r>
      <w:r>
        <w:rPr>
          <w:rFonts w:hint="eastAsia" w:ascii="宋体" w:hAnsi="宋体" w:eastAsia="宋体" w:cs="宋体"/>
          <w:color w:val="auto"/>
          <w:kern w:val="0"/>
          <w:sz w:val="21"/>
          <w:szCs w:val="21"/>
        </w:rPr>
        <w:t>。</w:t>
      </w:r>
    </w:p>
    <w:p w14:paraId="0229062B">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15.4.3 修复通知</w:t>
      </w:r>
    </w:p>
    <w:p w14:paraId="7CA326B6">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承包人收到保修通知并到达工程现场的合理时间：</w:t>
      </w:r>
      <w:r>
        <w:rPr>
          <w:rFonts w:hint="eastAsia" w:ascii="宋体" w:hAnsi="宋体" w:eastAsia="宋体" w:cs="宋体"/>
          <w:color w:val="auto"/>
          <w:kern w:val="0"/>
          <w:sz w:val="21"/>
          <w:szCs w:val="21"/>
          <w:u w:val="single"/>
        </w:rPr>
        <w:t xml:space="preserve">   </w:t>
      </w:r>
      <w:r>
        <w:rPr>
          <w:rFonts w:hint="eastAsia" w:ascii="宋体" w:hAnsi="宋体" w:eastAsia="宋体" w:cs="宋体"/>
          <w:bCs/>
          <w:color w:val="auto"/>
          <w:sz w:val="21"/>
          <w:szCs w:val="21"/>
          <w:u w:val="single"/>
        </w:rPr>
        <w:t>小时内</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bookmarkEnd w:id="1472"/>
    <w:bookmarkEnd w:id="1473"/>
    <w:bookmarkEnd w:id="1474"/>
    <w:bookmarkEnd w:id="1475"/>
    <w:p w14:paraId="5E7B6D70">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514" w:name="_Toc373478413"/>
      <w:bookmarkStart w:id="1515" w:name="_Toc389065331"/>
      <w:bookmarkStart w:id="1516" w:name="_Toc467599628"/>
      <w:bookmarkStart w:id="1517" w:name="_Toc4257_WPSOffice_Level3"/>
      <w:bookmarkStart w:id="1518" w:name="_Toc373227766"/>
      <w:bookmarkStart w:id="1519" w:name="_Toc351203648"/>
      <w:bookmarkStart w:id="1520" w:name="_Toc280868717"/>
      <w:bookmarkStart w:id="1521" w:name="_Toc280868718"/>
      <w:r>
        <w:rPr>
          <w:rFonts w:hint="eastAsia" w:ascii="宋体" w:hAnsi="宋体" w:eastAsia="宋体" w:cs="宋体"/>
          <w:color w:val="auto"/>
          <w:sz w:val="21"/>
          <w:szCs w:val="21"/>
        </w:rPr>
        <w:t>16. 违约</w:t>
      </w:r>
      <w:bookmarkEnd w:id="1514"/>
      <w:bookmarkEnd w:id="1515"/>
      <w:bookmarkEnd w:id="1516"/>
      <w:bookmarkEnd w:id="1517"/>
      <w:bookmarkEnd w:id="1518"/>
      <w:bookmarkEnd w:id="1519"/>
    </w:p>
    <w:p w14:paraId="16E7E5B5">
      <w:pPr>
        <w:pStyle w:val="7"/>
        <w:adjustRightInd w:val="0"/>
        <w:snapToGrid w:val="0"/>
        <w:ind w:firstLine="422" w:firstLineChars="200"/>
        <w:rPr>
          <w:rFonts w:hint="eastAsia" w:ascii="宋体" w:hAnsi="宋体" w:eastAsia="宋体" w:cs="宋体"/>
          <w:color w:val="auto"/>
          <w:sz w:val="21"/>
          <w:szCs w:val="21"/>
        </w:rPr>
      </w:pPr>
      <w:bookmarkStart w:id="1522" w:name="_Toc467599629"/>
      <w:bookmarkStart w:id="1523" w:name="_Toc373478414"/>
      <w:bookmarkStart w:id="1524" w:name="_Toc389065332"/>
      <w:bookmarkStart w:id="1525" w:name="_Toc373227767"/>
      <w:r>
        <w:rPr>
          <w:rFonts w:hint="eastAsia" w:ascii="宋体" w:hAnsi="宋体" w:eastAsia="宋体" w:cs="宋体"/>
          <w:color w:val="auto"/>
          <w:sz w:val="21"/>
          <w:szCs w:val="21"/>
        </w:rPr>
        <w:t>16.1 发包人违约</w:t>
      </w:r>
      <w:bookmarkEnd w:id="1522"/>
      <w:bookmarkEnd w:id="1523"/>
      <w:bookmarkEnd w:id="1524"/>
      <w:bookmarkEnd w:id="1525"/>
    </w:p>
    <w:p w14:paraId="00D0A4F0">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16.1.1发包人违约的情形</w:t>
      </w:r>
    </w:p>
    <w:p w14:paraId="718CE9C0">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发包人违约的其他情形：</w:t>
      </w:r>
      <w:r>
        <w:rPr>
          <w:rFonts w:hint="eastAsia" w:ascii="宋体" w:hAnsi="宋体" w:eastAsia="宋体" w:cs="宋体"/>
          <w:color w:val="auto"/>
          <w:kern w:val="0"/>
          <w:sz w:val="21"/>
          <w:szCs w:val="21"/>
          <w:u w:val="single"/>
        </w:rPr>
        <w:t xml:space="preserve">     /      </w:t>
      </w:r>
      <w:r>
        <w:rPr>
          <w:rFonts w:hint="eastAsia" w:ascii="宋体" w:hAnsi="宋体" w:eastAsia="宋体" w:cs="宋体"/>
          <w:color w:val="auto"/>
          <w:kern w:val="0"/>
          <w:sz w:val="21"/>
          <w:szCs w:val="21"/>
        </w:rPr>
        <w:t>。</w:t>
      </w:r>
    </w:p>
    <w:p w14:paraId="300C159A">
      <w:pPr>
        <w:adjustRightInd w:val="0"/>
        <w:snapToGrid w:val="0"/>
        <w:spacing w:line="360" w:lineRule="auto"/>
        <w:ind w:firstLine="420" w:firstLineChars="200"/>
        <w:jc w:val="left"/>
        <w:outlineLvl w:val="0"/>
        <w:rPr>
          <w:rFonts w:hint="eastAsia" w:ascii="宋体" w:hAnsi="宋体" w:eastAsia="宋体" w:cs="宋体"/>
          <w:color w:val="auto"/>
          <w:kern w:val="0"/>
          <w:sz w:val="21"/>
          <w:szCs w:val="21"/>
        </w:rPr>
      </w:pPr>
      <w:bookmarkStart w:id="1526" w:name="_Toc27678"/>
      <w:bookmarkStart w:id="1527" w:name="_Toc1321"/>
      <w:r>
        <w:rPr>
          <w:rFonts w:hint="eastAsia" w:ascii="宋体" w:hAnsi="宋体" w:eastAsia="宋体" w:cs="宋体"/>
          <w:color w:val="auto"/>
          <w:kern w:val="0"/>
          <w:sz w:val="21"/>
          <w:szCs w:val="21"/>
        </w:rPr>
        <w:t>16.1.2 发包人违约的责任</w:t>
      </w:r>
      <w:bookmarkEnd w:id="1526"/>
      <w:bookmarkEnd w:id="1527"/>
    </w:p>
    <w:p w14:paraId="24C3414F">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发包人违约责任的承担方式和计算方法：</w:t>
      </w:r>
    </w:p>
    <w:p w14:paraId="5A2A9649">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（1）因发包人原因未能在计划开工日期前7天内下达开工通知的违约责任：</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工期顺延</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7A553C44">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（2）因发包人原因未能按合同约定支付合同价款的违约责任：</w:t>
      </w:r>
      <w:r>
        <w:rPr>
          <w:rFonts w:hint="eastAsia" w:ascii="宋体" w:hAnsi="宋体" w:eastAsia="宋体" w:cs="宋体"/>
          <w:color w:val="auto"/>
          <w:kern w:val="0"/>
          <w:sz w:val="21"/>
          <w:szCs w:val="21"/>
          <w:u w:val="single"/>
        </w:rPr>
        <w:t>由此造成承包人的损失，每延误一天，按应付未付款项的万分之二赔偿给承包人，工期顺延</w:t>
      </w:r>
      <w:r>
        <w:rPr>
          <w:rFonts w:hint="eastAsia" w:ascii="宋体" w:hAnsi="宋体" w:eastAsia="宋体" w:cs="宋体"/>
          <w:color w:val="auto"/>
          <w:kern w:val="0"/>
          <w:sz w:val="21"/>
          <w:szCs w:val="21"/>
        </w:rPr>
        <w:t>。</w:t>
      </w:r>
    </w:p>
    <w:p w14:paraId="586B50DA">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（3）发包人违反第10.1款〔变更的范围〕第（2）项约定，自行实施被取消的工作或转由他人实施的违约责任：</w:t>
      </w:r>
      <w:r>
        <w:rPr>
          <w:rFonts w:hint="eastAsia" w:ascii="宋体" w:hAnsi="宋体" w:eastAsia="宋体" w:cs="宋体"/>
          <w:color w:val="auto"/>
          <w:kern w:val="0"/>
          <w:sz w:val="21"/>
          <w:szCs w:val="21"/>
          <w:u w:val="single"/>
        </w:rPr>
        <w:t>由此造成承包人的损失的，应按照自行实施或转由他人实施的工程价款的  %赔偿给承包人。</w:t>
      </w:r>
    </w:p>
    <w:p w14:paraId="3E9F8573">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u w:val="single"/>
        </w:rPr>
        <w:t>工期顺延</w:t>
      </w:r>
      <w:r>
        <w:rPr>
          <w:rFonts w:hint="eastAsia" w:ascii="宋体" w:hAnsi="宋体" w:eastAsia="宋体" w:cs="宋体"/>
          <w:color w:val="auto"/>
          <w:kern w:val="0"/>
          <w:sz w:val="21"/>
          <w:szCs w:val="21"/>
        </w:rPr>
        <w:t>。</w:t>
      </w:r>
    </w:p>
    <w:p w14:paraId="11E93496">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（5）因发包人违反合同约定造成暂停施工的违约责任：</w:t>
      </w:r>
      <w:r>
        <w:rPr>
          <w:rFonts w:hint="eastAsia" w:ascii="宋体" w:hAnsi="宋体" w:eastAsia="宋体" w:cs="宋体"/>
          <w:color w:val="auto"/>
          <w:kern w:val="0"/>
          <w:sz w:val="21"/>
          <w:szCs w:val="21"/>
          <w:u w:val="single"/>
        </w:rPr>
        <w:t>由此造成承包人的损失，每延误一天，按合同价款的万分之一赔偿给承包人，工期顺延</w:t>
      </w:r>
      <w:r>
        <w:rPr>
          <w:rFonts w:hint="eastAsia" w:ascii="宋体" w:hAnsi="宋体" w:eastAsia="宋体" w:cs="宋体"/>
          <w:color w:val="auto"/>
          <w:kern w:val="0"/>
          <w:sz w:val="21"/>
          <w:szCs w:val="21"/>
        </w:rPr>
        <w:t>。</w:t>
      </w:r>
    </w:p>
    <w:p w14:paraId="1FCEF031">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（6）发包人无正当理由没有在约定期限内发出复工指示，导致承包人无法复工的违约责任：</w:t>
      </w:r>
      <w:r>
        <w:rPr>
          <w:rFonts w:hint="eastAsia" w:ascii="宋体" w:hAnsi="宋体" w:eastAsia="宋体" w:cs="宋体"/>
          <w:color w:val="auto"/>
          <w:kern w:val="0"/>
          <w:sz w:val="21"/>
          <w:szCs w:val="21"/>
          <w:u w:val="single"/>
        </w:rPr>
        <w:t>由此造成承包人的损失，每延误一天，按合同价款的万分之一赔偿给承包人，工期顺延</w:t>
      </w:r>
      <w:r>
        <w:rPr>
          <w:rFonts w:hint="eastAsia" w:ascii="宋体" w:hAnsi="宋体" w:eastAsia="宋体" w:cs="宋体"/>
          <w:color w:val="auto"/>
          <w:kern w:val="0"/>
          <w:sz w:val="21"/>
          <w:szCs w:val="21"/>
        </w:rPr>
        <w:t>。</w:t>
      </w:r>
    </w:p>
    <w:p w14:paraId="373E49C5">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（7）其他：</w:t>
      </w:r>
      <w:r>
        <w:rPr>
          <w:rFonts w:hint="eastAsia" w:ascii="宋体" w:hAnsi="宋体" w:eastAsia="宋体" w:cs="宋体"/>
          <w:color w:val="auto"/>
          <w:kern w:val="0"/>
          <w:sz w:val="21"/>
          <w:szCs w:val="21"/>
          <w:u w:val="single"/>
        </w:rPr>
        <w:t xml:space="preserve">       /       </w:t>
      </w:r>
      <w:r>
        <w:rPr>
          <w:rFonts w:hint="eastAsia" w:ascii="宋体" w:hAnsi="宋体" w:eastAsia="宋体" w:cs="宋体"/>
          <w:color w:val="auto"/>
          <w:kern w:val="0"/>
          <w:sz w:val="21"/>
          <w:szCs w:val="21"/>
        </w:rPr>
        <w:t>。</w:t>
      </w:r>
    </w:p>
    <w:p w14:paraId="36E66D48">
      <w:pPr>
        <w:pStyle w:val="7"/>
        <w:adjustRightInd w:val="0"/>
        <w:snapToGrid w:val="0"/>
        <w:ind w:firstLine="422" w:firstLineChars="200"/>
        <w:rPr>
          <w:rFonts w:hint="eastAsia" w:ascii="宋体" w:hAnsi="宋体" w:eastAsia="宋体" w:cs="宋体"/>
          <w:color w:val="auto"/>
          <w:sz w:val="21"/>
          <w:szCs w:val="21"/>
        </w:rPr>
      </w:pPr>
      <w:bookmarkStart w:id="1528" w:name="_Toc389065333"/>
      <w:bookmarkStart w:id="1529" w:name="_Toc373478415"/>
      <w:bookmarkStart w:id="1530" w:name="_Toc373227768"/>
      <w:bookmarkStart w:id="1531" w:name="_Toc467599630"/>
      <w:r>
        <w:rPr>
          <w:rFonts w:hint="eastAsia" w:ascii="宋体" w:hAnsi="宋体" w:eastAsia="宋体" w:cs="宋体"/>
          <w:color w:val="auto"/>
          <w:sz w:val="21"/>
          <w:szCs w:val="21"/>
        </w:rPr>
        <w:t>16.2 承包人违约</w:t>
      </w:r>
      <w:bookmarkEnd w:id="1528"/>
      <w:bookmarkEnd w:id="1529"/>
      <w:bookmarkEnd w:id="1530"/>
      <w:bookmarkEnd w:id="1531"/>
    </w:p>
    <w:p w14:paraId="360693EC">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16.2.1 承包人违约的情形</w:t>
      </w:r>
    </w:p>
    <w:p w14:paraId="65E54429">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kern w:val="0"/>
          <w:sz w:val="21"/>
          <w:szCs w:val="21"/>
        </w:rPr>
        <w:t>承包人违约的其他情形：</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按通用条款执行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1B524F06">
      <w:pPr>
        <w:adjustRightInd w:val="0"/>
        <w:snapToGrid w:val="0"/>
        <w:spacing w:line="360" w:lineRule="auto"/>
        <w:ind w:firstLine="420" w:firstLineChars="200"/>
        <w:jc w:val="left"/>
        <w:outlineLvl w:val="0"/>
        <w:rPr>
          <w:rFonts w:hint="eastAsia" w:ascii="宋体" w:hAnsi="宋体" w:eastAsia="宋体" w:cs="宋体"/>
          <w:color w:val="auto"/>
          <w:kern w:val="0"/>
          <w:sz w:val="21"/>
          <w:szCs w:val="21"/>
        </w:rPr>
      </w:pPr>
      <w:bookmarkStart w:id="1532" w:name="_Toc23629"/>
      <w:bookmarkStart w:id="1533" w:name="_Toc3317"/>
      <w:r>
        <w:rPr>
          <w:rFonts w:hint="eastAsia" w:ascii="宋体" w:hAnsi="宋体" w:eastAsia="宋体" w:cs="宋体"/>
          <w:color w:val="auto"/>
          <w:kern w:val="0"/>
          <w:sz w:val="21"/>
          <w:szCs w:val="21"/>
        </w:rPr>
        <w:t>16.2.2承包人违约的责任</w:t>
      </w:r>
      <w:bookmarkEnd w:id="1532"/>
      <w:bookmarkEnd w:id="1533"/>
    </w:p>
    <w:p w14:paraId="474DB048">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承包人违约责任的承担方式和计算方法：</w:t>
      </w:r>
    </w:p>
    <w:p w14:paraId="508A1454">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（1）承包人未按本合同通用条款第16.2.1（2）、（3）条内容完成的，承包人无条件返工处理，修复至工程质量要求并承担相关费用，并在发包人规定的时间内完成返工，否则发包人有权扣罚该分项工程</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%的工程款作为处罚。</w:t>
      </w:r>
    </w:p>
    <w:p w14:paraId="3DD72F15">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承包人有本合同通用条款第16.2.1（6）条情形的，或经监理人检验认为修复质量不合格而承包人拒绝再进行修补的，发包人有权另行聘请第三方进行维修，费用由承包人承担，并且，发包人有权扣除承包人全部质量保修金作为违约金。</w:t>
      </w:r>
    </w:p>
    <w:p w14:paraId="7BBAE55B">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D36045A">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16.2.3 因承包人违约解除合同</w:t>
      </w:r>
    </w:p>
    <w:p w14:paraId="52D9AC5D">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关于承包人违约解除合同的特别约定：承包人有违反以下情况之一的，发包人有权解除合同，并没收其全部履约保证金，合同由此解除的，承包人已完工程经发包人验收合格的</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按照约定合同价款的</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r>
        <w:rPr>
          <w:rFonts w:hint="eastAsia" w:ascii="宋体" w:hAnsi="宋体" w:eastAsia="宋体" w:cs="宋体"/>
          <w:color w:val="auto"/>
          <w:sz w:val="21"/>
          <w:szCs w:val="21"/>
        </w:rPr>
        <w:t>（建议在95%至98%之间约定）</w:t>
      </w:r>
      <w:r>
        <w:rPr>
          <w:rFonts w:hint="eastAsia" w:ascii="宋体" w:hAnsi="宋体" w:eastAsia="宋体" w:cs="宋体"/>
          <w:color w:val="auto"/>
          <w:kern w:val="0"/>
          <w:sz w:val="21"/>
          <w:szCs w:val="21"/>
        </w:rPr>
        <w:t>进行结算。</w:t>
      </w:r>
    </w:p>
    <w:p w14:paraId="5FCB4E15">
      <w:pPr>
        <w:numPr>
          <w:ilvl w:val="0"/>
          <w:numId w:val="9"/>
        </w:num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承包人违反本合同通用条款第16.2.1（2）、（3）条，并未在发包人并在发包人规定的时间内完成返工，逾期超过</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天的；</w:t>
      </w:r>
    </w:p>
    <w:p w14:paraId="5C5C67F0">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（2）</w:t>
      </w:r>
      <w:r>
        <w:rPr>
          <w:rFonts w:hint="eastAsia" w:ascii="宋体" w:hAnsi="宋体" w:eastAsia="宋体" w:cs="宋体"/>
          <w:color w:val="auto"/>
          <w:kern w:val="0"/>
          <w:sz w:val="21"/>
          <w:szCs w:val="21"/>
        </w:rPr>
        <w:t>承包人无正当理由不按开工通知的要求及时进场组织施工和不按签订协议书时商定的进度计划有效地开展施工准备，造成工期延误的超过</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天的；</w:t>
      </w:r>
    </w:p>
    <w:p w14:paraId="5CD2194B">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（3）</w:t>
      </w:r>
      <w:r>
        <w:rPr>
          <w:rFonts w:hint="eastAsia" w:ascii="宋体" w:hAnsi="宋体" w:eastAsia="宋体" w:cs="宋体"/>
          <w:color w:val="auto"/>
          <w:kern w:val="0"/>
          <w:sz w:val="21"/>
          <w:szCs w:val="21"/>
        </w:rPr>
        <w:t>承包人违反本合同通用条款第3.5条规定私自将合同或合同的任何部分或任何权利转让给其他人，或私自将工程或工程的一部分分包出去的；</w:t>
      </w:r>
    </w:p>
    <w:p w14:paraId="05135F40">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（4）</w:t>
      </w:r>
      <w:r>
        <w:rPr>
          <w:rFonts w:hint="eastAsia" w:ascii="宋体" w:hAnsi="宋体" w:eastAsia="宋体" w:cs="宋体"/>
          <w:color w:val="auto"/>
          <w:kern w:val="0"/>
          <w:sz w:val="21"/>
          <w:szCs w:val="21"/>
        </w:rPr>
        <w:t>未经监理人批准，承包人私自将已按投标文件承诺进入工地的工程设备、施工设备、临时工程或材料撤离工地的；</w:t>
      </w:r>
    </w:p>
    <w:p w14:paraId="55FEF9AB">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（5）</w:t>
      </w:r>
      <w:r>
        <w:rPr>
          <w:rFonts w:hint="eastAsia" w:ascii="宋体" w:hAnsi="宋体" w:eastAsia="宋体" w:cs="宋体"/>
          <w:color w:val="auto"/>
          <w:kern w:val="0"/>
          <w:sz w:val="21"/>
          <w:szCs w:val="21"/>
        </w:rPr>
        <w:t>由于承包人原因拒绝按合同进度计划及时完成合同规定的工程，而又未采取有效措施赶上进度，造成工期严重延误的超过</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天的；</w:t>
      </w:r>
    </w:p>
    <w:p w14:paraId="61CA53B7">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（6）</w:t>
      </w:r>
      <w:r>
        <w:rPr>
          <w:rFonts w:hint="eastAsia" w:ascii="宋体" w:hAnsi="宋体" w:eastAsia="宋体" w:cs="宋体"/>
          <w:color w:val="auto"/>
          <w:kern w:val="0"/>
          <w:sz w:val="21"/>
          <w:szCs w:val="21"/>
        </w:rPr>
        <w:t>承包人否认合同有效或拒绝履行合同规定的承包人义务，或由于法律、财务等原因导致承包人无法继续履行或实质上已停止履行合同的义务，或连续停工</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天以上的、或累计停工</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天以上的；</w:t>
      </w:r>
    </w:p>
    <w:p w14:paraId="4DF049EE">
      <w:pPr>
        <w:adjustRightInd w:val="0"/>
        <w:snapToGrid w:val="0"/>
        <w:spacing w:line="360" w:lineRule="auto"/>
        <w:ind w:firstLine="420" w:firstLineChars="200"/>
        <w:rPr>
          <w:rFonts w:hint="eastAsia" w:ascii="宋体" w:hAnsi="宋体" w:eastAsia="宋体" w:cs="宋体"/>
          <w:color w:val="auto"/>
          <w:sz w:val="18"/>
          <w:szCs w:val="21"/>
        </w:rPr>
      </w:pPr>
      <w:r>
        <w:rPr>
          <w:rFonts w:hint="eastAsia" w:ascii="宋体" w:hAnsi="宋体" w:cs="宋体"/>
          <w:color w:val="auto"/>
          <w:kern w:val="0"/>
          <w:sz w:val="21"/>
          <w:szCs w:val="21"/>
          <w:lang w:eastAsia="zh-CN"/>
        </w:rPr>
        <w:t>（7）</w:t>
      </w:r>
      <w:r>
        <w:rPr>
          <w:rFonts w:hint="eastAsia" w:ascii="宋体" w:hAnsi="宋体" w:eastAsia="宋体" w:cs="宋体"/>
          <w:color w:val="auto"/>
          <w:kern w:val="0"/>
          <w:sz w:val="21"/>
          <w:szCs w:val="21"/>
        </w:rPr>
        <w:t>合同签订之日起十五日内，承包人无法按合同规定及投标文件的承诺进场经监理工程师认可的全部人员和机械的。</w:t>
      </w:r>
    </w:p>
    <w:p w14:paraId="1BE5EE00">
      <w:pPr>
        <w:adjustRightInd w:val="0"/>
        <w:snapToGrid w:val="0"/>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发包人承担</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w:t>
      </w:r>
    </w:p>
    <w:p w14:paraId="70284A42">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534" w:name="_Toc389065334"/>
      <w:bookmarkStart w:id="1535" w:name="_Toc373478416"/>
      <w:bookmarkStart w:id="1536" w:name="_Toc1261_WPSOffice_Level3"/>
      <w:bookmarkStart w:id="1537" w:name="_Toc467599631"/>
      <w:bookmarkStart w:id="1538" w:name="_Toc351203649"/>
      <w:bookmarkStart w:id="1539" w:name="_Toc373227769"/>
      <w:r>
        <w:rPr>
          <w:rFonts w:hint="eastAsia" w:ascii="宋体" w:hAnsi="宋体" w:eastAsia="宋体" w:cs="宋体"/>
          <w:color w:val="auto"/>
          <w:sz w:val="21"/>
          <w:szCs w:val="21"/>
        </w:rPr>
        <w:t>17. 不可抗力</w:t>
      </w:r>
      <w:bookmarkEnd w:id="1534"/>
      <w:bookmarkEnd w:id="1535"/>
      <w:bookmarkEnd w:id="1536"/>
      <w:bookmarkEnd w:id="1537"/>
      <w:bookmarkEnd w:id="1538"/>
      <w:bookmarkEnd w:id="1539"/>
      <w:r>
        <w:rPr>
          <w:rFonts w:hint="eastAsia" w:ascii="宋体" w:hAnsi="宋体" w:eastAsia="宋体" w:cs="宋体"/>
          <w:color w:val="auto"/>
          <w:sz w:val="21"/>
          <w:szCs w:val="21"/>
        </w:rPr>
        <w:t xml:space="preserve"> </w:t>
      </w:r>
      <w:bookmarkEnd w:id="1520"/>
    </w:p>
    <w:p w14:paraId="6DA06776">
      <w:pPr>
        <w:pStyle w:val="7"/>
        <w:adjustRightInd w:val="0"/>
        <w:snapToGrid w:val="0"/>
        <w:ind w:firstLine="422" w:firstLineChars="200"/>
        <w:rPr>
          <w:rFonts w:hint="eastAsia" w:ascii="宋体" w:hAnsi="宋体" w:eastAsia="宋体" w:cs="宋体"/>
          <w:color w:val="auto"/>
          <w:sz w:val="21"/>
          <w:szCs w:val="21"/>
        </w:rPr>
      </w:pPr>
      <w:bookmarkStart w:id="1540" w:name="_Toc373227770"/>
      <w:bookmarkStart w:id="1541" w:name="_Toc467599632"/>
      <w:bookmarkStart w:id="1542" w:name="_Toc389065335"/>
      <w:bookmarkStart w:id="1543" w:name="_Toc373478417"/>
      <w:r>
        <w:rPr>
          <w:rFonts w:hint="eastAsia" w:ascii="宋体" w:hAnsi="宋体" w:eastAsia="宋体" w:cs="宋体"/>
          <w:color w:val="auto"/>
          <w:sz w:val="21"/>
          <w:szCs w:val="21"/>
        </w:rPr>
        <w:t>17.1 不可抗力的确认</w:t>
      </w:r>
      <w:bookmarkEnd w:id="1540"/>
      <w:bookmarkEnd w:id="1541"/>
      <w:bookmarkEnd w:id="1542"/>
      <w:bookmarkEnd w:id="1543"/>
    </w:p>
    <w:p w14:paraId="77104A41">
      <w:pPr>
        <w:adjustRightInd w:val="0"/>
        <w:snapToGrid w:val="0"/>
        <w:spacing w:line="360" w:lineRule="auto"/>
        <w:ind w:firstLine="420" w:firstLineChars="200"/>
        <w:jc w:val="left"/>
        <w:rPr>
          <w:rFonts w:hint="eastAsia" w:ascii="宋体" w:hAnsi="宋体" w:eastAsia="宋体" w:cs="宋体"/>
          <w:color w:val="auto"/>
          <w:kern w:val="0"/>
          <w:sz w:val="21"/>
          <w:szCs w:val="21"/>
          <w:u w:val="single"/>
        </w:rPr>
      </w:pPr>
      <w:r>
        <w:rPr>
          <w:rFonts w:hint="eastAsia" w:ascii="宋体" w:hAnsi="宋体" w:eastAsia="宋体" w:cs="宋体"/>
          <w:color w:val="auto"/>
          <w:sz w:val="21"/>
          <w:szCs w:val="21"/>
        </w:rPr>
        <w:t>除通用合同条款约定的不可抗力事件之外，视为不可抗力的其他情形：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w:t>
      </w:r>
    </w:p>
    <w:p w14:paraId="7EDFF834">
      <w:pPr>
        <w:pStyle w:val="7"/>
        <w:adjustRightInd w:val="0"/>
        <w:snapToGrid w:val="0"/>
        <w:ind w:firstLine="422" w:firstLineChars="200"/>
        <w:rPr>
          <w:rFonts w:hint="eastAsia" w:ascii="宋体" w:hAnsi="宋体" w:eastAsia="宋体" w:cs="宋体"/>
          <w:color w:val="auto"/>
          <w:sz w:val="21"/>
          <w:szCs w:val="21"/>
        </w:rPr>
      </w:pPr>
      <w:bookmarkStart w:id="1544" w:name="_Toc373478418"/>
      <w:bookmarkStart w:id="1545" w:name="_Toc467599633"/>
      <w:bookmarkStart w:id="1546" w:name="_Toc373227771"/>
      <w:bookmarkStart w:id="1547" w:name="_Toc389065336"/>
      <w:r>
        <w:rPr>
          <w:rFonts w:hint="eastAsia" w:ascii="宋体" w:hAnsi="宋体" w:eastAsia="宋体" w:cs="宋体"/>
          <w:color w:val="auto"/>
          <w:sz w:val="21"/>
          <w:szCs w:val="21"/>
        </w:rPr>
        <w:t>17.4 因不可抗力解除合同</w:t>
      </w:r>
      <w:bookmarkEnd w:id="1544"/>
      <w:bookmarkEnd w:id="1545"/>
      <w:bookmarkEnd w:id="1546"/>
      <w:bookmarkEnd w:id="1547"/>
    </w:p>
    <w:p w14:paraId="13C8EA65">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合同解除后，发包人应在商定或确定发包人应支付款项后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天内完成款项的支付。</w:t>
      </w:r>
    </w:p>
    <w:p w14:paraId="49B61E40">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548" w:name="_Toc32527_WPSOffice_Level3"/>
      <w:bookmarkStart w:id="1549" w:name="_Toc467599634"/>
      <w:bookmarkStart w:id="1550" w:name="_Toc373478419"/>
      <w:bookmarkStart w:id="1551" w:name="_Toc373227772"/>
      <w:bookmarkStart w:id="1552" w:name="_Toc351203650"/>
      <w:bookmarkStart w:id="1553" w:name="_Toc389065337"/>
      <w:r>
        <w:rPr>
          <w:rFonts w:hint="eastAsia" w:ascii="宋体" w:hAnsi="宋体" w:eastAsia="宋体" w:cs="宋体"/>
          <w:color w:val="auto"/>
          <w:sz w:val="21"/>
          <w:szCs w:val="21"/>
        </w:rPr>
        <w:t>18. 保险</w:t>
      </w:r>
      <w:bookmarkEnd w:id="1548"/>
      <w:bookmarkEnd w:id="1549"/>
      <w:bookmarkEnd w:id="1550"/>
      <w:bookmarkEnd w:id="1551"/>
      <w:bookmarkEnd w:id="1552"/>
      <w:bookmarkEnd w:id="1553"/>
    </w:p>
    <w:bookmarkEnd w:id="1521"/>
    <w:p w14:paraId="6E27ABE8">
      <w:pPr>
        <w:pStyle w:val="7"/>
        <w:adjustRightInd w:val="0"/>
        <w:snapToGrid w:val="0"/>
        <w:ind w:firstLine="422" w:firstLineChars="200"/>
        <w:rPr>
          <w:rFonts w:hint="eastAsia" w:ascii="宋体" w:hAnsi="宋体" w:eastAsia="宋体" w:cs="宋体"/>
          <w:color w:val="auto"/>
          <w:sz w:val="21"/>
          <w:szCs w:val="21"/>
        </w:rPr>
      </w:pPr>
      <w:bookmarkStart w:id="1554" w:name="_Toc373227773"/>
      <w:bookmarkStart w:id="1555" w:name="_Toc373478420"/>
      <w:bookmarkStart w:id="1556" w:name="_Toc467599635"/>
      <w:bookmarkStart w:id="1557" w:name="_Toc389065338"/>
      <w:r>
        <w:rPr>
          <w:rFonts w:hint="eastAsia" w:ascii="宋体" w:hAnsi="宋体" w:eastAsia="宋体" w:cs="宋体"/>
          <w:color w:val="auto"/>
          <w:sz w:val="21"/>
          <w:szCs w:val="21"/>
        </w:rPr>
        <w:t>18.1 工程保险</w:t>
      </w:r>
      <w:bookmarkEnd w:id="1554"/>
      <w:bookmarkEnd w:id="1555"/>
      <w:bookmarkEnd w:id="1556"/>
      <w:bookmarkEnd w:id="1557"/>
    </w:p>
    <w:p w14:paraId="4DFA06E9">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关于工程保险的特别约定：</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sz w:val="21"/>
          <w:szCs w:val="21"/>
          <w:u w:val="single"/>
        </w:rPr>
        <w:t>执行通用条款</w:t>
      </w:r>
      <w:r>
        <w:rPr>
          <w:rFonts w:hint="eastAsia" w:ascii="宋体" w:hAnsi="宋体" w:eastAsia="宋体" w:cs="宋体"/>
          <w:color w:val="auto"/>
          <w:kern w:val="0"/>
          <w:sz w:val="21"/>
          <w:szCs w:val="21"/>
        </w:rPr>
        <w:t>。</w:t>
      </w:r>
    </w:p>
    <w:p w14:paraId="4E06987D">
      <w:pPr>
        <w:pStyle w:val="7"/>
        <w:adjustRightInd w:val="0"/>
        <w:snapToGrid w:val="0"/>
        <w:ind w:firstLine="422" w:firstLineChars="200"/>
        <w:rPr>
          <w:rFonts w:hint="eastAsia" w:ascii="宋体" w:hAnsi="宋体" w:eastAsia="宋体" w:cs="宋体"/>
          <w:color w:val="auto"/>
          <w:sz w:val="21"/>
          <w:szCs w:val="21"/>
        </w:rPr>
      </w:pPr>
      <w:bookmarkStart w:id="1558" w:name="_Toc373227774"/>
      <w:bookmarkStart w:id="1559" w:name="_Toc373478421"/>
      <w:bookmarkStart w:id="1560" w:name="_Toc389065339"/>
      <w:bookmarkStart w:id="1561" w:name="_Toc467599636"/>
      <w:r>
        <w:rPr>
          <w:rFonts w:hint="eastAsia" w:ascii="宋体" w:hAnsi="宋体" w:eastAsia="宋体" w:cs="宋体"/>
          <w:color w:val="auto"/>
          <w:sz w:val="21"/>
          <w:szCs w:val="21"/>
        </w:rPr>
        <w:t>18.3 其他保险</w:t>
      </w:r>
      <w:bookmarkEnd w:id="1558"/>
      <w:bookmarkEnd w:id="1559"/>
      <w:bookmarkEnd w:id="1560"/>
      <w:bookmarkEnd w:id="1561"/>
    </w:p>
    <w:p w14:paraId="1F716925">
      <w:pPr>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bCs/>
          <w:color w:val="auto"/>
          <w:sz w:val="21"/>
          <w:szCs w:val="21"/>
          <w:u w:val="single"/>
        </w:rPr>
        <w:t xml:space="preserve">                                    </w:t>
      </w:r>
      <w:r>
        <w:rPr>
          <w:rFonts w:hint="eastAsia" w:ascii="宋体" w:hAnsi="宋体" w:eastAsia="宋体" w:cs="宋体"/>
          <w:bCs/>
          <w:color w:val="auto"/>
          <w:sz w:val="21"/>
          <w:szCs w:val="21"/>
        </w:rPr>
        <w:t>。</w:t>
      </w:r>
    </w:p>
    <w:p w14:paraId="1447F3C9">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按本通用条款执行</w:t>
      </w:r>
      <w:r>
        <w:rPr>
          <w:rFonts w:hint="eastAsia" w:ascii="宋体" w:hAnsi="宋体" w:eastAsia="宋体" w:cs="宋体"/>
          <w:color w:val="auto"/>
          <w:sz w:val="21"/>
          <w:szCs w:val="21"/>
        </w:rPr>
        <w:t>。</w:t>
      </w:r>
    </w:p>
    <w:p w14:paraId="4555CCA8">
      <w:pPr>
        <w:pStyle w:val="7"/>
        <w:adjustRightInd w:val="0"/>
        <w:snapToGrid w:val="0"/>
        <w:ind w:firstLine="422" w:firstLineChars="200"/>
        <w:rPr>
          <w:rFonts w:hint="eastAsia" w:ascii="宋体" w:hAnsi="宋体" w:eastAsia="宋体" w:cs="宋体"/>
          <w:color w:val="auto"/>
          <w:sz w:val="21"/>
          <w:szCs w:val="21"/>
        </w:rPr>
      </w:pPr>
      <w:bookmarkStart w:id="1562" w:name="_Toc373478422"/>
      <w:bookmarkStart w:id="1563" w:name="_Toc467599637"/>
      <w:bookmarkStart w:id="1564" w:name="_Toc389065340"/>
      <w:bookmarkStart w:id="1565" w:name="_Toc373227775"/>
      <w:r>
        <w:rPr>
          <w:rFonts w:hint="eastAsia" w:ascii="宋体" w:hAnsi="宋体" w:eastAsia="宋体" w:cs="宋体"/>
          <w:color w:val="auto"/>
          <w:sz w:val="21"/>
          <w:szCs w:val="21"/>
        </w:rPr>
        <w:t>18.7 通知义务</w:t>
      </w:r>
      <w:bookmarkEnd w:id="1562"/>
      <w:bookmarkEnd w:id="1563"/>
      <w:bookmarkEnd w:id="1564"/>
      <w:bookmarkEnd w:id="1565"/>
    </w:p>
    <w:p w14:paraId="5733D0DF">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kern w:val="0"/>
          <w:sz w:val="21"/>
          <w:szCs w:val="21"/>
        </w:rPr>
        <w:t>关于变更保险合同时的通知义务的约定：</w:t>
      </w:r>
      <w:r>
        <w:rPr>
          <w:rFonts w:hint="eastAsia" w:ascii="宋体" w:hAnsi="宋体" w:eastAsia="宋体" w:cs="宋体"/>
          <w:color w:val="auto"/>
          <w:sz w:val="21"/>
          <w:szCs w:val="21"/>
          <w:u w:val="single"/>
        </w:rPr>
        <w:t>按本通用条款执行</w:t>
      </w:r>
      <w:r>
        <w:rPr>
          <w:rFonts w:hint="eastAsia" w:ascii="宋体" w:hAnsi="宋体" w:eastAsia="宋体" w:cs="宋体"/>
          <w:color w:val="auto"/>
          <w:sz w:val="21"/>
          <w:szCs w:val="21"/>
        </w:rPr>
        <w:t>。</w:t>
      </w:r>
    </w:p>
    <w:bookmarkEnd w:id="1476"/>
    <w:bookmarkEnd w:id="1477"/>
    <w:bookmarkEnd w:id="1478"/>
    <w:bookmarkEnd w:id="1479"/>
    <w:bookmarkEnd w:id="1480"/>
    <w:bookmarkEnd w:id="1481"/>
    <w:bookmarkEnd w:id="1482"/>
    <w:bookmarkEnd w:id="1483"/>
    <w:bookmarkEnd w:id="1484"/>
    <w:bookmarkEnd w:id="1485"/>
    <w:bookmarkEnd w:id="1486"/>
    <w:bookmarkEnd w:id="1487"/>
    <w:p w14:paraId="212A2B88">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566" w:name="_Toc373227776"/>
      <w:bookmarkStart w:id="1567" w:name="_Toc373478423"/>
      <w:bookmarkStart w:id="1568" w:name="_Toc389065341"/>
      <w:bookmarkStart w:id="1569" w:name="_Toc467599638"/>
      <w:bookmarkStart w:id="1570" w:name="_Toc351203651"/>
      <w:r>
        <w:rPr>
          <w:rFonts w:hint="eastAsia" w:ascii="宋体" w:hAnsi="宋体" w:eastAsia="宋体" w:cs="宋体"/>
          <w:color w:val="auto"/>
          <w:sz w:val="21"/>
          <w:szCs w:val="21"/>
        </w:rPr>
        <w:t>20. 争议解决</w:t>
      </w:r>
      <w:bookmarkEnd w:id="1566"/>
      <w:bookmarkEnd w:id="1567"/>
      <w:bookmarkEnd w:id="1568"/>
      <w:bookmarkEnd w:id="1569"/>
      <w:bookmarkEnd w:id="1570"/>
    </w:p>
    <w:bookmarkEnd w:id="1488"/>
    <w:bookmarkEnd w:id="1489"/>
    <w:p w14:paraId="23D39E0D">
      <w:pPr>
        <w:pStyle w:val="7"/>
        <w:adjustRightInd w:val="0"/>
        <w:snapToGrid w:val="0"/>
        <w:ind w:firstLine="422" w:firstLineChars="200"/>
        <w:rPr>
          <w:rFonts w:hint="eastAsia" w:ascii="宋体" w:hAnsi="宋体" w:eastAsia="宋体" w:cs="宋体"/>
          <w:color w:val="auto"/>
          <w:sz w:val="21"/>
          <w:szCs w:val="21"/>
        </w:rPr>
      </w:pPr>
      <w:bookmarkStart w:id="1571" w:name="_Toc389065342"/>
      <w:bookmarkStart w:id="1572" w:name="_Toc373478424"/>
      <w:bookmarkStart w:id="1573" w:name="_Toc373227777"/>
      <w:bookmarkStart w:id="1574" w:name="_Toc467599639"/>
      <w:r>
        <w:rPr>
          <w:rFonts w:hint="eastAsia" w:ascii="宋体" w:hAnsi="宋体" w:eastAsia="宋体" w:cs="宋体"/>
          <w:color w:val="auto"/>
          <w:sz w:val="21"/>
          <w:szCs w:val="21"/>
        </w:rPr>
        <w:t>20.3 争</w:t>
      </w:r>
      <w:bookmarkEnd w:id="1490"/>
      <w:r>
        <w:rPr>
          <w:rFonts w:hint="eastAsia" w:ascii="宋体" w:hAnsi="宋体" w:eastAsia="宋体" w:cs="宋体"/>
          <w:color w:val="auto"/>
          <w:sz w:val="21"/>
          <w:szCs w:val="21"/>
        </w:rPr>
        <w:t>议评审</w:t>
      </w:r>
      <w:bookmarkEnd w:id="1571"/>
      <w:bookmarkEnd w:id="1572"/>
      <w:bookmarkEnd w:id="1573"/>
      <w:bookmarkEnd w:id="1574"/>
    </w:p>
    <w:p w14:paraId="047D2BDB">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合同当事人是否同意将工程争议提交争议评审小组决定：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9C0F0F5">
      <w:pPr>
        <w:adjustRightInd w:val="0"/>
        <w:snapToGrid w:val="0"/>
        <w:spacing w:line="360" w:lineRule="auto"/>
        <w:ind w:firstLine="420" w:firstLineChars="200"/>
        <w:jc w:val="left"/>
        <w:outlineLvl w:val="0"/>
        <w:rPr>
          <w:rFonts w:hint="eastAsia" w:ascii="宋体" w:hAnsi="宋体" w:eastAsia="宋体" w:cs="宋体"/>
          <w:color w:val="auto"/>
          <w:sz w:val="21"/>
          <w:szCs w:val="21"/>
        </w:rPr>
      </w:pPr>
      <w:bookmarkStart w:id="1575" w:name="_Toc27737"/>
      <w:bookmarkStart w:id="1576" w:name="_Toc32569"/>
      <w:r>
        <w:rPr>
          <w:rFonts w:hint="eastAsia" w:ascii="宋体" w:hAnsi="宋体" w:eastAsia="宋体" w:cs="宋体"/>
          <w:color w:val="auto"/>
          <w:sz w:val="21"/>
          <w:szCs w:val="21"/>
        </w:rPr>
        <w:t>20.3.1 争议评审小组的确定</w:t>
      </w:r>
      <w:bookmarkEnd w:id="1575"/>
      <w:bookmarkEnd w:id="1576"/>
    </w:p>
    <w:p w14:paraId="673CBEFA">
      <w:pPr>
        <w:adjustRightInd w:val="0"/>
        <w:snapToGrid w:val="0"/>
        <w:spacing w:line="360" w:lineRule="auto"/>
        <w:ind w:firstLine="420" w:firstLineChars="200"/>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36353C5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39F607C">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F281BA4">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4B7BBCF6">
      <w:pPr>
        <w:autoSpaceDE w:val="0"/>
        <w:autoSpaceDN w:val="0"/>
        <w:adjustRightInd w:val="0"/>
        <w:snapToGri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20.3.2 争议评审小组的决定</w:t>
      </w:r>
    </w:p>
    <w:p w14:paraId="7D802DE3">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2DC214A9">
      <w:pPr>
        <w:pStyle w:val="7"/>
        <w:adjustRightInd w:val="0"/>
        <w:snapToGrid w:val="0"/>
        <w:ind w:firstLine="422" w:firstLineChars="200"/>
        <w:rPr>
          <w:rFonts w:hint="eastAsia" w:ascii="宋体" w:hAnsi="宋体" w:eastAsia="宋体" w:cs="宋体"/>
          <w:color w:val="auto"/>
          <w:sz w:val="21"/>
          <w:szCs w:val="21"/>
        </w:rPr>
      </w:pPr>
      <w:bookmarkStart w:id="1577" w:name="_Toc389065343"/>
      <w:bookmarkStart w:id="1578" w:name="_Toc373478425"/>
      <w:bookmarkStart w:id="1579" w:name="_Toc373227778"/>
      <w:bookmarkStart w:id="1580" w:name="_Toc467599640"/>
      <w:r>
        <w:rPr>
          <w:rFonts w:hint="eastAsia" w:ascii="宋体" w:hAnsi="宋体" w:eastAsia="宋体" w:cs="宋体"/>
          <w:color w:val="auto"/>
          <w:sz w:val="21"/>
          <w:szCs w:val="21"/>
        </w:rPr>
        <w:t>20.4 仲裁或诉讼</w:t>
      </w:r>
      <w:bookmarkEnd w:id="1491"/>
      <w:bookmarkEnd w:id="1577"/>
      <w:bookmarkEnd w:id="1578"/>
      <w:bookmarkEnd w:id="1579"/>
      <w:bookmarkEnd w:id="1580"/>
    </w:p>
    <w:p w14:paraId="20701A61">
      <w:pPr>
        <w:adjustRightInd w:val="0"/>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因合同及合同有关事项发生的争议，按下列第</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种方式解决：</w:t>
      </w:r>
    </w:p>
    <w:p w14:paraId="1AD3F433">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（1）提请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仲裁委员会按照该会仲裁规则进行仲裁，仲裁裁决是终局的，对合同双方均有约束力。</w:t>
      </w:r>
    </w:p>
    <w:p w14:paraId="73EC26AD">
      <w:pPr>
        <w:adjustRightInd w:val="0"/>
        <w:snapToGrid w:val="0"/>
        <w:spacing w:line="360" w:lineRule="auto"/>
        <w:ind w:firstLine="420" w:firstLineChars="200"/>
        <w:jc w:val="left"/>
        <w:rPr>
          <w:rFonts w:hint="eastAsia" w:ascii="宋体" w:hAnsi="宋体" w:eastAsia="宋体" w:cs="宋体"/>
          <w:color w:val="auto"/>
          <w:sz w:val="18"/>
          <w:szCs w:val="21"/>
        </w:rPr>
      </w:pPr>
      <w:r>
        <w:rPr>
          <w:rFonts w:hint="eastAsia" w:ascii="宋体" w:hAnsi="宋体" w:eastAsia="宋体" w:cs="宋体"/>
          <w:color w:val="auto"/>
          <w:sz w:val="21"/>
          <w:szCs w:val="21"/>
        </w:rPr>
        <w:t>（2）向</w:t>
      </w:r>
      <w:r>
        <w:rPr>
          <w:rFonts w:hint="eastAsia" w:ascii="宋体" w:hAnsi="宋体" w:eastAsia="宋体" w:cs="宋体"/>
          <w:color w:val="auto"/>
          <w:sz w:val="21"/>
          <w:szCs w:val="21"/>
          <w:u w:val="single"/>
        </w:rPr>
        <w:t>工程所在地</w:t>
      </w:r>
      <w:r>
        <w:rPr>
          <w:rFonts w:hint="eastAsia" w:ascii="宋体" w:hAnsi="宋体" w:eastAsia="宋体" w:cs="宋体"/>
          <w:color w:val="auto"/>
          <w:sz w:val="21"/>
          <w:szCs w:val="21"/>
        </w:rPr>
        <w:t>人民法院起诉。</w:t>
      </w:r>
      <w:bookmarkEnd w:id="1492"/>
      <w:bookmarkEnd w:id="1493"/>
      <w:bookmarkEnd w:id="1494"/>
      <w:bookmarkEnd w:id="1495"/>
      <w:bookmarkEnd w:id="1496"/>
      <w:bookmarkEnd w:id="1497"/>
    </w:p>
    <w:p w14:paraId="45FE581A">
      <w:pPr>
        <w:rPr>
          <w:rFonts w:hint="eastAsia" w:ascii="宋体" w:hAnsi="宋体" w:eastAsia="宋体" w:cs="宋体"/>
          <w:color w:val="auto"/>
          <w:sz w:val="18"/>
          <w:szCs w:val="21"/>
        </w:rPr>
      </w:pPr>
    </w:p>
    <w:p w14:paraId="4EE1AF98">
      <w:pPr>
        <w:pStyle w:val="6"/>
        <w:adjustRightInd w:val="0"/>
        <w:snapToGrid w:val="0"/>
        <w:spacing w:before="0" w:after="0" w:line="360" w:lineRule="auto"/>
        <w:ind w:firstLine="422" w:firstLineChars="200"/>
        <w:rPr>
          <w:rFonts w:hint="eastAsia" w:ascii="宋体" w:hAnsi="宋体" w:eastAsia="宋体" w:cs="宋体"/>
          <w:color w:val="auto"/>
          <w:sz w:val="21"/>
          <w:szCs w:val="21"/>
        </w:rPr>
      </w:pPr>
      <w:bookmarkStart w:id="1581" w:name="_Toc1182"/>
      <w:bookmarkStart w:id="1582" w:name="_Toc23707"/>
      <w:r>
        <w:rPr>
          <w:rFonts w:hint="eastAsia" w:ascii="宋体" w:hAnsi="宋体" w:eastAsia="宋体" w:cs="宋体"/>
          <w:color w:val="auto"/>
          <w:sz w:val="21"/>
          <w:szCs w:val="21"/>
        </w:rPr>
        <w:t>附件</w:t>
      </w:r>
      <w:bookmarkEnd w:id="1581"/>
      <w:bookmarkEnd w:id="1582"/>
    </w:p>
    <w:p w14:paraId="0DAC2A30">
      <w:pPr>
        <w:pStyle w:val="50"/>
        <w:spacing w:before="0" w:after="0" w:line="360" w:lineRule="auto"/>
        <w:ind w:firstLine="424" w:firstLineChars="200"/>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附件</w:t>
      </w:r>
      <w:r>
        <w:rPr>
          <w:rFonts w:hint="eastAsia" w:ascii="宋体" w:hAnsi="宋体" w:eastAsia="宋体" w:cs="宋体"/>
          <w:color w:val="auto"/>
          <w:spacing w:val="7"/>
          <w:sz w:val="21"/>
          <w:szCs w:val="21"/>
        </w:rPr>
        <w:t xml:space="preserve"> </w:t>
      </w:r>
      <w:r>
        <w:rPr>
          <w:rFonts w:hint="eastAsia" w:ascii="宋体" w:hAnsi="宋体" w:eastAsia="宋体" w:cs="宋体"/>
          <w:color w:val="auto"/>
          <w:sz w:val="21"/>
          <w:szCs w:val="21"/>
        </w:rPr>
        <w:t>1</w:t>
      </w:r>
      <w:r>
        <w:rPr>
          <w:rFonts w:hint="eastAsia" w:ascii="宋体" w:hAnsi="宋体" w:eastAsia="宋体" w:cs="宋体"/>
          <w:color w:val="auto"/>
          <w:spacing w:val="1"/>
          <w:sz w:val="21"/>
          <w:szCs w:val="21"/>
        </w:rPr>
        <w:t>：承包人承揽工程项目一览表</w:t>
      </w:r>
    </w:p>
    <w:p w14:paraId="310AB940">
      <w:pPr>
        <w:pStyle w:val="50"/>
        <w:spacing w:before="0" w:after="0" w:line="360" w:lineRule="auto"/>
        <w:ind w:firstLine="424" w:firstLineChars="200"/>
        <w:jc w:val="left"/>
        <w:rPr>
          <w:rFonts w:hint="eastAsia" w:ascii="宋体" w:hAnsi="宋体" w:eastAsia="宋体" w:cs="宋体"/>
          <w:color w:val="auto"/>
          <w:sz w:val="21"/>
          <w:szCs w:val="21"/>
        </w:rPr>
      </w:pPr>
      <w:r>
        <w:rPr>
          <w:rFonts w:hint="eastAsia" w:ascii="宋体" w:hAnsi="宋体" w:eastAsia="宋体" w:cs="宋体"/>
          <w:color w:val="auto"/>
          <w:spacing w:val="1"/>
          <w:sz w:val="21"/>
          <w:szCs w:val="21"/>
        </w:rPr>
        <w:t>附件</w:t>
      </w:r>
      <w:r>
        <w:rPr>
          <w:rFonts w:hint="eastAsia" w:ascii="宋体" w:hAnsi="宋体" w:eastAsia="宋体" w:cs="宋体"/>
          <w:color w:val="auto"/>
          <w:spacing w:val="7"/>
          <w:sz w:val="21"/>
          <w:szCs w:val="21"/>
        </w:rPr>
        <w:t xml:space="preserve"> </w:t>
      </w:r>
      <w:r>
        <w:rPr>
          <w:rFonts w:hint="eastAsia" w:ascii="宋体" w:hAnsi="宋体" w:eastAsia="宋体" w:cs="宋体"/>
          <w:color w:val="auto"/>
          <w:sz w:val="21"/>
          <w:szCs w:val="21"/>
        </w:rPr>
        <w:t>2</w:t>
      </w:r>
      <w:r>
        <w:rPr>
          <w:rFonts w:hint="eastAsia" w:ascii="宋体" w:hAnsi="宋体" w:eastAsia="宋体" w:cs="宋体"/>
          <w:color w:val="auto"/>
          <w:spacing w:val="1"/>
          <w:sz w:val="21"/>
          <w:szCs w:val="21"/>
        </w:rPr>
        <w:t>：承包人主要施工管理人员表</w:t>
      </w:r>
    </w:p>
    <w:p w14:paraId="742E146F">
      <w:pPr>
        <w:pStyle w:val="50"/>
        <w:spacing w:before="0" w:after="0" w:line="360" w:lineRule="auto"/>
        <w:ind w:firstLine="424" w:firstLineChars="200"/>
        <w:jc w:val="left"/>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附件</w:t>
      </w:r>
      <w:r>
        <w:rPr>
          <w:rFonts w:hint="eastAsia" w:ascii="宋体" w:hAnsi="宋体" w:eastAsia="宋体" w:cs="宋体"/>
          <w:color w:val="auto"/>
          <w:spacing w:val="7"/>
          <w:sz w:val="21"/>
          <w:szCs w:val="21"/>
        </w:rPr>
        <w:t xml:space="preserve"> </w:t>
      </w:r>
      <w:r>
        <w:rPr>
          <w:rFonts w:hint="eastAsia" w:ascii="宋体" w:hAnsi="宋体" w:eastAsia="宋体" w:cs="宋体"/>
          <w:color w:val="auto"/>
          <w:sz w:val="21"/>
          <w:szCs w:val="21"/>
        </w:rPr>
        <w:t>3：承包人用于本工程施工的机械设备表</w:t>
      </w:r>
    </w:p>
    <w:p w14:paraId="237EDAF7">
      <w:pPr>
        <w:adjustRightInd w:val="0"/>
        <w:snapToGrid w:val="0"/>
        <w:spacing w:line="360" w:lineRule="auto"/>
        <w:ind w:firstLine="424" w:firstLineChars="200"/>
        <w:jc w:val="left"/>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附件</w:t>
      </w:r>
      <w:r>
        <w:rPr>
          <w:rFonts w:hint="eastAsia" w:ascii="宋体" w:hAnsi="宋体" w:eastAsia="宋体" w:cs="宋体"/>
          <w:color w:val="auto"/>
          <w:spacing w:val="7"/>
          <w:sz w:val="21"/>
          <w:szCs w:val="21"/>
        </w:rPr>
        <w:t xml:space="preserve"> </w:t>
      </w:r>
      <w:r>
        <w:rPr>
          <w:rFonts w:hint="eastAsia" w:ascii="宋体" w:hAnsi="宋体" w:eastAsia="宋体" w:cs="宋体"/>
          <w:color w:val="auto"/>
          <w:sz w:val="21"/>
          <w:szCs w:val="21"/>
        </w:rPr>
        <w:t>4</w:t>
      </w:r>
      <w:r>
        <w:rPr>
          <w:rFonts w:hint="eastAsia" w:ascii="宋体" w:hAnsi="宋体" w:eastAsia="宋体" w:cs="宋体"/>
          <w:color w:val="auto"/>
          <w:spacing w:val="1"/>
          <w:sz w:val="21"/>
          <w:szCs w:val="21"/>
        </w:rPr>
        <w:t>：工程质量保修书</w:t>
      </w:r>
    </w:p>
    <w:p w14:paraId="135D869B">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附件5：廉洁合同</w:t>
      </w:r>
    </w:p>
    <w:p w14:paraId="3C634E92">
      <w:pPr>
        <w:adjustRightInd w:val="0"/>
        <w:snapToGri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附件6：安全生产合同</w:t>
      </w:r>
    </w:p>
    <w:p w14:paraId="25C248E6">
      <w:pPr>
        <w:pStyle w:val="8"/>
        <w:rPr>
          <w:rFonts w:hint="eastAsia" w:ascii="宋体" w:hAnsi="宋体" w:eastAsia="宋体" w:cs="宋体"/>
          <w:b w:val="0"/>
          <w:bCs w:val="0"/>
          <w:color w:val="auto"/>
          <w:sz w:val="21"/>
          <w:szCs w:val="21"/>
        </w:rPr>
      </w:pPr>
    </w:p>
    <w:p w14:paraId="2D7E4ACB">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发包人：  （公章）                      承包人：  （公章）</w:t>
      </w:r>
    </w:p>
    <w:p w14:paraId="222465C8">
      <w:pPr>
        <w:spacing w:line="30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p>
    <w:p w14:paraId="045FE7FF">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              法定代表人或其委托代理人：</w:t>
      </w:r>
    </w:p>
    <w:p w14:paraId="175F7415">
      <w:pPr>
        <w:spacing w:line="30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（签字）                                   （签字）</w:t>
      </w:r>
    </w:p>
    <w:p w14:paraId="7BC6521D">
      <w:pPr>
        <w:tabs>
          <w:tab w:val="left" w:pos="4410"/>
        </w:tabs>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社会信用代码：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社会信用代码：</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14:paraId="0BB36071">
      <w:pPr>
        <w:spacing w:line="300" w:lineRule="auto"/>
        <w:ind w:left="5760" w:hanging="5040" w:hangingChars="2400"/>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 xml:space="preserve">         </w:t>
      </w:r>
      <w:r>
        <w:rPr>
          <w:rFonts w:hint="eastAsia" w:ascii="宋体" w:hAnsi="宋体" w:eastAsia="宋体" w:cs="宋体"/>
          <w:color w:val="auto"/>
          <w:sz w:val="21"/>
          <w:szCs w:val="21"/>
        </w:rPr>
        <w:t xml:space="preserve">           地  址：</w:t>
      </w:r>
      <w:r>
        <w:rPr>
          <w:rFonts w:hint="eastAsia" w:ascii="宋体" w:hAnsi="宋体" w:eastAsia="宋体" w:cs="宋体"/>
          <w:color w:val="auto"/>
          <w:sz w:val="21"/>
          <w:szCs w:val="21"/>
          <w:u w:val="single"/>
        </w:rPr>
        <w:t xml:space="preserve">          </w:t>
      </w:r>
      <w:r>
        <w:rPr>
          <w:rFonts w:hint="eastAsia" w:ascii="宋体" w:hAnsi="宋体" w:eastAsia="宋体" w:cs="宋体"/>
          <w:color w:val="auto"/>
          <w:sz w:val="21"/>
          <w:szCs w:val="21"/>
        </w:rPr>
        <w:t xml:space="preserve">  </w:t>
      </w:r>
    </w:p>
    <w:p w14:paraId="2BBF66B4">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  话：</w:t>
      </w:r>
      <w:r>
        <w:rPr>
          <w:rFonts w:hint="eastAsia" w:ascii="宋体" w:hAnsi="宋体" w:eastAsia="宋体" w:cs="宋体"/>
          <w:color w:val="auto"/>
          <w:sz w:val="21"/>
          <w:szCs w:val="21"/>
          <w:u w:val="single"/>
        </w:rPr>
        <w:t xml:space="preserve">   </w:t>
      </w:r>
    </w:p>
    <w:p w14:paraId="6BD1280C">
      <w:pPr>
        <w:spacing w:line="300" w:lineRule="auto"/>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电子信箱：</w:t>
      </w:r>
      <w:r>
        <w:rPr>
          <w:rFonts w:hint="eastAsia" w:ascii="宋体" w:hAnsi="宋体" w:eastAsia="宋体" w:cs="宋体"/>
          <w:color w:val="auto"/>
          <w:sz w:val="21"/>
          <w:szCs w:val="21"/>
          <w:u w:val="single"/>
        </w:rPr>
        <w:t xml:space="preserve">                 </w:t>
      </w:r>
    </w:p>
    <w:p w14:paraId="213D6038">
      <w:pPr>
        <w:spacing w:line="300" w:lineRule="auto"/>
        <w:ind w:left="6000" w:hanging="5250" w:hangingChars="2500"/>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14:paraId="16003582">
      <w:pPr>
        <w:spacing w:line="30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w:t>
      </w:r>
    </w:p>
    <w:p w14:paraId="18D7BC32">
      <w:pPr>
        <w:rPr>
          <w:rFonts w:hint="eastAsia" w:ascii="宋体" w:hAnsi="宋体" w:eastAsia="宋体" w:cs="宋体"/>
          <w:color w:val="auto"/>
          <w:sz w:val="18"/>
          <w:szCs w:val="21"/>
        </w:rPr>
        <w:sectPr>
          <w:footerReference r:id="rId10" w:type="default"/>
          <w:pgSz w:w="11907" w:h="16840"/>
          <w:pgMar w:top="1440" w:right="1440" w:bottom="1440" w:left="1797" w:header="851" w:footer="851" w:gutter="0"/>
          <w:cols w:space="720" w:num="1"/>
          <w:docGrid w:linePitch="312" w:charSpace="0"/>
        </w:sectPr>
      </w:pPr>
    </w:p>
    <w:p w14:paraId="01D3642B">
      <w:pPr>
        <w:spacing w:before="120" w:beforeLines="50" w:after="120" w:afterLines="50" w:line="44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附件1：</w:t>
      </w:r>
    </w:p>
    <w:p w14:paraId="4D017418">
      <w:pPr>
        <w:spacing w:before="120" w:beforeLines="50" w:after="120" w:afterLines="5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承包人承揽工程项目一览表</w:t>
      </w:r>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199CA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ign w:val="center"/>
          </w:tcPr>
          <w:p w14:paraId="7C90C65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单位工程名称</w:t>
            </w:r>
          </w:p>
        </w:tc>
        <w:tc>
          <w:tcPr>
            <w:tcW w:w="1843" w:type="dxa"/>
            <w:tcBorders>
              <w:top w:val="single" w:color="auto" w:sz="12" w:space="0"/>
              <w:bottom w:val="double" w:color="auto" w:sz="6" w:space="0"/>
            </w:tcBorders>
            <w:noWrap/>
            <w:vAlign w:val="center"/>
          </w:tcPr>
          <w:p w14:paraId="37E1EF4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建设规模</w:t>
            </w:r>
          </w:p>
        </w:tc>
        <w:tc>
          <w:tcPr>
            <w:tcW w:w="1417" w:type="dxa"/>
            <w:tcBorders>
              <w:top w:val="single" w:color="auto" w:sz="12" w:space="0"/>
              <w:bottom w:val="double" w:color="auto" w:sz="6" w:space="0"/>
            </w:tcBorders>
            <w:noWrap/>
            <w:vAlign w:val="center"/>
          </w:tcPr>
          <w:p w14:paraId="01F9B3E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建筑面积</w:t>
            </w:r>
            <w:r>
              <w:rPr>
                <w:rFonts w:hint="eastAsia" w:ascii="宋体" w:hAnsi="宋体" w:cs="宋体"/>
                <w:color w:val="auto"/>
                <w:kern w:val="2"/>
                <w:sz w:val="21"/>
                <w:szCs w:val="21"/>
                <w:lang w:eastAsia="zh-CN"/>
              </w:rPr>
              <w:t>（</w:t>
            </w:r>
            <w:r>
              <w:rPr>
                <w:rFonts w:hint="eastAsia" w:ascii="宋体" w:hAnsi="宋体" w:eastAsia="宋体" w:cs="宋体"/>
                <w:color w:val="auto"/>
                <w:kern w:val="2"/>
                <w:sz w:val="21"/>
                <w:szCs w:val="21"/>
              </w:rPr>
              <w:t>平方米</w:t>
            </w:r>
            <w:r>
              <w:rPr>
                <w:rFonts w:hint="eastAsia" w:ascii="宋体" w:hAnsi="宋体" w:cs="宋体"/>
                <w:color w:val="auto"/>
                <w:kern w:val="2"/>
                <w:sz w:val="21"/>
                <w:szCs w:val="21"/>
                <w:lang w:eastAsia="zh-CN"/>
              </w:rPr>
              <w:t>）</w:t>
            </w:r>
          </w:p>
        </w:tc>
        <w:tc>
          <w:tcPr>
            <w:tcW w:w="2410" w:type="dxa"/>
            <w:tcBorders>
              <w:top w:val="single" w:color="auto" w:sz="12" w:space="0"/>
              <w:bottom w:val="double" w:color="auto" w:sz="6" w:space="0"/>
            </w:tcBorders>
            <w:noWrap/>
            <w:vAlign w:val="center"/>
          </w:tcPr>
          <w:p w14:paraId="3B8C54C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结构形式</w:t>
            </w:r>
          </w:p>
        </w:tc>
        <w:tc>
          <w:tcPr>
            <w:tcW w:w="850" w:type="dxa"/>
            <w:tcBorders>
              <w:top w:val="single" w:color="auto" w:sz="12" w:space="0"/>
              <w:bottom w:val="double" w:color="auto" w:sz="6" w:space="0"/>
            </w:tcBorders>
            <w:noWrap/>
            <w:vAlign w:val="center"/>
          </w:tcPr>
          <w:p w14:paraId="7C86A6E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层数</w:t>
            </w:r>
          </w:p>
        </w:tc>
        <w:tc>
          <w:tcPr>
            <w:tcW w:w="1560" w:type="dxa"/>
            <w:tcBorders>
              <w:top w:val="single" w:color="auto" w:sz="12" w:space="0"/>
              <w:bottom w:val="double" w:color="auto" w:sz="6" w:space="0"/>
            </w:tcBorders>
            <w:noWrap/>
            <w:vAlign w:val="center"/>
          </w:tcPr>
          <w:p w14:paraId="7466197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生产能力</w:t>
            </w:r>
          </w:p>
        </w:tc>
        <w:tc>
          <w:tcPr>
            <w:tcW w:w="2126" w:type="dxa"/>
            <w:tcBorders>
              <w:top w:val="single" w:color="auto" w:sz="12" w:space="0"/>
              <w:bottom w:val="double" w:color="auto" w:sz="6" w:space="0"/>
            </w:tcBorders>
            <w:noWrap/>
            <w:vAlign w:val="center"/>
          </w:tcPr>
          <w:p w14:paraId="23C1E2A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设备安装内容</w:t>
            </w:r>
          </w:p>
        </w:tc>
        <w:tc>
          <w:tcPr>
            <w:tcW w:w="1417" w:type="dxa"/>
            <w:tcBorders>
              <w:top w:val="single" w:color="auto" w:sz="12" w:space="0"/>
              <w:bottom w:val="double" w:color="auto" w:sz="6" w:space="0"/>
            </w:tcBorders>
            <w:noWrap/>
            <w:vAlign w:val="center"/>
          </w:tcPr>
          <w:p w14:paraId="5A7B49D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合同价格（元）</w:t>
            </w:r>
          </w:p>
        </w:tc>
        <w:tc>
          <w:tcPr>
            <w:tcW w:w="851" w:type="dxa"/>
            <w:tcBorders>
              <w:top w:val="single" w:color="auto" w:sz="12" w:space="0"/>
              <w:bottom w:val="double" w:color="auto" w:sz="6" w:space="0"/>
            </w:tcBorders>
            <w:noWrap/>
            <w:vAlign w:val="center"/>
          </w:tcPr>
          <w:p w14:paraId="213FAD9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开工日期</w:t>
            </w:r>
          </w:p>
        </w:tc>
        <w:tc>
          <w:tcPr>
            <w:tcW w:w="850" w:type="dxa"/>
            <w:tcBorders>
              <w:top w:val="single" w:color="auto" w:sz="12" w:space="0"/>
              <w:bottom w:val="double" w:color="auto" w:sz="6" w:space="0"/>
            </w:tcBorders>
            <w:noWrap/>
            <w:vAlign w:val="center"/>
          </w:tcPr>
          <w:p w14:paraId="6CE97A7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竣工日期</w:t>
            </w:r>
          </w:p>
        </w:tc>
      </w:tr>
      <w:tr w14:paraId="2F634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ign w:val="center"/>
          </w:tcPr>
          <w:p w14:paraId="7733FBD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tcBorders>
              <w:top w:val="double" w:color="auto" w:sz="6" w:space="0"/>
              <w:bottom w:val="single" w:color="auto" w:sz="6" w:space="0"/>
            </w:tcBorders>
            <w:noWrap/>
            <w:vAlign w:val="center"/>
          </w:tcPr>
          <w:p w14:paraId="583C8B2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double" w:color="auto" w:sz="6" w:space="0"/>
              <w:bottom w:val="single" w:color="auto" w:sz="6" w:space="0"/>
            </w:tcBorders>
            <w:noWrap/>
            <w:vAlign w:val="center"/>
          </w:tcPr>
          <w:p w14:paraId="47A35F0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tcBorders>
              <w:top w:val="double" w:color="auto" w:sz="6" w:space="0"/>
              <w:bottom w:val="single" w:color="auto" w:sz="6" w:space="0"/>
            </w:tcBorders>
            <w:noWrap/>
            <w:vAlign w:val="center"/>
          </w:tcPr>
          <w:p w14:paraId="68CA28C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double" w:color="auto" w:sz="6" w:space="0"/>
              <w:bottom w:val="single" w:color="auto" w:sz="6" w:space="0"/>
            </w:tcBorders>
            <w:noWrap/>
            <w:vAlign w:val="center"/>
          </w:tcPr>
          <w:p w14:paraId="6BD8AD0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tcBorders>
              <w:top w:val="double" w:color="auto" w:sz="6" w:space="0"/>
              <w:bottom w:val="single" w:color="auto" w:sz="6" w:space="0"/>
            </w:tcBorders>
            <w:noWrap/>
            <w:vAlign w:val="center"/>
          </w:tcPr>
          <w:p w14:paraId="7B44C02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tcBorders>
              <w:top w:val="double" w:color="auto" w:sz="6" w:space="0"/>
              <w:bottom w:val="single" w:color="auto" w:sz="6" w:space="0"/>
            </w:tcBorders>
            <w:noWrap/>
            <w:vAlign w:val="center"/>
          </w:tcPr>
          <w:p w14:paraId="29593F5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double" w:color="auto" w:sz="6" w:space="0"/>
              <w:bottom w:val="single" w:color="auto" w:sz="6" w:space="0"/>
            </w:tcBorders>
            <w:noWrap/>
            <w:vAlign w:val="center"/>
          </w:tcPr>
          <w:p w14:paraId="199FBED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double" w:color="auto" w:sz="6" w:space="0"/>
              <w:bottom w:val="single" w:color="auto" w:sz="6" w:space="0"/>
            </w:tcBorders>
            <w:noWrap/>
            <w:vAlign w:val="center"/>
          </w:tcPr>
          <w:p w14:paraId="10E59EB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double" w:color="auto" w:sz="6" w:space="0"/>
              <w:bottom w:val="single" w:color="auto" w:sz="6" w:space="0"/>
            </w:tcBorders>
            <w:noWrap/>
            <w:vAlign w:val="center"/>
          </w:tcPr>
          <w:p w14:paraId="357166F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771A74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1F45552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tcBorders>
              <w:top w:val="nil"/>
            </w:tcBorders>
            <w:noWrap/>
            <w:vAlign w:val="center"/>
          </w:tcPr>
          <w:p w14:paraId="567474D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2E7E683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tcBorders>
              <w:top w:val="nil"/>
            </w:tcBorders>
            <w:noWrap/>
            <w:vAlign w:val="center"/>
          </w:tcPr>
          <w:p w14:paraId="57EE0D2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489AA91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tcBorders>
              <w:top w:val="nil"/>
            </w:tcBorders>
            <w:noWrap/>
            <w:vAlign w:val="center"/>
          </w:tcPr>
          <w:p w14:paraId="6060477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tcBorders>
              <w:top w:val="nil"/>
            </w:tcBorders>
            <w:noWrap/>
            <w:vAlign w:val="center"/>
          </w:tcPr>
          <w:p w14:paraId="3536F47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33EA45E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nil"/>
            </w:tcBorders>
            <w:noWrap/>
            <w:vAlign w:val="center"/>
          </w:tcPr>
          <w:p w14:paraId="41367BD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0448039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308AE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641C654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tcBorders>
              <w:top w:val="nil"/>
            </w:tcBorders>
            <w:noWrap/>
            <w:vAlign w:val="center"/>
          </w:tcPr>
          <w:p w14:paraId="6F8FE77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1D3E34B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tcBorders>
              <w:top w:val="nil"/>
            </w:tcBorders>
            <w:noWrap/>
            <w:vAlign w:val="center"/>
          </w:tcPr>
          <w:p w14:paraId="7B66EBE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5BDF0EE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tcBorders>
              <w:top w:val="nil"/>
            </w:tcBorders>
            <w:noWrap/>
            <w:vAlign w:val="center"/>
          </w:tcPr>
          <w:p w14:paraId="5BD55D4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tcBorders>
              <w:top w:val="nil"/>
            </w:tcBorders>
            <w:noWrap/>
            <w:vAlign w:val="center"/>
          </w:tcPr>
          <w:p w14:paraId="605EC57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38D58D5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nil"/>
            </w:tcBorders>
            <w:noWrap/>
            <w:vAlign w:val="center"/>
          </w:tcPr>
          <w:p w14:paraId="6410964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6D376B0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7810CF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0C451B2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noWrap/>
            <w:vAlign w:val="center"/>
          </w:tcPr>
          <w:p w14:paraId="54A4CB0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1E2E7FB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noWrap/>
            <w:vAlign w:val="center"/>
          </w:tcPr>
          <w:p w14:paraId="3E696BE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6D20E14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noWrap/>
            <w:vAlign w:val="center"/>
          </w:tcPr>
          <w:p w14:paraId="5FF588F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noWrap/>
            <w:vAlign w:val="center"/>
          </w:tcPr>
          <w:p w14:paraId="6027C8A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7DB600A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621EB1B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1682CD9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31545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6A2959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tcBorders>
              <w:top w:val="nil"/>
            </w:tcBorders>
            <w:noWrap/>
            <w:vAlign w:val="center"/>
          </w:tcPr>
          <w:p w14:paraId="5949CB7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5CD5785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tcBorders>
              <w:top w:val="nil"/>
            </w:tcBorders>
            <w:noWrap/>
            <w:vAlign w:val="center"/>
          </w:tcPr>
          <w:p w14:paraId="5E3881E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6104F52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tcBorders>
              <w:top w:val="nil"/>
            </w:tcBorders>
            <w:noWrap/>
            <w:vAlign w:val="center"/>
          </w:tcPr>
          <w:p w14:paraId="04DC1D0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tcBorders>
              <w:top w:val="nil"/>
            </w:tcBorders>
            <w:noWrap/>
            <w:vAlign w:val="center"/>
          </w:tcPr>
          <w:p w14:paraId="4C6E7A2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67832F3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nil"/>
            </w:tcBorders>
            <w:noWrap/>
            <w:vAlign w:val="center"/>
          </w:tcPr>
          <w:p w14:paraId="537C070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19E7469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1E040A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775124A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noWrap/>
            <w:vAlign w:val="center"/>
          </w:tcPr>
          <w:p w14:paraId="0F0C572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2669427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noWrap/>
            <w:vAlign w:val="center"/>
          </w:tcPr>
          <w:p w14:paraId="61A603D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37BDB94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noWrap/>
            <w:vAlign w:val="center"/>
          </w:tcPr>
          <w:p w14:paraId="3CE2ADC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noWrap/>
            <w:vAlign w:val="center"/>
          </w:tcPr>
          <w:p w14:paraId="39FC843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022E88F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2989FDE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3F8C7F9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4A2A1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31A1B94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tcBorders>
              <w:top w:val="nil"/>
            </w:tcBorders>
            <w:noWrap/>
            <w:vAlign w:val="center"/>
          </w:tcPr>
          <w:p w14:paraId="589643D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72B18CE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tcBorders>
              <w:top w:val="nil"/>
            </w:tcBorders>
            <w:noWrap/>
            <w:vAlign w:val="center"/>
          </w:tcPr>
          <w:p w14:paraId="444C89E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6345DA6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tcBorders>
              <w:top w:val="nil"/>
            </w:tcBorders>
            <w:noWrap/>
            <w:vAlign w:val="center"/>
          </w:tcPr>
          <w:p w14:paraId="7B42B17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tcBorders>
              <w:top w:val="nil"/>
            </w:tcBorders>
            <w:noWrap/>
            <w:vAlign w:val="center"/>
          </w:tcPr>
          <w:p w14:paraId="2002239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7C4AA9C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nil"/>
            </w:tcBorders>
            <w:noWrap/>
            <w:vAlign w:val="center"/>
          </w:tcPr>
          <w:p w14:paraId="01BE687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6C48AFF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73E609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5C27F0D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tcBorders>
              <w:top w:val="nil"/>
            </w:tcBorders>
            <w:noWrap/>
            <w:vAlign w:val="center"/>
          </w:tcPr>
          <w:p w14:paraId="0DE145A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2185316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tcBorders>
              <w:top w:val="nil"/>
            </w:tcBorders>
            <w:noWrap/>
            <w:vAlign w:val="center"/>
          </w:tcPr>
          <w:p w14:paraId="31037DB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163DB3E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tcBorders>
              <w:top w:val="nil"/>
            </w:tcBorders>
            <w:noWrap/>
            <w:vAlign w:val="center"/>
          </w:tcPr>
          <w:p w14:paraId="12E75BC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tcBorders>
              <w:top w:val="nil"/>
            </w:tcBorders>
            <w:noWrap/>
            <w:vAlign w:val="center"/>
          </w:tcPr>
          <w:p w14:paraId="68F4259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0E7D1D0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nil"/>
            </w:tcBorders>
            <w:noWrap/>
            <w:vAlign w:val="center"/>
          </w:tcPr>
          <w:p w14:paraId="53CAB86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192ED98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270B83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693EA3C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noWrap/>
            <w:vAlign w:val="center"/>
          </w:tcPr>
          <w:p w14:paraId="4D6963F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3AD667F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noWrap/>
            <w:vAlign w:val="center"/>
          </w:tcPr>
          <w:p w14:paraId="4833508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1AB9A24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noWrap/>
            <w:vAlign w:val="center"/>
          </w:tcPr>
          <w:p w14:paraId="01FC156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noWrap/>
            <w:vAlign w:val="center"/>
          </w:tcPr>
          <w:p w14:paraId="7262385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5C15EEB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3B7DC75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288838D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77E41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ign w:val="center"/>
          </w:tcPr>
          <w:p w14:paraId="53DF87D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tcBorders>
              <w:top w:val="nil"/>
            </w:tcBorders>
            <w:noWrap/>
            <w:vAlign w:val="center"/>
          </w:tcPr>
          <w:p w14:paraId="50FFC20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51B483A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tcBorders>
              <w:top w:val="nil"/>
            </w:tcBorders>
            <w:noWrap/>
            <w:vAlign w:val="center"/>
          </w:tcPr>
          <w:p w14:paraId="2EB3E97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424F964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tcBorders>
              <w:top w:val="nil"/>
            </w:tcBorders>
            <w:noWrap/>
            <w:vAlign w:val="center"/>
          </w:tcPr>
          <w:p w14:paraId="69DF260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tcBorders>
              <w:top w:val="nil"/>
            </w:tcBorders>
            <w:noWrap/>
            <w:vAlign w:val="center"/>
          </w:tcPr>
          <w:p w14:paraId="3B36EB0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tcBorders>
              <w:top w:val="nil"/>
            </w:tcBorders>
            <w:noWrap/>
            <w:vAlign w:val="center"/>
          </w:tcPr>
          <w:p w14:paraId="22C81C1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nil"/>
            </w:tcBorders>
            <w:noWrap/>
            <w:vAlign w:val="center"/>
          </w:tcPr>
          <w:p w14:paraId="3733BB5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tcBorders>
              <w:top w:val="nil"/>
            </w:tcBorders>
            <w:noWrap/>
            <w:vAlign w:val="center"/>
          </w:tcPr>
          <w:p w14:paraId="6C7188D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67F2C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ign w:val="center"/>
          </w:tcPr>
          <w:p w14:paraId="1AF0645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843" w:type="dxa"/>
            <w:noWrap/>
            <w:vAlign w:val="center"/>
          </w:tcPr>
          <w:p w14:paraId="44083CD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72F69D3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410" w:type="dxa"/>
            <w:noWrap/>
            <w:vAlign w:val="center"/>
          </w:tcPr>
          <w:p w14:paraId="22CD740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74D2108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560" w:type="dxa"/>
            <w:noWrap/>
            <w:vAlign w:val="center"/>
          </w:tcPr>
          <w:p w14:paraId="217DF23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2126" w:type="dxa"/>
            <w:noWrap/>
            <w:vAlign w:val="center"/>
          </w:tcPr>
          <w:p w14:paraId="6204488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7" w:type="dxa"/>
            <w:noWrap/>
            <w:vAlign w:val="center"/>
          </w:tcPr>
          <w:p w14:paraId="2E096A4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050424B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0" w:type="dxa"/>
            <w:noWrap/>
            <w:vAlign w:val="center"/>
          </w:tcPr>
          <w:p w14:paraId="64145D8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bl>
    <w:p w14:paraId="01E2F528">
      <w:pPr>
        <w:adjustRightInd w:val="0"/>
        <w:snapToGrid w:val="0"/>
        <w:spacing w:line="360" w:lineRule="auto"/>
        <w:jc w:val="left"/>
        <w:rPr>
          <w:rFonts w:hint="eastAsia" w:ascii="宋体" w:hAnsi="宋体" w:eastAsia="宋体" w:cs="宋体"/>
          <w:color w:val="auto"/>
          <w:spacing w:val="1"/>
          <w:sz w:val="21"/>
          <w:szCs w:val="21"/>
        </w:rPr>
        <w:sectPr>
          <w:pgSz w:w="16838" w:h="11900" w:orient="landscape"/>
          <w:pgMar w:top="1361" w:right="1361" w:bottom="1361" w:left="1361" w:header="720" w:footer="720" w:gutter="0"/>
          <w:cols w:space="720" w:num="1"/>
          <w:docGrid w:linePitch="312" w:charSpace="0"/>
        </w:sectPr>
      </w:pPr>
    </w:p>
    <w:p w14:paraId="0A55558A">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附</w:t>
      </w:r>
      <w:bookmarkStart w:id="1583" w:name="_Toc296891056"/>
      <w:bookmarkStart w:id="1584" w:name="_Toc296944567"/>
      <w:bookmarkStart w:id="1585" w:name="_Toc296891268"/>
      <w:bookmarkStart w:id="1586" w:name="_Toc267261699"/>
      <w:bookmarkStart w:id="1587" w:name="_Toc296347227"/>
      <w:bookmarkStart w:id="1588" w:name="_Toc296346729"/>
      <w:bookmarkStart w:id="1589" w:name="_Toc296503228"/>
      <w:r>
        <w:rPr>
          <w:rFonts w:hint="eastAsia" w:ascii="宋体" w:hAnsi="宋体" w:eastAsia="宋体" w:cs="宋体"/>
          <w:color w:val="auto"/>
          <w:sz w:val="21"/>
          <w:szCs w:val="21"/>
        </w:rPr>
        <w:t>件2：</w:t>
      </w:r>
    </w:p>
    <w:p w14:paraId="4FD9E323">
      <w:pPr>
        <w:spacing w:line="440" w:lineRule="exact"/>
        <w:ind w:firstLine="1320" w:firstLineChars="600"/>
        <w:rPr>
          <w:rFonts w:hint="eastAsia" w:ascii="宋体" w:hAnsi="宋体" w:eastAsia="宋体" w:cs="宋体"/>
          <w:color w:val="auto"/>
          <w:sz w:val="18"/>
          <w:szCs w:val="21"/>
        </w:rPr>
      </w:pPr>
      <w:r>
        <w:rPr>
          <w:rFonts w:hint="eastAsia" w:ascii="宋体" w:hAnsi="宋体" w:eastAsia="宋体" w:cs="宋体"/>
          <w:color w:val="auto"/>
          <w:sz w:val="22"/>
          <w:szCs w:val="22"/>
        </w:rPr>
        <w:t>项目管理机构及施工现场管理人员安排报告</w:t>
      </w:r>
    </w:p>
    <w:bookmarkEnd w:id="1583"/>
    <w:bookmarkEnd w:id="1584"/>
    <w:bookmarkEnd w:id="1585"/>
    <w:bookmarkEnd w:id="1586"/>
    <w:bookmarkEnd w:id="1587"/>
    <w:bookmarkEnd w:id="1588"/>
    <w:bookmarkEnd w:id="1589"/>
    <w:tbl>
      <w:tblPr>
        <w:tblStyle w:val="27"/>
        <w:tblW w:w="99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04"/>
        <w:gridCol w:w="1442"/>
        <w:gridCol w:w="1154"/>
        <w:gridCol w:w="1154"/>
        <w:gridCol w:w="4326"/>
      </w:tblGrid>
      <w:tr w14:paraId="232FB1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3" w:hRule="atLeast"/>
          <w:jc w:val="center"/>
        </w:trPr>
        <w:tc>
          <w:tcPr>
            <w:tcW w:w="1904" w:type="dxa"/>
            <w:tcBorders>
              <w:top w:val="single" w:color="auto" w:sz="12" w:space="0"/>
              <w:bottom w:val="double" w:color="auto" w:sz="6" w:space="0"/>
            </w:tcBorders>
            <w:noWrap/>
            <w:vAlign w:val="center"/>
          </w:tcPr>
          <w:p w14:paraId="3705AADB">
            <w:pPr>
              <w:keepNext w:val="0"/>
              <w:keepLines w:val="0"/>
              <w:suppressLineNumbers w:val="0"/>
              <w:spacing w:before="0" w:beforeAutospacing="0" w:after="0" w:afterAutospacing="0" w:line="440" w:lineRule="exact"/>
              <w:ind w:left="0" w:right="0" w:firstLine="630" w:firstLineChars="300"/>
              <w:rPr>
                <w:rFonts w:hint="eastAsia" w:ascii="宋体" w:hAnsi="宋体" w:eastAsia="宋体" w:cs="宋体"/>
                <w:color w:val="auto"/>
                <w:sz w:val="21"/>
                <w:szCs w:val="21"/>
              </w:rPr>
            </w:pPr>
            <w:r>
              <w:rPr>
                <w:rFonts w:hint="eastAsia" w:ascii="宋体" w:hAnsi="宋体" w:eastAsia="宋体" w:cs="宋体"/>
                <w:color w:val="auto"/>
                <w:sz w:val="21"/>
                <w:szCs w:val="21"/>
              </w:rPr>
              <w:t>名    称</w:t>
            </w:r>
          </w:p>
        </w:tc>
        <w:tc>
          <w:tcPr>
            <w:tcW w:w="1442" w:type="dxa"/>
            <w:tcBorders>
              <w:top w:val="single" w:color="auto" w:sz="12" w:space="0"/>
              <w:bottom w:val="double" w:color="auto" w:sz="6" w:space="0"/>
            </w:tcBorders>
            <w:noWrap/>
            <w:vAlign w:val="center"/>
          </w:tcPr>
          <w:p w14:paraId="685B37A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姓名</w:t>
            </w:r>
          </w:p>
        </w:tc>
        <w:tc>
          <w:tcPr>
            <w:tcW w:w="1154" w:type="dxa"/>
            <w:tcBorders>
              <w:top w:val="single" w:color="auto" w:sz="12" w:space="0"/>
              <w:bottom w:val="double" w:color="auto" w:sz="6" w:space="0"/>
            </w:tcBorders>
            <w:noWrap/>
            <w:vAlign w:val="center"/>
          </w:tcPr>
          <w:p w14:paraId="5C24A20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职务</w:t>
            </w:r>
          </w:p>
        </w:tc>
        <w:tc>
          <w:tcPr>
            <w:tcW w:w="1154" w:type="dxa"/>
            <w:tcBorders>
              <w:top w:val="single" w:color="auto" w:sz="12" w:space="0"/>
              <w:bottom w:val="double" w:color="auto" w:sz="6" w:space="0"/>
            </w:tcBorders>
            <w:noWrap/>
            <w:vAlign w:val="center"/>
          </w:tcPr>
          <w:p w14:paraId="2B9EECD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职称</w:t>
            </w:r>
          </w:p>
        </w:tc>
        <w:tc>
          <w:tcPr>
            <w:tcW w:w="4326" w:type="dxa"/>
            <w:tcBorders>
              <w:top w:val="single" w:color="auto" w:sz="12" w:space="0"/>
              <w:bottom w:val="double" w:color="auto" w:sz="6" w:space="0"/>
            </w:tcBorders>
            <w:noWrap/>
            <w:vAlign w:val="center"/>
          </w:tcPr>
          <w:p w14:paraId="0EE7F7A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计划进场时间</w:t>
            </w:r>
          </w:p>
        </w:tc>
      </w:tr>
      <w:tr w14:paraId="5B7D7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4" w:hRule="atLeast"/>
          <w:jc w:val="center"/>
        </w:trPr>
        <w:tc>
          <w:tcPr>
            <w:tcW w:w="9980" w:type="dxa"/>
            <w:gridSpan w:val="5"/>
            <w:tcBorders>
              <w:top w:val="double" w:color="auto" w:sz="6" w:space="0"/>
              <w:bottom w:val="single" w:color="auto" w:sz="6" w:space="0"/>
            </w:tcBorders>
            <w:noWrap/>
            <w:vAlign w:val="center"/>
          </w:tcPr>
          <w:p w14:paraId="36C3AED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一、总部人员</w:t>
            </w:r>
          </w:p>
        </w:tc>
      </w:tr>
      <w:tr w14:paraId="1DF6C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nil"/>
              <w:bottom w:val="nil"/>
            </w:tcBorders>
            <w:noWrap/>
            <w:vAlign w:val="center"/>
          </w:tcPr>
          <w:p w14:paraId="2CCD507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项目主管</w:t>
            </w:r>
          </w:p>
        </w:tc>
        <w:tc>
          <w:tcPr>
            <w:tcW w:w="1442" w:type="dxa"/>
            <w:tcBorders>
              <w:top w:val="nil"/>
            </w:tcBorders>
            <w:noWrap/>
            <w:vAlign w:val="center"/>
          </w:tcPr>
          <w:p w14:paraId="37823C8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tcBorders>
              <w:top w:val="nil"/>
            </w:tcBorders>
            <w:noWrap/>
            <w:vAlign w:val="center"/>
          </w:tcPr>
          <w:p w14:paraId="535387F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tcBorders>
              <w:top w:val="nil"/>
            </w:tcBorders>
            <w:noWrap/>
            <w:vAlign w:val="center"/>
          </w:tcPr>
          <w:p w14:paraId="690E94B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tcBorders>
              <w:top w:val="nil"/>
            </w:tcBorders>
            <w:noWrap/>
            <w:vAlign w:val="center"/>
          </w:tcPr>
          <w:p w14:paraId="6EFD541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75574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vMerge w:val="restart"/>
            <w:tcBorders>
              <w:top w:val="single" w:color="auto" w:sz="6" w:space="0"/>
            </w:tcBorders>
            <w:noWrap/>
            <w:vAlign w:val="center"/>
          </w:tcPr>
          <w:p w14:paraId="2DA26C3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其他人员</w:t>
            </w:r>
          </w:p>
        </w:tc>
        <w:tc>
          <w:tcPr>
            <w:tcW w:w="1442" w:type="dxa"/>
            <w:noWrap/>
            <w:vAlign w:val="center"/>
          </w:tcPr>
          <w:p w14:paraId="69DFA36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4C6F228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5D90561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41D3EE6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63014C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vMerge w:val="continue"/>
            <w:noWrap/>
            <w:vAlign w:val="center"/>
          </w:tcPr>
          <w:p w14:paraId="18F7D98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42" w:type="dxa"/>
            <w:noWrap/>
            <w:vAlign w:val="center"/>
          </w:tcPr>
          <w:p w14:paraId="330F622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55CABFE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69816BF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380C0B0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47A4A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vMerge w:val="continue"/>
            <w:tcBorders>
              <w:bottom w:val="nil"/>
            </w:tcBorders>
            <w:noWrap/>
            <w:vAlign w:val="center"/>
          </w:tcPr>
          <w:p w14:paraId="1E6853B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42" w:type="dxa"/>
            <w:noWrap/>
            <w:vAlign w:val="center"/>
          </w:tcPr>
          <w:p w14:paraId="79AEEAB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0AFADBD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4FEB8D9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13F84E6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1E3CAD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9980" w:type="dxa"/>
            <w:gridSpan w:val="5"/>
            <w:tcBorders>
              <w:top w:val="single" w:color="auto" w:sz="6" w:space="0"/>
              <w:bottom w:val="single" w:color="auto" w:sz="6" w:space="0"/>
            </w:tcBorders>
            <w:noWrap/>
            <w:vAlign w:val="center"/>
          </w:tcPr>
          <w:p w14:paraId="32EEE66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二、现场人员</w:t>
            </w:r>
          </w:p>
        </w:tc>
      </w:tr>
      <w:tr w14:paraId="5E006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bottom w:val="single" w:color="auto" w:sz="6" w:space="0"/>
            </w:tcBorders>
            <w:noWrap/>
            <w:vAlign w:val="center"/>
          </w:tcPr>
          <w:p w14:paraId="6F931FC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项目经理</w:t>
            </w:r>
          </w:p>
        </w:tc>
        <w:tc>
          <w:tcPr>
            <w:tcW w:w="1442" w:type="dxa"/>
            <w:noWrap/>
            <w:vAlign w:val="center"/>
          </w:tcPr>
          <w:p w14:paraId="5E09985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3B98FEF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04BDEBB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74A96ED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6B45F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bottom w:val="single" w:color="auto" w:sz="6" w:space="0"/>
            </w:tcBorders>
            <w:noWrap/>
            <w:vAlign w:val="center"/>
          </w:tcPr>
          <w:p w14:paraId="75C1600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项目副经理</w:t>
            </w:r>
          </w:p>
        </w:tc>
        <w:tc>
          <w:tcPr>
            <w:tcW w:w="1442" w:type="dxa"/>
            <w:noWrap/>
            <w:vAlign w:val="center"/>
          </w:tcPr>
          <w:p w14:paraId="4F408D7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690DAA8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4E53169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2D54EEF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3CD3D6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bottom w:val="single" w:color="auto" w:sz="6" w:space="0"/>
            </w:tcBorders>
            <w:noWrap/>
            <w:vAlign w:val="center"/>
          </w:tcPr>
          <w:p w14:paraId="3FCE556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技术负责人</w:t>
            </w:r>
          </w:p>
        </w:tc>
        <w:tc>
          <w:tcPr>
            <w:tcW w:w="1442" w:type="dxa"/>
            <w:noWrap/>
            <w:vAlign w:val="center"/>
          </w:tcPr>
          <w:p w14:paraId="306CEAB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2762E1D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3A84563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5AE3434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489AEA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bottom w:val="single" w:color="auto" w:sz="6" w:space="0"/>
            </w:tcBorders>
            <w:noWrap/>
            <w:vAlign w:val="center"/>
          </w:tcPr>
          <w:p w14:paraId="368FC4D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造价管理</w:t>
            </w:r>
          </w:p>
        </w:tc>
        <w:tc>
          <w:tcPr>
            <w:tcW w:w="1442" w:type="dxa"/>
            <w:noWrap/>
            <w:vAlign w:val="center"/>
          </w:tcPr>
          <w:p w14:paraId="6DDDAFB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380421F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0BE85E8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5751787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4DA34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tcBorders>
            <w:noWrap/>
            <w:vAlign w:val="center"/>
          </w:tcPr>
          <w:p w14:paraId="212911A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质量管理</w:t>
            </w:r>
          </w:p>
        </w:tc>
        <w:tc>
          <w:tcPr>
            <w:tcW w:w="1442" w:type="dxa"/>
            <w:noWrap/>
            <w:vAlign w:val="center"/>
          </w:tcPr>
          <w:p w14:paraId="0CD6519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7868215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4607E75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6E2EBAD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61984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bottom w:val="single" w:color="auto" w:sz="6" w:space="0"/>
            </w:tcBorders>
            <w:noWrap/>
            <w:vAlign w:val="center"/>
          </w:tcPr>
          <w:p w14:paraId="6831735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材料管理</w:t>
            </w:r>
          </w:p>
        </w:tc>
        <w:tc>
          <w:tcPr>
            <w:tcW w:w="1442" w:type="dxa"/>
            <w:noWrap/>
            <w:vAlign w:val="center"/>
          </w:tcPr>
          <w:p w14:paraId="510EC3E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08B74FC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400030E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6128652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3F90E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bottom w:val="single" w:color="auto" w:sz="6" w:space="0"/>
            </w:tcBorders>
            <w:noWrap/>
            <w:vAlign w:val="center"/>
          </w:tcPr>
          <w:p w14:paraId="38CE389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计划管理</w:t>
            </w:r>
          </w:p>
        </w:tc>
        <w:tc>
          <w:tcPr>
            <w:tcW w:w="1442" w:type="dxa"/>
            <w:noWrap/>
            <w:vAlign w:val="center"/>
          </w:tcPr>
          <w:p w14:paraId="63BA682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7C6073F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035E2FF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5F0E300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02E9C9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tcBorders>
              <w:top w:val="single" w:color="auto" w:sz="6" w:space="0"/>
            </w:tcBorders>
            <w:noWrap/>
            <w:vAlign w:val="center"/>
          </w:tcPr>
          <w:p w14:paraId="0DAC804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安全管理</w:t>
            </w:r>
          </w:p>
        </w:tc>
        <w:tc>
          <w:tcPr>
            <w:tcW w:w="1442" w:type="dxa"/>
            <w:noWrap/>
            <w:vAlign w:val="center"/>
          </w:tcPr>
          <w:p w14:paraId="1F83634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01CBDFE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6AC8F3E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2789173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245D5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vMerge w:val="restart"/>
            <w:tcBorders>
              <w:top w:val="single" w:color="auto" w:sz="6" w:space="0"/>
            </w:tcBorders>
            <w:noWrap/>
            <w:vAlign w:val="center"/>
          </w:tcPr>
          <w:p w14:paraId="2569493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其他人员</w:t>
            </w:r>
          </w:p>
        </w:tc>
        <w:tc>
          <w:tcPr>
            <w:tcW w:w="1442" w:type="dxa"/>
            <w:noWrap/>
            <w:vAlign w:val="center"/>
          </w:tcPr>
          <w:p w14:paraId="312F52A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561C2C9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noWrap/>
            <w:vAlign w:val="center"/>
          </w:tcPr>
          <w:p w14:paraId="047BDD0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noWrap/>
            <w:vAlign w:val="center"/>
          </w:tcPr>
          <w:p w14:paraId="6E56F7C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26D9B2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1" w:hRule="atLeast"/>
          <w:jc w:val="center"/>
        </w:trPr>
        <w:tc>
          <w:tcPr>
            <w:tcW w:w="1904" w:type="dxa"/>
            <w:vMerge w:val="continue"/>
            <w:noWrap/>
            <w:vAlign w:val="center"/>
          </w:tcPr>
          <w:p w14:paraId="136B698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42" w:type="dxa"/>
            <w:tcBorders>
              <w:bottom w:val="nil"/>
            </w:tcBorders>
            <w:noWrap/>
            <w:vAlign w:val="center"/>
          </w:tcPr>
          <w:p w14:paraId="6AA5FC4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tcBorders>
              <w:bottom w:val="nil"/>
            </w:tcBorders>
            <w:noWrap/>
            <w:vAlign w:val="center"/>
          </w:tcPr>
          <w:p w14:paraId="123FF66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154" w:type="dxa"/>
            <w:tcBorders>
              <w:bottom w:val="nil"/>
            </w:tcBorders>
            <w:noWrap/>
            <w:vAlign w:val="center"/>
          </w:tcPr>
          <w:p w14:paraId="4307378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4326" w:type="dxa"/>
            <w:tcBorders>
              <w:bottom w:val="nil"/>
            </w:tcBorders>
            <w:noWrap/>
            <w:vAlign w:val="center"/>
          </w:tcPr>
          <w:p w14:paraId="68880AF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bl>
    <w:p w14:paraId="186353DA">
      <w:pPr>
        <w:adjustRightInd w:val="0"/>
        <w:snapToGrid w:val="0"/>
        <w:spacing w:line="360" w:lineRule="auto"/>
        <w:jc w:val="left"/>
        <w:rPr>
          <w:rFonts w:hint="eastAsia" w:ascii="宋体" w:hAnsi="宋体" w:eastAsia="宋体" w:cs="宋体"/>
          <w:color w:val="auto"/>
          <w:spacing w:val="1"/>
          <w:sz w:val="21"/>
          <w:szCs w:val="21"/>
        </w:rPr>
      </w:pPr>
    </w:p>
    <w:p w14:paraId="4A746AFE">
      <w:pPr>
        <w:adjustRightInd w:val="0"/>
        <w:snapToGrid w:val="0"/>
        <w:spacing w:line="360" w:lineRule="auto"/>
        <w:jc w:val="left"/>
        <w:rPr>
          <w:rFonts w:hint="eastAsia" w:ascii="宋体" w:hAnsi="宋体" w:eastAsia="宋体" w:cs="宋体"/>
          <w:color w:val="auto"/>
          <w:spacing w:val="1"/>
          <w:sz w:val="21"/>
          <w:szCs w:val="21"/>
        </w:rPr>
      </w:pPr>
    </w:p>
    <w:p w14:paraId="600E8EEC">
      <w:pPr>
        <w:pStyle w:val="8"/>
        <w:rPr>
          <w:rFonts w:hint="eastAsia" w:ascii="宋体" w:hAnsi="宋体" w:eastAsia="宋体" w:cs="宋体"/>
          <w:color w:val="auto"/>
          <w:spacing w:val="1"/>
          <w:sz w:val="21"/>
          <w:szCs w:val="21"/>
        </w:rPr>
      </w:pPr>
    </w:p>
    <w:p w14:paraId="244CC1E8">
      <w:pPr>
        <w:rPr>
          <w:rFonts w:hint="eastAsia"/>
        </w:rPr>
      </w:pPr>
    </w:p>
    <w:p w14:paraId="3802BBB8">
      <w:pPr>
        <w:adjustRightInd w:val="0"/>
        <w:snapToGrid w:val="0"/>
        <w:spacing w:line="360" w:lineRule="auto"/>
        <w:jc w:val="left"/>
        <w:rPr>
          <w:rFonts w:hint="eastAsia" w:ascii="宋体" w:hAnsi="宋体" w:eastAsia="宋体" w:cs="宋体"/>
          <w:color w:val="auto"/>
          <w:spacing w:val="1"/>
          <w:sz w:val="21"/>
          <w:szCs w:val="21"/>
        </w:rPr>
      </w:pPr>
    </w:p>
    <w:p w14:paraId="4576ECA1">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附</w:t>
      </w:r>
      <w:bookmarkStart w:id="1590" w:name="_Toc267261692"/>
      <w:bookmarkStart w:id="1591" w:name="_Toc296891265"/>
      <w:bookmarkStart w:id="1592" w:name="_Toc296891053"/>
      <w:bookmarkStart w:id="1593" w:name="_Toc296346726"/>
      <w:bookmarkStart w:id="1594" w:name="_Toc296944564"/>
      <w:bookmarkStart w:id="1595" w:name="_Toc296503225"/>
      <w:bookmarkStart w:id="1596" w:name="_Toc296347224"/>
      <w:r>
        <w:rPr>
          <w:rFonts w:hint="eastAsia" w:ascii="宋体" w:hAnsi="宋体" w:eastAsia="宋体" w:cs="宋体"/>
          <w:color w:val="auto"/>
          <w:sz w:val="21"/>
          <w:szCs w:val="21"/>
        </w:rPr>
        <w:t>件3：</w:t>
      </w:r>
    </w:p>
    <w:bookmarkEnd w:id="1590"/>
    <w:bookmarkEnd w:id="1591"/>
    <w:bookmarkEnd w:id="1592"/>
    <w:bookmarkEnd w:id="1593"/>
    <w:bookmarkEnd w:id="1594"/>
    <w:bookmarkEnd w:id="1595"/>
    <w:bookmarkEnd w:id="1596"/>
    <w:p w14:paraId="4F9D8827">
      <w:pPr>
        <w:spacing w:before="156" w:beforeLines="50" w:after="156" w:afterLines="5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承包人用于本工程的主要机械设备清单</w:t>
      </w:r>
    </w:p>
    <w:tbl>
      <w:tblPr>
        <w:tblStyle w:val="27"/>
        <w:tblW w:w="94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418"/>
        <w:gridCol w:w="940"/>
        <w:gridCol w:w="851"/>
        <w:gridCol w:w="1044"/>
        <w:gridCol w:w="992"/>
        <w:gridCol w:w="1317"/>
        <w:gridCol w:w="1021"/>
        <w:gridCol w:w="992"/>
      </w:tblGrid>
      <w:tr w14:paraId="24DD8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ign w:val="center"/>
          </w:tcPr>
          <w:p w14:paraId="468A51E1">
            <w:pPr>
              <w:pStyle w:val="51"/>
              <w:keepNext w:val="0"/>
              <w:keepLines w:val="0"/>
              <w:suppressLineNumbers w:val="0"/>
              <w:adjustRightInd w:val="0"/>
              <w:snapToGrid w:val="0"/>
              <w:spacing w:before="0" w:beforeAutospacing="0" w:after="0" w:afterAutospacing="0" w:line="285" w:lineRule="exac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1"/>
                <w:kern w:val="2"/>
                <w:sz w:val="21"/>
                <w:szCs w:val="21"/>
              </w:rPr>
              <w:t>序号</w:t>
            </w:r>
          </w:p>
        </w:tc>
        <w:tc>
          <w:tcPr>
            <w:tcW w:w="1418" w:type="dxa"/>
            <w:tcBorders>
              <w:top w:val="single" w:color="auto" w:sz="12" w:space="0"/>
              <w:bottom w:val="double" w:color="auto" w:sz="6" w:space="0"/>
            </w:tcBorders>
            <w:noWrap/>
            <w:vAlign w:val="center"/>
          </w:tcPr>
          <w:p w14:paraId="52294130">
            <w:pPr>
              <w:pStyle w:val="51"/>
              <w:keepNext w:val="0"/>
              <w:keepLines w:val="0"/>
              <w:suppressLineNumbers w:val="0"/>
              <w:adjustRightInd w:val="0"/>
              <w:snapToGrid w:val="0"/>
              <w:spacing w:before="0" w:beforeAutospacing="0" w:after="0" w:afterAutospacing="0" w:line="285" w:lineRule="exac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1"/>
                <w:kern w:val="2"/>
                <w:sz w:val="21"/>
                <w:szCs w:val="21"/>
              </w:rPr>
              <w:t>机械或</w:t>
            </w:r>
            <w:r>
              <w:rPr>
                <w:rFonts w:hint="eastAsia" w:ascii="宋体" w:hAnsi="宋体" w:eastAsia="宋体" w:cs="宋体"/>
                <w:color w:val="auto"/>
                <w:spacing w:val="21"/>
                <w:kern w:val="2"/>
                <w:sz w:val="21"/>
                <w:szCs w:val="21"/>
                <w:lang w:eastAsia="zh-CN"/>
              </w:rPr>
              <w:t>设备</w:t>
            </w:r>
          </w:p>
          <w:p w14:paraId="0FED2A95">
            <w:pPr>
              <w:pStyle w:val="51"/>
              <w:keepNext w:val="0"/>
              <w:keepLines w:val="0"/>
              <w:suppressLineNumbers w:val="0"/>
              <w:adjustRightInd w:val="0"/>
              <w:snapToGrid w:val="0"/>
              <w:spacing w:before="0" w:beforeAutospacing="0" w:after="0" w:afterAutospacing="0" w:line="285" w:lineRule="exac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1"/>
                <w:kern w:val="2"/>
                <w:sz w:val="21"/>
                <w:szCs w:val="21"/>
              </w:rPr>
              <w:t>备名称</w:t>
            </w:r>
          </w:p>
        </w:tc>
        <w:tc>
          <w:tcPr>
            <w:tcW w:w="940" w:type="dxa"/>
            <w:tcBorders>
              <w:top w:val="single" w:color="auto" w:sz="12" w:space="0"/>
              <w:bottom w:val="double" w:color="auto" w:sz="6" w:space="0"/>
            </w:tcBorders>
            <w:noWrap/>
            <w:vAlign w:val="center"/>
          </w:tcPr>
          <w:p w14:paraId="4152F986">
            <w:pPr>
              <w:pStyle w:val="51"/>
              <w:keepNext w:val="0"/>
              <w:keepLines w:val="0"/>
              <w:suppressLineNumbers w:val="0"/>
              <w:adjustRightInd w:val="0"/>
              <w:snapToGrid w:val="0"/>
              <w:spacing w:before="0" w:beforeAutospacing="0" w:after="0" w:afterAutospacing="0" w:line="285" w:lineRule="exac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0"/>
                <w:kern w:val="2"/>
                <w:sz w:val="21"/>
                <w:szCs w:val="21"/>
              </w:rPr>
              <w:t>规格</w:t>
            </w:r>
          </w:p>
          <w:p w14:paraId="27F94DA5">
            <w:pPr>
              <w:pStyle w:val="51"/>
              <w:keepNext w:val="0"/>
              <w:keepLines w:val="0"/>
              <w:suppressLineNumbers w:val="0"/>
              <w:adjustRightInd w:val="0"/>
              <w:snapToGrid w:val="0"/>
              <w:spacing w:before="0" w:beforeAutospacing="0" w:after="0" w:afterAutospacing="0" w:line="0" w:lineRule="atLeas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0"/>
                <w:kern w:val="2"/>
                <w:sz w:val="21"/>
                <w:szCs w:val="21"/>
              </w:rPr>
              <w:t>型号</w:t>
            </w:r>
          </w:p>
        </w:tc>
        <w:tc>
          <w:tcPr>
            <w:tcW w:w="851" w:type="dxa"/>
            <w:tcBorders>
              <w:top w:val="single" w:color="auto" w:sz="12" w:space="0"/>
              <w:bottom w:val="double" w:color="auto" w:sz="6" w:space="0"/>
            </w:tcBorders>
            <w:noWrap/>
            <w:vAlign w:val="center"/>
          </w:tcPr>
          <w:p w14:paraId="473452B5">
            <w:pPr>
              <w:pStyle w:val="51"/>
              <w:keepNext w:val="0"/>
              <w:keepLines w:val="0"/>
              <w:suppressLineNumbers w:val="0"/>
              <w:adjustRightInd w:val="0"/>
              <w:snapToGrid w:val="0"/>
              <w:spacing w:before="0" w:beforeAutospacing="0" w:after="0" w:afterAutospacing="0" w:line="285" w:lineRule="exac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1"/>
                <w:kern w:val="2"/>
                <w:sz w:val="21"/>
                <w:szCs w:val="21"/>
              </w:rPr>
              <w:t>数量</w:t>
            </w:r>
          </w:p>
        </w:tc>
        <w:tc>
          <w:tcPr>
            <w:tcW w:w="1044" w:type="dxa"/>
            <w:tcBorders>
              <w:top w:val="single" w:color="auto" w:sz="12" w:space="0"/>
              <w:bottom w:val="double" w:color="auto" w:sz="6" w:space="0"/>
            </w:tcBorders>
            <w:noWrap/>
            <w:vAlign w:val="center"/>
          </w:tcPr>
          <w:p w14:paraId="201AE76E">
            <w:pPr>
              <w:pStyle w:val="51"/>
              <w:keepNext w:val="0"/>
              <w:keepLines w:val="0"/>
              <w:suppressLineNumbers w:val="0"/>
              <w:adjustRightInd w:val="0"/>
              <w:snapToGrid w:val="0"/>
              <w:spacing w:before="0" w:beforeAutospacing="0" w:after="0" w:afterAutospacing="0" w:line="0" w:lineRule="atLeas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0"/>
                <w:kern w:val="2"/>
                <w:sz w:val="21"/>
                <w:szCs w:val="21"/>
              </w:rPr>
              <w:t>产地</w:t>
            </w:r>
          </w:p>
        </w:tc>
        <w:tc>
          <w:tcPr>
            <w:tcW w:w="992" w:type="dxa"/>
            <w:tcBorders>
              <w:top w:val="single" w:color="auto" w:sz="12" w:space="0"/>
              <w:bottom w:val="double" w:color="auto" w:sz="6" w:space="0"/>
            </w:tcBorders>
            <w:noWrap/>
            <w:vAlign w:val="center"/>
          </w:tcPr>
          <w:p w14:paraId="71C09CCC">
            <w:pPr>
              <w:pStyle w:val="51"/>
              <w:keepNext w:val="0"/>
              <w:keepLines w:val="0"/>
              <w:suppressLineNumbers w:val="0"/>
              <w:adjustRightInd w:val="0"/>
              <w:snapToGrid w:val="0"/>
              <w:spacing w:before="0" w:beforeAutospacing="0" w:after="0" w:afterAutospacing="0" w:line="285" w:lineRule="exac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0"/>
                <w:kern w:val="2"/>
                <w:sz w:val="21"/>
                <w:szCs w:val="21"/>
              </w:rPr>
              <w:t>制造</w:t>
            </w:r>
          </w:p>
          <w:p w14:paraId="1EBC15AE">
            <w:pPr>
              <w:pStyle w:val="51"/>
              <w:keepNext w:val="0"/>
              <w:keepLines w:val="0"/>
              <w:suppressLineNumbers w:val="0"/>
              <w:adjustRightInd w:val="0"/>
              <w:snapToGrid w:val="0"/>
              <w:spacing w:before="0" w:beforeAutospacing="0" w:after="0" w:afterAutospacing="0" w:line="285" w:lineRule="exact"/>
              <w:ind w:left="0" w:right="0"/>
              <w:jc w:val="center"/>
              <w:rPr>
                <w:rFonts w:hint="eastAsia" w:ascii="宋体" w:hAnsi="宋体" w:eastAsia="宋体" w:cs="宋体"/>
                <w:color w:val="auto"/>
                <w:kern w:val="2"/>
                <w:sz w:val="21"/>
                <w:szCs w:val="21"/>
              </w:rPr>
            </w:pPr>
            <w:r>
              <w:rPr>
                <w:rFonts w:hint="eastAsia" w:ascii="宋体" w:hAnsi="宋体" w:eastAsia="宋体" w:cs="宋体"/>
                <w:color w:val="auto"/>
                <w:spacing w:val="20"/>
                <w:kern w:val="2"/>
                <w:sz w:val="21"/>
                <w:szCs w:val="21"/>
              </w:rPr>
              <w:t>年份</w:t>
            </w:r>
          </w:p>
        </w:tc>
        <w:tc>
          <w:tcPr>
            <w:tcW w:w="1317" w:type="dxa"/>
            <w:tcBorders>
              <w:top w:val="single" w:color="auto" w:sz="12" w:space="0"/>
              <w:bottom w:val="double" w:color="auto" w:sz="6" w:space="0"/>
            </w:tcBorders>
            <w:noWrap/>
            <w:vAlign w:val="center"/>
          </w:tcPr>
          <w:p w14:paraId="35BA916E">
            <w:pPr>
              <w:pStyle w:val="23"/>
              <w:keepNext w:val="0"/>
              <w:keepLines w:val="0"/>
              <w:widowControl/>
              <w:suppressLineNumbers w:val="0"/>
              <w:adjustRightInd w:val="0"/>
              <w:snapToGrid w:val="0"/>
              <w:spacing w:line="285" w:lineRule="exact"/>
              <w:ind w:left="0" w:right="0"/>
              <w:jc w:val="center"/>
              <w:rPr>
                <w:rFonts w:hint="eastAsia" w:ascii="宋体" w:hAnsi="宋体" w:eastAsia="宋体" w:cs="宋体"/>
                <w:color w:val="auto"/>
                <w:spacing w:val="21"/>
                <w:kern w:val="0"/>
                <w:sz w:val="21"/>
                <w:szCs w:val="21"/>
              </w:rPr>
            </w:pPr>
            <w:r>
              <w:rPr>
                <w:rFonts w:hint="eastAsia" w:ascii="宋体" w:hAnsi="宋体" w:eastAsia="宋体" w:cs="宋体"/>
                <w:color w:val="auto"/>
                <w:spacing w:val="21"/>
                <w:kern w:val="0"/>
                <w:sz w:val="21"/>
                <w:szCs w:val="21"/>
              </w:rPr>
              <w:t>额定功率</w:t>
            </w:r>
          </w:p>
          <w:p w14:paraId="179128BB">
            <w:pPr>
              <w:pStyle w:val="23"/>
              <w:keepNext w:val="0"/>
              <w:keepLines w:val="0"/>
              <w:widowControl/>
              <w:suppressLineNumbers w:val="0"/>
              <w:adjustRightInd w:val="0"/>
              <w:snapToGrid w:val="0"/>
              <w:spacing w:line="285" w:lineRule="exact"/>
              <w:ind w:left="0" w:right="0"/>
              <w:jc w:val="center"/>
              <w:rPr>
                <w:rFonts w:hint="eastAsia" w:ascii="宋体" w:hAnsi="宋体" w:eastAsia="宋体" w:cs="宋体"/>
                <w:color w:val="auto"/>
                <w:spacing w:val="21"/>
                <w:kern w:val="0"/>
                <w:sz w:val="21"/>
                <w:szCs w:val="21"/>
              </w:rPr>
            </w:pPr>
            <w:r>
              <w:rPr>
                <w:rFonts w:hint="eastAsia" w:ascii="宋体" w:hAnsi="宋体" w:eastAsia="宋体" w:cs="宋体"/>
                <w:color w:val="auto"/>
                <w:spacing w:val="21"/>
                <w:kern w:val="0"/>
                <w:sz w:val="21"/>
                <w:szCs w:val="21"/>
              </w:rPr>
              <w:t>（kW）</w:t>
            </w:r>
          </w:p>
        </w:tc>
        <w:tc>
          <w:tcPr>
            <w:tcW w:w="1021" w:type="dxa"/>
            <w:tcBorders>
              <w:top w:val="single" w:color="auto" w:sz="12" w:space="0"/>
              <w:bottom w:val="double" w:color="auto" w:sz="6" w:space="0"/>
            </w:tcBorders>
            <w:noWrap/>
            <w:vAlign w:val="center"/>
          </w:tcPr>
          <w:p w14:paraId="2020B294">
            <w:pPr>
              <w:pStyle w:val="23"/>
              <w:keepNext w:val="0"/>
              <w:keepLines w:val="0"/>
              <w:widowControl/>
              <w:suppressLineNumbers w:val="0"/>
              <w:adjustRightInd w:val="0"/>
              <w:snapToGrid w:val="0"/>
              <w:spacing w:line="285" w:lineRule="exact"/>
              <w:ind w:left="0" w:right="0"/>
              <w:jc w:val="center"/>
              <w:rPr>
                <w:rFonts w:hint="eastAsia" w:ascii="宋体" w:hAnsi="宋体" w:eastAsia="宋体" w:cs="宋体"/>
                <w:color w:val="auto"/>
                <w:spacing w:val="21"/>
                <w:kern w:val="0"/>
                <w:sz w:val="21"/>
                <w:szCs w:val="21"/>
              </w:rPr>
            </w:pPr>
            <w:r>
              <w:rPr>
                <w:rFonts w:hint="eastAsia" w:ascii="宋体" w:hAnsi="宋体" w:eastAsia="宋体" w:cs="宋体"/>
                <w:color w:val="auto"/>
                <w:spacing w:val="21"/>
                <w:kern w:val="0"/>
                <w:sz w:val="21"/>
                <w:szCs w:val="21"/>
              </w:rPr>
              <w:t>生产</w:t>
            </w:r>
          </w:p>
          <w:p w14:paraId="5DBD9F2E">
            <w:pPr>
              <w:pStyle w:val="23"/>
              <w:keepNext w:val="0"/>
              <w:keepLines w:val="0"/>
              <w:widowControl/>
              <w:suppressLineNumbers w:val="0"/>
              <w:adjustRightInd w:val="0"/>
              <w:snapToGrid w:val="0"/>
              <w:spacing w:line="285" w:lineRule="exact"/>
              <w:ind w:left="0" w:right="0"/>
              <w:jc w:val="center"/>
              <w:rPr>
                <w:rFonts w:hint="eastAsia" w:ascii="宋体" w:hAnsi="宋体" w:eastAsia="宋体" w:cs="宋体"/>
                <w:color w:val="auto"/>
                <w:spacing w:val="21"/>
                <w:kern w:val="0"/>
                <w:sz w:val="21"/>
                <w:szCs w:val="21"/>
              </w:rPr>
            </w:pPr>
            <w:r>
              <w:rPr>
                <w:rFonts w:hint="eastAsia" w:ascii="宋体" w:hAnsi="宋体" w:eastAsia="宋体" w:cs="宋体"/>
                <w:color w:val="auto"/>
                <w:spacing w:val="21"/>
                <w:kern w:val="0"/>
                <w:sz w:val="21"/>
                <w:szCs w:val="21"/>
              </w:rPr>
              <w:t>能力</w:t>
            </w:r>
          </w:p>
        </w:tc>
        <w:tc>
          <w:tcPr>
            <w:tcW w:w="992" w:type="dxa"/>
            <w:tcBorders>
              <w:top w:val="single" w:color="auto" w:sz="12" w:space="0"/>
              <w:bottom w:val="double" w:color="auto" w:sz="6" w:space="0"/>
            </w:tcBorders>
            <w:noWrap/>
            <w:vAlign w:val="center"/>
          </w:tcPr>
          <w:p w14:paraId="521EB37E">
            <w:pPr>
              <w:pStyle w:val="23"/>
              <w:keepNext w:val="0"/>
              <w:keepLines w:val="0"/>
              <w:widowControl/>
              <w:suppressLineNumbers w:val="0"/>
              <w:adjustRightInd w:val="0"/>
              <w:snapToGrid w:val="0"/>
              <w:spacing w:line="285" w:lineRule="exact"/>
              <w:ind w:left="0" w:right="0"/>
              <w:jc w:val="center"/>
              <w:rPr>
                <w:rFonts w:hint="eastAsia" w:ascii="宋体" w:hAnsi="宋体" w:eastAsia="宋体" w:cs="宋体"/>
                <w:color w:val="auto"/>
                <w:spacing w:val="21"/>
                <w:kern w:val="0"/>
                <w:sz w:val="21"/>
                <w:szCs w:val="21"/>
              </w:rPr>
            </w:pPr>
            <w:r>
              <w:rPr>
                <w:rFonts w:hint="eastAsia" w:ascii="宋体" w:hAnsi="宋体" w:eastAsia="宋体" w:cs="宋体"/>
                <w:color w:val="auto"/>
                <w:spacing w:val="21"/>
                <w:kern w:val="0"/>
                <w:sz w:val="21"/>
                <w:szCs w:val="21"/>
              </w:rPr>
              <w:t>备注</w:t>
            </w:r>
          </w:p>
        </w:tc>
      </w:tr>
      <w:tr w14:paraId="20FDC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ign w:val="center"/>
          </w:tcPr>
          <w:p w14:paraId="63E4EDB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tcBorders>
              <w:top w:val="double" w:color="auto" w:sz="6" w:space="0"/>
              <w:bottom w:val="single" w:color="auto" w:sz="6" w:space="0"/>
            </w:tcBorders>
            <w:noWrap/>
            <w:vAlign w:val="center"/>
          </w:tcPr>
          <w:p w14:paraId="62ACBD0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tcBorders>
              <w:top w:val="double" w:color="auto" w:sz="6" w:space="0"/>
              <w:bottom w:val="single" w:color="auto" w:sz="6" w:space="0"/>
            </w:tcBorders>
            <w:noWrap/>
            <w:vAlign w:val="center"/>
          </w:tcPr>
          <w:p w14:paraId="0D0BB83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double" w:color="auto" w:sz="6" w:space="0"/>
              <w:bottom w:val="single" w:color="auto" w:sz="6" w:space="0"/>
            </w:tcBorders>
            <w:noWrap/>
            <w:vAlign w:val="center"/>
          </w:tcPr>
          <w:p w14:paraId="0860940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tcBorders>
              <w:top w:val="double" w:color="auto" w:sz="6" w:space="0"/>
              <w:bottom w:val="single" w:color="auto" w:sz="6" w:space="0"/>
            </w:tcBorders>
            <w:noWrap/>
            <w:vAlign w:val="center"/>
          </w:tcPr>
          <w:p w14:paraId="5E673BE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tcBorders>
              <w:top w:val="double" w:color="auto" w:sz="6" w:space="0"/>
              <w:bottom w:val="single" w:color="auto" w:sz="6" w:space="0"/>
            </w:tcBorders>
            <w:noWrap/>
            <w:vAlign w:val="center"/>
          </w:tcPr>
          <w:p w14:paraId="4668F8B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tcBorders>
              <w:top w:val="double" w:color="auto" w:sz="6" w:space="0"/>
              <w:bottom w:val="single" w:color="auto" w:sz="6" w:space="0"/>
            </w:tcBorders>
            <w:noWrap/>
            <w:vAlign w:val="center"/>
          </w:tcPr>
          <w:p w14:paraId="500EA53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tcBorders>
              <w:top w:val="double" w:color="auto" w:sz="6" w:space="0"/>
              <w:bottom w:val="single" w:color="auto" w:sz="6" w:space="0"/>
            </w:tcBorders>
            <w:noWrap/>
            <w:vAlign w:val="center"/>
          </w:tcPr>
          <w:p w14:paraId="6C9E2BE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tcBorders>
              <w:top w:val="double" w:color="auto" w:sz="6" w:space="0"/>
              <w:bottom w:val="single" w:color="auto" w:sz="6" w:space="0"/>
            </w:tcBorders>
            <w:noWrap/>
            <w:vAlign w:val="center"/>
          </w:tcPr>
          <w:p w14:paraId="5D26126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5F345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ign w:val="center"/>
          </w:tcPr>
          <w:p w14:paraId="7DA0BEB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tcBorders>
              <w:top w:val="nil"/>
            </w:tcBorders>
            <w:noWrap/>
            <w:vAlign w:val="center"/>
          </w:tcPr>
          <w:p w14:paraId="007C247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tcBorders>
              <w:top w:val="nil"/>
            </w:tcBorders>
            <w:noWrap/>
            <w:vAlign w:val="center"/>
          </w:tcPr>
          <w:p w14:paraId="3337060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tcBorders>
              <w:top w:val="nil"/>
            </w:tcBorders>
            <w:noWrap/>
            <w:vAlign w:val="center"/>
          </w:tcPr>
          <w:p w14:paraId="1E10385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tcBorders>
              <w:top w:val="nil"/>
            </w:tcBorders>
            <w:noWrap/>
            <w:vAlign w:val="center"/>
          </w:tcPr>
          <w:p w14:paraId="071BD84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tcBorders>
              <w:top w:val="nil"/>
            </w:tcBorders>
            <w:noWrap/>
            <w:vAlign w:val="center"/>
          </w:tcPr>
          <w:p w14:paraId="50625F3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tcBorders>
              <w:top w:val="nil"/>
            </w:tcBorders>
            <w:noWrap/>
            <w:vAlign w:val="center"/>
          </w:tcPr>
          <w:p w14:paraId="093345A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tcBorders>
              <w:top w:val="nil"/>
            </w:tcBorders>
            <w:noWrap/>
            <w:vAlign w:val="center"/>
          </w:tcPr>
          <w:p w14:paraId="3FD40B6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tcBorders>
              <w:top w:val="nil"/>
            </w:tcBorders>
            <w:noWrap/>
            <w:vAlign w:val="center"/>
          </w:tcPr>
          <w:p w14:paraId="6DAE794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64EA8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51" w:type="dxa"/>
            <w:noWrap/>
            <w:vAlign w:val="center"/>
          </w:tcPr>
          <w:p w14:paraId="378674C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noWrap/>
            <w:vAlign w:val="center"/>
          </w:tcPr>
          <w:p w14:paraId="23E1A2E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noWrap/>
            <w:vAlign w:val="center"/>
          </w:tcPr>
          <w:p w14:paraId="25A0939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5FB0C51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noWrap/>
            <w:vAlign w:val="center"/>
          </w:tcPr>
          <w:p w14:paraId="056FF8A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4B4A06AD">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noWrap/>
            <w:vAlign w:val="center"/>
          </w:tcPr>
          <w:p w14:paraId="14E99E4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noWrap/>
            <w:vAlign w:val="center"/>
          </w:tcPr>
          <w:p w14:paraId="11EABD1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352C809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18E2C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5175349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noWrap/>
            <w:vAlign w:val="center"/>
          </w:tcPr>
          <w:p w14:paraId="6AD312D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noWrap/>
            <w:vAlign w:val="center"/>
          </w:tcPr>
          <w:p w14:paraId="0477403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653267A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noWrap/>
            <w:vAlign w:val="center"/>
          </w:tcPr>
          <w:p w14:paraId="0C1A05D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35AA825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noWrap/>
            <w:vAlign w:val="center"/>
          </w:tcPr>
          <w:p w14:paraId="7376AB6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noWrap/>
            <w:vAlign w:val="center"/>
          </w:tcPr>
          <w:p w14:paraId="30A66EC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3E99BC3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486C0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3223B68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noWrap/>
            <w:vAlign w:val="center"/>
          </w:tcPr>
          <w:p w14:paraId="0FCDD4F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noWrap/>
            <w:vAlign w:val="center"/>
          </w:tcPr>
          <w:p w14:paraId="7113C42C">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375C58C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noWrap/>
            <w:vAlign w:val="center"/>
          </w:tcPr>
          <w:p w14:paraId="657CE51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08369C3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noWrap/>
            <w:vAlign w:val="center"/>
          </w:tcPr>
          <w:p w14:paraId="449D453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noWrap/>
            <w:vAlign w:val="center"/>
          </w:tcPr>
          <w:p w14:paraId="4709025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6F56866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603AF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48144A1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noWrap/>
            <w:vAlign w:val="center"/>
          </w:tcPr>
          <w:p w14:paraId="2A93200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noWrap/>
            <w:vAlign w:val="center"/>
          </w:tcPr>
          <w:p w14:paraId="7F3A471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0D97794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noWrap/>
            <w:vAlign w:val="center"/>
          </w:tcPr>
          <w:p w14:paraId="2AD99EB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21D57DF0">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noWrap/>
            <w:vAlign w:val="center"/>
          </w:tcPr>
          <w:p w14:paraId="77E619A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noWrap/>
            <w:vAlign w:val="center"/>
          </w:tcPr>
          <w:p w14:paraId="0692A39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460E140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4C1A0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19EE5271">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noWrap/>
            <w:vAlign w:val="center"/>
          </w:tcPr>
          <w:p w14:paraId="340808B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noWrap/>
            <w:vAlign w:val="center"/>
          </w:tcPr>
          <w:p w14:paraId="62C39B0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5A5120F7">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noWrap/>
            <w:vAlign w:val="center"/>
          </w:tcPr>
          <w:p w14:paraId="5470AFA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1438B01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noWrap/>
            <w:vAlign w:val="center"/>
          </w:tcPr>
          <w:p w14:paraId="704125F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noWrap/>
            <w:vAlign w:val="center"/>
          </w:tcPr>
          <w:p w14:paraId="61A7806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667955F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600C36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2F9E7CB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noWrap/>
            <w:vAlign w:val="center"/>
          </w:tcPr>
          <w:p w14:paraId="00CE0B54">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noWrap/>
            <w:vAlign w:val="center"/>
          </w:tcPr>
          <w:p w14:paraId="04A6B215">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74B8C89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noWrap/>
            <w:vAlign w:val="center"/>
          </w:tcPr>
          <w:p w14:paraId="6D1EA53B">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51665AF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noWrap/>
            <w:vAlign w:val="center"/>
          </w:tcPr>
          <w:p w14:paraId="250DAA8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noWrap/>
            <w:vAlign w:val="center"/>
          </w:tcPr>
          <w:p w14:paraId="42DCB4E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23C4198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10A23B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0C6D0F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698147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6877FE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5914D14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01B997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4C2817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669873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431A13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5F82FFD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57396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1B491CA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4CCA24D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2EFD400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2B08329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66F883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2D453DF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7DACD1C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0862E6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7255FB4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4F23A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28B8D503">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418" w:type="dxa"/>
            <w:noWrap/>
            <w:vAlign w:val="center"/>
          </w:tcPr>
          <w:p w14:paraId="5DFD09B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40" w:type="dxa"/>
            <w:noWrap/>
            <w:vAlign w:val="center"/>
          </w:tcPr>
          <w:p w14:paraId="35BF7E5A">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851" w:type="dxa"/>
            <w:noWrap/>
            <w:vAlign w:val="center"/>
          </w:tcPr>
          <w:p w14:paraId="1435B746">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44" w:type="dxa"/>
            <w:noWrap/>
            <w:vAlign w:val="center"/>
          </w:tcPr>
          <w:p w14:paraId="7B654D79">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4D87CA48">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317" w:type="dxa"/>
            <w:noWrap/>
            <w:vAlign w:val="center"/>
          </w:tcPr>
          <w:p w14:paraId="68AD699F">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1021" w:type="dxa"/>
            <w:noWrap/>
            <w:vAlign w:val="center"/>
          </w:tcPr>
          <w:p w14:paraId="48F46372">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c>
          <w:tcPr>
            <w:tcW w:w="992" w:type="dxa"/>
            <w:noWrap/>
            <w:vAlign w:val="center"/>
          </w:tcPr>
          <w:p w14:paraId="2013D66E">
            <w:pPr>
              <w:pStyle w:val="14"/>
              <w:keepNext/>
              <w:keepLines w:val="0"/>
              <w:suppressLineNumbers w:val="0"/>
              <w:spacing w:before="0" w:beforeAutospacing="0" w:afterAutospacing="0" w:line="440" w:lineRule="exact"/>
              <w:ind w:left="63" w:right="63"/>
              <w:rPr>
                <w:rFonts w:hint="eastAsia" w:ascii="宋体" w:hAnsi="宋体" w:eastAsia="宋体" w:cs="宋体"/>
                <w:color w:val="auto"/>
                <w:kern w:val="2"/>
                <w:sz w:val="21"/>
                <w:szCs w:val="21"/>
              </w:rPr>
            </w:pPr>
          </w:p>
        </w:tc>
      </w:tr>
      <w:tr w14:paraId="43469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5FB834B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61B1B78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2415084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3898DB7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048DAB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69ACEFB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0028B7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382AB0C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2DE055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49EB59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1956ED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37C45B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1FD5F5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60A519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0E583A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34E26C6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5266975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4F83139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13803D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6BDE56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1FB0B5D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0C02DD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01A8F5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59B7EB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727689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4294779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2BD4685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44450C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6EEFB97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3D67B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672765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22D8AA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3A8EA65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12880C9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681896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3AB2026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702103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6AB832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1DE4B7C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3924E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16A6BD2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42DD15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301EF91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362567B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14D62F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6A7D49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06DBED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0F1B90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3D77C5F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5EA61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46E7564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0F8D8D1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6B1335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3E90686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21A488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587AE9E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72A503C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4B9BA58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444E438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35DF4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777401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2F920D1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099357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16BB93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13943B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3CB23C5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37363E7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7FD3A3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187A1B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r w14:paraId="6DED97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ign w:val="center"/>
          </w:tcPr>
          <w:p w14:paraId="20EA5F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418" w:type="dxa"/>
            <w:noWrap/>
            <w:vAlign w:val="center"/>
          </w:tcPr>
          <w:p w14:paraId="0543011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40" w:type="dxa"/>
            <w:noWrap/>
            <w:vAlign w:val="center"/>
          </w:tcPr>
          <w:p w14:paraId="19C9EA1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851" w:type="dxa"/>
            <w:noWrap/>
            <w:vAlign w:val="center"/>
          </w:tcPr>
          <w:p w14:paraId="03DB3E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44" w:type="dxa"/>
            <w:noWrap/>
            <w:vAlign w:val="center"/>
          </w:tcPr>
          <w:p w14:paraId="410256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7CAA823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317" w:type="dxa"/>
            <w:noWrap/>
            <w:vAlign w:val="center"/>
          </w:tcPr>
          <w:p w14:paraId="59894B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1021" w:type="dxa"/>
            <w:noWrap/>
            <w:vAlign w:val="center"/>
          </w:tcPr>
          <w:p w14:paraId="35CFF1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92" w:type="dxa"/>
            <w:noWrap/>
            <w:vAlign w:val="center"/>
          </w:tcPr>
          <w:p w14:paraId="7346A23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rPr>
            </w:pPr>
          </w:p>
        </w:tc>
      </w:tr>
    </w:tbl>
    <w:p w14:paraId="624A91A7">
      <w:pPr>
        <w:spacing w:line="440" w:lineRule="exact"/>
        <w:rPr>
          <w:rFonts w:hint="eastAsia" w:ascii="宋体" w:hAnsi="宋体" w:eastAsia="宋体" w:cs="宋体"/>
          <w:color w:val="auto"/>
          <w:sz w:val="21"/>
          <w:szCs w:val="21"/>
        </w:rPr>
      </w:pPr>
    </w:p>
    <w:p w14:paraId="2DE12A47">
      <w:pPr>
        <w:adjustRightInd w:val="0"/>
        <w:snapToGrid w:val="0"/>
        <w:spacing w:line="360" w:lineRule="auto"/>
        <w:jc w:val="left"/>
        <w:rPr>
          <w:rFonts w:hint="eastAsia" w:ascii="宋体" w:hAnsi="宋体" w:eastAsia="宋体" w:cs="宋体"/>
          <w:color w:val="auto"/>
          <w:spacing w:val="1"/>
          <w:sz w:val="21"/>
          <w:szCs w:val="21"/>
        </w:rPr>
      </w:pPr>
    </w:p>
    <w:p w14:paraId="59EFFD96">
      <w:pPr>
        <w:pStyle w:val="2"/>
        <w:rPr>
          <w:rFonts w:hint="eastAsia" w:ascii="宋体" w:hAnsi="宋体" w:eastAsia="宋体" w:cs="宋体"/>
          <w:color w:val="auto"/>
          <w:spacing w:val="1"/>
          <w:sz w:val="21"/>
          <w:szCs w:val="21"/>
        </w:rPr>
      </w:pPr>
    </w:p>
    <w:p w14:paraId="31AC75C7">
      <w:pPr>
        <w:pStyle w:val="2"/>
        <w:rPr>
          <w:rFonts w:hint="eastAsia" w:ascii="宋体" w:hAnsi="宋体" w:eastAsia="宋体" w:cs="宋体"/>
          <w:color w:val="auto"/>
          <w:spacing w:val="1"/>
          <w:sz w:val="21"/>
          <w:szCs w:val="21"/>
        </w:rPr>
      </w:pPr>
    </w:p>
    <w:p w14:paraId="41A5A7B9">
      <w:pPr>
        <w:pStyle w:val="2"/>
        <w:rPr>
          <w:rFonts w:hint="eastAsia" w:ascii="宋体" w:hAnsi="宋体" w:eastAsia="宋体" w:cs="宋体"/>
          <w:color w:val="auto"/>
          <w:spacing w:val="1"/>
          <w:sz w:val="21"/>
          <w:szCs w:val="21"/>
        </w:rPr>
      </w:pPr>
    </w:p>
    <w:p w14:paraId="4BB3CB0B">
      <w:pPr>
        <w:pStyle w:val="2"/>
        <w:rPr>
          <w:rFonts w:hint="eastAsia" w:ascii="宋体" w:hAnsi="宋体" w:eastAsia="宋体" w:cs="宋体"/>
          <w:color w:val="auto"/>
          <w:spacing w:val="1"/>
          <w:sz w:val="21"/>
          <w:szCs w:val="21"/>
        </w:rPr>
      </w:pPr>
    </w:p>
    <w:p w14:paraId="5DED6C6C">
      <w:pPr>
        <w:adjustRightInd w:val="0"/>
        <w:snapToGrid w:val="0"/>
        <w:spacing w:line="360" w:lineRule="auto"/>
        <w:jc w:val="left"/>
        <w:rPr>
          <w:rFonts w:hint="eastAsia" w:ascii="宋体" w:hAnsi="宋体" w:eastAsia="宋体" w:cs="宋体"/>
          <w:color w:val="auto"/>
          <w:spacing w:val="1"/>
          <w:sz w:val="21"/>
          <w:szCs w:val="21"/>
        </w:rPr>
      </w:pPr>
    </w:p>
    <w:p w14:paraId="2B1F9CD4">
      <w:pPr>
        <w:spacing w:line="440" w:lineRule="exact"/>
        <w:rPr>
          <w:rFonts w:hint="eastAsia" w:ascii="宋体" w:hAnsi="宋体" w:eastAsia="宋体" w:cs="宋体"/>
          <w:color w:val="auto"/>
          <w:sz w:val="21"/>
          <w:szCs w:val="21"/>
        </w:rPr>
      </w:pPr>
      <w:r>
        <w:rPr>
          <w:rFonts w:hint="eastAsia" w:ascii="宋体" w:hAnsi="宋体" w:eastAsia="宋体" w:cs="宋体"/>
          <w:color w:val="auto"/>
          <w:sz w:val="21"/>
          <w:szCs w:val="21"/>
        </w:rPr>
        <w:t>附件4：</w:t>
      </w:r>
    </w:p>
    <w:p w14:paraId="4811DEB6">
      <w:pPr>
        <w:pStyle w:val="52"/>
        <w:adjustRightInd w:val="0"/>
        <w:snapToGrid w:val="0"/>
        <w:spacing w:before="0" w:after="0" w:line="360" w:lineRule="auto"/>
        <w:ind w:firstLine="460" w:firstLineChars="200"/>
        <w:jc w:val="center"/>
        <w:rPr>
          <w:rFonts w:hint="eastAsia" w:ascii="宋体" w:hAnsi="宋体" w:eastAsia="宋体" w:cs="宋体"/>
          <w:color w:val="auto"/>
          <w:sz w:val="21"/>
          <w:szCs w:val="21"/>
          <w:lang w:eastAsia="zh-CN"/>
        </w:rPr>
      </w:pPr>
      <w:r>
        <w:rPr>
          <w:rFonts w:hint="eastAsia" w:ascii="宋体" w:hAnsi="宋体" w:eastAsia="宋体" w:cs="宋体"/>
          <w:color w:val="auto"/>
          <w:spacing w:val="10"/>
          <w:sz w:val="21"/>
          <w:szCs w:val="21"/>
          <w:lang w:eastAsia="zh-CN"/>
        </w:rPr>
        <w:t>工程质量保修书</w:t>
      </w:r>
      <w:r>
        <w:rPr>
          <w:rFonts w:hint="eastAsia" w:ascii="宋体" w:hAnsi="宋体" w:eastAsia="宋体" w:cs="宋体"/>
          <w:color w:val="auto"/>
          <w:spacing w:val="10"/>
          <w:sz w:val="21"/>
          <w:szCs w:val="21"/>
          <w:lang w:val="en-US" w:eastAsia="zh-CN"/>
        </w:rPr>
        <w:t xml:space="preserve"> </w:t>
      </w:r>
    </w:p>
    <w:p w14:paraId="1F4AAC11">
      <w:pPr>
        <w:pStyle w:val="52"/>
        <w:adjustRightInd w:val="0"/>
        <w:snapToGrid w:val="0"/>
        <w:spacing w:before="0" w:after="0" w:line="360" w:lineRule="auto"/>
        <w:ind w:firstLine="368" w:firstLineChars="200"/>
        <w:jc w:val="left"/>
        <w:rPr>
          <w:rFonts w:hint="eastAsia" w:ascii="宋体" w:hAnsi="宋体" w:eastAsia="宋体" w:cs="宋体"/>
          <w:bCs/>
          <w:color w:val="auto"/>
          <w:sz w:val="21"/>
          <w:szCs w:val="21"/>
          <w:u w:val="single"/>
          <w:lang w:eastAsia="zh-CN"/>
        </w:rPr>
      </w:pPr>
      <w:r>
        <w:rPr>
          <w:rFonts w:hint="eastAsia" w:ascii="宋体" w:hAnsi="宋体" w:eastAsia="宋体" w:cs="宋体"/>
          <w:color w:val="auto"/>
          <w:spacing w:val="-13"/>
          <w:sz w:val="21"/>
          <w:szCs w:val="21"/>
          <w:lang w:eastAsia="zh-CN"/>
        </w:rPr>
        <w:t>发包人（全称）：</w:t>
      </w:r>
      <w:r>
        <w:rPr>
          <w:rFonts w:hint="eastAsia" w:ascii="宋体" w:hAnsi="宋体" w:eastAsia="宋体" w:cs="宋体"/>
          <w:color w:val="auto"/>
          <w:spacing w:val="-13"/>
          <w:sz w:val="21"/>
          <w:szCs w:val="21"/>
          <w:u w:val="single"/>
          <w:lang w:eastAsia="zh-CN"/>
        </w:rPr>
        <w:t xml:space="preserve">                              </w:t>
      </w:r>
    </w:p>
    <w:p w14:paraId="007B6DCE">
      <w:pPr>
        <w:pStyle w:val="52"/>
        <w:adjustRightInd w:val="0"/>
        <w:snapToGrid w:val="0"/>
        <w:spacing w:before="0" w:after="0" w:line="360" w:lineRule="auto"/>
        <w:ind w:firstLine="368" w:firstLineChars="200"/>
        <w:jc w:val="left"/>
        <w:rPr>
          <w:rFonts w:hint="eastAsia" w:ascii="宋体" w:hAnsi="宋体" w:eastAsia="宋体" w:cs="宋体"/>
          <w:color w:val="auto"/>
          <w:spacing w:val="-13"/>
          <w:sz w:val="21"/>
          <w:szCs w:val="21"/>
          <w:lang w:eastAsia="zh-CN"/>
        </w:rPr>
      </w:pPr>
      <w:r>
        <w:rPr>
          <w:rFonts w:hint="eastAsia" w:ascii="宋体" w:hAnsi="宋体" w:eastAsia="宋体" w:cs="宋体"/>
          <w:color w:val="auto"/>
          <w:spacing w:val="-13"/>
          <w:sz w:val="21"/>
          <w:szCs w:val="21"/>
          <w:lang w:eastAsia="zh-CN"/>
        </w:rPr>
        <w:t>承包人（全称）：</w:t>
      </w:r>
      <w:r>
        <w:rPr>
          <w:rFonts w:hint="eastAsia" w:ascii="宋体" w:hAnsi="宋体" w:eastAsia="宋体" w:cs="宋体"/>
          <w:color w:val="auto"/>
          <w:spacing w:val="-13"/>
          <w:sz w:val="21"/>
          <w:szCs w:val="21"/>
          <w:u w:val="single"/>
          <w:lang w:eastAsia="zh-CN"/>
        </w:rPr>
        <w:t xml:space="preserve">                              </w:t>
      </w:r>
    </w:p>
    <w:p w14:paraId="1C6FB98B">
      <w:pPr>
        <w:pStyle w:val="52"/>
        <w:adjustRightInd w:val="0"/>
        <w:snapToGrid w:val="0"/>
        <w:spacing w:before="0" w:after="0" w:line="360" w:lineRule="auto"/>
        <w:ind w:firstLine="404" w:firstLineChars="200"/>
        <w:jc w:val="left"/>
        <w:rPr>
          <w:rFonts w:hint="eastAsia" w:ascii="宋体" w:hAnsi="宋体" w:eastAsia="宋体" w:cs="宋体"/>
          <w:color w:val="auto"/>
          <w:spacing w:val="1"/>
          <w:sz w:val="21"/>
          <w:szCs w:val="21"/>
          <w:lang w:eastAsia="zh-CN"/>
        </w:rPr>
      </w:pPr>
      <w:r>
        <w:rPr>
          <w:rFonts w:hint="eastAsia" w:ascii="宋体" w:hAnsi="宋体" w:eastAsia="宋体" w:cs="宋体"/>
          <w:color w:val="auto"/>
          <w:spacing w:val="-4"/>
          <w:sz w:val="21"/>
          <w:szCs w:val="21"/>
          <w:lang w:eastAsia="zh-CN"/>
        </w:rPr>
        <w:t>发包人和承包人根据《中华人民共和国建筑法》和《建设工程质量管理条例》，经协商一致</w:t>
      </w:r>
      <w:r>
        <w:rPr>
          <w:rFonts w:hint="eastAsia" w:ascii="宋体" w:hAnsi="宋体" w:eastAsia="宋体" w:cs="宋体"/>
          <w:color w:val="auto"/>
          <w:sz w:val="21"/>
          <w:szCs w:val="21"/>
          <w:lang w:eastAsia="zh-CN"/>
        </w:rPr>
        <w:t>就</w:t>
      </w:r>
      <w:r>
        <w:rPr>
          <w:rFonts w:hint="eastAsia" w:ascii="宋体" w:hAnsi="宋体" w:eastAsia="宋体" w:cs="宋体"/>
          <w:color w:val="auto"/>
          <w:sz w:val="21"/>
          <w:szCs w:val="21"/>
          <w:u w:val="single"/>
          <w:lang w:eastAsia="zh-CN"/>
        </w:rPr>
        <w:t xml:space="preserve">                  工程</w:t>
      </w:r>
      <w:r>
        <w:rPr>
          <w:rFonts w:hint="eastAsia" w:ascii="宋体" w:hAnsi="宋体" w:eastAsia="宋体" w:cs="宋体"/>
          <w:color w:val="auto"/>
          <w:spacing w:val="1"/>
          <w:sz w:val="21"/>
          <w:szCs w:val="21"/>
          <w:lang w:eastAsia="zh-CN"/>
        </w:rPr>
        <w:t>签订工程质量保修书。</w:t>
      </w:r>
    </w:p>
    <w:p w14:paraId="596884A5">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一、工程质量保修范围和内容</w:t>
      </w:r>
    </w:p>
    <w:p w14:paraId="7315CD33">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承包人在质量保修期内，按照有关法律规定和合同约定，承担工程质量保修责任。</w:t>
      </w:r>
    </w:p>
    <w:p w14:paraId="1EE9BB8F">
      <w:pPr>
        <w:pStyle w:val="52"/>
        <w:adjustRightInd w:val="0"/>
        <w:snapToGrid w:val="0"/>
        <w:spacing w:before="0" w:after="0" w:line="360" w:lineRule="auto"/>
        <w:jc w:val="left"/>
        <w:rPr>
          <w:rFonts w:hint="eastAsia" w:ascii="宋体" w:hAnsi="宋体" w:eastAsia="宋体" w:cs="宋体"/>
          <w:color w:val="auto"/>
          <w:spacing w:val="1"/>
          <w:sz w:val="21"/>
          <w:szCs w:val="21"/>
          <w:lang w:eastAsia="zh-CN"/>
        </w:rPr>
      </w:pPr>
      <w:r>
        <w:rPr>
          <w:rFonts w:hint="eastAsia" w:ascii="宋体" w:hAnsi="宋体" w:eastAsia="宋体" w:cs="宋体"/>
          <w:color w:val="auto"/>
          <w:spacing w:val="-4"/>
          <w:sz w:val="21"/>
          <w:szCs w:val="21"/>
          <w:lang w:eastAsia="zh-CN"/>
        </w:rPr>
        <w:t>质量保修范围包括</w:t>
      </w:r>
      <w:r>
        <w:rPr>
          <w:rFonts w:hint="eastAsia" w:ascii="宋体" w:hAnsi="宋体" w:eastAsia="宋体" w:cs="宋体"/>
          <w:color w:val="auto"/>
          <w:spacing w:val="-4"/>
          <w:sz w:val="21"/>
          <w:szCs w:val="21"/>
          <w:u w:val="single"/>
          <w:lang w:eastAsia="zh-CN"/>
        </w:rPr>
        <w:t xml:space="preserve">                             </w:t>
      </w:r>
      <w:r>
        <w:rPr>
          <w:rFonts w:hint="eastAsia" w:ascii="宋体" w:hAnsi="宋体" w:eastAsia="宋体" w:cs="宋体"/>
          <w:color w:val="auto"/>
          <w:spacing w:val="-4"/>
          <w:sz w:val="21"/>
          <w:szCs w:val="21"/>
          <w:lang w:eastAsia="zh-CN"/>
        </w:rPr>
        <w:t>，以及双方约定的其他项目。具体</w:t>
      </w:r>
      <w:r>
        <w:rPr>
          <w:rFonts w:hint="eastAsia" w:ascii="宋体" w:hAnsi="宋体" w:eastAsia="宋体" w:cs="宋体"/>
          <w:color w:val="auto"/>
          <w:spacing w:val="1"/>
          <w:sz w:val="21"/>
          <w:szCs w:val="21"/>
          <w:lang w:eastAsia="zh-CN"/>
        </w:rPr>
        <w:t>保修的内容，双方约定如下：</w:t>
      </w:r>
      <w:r>
        <w:rPr>
          <w:rFonts w:hint="eastAsia" w:ascii="宋体" w:hAnsi="宋体" w:eastAsia="宋体" w:cs="宋体"/>
          <w:color w:val="auto"/>
          <w:sz w:val="21"/>
          <w:szCs w:val="21"/>
          <w:u w:val="single"/>
          <w:lang w:eastAsia="zh-CN"/>
        </w:rPr>
        <w:t>在承包人承包范围内，属于承包人责任造成的工程质量问题，由承包人承担保修责任</w:t>
      </w:r>
      <w:r>
        <w:rPr>
          <w:rFonts w:hint="eastAsia" w:ascii="宋体" w:hAnsi="宋体" w:eastAsia="宋体" w:cs="宋体"/>
          <w:color w:val="auto"/>
          <w:spacing w:val="1"/>
          <w:sz w:val="21"/>
          <w:szCs w:val="21"/>
          <w:lang w:eastAsia="zh-CN"/>
        </w:rPr>
        <w:t xml:space="preserve">。  </w:t>
      </w:r>
    </w:p>
    <w:p w14:paraId="579702A3">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二、质量保修期</w:t>
      </w:r>
    </w:p>
    <w:p w14:paraId="357327F3">
      <w:pPr>
        <w:pStyle w:val="52"/>
        <w:adjustRightInd w:val="0"/>
        <w:snapToGrid w:val="0"/>
        <w:spacing w:before="0" w:after="0" w:line="360" w:lineRule="auto"/>
        <w:ind w:left="416" w:leftChars="208" w:firstLine="0" w:firstLineChars="0"/>
        <w:jc w:val="left"/>
        <w:rPr>
          <w:rFonts w:hint="eastAsia" w:ascii="宋体" w:hAnsi="宋体" w:eastAsia="宋体" w:cs="宋体"/>
          <w:color w:val="auto"/>
          <w:spacing w:val="1"/>
          <w:sz w:val="21"/>
          <w:szCs w:val="21"/>
          <w:lang w:eastAsia="zh-CN"/>
        </w:rPr>
      </w:pPr>
      <w:r>
        <w:rPr>
          <w:rFonts w:hint="eastAsia" w:ascii="宋体" w:hAnsi="宋体" w:eastAsia="宋体" w:cs="宋体"/>
          <w:color w:val="auto"/>
          <w:spacing w:val="-4"/>
          <w:sz w:val="21"/>
          <w:szCs w:val="21"/>
          <w:lang w:eastAsia="zh-CN"/>
        </w:rPr>
        <w:t>根据《建设工程质量管理条例》及有关规定，工程的质量保修期：</w:t>
      </w:r>
      <w:r>
        <w:rPr>
          <w:rFonts w:hint="eastAsia" w:ascii="宋体" w:hAnsi="宋体" w:eastAsia="宋体" w:cs="宋体"/>
          <w:color w:val="auto"/>
          <w:spacing w:val="-4"/>
          <w:sz w:val="21"/>
          <w:szCs w:val="21"/>
          <w:u w:val="single"/>
          <w:lang w:val="en-US" w:eastAsia="zh-CN"/>
        </w:rPr>
        <w:t xml:space="preserve">                        </w:t>
      </w:r>
      <w:r>
        <w:rPr>
          <w:rFonts w:hint="eastAsia" w:ascii="宋体" w:hAnsi="宋体" w:eastAsia="宋体" w:cs="宋体"/>
          <w:color w:val="auto"/>
          <w:spacing w:val="-4"/>
          <w:sz w:val="21"/>
          <w:szCs w:val="21"/>
          <w:lang w:eastAsia="zh-CN"/>
        </w:rPr>
        <w:t>为</w:t>
      </w:r>
      <w:r>
        <w:rPr>
          <w:rFonts w:hint="eastAsia" w:ascii="宋体" w:hAnsi="宋体" w:eastAsia="宋体" w:cs="宋体"/>
          <w:color w:val="auto"/>
          <w:spacing w:val="-4"/>
          <w:sz w:val="21"/>
          <w:szCs w:val="21"/>
          <w:lang w:val="en-US" w:eastAsia="zh-CN"/>
        </w:rPr>
        <w:t>24个月，</w:t>
      </w:r>
      <w:r>
        <w:rPr>
          <w:rFonts w:hint="eastAsia" w:ascii="宋体" w:hAnsi="宋体" w:eastAsia="宋体" w:cs="宋体"/>
          <w:color w:val="auto"/>
          <w:spacing w:val="-4"/>
          <w:sz w:val="21"/>
          <w:szCs w:val="21"/>
          <w:lang w:eastAsia="zh-CN"/>
        </w:rPr>
        <w:t>其他项目保修期限约定如下</w:t>
      </w:r>
      <w:r>
        <w:rPr>
          <w:rFonts w:hint="eastAsia" w:ascii="宋体" w:hAnsi="宋体" w:eastAsia="宋体" w:cs="宋体"/>
          <w:color w:val="auto"/>
          <w:spacing w:val="1"/>
          <w:sz w:val="21"/>
          <w:szCs w:val="21"/>
          <w:u w:val="single"/>
          <w:lang w:eastAsia="zh-CN"/>
        </w:rPr>
        <w:t xml:space="preserve">  /   </w:t>
      </w:r>
      <w:r>
        <w:rPr>
          <w:rFonts w:hint="eastAsia" w:ascii="宋体" w:hAnsi="宋体" w:eastAsia="宋体" w:cs="宋体"/>
          <w:color w:val="auto"/>
          <w:spacing w:val="1"/>
          <w:sz w:val="21"/>
          <w:szCs w:val="21"/>
          <w:lang w:eastAsia="zh-CN"/>
        </w:rPr>
        <w:t>。</w:t>
      </w:r>
    </w:p>
    <w:p w14:paraId="4665373E">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质量保修期自工程竣工验收合格之日起计算。</w:t>
      </w:r>
    </w:p>
    <w:p w14:paraId="0E35ECB2">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三、缺陷责任期</w:t>
      </w:r>
    </w:p>
    <w:p w14:paraId="62BD0A62">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工程缺陷责任期为</w:t>
      </w:r>
      <w:r>
        <w:rPr>
          <w:rFonts w:hint="eastAsia" w:ascii="宋体" w:hAnsi="宋体" w:eastAsia="宋体" w:cs="宋体"/>
          <w:color w:val="auto"/>
          <w:spacing w:val="-4"/>
          <w:sz w:val="21"/>
          <w:szCs w:val="21"/>
          <w:u w:val="single"/>
          <w:lang w:eastAsia="zh-CN"/>
        </w:rPr>
        <w:t xml:space="preserve">  </w:t>
      </w:r>
      <w:r>
        <w:rPr>
          <w:rFonts w:hint="eastAsia" w:ascii="宋体" w:hAnsi="宋体" w:eastAsia="宋体" w:cs="宋体"/>
          <w:color w:val="auto"/>
          <w:spacing w:val="-4"/>
          <w:sz w:val="21"/>
          <w:szCs w:val="21"/>
          <w:u w:val="single"/>
          <w:lang w:val="en-US" w:eastAsia="zh-CN"/>
        </w:rPr>
        <w:t>24</w:t>
      </w:r>
      <w:r>
        <w:rPr>
          <w:rFonts w:hint="eastAsia" w:ascii="宋体" w:hAnsi="宋体" w:eastAsia="宋体" w:cs="宋体"/>
          <w:color w:val="auto"/>
          <w:spacing w:val="-4"/>
          <w:sz w:val="21"/>
          <w:szCs w:val="21"/>
          <w:u w:val="single"/>
          <w:lang w:eastAsia="zh-CN"/>
        </w:rPr>
        <w:t xml:space="preserve">   </w:t>
      </w:r>
      <w:r>
        <w:rPr>
          <w:rFonts w:hint="eastAsia" w:ascii="宋体" w:hAnsi="宋体" w:eastAsia="宋体" w:cs="宋体"/>
          <w:color w:val="auto"/>
          <w:spacing w:val="-4"/>
          <w:sz w:val="21"/>
          <w:szCs w:val="21"/>
          <w:lang w:eastAsia="zh-CN"/>
        </w:rPr>
        <w:t>个月（最长不超过 24 个月），缺陷责任期自工程竣工验收合格之日起计算。</w:t>
      </w:r>
      <w:r>
        <w:rPr>
          <w:rFonts w:hint="eastAsia" w:ascii="宋体" w:hAnsi="宋体" w:eastAsia="宋体" w:cs="宋体"/>
          <w:bCs/>
          <w:color w:val="auto"/>
          <w:sz w:val="21"/>
          <w:szCs w:val="21"/>
        </w:rPr>
        <w:t>缺陷责任期满</w:t>
      </w:r>
      <w:r>
        <w:rPr>
          <w:rFonts w:hint="eastAsia" w:ascii="宋体" w:hAnsi="宋体" w:eastAsia="宋体" w:cs="宋体"/>
          <w:bCs/>
          <w:color w:val="auto"/>
          <w:sz w:val="21"/>
          <w:szCs w:val="21"/>
          <w:lang w:eastAsia="zh-CN"/>
        </w:rPr>
        <w:t>之日起</w:t>
      </w:r>
      <w:r>
        <w:rPr>
          <w:rFonts w:hint="eastAsia" w:ascii="宋体" w:hAnsi="宋体" w:eastAsia="宋体" w:cs="宋体"/>
          <w:bCs/>
          <w:color w:val="auto"/>
          <w:sz w:val="21"/>
          <w:szCs w:val="21"/>
          <w:u w:val="single"/>
          <w:lang w:eastAsia="zh-CN"/>
        </w:rPr>
        <w:t xml:space="preserve">    </w:t>
      </w:r>
      <w:r>
        <w:rPr>
          <w:rFonts w:hint="eastAsia" w:ascii="宋体" w:hAnsi="宋体" w:eastAsia="宋体" w:cs="宋体"/>
          <w:bCs/>
          <w:color w:val="auto"/>
          <w:sz w:val="21"/>
          <w:szCs w:val="21"/>
          <w:lang w:eastAsia="zh-CN"/>
        </w:rPr>
        <w:t>日内，发包人无息</w:t>
      </w:r>
      <w:r>
        <w:rPr>
          <w:rFonts w:hint="eastAsia" w:ascii="宋体" w:hAnsi="宋体" w:eastAsia="宋体" w:cs="宋体"/>
          <w:bCs/>
          <w:color w:val="auto"/>
          <w:sz w:val="21"/>
          <w:szCs w:val="21"/>
        </w:rPr>
        <w:t>返还</w:t>
      </w:r>
      <w:r>
        <w:rPr>
          <w:rFonts w:hint="eastAsia" w:ascii="宋体" w:hAnsi="宋体" w:eastAsia="宋体" w:cs="宋体"/>
          <w:color w:val="auto"/>
          <w:spacing w:val="-4"/>
          <w:sz w:val="21"/>
          <w:szCs w:val="21"/>
          <w:lang w:eastAsia="zh-CN"/>
        </w:rPr>
        <w:t>质量保证金。</w:t>
      </w:r>
    </w:p>
    <w:p w14:paraId="785ED0BC">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四、质量保修责任</w:t>
      </w:r>
    </w:p>
    <w:p w14:paraId="15F9C3CD">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1.属于保修范围、内容的项目，承包人应当在接到保修通知之日起</w:t>
      </w:r>
      <w:r>
        <w:rPr>
          <w:rFonts w:hint="eastAsia" w:ascii="宋体" w:hAnsi="宋体" w:eastAsia="宋体" w:cs="宋体"/>
          <w:color w:val="auto"/>
          <w:spacing w:val="-4"/>
          <w:sz w:val="21"/>
          <w:szCs w:val="21"/>
          <w:u w:val="single"/>
          <w:lang w:eastAsia="zh-CN"/>
        </w:rPr>
        <w:t xml:space="preserve">      </w:t>
      </w:r>
      <w:r>
        <w:rPr>
          <w:rFonts w:hint="eastAsia" w:ascii="宋体" w:hAnsi="宋体" w:eastAsia="宋体" w:cs="宋体"/>
          <w:color w:val="auto"/>
          <w:spacing w:val="-4"/>
          <w:sz w:val="21"/>
          <w:szCs w:val="21"/>
          <w:lang w:eastAsia="zh-CN"/>
        </w:rPr>
        <w:t>小时内派人保修，并在一</w:t>
      </w:r>
      <w:r>
        <w:rPr>
          <w:rFonts w:hint="eastAsia" w:ascii="宋体" w:hAnsi="宋体" w:eastAsia="宋体" w:cs="宋体"/>
          <w:color w:val="auto"/>
          <w:spacing w:val="-4"/>
          <w:sz w:val="21"/>
          <w:szCs w:val="21"/>
          <w:u w:val="single"/>
          <w:lang w:eastAsia="zh-CN"/>
        </w:rPr>
        <w:t xml:space="preserve">    </w:t>
      </w:r>
      <w:r>
        <w:rPr>
          <w:rFonts w:hint="eastAsia" w:ascii="宋体" w:hAnsi="宋体" w:eastAsia="宋体" w:cs="宋体"/>
          <w:color w:val="auto"/>
          <w:spacing w:val="-4"/>
          <w:sz w:val="21"/>
          <w:szCs w:val="21"/>
          <w:lang w:eastAsia="zh-CN"/>
        </w:rPr>
        <w:t>小时内完成修复（重大疑难情况，经发包人书面同意可延长维修期限）。</w:t>
      </w:r>
    </w:p>
    <w:p w14:paraId="192076EA">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2.发生紧急事故需抢修的，承包人在接到事故通知后，应当立即到达事故现场抢修。</w:t>
      </w:r>
    </w:p>
    <w:p w14:paraId="1350A748">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AC61A18">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4.质量保修完成后，由发包人组织验收。</w:t>
      </w:r>
    </w:p>
    <w:p w14:paraId="1FA39F74">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5.承包人不在约定期限内完成上述工作的，发包人可以委托他人修理，费用由承包人承担，并且，发包人有权扣除全部质量保修金作为违约金。</w:t>
      </w:r>
    </w:p>
    <w:p w14:paraId="41A27651">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五、保修费用</w:t>
      </w:r>
    </w:p>
    <w:p w14:paraId="33B3EED7">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保修费用由造成质量缺陷的责任方承担。</w:t>
      </w:r>
    </w:p>
    <w:p w14:paraId="253CF370">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六、双方约定的其他工程质量保修事项：</w:t>
      </w:r>
      <w:r>
        <w:rPr>
          <w:rFonts w:hint="eastAsia" w:ascii="宋体" w:hAnsi="宋体" w:eastAsia="宋体" w:cs="宋体"/>
          <w:color w:val="auto"/>
          <w:spacing w:val="-4"/>
          <w:sz w:val="21"/>
          <w:szCs w:val="21"/>
          <w:u w:val="single"/>
          <w:lang w:eastAsia="zh-CN"/>
        </w:rPr>
        <w:t xml:space="preserve">                                 。</w:t>
      </w:r>
    </w:p>
    <w:p w14:paraId="575C91DC">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工程质量保修书由发包人、承包人在工程竣工验收前共同签署，作为施工合同附件，有效期限至保修期满。</w:t>
      </w:r>
    </w:p>
    <w:p w14:paraId="5F791D98">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p>
    <w:p w14:paraId="551F0A6E">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p>
    <w:p w14:paraId="4CE98EB7">
      <w:pPr>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发包人：  （公章）                        承包人：  （公章）                                 </w:t>
      </w:r>
    </w:p>
    <w:p w14:paraId="17BA81D0">
      <w:pPr>
        <w:adjustRightInd w:val="0"/>
        <w:snapToGrid w:val="0"/>
        <w:spacing w:line="360" w:lineRule="auto"/>
        <w:ind w:left="6240" w:hanging="5460" w:hangingChars="2600"/>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地  址：</w:t>
      </w:r>
      <w:r>
        <w:rPr>
          <w:rFonts w:hint="eastAsia" w:ascii="宋体" w:hAnsi="宋体" w:eastAsia="宋体" w:cs="宋体"/>
          <w:color w:val="auto"/>
          <w:sz w:val="21"/>
          <w:szCs w:val="21"/>
          <w:u w:val="single"/>
        </w:rPr>
        <w:t xml:space="preserve">                      </w:t>
      </w:r>
    </w:p>
    <w:p w14:paraId="484C4BEA">
      <w:pPr>
        <w:adjustRightInd w:val="0"/>
        <w:snapToGrid w:val="0"/>
        <w:spacing w:line="360" w:lineRule="auto"/>
        <w:ind w:left="6240" w:hanging="5460" w:hangingChars="2600"/>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EDAFEEE">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委托代理人（签字）：</w:t>
      </w:r>
      <w:r>
        <w:rPr>
          <w:rFonts w:hint="eastAsia" w:ascii="宋体" w:hAnsi="宋体" w:eastAsia="宋体" w:cs="宋体"/>
          <w:color w:val="auto"/>
          <w:sz w:val="21"/>
          <w:szCs w:val="21"/>
          <w:u w:val="single"/>
        </w:rPr>
        <w:t xml:space="preserve">            </w:t>
      </w:r>
    </w:p>
    <w:p w14:paraId="28F5AC3B">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  话：</w:t>
      </w:r>
      <w:r>
        <w:rPr>
          <w:rFonts w:hint="eastAsia" w:ascii="宋体" w:hAnsi="宋体" w:eastAsia="宋体" w:cs="宋体"/>
          <w:color w:val="auto"/>
          <w:sz w:val="21"/>
          <w:szCs w:val="21"/>
          <w:u w:val="single"/>
        </w:rPr>
        <w:t xml:space="preserve">                      </w:t>
      </w:r>
    </w:p>
    <w:p w14:paraId="70F9808E">
      <w:pPr>
        <w:adjustRightInd w:val="0"/>
        <w:snapToGrid w:val="0"/>
        <w:spacing w:line="360" w:lineRule="auto"/>
        <w:ind w:left="6480" w:hanging="5670" w:hangingChars="2700"/>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3BF35BE4">
      <w:pPr>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账  号：</w:t>
      </w:r>
      <w:r>
        <w:rPr>
          <w:rFonts w:hint="eastAsia" w:ascii="宋体" w:hAnsi="宋体" w:eastAsia="宋体" w:cs="宋体"/>
          <w:color w:val="auto"/>
          <w:sz w:val="21"/>
          <w:szCs w:val="21"/>
          <w:u w:val="single"/>
        </w:rPr>
        <w:t xml:space="preserve">       </w:t>
      </w:r>
    </w:p>
    <w:p w14:paraId="6A19F1EC">
      <w:pPr>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14:paraId="79A5F1F2">
      <w:pPr>
        <w:pStyle w:val="19"/>
        <w:rPr>
          <w:rFonts w:hint="eastAsia" w:ascii="宋体" w:hAnsi="宋体" w:eastAsia="宋体" w:cs="宋体"/>
          <w:color w:val="auto"/>
          <w:sz w:val="21"/>
          <w:szCs w:val="21"/>
          <w:u w:val="single"/>
        </w:rPr>
      </w:pPr>
    </w:p>
    <w:p w14:paraId="4CD887D7">
      <w:pPr>
        <w:pStyle w:val="6"/>
        <w:adjustRightInd w:val="0"/>
        <w:snapToGrid w:val="0"/>
        <w:spacing w:line="360" w:lineRule="auto"/>
        <w:rPr>
          <w:rFonts w:hint="eastAsia" w:ascii="宋体" w:hAnsi="宋体" w:eastAsia="宋体" w:cs="宋体"/>
          <w:color w:val="auto"/>
          <w:kern w:val="0"/>
          <w:sz w:val="21"/>
          <w:szCs w:val="21"/>
          <w:lang w:val="zh-CN"/>
        </w:rPr>
      </w:pPr>
      <w:bookmarkStart w:id="1597" w:name="_Toc535413844"/>
    </w:p>
    <w:p w14:paraId="7C4C575D">
      <w:pPr>
        <w:rPr>
          <w:rFonts w:hint="eastAsia" w:ascii="宋体" w:hAnsi="宋体" w:eastAsia="宋体" w:cs="宋体"/>
          <w:color w:val="auto"/>
          <w:kern w:val="0"/>
          <w:sz w:val="21"/>
          <w:szCs w:val="21"/>
          <w:lang w:val="zh-CN"/>
        </w:rPr>
      </w:pPr>
    </w:p>
    <w:p w14:paraId="32406B4A">
      <w:pPr>
        <w:rPr>
          <w:rFonts w:hint="eastAsia" w:ascii="宋体" w:hAnsi="宋体" w:eastAsia="宋体" w:cs="宋体"/>
          <w:color w:val="auto"/>
          <w:kern w:val="0"/>
          <w:sz w:val="21"/>
          <w:szCs w:val="21"/>
          <w:lang w:val="zh-CN"/>
        </w:rPr>
      </w:pPr>
    </w:p>
    <w:p w14:paraId="32B2E1F0">
      <w:pPr>
        <w:rPr>
          <w:rFonts w:hint="eastAsia" w:ascii="宋体" w:hAnsi="宋体" w:eastAsia="宋体" w:cs="宋体"/>
          <w:color w:val="auto"/>
          <w:kern w:val="0"/>
          <w:sz w:val="21"/>
          <w:szCs w:val="21"/>
          <w:lang w:val="zh-CN"/>
        </w:rPr>
      </w:pPr>
    </w:p>
    <w:p w14:paraId="1850EB7B">
      <w:pPr>
        <w:pStyle w:val="8"/>
        <w:rPr>
          <w:rFonts w:hint="eastAsia" w:ascii="宋体" w:hAnsi="宋体" w:eastAsia="宋体" w:cs="宋体"/>
          <w:color w:val="auto"/>
          <w:sz w:val="22"/>
          <w:szCs w:val="22"/>
          <w:lang w:val="zh-CN"/>
        </w:rPr>
      </w:pPr>
    </w:p>
    <w:p w14:paraId="5DDD4923">
      <w:pPr>
        <w:rPr>
          <w:rFonts w:hint="eastAsia" w:ascii="宋体" w:hAnsi="宋体" w:eastAsia="宋体" w:cs="宋体"/>
          <w:color w:val="auto"/>
          <w:sz w:val="22"/>
          <w:szCs w:val="22"/>
          <w:lang w:val="zh-CN"/>
        </w:rPr>
      </w:pPr>
    </w:p>
    <w:p w14:paraId="0686B53A">
      <w:pPr>
        <w:pStyle w:val="8"/>
        <w:rPr>
          <w:rFonts w:hint="eastAsia" w:ascii="宋体" w:hAnsi="宋体" w:eastAsia="宋体" w:cs="宋体"/>
          <w:color w:val="auto"/>
          <w:sz w:val="22"/>
          <w:szCs w:val="22"/>
          <w:lang w:val="zh-CN"/>
        </w:rPr>
      </w:pPr>
    </w:p>
    <w:p w14:paraId="12C120D4">
      <w:pPr>
        <w:rPr>
          <w:rFonts w:hint="eastAsia" w:ascii="宋体" w:hAnsi="宋体" w:eastAsia="宋体" w:cs="宋体"/>
          <w:color w:val="auto"/>
          <w:sz w:val="22"/>
          <w:szCs w:val="22"/>
          <w:lang w:val="zh-CN"/>
        </w:rPr>
      </w:pPr>
    </w:p>
    <w:p w14:paraId="38041D04">
      <w:pPr>
        <w:pStyle w:val="8"/>
        <w:rPr>
          <w:rFonts w:hint="eastAsia"/>
          <w:color w:val="auto"/>
          <w:lang w:val="zh-CN"/>
        </w:rPr>
      </w:pPr>
    </w:p>
    <w:p w14:paraId="03601A83">
      <w:pPr>
        <w:rPr>
          <w:rFonts w:hint="eastAsia"/>
          <w:lang w:val="zh-CN"/>
        </w:rPr>
      </w:pPr>
    </w:p>
    <w:p w14:paraId="1D692EA1">
      <w:pPr>
        <w:pStyle w:val="8"/>
        <w:rPr>
          <w:rFonts w:hint="eastAsia"/>
          <w:lang w:val="zh-CN"/>
        </w:rPr>
      </w:pPr>
    </w:p>
    <w:p w14:paraId="3E81E48D">
      <w:pPr>
        <w:rPr>
          <w:rFonts w:hint="eastAsia"/>
          <w:lang w:val="zh-CN"/>
        </w:rPr>
      </w:pPr>
    </w:p>
    <w:p w14:paraId="07BF305D">
      <w:pPr>
        <w:rPr>
          <w:rFonts w:hint="eastAsia"/>
          <w:lang w:val="zh-CN"/>
        </w:rPr>
      </w:pPr>
    </w:p>
    <w:p w14:paraId="3D952963">
      <w:pPr>
        <w:pStyle w:val="8"/>
        <w:rPr>
          <w:rFonts w:hint="eastAsia"/>
          <w:lang w:val="zh-CN"/>
        </w:rPr>
      </w:pPr>
    </w:p>
    <w:p w14:paraId="02DEC138">
      <w:pPr>
        <w:rPr>
          <w:rFonts w:hint="eastAsia"/>
          <w:lang w:val="zh-CN"/>
        </w:rPr>
      </w:pPr>
    </w:p>
    <w:p w14:paraId="6B3302C6">
      <w:pPr>
        <w:pStyle w:val="2"/>
        <w:rPr>
          <w:rFonts w:hint="eastAsia"/>
          <w:lang w:val="zh-CN"/>
        </w:rPr>
      </w:pPr>
    </w:p>
    <w:p w14:paraId="2B721CBD">
      <w:pPr>
        <w:pStyle w:val="2"/>
        <w:rPr>
          <w:rFonts w:hint="eastAsia"/>
          <w:lang w:val="zh-CN"/>
        </w:rPr>
      </w:pPr>
    </w:p>
    <w:p w14:paraId="3A2C6F12">
      <w:pPr>
        <w:pStyle w:val="2"/>
        <w:rPr>
          <w:rFonts w:hint="eastAsia"/>
          <w:lang w:val="zh-CN"/>
        </w:rPr>
      </w:pPr>
    </w:p>
    <w:p w14:paraId="30ED2B14">
      <w:pPr>
        <w:pStyle w:val="2"/>
        <w:rPr>
          <w:rFonts w:hint="eastAsia"/>
          <w:lang w:val="zh-CN"/>
        </w:rPr>
      </w:pPr>
    </w:p>
    <w:p w14:paraId="1ED4DF5E">
      <w:pPr>
        <w:pStyle w:val="2"/>
        <w:rPr>
          <w:rFonts w:hint="eastAsia"/>
          <w:lang w:val="zh-CN"/>
        </w:rPr>
      </w:pPr>
    </w:p>
    <w:p w14:paraId="6540BCB0">
      <w:pPr>
        <w:pStyle w:val="2"/>
        <w:rPr>
          <w:rFonts w:hint="eastAsia"/>
          <w:lang w:val="zh-CN"/>
        </w:rPr>
      </w:pPr>
    </w:p>
    <w:p w14:paraId="74EA4CBC">
      <w:pPr>
        <w:pStyle w:val="2"/>
        <w:rPr>
          <w:rFonts w:hint="eastAsia"/>
          <w:lang w:val="zh-CN"/>
        </w:rPr>
      </w:pPr>
    </w:p>
    <w:p w14:paraId="5D10BA69">
      <w:pPr>
        <w:pStyle w:val="2"/>
        <w:rPr>
          <w:rFonts w:hint="eastAsia"/>
          <w:lang w:val="zh-CN"/>
        </w:rPr>
      </w:pPr>
    </w:p>
    <w:p w14:paraId="39C810C2">
      <w:pPr>
        <w:pStyle w:val="2"/>
        <w:rPr>
          <w:rFonts w:hint="eastAsia"/>
          <w:lang w:val="zh-CN"/>
        </w:rPr>
      </w:pPr>
    </w:p>
    <w:p w14:paraId="4E2D524F">
      <w:pPr>
        <w:pStyle w:val="2"/>
        <w:rPr>
          <w:rFonts w:hint="eastAsia"/>
          <w:lang w:val="zh-CN"/>
        </w:rPr>
      </w:pPr>
    </w:p>
    <w:p w14:paraId="610BC70C">
      <w:pPr>
        <w:pStyle w:val="2"/>
        <w:rPr>
          <w:rFonts w:hint="eastAsia"/>
          <w:lang w:val="zh-CN"/>
        </w:rPr>
      </w:pPr>
    </w:p>
    <w:p w14:paraId="27FD3D39">
      <w:pPr>
        <w:pStyle w:val="2"/>
        <w:rPr>
          <w:rFonts w:hint="eastAsia"/>
          <w:lang w:val="zh-CN"/>
        </w:rPr>
      </w:pPr>
    </w:p>
    <w:p w14:paraId="24E47CF1">
      <w:pPr>
        <w:pStyle w:val="2"/>
        <w:rPr>
          <w:rFonts w:hint="eastAsia"/>
          <w:lang w:val="zh-CN"/>
        </w:rPr>
      </w:pPr>
    </w:p>
    <w:p w14:paraId="675C511C">
      <w:pPr>
        <w:pStyle w:val="2"/>
        <w:rPr>
          <w:rFonts w:hint="eastAsia"/>
          <w:lang w:val="zh-CN"/>
        </w:rPr>
      </w:pPr>
    </w:p>
    <w:p w14:paraId="68BAF011">
      <w:pPr>
        <w:pStyle w:val="2"/>
        <w:rPr>
          <w:rFonts w:hint="eastAsia"/>
          <w:lang w:val="zh-CN"/>
        </w:rPr>
      </w:pPr>
    </w:p>
    <w:p w14:paraId="191656CB">
      <w:pPr>
        <w:pStyle w:val="2"/>
        <w:rPr>
          <w:rFonts w:hint="eastAsia"/>
          <w:lang w:val="zh-CN"/>
        </w:rPr>
      </w:pPr>
    </w:p>
    <w:p w14:paraId="74FC857C">
      <w:pPr>
        <w:pStyle w:val="2"/>
        <w:rPr>
          <w:rFonts w:hint="eastAsia"/>
          <w:lang w:val="zh-CN"/>
        </w:rPr>
      </w:pPr>
    </w:p>
    <w:p w14:paraId="5461CECF">
      <w:pPr>
        <w:rPr>
          <w:rFonts w:hint="eastAsia"/>
          <w:lang w:val="zh-CN"/>
        </w:rPr>
      </w:pPr>
    </w:p>
    <w:p w14:paraId="1786DE94">
      <w:pPr>
        <w:rPr>
          <w:rFonts w:hint="eastAsia" w:ascii="宋体" w:hAnsi="宋体" w:eastAsia="宋体" w:cs="宋体"/>
          <w:color w:val="auto"/>
          <w:kern w:val="0"/>
          <w:sz w:val="21"/>
          <w:szCs w:val="21"/>
          <w:lang w:val="zh-CN"/>
        </w:rPr>
      </w:pPr>
    </w:p>
    <w:p w14:paraId="45405D01">
      <w:pPr>
        <w:rPr>
          <w:rFonts w:hint="eastAsia" w:ascii="宋体" w:hAnsi="宋体" w:eastAsia="宋体" w:cs="宋体"/>
          <w:color w:val="auto"/>
          <w:sz w:val="18"/>
          <w:szCs w:val="21"/>
        </w:rPr>
      </w:pPr>
      <w:r>
        <w:rPr>
          <w:rFonts w:hint="eastAsia" w:ascii="宋体" w:hAnsi="宋体" w:eastAsia="宋体" w:cs="宋体"/>
          <w:color w:val="auto"/>
          <w:kern w:val="0"/>
          <w:sz w:val="21"/>
          <w:szCs w:val="21"/>
          <w:lang w:val="zh-CN"/>
        </w:rPr>
        <w:t>附件</w:t>
      </w:r>
      <w:r>
        <w:rPr>
          <w:rFonts w:hint="eastAsia" w:ascii="宋体" w:hAnsi="宋体" w:eastAsia="宋体" w:cs="宋体"/>
          <w:color w:val="auto"/>
          <w:kern w:val="0"/>
          <w:sz w:val="21"/>
          <w:szCs w:val="21"/>
        </w:rPr>
        <w:t>5</w:t>
      </w:r>
    </w:p>
    <w:p w14:paraId="12890F43">
      <w:pPr>
        <w:pStyle w:val="6"/>
        <w:adjustRightInd w:val="0"/>
        <w:snapToGrid w:val="0"/>
        <w:spacing w:line="360" w:lineRule="auto"/>
        <w:jc w:val="center"/>
        <w:rPr>
          <w:rFonts w:hint="eastAsia" w:ascii="宋体" w:hAnsi="宋体" w:eastAsia="宋体" w:cs="宋体"/>
          <w:color w:val="auto"/>
          <w:sz w:val="21"/>
          <w:szCs w:val="21"/>
          <w:lang w:val="zh-CN"/>
        </w:rPr>
      </w:pPr>
      <w:r>
        <w:rPr>
          <w:rFonts w:hint="eastAsia" w:ascii="宋体" w:hAnsi="宋体" w:eastAsia="宋体" w:cs="宋体"/>
          <w:color w:val="auto"/>
          <w:kern w:val="0"/>
          <w:sz w:val="21"/>
          <w:szCs w:val="21"/>
          <w:lang w:val="zh-CN"/>
        </w:rPr>
        <w:t>廉</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zh-CN"/>
        </w:rPr>
        <w:t>政</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zh-CN"/>
        </w:rPr>
        <w:t>合</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zh-CN"/>
        </w:rPr>
        <w:t>同</w:t>
      </w:r>
      <w:bookmarkEnd w:id="1597"/>
    </w:p>
    <w:p w14:paraId="4E7DAD11">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根据国家有关工程建设、廉政建设的规定，为做好工程建设中的党风廉政建设，保证工程建设高效优质，保证建设资金的安全和有效使用以及投资效益，建设工程的项目法人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auto"/>
          <w:kern w:val="0"/>
          <w:sz w:val="21"/>
          <w:szCs w:val="21"/>
          <w:u w:val="single"/>
          <w:lang w:val="en-US" w:eastAsia="zh-CN"/>
        </w:rPr>
        <w:t>扶绥县水利工程管理站</w:t>
      </w:r>
      <w:r>
        <w:rPr>
          <w:rFonts w:hint="eastAsia" w:ascii="宋体" w:hAnsi="宋体" w:eastAsia="宋体" w:cs="宋体"/>
          <w:color w:val="auto"/>
          <w:kern w:val="0"/>
          <w:sz w:val="21"/>
          <w:szCs w:val="21"/>
          <w:lang w:val="zh-CN"/>
        </w:rPr>
        <w:t>（以下简称“甲方”）与施工单位</w:t>
      </w:r>
      <w:r>
        <w:rPr>
          <w:rFonts w:hint="eastAsia" w:ascii="宋体" w:hAnsi="宋体" w:eastAsia="宋体" w:cs="宋体"/>
          <w:color w:val="auto"/>
          <w:kern w:val="0"/>
          <w:sz w:val="21"/>
          <w:szCs w:val="21"/>
          <w:u w:val="single"/>
        </w:rPr>
        <w:t xml:space="preserve"> </w:t>
      </w:r>
      <w:r>
        <w:rPr>
          <w:rFonts w:hint="eastAsia" w:ascii="宋体" w:hAnsi="宋体" w:cs="宋体"/>
          <w:color w:val="auto"/>
          <w:sz w:val="21"/>
          <w:szCs w:val="21"/>
          <w:highlight w:val="none"/>
          <w:u w:val="single"/>
          <w:lang w:eastAsia="zh-CN"/>
        </w:rPr>
        <w:t>2025年扶绥县新安灌区、新湾灌区农业水价综合改革巩固提升项目</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lang w:val="zh-CN"/>
        </w:rPr>
        <w:t>（以下简称“乙方”），特订立如下合同。</w:t>
      </w:r>
    </w:p>
    <w:p w14:paraId="25A31628">
      <w:pPr>
        <w:autoSpaceDE w:val="0"/>
        <w:autoSpaceDN w:val="0"/>
        <w:adjustRightInd w:val="0"/>
        <w:snapToGrid w:val="0"/>
        <w:spacing w:line="360" w:lineRule="auto"/>
        <w:ind w:firstLine="422" w:firstLineChars="200"/>
        <w:rPr>
          <w:rFonts w:hint="eastAsia" w:ascii="宋体" w:hAnsi="宋体" w:eastAsia="宋体" w:cs="宋体"/>
          <w:b/>
          <w:bCs/>
          <w:color w:val="auto"/>
          <w:kern w:val="0"/>
          <w:sz w:val="21"/>
          <w:szCs w:val="21"/>
          <w:lang w:val="zh-CN"/>
        </w:rPr>
      </w:pPr>
      <w:r>
        <w:rPr>
          <w:rFonts w:hint="eastAsia" w:ascii="宋体" w:hAnsi="宋体" w:eastAsia="宋体" w:cs="宋体"/>
          <w:b/>
          <w:bCs/>
          <w:color w:val="auto"/>
          <w:kern w:val="0"/>
          <w:sz w:val="21"/>
          <w:szCs w:val="21"/>
          <w:lang w:val="zh-CN"/>
        </w:rPr>
        <w:t>1.甲、乙双方的权利和义务</w:t>
      </w:r>
    </w:p>
    <w:p w14:paraId="053BDCE1">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（1）严格遵守</w:t>
      </w:r>
      <w:r>
        <w:rPr>
          <w:rFonts w:hint="eastAsia" w:ascii="宋体" w:hAnsi="宋体" w:cs="宋体"/>
          <w:color w:val="auto"/>
          <w:kern w:val="0"/>
          <w:sz w:val="21"/>
          <w:szCs w:val="21"/>
          <w:lang w:val="zh-CN"/>
        </w:rPr>
        <w:t>党和国家</w:t>
      </w:r>
      <w:r>
        <w:rPr>
          <w:rFonts w:hint="eastAsia" w:ascii="宋体" w:hAnsi="宋体" w:eastAsia="宋体" w:cs="宋体"/>
          <w:color w:val="auto"/>
          <w:kern w:val="0"/>
          <w:sz w:val="21"/>
          <w:szCs w:val="21"/>
          <w:lang w:val="zh-CN"/>
        </w:rPr>
        <w:t>有关法律法规及</w:t>
      </w:r>
      <w:r>
        <w:rPr>
          <w:rFonts w:hint="eastAsia" w:ascii="宋体" w:hAnsi="宋体" w:cs="宋体"/>
          <w:color w:val="auto"/>
          <w:kern w:val="0"/>
          <w:sz w:val="21"/>
          <w:szCs w:val="21"/>
          <w:lang w:val="zh-CN"/>
        </w:rPr>
        <w:t>中央</w:t>
      </w:r>
      <w:r>
        <w:rPr>
          <w:rFonts w:hint="eastAsia" w:ascii="宋体" w:hAnsi="宋体" w:eastAsia="宋体" w:cs="宋体"/>
          <w:color w:val="auto"/>
          <w:kern w:val="0"/>
          <w:sz w:val="21"/>
          <w:szCs w:val="21"/>
          <w:lang w:val="zh-CN"/>
        </w:rPr>
        <w:t>纪委</w:t>
      </w:r>
      <w:r>
        <w:rPr>
          <w:rFonts w:hint="eastAsia" w:ascii="宋体" w:hAnsi="宋体" w:cs="宋体"/>
          <w:color w:val="auto"/>
          <w:kern w:val="0"/>
          <w:sz w:val="21"/>
          <w:szCs w:val="21"/>
          <w:lang w:val="zh-CN"/>
        </w:rPr>
        <w:t>国家监察委员会</w:t>
      </w:r>
      <w:r>
        <w:rPr>
          <w:rFonts w:hint="eastAsia" w:ascii="宋体" w:hAnsi="宋体" w:eastAsia="宋体" w:cs="宋体"/>
          <w:color w:val="auto"/>
          <w:kern w:val="0"/>
          <w:sz w:val="21"/>
          <w:szCs w:val="21"/>
          <w:lang w:val="zh-CN"/>
        </w:rPr>
        <w:t>的有关规定。</w:t>
      </w:r>
    </w:p>
    <w:p w14:paraId="5BD23B24">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（2）严格执行</w:t>
      </w:r>
      <w:r>
        <w:rPr>
          <w:rFonts w:hint="eastAsia" w:ascii="宋体" w:hAnsi="宋体" w:eastAsia="宋体" w:cs="宋体"/>
          <w:color w:val="auto"/>
          <w:kern w:val="0"/>
          <w:sz w:val="21"/>
          <w:szCs w:val="21"/>
          <w:u w:val="single"/>
        </w:rPr>
        <w:t xml:space="preserve"> </w:t>
      </w:r>
      <w:r>
        <w:rPr>
          <w:rFonts w:hint="eastAsia" w:ascii="宋体" w:hAnsi="宋体" w:cs="宋体"/>
          <w:color w:val="auto"/>
          <w:sz w:val="21"/>
          <w:szCs w:val="21"/>
          <w:highlight w:val="none"/>
          <w:u w:val="single"/>
          <w:lang w:eastAsia="zh-CN"/>
        </w:rPr>
        <w:t>2025年扶绥县新安灌区、新湾灌区农业水价综合改革巩固提升项目</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lang w:val="zh-CN"/>
        </w:rPr>
        <w:t>工程的合同文件，自觉按合同办事。</w:t>
      </w:r>
    </w:p>
    <w:p w14:paraId="58973D9A">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（3）双方的业务活动坚持公开、公正、诚信、透明的原则（法律认定的商业秘密和合同文件另有规定除外），不得损害国家和集体利益，违反工程建设管理规章制度。</w:t>
      </w:r>
    </w:p>
    <w:p w14:paraId="600A474A">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（4）建立健全廉政制度，开展廉政教育，设立廉政告示牌，公布举报电话，监督并认真查处违法违纪行为。</w:t>
      </w:r>
    </w:p>
    <w:p w14:paraId="04D7CB58">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（5）发现对方在业务活动中有违反廉政规定的行为，有及时提醒对方纠正的权利和义务。</w:t>
      </w:r>
    </w:p>
    <w:p w14:paraId="7576B399">
      <w:pPr>
        <w:autoSpaceDE w:val="0"/>
        <w:autoSpaceDN w:val="0"/>
        <w:adjustRightInd w:val="0"/>
        <w:snapToGrid w:val="0"/>
        <w:spacing w:line="360" w:lineRule="auto"/>
        <w:ind w:firstLine="420" w:firstLineChars="200"/>
        <w:rPr>
          <w:rFonts w:hint="eastAsia" w:ascii="宋体" w:hAnsi="宋体" w:eastAsia="宋体" w:cs="宋体"/>
          <w:color w:val="auto"/>
          <w:spacing w:val="-20"/>
          <w:kern w:val="0"/>
          <w:sz w:val="21"/>
          <w:szCs w:val="21"/>
          <w:lang w:val="zh-CN"/>
        </w:rPr>
      </w:pPr>
      <w:r>
        <w:rPr>
          <w:rFonts w:hint="eastAsia" w:ascii="宋体" w:hAnsi="宋体" w:eastAsia="宋体" w:cs="宋体"/>
          <w:color w:val="auto"/>
          <w:kern w:val="0"/>
          <w:sz w:val="21"/>
          <w:szCs w:val="21"/>
          <w:lang w:val="zh-CN"/>
        </w:rPr>
        <w:t>（6）发现对方严重违反本合同义务条款的行为，有向其上级有关部门举报、建议给予处理并要求告知处理结果的权利。</w:t>
      </w:r>
    </w:p>
    <w:p w14:paraId="715869F6">
      <w:pPr>
        <w:autoSpaceDE w:val="0"/>
        <w:autoSpaceDN w:val="0"/>
        <w:adjustRightInd w:val="0"/>
        <w:snapToGrid w:val="0"/>
        <w:spacing w:line="360" w:lineRule="auto"/>
        <w:ind w:firstLine="420" w:firstLineChars="200"/>
        <w:rPr>
          <w:rFonts w:hint="eastAsia" w:ascii="宋体" w:hAnsi="宋体" w:eastAsia="宋体" w:cs="宋体"/>
          <w:b/>
          <w:bCs/>
          <w:color w:val="auto"/>
          <w:kern w:val="0"/>
          <w:sz w:val="21"/>
          <w:szCs w:val="21"/>
          <w:lang w:val="zh-CN"/>
        </w:rPr>
      </w:pPr>
      <w:r>
        <w:rPr>
          <w:rFonts w:hint="eastAsia" w:ascii="宋体" w:hAnsi="宋体" w:eastAsia="宋体" w:cs="宋体"/>
          <w:color w:val="auto"/>
          <w:kern w:val="0"/>
          <w:sz w:val="21"/>
          <w:szCs w:val="21"/>
          <w:lang w:val="zh-CN"/>
        </w:rPr>
        <w:t>2</w:t>
      </w:r>
      <w:r>
        <w:rPr>
          <w:rFonts w:hint="eastAsia" w:ascii="宋体" w:hAnsi="宋体" w:eastAsia="宋体" w:cs="宋体"/>
          <w:b/>
          <w:bCs/>
          <w:color w:val="auto"/>
          <w:kern w:val="0"/>
          <w:sz w:val="21"/>
          <w:szCs w:val="21"/>
          <w:lang w:val="zh-CN"/>
        </w:rPr>
        <w:t>.甲方的义务</w:t>
      </w:r>
    </w:p>
    <w:p w14:paraId="68C37010">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（1）甲方及其工作人员不得索要或接受乙方的礼金、有价证券和贵重物品，不得在乙方报销任何应由甲方或甲方工作人员个人支付的费用等。</w:t>
      </w:r>
    </w:p>
    <w:p w14:paraId="144A59DA">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（2）甲方工作人员不得参加乙方安排的超标准宴请和娱乐活动；不得接受乙方提供的通讯工具、交通工具和高档办公用品等。</w:t>
      </w:r>
    </w:p>
    <w:p w14:paraId="78C1A18A">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（3）甲方及其工作人员不得要求或者接受乙方为其住房装修、婚丧嫁娶活动、配偶子女的工作安排以及出国出境、旅游等提供方便等。</w:t>
      </w:r>
    </w:p>
    <w:p w14:paraId="05385B1D">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（4）甲方工作</w:t>
      </w:r>
      <w:r>
        <w:rPr>
          <w:rFonts w:hint="eastAsia" w:ascii="宋体" w:hAnsi="宋体" w:cs="宋体"/>
          <w:color w:val="auto"/>
          <w:kern w:val="0"/>
          <w:sz w:val="21"/>
          <w:szCs w:val="21"/>
          <w:lang w:val="zh-CN"/>
        </w:rPr>
        <w:t>人员</w:t>
      </w:r>
      <w:r>
        <w:rPr>
          <w:rFonts w:hint="eastAsia" w:ascii="宋体" w:hAnsi="宋体" w:eastAsia="宋体" w:cs="宋体"/>
          <w:color w:val="auto"/>
          <w:kern w:val="0"/>
          <w:sz w:val="21"/>
          <w:szCs w:val="21"/>
          <w:lang w:val="zh-CN"/>
        </w:rPr>
        <w:t>及其配偶、子女不得从事与甲方工程有关的材料设备供应、工程分包、劳务等经济活动等。</w:t>
      </w:r>
    </w:p>
    <w:p w14:paraId="224463C9">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（5）甲方及其工作人员不得以任何理由向乙方推荐分包单位或推销材料，不得要求乙方购买合同规定外的材料和设备。</w:t>
      </w:r>
    </w:p>
    <w:p w14:paraId="516581D0">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（6）甲方工作人员要秉公办事，不准营私舞弊，不准利用职权从事各种个人有偿中介活动和安排个人施工队伍。</w:t>
      </w:r>
    </w:p>
    <w:p w14:paraId="5DC2536B">
      <w:pPr>
        <w:autoSpaceDE w:val="0"/>
        <w:autoSpaceDN w:val="0"/>
        <w:adjustRightInd w:val="0"/>
        <w:snapToGrid w:val="0"/>
        <w:spacing w:line="360" w:lineRule="auto"/>
        <w:ind w:firstLine="422" w:firstLineChars="200"/>
        <w:rPr>
          <w:rFonts w:hint="eastAsia" w:ascii="宋体" w:hAnsi="宋体" w:eastAsia="宋体" w:cs="宋体"/>
          <w:b/>
          <w:bCs/>
          <w:color w:val="auto"/>
          <w:kern w:val="0"/>
          <w:sz w:val="21"/>
          <w:szCs w:val="21"/>
          <w:lang w:val="zh-CN"/>
        </w:rPr>
      </w:pPr>
      <w:r>
        <w:rPr>
          <w:rFonts w:hint="eastAsia" w:ascii="宋体" w:hAnsi="宋体" w:eastAsia="宋体" w:cs="宋体"/>
          <w:b/>
          <w:bCs/>
          <w:color w:val="auto"/>
          <w:kern w:val="0"/>
          <w:sz w:val="21"/>
          <w:szCs w:val="21"/>
          <w:lang w:val="zh-CN"/>
        </w:rPr>
        <w:t>3.乙方义务</w:t>
      </w:r>
    </w:p>
    <w:p w14:paraId="153963C9">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（1）乙方不得以任何理由向甲方及其工作人员行贿或馈赠礼金、有价证券、贵重礼品。</w:t>
      </w:r>
    </w:p>
    <w:p w14:paraId="13A4CAE0">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（2）乙方不得以任何名义为甲方及其工作人员报销应由甲方单位或个人支付的任何费用。</w:t>
      </w:r>
    </w:p>
    <w:p w14:paraId="572E0848">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（3）乙方不得以任何理由安排甲方工作人员参加超标准宴请及娱乐活动。</w:t>
      </w:r>
    </w:p>
    <w:p w14:paraId="2D54D0E1">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（4）乙方不得为甲方单位和个人购置或提供通讯工具、交通工具和高档办公用品等。</w:t>
      </w:r>
    </w:p>
    <w:p w14:paraId="3312805F">
      <w:pPr>
        <w:autoSpaceDE w:val="0"/>
        <w:autoSpaceDN w:val="0"/>
        <w:adjustRightInd w:val="0"/>
        <w:snapToGrid w:val="0"/>
        <w:spacing w:line="360" w:lineRule="auto"/>
        <w:ind w:firstLine="422" w:firstLineChars="200"/>
        <w:rPr>
          <w:rFonts w:hint="eastAsia" w:ascii="宋体" w:hAnsi="宋体" w:eastAsia="宋体" w:cs="宋体"/>
          <w:b/>
          <w:bCs/>
          <w:color w:val="auto"/>
          <w:kern w:val="0"/>
          <w:sz w:val="21"/>
          <w:szCs w:val="21"/>
          <w:lang w:val="zh-CN"/>
        </w:rPr>
      </w:pPr>
      <w:r>
        <w:rPr>
          <w:rFonts w:hint="eastAsia" w:ascii="宋体" w:hAnsi="宋体" w:eastAsia="宋体" w:cs="宋体"/>
          <w:b/>
          <w:bCs/>
          <w:color w:val="auto"/>
          <w:kern w:val="0"/>
          <w:sz w:val="21"/>
          <w:szCs w:val="21"/>
          <w:lang w:val="zh-CN"/>
        </w:rPr>
        <w:t>4.违约责任</w:t>
      </w:r>
    </w:p>
    <w:p w14:paraId="158A73E8">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（1）甲方及其工作人员违反本合同第</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2</w:t>
      </w:r>
      <w:r>
        <w:rPr>
          <w:rFonts w:hint="eastAsia" w:ascii="宋体" w:hAnsi="宋体" w:eastAsia="宋体" w:cs="宋体"/>
          <w:color w:val="auto"/>
          <w:kern w:val="0"/>
          <w:sz w:val="21"/>
          <w:szCs w:val="21"/>
          <w:lang w:val="zh-CN"/>
        </w:rPr>
        <w:t>条，按管理权限，依据有关规定给予党纪、政纪或组织处理；涉嫌犯罪的，移交司法机关追究刑事责任；给乙方单位造成经济损失的，应予以赔偿。</w:t>
      </w:r>
    </w:p>
    <w:p w14:paraId="3CBDC9C0">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（2）乙方及其工作人员违反本合同第</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rPr>
        <w:t>3</w:t>
      </w:r>
      <w:r>
        <w:rPr>
          <w:rFonts w:hint="eastAsia" w:ascii="宋体" w:hAnsi="宋体" w:eastAsia="宋体" w:cs="宋体"/>
          <w:color w:val="auto"/>
          <w:kern w:val="0"/>
          <w:sz w:val="21"/>
          <w:szCs w:val="21"/>
          <w:lang w:val="zh-CN"/>
        </w:rPr>
        <w:t>条，按管理权限，依据有关规定给予党纪、政纪或组织处理；给甲方单位造成经济损失的，应予以赔偿；情节严重的，甲方建议工程建设主管部门给予乙方一至三年内不得进入其主管的工程建设市场的处罚。</w:t>
      </w:r>
    </w:p>
    <w:p w14:paraId="081A0C49">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5.双方约定：本合同由双方或双方上级单位的纪检监察机关负责监督执行。由甲方或甲方上级单位的纪检监察机关约请乙方或乙方上级单位纪检监察机关对本合同执行情况进行检查，提出在本合同规定范围内的裁定意见。</w:t>
      </w:r>
    </w:p>
    <w:p w14:paraId="0326486E">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6.本合同有效期为甲乙</w:t>
      </w:r>
      <w:r>
        <w:rPr>
          <w:rFonts w:hint="eastAsia" w:ascii="宋体" w:hAnsi="宋体" w:cs="宋体"/>
          <w:color w:val="auto"/>
          <w:kern w:val="0"/>
          <w:sz w:val="21"/>
          <w:szCs w:val="21"/>
          <w:lang w:val="zh-CN"/>
        </w:rPr>
        <w:t>双方</w:t>
      </w:r>
      <w:r>
        <w:rPr>
          <w:rFonts w:hint="eastAsia" w:ascii="宋体" w:hAnsi="宋体" w:eastAsia="宋体" w:cs="宋体"/>
          <w:color w:val="auto"/>
          <w:kern w:val="0"/>
          <w:sz w:val="21"/>
          <w:szCs w:val="21"/>
          <w:lang w:val="zh-CN"/>
        </w:rPr>
        <w:t>签署之日起至该工程项目竣工验收后止。</w:t>
      </w:r>
    </w:p>
    <w:p w14:paraId="34A731C6">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7.本合同作为</w:t>
      </w:r>
      <w:r>
        <w:rPr>
          <w:rFonts w:hint="eastAsia" w:ascii="宋体" w:hAnsi="宋体" w:eastAsia="宋体" w:cs="宋体"/>
          <w:color w:val="auto"/>
          <w:kern w:val="0"/>
          <w:sz w:val="21"/>
          <w:szCs w:val="21"/>
          <w:u w:val="single"/>
        </w:rPr>
        <w:t xml:space="preserve"> </w:t>
      </w:r>
      <w:r>
        <w:rPr>
          <w:rFonts w:hint="eastAsia" w:ascii="宋体" w:hAnsi="宋体" w:cs="宋体"/>
          <w:color w:val="auto"/>
          <w:sz w:val="21"/>
          <w:szCs w:val="21"/>
          <w:highlight w:val="none"/>
          <w:u w:val="single"/>
          <w:lang w:eastAsia="zh-CN"/>
        </w:rPr>
        <w:t>2025年扶绥县新安灌区、新湾灌区农业水价综合改革巩固提升项目</w:t>
      </w:r>
      <w:r>
        <w:rPr>
          <w:rFonts w:hint="eastAsia" w:ascii="宋体" w:hAnsi="宋体" w:eastAsia="宋体" w:cs="宋体"/>
          <w:color w:val="auto"/>
          <w:kern w:val="0"/>
          <w:sz w:val="21"/>
          <w:szCs w:val="21"/>
          <w:lang w:val="zh-CN"/>
        </w:rPr>
        <w:t>施工合同的附件，与工程施工合同具有同等的法律效力，经合同双方签署立即生效。</w:t>
      </w:r>
    </w:p>
    <w:p w14:paraId="4F013074">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8.本合同一式四份，由甲、乙双方各执一份，送交甲、乙双方的监督单位各一份。</w:t>
      </w:r>
    </w:p>
    <w:p w14:paraId="0B79D1D3">
      <w:pPr>
        <w:pStyle w:val="19"/>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（签章页以下无正文）</w:t>
      </w:r>
    </w:p>
    <w:p w14:paraId="7649C3E1">
      <w:pPr>
        <w:pStyle w:val="19"/>
        <w:rPr>
          <w:rFonts w:hint="eastAsia" w:ascii="宋体" w:hAnsi="宋体" w:eastAsia="宋体" w:cs="宋体"/>
          <w:color w:val="auto"/>
          <w:kern w:val="0"/>
          <w:sz w:val="21"/>
          <w:szCs w:val="21"/>
          <w:lang w:val="zh-CN"/>
        </w:rPr>
      </w:pPr>
    </w:p>
    <w:p w14:paraId="68B01573">
      <w:pPr>
        <w:pStyle w:val="19"/>
        <w:rPr>
          <w:rFonts w:hint="eastAsia" w:ascii="宋体" w:hAnsi="宋体" w:eastAsia="宋体" w:cs="宋体"/>
          <w:color w:val="auto"/>
          <w:kern w:val="0"/>
          <w:sz w:val="21"/>
          <w:szCs w:val="21"/>
          <w:lang w:val="zh-CN"/>
        </w:rPr>
      </w:pPr>
    </w:p>
    <w:p w14:paraId="1D6AF52E">
      <w:pPr>
        <w:pStyle w:val="19"/>
        <w:rPr>
          <w:rFonts w:hint="eastAsia" w:ascii="宋体" w:hAnsi="宋体" w:eastAsia="宋体" w:cs="宋体"/>
          <w:color w:val="auto"/>
          <w:kern w:val="0"/>
          <w:sz w:val="21"/>
          <w:szCs w:val="21"/>
          <w:lang w:val="zh-CN"/>
        </w:rPr>
      </w:pPr>
    </w:p>
    <w:p w14:paraId="7134BCB0">
      <w:pPr>
        <w:pStyle w:val="19"/>
        <w:rPr>
          <w:rFonts w:hint="eastAsia" w:ascii="宋体" w:hAnsi="宋体" w:eastAsia="宋体" w:cs="宋体"/>
          <w:color w:val="auto"/>
          <w:kern w:val="0"/>
          <w:sz w:val="21"/>
          <w:szCs w:val="21"/>
          <w:lang w:val="zh-CN"/>
        </w:rPr>
      </w:pPr>
    </w:p>
    <w:p w14:paraId="61803495">
      <w:pPr>
        <w:pStyle w:val="19"/>
        <w:rPr>
          <w:rFonts w:hint="eastAsia" w:ascii="宋体" w:hAnsi="宋体" w:eastAsia="宋体" w:cs="宋体"/>
          <w:color w:val="auto"/>
          <w:kern w:val="0"/>
          <w:sz w:val="21"/>
          <w:szCs w:val="21"/>
          <w:lang w:val="zh-CN"/>
        </w:rPr>
      </w:pPr>
    </w:p>
    <w:p w14:paraId="266CF1D1">
      <w:pPr>
        <w:pStyle w:val="19"/>
        <w:rPr>
          <w:rFonts w:hint="eastAsia" w:ascii="宋体" w:hAnsi="宋体" w:eastAsia="宋体" w:cs="宋体"/>
          <w:color w:val="auto"/>
          <w:kern w:val="0"/>
          <w:sz w:val="21"/>
          <w:szCs w:val="21"/>
          <w:lang w:val="zh-CN"/>
        </w:rPr>
      </w:pPr>
    </w:p>
    <w:p w14:paraId="56F8D7C4">
      <w:pPr>
        <w:adjustRightInd w:val="0"/>
        <w:snapToGrid w:val="0"/>
        <w:spacing w:line="360" w:lineRule="auto"/>
        <w:rPr>
          <w:rFonts w:hint="eastAsia" w:ascii="宋体" w:hAnsi="宋体" w:eastAsia="宋体" w:cs="宋体"/>
          <w:color w:val="auto"/>
          <w:sz w:val="21"/>
          <w:szCs w:val="21"/>
        </w:rPr>
      </w:pPr>
      <w:bookmarkStart w:id="1598" w:name="_Toc535413845"/>
      <w:r>
        <w:rPr>
          <w:rFonts w:hint="eastAsia" w:ascii="宋体" w:hAnsi="宋体" w:eastAsia="宋体" w:cs="宋体"/>
          <w:color w:val="auto"/>
          <w:sz w:val="21"/>
          <w:szCs w:val="21"/>
        </w:rPr>
        <w:t>发包人：  （公章）                        承包人：  （公章）</w:t>
      </w:r>
    </w:p>
    <w:p w14:paraId="77736316">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p>
    <w:p w14:paraId="301FE0CD">
      <w:pPr>
        <w:adjustRightInd w:val="0"/>
        <w:snapToGrid w:val="0"/>
        <w:spacing w:line="360" w:lineRule="auto"/>
        <w:ind w:left="6000" w:hanging="5250" w:hangingChars="2500"/>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地  址：</w:t>
      </w:r>
      <w:r>
        <w:rPr>
          <w:rFonts w:hint="eastAsia" w:ascii="宋体" w:hAnsi="宋体" w:eastAsia="宋体" w:cs="宋体"/>
          <w:color w:val="auto"/>
          <w:sz w:val="21"/>
          <w:szCs w:val="21"/>
          <w:u w:val="single"/>
        </w:rPr>
        <w:t xml:space="preserve">                      </w:t>
      </w:r>
    </w:p>
    <w:p w14:paraId="68F01433">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1F62CB4">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委托代理人（签字）：</w:t>
      </w:r>
      <w:r>
        <w:rPr>
          <w:rFonts w:hint="eastAsia" w:ascii="宋体" w:hAnsi="宋体" w:eastAsia="宋体" w:cs="宋体"/>
          <w:color w:val="auto"/>
          <w:sz w:val="21"/>
          <w:szCs w:val="21"/>
          <w:u w:val="single"/>
        </w:rPr>
        <w:t xml:space="preserve">            </w:t>
      </w:r>
    </w:p>
    <w:p w14:paraId="669C4AB3">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7E18500F">
      <w:pPr>
        <w:adjustRightInd w:val="0"/>
        <w:snapToGrid w:val="0"/>
        <w:spacing w:line="360" w:lineRule="auto"/>
        <w:ind w:left="6120" w:hanging="5355" w:hangingChars="2550"/>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2AA1B7EB">
      <w:pPr>
        <w:adjustRightInd w:val="0"/>
        <w:snapToGrid w:val="0"/>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rPr>
        <w:t>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账  号：</w:t>
      </w:r>
      <w:r>
        <w:rPr>
          <w:rFonts w:hint="eastAsia" w:ascii="宋体" w:hAnsi="宋体" w:eastAsia="宋体" w:cs="宋体"/>
          <w:color w:val="auto"/>
          <w:sz w:val="21"/>
          <w:szCs w:val="21"/>
          <w:u w:val="single"/>
        </w:rPr>
        <w:t xml:space="preserve">       </w:t>
      </w:r>
    </w:p>
    <w:p w14:paraId="39BFC781">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14:paraId="119773F8">
      <w:pPr>
        <w:pStyle w:val="6"/>
        <w:adjustRightInd w:val="0"/>
        <w:snapToGrid w:val="0"/>
        <w:spacing w:line="360" w:lineRule="auto"/>
        <w:jc w:val="center"/>
        <w:rPr>
          <w:rFonts w:hint="eastAsia" w:ascii="宋体" w:hAnsi="宋体" w:eastAsia="宋体" w:cs="宋体"/>
          <w:color w:val="auto"/>
          <w:kern w:val="0"/>
          <w:sz w:val="21"/>
          <w:szCs w:val="21"/>
          <w:lang w:val="zh-CN"/>
        </w:rPr>
      </w:pPr>
    </w:p>
    <w:p w14:paraId="723FA4D5">
      <w:pPr>
        <w:rPr>
          <w:rFonts w:hint="eastAsia" w:ascii="宋体" w:hAnsi="宋体" w:eastAsia="宋体" w:cs="宋体"/>
          <w:color w:val="auto"/>
          <w:kern w:val="0"/>
          <w:sz w:val="21"/>
          <w:szCs w:val="21"/>
          <w:lang w:val="zh-CN"/>
        </w:rPr>
      </w:pPr>
    </w:p>
    <w:p w14:paraId="52933826">
      <w:pPr>
        <w:pStyle w:val="2"/>
        <w:rPr>
          <w:rFonts w:hint="eastAsia" w:ascii="宋体" w:hAnsi="宋体" w:eastAsia="宋体" w:cs="宋体"/>
          <w:color w:val="auto"/>
          <w:kern w:val="0"/>
          <w:sz w:val="21"/>
          <w:szCs w:val="21"/>
          <w:lang w:val="zh-CN"/>
        </w:rPr>
      </w:pPr>
    </w:p>
    <w:p w14:paraId="28F5833D">
      <w:pPr>
        <w:pStyle w:val="2"/>
        <w:rPr>
          <w:rFonts w:hint="eastAsia" w:ascii="宋体" w:hAnsi="宋体" w:eastAsia="宋体" w:cs="宋体"/>
          <w:color w:val="auto"/>
          <w:kern w:val="0"/>
          <w:sz w:val="21"/>
          <w:szCs w:val="21"/>
          <w:lang w:val="zh-CN"/>
        </w:rPr>
      </w:pPr>
    </w:p>
    <w:p w14:paraId="3344F42E">
      <w:pPr>
        <w:pStyle w:val="2"/>
        <w:rPr>
          <w:rFonts w:hint="eastAsia" w:ascii="宋体" w:hAnsi="宋体" w:eastAsia="宋体" w:cs="宋体"/>
          <w:color w:val="auto"/>
          <w:kern w:val="0"/>
          <w:sz w:val="21"/>
          <w:szCs w:val="21"/>
          <w:lang w:val="zh-CN"/>
        </w:rPr>
      </w:pPr>
    </w:p>
    <w:p w14:paraId="65FF1039">
      <w:pPr>
        <w:pStyle w:val="2"/>
        <w:rPr>
          <w:rFonts w:hint="eastAsia" w:ascii="宋体" w:hAnsi="宋体" w:eastAsia="宋体" w:cs="宋体"/>
          <w:color w:val="auto"/>
          <w:kern w:val="0"/>
          <w:sz w:val="21"/>
          <w:szCs w:val="21"/>
          <w:lang w:val="zh-CN"/>
        </w:rPr>
      </w:pPr>
    </w:p>
    <w:p w14:paraId="50FFBBAF">
      <w:pPr>
        <w:pStyle w:val="2"/>
        <w:rPr>
          <w:rFonts w:hint="eastAsia" w:ascii="宋体" w:hAnsi="宋体" w:eastAsia="宋体" w:cs="宋体"/>
          <w:color w:val="auto"/>
          <w:kern w:val="0"/>
          <w:sz w:val="21"/>
          <w:szCs w:val="21"/>
          <w:lang w:val="zh-CN"/>
        </w:rPr>
      </w:pPr>
    </w:p>
    <w:p w14:paraId="7C23AEEA">
      <w:pPr>
        <w:pStyle w:val="2"/>
        <w:rPr>
          <w:rFonts w:hint="eastAsia" w:ascii="宋体" w:hAnsi="宋体" w:eastAsia="宋体" w:cs="宋体"/>
          <w:color w:val="auto"/>
          <w:kern w:val="0"/>
          <w:sz w:val="21"/>
          <w:szCs w:val="21"/>
          <w:lang w:val="zh-CN"/>
        </w:rPr>
      </w:pPr>
    </w:p>
    <w:p w14:paraId="1E0DBB54">
      <w:pPr>
        <w:pStyle w:val="2"/>
        <w:rPr>
          <w:rFonts w:hint="eastAsia" w:ascii="宋体" w:hAnsi="宋体" w:eastAsia="宋体" w:cs="宋体"/>
          <w:color w:val="auto"/>
          <w:kern w:val="0"/>
          <w:sz w:val="21"/>
          <w:szCs w:val="21"/>
          <w:lang w:val="zh-CN"/>
        </w:rPr>
      </w:pPr>
    </w:p>
    <w:p w14:paraId="67BBF229">
      <w:pPr>
        <w:pStyle w:val="2"/>
        <w:rPr>
          <w:rFonts w:hint="eastAsia" w:ascii="宋体" w:hAnsi="宋体" w:eastAsia="宋体" w:cs="宋体"/>
          <w:color w:val="auto"/>
          <w:kern w:val="0"/>
          <w:sz w:val="21"/>
          <w:szCs w:val="21"/>
          <w:lang w:val="zh-CN"/>
        </w:rPr>
      </w:pPr>
    </w:p>
    <w:p w14:paraId="08F1A2FB">
      <w:pPr>
        <w:pStyle w:val="2"/>
        <w:rPr>
          <w:rFonts w:hint="eastAsia" w:ascii="宋体" w:hAnsi="宋体" w:eastAsia="宋体" w:cs="宋体"/>
          <w:color w:val="auto"/>
          <w:kern w:val="0"/>
          <w:sz w:val="21"/>
          <w:szCs w:val="21"/>
          <w:lang w:val="zh-CN"/>
        </w:rPr>
      </w:pPr>
    </w:p>
    <w:p w14:paraId="0DC72554">
      <w:pPr>
        <w:pStyle w:val="2"/>
        <w:rPr>
          <w:rFonts w:hint="eastAsia" w:ascii="宋体" w:hAnsi="宋体" w:eastAsia="宋体" w:cs="宋体"/>
          <w:color w:val="auto"/>
          <w:kern w:val="0"/>
          <w:sz w:val="21"/>
          <w:szCs w:val="21"/>
          <w:lang w:val="zh-CN"/>
        </w:rPr>
      </w:pPr>
    </w:p>
    <w:p w14:paraId="7637AA16">
      <w:pPr>
        <w:pStyle w:val="2"/>
        <w:rPr>
          <w:rFonts w:hint="eastAsia" w:ascii="宋体" w:hAnsi="宋体" w:eastAsia="宋体" w:cs="宋体"/>
          <w:color w:val="auto"/>
          <w:kern w:val="0"/>
          <w:sz w:val="21"/>
          <w:szCs w:val="21"/>
          <w:lang w:val="zh-CN"/>
        </w:rPr>
      </w:pPr>
    </w:p>
    <w:p w14:paraId="01546C72">
      <w:pPr>
        <w:rPr>
          <w:rFonts w:hint="eastAsia" w:ascii="宋体" w:hAnsi="宋体" w:eastAsia="宋体" w:cs="宋体"/>
          <w:color w:val="auto"/>
          <w:sz w:val="21"/>
          <w:szCs w:val="21"/>
        </w:rPr>
      </w:pPr>
      <w:r>
        <w:rPr>
          <w:rFonts w:hint="eastAsia" w:ascii="宋体" w:hAnsi="宋体" w:eastAsia="宋体" w:cs="宋体"/>
          <w:color w:val="auto"/>
          <w:sz w:val="21"/>
          <w:szCs w:val="21"/>
          <w:lang w:val="zh-CN"/>
        </w:rPr>
        <w:t>附件</w:t>
      </w:r>
      <w:r>
        <w:rPr>
          <w:rFonts w:hint="eastAsia" w:ascii="宋体" w:hAnsi="宋体" w:eastAsia="宋体" w:cs="宋体"/>
          <w:color w:val="auto"/>
          <w:sz w:val="21"/>
          <w:szCs w:val="21"/>
        </w:rPr>
        <w:t>6</w:t>
      </w:r>
    </w:p>
    <w:p w14:paraId="3DD83AB6">
      <w:pPr>
        <w:rPr>
          <w:rFonts w:hint="eastAsia" w:ascii="宋体" w:hAnsi="宋体" w:eastAsia="宋体" w:cs="宋体"/>
          <w:color w:val="auto"/>
          <w:sz w:val="21"/>
          <w:szCs w:val="21"/>
          <w:lang w:val="zh-CN"/>
        </w:rPr>
      </w:pPr>
    </w:p>
    <w:p w14:paraId="611EFC24">
      <w:pPr>
        <w:pStyle w:val="6"/>
        <w:adjustRightInd w:val="0"/>
        <w:snapToGrid w:val="0"/>
        <w:spacing w:line="360" w:lineRule="auto"/>
        <w:jc w:val="center"/>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安全生产合同</w:t>
      </w:r>
      <w:bookmarkEnd w:id="1598"/>
    </w:p>
    <w:p w14:paraId="2ECB8D17">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为在</w:t>
      </w:r>
      <w:r>
        <w:rPr>
          <w:rFonts w:hint="eastAsia" w:ascii="宋体" w:hAnsi="宋体" w:eastAsia="宋体" w:cs="宋体"/>
          <w:color w:val="auto"/>
          <w:kern w:val="0"/>
          <w:sz w:val="21"/>
          <w:szCs w:val="21"/>
          <w:u w:val="single"/>
        </w:rPr>
        <w:t xml:space="preserve">  </w:t>
      </w:r>
      <w:r>
        <w:rPr>
          <w:rFonts w:hint="eastAsia" w:ascii="宋体" w:hAnsi="宋体" w:cs="宋体"/>
          <w:color w:val="auto"/>
          <w:sz w:val="21"/>
          <w:szCs w:val="21"/>
          <w:highlight w:val="none"/>
          <w:u w:val="single"/>
          <w:lang w:eastAsia="zh-CN"/>
        </w:rPr>
        <w:t>2025年扶绥县新安灌区、新湾灌区农业水价综合改革巩固提升项目</w:t>
      </w:r>
      <w:r>
        <w:rPr>
          <w:rFonts w:hint="eastAsia" w:ascii="宋体" w:hAnsi="宋体" w:eastAsia="宋体" w:cs="宋体"/>
          <w:color w:val="auto"/>
          <w:kern w:val="0"/>
          <w:sz w:val="21"/>
          <w:szCs w:val="21"/>
          <w:lang w:val="zh-CN"/>
        </w:rPr>
        <w:t>施工合同的实施过程中创造安全、高效的施工环境，</w:t>
      </w:r>
      <w:r>
        <w:rPr>
          <w:rFonts w:hint="eastAsia" w:ascii="宋体" w:hAnsi="宋体" w:cs="宋体"/>
          <w:color w:val="auto"/>
          <w:kern w:val="0"/>
          <w:sz w:val="21"/>
          <w:szCs w:val="21"/>
          <w:lang w:val="zh-CN"/>
        </w:rPr>
        <w:t>切实做好</w:t>
      </w:r>
      <w:r>
        <w:rPr>
          <w:rFonts w:hint="eastAsia" w:ascii="宋体" w:hAnsi="宋体" w:eastAsia="宋体" w:cs="宋体"/>
          <w:color w:val="auto"/>
          <w:kern w:val="0"/>
          <w:sz w:val="21"/>
          <w:szCs w:val="21"/>
          <w:lang w:val="zh-CN"/>
        </w:rPr>
        <w:t>本项目的安全管理工作，本项目业主</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lang w:val="zh-CN"/>
        </w:rPr>
        <w:t>（以下简称“甲方”）与承包人</w:t>
      </w:r>
      <w:r>
        <w:rPr>
          <w:rFonts w:hint="eastAsia" w:ascii="宋体" w:hAnsi="宋体" w:eastAsia="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扶绥县水利工程管理站</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lang w:val="zh-CN"/>
        </w:rPr>
        <w:t>（以下简称“乙方”）特此签订安全生产合同：</w:t>
      </w:r>
    </w:p>
    <w:p w14:paraId="5D98A5FB">
      <w:pPr>
        <w:autoSpaceDE w:val="0"/>
        <w:autoSpaceDN w:val="0"/>
        <w:adjustRightInd w:val="0"/>
        <w:snapToGrid w:val="0"/>
        <w:spacing w:line="360" w:lineRule="auto"/>
        <w:ind w:firstLine="420" w:firstLineChars="200"/>
        <w:rPr>
          <w:rFonts w:hint="eastAsia" w:ascii="宋体" w:hAnsi="宋体" w:eastAsia="宋体" w:cs="宋体"/>
          <w:b/>
          <w:bCs/>
          <w:color w:val="auto"/>
          <w:kern w:val="0"/>
          <w:sz w:val="21"/>
          <w:szCs w:val="21"/>
          <w:lang w:val="zh-CN"/>
        </w:rPr>
      </w:pPr>
      <w:r>
        <w:rPr>
          <w:rFonts w:hint="eastAsia" w:ascii="宋体" w:hAnsi="宋体" w:eastAsia="宋体" w:cs="宋体"/>
          <w:color w:val="auto"/>
          <w:kern w:val="0"/>
          <w:sz w:val="21"/>
          <w:szCs w:val="21"/>
          <w:lang w:val="zh-CN"/>
        </w:rPr>
        <w:t xml:space="preserve"> </w:t>
      </w:r>
      <w:r>
        <w:rPr>
          <w:rFonts w:hint="eastAsia" w:ascii="宋体" w:hAnsi="宋体" w:eastAsia="宋体" w:cs="宋体"/>
          <w:b/>
          <w:bCs/>
          <w:color w:val="auto"/>
          <w:kern w:val="0"/>
          <w:sz w:val="21"/>
          <w:szCs w:val="21"/>
          <w:lang w:val="zh-CN"/>
        </w:rPr>
        <w:t>一、甲方职责</w:t>
      </w:r>
    </w:p>
    <w:p w14:paraId="78BF9615">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1.严格遵守国家有关安全生产的法律法规，认真执行工程承包合同中的有关安全要求。</w:t>
      </w:r>
    </w:p>
    <w:p w14:paraId="072A5F63">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2.按照“安全第一、预防为主”和坚持“管生产必须管安全”的原则进行安全生产管理，做到生产与安全工作同时计划、布置、检查、总结和评比。</w:t>
      </w:r>
    </w:p>
    <w:p w14:paraId="61EB03B2">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3.重要的安全设施必须坚持与主体工程“三同时”的原则，即：同时设计、审批，同时施工，同时验收，投入使用。</w:t>
      </w:r>
    </w:p>
    <w:p w14:paraId="100D093E">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4.定期召开安全生产调度会，及时传达中央及地方有关安全生产的精神。</w:t>
      </w:r>
    </w:p>
    <w:p w14:paraId="43DC4C30">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5.组织对乙方施工现场安全生产检查，监督乙方及时处理发现的各种安全隐患。</w:t>
      </w:r>
    </w:p>
    <w:p w14:paraId="5DEBEE3A">
      <w:pPr>
        <w:autoSpaceDE w:val="0"/>
        <w:autoSpaceDN w:val="0"/>
        <w:adjustRightInd w:val="0"/>
        <w:snapToGrid w:val="0"/>
        <w:spacing w:line="360" w:lineRule="auto"/>
        <w:ind w:firstLine="422" w:firstLineChars="200"/>
        <w:rPr>
          <w:rFonts w:hint="eastAsia" w:ascii="宋体" w:hAnsi="宋体" w:eastAsia="宋体" w:cs="宋体"/>
          <w:b/>
          <w:bCs/>
          <w:color w:val="auto"/>
          <w:kern w:val="0"/>
          <w:sz w:val="21"/>
          <w:szCs w:val="21"/>
          <w:lang w:val="zh-CN"/>
        </w:rPr>
      </w:pPr>
      <w:r>
        <w:rPr>
          <w:rFonts w:hint="eastAsia" w:ascii="宋体" w:hAnsi="宋体" w:eastAsia="宋体" w:cs="宋体"/>
          <w:b/>
          <w:bCs/>
          <w:color w:val="auto"/>
          <w:kern w:val="0"/>
          <w:sz w:val="21"/>
          <w:szCs w:val="21"/>
          <w:lang w:val="zh-CN"/>
        </w:rPr>
        <w:t>二、乙方职责</w:t>
      </w:r>
    </w:p>
    <w:p w14:paraId="28AC73BD">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1.严格遵守国家有关安全生产的法律法规及建筑工程有关安全生产的规定，认真执行工程承包合同中的有关安全要求。</w:t>
      </w:r>
    </w:p>
    <w:p w14:paraId="215359E9">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5AD78219">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3.建立健全安全生产责任制。从派往项目实施的项目负责人到生产工人（包括临时雇请</w:t>
      </w:r>
      <w:r>
        <w:rPr>
          <w:rFonts w:hint="eastAsia" w:ascii="宋体" w:hAnsi="宋体" w:cs="宋体"/>
          <w:color w:val="auto"/>
          <w:kern w:val="0"/>
          <w:sz w:val="21"/>
          <w:szCs w:val="21"/>
          <w:lang w:val="zh-CN"/>
        </w:rPr>
        <w:t>的农</w:t>
      </w:r>
      <w:r>
        <w:rPr>
          <w:rFonts w:hint="eastAsia" w:ascii="宋体" w:hAnsi="宋体" w:eastAsia="宋体" w:cs="宋体"/>
          <w:color w:val="auto"/>
          <w:kern w:val="0"/>
          <w:sz w:val="21"/>
          <w:szCs w:val="21"/>
          <w:lang w:val="zh-CN"/>
        </w:rPr>
        <w:t>民工）的安全生产管理系统必须做到纵向到底，一环不漏；各职能部门、人员的安全生产责任制做到横向到边，人人有责。项目负责人是安全生产的第一责任人。现场设置的安全机构，应按施工人员的</w:t>
      </w:r>
      <w:r>
        <w:rPr>
          <w:rFonts w:hint="eastAsia" w:ascii="宋体" w:hAnsi="宋体" w:cs="宋体"/>
          <w:color w:val="auto"/>
          <w:kern w:val="0"/>
          <w:sz w:val="21"/>
          <w:szCs w:val="21"/>
          <w:lang w:val="zh-CN"/>
        </w:rPr>
        <w:t>1%～3%</w:t>
      </w:r>
      <w:r>
        <w:rPr>
          <w:rFonts w:hint="eastAsia" w:ascii="宋体" w:hAnsi="宋体" w:eastAsia="宋体" w:cs="宋体"/>
          <w:color w:val="auto"/>
          <w:kern w:val="0"/>
          <w:sz w:val="21"/>
          <w:szCs w:val="21"/>
          <w:lang w:val="zh-CN"/>
        </w:rPr>
        <w:t>配备安全员，专职负责所有员工的安全和治安保卫工作及预防事故的发生。安全机构人员，有权按有关规定发布指令，并采取保护性措施防止事故发生。</w:t>
      </w:r>
    </w:p>
    <w:p w14:paraId="627842B4">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4.乙方在任何时候都应采取各种合理的预防措施，防止其员工发生任何违法、</w:t>
      </w:r>
      <w:r>
        <w:rPr>
          <w:rFonts w:hint="eastAsia" w:ascii="宋体" w:hAnsi="宋体" w:cs="宋体"/>
          <w:color w:val="auto"/>
          <w:kern w:val="0"/>
          <w:sz w:val="21"/>
          <w:szCs w:val="21"/>
          <w:lang w:val="zh-CN"/>
        </w:rPr>
        <w:t>违纪</w:t>
      </w:r>
      <w:r>
        <w:rPr>
          <w:rFonts w:hint="eastAsia" w:ascii="宋体" w:hAnsi="宋体" w:eastAsia="宋体" w:cs="宋体"/>
          <w:color w:val="auto"/>
          <w:kern w:val="0"/>
          <w:sz w:val="21"/>
          <w:szCs w:val="21"/>
          <w:lang w:val="zh-CN"/>
        </w:rPr>
        <w:t>、暴力或妨碍治安的行为。</w:t>
      </w:r>
    </w:p>
    <w:p w14:paraId="46CC2ADA">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5.乙方必须具有劳动安全管理部门颁发的安全生产证书，参加施工的人员，必须接受安全技术教育，熟知和遵守本工种的各项安全技术操作规程，定期进行安全技术考核，合格者方准上岗操作。对于从事电气、起重、</w:t>
      </w:r>
      <w:r>
        <w:rPr>
          <w:rFonts w:hint="eastAsia" w:ascii="宋体" w:hAnsi="宋体" w:cs="宋体"/>
          <w:color w:val="auto"/>
          <w:kern w:val="0"/>
          <w:sz w:val="21"/>
          <w:szCs w:val="21"/>
          <w:lang w:val="zh-CN"/>
        </w:rPr>
        <w:t>建筑限高</w:t>
      </w:r>
      <w:r>
        <w:rPr>
          <w:rFonts w:hint="eastAsia" w:ascii="宋体" w:hAnsi="宋体" w:eastAsia="宋体" w:cs="宋体"/>
          <w:color w:val="auto"/>
          <w:kern w:val="0"/>
          <w:sz w:val="21"/>
          <w:szCs w:val="21"/>
          <w:lang w:val="zh-CN"/>
        </w:rPr>
        <w:t>架设作业、锅炉、压力容器、焊接、机动车船艇驾驶、爆破、潜水、瓦斯检验等特殊工种的人员，经过专业培训，获得《安全操作合格证》后，方准持证上岗。施工现场如出现特种作业无证操作现象，项目负责人必须承担管理责任。</w:t>
      </w:r>
    </w:p>
    <w:p w14:paraId="468017E1">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6.对于易燃易爆的材料除应专门妥善保管之外，还应</w:t>
      </w:r>
      <w:r>
        <w:rPr>
          <w:rFonts w:hint="eastAsia" w:ascii="宋体" w:hAnsi="宋体" w:cs="宋体"/>
          <w:color w:val="auto"/>
          <w:kern w:val="0"/>
          <w:sz w:val="21"/>
          <w:szCs w:val="21"/>
          <w:lang w:val="zh-CN"/>
        </w:rPr>
        <w:t>配备</w:t>
      </w:r>
      <w:r>
        <w:rPr>
          <w:rFonts w:hint="eastAsia" w:ascii="宋体" w:hAnsi="宋体" w:eastAsia="宋体" w:cs="宋体"/>
          <w:color w:val="auto"/>
          <w:kern w:val="0"/>
          <w:sz w:val="21"/>
          <w:szCs w:val="21"/>
          <w:lang w:val="zh-CN"/>
        </w:rPr>
        <w:t>足够的消防设施，所有施工人员都应熟悉消防设备的性能和使用方法；乙方不得将任何种类的爆炸物给予、易货或以其他方式转让给任何其他人，或允许、容忍上述同样行为。</w:t>
      </w:r>
    </w:p>
    <w:p w14:paraId="77623EA0">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7.操作人员上岗，必须按规定穿戴防护用品。施工负责人和安全检查员应随时检查劳动防护用品的穿戴情况，不按规定穿戴防护用品的人员不得上岗。</w:t>
      </w:r>
    </w:p>
    <w:p w14:paraId="6688D50F">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8.所有施工机械设备和高空作业的设备均应定期检查，并有安全员的签字记录，保证其经常处于完好状态；不合格的机具、设备和劳动保护用品严禁使用。</w:t>
      </w:r>
    </w:p>
    <w:p w14:paraId="7EA6762D">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9.施工中采用新技术、新工艺、新设备、新材料时，必须制定相应的安全技术措施，施工现场必须具有相关的安全标志牌。</w:t>
      </w:r>
    </w:p>
    <w:p w14:paraId="128B688D">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10.乙方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55AAF3F7">
      <w:pPr>
        <w:autoSpaceDE w:val="0"/>
        <w:autoSpaceDN w:val="0"/>
        <w:adjustRightInd w:val="0"/>
        <w:snapToGrid w:val="0"/>
        <w:spacing w:line="360" w:lineRule="auto"/>
        <w:ind w:firstLine="420" w:firstLineChars="20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11.</w:t>
      </w:r>
      <w:r>
        <w:rPr>
          <w:rFonts w:hint="eastAsia" w:ascii="宋体" w:hAnsi="宋体" w:eastAsia="宋体" w:cs="宋体"/>
          <w:color w:val="auto"/>
          <w:kern w:val="0"/>
          <w:sz w:val="21"/>
          <w:szCs w:val="21"/>
          <w:lang w:val="zh-CN"/>
        </w:rPr>
        <w:t>乙方需为施工人员缴纳工伤保险的具体证明要求”，明确提交时间及核验标准，符合《安全生产法》相关规定</w:t>
      </w:r>
      <w:r>
        <w:rPr>
          <w:rFonts w:hint="eastAsia" w:ascii="宋体" w:hAnsi="宋体" w:cs="宋体"/>
          <w:color w:val="auto"/>
          <w:kern w:val="0"/>
          <w:sz w:val="21"/>
          <w:szCs w:val="21"/>
          <w:lang w:val="zh-CN"/>
        </w:rPr>
        <w:t>。</w:t>
      </w:r>
    </w:p>
    <w:p w14:paraId="164F81A0">
      <w:pPr>
        <w:autoSpaceDE w:val="0"/>
        <w:autoSpaceDN w:val="0"/>
        <w:adjustRightInd w:val="0"/>
        <w:snapToGrid w:val="0"/>
        <w:spacing w:line="360" w:lineRule="auto"/>
        <w:ind w:firstLine="420" w:firstLineChars="200"/>
        <w:rPr>
          <w:rFonts w:hint="eastAsia" w:ascii="宋体" w:hAnsi="宋体" w:eastAsia="宋体" w:cs="宋体"/>
          <w:b/>
          <w:bCs/>
          <w:color w:val="auto"/>
          <w:kern w:val="0"/>
          <w:sz w:val="21"/>
          <w:szCs w:val="21"/>
          <w:lang w:val="zh-CN"/>
        </w:rPr>
      </w:pPr>
      <w:r>
        <w:rPr>
          <w:rFonts w:hint="eastAsia" w:ascii="宋体" w:hAnsi="宋体" w:eastAsia="宋体" w:cs="宋体"/>
          <w:color w:val="auto"/>
          <w:kern w:val="0"/>
          <w:sz w:val="21"/>
          <w:szCs w:val="21"/>
          <w:lang w:val="zh-CN"/>
        </w:rPr>
        <w:t xml:space="preserve">  </w:t>
      </w:r>
      <w:r>
        <w:rPr>
          <w:rFonts w:hint="eastAsia" w:ascii="宋体" w:hAnsi="宋体" w:eastAsia="宋体" w:cs="宋体"/>
          <w:b/>
          <w:bCs/>
          <w:color w:val="auto"/>
          <w:kern w:val="0"/>
          <w:sz w:val="21"/>
          <w:szCs w:val="21"/>
          <w:lang w:val="zh-CN"/>
        </w:rPr>
        <w:t>三、违约责任</w:t>
      </w:r>
    </w:p>
    <w:p w14:paraId="5DFF6B37">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如因乙方违约造成安全事故，乙方承担全部赔偿责任。</w:t>
      </w:r>
    </w:p>
    <w:p w14:paraId="63A79429">
      <w:pPr>
        <w:autoSpaceDE w:val="0"/>
        <w:autoSpaceDN w:val="0"/>
        <w:adjustRightInd w:val="0"/>
        <w:snapToGrid w:val="0"/>
        <w:spacing w:line="360" w:lineRule="auto"/>
        <w:ind w:firstLine="420" w:firstLineChars="200"/>
        <w:rPr>
          <w:rFonts w:hint="eastAsia" w:ascii="宋体" w:hAnsi="宋体" w:eastAsia="宋体" w:cs="宋体"/>
          <w:color w:val="auto"/>
          <w:kern w:val="0"/>
          <w:sz w:val="21"/>
          <w:szCs w:val="21"/>
          <w:lang w:val="zh-CN"/>
        </w:rPr>
      </w:pPr>
      <w:r>
        <w:rPr>
          <w:rFonts w:hint="eastAsia" w:ascii="宋体" w:hAnsi="宋体" w:eastAsia="宋体" w:cs="宋体"/>
          <w:color w:val="auto"/>
          <w:kern w:val="0"/>
          <w:sz w:val="21"/>
          <w:szCs w:val="21"/>
          <w:lang w:val="zh-CN"/>
        </w:rPr>
        <w:t xml:space="preserve"> 本合同正本一式</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zh-CN"/>
        </w:rPr>
        <w:t>份，合同双方各执</w:t>
      </w:r>
      <w:r>
        <w:rPr>
          <w:rFonts w:hint="eastAsia" w:ascii="宋体" w:hAnsi="宋体" w:eastAsia="宋体" w:cs="宋体"/>
          <w:color w:val="auto"/>
          <w:kern w:val="0"/>
          <w:sz w:val="21"/>
          <w:szCs w:val="21"/>
        </w:rPr>
        <w:t xml:space="preserve">  </w:t>
      </w:r>
      <w:r>
        <w:rPr>
          <w:rFonts w:hint="eastAsia" w:ascii="宋体" w:hAnsi="宋体" w:eastAsia="宋体" w:cs="宋体"/>
          <w:color w:val="auto"/>
          <w:kern w:val="0"/>
          <w:sz w:val="21"/>
          <w:szCs w:val="21"/>
          <w:lang w:val="zh-CN"/>
        </w:rPr>
        <w:t>份。由双方法定代表人或其授权的代理人签署与加盖公章后生效，全部工程竣工验收后失效。</w:t>
      </w:r>
    </w:p>
    <w:p w14:paraId="23F3FB7A">
      <w:pPr>
        <w:pStyle w:val="52"/>
        <w:adjustRightInd w:val="0"/>
        <w:snapToGrid w:val="0"/>
        <w:spacing w:before="0" w:after="0" w:line="360" w:lineRule="auto"/>
        <w:ind w:firstLine="404" w:firstLineChars="200"/>
        <w:jc w:val="left"/>
        <w:rPr>
          <w:rFonts w:hint="eastAsia" w:ascii="宋体" w:hAnsi="宋体" w:eastAsia="宋体" w:cs="宋体"/>
          <w:color w:val="auto"/>
          <w:spacing w:val="-4"/>
          <w:sz w:val="21"/>
          <w:szCs w:val="21"/>
          <w:lang w:eastAsia="zh-CN"/>
        </w:rPr>
      </w:pPr>
    </w:p>
    <w:p w14:paraId="244A1A6A">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发包人：  （公章）                       承包人：  （公章）</w:t>
      </w:r>
    </w:p>
    <w:p w14:paraId="060C022B">
      <w:pPr>
        <w:adjustRightInd w:val="0"/>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w:t>
      </w:r>
    </w:p>
    <w:p w14:paraId="04595B13">
      <w:pPr>
        <w:adjustRightInd w:val="0"/>
        <w:snapToGrid w:val="0"/>
        <w:spacing w:line="360" w:lineRule="auto"/>
        <w:ind w:left="6000" w:hanging="5250" w:hangingChars="2500"/>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地  址：</w:t>
      </w:r>
      <w:r>
        <w:rPr>
          <w:rFonts w:hint="eastAsia" w:ascii="宋体" w:hAnsi="宋体" w:eastAsia="宋体" w:cs="宋体"/>
          <w:color w:val="auto"/>
          <w:sz w:val="21"/>
          <w:szCs w:val="21"/>
          <w:u w:val="single"/>
        </w:rPr>
        <w:t xml:space="preserve">        </w:t>
      </w:r>
    </w:p>
    <w:p w14:paraId="2B6963FB">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2EA1FF06">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委托代理人（签字）：</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委托代理人（签字）：</w:t>
      </w:r>
      <w:r>
        <w:rPr>
          <w:rFonts w:hint="eastAsia" w:ascii="宋体" w:hAnsi="宋体" w:eastAsia="宋体" w:cs="宋体"/>
          <w:color w:val="auto"/>
          <w:sz w:val="21"/>
          <w:szCs w:val="21"/>
          <w:u w:val="single"/>
        </w:rPr>
        <w:t xml:space="preserve">            </w:t>
      </w:r>
    </w:p>
    <w:p w14:paraId="0510583B">
      <w:pPr>
        <w:adjustRightInd w:val="0"/>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电  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  话：</w:t>
      </w:r>
      <w:r>
        <w:rPr>
          <w:rFonts w:hint="eastAsia" w:ascii="宋体" w:hAnsi="宋体" w:eastAsia="宋体" w:cs="宋体"/>
          <w:color w:val="auto"/>
          <w:sz w:val="21"/>
          <w:szCs w:val="21"/>
          <w:u w:val="single"/>
        </w:rPr>
        <w:t xml:space="preserve">        </w:t>
      </w:r>
    </w:p>
    <w:p w14:paraId="0356B3F3">
      <w:pPr>
        <w:adjustRightInd w:val="0"/>
        <w:snapToGrid w:val="0"/>
        <w:spacing w:line="360" w:lineRule="auto"/>
        <w:ind w:left="6120" w:hanging="5355" w:hangingChars="2550"/>
        <w:rPr>
          <w:rFonts w:hint="eastAsia" w:ascii="宋体" w:hAnsi="宋体" w:eastAsia="宋体" w:cs="宋体"/>
          <w:color w:val="auto"/>
          <w:sz w:val="21"/>
          <w:szCs w:val="21"/>
        </w:rPr>
      </w:pPr>
      <w:r>
        <w:rPr>
          <w:rFonts w:hint="eastAsia" w:ascii="宋体" w:hAnsi="宋体" w:eastAsia="宋体" w:cs="宋体"/>
          <w:color w:val="auto"/>
          <w:sz w:val="21"/>
          <w:szCs w:val="21"/>
        </w:rPr>
        <w:t>开户银行：</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    </w:t>
      </w:r>
    </w:p>
    <w:p w14:paraId="7E03A4A2">
      <w:pPr>
        <w:adjustRightInd w:val="0"/>
        <w:snapToGrid w:val="0"/>
        <w:spacing w:line="360" w:lineRule="auto"/>
      </w:pPr>
      <w:r>
        <w:rPr>
          <w:rFonts w:hint="eastAsia" w:ascii="宋体" w:hAnsi="宋体" w:eastAsia="宋体" w:cs="宋体"/>
          <w:color w:val="auto"/>
          <w:sz w:val="21"/>
          <w:szCs w:val="21"/>
        </w:rPr>
        <w:t>账  号：</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 xml:space="preserve">         账  号：</w:t>
      </w:r>
      <w:r>
        <w:rPr>
          <w:rFonts w:hint="eastAsia" w:ascii="宋体" w:hAnsi="宋体" w:eastAsia="宋体" w:cs="宋体"/>
          <w:color w:val="auto"/>
          <w:sz w:val="21"/>
          <w:szCs w:val="21"/>
          <w:u w:val="single"/>
        </w:rPr>
        <w:t xml:space="preserve">               </w:t>
      </w:r>
    </w:p>
    <w:p w14:paraId="76E96B2A"/>
    <w:p w14:paraId="7A6AD624">
      <w:pPr>
        <w:rPr>
          <w:rFonts w:ascii="宋体" w:cs="宋体"/>
          <w:color w:val="auto"/>
          <w:sz w:val="21"/>
          <w:szCs w:val="21"/>
        </w:rPr>
      </w:pPr>
      <w:r>
        <w:rPr>
          <w:rFonts w:ascii="宋体" w:hAnsi="宋体" w:cs="宋体"/>
          <w:color w:val="auto"/>
          <w:sz w:val="21"/>
          <w:szCs w:val="21"/>
        </w:rPr>
        <w:t xml:space="preserve">                      </w:t>
      </w:r>
    </w:p>
    <w:p w14:paraId="1A614A7B">
      <w:pPr>
        <w:rPr>
          <w:rFonts w:ascii="宋体" w:cs="宋体"/>
          <w:color w:val="auto"/>
          <w:sz w:val="21"/>
          <w:szCs w:val="21"/>
        </w:rPr>
      </w:pPr>
    </w:p>
    <w:p w14:paraId="63FEFCAE">
      <w:pPr>
        <w:rPr>
          <w:rFonts w:ascii="宋体" w:cs="宋体"/>
          <w:color w:val="auto"/>
          <w:sz w:val="21"/>
          <w:szCs w:val="21"/>
        </w:rPr>
      </w:pPr>
    </w:p>
    <w:p w14:paraId="0E1CDB78">
      <w:pPr>
        <w:rPr>
          <w:rFonts w:ascii="宋体" w:cs="宋体"/>
          <w:color w:val="auto"/>
          <w:sz w:val="21"/>
          <w:szCs w:val="21"/>
        </w:rPr>
      </w:pPr>
    </w:p>
    <w:p w14:paraId="78150AB8">
      <w:pPr>
        <w:pStyle w:val="2"/>
        <w:rPr>
          <w:rFonts w:ascii="宋体" w:cs="宋体"/>
          <w:color w:val="auto"/>
          <w:sz w:val="21"/>
          <w:szCs w:val="21"/>
        </w:rPr>
      </w:pPr>
    </w:p>
    <w:p w14:paraId="03CC7832">
      <w:pPr>
        <w:pStyle w:val="2"/>
        <w:rPr>
          <w:rFonts w:ascii="宋体" w:cs="宋体"/>
          <w:color w:val="auto"/>
          <w:sz w:val="21"/>
          <w:szCs w:val="21"/>
        </w:rPr>
      </w:pPr>
    </w:p>
    <w:p w14:paraId="3C67C618">
      <w:pPr>
        <w:pStyle w:val="2"/>
        <w:rPr>
          <w:rFonts w:ascii="宋体" w:cs="宋体"/>
          <w:color w:val="auto"/>
          <w:sz w:val="21"/>
          <w:szCs w:val="21"/>
        </w:rPr>
      </w:pPr>
    </w:p>
    <w:p w14:paraId="2A0329C7">
      <w:pPr>
        <w:pStyle w:val="2"/>
        <w:rPr>
          <w:rFonts w:ascii="宋体" w:cs="宋体"/>
          <w:color w:val="auto"/>
          <w:sz w:val="21"/>
          <w:szCs w:val="21"/>
        </w:rPr>
      </w:pPr>
    </w:p>
    <w:p w14:paraId="6387B8BF">
      <w:pPr>
        <w:pStyle w:val="2"/>
        <w:rPr>
          <w:rFonts w:ascii="宋体" w:cs="宋体"/>
          <w:color w:val="auto"/>
          <w:sz w:val="21"/>
          <w:szCs w:val="21"/>
        </w:rPr>
      </w:pPr>
    </w:p>
    <w:p w14:paraId="10477D5B">
      <w:pPr>
        <w:pStyle w:val="2"/>
        <w:rPr>
          <w:rFonts w:ascii="宋体" w:cs="宋体"/>
          <w:color w:val="auto"/>
          <w:sz w:val="21"/>
          <w:szCs w:val="21"/>
        </w:rPr>
      </w:pPr>
    </w:p>
    <w:p w14:paraId="16B1B430">
      <w:pPr>
        <w:pStyle w:val="2"/>
        <w:rPr>
          <w:rFonts w:ascii="宋体" w:cs="宋体"/>
          <w:color w:val="auto"/>
          <w:sz w:val="21"/>
          <w:szCs w:val="21"/>
        </w:rPr>
      </w:pPr>
    </w:p>
    <w:p w14:paraId="46ECF445">
      <w:pPr>
        <w:pStyle w:val="2"/>
        <w:rPr>
          <w:rFonts w:ascii="宋体" w:cs="宋体"/>
          <w:color w:val="auto"/>
          <w:sz w:val="21"/>
          <w:szCs w:val="21"/>
        </w:rPr>
      </w:pPr>
    </w:p>
    <w:p w14:paraId="346EF6E4">
      <w:pPr>
        <w:pStyle w:val="2"/>
        <w:rPr>
          <w:rFonts w:ascii="宋体" w:cs="宋体"/>
          <w:color w:val="auto"/>
          <w:sz w:val="21"/>
          <w:szCs w:val="21"/>
        </w:rPr>
      </w:pPr>
    </w:p>
    <w:p w14:paraId="1DC20725">
      <w:pPr>
        <w:pStyle w:val="2"/>
        <w:rPr>
          <w:rFonts w:ascii="宋体" w:cs="宋体"/>
          <w:color w:val="auto"/>
          <w:sz w:val="21"/>
          <w:szCs w:val="21"/>
        </w:rPr>
      </w:pPr>
    </w:p>
    <w:p w14:paraId="1E8DF699">
      <w:pPr>
        <w:pStyle w:val="2"/>
        <w:rPr>
          <w:rFonts w:ascii="宋体" w:cs="宋体"/>
          <w:color w:val="auto"/>
          <w:sz w:val="21"/>
          <w:szCs w:val="21"/>
        </w:rPr>
      </w:pPr>
    </w:p>
    <w:p w14:paraId="79F36A09">
      <w:pPr>
        <w:pStyle w:val="2"/>
        <w:rPr>
          <w:rFonts w:ascii="宋体" w:cs="宋体"/>
          <w:color w:val="auto"/>
          <w:sz w:val="21"/>
          <w:szCs w:val="21"/>
        </w:rPr>
      </w:pPr>
    </w:p>
    <w:p w14:paraId="4491EBAB">
      <w:pPr>
        <w:pStyle w:val="2"/>
        <w:rPr>
          <w:rFonts w:ascii="宋体" w:cs="宋体"/>
          <w:color w:val="auto"/>
          <w:sz w:val="21"/>
          <w:szCs w:val="21"/>
        </w:rPr>
      </w:pPr>
    </w:p>
    <w:p w14:paraId="47EA0F68">
      <w:pPr>
        <w:pStyle w:val="2"/>
        <w:rPr>
          <w:rFonts w:ascii="宋体" w:cs="宋体"/>
          <w:color w:val="auto"/>
          <w:sz w:val="21"/>
          <w:szCs w:val="21"/>
        </w:rPr>
      </w:pPr>
    </w:p>
    <w:p w14:paraId="6CADB0BF">
      <w:pPr>
        <w:pStyle w:val="2"/>
        <w:rPr>
          <w:rFonts w:ascii="宋体" w:cs="宋体"/>
          <w:color w:val="auto"/>
          <w:sz w:val="21"/>
          <w:szCs w:val="21"/>
        </w:rPr>
      </w:pPr>
    </w:p>
    <w:p w14:paraId="380D1A6E">
      <w:pPr>
        <w:pStyle w:val="2"/>
        <w:rPr>
          <w:rFonts w:ascii="宋体" w:cs="宋体"/>
          <w:color w:val="auto"/>
          <w:sz w:val="21"/>
          <w:szCs w:val="21"/>
        </w:rPr>
      </w:pPr>
    </w:p>
    <w:p w14:paraId="7932607C">
      <w:pPr>
        <w:pStyle w:val="2"/>
        <w:rPr>
          <w:rFonts w:ascii="宋体" w:cs="宋体"/>
          <w:color w:val="auto"/>
          <w:sz w:val="21"/>
          <w:szCs w:val="21"/>
        </w:rPr>
      </w:pPr>
    </w:p>
    <w:p w14:paraId="5F4BFFA3">
      <w:pPr>
        <w:pStyle w:val="2"/>
        <w:rPr>
          <w:rFonts w:ascii="宋体" w:cs="宋体"/>
          <w:color w:val="auto"/>
          <w:sz w:val="21"/>
          <w:szCs w:val="21"/>
        </w:rPr>
      </w:pPr>
    </w:p>
    <w:p w14:paraId="2BFC8762">
      <w:pPr>
        <w:pStyle w:val="2"/>
        <w:rPr>
          <w:rFonts w:ascii="宋体" w:cs="宋体"/>
          <w:color w:val="auto"/>
          <w:sz w:val="21"/>
          <w:szCs w:val="21"/>
        </w:rPr>
      </w:pPr>
    </w:p>
    <w:p w14:paraId="51C36B01">
      <w:pPr>
        <w:pStyle w:val="35"/>
        <w:spacing w:line="360" w:lineRule="auto"/>
        <w:jc w:val="both"/>
        <w:outlineLvl w:val="0"/>
        <w:rPr>
          <w:rFonts w:ascii="宋体" w:hAnsi="宋体"/>
          <w:b/>
          <w:color w:val="auto"/>
          <w:sz w:val="32"/>
          <w:szCs w:val="32"/>
          <w:highlight w:val="none"/>
        </w:rPr>
      </w:pPr>
      <w:bookmarkStart w:id="1599" w:name="_Toc15348"/>
      <w:bookmarkStart w:id="1600" w:name="_Toc27086"/>
    </w:p>
    <w:p w14:paraId="53DC5E8C">
      <w:pPr>
        <w:pStyle w:val="35"/>
        <w:spacing w:line="360" w:lineRule="auto"/>
        <w:jc w:val="center"/>
        <w:outlineLvl w:val="0"/>
        <w:rPr>
          <w:rFonts w:hint="eastAsia" w:eastAsia="宋体"/>
          <w:color w:val="auto"/>
          <w:szCs w:val="21"/>
          <w:highlight w:val="none"/>
          <w:lang w:eastAsia="zh-CN"/>
        </w:rPr>
      </w:pPr>
      <w:r>
        <w:rPr>
          <w:rFonts w:ascii="宋体" w:hAnsi="宋体"/>
          <w:b/>
          <w:color w:val="auto"/>
          <w:sz w:val="32"/>
          <w:szCs w:val="32"/>
          <w:highlight w:val="none"/>
        </w:rPr>
        <w:t xml:space="preserve">第六章   </w:t>
      </w:r>
      <w:r>
        <w:rPr>
          <w:rFonts w:hint="eastAsia" w:ascii="宋体" w:hAnsi="宋体"/>
          <w:b/>
          <w:color w:val="auto"/>
          <w:sz w:val="32"/>
          <w:szCs w:val="32"/>
          <w:highlight w:val="none"/>
          <w:lang w:eastAsia="zh-CN"/>
        </w:rPr>
        <w:t>评分办法和标准</w:t>
      </w:r>
      <w:bookmarkEnd w:id="1599"/>
      <w:bookmarkEnd w:id="1600"/>
    </w:p>
    <w:p w14:paraId="25B33BC4">
      <w:pPr>
        <w:pStyle w:val="35"/>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4E6A0740">
      <w:pPr>
        <w:pStyle w:val="16"/>
        <w:spacing w:line="520" w:lineRule="exact"/>
        <w:rPr>
          <w:rFonts w:hint="eastAsia" w:cs="宋体"/>
          <w:b/>
          <w:color w:val="auto"/>
          <w:sz w:val="21"/>
          <w:szCs w:val="21"/>
          <w:highlight w:val="none"/>
        </w:rPr>
      </w:pPr>
      <w:r>
        <w:rPr>
          <w:rFonts w:hint="eastAsia" w:cs="宋体"/>
          <w:bCs/>
          <w:color w:val="auto"/>
          <w:sz w:val="21"/>
          <w:szCs w:val="21"/>
          <w:highlight w:val="none"/>
        </w:rPr>
        <w:t>（一）磋商小组的构成：</w:t>
      </w:r>
      <w:r>
        <w:rPr>
          <w:rFonts w:hint="eastAsia" w:ascii="宋体" w:hAnsi="宋体" w:cs="宋体"/>
          <w:color w:val="auto"/>
          <w:spacing w:val="-4"/>
          <w:sz w:val="21"/>
          <w:szCs w:val="21"/>
          <w:highlight w:val="none"/>
        </w:rPr>
        <w:t>本项目的磋商小组依法由采购人代表及</w:t>
      </w:r>
      <w:r>
        <w:rPr>
          <w:rFonts w:hint="eastAsia" w:cs="宋体"/>
          <w:color w:val="auto"/>
          <w:spacing w:val="-4"/>
          <w:sz w:val="21"/>
          <w:szCs w:val="21"/>
          <w:highlight w:val="none"/>
          <w:lang w:eastAsia="zh-CN"/>
        </w:rPr>
        <w:t>广西政府采购云平台</w:t>
      </w:r>
      <w:r>
        <w:rPr>
          <w:rFonts w:hint="eastAsia" w:ascii="宋体" w:hAnsi="宋体" w:cs="宋体"/>
          <w:color w:val="auto"/>
          <w:spacing w:val="-4"/>
          <w:sz w:val="21"/>
          <w:szCs w:val="21"/>
          <w:highlight w:val="none"/>
        </w:rPr>
        <w:t>随机抽取的评审专家组成，成员总数为</w:t>
      </w:r>
      <w:r>
        <w:rPr>
          <w:rFonts w:ascii="宋体" w:hAnsi="宋体" w:cs="宋体"/>
          <w:color w:val="auto"/>
          <w:spacing w:val="-4"/>
          <w:sz w:val="21"/>
          <w:szCs w:val="21"/>
          <w:highlight w:val="none"/>
        </w:rPr>
        <w:t>3</w:t>
      </w:r>
      <w:r>
        <w:rPr>
          <w:rFonts w:hint="eastAsia" w:ascii="宋体" w:hAnsi="宋体" w:cs="宋体"/>
          <w:color w:val="auto"/>
          <w:spacing w:val="-4"/>
          <w:sz w:val="21"/>
          <w:szCs w:val="21"/>
          <w:highlight w:val="none"/>
        </w:rPr>
        <w:t>人</w:t>
      </w:r>
      <w:r>
        <w:rPr>
          <w:rFonts w:hint="eastAsia" w:cs="宋体"/>
          <w:bCs/>
          <w:color w:val="auto"/>
          <w:sz w:val="21"/>
          <w:szCs w:val="21"/>
          <w:highlight w:val="none"/>
        </w:rPr>
        <w:t>。</w:t>
      </w:r>
    </w:p>
    <w:p w14:paraId="00BD11BF">
      <w:pPr>
        <w:pStyle w:val="16"/>
        <w:spacing w:line="520" w:lineRule="exact"/>
        <w:rPr>
          <w:rFonts w:hint="eastAsia" w:cs="宋体"/>
          <w:bCs/>
          <w:color w:val="auto"/>
          <w:sz w:val="21"/>
          <w:szCs w:val="21"/>
          <w:highlight w:val="none"/>
        </w:rPr>
      </w:pPr>
      <w:r>
        <w:rPr>
          <w:rFonts w:hint="eastAsia" w:cs="宋体"/>
          <w:bCs/>
          <w:color w:val="auto"/>
          <w:sz w:val="21"/>
          <w:szCs w:val="21"/>
          <w:highlight w:val="none"/>
        </w:rPr>
        <w:t>（二）评标依据：磋商小组将以磋商文件、磋商响应文件为评标依据，对响应供应商的报价、技术</w:t>
      </w:r>
      <w:r>
        <w:rPr>
          <w:rFonts w:hint="eastAsia" w:cs="宋体"/>
          <w:bCs/>
          <w:color w:val="auto"/>
          <w:sz w:val="21"/>
          <w:szCs w:val="21"/>
          <w:highlight w:val="none"/>
          <w:lang w:eastAsia="zh-CN"/>
        </w:rPr>
        <w:t>标、</w:t>
      </w:r>
      <w:r>
        <w:rPr>
          <w:rFonts w:hint="eastAsia" w:cs="宋体"/>
          <w:bCs/>
          <w:color w:val="auto"/>
          <w:sz w:val="21"/>
          <w:szCs w:val="21"/>
          <w:highlight w:val="none"/>
        </w:rPr>
        <w:t>企业信誉等方面内容</w:t>
      </w:r>
      <w:r>
        <w:rPr>
          <w:rFonts w:hint="eastAsia" w:cs="宋体"/>
          <w:bCs/>
          <w:color w:val="auto"/>
          <w:sz w:val="21"/>
          <w:szCs w:val="21"/>
          <w:highlight w:val="none"/>
          <w:lang w:eastAsia="zh-CN"/>
        </w:rPr>
        <w:t>进行</w:t>
      </w:r>
      <w:r>
        <w:rPr>
          <w:rFonts w:hint="eastAsia" w:cs="宋体"/>
          <w:bCs/>
          <w:color w:val="auto"/>
          <w:sz w:val="21"/>
          <w:szCs w:val="21"/>
          <w:highlight w:val="none"/>
        </w:rPr>
        <w:t>打分</w:t>
      </w:r>
    </w:p>
    <w:p w14:paraId="45787BB4">
      <w:pPr>
        <w:pStyle w:val="16"/>
        <w:spacing w:line="520" w:lineRule="exact"/>
        <w:rPr>
          <w:rFonts w:hint="eastAsia" w:cs="宋体"/>
          <w:bCs/>
          <w:color w:val="auto"/>
          <w:sz w:val="21"/>
          <w:szCs w:val="21"/>
          <w:highlight w:val="none"/>
        </w:rPr>
      </w:pPr>
      <w:r>
        <w:rPr>
          <w:rFonts w:hint="eastAsia" w:cs="宋体"/>
          <w:bCs/>
          <w:color w:val="auto"/>
          <w:sz w:val="21"/>
          <w:szCs w:val="21"/>
          <w:highlight w:val="none"/>
        </w:rPr>
        <w:t>（三）评标方式：以封闭方式进行。</w:t>
      </w:r>
    </w:p>
    <w:p w14:paraId="4E5922FF">
      <w:pPr>
        <w:pStyle w:val="16"/>
        <w:spacing w:line="520" w:lineRule="exact"/>
        <w:contextualSpacing/>
        <w:rPr>
          <w:rFonts w:hint="eastAsia" w:cs="宋体"/>
          <w:bCs/>
          <w:color w:val="auto"/>
          <w:sz w:val="21"/>
          <w:szCs w:val="21"/>
          <w:highlight w:val="none"/>
        </w:rPr>
      </w:pPr>
      <w:r>
        <w:rPr>
          <w:rFonts w:hint="eastAsia" w:cs="宋体"/>
          <w:b/>
          <w:color w:val="auto"/>
          <w:sz w:val="21"/>
          <w:szCs w:val="21"/>
          <w:highlight w:val="none"/>
        </w:rPr>
        <w:t>二、评分标准</w:t>
      </w:r>
    </w:p>
    <w:p w14:paraId="209F3ABE">
      <w:pPr>
        <w:keepNext w:val="0"/>
        <w:keepLines w:val="0"/>
        <w:pageBreakBefore w:val="0"/>
        <w:widowControl w:val="0"/>
        <w:kinsoku/>
        <w:wordWrap/>
        <w:overflowPunct/>
        <w:topLinePunct w:val="0"/>
        <w:autoSpaceDE/>
        <w:autoSpaceDN/>
        <w:bidi w:val="0"/>
        <w:adjustRightInd/>
        <w:snapToGrid/>
        <w:spacing w:line="480" w:lineRule="auto"/>
        <w:ind w:firstLine="420" w:firstLineChars="200"/>
        <w:textAlignment w:val="auto"/>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03885086">
      <w:pPr>
        <w:pStyle w:val="16"/>
        <w:spacing w:line="520" w:lineRule="exact"/>
        <w:ind w:firstLine="420" w:firstLineChars="200"/>
        <w:contextualSpacing/>
        <w:rPr>
          <w:rFonts w:hint="eastAsia" w:eastAsia="宋体" w:cs="宋体"/>
          <w:bCs/>
          <w:color w:val="auto"/>
          <w:sz w:val="21"/>
          <w:szCs w:val="21"/>
          <w:highlight w:val="none"/>
          <w:lang w:eastAsia="zh-CN"/>
        </w:rPr>
      </w:pPr>
      <w:r>
        <w:rPr>
          <w:rFonts w:hint="eastAsia" w:cs="宋体"/>
          <w:bCs/>
          <w:color w:val="auto"/>
          <w:sz w:val="21"/>
          <w:szCs w:val="21"/>
          <w:highlight w:val="none"/>
        </w:rPr>
        <w:t>（二）</w:t>
      </w: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r>
        <w:rPr>
          <w:rFonts w:hint="eastAsia"/>
          <w:bCs/>
          <w:color w:val="auto"/>
          <w:sz w:val="21"/>
          <w:szCs w:val="21"/>
          <w:highlight w:val="none"/>
          <w:lang w:eastAsia="zh-CN"/>
        </w:rPr>
        <w:t>。</w:t>
      </w:r>
    </w:p>
    <w:p w14:paraId="262D925C">
      <w:pPr>
        <w:pStyle w:val="35"/>
        <w:spacing w:line="520" w:lineRule="exact"/>
        <w:jc w:val="left"/>
        <w:rPr>
          <w:rFonts w:hint="eastAsia" w:ascii="宋体" w:hAnsi="宋体" w:cs="宋体"/>
          <w:b/>
          <w:color w:val="auto"/>
          <w:sz w:val="21"/>
          <w:szCs w:val="21"/>
          <w:highlight w:val="none"/>
        </w:rPr>
      </w:pPr>
      <w:bookmarkStart w:id="1601" w:name="_Toc419886414"/>
      <w:r>
        <w:rPr>
          <w:rFonts w:hint="eastAsia" w:ascii="宋体" w:hAnsi="宋体" w:cs="宋体"/>
          <w:b/>
          <w:color w:val="auto"/>
          <w:sz w:val="21"/>
          <w:szCs w:val="21"/>
          <w:highlight w:val="none"/>
        </w:rPr>
        <w:t>三、评定方法</w:t>
      </w:r>
      <w:bookmarkEnd w:id="1601"/>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2615"/>
        <w:gridCol w:w="5300"/>
      </w:tblGrid>
      <w:tr w14:paraId="610F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Align w:val="center"/>
          </w:tcPr>
          <w:p w14:paraId="224181DF">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jc w:val="center"/>
              <w:rPr>
                <w:rFonts w:hint="default"/>
                <w:b/>
                <w:bCs/>
                <w:color w:val="auto"/>
                <w:sz w:val="21"/>
                <w:szCs w:val="21"/>
                <w:highlight w:val="none"/>
              </w:rPr>
            </w:pPr>
            <w:r>
              <w:rPr>
                <w:rFonts w:hint="default"/>
                <w:b/>
                <w:bCs/>
                <w:color w:val="auto"/>
                <w:sz w:val="21"/>
                <w:szCs w:val="21"/>
                <w:highlight w:val="none"/>
              </w:rPr>
              <w:t>分值构成</w:t>
            </w:r>
          </w:p>
        </w:tc>
        <w:tc>
          <w:tcPr>
            <w:tcW w:w="0" w:type="auto"/>
            <w:vAlign w:val="center"/>
          </w:tcPr>
          <w:p w14:paraId="2C38D09C">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default"/>
                <w:color w:val="auto"/>
                <w:sz w:val="21"/>
                <w:szCs w:val="21"/>
                <w:highlight w:val="none"/>
              </w:rPr>
            </w:pPr>
            <w:r>
              <w:rPr>
                <w:rFonts w:hint="default"/>
                <w:color w:val="auto"/>
                <w:sz w:val="21"/>
                <w:szCs w:val="21"/>
                <w:highlight w:val="none"/>
              </w:rPr>
              <w:t>分值构成（总分100分）</w:t>
            </w:r>
          </w:p>
        </w:tc>
        <w:tc>
          <w:tcPr>
            <w:tcW w:w="0" w:type="auto"/>
            <w:vAlign w:val="top"/>
          </w:tcPr>
          <w:p w14:paraId="396BF69A">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eastAsia" w:eastAsia="宋体"/>
                <w:color w:val="auto"/>
                <w:sz w:val="21"/>
                <w:szCs w:val="21"/>
                <w:highlight w:val="none"/>
                <w:lang w:val="en-US" w:eastAsia="zh-CN"/>
              </w:rPr>
            </w:pPr>
            <w:r>
              <w:rPr>
                <w:rFonts w:hint="eastAsia"/>
                <w:color w:val="auto"/>
                <w:sz w:val="21"/>
                <w:szCs w:val="21"/>
                <w:highlight w:val="none"/>
                <w:lang w:eastAsia="zh-CN"/>
              </w:rPr>
              <w:t>施工组织设计</w:t>
            </w:r>
            <w:r>
              <w:rPr>
                <w:rFonts w:hint="default"/>
                <w:color w:val="auto"/>
                <w:sz w:val="21"/>
                <w:szCs w:val="21"/>
                <w:highlight w:val="none"/>
              </w:rPr>
              <w:t>：</w:t>
            </w:r>
            <w:r>
              <w:rPr>
                <w:rFonts w:hint="eastAsia"/>
                <w:color w:val="auto"/>
                <w:sz w:val="21"/>
                <w:szCs w:val="21"/>
                <w:highlight w:val="none"/>
                <w:lang w:val="en-US" w:eastAsia="zh-CN"/>
              </w:rPr>
              <w:t>65</w:t>
            </w:r>
            <w:r>
              <w:rPr>
                <w:rFonts w:hint="default"/>
                <w:color w:val="auto"/>
                <w:sz w:val="21"/>
                <w:szCs w:val="21"/>
                <w:highlight w:val="none"/>
              </w:rPr>
              <w:t>分</w:t>
            </w:r>
            <w:r>
              <w:rPr>
                <w:rFonts w:hint="eastAsia"/>
                <w:color w:val="auto"/>
                <w:sz w:val="21"/>
                <w:szCs w:val="21"/>
                <w:highlight w:val="none"/>
              </w:rPr>
              <w:t>；</w:t>
            </w:r>
            <w:r>
              <w:rPr>
                <w:rFonts w:hint="eastAsia"/>
                <w:color w:val="auto"/>
                <w:sz w:val="21"/>
                <w:szCs w:val="21"/>
                <w:highlight w:val="none"/>
                <w:lang w:eastAsia="zh-CN"/>
              </w:rPr>
              <w:t>报价得分</w:t>
            </w:r>
            <w:r>
              <w:rPr>
                <w:rFonts w:hint="default"/>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0</w:t>
            </w:r>
            <w:r>
              <w:rPr>
                <w:rFonts w:hint="default"/>
                <w:color w:val="auto"/>
                <w:sz w:val="21"/>
                <w:szCs w:val="21"/>
                <w:highlight w:val="none"/>
              </w:rPr>
              <w:t>分</w:t>
            </w:r>
            <w:r>
              <w:rPr>
                <w:rFonts w:hint="eastAsia"/>
                <w:color w:val="auto"/>
                <w:sz w:val="21"/>
                <w:szCs w:val="21"/>
                <w:highlight w:val="none"/>
                <w:lang w:eastAsia="zh-CN"/>
              </w:rPr>
              <w:t>。</w:t>
            </w:r>
            <w:r>
              <w:rPr>
                <w:rFonts w:hint="eastAsia"/>
                <w:color w:val="auto"/>
                <w:sz w:val="21"/>
                <w:szCs w:val="21"/>
                <w:highlight w:val="none"/>
                <w:lang w:val="en-US" w:eastAsia="zh-CN"/>
              </w:rPr>
              <w:t>业绩得分：5分</w:t>
            </w:r>
            <w:r>
              <w:rPr>
                <w:rFonts w:hint="eastAsia"/>
                <w:color w:val="auto"/>
                <w:sz w:val="21"/>
                <w:szCs w:val="21"/>
                <w:highlight w:val="none"/>
                <w:lang w:eastAsia="zh-CN"/>
              </w:rPr>
              <w:t>。</w:t>
            </w:r>
          </w:p>
        </w:tc>
      </w:tr>
      <w:tr w14:paraId="659D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gridSpan w:val="3"/>
            <w:vAlign w:val="center"/>
          </w:tcPr>
          <w:p w14:paraId="470DA333">
            <w:pPr>
              <w:keepNext w:val="0"/>
              <w:keepLines w:val="0"/>
              <w:suppressLineNumbers w:val="0"/>
              <w:spacing w:before="0" w:beforeAutospacing="0" w:after="0" w:afterAutospacing="0" w:line="360" w:lineRule="auto"/>
              <w:ind w:left="0" w:right="0"/>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施工组织设计（满分</w:t>
            </w:r>
            <w:r>
              <w:rPr>
                <w:rFonts w:hint="eastAsia"/>
                <w:color w:val="auto"/>
                <w:sz w:val="21"/>
                <w:szCs w:val="21"/>
                <w:highlight w:val="none"/>
                <w:lang w:val="en-US" w:eastAsia="zh-CN"/>
              </w:rPr>
              <w:t>65分</w:t>
            </w:r>
            <w:r>
              <w:rPr>
                <w:rFonts w:hint="eastAsia"/>
                <w:color w:val="auto"/>
                <w:sz w:val="21"/>
                <w:szCs w:val="21"/>
                <w:highlight w:val="none"/>
                <w:lang w:eastAsia="zh-CN"/>
              </w:rPr>
              <w:t>）</w:t>
            </w:r>
          </w:p>
        </w:tc>
      </w:tr>
      <w:tr w14:paraId="17F9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5B4CD0B8">
            <w:pPr>
              <w:keepNext w:val="0"/>
              <w:keepLines w:val="0"/>
              <w:suppressLineNumbers w:val="0"/>
              <w:spacing w:before="0" w:beforeAutospacing="0" w:after="0" w:afterAutospacing="0" w:line="360" w:lineRule="auto"/>
              <w:ind w:left="0" w:right="0"/>
              <w:jc w:val="center"/>
              <w:rPr>
                <w:rFonts w:hint="eastAsia" w:eastAsia="宋体" w:cs="宋体"/>
                <w:b/>
                <w:bCs/>
                <w:color w:val="auto"/>
                <w:kern w:val="0"/>
                <w:sz w:val="21"/>
                <w:szCs w:val="21"/>
                <w:highlight w:val="none"/>
                <w:lang w:eastAsia="zh-CN"/>
              </w:rPr>
            </w:pPr>
            <w:r>
              <w:rPr>
                <w:rFonts w:hint="eastAsia" w:cs="宋体"/>
                <w:b/>
                <w:bCs/>
                <w:color w:val="auto"/>
                <w:kern w:val="0"/>
                <w:sz w:val="21"/>
                <w:szCs w:val="21"/>
                <w:highlight w:val="none"/>
                <w:lang w:eastAsia="zh-CN"/>
              </w:rPr>
              <w:t>评分项</w:t>
            </w:r>
          </w:p>
        </w:tc>
        <w:tc>
          <w:tcPr>
            <w:tcW w:w="0" w:type="auto"/>
            <w:gridSpan w:val="2"/>
            <w:vAlign w:val="center"/>
          </w:tcPr>
          <w:p w14:paraId="74C934F5">
            <w:pPr>
              <w:keepNext w:val="0"/>
              <w:keepLines w:val="0"/>
              <w:suppressLineNumbers w:val="0"/>
              <w:spacing w:before="0" w:beforeAutospacing="0" w:after="0" w:afterAutospacing="0" w:line="360" w:lineRule="auto"/>
              <w:ind w:left="0" w:right="0"/>
              <w:jc w:val="center"/>
              <w:rPr>
                <w:rFonts w:hint="eastAsia"/>
                <w:b/>
                <w:bCs/>
                <w:color w:val="auto"/>
                <w:sz w:val="21"/>
                <w:szCs w:val="21"/>
                <w:highlight w:val="none"/>
                <w:lang w:eastAsia="zh-CN"/>
              </w:rPr>
            </w:pPr>
            <w:r>
              <w:rPr>
                <w:rFonts w:hint="eastAsia"/>
                <w:b/>
                <w:bCs/>
                <w:color w:val="auto"/>
                <w:sz w:val="21"/>
                <w:szCs w:val="21"/>
                <w:highlight w:val="none"/>
                <w:lang w:eastAsia="zh-CN"/>
              </w:rPr>
              <w:t>评分内容和标准</w:t>
            </w:r>
          </w:p>
        </w:tc>
      </w:tr>
      <w:tr w14:paraId="7BC0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6EF8FB57">
            <w:pPr>
              <w:keepNext w:val="0"/>
              <w:keepLines w:val="0"/>
              <w:suppressLineNumbers w:val="0"/>
              <w:spacing w:before="0" w:beforeAutospacing="0" w:after="0" w:afterAutospacing="0" w:line="360" w:lineRule="auto"/>
              <w:ind w:left="0" w:right="0"/>
              <w:rPr>
                <w:rFonts w:hint="default"/>
                <w:color w:val="auto"/>
                <w:kern w:val="0"/>
                <w:sz w:val="21"/>
                <w:szCs w:val="21"/>
                <w:highlight w:val="none"/>
              </w:rPr>
            </w:pPr>
            <w:r>
              <w:rPr>
                <w:rFonts w:hint="eastAsia" w:cs="宋体"/>
                <w:color w:val="auto"/>
                <w:kern w:val="0"/>
                <w:sz w:val="21"/>
                <w:szCs w:val="21"/>
                <w:highlight w:val="none"/>
              </w:rPr>
              <w:t>主要施工方法</w:t>
            </w:r>
          </w:p>
          <w:p w14:paraId="3F459247">
            <w:pPr>
              <w:keepNext w:val="0"/>
              <w:keepLines w:val="0"/>
              <w:suppressLineNumbers w:val="0"/>
              <w:spacing w:before="0" w:beforeAutospacing="0" w:after="0" w:afterAutospacing="0" w:line="360" w:lineRule="auto"/>
              <w:ind w:left="0" w:right="0"/>
              <w:rPr>
                <w:rFonts w:hint="eastAsia" w:eastAsia="宋体"/>
                <w:color w:val="auto"/>
                <w:sz w:val="21"/>
                <w:szCs w:val="21"/>
                <w:highlight w:val="none"/>
                <w:lang w:eastAsia="zh-CN"/>
              </w:rPr>
            </w:pPr>
            <w:r>
              <w:rPr>
                <w:rFonts w:hint="eastAsia" w:cs="宋体"/>
                <w:color w:val="auto"/>
                <w:kern w:val="0"/>
                <w:sz w:val="21"/>
                <w:szCs w:val="21"/>
                <w:highlight w:val="none"/>
              </w:rPr>
              <w:t>（</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0" w:type="auto"/>
            <w:gridSpan w:val="2"/>
            <w:vAlign w:val="center"/>
          </w:tcPr>
          <w:p w14:paraId="12E6CF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379C8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分）：各主要分部施工方法针对性强，明确主要</w:t>
            </w:r>
            <w:r>
              <w:rPr>
                <w:rFonts w:hint="eastAsia"/>
                <w:color w:val="auto"/>
                <w:sz w:val="21"/>
                <w:szCs w:val="21"/>
                <w:highlight w:val="none"/>
                <w:lang w:val="en-US" w:eastAsia="zh-CN"/>
              </w:rPr>
              <w:t>部分</w:t>
            </w:r>
            <w:r>
              <w:rPr>
                <w:rFonts w:hint="default"/>
                <w:color w:val="auto"/>
                <w:sz w:val="21"/>
                <w:szCs w:val="21"/>
                <w:highlight w:val="none"/>
              </w:rPr>
              <w:t>为灌区维修养护核心工序（如渠道清淤、建筑物修复等）</w:t>
            </w:r>
            <w:r>
              <w:rPr>
                <w:rFonts w:hint="eastAsia"/>
                <w:color w:val="auto"/>
                <w:sz w:val="21"/>
                <w:szCs w:val="21"/>
                <w:highlight w:val="none"/>
                <w:lang w:eastAsia="zh-CN"/>
              </w:rPr>
              <w:t>，</w:t>
            </w:r>
            <w:r>
              <w:rPr>
                <w:rFonts w:hint="default"/>
                <w:color w:val="auto"/>
                <w:sz w:val="21"/>
                <w:szCs w:val="21"/>
                <w:highlight w:val="none"/>
              </w:rPr>
              <w:t>施工技术方案详尽周密，工艺先进、方法科学、可行，覆盖全部核心工序</w:t>
            </w:r>
            <w:r>
              <w:rPr>
                <w:rFonts w:hint="eastAsia"/>
                <w:color w:val="auto"/>
                <w:sz w:val="21"/>
                <w:szCs w:val="21"/>
                <w:highlight w:val="none"/>
                <w:lang w:eastAsia="zh-CN"/>
              </w:rPr>
              <w:t>（</w:t>
            </w:r>
            <w:r>
              <w:rPr>
                <w:rFonts w:hint="default"/>
                <w:color w:val="auto"/>
                <w:sz w:val="21"/>
                <w:szCs w:val="21"/>
                <w:highlight w:val="none"/>
              </w:rPr>
              <w:t>渠道清淤、建筑物修复、闸门检修等具体核心工序</w:t>
            </w:r>
            <w:r>
              <w:rPr>
                <w:rFonts w:hint="eastAsia"/>
                <w:color w:val="auto"/>
                <w:sz w:val="21"/>
                <w:szCs w:val="21"/>
                <w:highlight w:val="none"/>
                <w:lang w:eastAsia="zh-CN"/>
              </w:rPr>
              <w:t>）</w:t>
            </w:r>
            <w:r>
              <w:rPr>
                <w:rFonts w:hint="default"/>
                <w:color w:val="auto"/>
                <w:sz w:val="21"/>
                <w:szCs w:val="21"/>
                <w:highlight w:val="none"/>
              </w:rPr>
              <w:t>，含 2 项以上创新工艺</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机械清淤替代人工清淤</w:t>
            </w:r>
            <w:r>
              <w:rPr>
                <w:rFonts w:hint="eastAsia"/>
                <w:color w:val="auto"/>
                <w:sz w:val="21"/>
                <w:szCs w:val="21"/>
                <w:highlight w:val="none"/>
                <w:lang w:val="en-US" w:eastAsia="zh-CN"/>
              </w:rPr>
              <w:t>或用新型机械设备进场施工等</w:t>
            </w:r>
            <w:r>
              <w:rPr>
                <w:rFonts w:hint="eastAsia"/>
                <w:color w:val="auto"/>
                <w:sz w:val="21"/>
                <w:szCs w:val="21"/>
                <w:highlight w:val="none"/>
                <w:lang w:eastAsia="zh-CN"/>
              </w:rPr>
              <w:t>），</w:t>
            </w:r>
            <w:r>
              <w:rPr>
                <w:rFonts w:hint="default"/>
                <w:color w:val="auto"/>
                <w:sz w:val="21"/>
                <w:szCs w:val="21"/>
                <w:highlight w:val="none"/>
              </w:rPr>
              <w:t>能</w:t>
            </w:r>
            <w:r>
              <w:rPr>
                <w:rFonts w:hint="eastAsia"/>
                <w:color w:val="auto"/>
                <w:sz w:val="21"/>
                <w:szCs w:val="21"/>
                <w:highlight w:val="none"/>
                <w:lang w:val="en-US" w:eastAsia="zh-CN"/>
              </w:rPr>
              <w:t>全面</w:t>
            </w:r>
            <w:r>
              <w:rPr>
                <w:rFonts w:hint="default"/>
                <w:color w:val="auto"/>
                <w:sz w:val="21"/>
                <w:szCs w:val="21"/>
                <w:highlight w:val="none"/>
              </w:rPr>
              <w:t>指导具体</w:t>
            </w:r>
            <w:r>
              <w:rPr>
                <w:rFonts w:hint="eastAsia"/>
                <w:color w:val="auto"/>
                <w:sz w:val="21"/>
                <w:szCs w:val="21"/>
                <w:highlight w:val="none"/>
                <w:lang w:eastAsia="zh-CN"/>
              </w:rPr>
              <w:t>施工者</w:t>
            </w:r>
            <w:r>
              <w:rPr>
                <w:rFonts w:hint="default"/>
                <w:color w:val="auto"/>
                <w:sz w:val="21"/>
                <w:szCs w:val="21"/>
                <w:highlight w:val="none"/>
              </w:rPr>
              <w:t>确保安全。</w:t>
            </w:r>
          </w:p>
          <w:p w14:paraId="483585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：各主要分部施工方法符合项目实际，主要</w:t>
            </w:r>
            <w:r>
              <w:rPr>
                <w:rFonts w:hint="eastAsia"/>
                <w:color w:val="auto"/>
                <w:sz w:val="21"/>
                <w:szCs w:val="21"/>
                <w:highlight w:val="none"/>
                <w:lang w:val="en-US" w:eastAsia="zh-CN"/>
              </w:rPr>
              <w:t>部分</w:t>
            </w:r>
            <w:r>
              <w:rPr>
                <w:rFonts w:hint="default"/>
                <w:color w:val="auto"/>
                <w:sz w:val="21"/>
                <w:szCs w:val="21"/>
                <w:highlight w:val="none"/>
              </w:rPr>
              <w:t>为灌区维修养护核心工序（如渠道清淤、建筑物修复等）</w:t>
            </w:r>
            <w:r>
              <w:rPr>
                <w:rFonts w:hint="eastAsia"/>
                <w:color w:val="auto"/>
                <w:sz w:val="21"/>
                <w:szCs w:val="21"/>
                <w:highlight w:val="none"/>
                <w:lang w:eastAsia="zh-CN"/>
              </w:rPr>
              <w:t>，</w:t>
            </w:r>
            <w:r>
              <w:rPr>
                <w:rFonts w:hint="default"/>
                <w:color w:val="auto"/>
                <w:sz w:val="21"/>
                <w:szCs w:val="21"/>
                <w:highlight w:val="none"/>
              </w:rPr>
              <w:t>施工技术方案齐全，覆盖 80% 核心工序</w:t>
            </w:r>
            <w:r>
              <w:rPr>
                <w:rFonts w:hint="eastAsia"/>
                <w:color w:val="auto"/>
                <w:sz w:val="21"/>
                <w:szCs w:val="21"/>
                <w:highlight w:val="none"/>
                <w:lang w:eastAsia="zh-CN"/>
              </w:rPr>
              <w:t>（</w:t>
            </w:r>
            <w:r>
              <w:rPr>
                <w:rFonts w:hint="default"/>
                <w:color w:val="auto"/>
                <w:sz w:val="21"/>
                <w:szCs w:val="21"/>
                <w:highlight w:val="none"/>
              </w:rPr>
              <w:t>渠道清淤、建筑物修复、闸门检修等具体核心工序</w:t>
            </w:r>
            <w:r>
              <w:rPr>
                <w:rFonts w:hint="eastAsia"/>
                <w:color w:val="auto"/>
                <w:sz w:val="21"/>
                <w:szCs w:val="21"/>
                <w:highlight w:val="none"/>
                <w:lang w:eastAsia="zh-CN"/>
              </w:rPr>
              <w:t>）</w:t>
            </w:r>
            <w:r>
              <w:rPr>
                <w:rFonts w:hint="default"/>
                <w:color w:val="auto"/>
                <w:sz w:val="21"/>
                <w:szCs w:val="21"/>
                <w:highlight w:val="none"/>
              </w:rPr>
              <w:t>，工艺成熟，能指导具体施工并确保安全。</w:t>
            </w:r>
          </w:p>
          <w:p w14:paraId="795956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：各主要分部施工方法基本符合项目实际，施工技术方案基本齐全，</w:t>
            </w:r>
            <w:r>
              <w:rPr>
                <w:rFonts w:hint="eastAsia"/>
                <w:color w:val="auto"/>
                <w:sz w:val="21"/>
                <w:szCs w:val="21"/>
                <w:highlight w:val="none"/>
                <w:lang w:val="en-US" w:eastAsia="zh-CN"/>
              </w:rPr>
              <w:t>能</w:t>
            </w:r>
            <w:r>
              <w:rPr>
                <w:rFonts w:hint="default"/>
                <w:color w:val="auto"/>
                <w:sz w:val="21"/>
                <w:szCs w:val="21"/>
                <w:highlight w:val="none"/>
              </w:rPr>
              <w:t>覆盖 60% 核心工序</w:t>
            </w:r>
            <w:r>
              <w:rPr>
                <w:rFonts w:hint="eastAsia"/>
                <w:color w:val="auto"/>
                <w:sz w:val="21"/>
                <w:szCs w:val="21"/>
                <w:highlight w:val="none"/>
                <w:lang w:eastAsia="zh-CN"/>
              </w:rPr>
              <w:t>（</w:t>
            </w:r>
            <w:r>
              <w:rPr>
                <w:rFonts w:hint="default"/>
                <w:color w:val="auto"/>
                <w:sz w:val="21"/>
                <w:szCs w:val="21"/>
                <w:highlight w:val="none"/>
              </w:rPr>
              <w:t>渠道清淤、建筑物修复、闸门检修等具体核心工序</w:t>
            </w:r>
            <w:r>
              <w:rPr>
                <w:rFonts w:hint="eastAsia"/>
                <w:color w:val="auto"/>
                <w:sz w:val="21"/>
                <w:szCs w:val="21"/>
                <w:highlight w:val="none"/>
                <w:lang w:eastAsia="zh-CN"/>
              </w:rPr>
              <w:t>）</w:t>
            </w:r>
            <w:r>
              <w:rPr>
                <w:rFonts w:hint="default"/>
                <w:color w:val="auto"/>
                <w:sz w:val="21"/>
                <w:szCs w:val="21"/>
                <w:highlight w:val="none"/>
              </w:rPr>
              <w:t xml:space="preserve">，方法可行，基本能指导具体施 工并确保安全。 </w:t>
            </w:r>
          </w:p>
          <w:p w14:paraId="22AD3D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：各主要分部施工方法针对性差，施工技术方案差， 工艺落后、方法不合理， 覆盖不足 60% 核心工序</w:t>
            </w:r>
            <w:r>
              <w:rPr>
                <w:rFonts w:hint="eastAsia"/>
                <w:color w:val="auto"/>
                <w:sz w:val="21"/>
                <w:szCs w:val="21"/>
                <w:highlight w:val="none"/>
                <w:lang w:eastAsia="zh-CN"/>
              </w:rPr>
              <w:t>（</w:t>
            </w:r>
            <w:r>
              <w:rPr>
                <w:rFonts w:hint="default"/>
                <w:color w:val="auto"/>
                <w:sz w:val="21"/>
                <w:szCs w:val="21"/>
                <w:highlight w:val="none"/>
              </w:rPr>
              <w:t>渠道清淤、建筑物修复、闸门检修等具体核心工序</w:t>
            </w:r>
            <w:r>
              <w:rPr>
                <w:rFonts w:hint="eastAsia"/>
                <w:color w:val="auto"/>
                <w:sz w:val="21"/>
                <w:szCs w:val="21"/>
                <w:highlight w:val="none"/>
                <w:lang w:eastAsia="zh-CN"/>
              </w:rPr>
              <w:t>），</w:t>
            </w:r>
            <w:r>
              <w:rPr>
                <w:rFonts w:hint="eastAsia"/>
                <w:color w:val="auto"/>
                <w:sz w:val="21"/>
                <w:szCs w:val="21"/>
                <w:highlight w:val="none"/>
                <w:lang w:val="en-US" w:eastAsia="zh-CN"/>
              </w:rPr>
              <w:t>不能</w:t>
            </w:r>
            <w:r>
              <w:rPr>
                <w:rFonts w:hint="default"/>
                <w:color w:val="auto"/>
                <w:sz w:val="21"/>
                <w:szCs w:val="21"/>
                <w:highlight w:val="none"/>
              </w:rPr>
              <w:t>指导具体施工和确保安全。</w:t>
            </w:r>
          </w:p>
          <w:p w14:paraId="7FC4A6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2B74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2FCBC4A8">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拟投入的主要物资计划（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0" w:type="auto"/>
            <w:gridSpan w:val="2"/>
            <w:vAlign w:val="center"/>
          </w:tcPr>
          <w:p w14:paraId="6A48FF15">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评审专家自行对物资投入计划是否周密、准确、完整性等各方面进行独立打分。</w:t>
            </w:r>
          </w:p>
          <w:p w14:paraId="0F2218FF">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优（8分）</w:t>
            </w:r>
            <w:r>
              <w:rPr>
                <w:rFonts w:hint="default"/>
                <w:color w:val="auto"/>
                <w:sz w:val="21"/>
                <w:szCs w:val="21"/>
                <w:highlight w:val="none"/>
              </w:rPr>
              <w:t>：投入的施工材料有详细的组织计划且计划周密，投入计划与进度计划呼应</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列 “水泥、砂石”</w:t>
            </w:r>
            <w:r>
              <w:rPr>
                <w:rFonts w:hint="eastAsia"/>
                <w:color w:val="auto"/>
                <w:sz w:val="21"/>
                <w:szCs w:val="21"/>
                <w:highlight w:val="none"/>
                <w:lang w:val="en-US" w:eastAsia="zh-CN"/>
              </w:rPr>
              <w:t>等其他施工材料</w:t>
            </w:r>
            <w:r>
              <w:rPr>
                <w:rFonts w:hint="default"/>
                <w:color w:val="auto"/>
                <w:sz w:val="21"/>
                <w:szCs w:val="21"/>
                <w:highlight w:val="none"/>
              </w:rPr>
              <w:t xml:space="preserve">  明确品牌、规格、型号、单批次进场量</w:t>
            </w:r>
            <w:r>
              <w:rPr>
                <w:rFonts w:hint="eastAsia"/>
                <w:color w:val="auto"/>
                <w:sz w:val="21"/>
                <w:szCs w:val="21"/>
                <w:highlight w:val="none"/>
                <w:lang w:val="en-US" w:eastAsia="zh-CN"/>
              </w:rPr>
              <w:t>等</w:t>
            </w:r>
            <w:r>
              <w:rPr>
                <w:rFonts w:hint="eastAsia"/>
                <w:color w:val="auto"/>
                <w:sz w:val="21"/>
                <w:szCs w:val="21"/>
                <w:highlight w:val="none"/>
                <w:lang w:eastAsia="zh-CN"/>
              </w:rPr>
              <w:t>）</w:t>
            </w:r>
            <w:r>
              <w:rPr>
                <w:rFonts w:hint="default"/>
                <w:color w:val="auto"/>
                <w:sz w:val="21"/>
                <w:szCs w:val="21"/>
                <w:highlight w:val="none"/>
              </w:rPr>
              <w:t>，含物资明细、到场节点（精确到周）、储备量计算依据</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结合工程量、施工进度、损耗率等</w:t>
            </w:r>
            <w:r>
              <w:rPr>
                <w:rFonts w:hint="eastAsia"/>
                <w:color w:val="auto"/>
                <w:sz w:val="21"/>
                <w:szCs w:val="21"/>
                <w:highlight w:val="none"/>
                <w:lang w:val="en-US" w:eastAsia="zh-CN"/>
              </w:rPr>
              <w:t>进行</w:t>
            </w:r>
            <w:r>
              <w:rPr>
                <w:rFonts w:hint="eastAsia"/>
                <w:color w:val="auto"/>
                <w:sz w:val="21"/>
                <w:szCs w:val="21"/>
                <w:highlight w:val="none"/>
                <w:lang w:eastAsia="zh-CN"/>
              </w:rPr>
              <w:t>）</w:t>
            </w:r>
            <w:r>
              <w:rPr>
                <w:rFonts w:hint="default"/>
                <w:color w:val="auto"/>
                <w:sz w:val="21"/>
                <w:szCs w:val="21"/>
                <w:highlight w:val="none"/>
              </w:rPr>
              <w:t>，与进度计划完全匹配</w:t>
            </w:r>
            <w:r>
              <w:rPr>
                <w:rFonts w:hint="eastAsia"/>
                <w:color w:val="auto"/>
                <w:sz w:val="21"/>
                <w:szCs w:val="21"/>
                <w:highlight w:val="none"/>
                <w:lang w:eastAsia="zh-CN"/>
              </w:rPr>
              <w:t>，完全</w:t>
            </w:r>
            <w:r>
              <w:rPr>
                <w:rFonts w:hint="default"/>
                <w:color w:val="auto"/>
                <w:sz w:val="21"/>
                <w:szCs w:val="21"/>
                <w:highlight w:val="none"/>
              </w:rPr>
              <w:t>满足施工需要。</w:t>
            </w:r>
          </w:p>
          <w:p w14:paraId="202E029A">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：投入的施工材料有详细的组织计划，投入计划与进度计划呼应</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列 “水泥、砂石”</w:t>
            </w:r>
            <w:r>
              <w:rPr>
                <w:rFonts w:hint="eastAsia"/>
                <w:color w:val="auto"/>
                <w:sz w:val="21"/>
                <w:szCs w:val="21"/>
                <w:highlight w:val="none"/>
                <w:lang w:val="en-US" w:eastAsia="zh-CN"/>
              </w:rPr>
              <w:t>等其他施工材料</w:t>
            </w:r>
            <w:r>
              <w:rPr>
                <w:rFonts w:hint="default"/>
                <w:color w:val="auto"/>
                <w:sz w:val="21"/>
                <w:szCs w:val="21"/>
                <w:highlight w:val="none"/>
              </w:rPr>
              <w:t xml:space="preserve">  明确品牌、规格、型号、单批次进场量</w:t>
            </w:r>
            <w:r>
              <w:rPr>
                <w:rFonts w:hint="eastAsia"/>
                <w:color w:val="auto"/>
                <w:sz w:val="21"/>
                <w:szCs w:val="21"/>
                <w:highlight w:val="none"/>
                <w:lang w:val="en-US" w:eastAsia="zh-CN"/>
              </w:rPr>
              <w:t>等</w:t>
            </w:r>
            <w:r>
              <w:rPr>
                <w:rFonts w:hint="eastAsia"/>
                <w:color w:val="auto"/>
                <w:sz w:val="21"/>
                <w:szCs w:val="21"/>
                <w:highlight w:val="none"/>
                <w:lang w:eastAsia="zh-CN"/>
              </w:rPr>
              <w:t>）</w:t>
            </w:r>
            <w:r>
              <w:rPr>
                <w:rFonts w:hint="default"/>
                <w:color w:val="auto"/>
                <w:sz w:val="21"/>
                <w:szCs w:val="21"/>
                <w:highlight w:val="none"/>
              </w:rPr>
              <w:t>，含物资明细、到场节点，与进度计划基本匹配</w:t>
            </w:r>
            <w:r>
              <w:rPr>
                <w:rFonts w:hint="eastAsia"/>
                <w:color w:val="auto"/>
                <w:sz w:val="21"/>
                <w:szCs w:val="21"/>
                <w:highlight w:val="none"/>
                <w:lang w:eastAsia="zh-CN"/>
              </w:rPr>
              <w:t>，可以</w:t>
            </w:r>
            <w:r>
              <w:rPr>
                <w:rFonts w:hint="default"/>
                <w:color w:val="auto"/>
                <w:sz w:val="21"/>
                <w:szCs w:val="21"/>
                <w:highlight w:val="none"/>
              </w:rPr>
              <w:t xml:space="preserve">满足施工需要。 </w:t>
            </w:r>
          </w:p>
          <w:p w14:paraId="10F05F17">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：投入的施工材料有</w:t>
            </w:r>
            <w:r>
              <w:rPr>
                <w:rFonts w:hint="eastAsia"/>
                <w:color w:val="auto"/>
                <w:sz w:val="21"/>
                <w:szCs w:val="21"/>
                <w:highlight w:val="none"/>
                <w:lang w:eastAsia="zh-CN"/>
              </w:rPr>
              <w:t>完整</w:t>
            </w:r>
            <w:r>
              <w:rPr>
                <w:rFonts w:hint="default"/>
                <w:color w:val="auto"/>
                <w:sz w:val="21"/>
                <w:szCs w:val="21"/>
                <w:highlight w:val="none"/>
              </w:rPr>
              <w:t>的组织计划，投入计划与进度计划呼应</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列 “水泥、砂石”</w:t>
            </w:r>
            <w:r>
              <w:rPr>
                <w:rFonts w:hint="eastAsia"/>
                <w:color w:val="auto"/>
                <w:sz w:val="21"/>
                <w:szCs w:val="21"/>
                <w:highlight w:val="none"/>
                <w:lang w:val="en-US" w:eastAsia="zh-CN"/>
              </w:rPr>
              <w:t>等其他施工材料</w:t>
            </w:r>
            <w:r>
              <w:rPr>
                <w:rFonts w:hint="default"/>
                <w:color w:val="auto"/>
                <w:sz w:val="21"/>
                <w:szCs w:val="21"/>
                <w:highlight w:val="none"/>
              </w:rPr>
              <w:t xml:space="preserve">  明确品牌、规格、型号、单批次进场量</w:t>
            </w:r>
            <w:r>
              <w:rPr>
                <w:rFonts w:hint="eastAsia"/>
                <w:color w:val="auto"/>
                <w:sz w:val="21"/>
                <w:szCs w:val="21"/>
                <w:highlight w:val="none"/>
                <w:lang w:val="en-US" w:eastAsia="zh-CN"/>
              </w:rPr>
              <w:t>等</w:t>
            </w:r>
            <w:r>
              <w:rPr>
                <w:rFonts w:hint="eastAsia"/>
                <w:color w:val="auto"/>
                <w:sz w:val="21"/>
                <w:szCs w:val="21"/>
                <w:highlight w:val="none"/>
                <w:lang w:eastAsia="zh-CN"/>
              </w:rPr>
              <w:t>）</w:t>
            </w:r>
            <w:r>
              <w:rPr>
                <w:rFonts w:hint="default"/>
                <w:color w:val="auto"/>
                <w:sz w:val="21"/>
                <w:szCs w:val="21"/>
                <w:highlight w:val="none"/>
              </w:rPr>
              <w:t>，调配投入计划基本合理</w:t>
            </w:r>
            <w:r>
              <w:rPr>
                <w:rFonts w:hint="eastAsia"/>
                <w:color w:val="auto"/>
                <w:sz w:val="21"/>
                <w:szCs w:val="21"/>
                <w:highlight w:val="none"/>
                <w:lang w:eastAsia="zh-CN"/>
              </w:rPr>
              <w:t>，</w:t>
            </w:r>
            <w:r>
              <w:rPr>
                <w:rFonts w:hint="default"/>
                <w:color w:val="auto"/>
                <w:sz w:val="21"/>
                <w:szCs w:val="21"/>
                <w:highlight w:val="none"/>
              </w:rPr>
              <w:t>含主要物资明细及大致到场时间</w:t>
            </w:r>
            <w:r>
              <w:rPr>
                <w:rFonts w:hint="eastAsia"/>
                <w:color w:val="auto"/>
                <w:sz w:val="21"/>
                <w:szCs w:val="21"/>
                <w:highlight w:val="none"/>
                <w:lang w:eastAsia="zh-CN"/>
              </w:rPr>
              <w:t>，</w:t>
            </w:r>
            <w:r>
              <w:rPr>
                <w:rFonts w:hint="default"/>
                <w:color w:val="auto"/>
                <w:sz w:val="21"/>
                <w:szCs w:val="21"/>
                <w:highlight w:val="none"/>
              </w:rPr>
              <w:t xml:space="preserve">基本满足施工需要。 </w:t>
            </w:r>
          </w:p>
          <w:p w14:paraId="7FFC6CCF">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：投入的施工材料的组织计划差，投入计划与进度计划不呼应</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列 “水泥、砂石”</w:t>
            </w:r>
            <w:r>
              <w:rPr>
                <w:rFonts w:hint="eastAsia"/>
                <w:color w:val="auto"/>
                <w:sz w:val="21"/>
                <w:szCs w:val="21"/>
                <w:highlight w:val="none"/>
                <w:lang w:val="en-US" w:eastAsia="zh-CN"/>
              </w:rPr>
              <w:t>等其他施工材料</w:t>
            </w:r>
            <w:r>
              <w:rPr>
                <w:rFonts w:hint="default"/>
                <w:color w:val="auto"/>
                <w:sz w:val="21"/>
                <w:szCs w:val="21"/>
                <w:highlight w:val="none"/>
              </w:rPr>
              <w:t xml:space="preserve"> 明确品牌、规格、型号、单批次进场量</w:t>
            </w:r>
            <w:r>
              <w:rPr>
                <w:rFonts w:hint="eastAsia"/>
                <w:color w:val="auto"/>
                <w:sz w:val="21"/>
                <w:szCs w:val="21"/>
                <w:highlight w:val="none"/>
                <w:lang w:val="en-US" w:eastAsia="zh-CN"/>
              </w:rPr>
              <w:t>等</w:t>
            </w:r>
            <w:r>
              <w:rPr>
                <w:rFonts w:hint="eastAsia"/>
                <w:color w:val="auto"/>
                <w:sz w:val="21"/>
                <w:szCs w:val="21"/>
                <w:highlight w:val="none"/>
                <w:lang w:eastAsia="zh-CN"/>
              </w:rPr>
              <w:t>）</w:t>
            </w:r>
            <w:r>
              <w:rPr>
                <w:rFonts w:hint="default"/>
                <w:color w:val="auto"/>
                <w:sz w:val="21"/>
                <w:szCs w:val="21"/>
                <w:highlight w:val="none"/>
              </w:rPr>
              <w:t>，仅列物资名称，无时间及数量规划</w:t>
            </w:r>
            <w:r>
              <w:rPr>
                <w:rFonts w:hint="eastAsia"/>
                <w:color w:val="auto"/>
                <w:sz w:val="21"/>
                <w:szCs w:val="21"/>
                <w:highlight w:val="none"/>
                <w:lang w:eastAsia="zh-CN"/>
              </w:rPr>
              <w:t>，勉强</w:t>
            </w:r>
            <w:r>
              <w:rPr>
                <w:rFonts w:hint="default"/>
                <w:color w:val="auto"/>
                <w:sz w:val="21"/>
                <w:szCs w:val="21"/>
                <w:highlight w:val="none"/>
              </w:rPr>
              <w:t>满足施工需要。</w:t>
            </w:r>
          </w:p>
          <w:p w14:paraId="16CF6121">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0B9F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1262199A">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拟投入的主要施工机械、设备计划（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0" w:type="auto"/>
            <w:gridSpan w:val="2"/>
            <w:vAlign w:val="center"/>
          </w:tcPr>
          <w:p w14:paraId="61DF84D3">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6B89F423">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分）：投入的施工机械、设备、</w:t>
            </w:r>
            <w:r>
              <w:rPr>
                <w:rFonts w:hint="eastAsia"/>
                <w:color w:val="auto"/>
                <w:sz w:val="21"/>
                <w:szCs w:val="21"/>
                <w:highlight w:val="none"/>
                <w:lang w:eastAsia="zh-CN"/>
              </w:rPr>
              <w:t>机械</w:t>
            </w:r>
            <w:r>
              <w:rPr>
                <w:rFonts w:hint="default"/>
                <w:color w:val="auto"/>
                <w:sz w:val="21"/>
                <w:szCs w:val="21"/>
                <w:highlight w:val="none"/>
              </w:rPr>
              <w:t>具有详细的组织计划且计划周密，设备数量、选型配置、进场时间安排合理，设备型号与工程量匹配，数量满足日均施工强度，含备用设备计划</w:t>
            </w:r>
            <w:r>
              <w:rPr>
                <w:rFonts w:hint="eastAsia"/>
                <w:color w:val="auto"/>
                <w:sz w:val="21"/>
                <w:szCs w:val="21"/>
                <w:highlight w:val="none"/>
                <w:lang w:eastAsia="zh-CN"/>
              </w:rPr>
              <w:t>，</w:t>
            </w:r>
            <w:r>
              <w:rPr>
                <w:rFonts w:hint="eastAsia"/>
                <w:color w:val="auto"/>
                <w:sz w:val="21"/>
                <w:szCs w:val="21"/>
                <w:highlight w:val="none"/>
                <w:lang w:val="en-US" w:eastAsia="zh-CN"/>
              </w:rPr>
              <w:t>能</w:t>
            </w:r>
            <w:r>
              <w:rPr>
                <w:rFonts w:hint="eastAsia"/>
                <w:color w:val="auto"/>
                <w:sz w:val="21"/>
                <w:szCs w:val="21"/>
                <w:highlight w:val="none"/>
                <w:lang w:eastAsia="zh-CN"/>
              </w:rPr>
              <w:t>完全</w:t>
            </w:r>
            <w:r>
              <w:rPr>
                <w:rFonts w:hint="default"/>
                <w:color w:val="auto"/>
                <w:sz w:val="21"/>
                <w:szCs w:val="21"/>
                <w:highlight w:val="none"/>
              </w:rPr>
              <w:t xml:space="preserve">满足施工需要。 </w:t>
            </w:r>
          </w:p>
          <w:p w14:paraId="29CD23BC">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 xml:space="preserve">：投入的施工机械、设备、 机具有详细的组织计划，设备数量、选型配置、进场投入计划与进度计划呼应，满足施工需要。 </w:t>
            </w:r>
          </w:p>
          <w:p w14:paraId="137EE0B4">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 xml:space="preserve">：投入的施工机械、设备、机具有组织计划，设备数量、选型配置、进场投入计划与进度计划呼应，基本满足施工需要。 </w:t>
            </w:r>
          </w:p>
          <w:p w14:paraId="7B0F5512">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：投入的施工机械、设备、机具组织计划差，投入计划与进度计划不呼应，</w:t>
            </w:r>
            <w:r>
              <w:rPr>
                <w:rFonts w:hint="eastAsia"/>
                <w:color w:val="auto"/>
                <w:sz w:val="21"/>
                <w:szCs w:val="21"/>
                <w:highlight w:val="none"/>
                <w:lang w:eastAsia="zh-CN"/>
              </w:rPr>
              <w:t>勉强</w:t>
            </w:r>
            <w:r>
              <w:rPr>
                <w:rFonts w:hint="default"/>
                <w:color w:val="auto"/>
                <w:sz w:val="21"/>
                <w:szCs w:val="21"/>
                <w:highlight w:val="none"/>
              </w:rPr>
              <w:t>满足施工需要。</w:t>
            </w:r>
          </w:p>
          <w:p w14:paraId="25CEA55D">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1AF0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46E6796E">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确保工程质量的技术组织措施（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0" w:type="auto"/>
            <w:gridSpan w:val="2"/>
            <w:vAlign w:val="center"/>
          </w:tcPr>
          <w:p w14:paraId="134008DA">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w:t>
            </w:r>
            <w:r>
              <w:rPr>
                <w:rFonts w:hint="default"/>
                <w:color w:val="auto"/>
                <w:sz w:val="21"/>
                <w:szCs w:val="21"/>
                <w:highlight w:val="none"/>
              </w:rPr>
              <w:t>质量技术管理班子和制度</w:t>
            </w:r>
            <w:r>
              <w:rPr>
                <w:rFonts w:hint="eastAsia"/>
                <w:color w:val="auto"/>
                <w:sz w:val="21"/>
                <w:szCs w:val="21"/>
                <w:highlight w:val="none"/>
                <w:lang w:eastAsia="zh-CN"/>
              </w:rPr>
              <w:t>、</w:t>
            </w:r>
            <w:r>
              <w:rPr>
                <w:rFonts w:hint="default"/>
                <w:color w:val="auto"/>
                <w:sz w:val="21"/>
                <w:szCs w:val="21"/>
                <w:highlight w:val="none"/>
              </w:rPr>
              <w:t>人员配备</w:t>
            </w:r>
            <w:r>
              <w:rPr>
                <w:rFonts w:hint="eastAsia"/>
                <w:color w:val="auto"/>
                <w:sz w:val="21"/>
                <w:szCs w:val="21"/>
                <w:highlight w:val="none"/>
              </w:rPr>
              <w:t>是否完整、齐全，满足施工</w:t>
            </w:r>
            <w:r>
              <w:rPr>
                <w:rFonts w:hint="eastAsia"/>
                <w:color w:val="auto"/>
                <w:sz w:val="21"/>
                <w:szCs w:val="21"/>
                <w:highlight w:val="none"/>
                <w:lang w:eastAsia="zh-CN"/>
              </w:rPr>
              <w:t>质量要求</w:t>
            </w:r>
            <w:r>
              <w:rPr>
                <w:rFonts w:hint="eastAsia"/>
                <w:color w:val="auto"/>
                <w:sz w:val="21"/>
                <w:szCs w:val="21"/>
                <w:highlight w:val="none"/>
              </w:rPr>
              <w:t>等各方面进行独立打分。</w:t>
            </w:r>
          </w:p>
          <w:p w14:paraId="62314BC0">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分）：有专门的质量技术管理班子和制度，且人员配备合理，制度健全。主要工序有质量技术保证措施和手段，含 3 项以上专项质量管理制度</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原材料检验制度、关键工序旁站制度、成品检测制度等</w:t>
            </w:r>
            <w:r>
              <w:rPr>
                <w:rFonts w:hint="eastAsia"/>
                <w:color w:val="auto"/>
                <w:sz w:val="21"/>
                <w:szCs w:val="21"/>
                <w:highlight w:val="none"/>
                <w:lang w:eastAsia="zh-CN"/>
              </w:rPr>
              <w:t>）</w:t>
            </w:r>
            <w:r>
              <w:rPr>
                <w:rFonts w:hint="default"/>
                <w:color w:val="auto"/>
                <w:sz w:val="21"/>
                <w:szCs w:val="21"/>
                <w:highlight w:val="none"/>
              </w:rPr>
              <w:t>，关键工序有第三方检测计划，承诺质量标准高于国家标准且先进、可行、具体，高于招标文件的质量要求及施工验收规范要求，达到承诺的质量标准。</w:t>
            </w:r>
          </w:p>
          <w:p w14:paraId="541B7F16">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：有专门的质量技术管理班子和制度，且人员配备合理，制度健全。主要工序有质量技术保证措施和手段，含 2 项专项质量管理制度</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原材料检验制度、关键工序旁站制度、成品检测制度等</w:t>
            </w:r>
            <w:r>
              <w:rPr>
                <w:rFonts w:hint="eastAsia"/>
                <w:color w:val="auto"/>
                <w:sz w:val="21"/>
                <w:szCs w:val="21"/>
                <w:highlight w:val="none"/>
                <w:lang w:eastAsia="zh-CN"/>
              </w:rPr>
              <w:t>）</w:t>
            </w:r>
            <w:r>
              <w:rPr>
                <w:rFonts w:hint="default"/>
                <w:color w:val="auto"/>
                <w:sz w:val="21"/>
                <w:szCs w:val="21"/>
                <w:highlight w:val="none"/>
              </w:rPr>
              <w:t>，关键工序有自检计划，满足国家标准，能有效保证技术质量，</w:t>
            </w:r>
            <w:r>
              <w:rPr>
                <w:rFonts w:hint="eastAsia"/>
                <w:color w:val="auto"/>
                <w:sz w:val="21"/>
                <w:szCs w:val="21"/>
                <w:highlight w:val="none"/>
                <w:lang w:eastAsia="zh-CN"/>
              </w:rPr>
              <w:t>可以</w:t>
            </w:r>
            <w:r>
              <w:rPr>
                <w:rFonts w:hint="default"/>
                <w:color w:val="auto"/>
                <w:sz w:val="21"/>
                <w:szCs w:val="21"/>
                <w:highlight w:val="none"/>
              </w:rPr>
              <w:t>达到承诺的质量标准。</w:t>
            </w:r>
          </w:p>
          <w:p w14:paraId="49789D78">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 xml:space="preserve"> </w:t>
            </w:r>
            <w:r>
              <w:rPr>
                <w:rFonts w:hint="eastAsia"/>
                <w:color w:val="auto"/>
                <w:sz w:val="21"/>
                <w:szCs w:val="21"/>
                <w:highlight w:val="none"/>
                <w:lang w:eastAsia="zh-CN"/>
              </w:rPr>
              <w:t>（4分）</w:t>
            </w:r>
            <w:r>
              <w:rPr>
                <w:rFonts w:hint="default"/>
                <w:color w:val="auto"/>
                <w:sz w:val="21"/>
                <w:szCs w:val="21"/>
                <w:highlight w:val="none"/>
              </w:rPr>
              <w:t>：质量技术管理班子人员配备基本合理，制度基本健全。主要工序有质量技术保证措施和手段，含 1 项专项制度</w:t>
            </w:r>
            <w:r>
              <w:rPr>
                <w:rFonts w:hint="eastAsia"/>
                <w:color w:val="auto"/>
                <w:sz w:val="21"/>
                <w:szCs w:val="21"/>
                <w:highlight w:val="none"/>
                <w:lang w:eastAsia="zh-CN"/>
              </w:rPr>
              <w:t>（</w:t>
            </w:r>
            <w:r>
              <w:rPr>
                <w:rFonts w:hint="eastAsia"/>
                <w:color w:val="auto"/>
                <w:sz w:val="21"/>
                <w:szCs w:val="21"/>
                <w:highlight w:val="none"/>
                <w:lang w:val="en-US" w:eastAsia="zh-CN"/>
              </w:rPr>
              <w:t>如</w:t>
            </w:r>
            <w:r>
              <w:rPr>
                <w:rFonts w:hint="default"/>
                <w:color w:val="auto"/>
                <w:sz w:val="21"/>
                <w:szCs w:val="21"/>
                <w:highlight w:val="none"/>
              </w:rPr>
              <w:t>原材料检验制度、关键工序旁站制度、成品检测制度等</w:t>
            </w:r>
            <w:r>
              <w:rPr>
                <w:rFonts w:hint="eastAsia"/>
                <w:color w:val="auto"/>
                <w:sz w:val="21"/>
                <w:szCs w:val="21"/>
                <w:highlight w:val="none"/>
                <w:lang w:eastAsia="zh-CN"/>
              </w:rPr>
              <w:t>）</w:t>
            </w:r>
            <w:r>
              <w:rPr>
                <w:rFonts w:hint="default"/>
                <w:color w:val="auto"/>
                <w:sz w:val="21"/>
                <w:szCs w:val="21"/>
                <w:highlight w:val="none"/>
              </w:rPr>
              <w:t xml:space="preserve">，有基本自检流程，满足招标文件的质量要求。 </w:t>
            </w:r>
          </w:p>
          <w:p w14:paraId="4E23A139">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：质量技术管理班子人员配备不合理，质量技术保证措施和手段不可行，无专项制度，自检流程缺失。</w:t>
            </w:r>
          </w:p>
          <w:p w14:paraId="0080A9E2">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6FDE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Align w:val="center"/>
          </w:tcPr>
          <w:p w14:paraId="1FBBD050">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确保安全生产的技术组织措施（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0" w:type="auto"/>
            <w:gridSpan w:val="2"/>
            <w:vAlign w:val="center"/>
          </w:tcPr>
          <w:p w14:paraId="3AEECC0F">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评审专家自行对安全生产的技术组织措施、安全人员投入、安全制度管理、安全技术标准要求、现场安全防护是否合理、健全、可行性等各方面进行独立打分。 </w:t>
            </w:r>
          </w:p>
          <w:p w14:paraId="699372C6">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lang w:eastAsia="zh-CN"/>
              </w:rPr>
            </w:pPr>
            <w:r>
              <w:rPr>
                <w:rFonts w:hint="eastAsia"/>
                <w:color w:val="auto"/>
                <w:sz w:val="21"/>
                <w:szCs w:val="21"/>
                <w:highlight w:val="none"/>
                <w:lang w:eastAsia="zh-CN"/>
              </w:rPr>
              <w:t>优（</w:t>
            </w:r>
            <w:r>
              <w:rPr>
                <w:rFonts w:hint="eastAsia"/>
                <w:color w:val="auto"/>
                <w:sz w:val="21"/>
                <w:szCs w:val="21"/>
                <w:highlight w:val="none"/>
                <w:lang w:val="en-US" w:eastAsia="zh-CN"/>
              </w:rPr>
              <w:t>8</w:t>
            </w:r>
            <w:r>
              <w:rPr>
                <w:rFonts w:hint="eastAsia"/>
                <w:color w:val="auto"/>
                <w:sz w:val="21"/>
                <w:szCs w:val="21"/>
                <w:highlight w:val="none"/>
                <w:lang w:eastAsia="zh-CN"/>
              </w:rPr>
              <w:t>分）</w:t>
            </w:r>
            <w:r>
              <w:rPr>
                <w:rFonts w:hint="default"/>
                <w:color w:val="auto"/>
                <w:sz w:val="21"/>
                <w:szCs w:val="21"/>
                <w:highlight w:val="none"/>
              </w:rPr>
              <w:t>：有配备满足项目要求的专</w:t>
            </w:r>
            <w:r>
              <w:rPr>
                <w:rFonts w:hint="default"/>
                <w:color w:val="auto"/>
                <w:sz w:val="21"/>
                <w:szCs w:val="21"/>
                <w:highlight w:val="none"/>
                <w:lang w:eastAsia="zh-CN"/>
              </w:rPr>
              <w:t>职安全员，</w:t>
            </w:r>
            <w:r>
              <w:rPr>
                <w:rFonts w:hint="eastAsia"/>
                <w:color w:val="auto"/>
                <w:sz w:val="21"/>
                <w:szCs w:val="21"/>
                <w:highlight w:val="none"/>
                <w:lang w:eastAsia="zh-CN"/>
              </w:rPr>
              <w:t>各管理</w:t>
            </w:r>
            <w:r>
              <w:rPr>
                <w:rFonts w:hint="default"/>
                <w:color w:val="auto"/>
                <w:sz w:val="21"/>
                <w:szCs w:val="21"/>
                <w:highlight w:val="none"/>
                <w:lang w:eastAsia="zh-CN"/>
              </w:rPr>
              <w:t>人员配备</w:t>
            </w:r>
            <w:r>
              <w:rPr>
                <w:rFonts w:hint="eastAsia"/>
                <w:color w:val="auto"/>
                <w:sz w:val="21"/>
                <w:szCs w:val="21"/>
                <w:highlight w:val="none"/>
                <w:lang w:eastAsia="zh-CN"/>
              </w:rPr>
              <w:t>完善</w:t>
            </w:r>
            <w:r>
              <w:rPr>
                <w:rFonts w:hint="default"/>
                <w:color w:val="auto"/>
                <w:sz w:val="21"/>
                <w:szCs w:val="21"/>
                <w:highlight w:val="none"/>
                <w:lang w:eastAsia="zh-CN"/>
              </w:rPr>
              <w:t>合理。有健全的安全管理制度</w:t>
            </w:r>
            <w:r>
              <w:rPr>
                <w:rFonts w:hint="eastAsia"/>
                <w:color w:val="auto"/>
                <w:sz w:val="21"/>
                <w:szCs w:val="21"/>
                <w:highlight w:val="none"/>
                <w:lang w:val="en-US" w:eastAsia="zh-CN"/>
              </w:rPr>
              <w:t>且</w:t>
            </w:r>
            <w:r>
              <w:rPr>
                <w:rFonts w:hint="default"/>
                <w:color w:val="auto"/>
                <w:sz w:val="21"/>
                <w:szCs w:val="21"/>
                <w:highlight w:val="none"/>
                <w:lang w:eastAsia="zh-CN"/>
              </w:rPr>
              <w:t>核心工序有专项安全方案（含应急预案</w:t>
            </w:r>
            <w:r>
              <w:rPr>
                <w:rFonts w:hint="eastAsia"/>
                <w:color w:val="auto"/>
                <w:sz w:val="21"/>
                <w:szCs w:val="21"/>
                <w:highlight w:val="none"/>
                <w:lang w:eastAsia="zh-CN"/>
              </w:rPr>
              <w:t>，如风险辨识清单、防护措施、应急响应流程</w:t>
            </w:r>
            <w:r>
              <w:rPr>
                <w:rFonts w:hint="eastAsia"/>
                <w:color w:val="auto"/>
                <w:sz w:val="21"/>
                <w:szCs w:val="21"/>
                <w:highlight w:val="none"/>
                <w:lang w:val="en-US" w:eastAsia="zh-CN"/>
              </w:rPr>
              <w:t>等</w:t>
            </w:r>
            <w:r>
              <w:rPr>
                <w:rFonts w:hint="default"/>
                <w:color w:val="auto"/>
                <w:sz w:val="21"/>
                <w:szCs w:val="21"/>
                <w:highlight w:val="none"/>
                <w:lang w:eastAsia="zh-CN"/>
              </w:rPr>
              <w:t>）， 各道工序安全技术措施针对性强，符合实际且高于国家有关安全技术标准要求。现场防火、应急救援、社会治安安全措施得力。</w:t>
            </w:r>
          </w:p>
          <w:p w14:paraId="0D704B02">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：有配备满足项目要求的专职安全员，人员配备合理，有健全的安全管理制度，各道工序安全技术措施符合实际且满足有关安全技术标准要求</w:t>
            </w:r>
            <w:r>
              <w:rPr>
                <w:rFonts w:hint="eastAsia"/>
                <w:color w:val="auto"/>
                <w:sz w:val="21"/>
                <w:szCs w:val="21"/>
                <w:highlight w:val="none"/>
                <w:lang w:val="en-US" w:eastAsia="zh-CN"/>
              </w:rPr>
              <w:t>且</w:t>
            </w:r>
            <w:r>
              <w:rPr>
                <w:rFonts w:hint="default"/>
                <w:color w:val="auto"/>
                <w:sz w:val="21"/>
                <w:szCs w:val="21"/>
                <w:highlight w:val="none"/>
              </w:rPr>
              <w:t>关键工序有安全方案</w:t>
            </w:r>
            <w:r>
              <w:rPr>
                <w:rFonts w:hint="default"/>
                <w:color w:val="auto"/>
                <w:sz w:val="21"/>
                <w:szCs w:val="21"/>
                <w:highlight w:val="none"/>
                <w:lang w:eastAsia="zh-CN"/>
              </w:rPr>
              <w:t>（含应急预案</w:t>
            </w:r>
            <w:r>
              <w:rPr>
                <w:rFonts w:hint="eastAsia"/>
                <w:color w:val="auto"/>
                <w:sz w:val="21"/>
                <w:szCs w:val="21"/>
                <w:highlight w:val="none"/>
                <w:lang w:eastAsia="zh-CN"/>
              </w:rPr>
              <w:t>，如风险辨识清单、防护措施、应急响应流程</w:t>
            </w:r>
            <w:r>
              <w:rPr>
                <w:rFonts w:hint="eastAsia"/>
                <w:color w:val="auto"/>
                <w:sz w:val="21"/>
                <w:szCs w:val="21"/>
                <w:highlight w:val="none"/>
                <w:lang w:val="en-US" w:eastAsia="zh-CN"/>
              </w:rPr>
              <w:t>等</w:t>
            </w:r>
            <w:r>
              <w:rPr>
                <w:rFonts w:hint="default"/>
                <w:color w:val="auto"/>
                <w:sz w:val="21"/>
                <w:szCs w:val="21"/>
                <w:highlight w:val="none"/>
                <w:lang w:eastAsia="zh-CN"/>
              </w:rPr>
              <w:t>）</w:t>
            </w:r>
            <w:r>
              <w:rPr>
                <w:rFonts w:hint="default"/>
                <w:color w:val="auto"/>
                <w:sz w:val="21"/>
                <w:szCs w:val="21"/>
                <w:highlight w:val="none"/>
              </w:rPr>
              <w:t>。现场防火、应急救援、社会治安安全措施合理。</w:t>
            </w:r>
          </w:p>
          <w:p w14:paraId="6BEC8612">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 xml:space="preserve"> </w:t>
            </w:r>
            <w:r>
              <w:rPr>
                <w:rFonts w:hint="eastAsia"/>
                <w:color w:val="auto"/>
                <w:sz w:val="21"/>
                <w:szCs w:val="21"/>
                <w:highlight w:val="none"/>
                <w:lang w:eastAsia="zh-CN"/>
              </w:rPr>
              <w:t>中（4分）</w:t>
            </w:r>
            <w:r>
              <w:rPr>
                <w:rFonts w:hint="default"/>
                <w:color w:val="auto"/>
                <w:sz w:val="21"/>
                <w:szCs w:val="21"/>
                <w:highlight w:val="none"/>
              </w:rPr>
              <w:t>：有配备满足项目要求的专职安全员，人员配备基本合理，安全管理制度基本健全，各道工序安全技术措施基本符合实际，基本满足有关安全技术标准要求。现场防火、应急救援、社会治安安全措施基本合理。</w:t>
            </w:r>
          </w:p>
          <w:p w14:paraId="7E43E16B">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：有配备满足项目要求的专职安全员，人员配备不合理，安全管理制度不健全，各道工序安全技术措施基本符合实际，不能满足有关安全技术标准要求。现场防火、应急 救援、社会治安安全措施不合理。</w:t>
            </w:r>
          </w:p>
          <w:p w14:paraId="6E5CFDF0">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2EE9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2C532FC6">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劳动力安排计划（</w:t>
            </w:r>
            <w:r>
              <w:rPr>
                <w:rFonts w:hint="eastAsia" w:cs="宋体"/>
                <w:color w:val="auto"/>
                <w:kern w:val="0"/>
                <w:sz w:val="21"/>
                <w:szCs w:val="21"/>
                <w:highlight w:val="none"/>
                <w:lang w:eastAsia="zh-CN"/>
              </w:rPr>
              <w:t>满分5分</w:t>
            </w:r>
            <w:r>
              <w:rPr>
                <w:rFonts w:hint="eastAsia" w:cs="宋体"/>
                <w:color w:val="auto"/>
                <w:kern w:val="0"/>
                <w:sz w:val="21"/>
                <w:szCs w:val="21"/>
                <w:highlight w:val="none"/>
              </w:rPr>
              <w:t>）</w:t>
            </w:r>
          </w:p>
        </w:tc>
        <w:tc>
          <w:tcPr>
            <w:tcW w:w="0" w:type="auto"/>
            <w:gridSpan w:val="2"/>
            <w:vAlign w:val="center"/>
          </w:tcPr>
          <w:p w14:paraId="2EDC68BA">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评审专家对</w:t>
            </w:r>
            <w:r>
              <w:rPr>
                <w:rFonts w:hint="eastAsia"/>
                <w:color w:val="auto"/>
                <w:sz w:val="21"/>
                <w:szCs w:val="21"/>
                <w:highlight w:val="none"/>
              </w:rPr>
              <w:t>各主要施工工序的劳动力安排计划，</w:t>
            </w:r>
            <w:r>
              <w:rPr>
                <w:rFonts w:hint="eastAsia"/>
                <w:color w:val="auto"/>
                <w:sz w:val="21"/>
                <w:szCs w:val="21"/>
                <w:highlight w:val="none"/>
                <w:lang w:eastAsia="zh-CN"/>
              </w:rPr>
              <w:t>在</w:t>
            </w:r>
            <w:r>
              <w:rPr>
                <w:rFonts w:hint="eastAsia"/>
                <w:color w:val="auto"/>
                <w:sz w:val="21"/>
                <w:szCs w:val="21"/>
                <w:highlight w:val="none"/>
              </w:rPr>
              <w:t>各工种劳动力安排计划，劳动力投入合理</w:t>
            </w:r>
            <w:r>
              <w:rPr>
                <w:rFonts w:hint="eastAsia"/>
                <w:color w:val="auto"/>
                <w:sz w:val="21"/>
                <w:szCs w:val="21"/>
                <w:highlight w:val="none"/>
                <w:lang w:val="en-US" w:eastAsia="zh-CN"/>
              </w:rPr>
              <w:t>等各方面进行独立打分</w:t>
            </w:r>
            <w:r>
              <w:rPr>
                <w:rFonts w:hint="eastAsia"/>
                <w:color w:val="auto"/>
                <w:sz w:val="21"/>
                <w:szCs w:val="21"/>
                <w:highlight w:val="none"/>
                <w:lang w:eastAsia="zh-CN"/>
              </w:rPr>
              <w:t>。</w:t>
            </w:r>
          </w:p>
          <w:p w14:paraId="4AE69486">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优（5分）</w:t>
            </w:r>
            <w:r>
              <w:rPr>
                <w:rFonts w:hint="default"/>
                <w:color w:val="auto"/>
                <w:sz w:val="21"/>
                <w:szCs w:val="21"/>
                <w:highlight w:val="none"/>
              </w:rPr>
              <w:t>：各主要施工工序有详细周密的劳动力安排计划，各工种人数与施工强度匹配（人均日效率达标</w:t>
            </w:r>
            <w:r>
              <w:rPr>
                <w:rFonts w:hint="eastAsia"/>
                <w:color w:val="auto"/>
                <w:sz w:val="21"/>
                <w:szCs w:val="21"/>
                <w:highlight w:val="none"/>
                <w:lang w:eastAsia="zh-CN"/>
              </w:rPr>
              <w:t>，</w:t>
            </w:r>
            <w:r>
              <w:rPr>
                <w:rFonts w:hint="default"/>
                <w:color w:val="auto"/>
                <w:sz w:val="21"/>
                <w:szCs w:val="21"/>
                <w:highlight w:val="none"/>
              </w:rPr>
              <w:t>如渠道清淤工人均日清淤量、混凝土工人均日浇筑量</w:t>
            </w:r>
            <w:r>
              <w:rPr>
                <w:rFonts w:hint="eastAsia"/>
                <w:color w:val="auto"/>
                <w:sz w:val="21"/>
                <w:szCs w:val="21"/>
                <w:highlight w:val="none"/>
                <w:lang w:val="en-US" w:eastAsia="zh-CN"/>
              </w:rPr>
              <w:t>等列举达标数量</w:t>
            </w:r>
            <w:r>
              <w:rPr>
                <w:rFonts w:hint="default"/>
                <w:color w:val="auto"/>
                <w:sz w:val="21"/>
                <w:szCs w:val="21"/>
                <w:highlight w:val="none"/>
              </w:rPr>
              <w:t>），含加班应急预案</w:t>
            </w:r>
            <w:r>
              <w:rPr>
                <w:rFonts w:hint="eastAsia"/>
                <w:color w:val="auto"/>
                <w:sz w:val="21"/>
                <w:szCs w:val="21"/>
                <w:highlight w:val="none"/>
                <w:lang w:val="en-US" w:eastAsia="zh-CN"/>
              </w:rPr>
              <w:t>,</w:t>
            </w:r>
            <w:r>
              <w:rPr>
                <w:rFonts w:hint="default"/>
                <w:color w:val="auto"/>
                <w:sz w:val="21"/>
                <w:szCs w:val="21"/>
                <w:highlight w:val="none"/>
              </w:rPr>
              <w:t>劳动力投入与进度计划呼应合理，</w:t>
            </w:r>
            <w:r>
              <w:rPr>
                <w:rFonts w:hint="eastAsia"/>
                <w:color w:val="auto"/>
                <w:sz w:val="21"/>
                <w:szCs w:val="21"/>
                <w:highlight w:val="none"/>
                <w:lang w:eastAsia="zh-CN"/>
              </w:rPr>
              <w:t>完全</w:t>
            </w:r>
            <w:r>
              <w:rPr>
                <w:rFonts w:hint="default"/>
                <w:color w:val="auto"/>
                <w:sz w:val="21"/>
                <w:szCs w:val="21"/>
                <w:highlight w:val="none"/>
              </w:rPr>
              <w:t xml:space="preserve">满足施工需要。 </w:t>
            </w:r>
          </w:p>
          <w:p w14:paraId="775494BE">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4</w:t>
            </w:r>
            <w:r>
              <w:rPr>
                <w:rFonts w:hint="eastAsia"/>
                <w:color w:val="auto"/>
                <w:sz w:val="21"/>
                <w:szCs w:val="21"/>
                <w:highlight w:val="none"/>
                <w:lang w:eastAsia="zh-CN"/>
              </w:rPr>
              <w:t>分）</w:t>
            </w:r>
            <w:r>
              <w:rPr>
                <w:rFonts w:hint="default"/>
                <w:color w:val="auto"/>
                <w:sz w:val="21"/>
                <w:szCs w:val="21"/>
                <w:highlight w:val="none"/>
              </w:rPr>
              <w:t>：各主要施工工序有详细的劳动力安排计划，有各工种劳动力安排计划（人均日效率达标</w:t>
            </w:r>
            <w:r>
              <w:rPr>
                <w:rFonts w:hint="eastAsia"/>
                <w:color w:val="auto"/>
                <w:sz w:val="21"/>
                <w:szCs w:val="21"/>
                <w:highlight w:val="none"/>
                <w:lang w:eastAsia="zh-CN"/>
              </w:rPr>
              <w:t>，</w:t>
            </w:r>
            <w:r>
              <w:rPr>
                <w:rFonts w:hint="default"/>
                <w:color w:val="auto"/>
                <w:sz w:val="21"/>
                <w:szCs w:val="21"/>
                <w:highlight w:val="none"/>
              </w:rPr>
              <w:t>如渠道清淤工人均日清淤量、混凝土工人均日浇筑量</w:t>
            </w:r>
            <w:r>
              <w:rPr>
                <w:rFonts w:hint="eastAsia"/>
                <w:color w:val="auto"/>
                <w:sz w:val="21"/>
                <w:szCs w:val="21"/>
                <w:highlight w:val="none"/>
                <w:lang w:val="en-US" w:eastAsia="zh-CN"/>
              </w:rPr>
              <w:t>等列举达标数量</w:t>
            </w:r>
            <w:r>
              <w:rPr>
                <w:rFonts w:hint="default"/>
                <w:color w:val="auto"/>
                <w:sz w:val="21"/>
                <w:szCs w:val="21"/>
                <w:highlight w:val="none"/>
              </w:rPr>
              <w:t>），各工种人数匹配，无明显人力缺口，</w:t>
            </w:r>
            <w:r>
              <w:rPr>
                <w:rFonts w:hint="eastAsia"/>
                <w:color w:val="auto"/>
                <w:sz w:val="21"/>
                <w:szCs w:val="21"/>
                <w:highlight w:val="none"/>
                <w:lang w:eastAsia="zh-CN"/>
              </w:rPr>
              <w:t>可以</w:t>
            </w:r>
            <w:r>
              <w:rPr>
                <w:rFonts w:hint="default"/>
                <w:color w:val="auto"/>
                <w:sz w:val="21"/>
                <w:szCs w:val="21"/>
                <w:highlight w:val="none"/>
              </w:rPr>
              <w:t xml:space="preserve">满足施工需要。 </w:t>
            </w:r>
          </w:p>
          <w:p w14:paraId="0414CC7F">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 各主要施工工序应有劳动力安排计划，有各工种劳动力安排计划，主要工种人数基本匹配，</w:t>
            </w:r>
            <w:r>
              <w:rPr>
                <w:rFonts w:hint="eastAsia"/>
                <w:color w:val="auto"/>
                <w:sz w:val="21"/>
                <w:szCs w:val="21"/>
                <w:highlight w:val="none"/>
                <w:lang w:val="en-US" w:eastAsia="zh-CN"/>
              </w:rPr>
              <w:t>部分</w:t>
            </w:r>
            <w:r>
              <w:rPr>
                <w:rFonts w:hint="default"/>
                <w:color w:val="auto"/>
                <w:sz w:val="21"/>
                <w:szCs w:val="21"/>
                <w:highlight w:val="none"/>
              </w:rPr>
              <w:t>缺口可协调，基本满足施工需要。</w:t>
            </w:r>
          </w:p>
          <w:p w14:paraId="545905FF">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一般（1分）</w:t>
            </w:r>
            <w:r>
              <w:rPr>
                <w:rFonts w:hint="default"/>
                <w:color w:val="auto"/>
                <w:sz w:val="21"/>
                <w:szCs w:val="21"/>
                <w:highlight w:val="none"/>
              </w:rPr>
              <w:t>：各主要施工工序劳动力安排计划不全，无各工种劳动力安排计划或计划不全，劳动力投入不合理，不能满足</w:t>
            </w:r>
            <w:r>
              <w:rPr>
                <w:rFonts w:hint="eastAsia"/>
                <w:color w:val="auto"/>
                <w:sz w:val="21"/>
                <w:szCs w:val="21"/>
                <w:highlight w:val="none"/>
                <w:lang w:eastAsia="zh-CN"/>
              </w:rPr>
              <w:t>施工需求。</w:t>
            </w:r>
          </w:p>
          <w:p w14:paraId="612BF6C6">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rPr>
              <w:t>注：未提供不予计分。</w:t>
            </w:r>
          </w:p>
        </w:tc>
      </w:tr>
      <w:tr w14:paraId="6B683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1352EA47">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确保工期的技术组织措施（</w:t>
            </w:r>
            <w:r>
              <w:rPr>
                <w:rFonts w:hint="eastAsia" w:cs="宋体"/>
                <w:color w:val="auto"/>
                <w:kern w:val="0"/>
                <w:sz w:val="21"/>
                <w:szCs w:val="21"/>
                <w:highlight w:val="none"/>
                <w:lang w:eastAsia="zh-CN"/>
              </w:rPr>
              <w:t>满分5分</w:t>
            </w:r>
            <w:r>
              <w:rPr>
                <w:rFonts w:hint="eastAsia" w:cs="宋体"/>
                <w:color w:val="auto"/>
                <w:kern w:val="0"/>
                <w:sz w:val="21"/>
                <w:szCs w:val="21"/>
                <w:highlight w:val="none"/>
              </w:rPr>
              <w:t>）</w:t>
            </w:r>
          </w:p>
        </w:tc>
        <w:tc>
          <w:tcPr>
            <w:tcW w:w="0" w:type="auto"/>
            <w:gridSpan w:val="2"/>
            <w:vAlign w:val="center"/>
          </w:tcPr>
          <w:p w14:paraId="6C6EB709">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评审专家自行对工期的技术组织措施、工期计划图表是否严谨、合理、可行性等各方面进行独立打分。</w:t>
            </w:r>
          </w:p>
          <w:p w14:paraId="6E4C5D2A">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优（5分）</w:t>
            </w:r>
            <w:r>
              <w:rPr>
                <w:rFonts w:hint="default"/>
                <w:color w:val="auto"/>
                <w:sz w:val="21"/>
                <w:szCs w:val="21"/>
                <w:highlight w:val="none"/>
              </w:rPr>
              <w:t>：有保证工期的具体措施且措施得力。各项计划图表编制详尽周密，含横道图 + 网络图，明确关键线路及赶工预案（含资源调配方案</w:t>
            </w:r>
            <w:r>
              <w:rPr>
                <w:rFonts w:hint="eastAsia"/>
                <w:color w:val="auto"/>
                <w:sz w:val="21"/>
                <w:szCs w:val="21"/>
                <w:highlight w:val="none"/>
                <w:lang w:eastAsia="zh-CN"/>
              </w:rPr>
              <w:t>，</w:t>
            </w:r>
            <w:r>
              <w:rPr>
                <w:rFonts w:hint="default"/>
                <w:color w:val="auto"/>
                <w:sz w:val="21"/>
                <w:szCs w:val="21"/>
                <w:highlight w:val="none"/>
              </w:rPr>
              <w:t>如额外投入的机械 /人员数量、材料储备增量、资金保障措施</w:t>
            </w:r>
            <w:r>
              <w:rPr>
                <w:rFonts w:hint="eastAsia"/>
                <w:color w:val="auto"/>
                <w:sz w:val="21"/>
                <w:szCs w:val="21"/>
                <w:highlight w:val="none"/>
                <w:lang w:val="en-US" w:eastAsia="zh-CN"/>
              </w:rPr>
              <w:t>等</w:t>
            </w:r>
            <w:r>
              <w:rPr>
                <w:rFonts w:hint="default"/>
                <w:color w:val="auto"/>
                <w:sz w:val="21"/>
                <w:szCs w:val="21"/>
                <w:highlight w:val="none"/>
              </w:rPr>
              <w:t>）</w:t>
            </w:r>
            <w:r>
              <w:rPr>
                <w:rFonts w:hint="eastAsia"/>
                <w:color w:val="auto"/>
                <w:sz w:val="21"/>
                <w:szCs w:val="21"/>
                <w:highlight w:val="none"/>
                <w:lang w:eastAsia="zh-CN"/>
              </w:rPr>
              <w:t>，</w:t>
            </w:r>
            <w:r>
              <w:rPr>
                <w:rFonts w:hint="default"/>
                <w:color w:val="auto"/>
                <w:sz w:val="21"/>
                <w:szCs w:val="21"/>
                <w:highlight w:val="none"/>
              </w:rPr>
              <w:t xml:space="preserve">安排科学合理，符合本项目施工实际要求。 </w:t>
            </w:r>
          </w:p>
          <w:p w14:paraId="0C15AC98">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分）：有保证工期的具体措施且措施得当。各项计划图表编制完善，安排较合理，含横道图，明确关键节点</w:t>
            </w:r>
            <w:r>
              <w:rPr>
                <w:rFonts w:hint="eastAsia"/>
                <w:color w:val="auto"/>
                <w:sz w:val="21"/>
                <w:szCs w:val="21"/>
                <w:highlight w:val="none"/>
                <w:lang w:eastAsia="zh-CN"/>
              </w:rPr>
              <w:t>，</w:t>
            </w:r>
            <w:r>
              <w:rPr>
                <w:rFonts w:hint="eastAsia"/>
                <w:color w:val="auto"/>
                <w:sz w:val="21"/>
                <w:szCs w:val="21"/>
                <w:highlight w:val="none"/>
                <w:lang w:val="en-US" w:eastAsia="zh-CN"/>
              </w:rPr>
              <w:t>有</w:t>
            </w:r>
            <w:r>
              <w:rPr>
                <w:rFonts w:hint="default"/>
                <w:color w:val="auto"/>
                <w:sz w:val="21"/>
                <w:szCs w:val="21"/>
                <w:highlight w:val="none"/>
              </w:rPr>
              <w:t>赶工预案（含资源调配方案</w:t>
            </w:r>
            <w:r>
              <w:rPr>
                <w:rFonts w:hint="eastAsia"/>
                <w:color w:val="auto"/>
                <w:sz w:val="21"/>
                <w:szCs w:val="21"/>
                <w:highlight w:val="none"/>
                <w:lang w:eastAsia="zh-CN"/>
              </w:rPr>
              <w:t>，</w:t>
            </w:r>
            <w:r>
              <w:rPr>
                <w:rFonts w:hint="default"/>
                <w:color w:val="auto"/>
                <w:sz w:val="21"/>
                <w:szCs w:val="21"/>
                <w:highlight w:val="none"/>
              </w:rPr>
              <w:t>如额外投入的机械 /人员数量、材料储备增量、资金保障措施</w:t>
            </w:r>
            <w:r>
              <w:rPr>
                <w:rFonts w:hint="eastAsia"/>
                <w:color w:val="auto"/>
                <w:sz w:val="21"/>
                <w:szCs w:val="21"/>
                <w:highlight w:val="none"/>
                <w:lang w:val="en-US" w:eastAsia="zh-CN"/>
              </w:rPr>
              <w:t>等</w:t>
            </w:r>
            <w:r>
              <w:rPr>
                <w:rFonts w:hint="default"/>
                <w:color w:val="auto"/>
                <w:sz w:val="21"/>
                <w:szCs w:val="21"/>
                <w:highlight w:val="none"/>
              </w:rPr>
              <w:t>）</w:t>
            </w:r>
            <w:r>
              <w:rPr>
                <w:rFonts w:hint="eastAsia"/>
                <w:color w:val="auto"/>
                <w:sz w:val="21"/>
                <w:szCs w:val="21"/>
                <w:highlight w:val="none"/>
                <w:lang w:eastAsia="zh-CN"/>
              </w:rPr>
              <w:t>，</w:t>
            </w:r>
            <w:r>
              <w:rPr>
                <w:rFonts w:hint="default"/>
                <w:color w:val="auto"/>
                <w:sz w:val="21"/>
                <w:szCs w:val="21"/>
                <w:highlight w:val="none"/>
              </w:rPr>
              <w:t>符合本项目施工实际要求。</w:t>
            </w:r>
          </w:p>
          <w:p w14:paraId="753ECFC3">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 xml:space="preserve"> </w:t>
            </w:r>
            <w:r>
              <w:rPr>
                <w:rFonts w:hint="eastAsia"/>
                <w:color w:val="auto"/>
                <w:sz w:val="21"/>
                <w:szCs w:val="21"/>
                <w:highlight w:val="none"/>
                <w:lang w:val="en-US" w:eastAsia="zh-CN"/>
              </w:rPr>
              <w:t xml:space="preserve">  </w:t>
            </w:r>
            <w:r>
              <w:rPr>
                <w:rFonts w:hint="eastAsia"/>
                <w:color w:val="auto"/>
                <w:sz w:val="21"/>
                <w:szCs w:val="21"/>
                <w:highlight w:val="none"/>
                <w:lang w:eastAsia="zh-CN"/>
              </w:rPr>
              <w:t>中（2分）</w:t>
            </w:r>
            <w:r>
              <w:rPr>
                <w:rFonts w:hint="default"/>
                <w:color w:val="auto"/>
                <w:sz w:val="21"/>
                <w:szCs w:val="21"/>
                <w:highlight w:val="none"/>
              </w:rPr>
              <w:t>：有保证工期的具体措施，措施基本得当。各项计划图表编制基本齐全，安排基本合理，含基本进度表，关键节点清晰</w:t>
            </w:r>
            <w:r>
              <w:rPr>
                <w:rFonts w:hint="eastAsia"/>
                <w:color w:val="auto"/>
                <w:sz w:val="21"/>
                <w:szCs w:val="21"/>
                <w:highlight w:val="none"/>
                <w:lang w:eastAsia="zh-CN"/>
              </w:rPr>
              <w:t>，</w:t>
            </w:r>
            <w:r>
              <w:rPr>
                <w:rFonts w:hint="default"/>
                <w:color w:val="auto"/>
                <w:sz w:val="21"/>
                <w:szCs w:val="21"/>
                <w:highlight w:val="none"/>
              </w:rPr>
              <w:t xml:space="preserve">基本符合本项目施工实际要求。 </w:t>
            </w:r>
          </w:p>
          <w:p w14:paraId="27613831">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：有保证工期的具体措施。各项计划图表编制不完善，安排不合理，进度表不完整，关键节点缺失</w:t>
            </w:r>
            <w:r>
              <w:rPr>
                <w:rFonts w:hint="eastAsia"/>
                <w:color w:val="auto"/>
                <w:sz w:val="21"/>
                <w:szCs w:val="21"/>
                <w:highlight w:val="none"/>
                <w:lang w:eastAsia="zh-CN"/>
              </w:rPr>
              <w:t>，</w:t>
            </w:r>
            <w:r>
              <w:rPr>
                <w:rFonts w:hint="default"/>
                <w:color w:val="auto"/>
                <w:sz w:val="21"/>
                <w:szCs w:val="21"/>
                <w:highlight w:val="none"/>
              </w:rPr>
              <w:t>不能满足本项目施工实际要求。</w:t>
            </w:r>
          </w:p>
          <w:p w14:paraId="7EE4B232">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154B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Align w:val="center"/>
          </w:tcPr>
          <w:p w14:paraId="3AA6550E">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确保文明施工的技术组织措施（</w:t>
            </w:r>
            <w:r>
              <w:rPr>
                <w:rFonts w:hint="eastAsia" w:cs="宋体"/>
                <w:color w:val="auto"/>
                <w:kern w:val="0"/>
                <w:sz w:val="21"/>
                <w:szCs w:val="21"/>
                <w:highlight w:val="none"/>
                <w:lang w:eastAsia="zh-CN"/>
              </w:rPr>
              <w:t>满分5分</w:t>
            </w:r>
            <w:r>
              <w:rPr>
                <w:rFonts w:hint="eastAsia" w:cs="宋体"/>
                <w:color w:val="auto"/>
                <w:kern w:val="0"/>
                <w:sz w:val="21"/>
                <w:szCs w:val="21"/>
                <w:highlight w:val="none"/>
              </w:rPr>
              <w:t>）</w:t>
            </w:r>
          </w:p>
        </w:tc>
        <w:tc>
          <w:tcPr>
            <w:tcW w:w="0" w:type="auto"/>
            <w:gridSpan w:val="2"/>
            <w:vAlign w:val="center"/>
          </w:tcPr>
          <w:p w14:paraId="07EBBC80">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评审专家自行对文明施工的技术组织措施、现场施工文明管理是否符合要求、健全、合理有效等各方面进行独立打分。 </w:t>
            </w:r>
          </w:p>
          <w:p w14:paraId="0DCD048E">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优（5分）</w:t>
            </w:r>
            <w:r>
              <w:rPr>
                <w:rFonts w:hint="default"/>
                <w:color w:val="auto"/>
                <w:sz w:val="21"/>
                <w:szCs w:val="21"/>
                <w:highlight w:val="none"/>
              </w:rPr>
              <w:t>：现场文明施工、环境保护措施和内容达到</w:t>
            </w:r>
            <w:r>
              <w:rPr>
                <w:rFonts w:hint="eastAsia"/>
                <w:color w:val="auto"/>
                <w:sz w:val="21"/>
                <w:szCs w:val="21"/>
                <w:highlight w:val="none"/>
                <w:lang w:eastAsia="zh-CN"/>
              </w:rPr>
              <w:t>相关施工安全生产标准或文明施工等</w:t>
            </w:r>
            <w:r>
              <w:rPr>
                <w:rFonts w:hint="default"/>
                <w:color w:val="auto"/>
                <w:sz w:val="21"/>
                <w:szCs w:val="21"/>
                <w:highlight w:val="none"/>
              </w:rPr>
              <w:t>要求；满足《建筑施工场界环境噪声排放标准》等 3 项以上国标，含扬尘在线监测计划</w:t>
            </w:r>
            <w:r>
              <w:rPr>
                <w:rFonts w:hint="eastAsia"/>
                <w:color w:val="auto"/>
                <w:sz w:val="21"/>
                <w:szCs w:val="21"/>
                <w:highlight w:val="none"/>
                <w:lang w:eastAsia="zh-CN"/>
              </w:rPr>
              <w:t>，</w:t>
            </w:r>
            <w:r>
              <w:rPr>
                <w:rFonts w:hint="default"/>
                <w:color w:val="auto"/>
                <w:sz w:val="21"/>
                <w:szCs w:val="21"/>
                <w:highlight w:val="none"/>
              </w:rPr>
              <w:t>而且各项措施周全、具体、有效的</w:t>
            </w:r>
            <w:r>
              <w:rPr>
                <w:rFonts w:hint="eastAsia"/>
                <w:color w:val="auto"/>
                <w:sz w:val="21"/>
                <w:szCs w:val="21"/>
                <w:highlight w:val="none"/>
                <w:lang w:eastAsia="zh-CN"/>
              </w:rPr>
              <w:t>，</w:t>
            </w:r>
            <w:r>
              <w:rPr>
                <w:rFonts w:hint="default"/>
                <w:color w:val="auto"/>
                <w:sz w:val="21"/>
                <w:szCs w:val="21"/>
                <w:highlight w:val="none"/>
              </w:rPr>
              <w:t xml:space="preserve">。 </w:t>
            </w:r>
          </w:p>
          <w:p w14:paraId="0BB7E112">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分）：现场文明施工、环境保护措施和内容达到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；满足 2 项国标，有扬尘、噪音控制措施</w:t>
            </w:r>
            <w:r>
              <w:rPr>
                <w:rFonts w:hint="eastAsia"/>
                <w:color w:val="auto"/>
                <w:sz w:val="21"/>
                <w:szCs w:val="21"/>
                <w:highlight w:val="none"/>
                <w:lang w:eastAsia="zh-CN"/>
              </w:rPr>
              <w:t>。</w:t>
            </w:r>
            <w:r>
              <w:rPr>
                <w:rFonts w:hint="default"/>
                <w:color w:val="auto"/>
                <w:sz w:val="21"/>
                <w:szCs w:val="21"/>
                <w:highlight w:val="none"/>
              </w:rPr>
              <w:t xml:space="preserve"> </w:t>
            </w:r>
          </w:p>
          <w:p w14:paraId="709611FD">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：现场文明施工、环境保护措施和内容基本达到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；有具体实现现场文明施工目标的承诺，满足 1 项国标，有基本控制措施</w:t>
            </w:r>
            <w:r>
              <w:rPr>
                <w:rFonts w:hint="eastAsia"/>
                <w:color w:val="auto"/>
                <w:sz w:val="21"/>
                <w:szCs w:val="21"/>
                <w:highlight w:val="none"/>
                <w:lang w:eastAsia="zh-CN"/>
              </w:rPr>
              <w:t>。</w:t>
            </w:r>
          </w:p>
          <w:p w14:paraId="39CB5735">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 xml:space="preserve"> </w:t>
            </w:r>
            <w:r>
              <w:rPr>
                <w:rFonts w:hint="eastAsia"/>
                <w:color w:val="auto"/>
                <w:sz w:val="21"/>
                <w:szCs w:val="21"/>
                <w:highlight w:val="none"/>
                <w:lang w:eastAsia="zh-CN"/>
              </w:rPr>
              <w:t>：</w:t>
            </w:r>
            <w:r>
              <w:rPr>
                <w:rFonts w:hint="default"/>
                <w:color w:val="auto"/>
                <w:sz w:val="21"/>
                <w:szCs w:val="21"/>
                <w:highlight w:val="none"/>
              </w:rPr>
              <w:t>现场文明施工、环境保护措施和内容与</w:t>
            </w:r>
            <w:r>
              <w:rPr>
                <w:rFonts w:hint="eastAsia"/>
                <w:color w:val="auto"/>
                <w:sz w:val="21"/>
                <w:szCs w:val="21"/>
                <w:highlight w:val="none"/>
                <w:lang w:eastAsia="zh-CN"/>
              </w:rPr>
              <w:t>相关施工安全生产标准或文明施工要求的</w:t>
            </w:r>
            <w:r>
              <w:rPr>
                <w:rFonts w:hint="default"/>
                <w:color w:val="auto"/>
                <w:sz w:val="21"/>
                <w:szCs w:val="21"/>
                <w:highlight w:val="none"/>
              </w:rPr>
              <w:t>要求偏差大，</w:t>
            </w:r>
            <w:r>
              <w:rPr>
                <w:rFonts w:hint="eastAsia"/>
                <w:color w:val="auto"/>
                <w:sz w:val="21"/>
                <w:szCs w:val="21"/>
                <w:highlight w:val="none"/>
                <w:lang w:eastAsia="zh-CN"/>
              </w:rPr>
              <w:t>有监督的</w:t>
            </w:r>
            <w:r>
              <w:rPr>
                <w:rFonts w:hint="default"/>
                <w:color w:val="auto"/>
                <w:sz w:val="21"/>
                <w:szCs w:val="21"/>
                <w:highlight w:val="none"/>
              </w:rPr>
              <w:t>现场文明施工目标的承诺。</w:t>
            </w:r>
          </w:p>
          <w:p w14:paraId="0DFD9D98">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7C62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Align w:val="center"/>
          </w:tcPr>
          <w:p w14:paraId="31868D32">
            <w:pPr>
              <w:keepNext w:val="0"/>
              <w:keepLines w:val="0"/>
              <w:widowControl/>
              <w:suppressLineNumbers w:val="0"/>
              <w:spacing w:before="0" w:beforeAutospacing="0" w:after="0" w:afterAutospacing="0" w:line="360" w:lineRule="auto"/>
              <w:ind w:left="0" w:right="0"/>
              <w:rPr>
                <w:rFonts w:hint="default"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工程施工的重点和难点及保证措施（满分5分）</w:t>
            </w:r>
          </w:p>
        </w:tc>
        <w:tc>
          <w:tcPr>
            <w:tcW w:w="0" w:type="auto"/>
            <w:gridSpan w:val="2"/>
            <w:vAlign w:val="center"/>
          </w:tcPr>
          <w:p w14:paraId="5FEE21DF">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val="zh-CN" w:eastAsia="zh-CN"/>
              </w:rPr>
            </w:pPr>
            <w:r>
              <w:rPr>
                <w:rFonts w:hint="eastAsia"/>
                <w:color w:val="auto"/>
                <w:sz w:val="21"/>
                <w:szCs w:val="21"/>
                <w:highlight w:val="none"/>
                <w:lang w:val="zh-CN" w:eastAsia="zh-CN"/>
              </w:rPr>
              <w:t xml:space="preserve">评审专家自行对重点和难点、现场保证措施、施工衔接是否分析到位、合理有效等各方面进行独立打分。 </w:t>
            </w:r>
          </w:p>
          <w:p w14:paraId="5FB78BF9">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val="zh-CN" w:eastAsia="zh-CN"/>
              </w:rPr>
            </w:pPr>
            <w:r>
              <w:rPr>
                <w:rFonts w:hint="eastAsia"/>
                <w:color w:val="auto"/>
                <w:sz w:val="21"/>
                <w:szCs w:val="21"/>
                <w:highlight w:val="none"/>
                <w:lang w:val="zh-CN" w:eastAsia="zh-CN"/>
              </w:rPr>
              <w:t>优（5分）</w:t>
            </w:r>
            <w:r>
              <w:rPr>
                <w:rFonts w:hint="default"/>
                <w:color w:val="auto"/>
                <w:sz w:val="21"/>
                <w:szCs w:val="21"/>
                <w:highlight w:val="none"/>
                <w:lang w:val="zh-CN" w:eastAsia="zh-CN"/>
              </w:rPr>
              <w:t>：针对该项目的难点、重点详细分析，重点考虑各部分施工如何相互</w:t>
            </w:r>
            <w:r>
              <w:rPr>
                <w:rFonts w:hint="eastAsia"/>
                <w:color w:val="auto"/>
                <w:sz w:val="21"/>
                <w:szCs w:val="21"/>
                <w:highlight w:val="none"/>
                <w:lang w:val="zh-CN" w:eastAsia="zh-CN"/>
              </w:rPr>
              <w:t>交叉和衔接，准确识别 3 项以上项目核心难点（如汛期施工、老旧建筑物修复），每项有 2 项以上应对措施</w:t>
            </w:r>
            <w:r>
              <w:rPr>
                <w:rFonts w:hint="default"/>
                <w:color w:val="auto"/>
                <w:sz w:val="21"/>
                <w:szCs w:val="21"/>
                <w:highlight w:val="none"/>
                <w:lang w:val="zh-CN" w:eastAsia="zh-CN"/>
              </w:rPr>
              <w:t>（如工艺、资源投入、时间节点</w:t>
            </w:r>
            <w:r>
              <w:rPr>
                <w:rFonts w:hint="eastAsia"/>
                <w:color w:val="auto"/>
                <w:sz w:val="21"/>
                <w:szCs w:val="21"/>
                <w:highlight w:val="none"/>
                <w:lang w:val="en-US" w:eastAsia="zh-CN"/>
              </w:rPr>
              <w:t>等</w:t>
            </w:r>
            <w:r>
              <w:rPr>
                <w:rFonts w:hint="default"/>
                <w:color w:val="auto"/>
                <w:sz w:val="21"/>
                <w:szCs w:val="21"/>
                <w:highlight w:val="none"/>
                <w:lang w:val="zh-CN" w:eastAsia="zh-CN"/>
              </w:rPr>
              <w:t>）</w:t>
            </w:r>
            <w:r>
              <w:rPr>
                <w:rFonts w:hint="eastAsia"/>
                <w:color w:val="auto"/>
                <w:sz w:val="21"/>
                <w:szCs w:val="21"/>
                <w:highlight w:val="none"/>
                <w:lang w:val="zh-CN" w:eastAsia="zh-CN"/>
              </w:rPr>
              <w:t xml:space="preserve">，以保证施工质量效果和设计效果的完美统一，。 </w:t>
            </w:r>
          </w:p>
          <w:p w14:paraId="1B304AD5">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val="zh-CN" w:eastAsia="zh-CN"/>
              </w:rPr>
            </w:pPr>
            <w:r>
              <w:rPr>
                <w:rFonts w:hint="eastAsia"/>
                <w:color w:val="auto"/>
                <w:sz w:val="21"/>
                <w:szCs w:val="21"/>
                <w:highlight w:val="none"/>
                <w:lang w:val="zh-CN" w:eastAsia="zh-CN"/>
              </w:rPr>
              <w:t>良（</w:t>
            </w:r>
            <w:r>
              <w:rPr>
                <w:rFonts w:hint="eastAsia"/>
                <w:color w:val="auto"/>
                <w:sz w:val="21"/>
                <w:szCs w:val="21"/>
                <w:highlight w:val="none"/>
                <w:lang w:val="en-US" w:eastAsia="zh-CN"/>
              </w:rPr>
              <w:t>4</w:t>
            </w:r>
            <w:r>
              <w:rPr>
                <w:rFonts w:hint="eastAsia"/>
                <w:color w:val="auto"/>
                <w:sz w:val="21"/>
                <w:szCs w:val="21"/>
                <w:highlight w:val="none"/>
                <w:lang w:val="zh-CN" w:eastAsia="zh-CN"/>
              </w:rPr>
              <w:t>分）：针对该项目的难点、重点分析到位，未重点考虑各部分施工如何相互交叉和衔接，识别 2 项核心难点，每项有 1 项应对措施</w:t>
            </w:r>
            <w:r>
              <w:rPr>
                <w:rFonts w:hint="default"/>
                <w:color w:val="auto"/>
                <w:sz w:val="21"/>
                <w:szCs w:val="21"/>
                <w:highlight w:val="none"/>
                <w:lang w:val="zh-CN" w:eastAsia="zh-CN"/>
              </w:rPr>
              <w:t>（如工艺、资源投入、时间节点</w:t>
            </w:r>
            <w:r>
              <w:rPr>
                <w:rFonts w:hint="eastAsia"/>
                <w:color w:val="auto"/>
                <w:sz w:val="21"/>
                <w:szCs w:val="21"/>
                <w:highlight w:val="none"/>
                <w:lang w:val="en-US" w:eastAsia="zh-CN"/>
              </w:rPr>
              <w:t>等</w:t>
            </w:r>
            <w:r>
              <w:rPr>
                <w:rFonts w:hint="default"/>
                <w:color w:val="auto"/>
                <w:sz w:val="21"/>
                <w:szCs w:val="21"/>
                <w:highlight w:val="none"/>
                <w:lang w:val="zh-CN" w:eastAsia="zh-CN"/>
              </w:rPr>
              <w:t>）</w:t>
            </w:r>
            <w:r>
              <w:rPr>
                <w:rFonts w:hint="eastAsia"/>
                <w:color w:val="auto"/>
                <w:sz w:val="21"/>
                <w:szCs w:val="21"/>
                <w:highlight w:val="none"/>
                <w:lang w:val="zh-CN" w:eastAsia="zh-CN"/>
              </w:rPr>
              <w:t>，施工质量效果基本达到设计效果。</w:t>
            </w:r>
          </w:p>
          <w:p w14:paraId="1AF323A6">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val="zh-CN" w:eastAsia="zh-CN"/>
              </w:rPr>
            </w:pPr>
            <w:r>
              <w:rPr>
                <w:rFonts w:hint="eastAsia"/>
                <w:color w:val="auto"/>
                <w:sz w:val="21"/>
                <w:szCs w:val="21"/>
                <w:highlight w:val="none"/>
                <w:lang w:val="zh-CN" w:eastAsia="zh-CN"/>
              </w:rPr>
              <w:t>中（2分）：针对该项目的难点、重点分析不具体，各部分施工如何相互交叉和衔接不合理，识别 1 项核心难点</w:t>
            </w:r>
            <w:r>
              <w:rPr>
                <w:rFonts w:hint="default"/>
                <w:color w:val="auto"/>
                <w:sz w:val="21"/>
                <w:szCs w:val="21"/>
                <w:highlight w:val="none"/>
                <w:lang w:val="zh-CN" w:eastAsia="zh-CN"/>
              </w:rPr>
              <w:t>（如工艺、资源投入、时间节点</w:t>
            </w:r>
            <w:r>
              <w:rPr>
                <w:rFonts w:hint="eastAsia"/>
                <w:color w:val="auto"/>
                <w:sz w:val="21"/>
                <w:szCs w:val="21"/>
                <w:highlight w:val="none"/>
                <w:lang w:val="en-US" w:eastAsia="zh-CN"/>
              </w:rPr>
              <w:t>等</w:t>
            </w:r>
            <w:r>
              <w:rPr>
                <w:rFonts w:hint="default"/>
                <w:color w:val="auto"/>
                <w:sz w:val="21"/>
                <w:szCs w:val="21"/>
                <w:highlight w:val="none"/>
                <w:lang w:val="zh-CN" w:eastAsia="zh-CN"/>
              </w:rPr>
              <w:t>）</w:t>
            </w:r>
            <w:r>
              <w:rPr>
                <w:rFonts w:hint="eastAsia"/>
                <w:color w:val="auto"/>
                <w:sz w:val="21"/>
                <w:szCs w:val="21"/>
                <w:highlight w:val="none"/>
                <w:lang w:val="zh-CN" w:eastAsia="zh-CN"/>
              </w:rPr>
              <w:t xml:space="preserve">，有基本应对思路，施工质量效果和设计效果有较大差距。 </w:t>
            </w:r>
          </w:p>
          <w:p w14:paraId="364D03EA">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lang w:val="zh-CN" w:eastAsia="zh-CN"/>
              </w:rPr>
            </w:pPr>
            <w:r>
              <w:rPr>
                <w:rFonts w:hint="eastAsia"/>
                <w:color w:val="auto"/>
                <w:sz w:val="21"/>
                <w:szCs w:val="21"/>
                <w:highlight w:val="none"/>
                <w:lang w:val="zh-CN" w:eastAsia="zh-CN"/>
              </w:rPr>
              <w:t>一般（1分）：未针对该项目的难点、重点进行分</w:t>
            </w:r>
            <w:r>
              <w:rPr>
                <w:rFonts w:hint="default"/>
                <w:color w:val="auto"/>
                <w:sz w:val="21"/>
                <w:szCs w:val="21"/>
                <w:highlight w:val="none"/>
                <w:lang w:val="zh-CN" w:eastAsia="zh-CN"/>
              </w:rPr>
              <w:t>析，未考虑各部分施工如何相互交叉和衔接，</w:t>
            </w:r>
            <w:r>
              <w:rPr>
                <w:rFonts w:hint="eastAsia"/>
                <w:color w:val="auto"/>
                <w:sz w:val="21"/>
                <w:szCs w:val="21"/>
                <w:highlight w:val="none"/>
                <w:lang w:val="zh-CN" w:eastAsia="zh-CN"/>
              </w:rPr>
              <w:t>未识别核心难点或应对措施无效，</w:t>
            </w:r>
            <w:r>
              <w:rPr>
                <w:rFonts w:hint="default"/>
                <w:color w:val="auto"/>
                <w:sz w:val="21"/>
                <w:szCs w:val="21"/>
                <w:highlight w:val="none"/>
                <w:lang w:val="zh-CN" w:eastAsia="zh-CN"/>
              </w:rPr>
              <w:t>施工质量效果和设计</w:t>
            </w:r>
            <w:r>
              <w:rPr>
                <w:rFonts w:hint="eastAsia"/>
                <w:color w:val="auto"/>
                <w:sz w:val="21"/>
                <w:szCs w:val="21"/>
                <w:highlight w:val="none"/>
                <w:lang w:val="zh-CN" w:eastAsia="zh-CN"/>
              </w:rPr>
              <w:t>效果</w:t>
            </w:r>
            <w:r>
              <w:rPr>
                <w:rFonts w:hint="default"/>
                <w:color w:val="auto"/>
                <w:sz w:val="21"/>
                <w:szCs w:val="21"/>
                <w:highlight w:val="none"/>
                <w:lang w:val="zh-CN" w:eastAsia="zh-CN"/>
              </w:rPr>
              <w:t>无法统一。</w:t>
            </w:r>
          </w:p>
          <w:p w14:paraId="20580879">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lang w:val="zh-CN" w:eastAsia="zh-CN"/>
              </w:rPr>
            </w:pPr>
            <w:r>
              <w:rPr>
                <w:rFonts w:hint="eastAsia"/>
                <w:color w:val="auto"/>
                <w:sz w:val="21"/>
                <w:szCs w:val="21"/>
                <w:highlight w:val="none"/>
                <w:lang w:val="zh-CN" w:eastAsia="zh-CN"/>
              </w:rPr>
              <w:t>注：未提供不予计分。</w:t>
            </w:r>
          </w:p>
        </w:tc>
      </w:tr>
      <w:tr w14:paraId="644F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0" w:type="auto"/>
            <w:vAlign w:val="center"/>
          </w:tcPr>
          <w:p w14:paraId="1710F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s="宋体"/>
                <w:color w:val="auto"/>
                <w:kern w:val="0"/>
                <w:sz w:val="21"/>
                <w:szCs w:val="21"/>
                <w:highlight w:val="none"/>
              </w:rPr>
              <w:t>施工总平面布置图（</w:t>
            </w:r>
            <w:r>
              <w:rPr>
                <w:rFonts w:hint="eastAsia" w:cs="宋体"/>
                <w:color w:val="auto"/>
                <w:kern w:val="0"/>
                <w:sz w:val="21"/>
                <w:szCs w:val="21"/>
                <w:highlight w:val="none"/>
                <w:lang w:eastAsia="zh-CN"/>
              </w:rPr>
              <w:t>满分5分</w:t>
            </w:r>
            <w:r>
              <w:rPr>
                <w:rFonts w:hint="eastAsia" w:cs="宋体"/>
                <w:color w:val="auto"/>
                <w:kern w:val="0"/>
                <w:sz w:val="21"/>
                <w:szCs w:val="21"/>
                <w:highlight w:val="none"/>
              </w:rPr>
              <w:t>）</w:t>
            </w:r>
          </w:p>
        </w:tc>
        <w:tc>
          <w:tcPr>
            <w:tcW w:w="0" w:type="auto"/>
            <w:gridSpan w:val="2"/>
            <w:vAlign w:val="center"/>
          </w:tcPr>
          <w:p w14:paraId="2D3C18D5">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06F3BDE0">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优（5分）</w:t>
            </w:r>
            <w:r>
              <w:rPr>
                <w:rFonts w:hint="default"/>
                <w:color w:val="auto"/>
                <w:sz w:val="21"/>
                <w:szCs w:val="21"/>
                <w:highlight w:val="none"/>
              </w:rPr>
              <w:t>：总体布置有针对性、合理，</w:t>
            </w:r>
            <w:r>
              <w:rPr>
                <w:rFonts w:hint="eastAsia"/>
                <w:color w:val="auto"/>
                <w:sz w:val="21"/>
                <w:szCs w:val="21"/>
                <w:highlight w:val="none"/>
                <w:lang w:eastAsia="zh-CN"/>
              </w:rPr>
              <w:t>完全</w:t>
            </w:r>
            <w:r>
              <w:rPr>
                <w:rFonts w:hint="default"/>
                <w:color w:val="auto"/>
                <w:sz w:val="21"/>
                <w:szCs w:val="21"/>
                <w:highlight w:val="none"/>
              </w:rPr>
              <w:t>满足施工需要，含临时设施、材料堆场、运输路线、消防设施等 6 项以上要素（如包含办公区、生活区、配电室、</w:t>
            </w:r>
            <w:r>
              <w:rPr>
                <w:rFonts w:hint="eastAsia"/>
                <w:color w:val="auto"/>
                <w:sz w:val="21"/>
                <w:szCs w:val="21"/>
                <w:highlight w:val="none"/>
                <w:lang w:val="en-US" w:eastAsia="zh-CN"/>
              </w:rPr>
              <w:t>材料区、检验区、</w:t>
            </w:r>
            <w:r>
              <w:rPr>
                <w:rFonts w:hint="default"/>
                <w:color w:val="auto"/>
                <w:sz w:val="21"/>
                <w:szCs w:val="21"/>
                <w:highlight w:val="none"/>
              </w:rPr>
              <w:t xml:space="preserve">废水处理设施等），符合安全、文明生产要求。 </w:t>
            </w:r>
          </w:p>
          <w:p w14:paraId="7D685A02">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分）：总体布置合理，能满足施工需要， 含</w:t>
            </w:r>
            <w:r>
              <w:rPr>
                <w:rFonts w:hint="eastAsia"/>
                <w:color w:val="auto"/>
                <w:sz w:val="21"/>
                <w:szCs w:val="21"/>
                <w:highlight w:val="none"/>
                <w:lang w:val="en-US" w:eastAsia="zh-CN"/>
              </w:rPr>
              <w:t>4</w:t>
            </w:r>
            <w:r>
              <w:rPr>
                <w:rFonts w:hint="default"/>
                <w:color w:val="auto"/>
                <w:sz w:val="21"/>
                <w:szCs w:val="21"/>
                <w:highlight w:val="none"/>
              </w:rPr>
              <w:t>项核心要素（如包含办公区、生活区、配电室、</w:t>
            </w:r>
            <w:r>
              <w:rPr>
                <w:rFonts w:hint="eastAsia"/>
                <w:color w:val="auto"/>
                <w:sz w:val="21"/>
                <w:szCs w:val="21"/>
                <w:highlight w:val="none"/>
                <w:lang w:val="en-US" w:eastAsia="zh-CN"/>
              </w:rPr>
              <w:t>材料区、检验区、</w:t>
            </w:r>
            <w:r>
              <w:rPr>
                <w:rFonts w:hint="default"/>
                <w:color w:val="auto"/>
                <w:sz w:val="21"/>
                <w:szCs w:val="21"/>
                <w:highlight w:val="none"/>
              </w:rPr>
              <w:t>废水处理设施等），基本符合安全要求。</w:t>
            </w:r>
          </w:p>
          <w:p w14:paraId="330A0F49">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：总体布置基本合理，含</w:t>
            </w:r>
            <w:r>
              <w:rPr>
                <w:rFonts w:hint="eastAsia"/>
                <w:color w:val="auto"/>
                <w:sz w:val="21"/>
                <w:szCs w:val="21"/>
                <w:highlight w:val="none"/>
                <w:lang w:val="en-US" w:eastAsia="zh-CN"/>
              </w:rPr>
              <w:t>2</w:t>
            </w:r>
            <w:r>
              <w:rPr>
                <w:rFonts w:hint="default"/>
                <w:color w:val="auto"/>
                <w:sz w:val="21"/>
                <w:szCs w:val="21"/>
                <w:highlight w:val="none"/>
              </w:rPr>
              <w:t>项核心要素（如包含办公区、生活区、配电室、</w:t>
            </w:r>
            <w:r>
              <w:rPr>
                <w:rFonts w:hint="eastAsia"/>
                <w:color w:val="auto"/>
                <w:sz w:val="21"/>
                <w:szCs w:val="21"/>
                <w:highlight w:val="none"/>
                <w:lang w:val="en-US" w:eastAsia="zh-CN"/>
              </w:rPr>
              <w:t>材料区、检验区、</w:t>
            </w:r>
            <w:r>
              <w:rPr>
                <w:rFonts w:hint="default"/>
                <w:color w:val="auto"/>
                <w:sz w:val="21"/>
                <w:szCs w:val="21"/>
                <w:highlight w:val="none"/>
              </w:rPr>
              <w:t>废水处理设施等）</w:t>
            </w:r>
            <w:r>
              <w:rPr>
                <w:rFonts w:hint="eastAsia"/>
                <w:color w:val="auto"/>
                <w:sz w:val="21"/>
                <w:szCs w:val="21"/>
                <w:highlight w:val="none"/>
                <w:lang w:eastAsia="zh-CN"/>
              </w:rPr>
              <w:t>，</w:t>
            </w:r>
            <w:r>
              <w:rPr>
                <w:rFonts w:hint="default"/>
                <w:color w:val="auto"/>
                <w:sz w:val="21"/>
                <w:szCs w:val="21"/>
                <w:highlight w:val="none"/>
              </w:rPr>
              <w:t>基本满足施工需要。</w:t>
            </w:r>
          </w:p>
          <w:p w14:paraId="514C948C">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：总体布置不合理，不符合安全、文明生产要求。</w:t>
            </w:r>
          </w:p>
          <w:p w14:paraId="06F70C9B">
            <w:pPr>
              <w:pStyle w:val="43"/>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rPr>
              <w:t>注：未提供不予计分。</w:t>
            </w:r>
          </w:p>
        </w:tc>
      </w:tr>
      <w:tr w14:paraId="1D7C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3EB168B2">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both"/>
              <w:rPr>
                <w:rFonts w:hint="default"/>
                <w:b/>
                <w:bCs/>
                <w:color w:val="auto"/>
                <w:sz w:val="21"/>
                <w:szCs w:val="21"/>
                <w:highlight w:val="none"/>
              </w:rPr>
            </w:pPr>
            <w:r>
              <w:rPr>
                <w:rFonts w:hint="eastAsia"/>
                <w:b/>
                <w:bCs/>
                <w:color w:val="auto"/>
                <w:sz w:val="21"/>
                <w:szCs w:val="21"/>
                <w:highlight w:val="none"/>
                <w:lang w:val="en-US" w:eastAsia="zh-CN"/>
              </w:rPr>
              <w:t>2、报价文件</w:t>
            </w:r>
            <w:r>
              <w:rPr>
                <w:rFonts w:hint="default"/>
                <w:b/>
                <w:bCs/>
                <w:color w:val="auto"/>
                <w:sz w:val="21"/>
                <w:szCs w:val="21"/>
                <w:highlight w:val="none"/>
              </w:rPr>
              <w:t>（满分</w:t>
            </w:r>
            <w:r>
              <w:rPr>
                <w:rFonts w:hint="eastAsia"/>
                <w:b/>
                <w:bCs/>
                <w:color w:val="auto"/>
                <w:sz w:val="21"/>
                <w:szCs w:val="21"/>
                <w:highlight w:val="none"/>
                <w:lang w:val="en-US" w:eastAsia="zh-CN"/>
              </w:rPr>
              <w:t>3</w:t>
            </w:r>
            <w:r>
              <w:rPr>
                <w:rFonts w:hint="eastAsia"/>
                <w:b/>
                <w:bCs/>
                <w:color w:val="auto"/>
                <w:sz w:val="21"/>
                <w:szCs w:val="21"/>
                <w:highlight w:val="none"/>
              </w:rPr>
              <w:t>0</w:t>
            </w:r>
            <w:r>
              <w:rPr>
                <w:rFonts w:hint="default"/>
                <w:b/>
                <w:bCs/>
                <w:color w:val="auto"/>
                <w:sz w:val="21"/>
                <w:szCs w:val="21"/>
                <w:highlight w:val="none"/>
              </w:rPr>
              <w:t>分）</w:t>
            </w:r>
          </w:p>
        </w:tc>
        <w:tc>
          <w:tcPr>
            <w:tcW w:w="0" w:type="auto"/>
            <w:gridSpan w:val="2"/>
            <w:vAlign w:val="top"/>
          </w:tcPr>
          <w:p w14:paraId="05F298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sz w:val="21"/>
                <w:szCs w:val="21"/>
                <w:highlight w:val="none"/>
                <w:lang w:val="zh-CN" w:eastAsia="zh-CN" w:bidi="zh-CN"/>
              </w:rPr>
            </w:pPr>
            <w:r>
              <w:rPr>
                <w:rFonts w:hint="default" w:ascii="宋体" w:hAnsi="宋体" w:eastAsia="宋体" w:cs="宋体"/>
                <w:color w:val="auto"/>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w:t>
            </w:r>
            <w:r>
              <w:rPr>
                <w:rFonts w:hint="eastAsia" w:ascii="宋体" w:hAnsi="宋体" w:cs="宋体"/>
                <w:color w:val="auto"/>
                <w:sz w:val="21"/>
                <w:szCs w:val="21"/>
                <w:highlight w:val="none"/>
                <w:lang w:val="zh-CN" w:eastAsia="zh-CN" w:bidi="zh-CN"/>
              </w:rPr>
              <w:t>价格</w:t>
            </w:r>
            <w:r>
              <w:rPr>
                <w:rFonts w:hint="default" w:ascii="宋体" w:hAnsi="宋体" w:eastAsia="宋体" w:cs="宋体"/>
                <w:color w:val="auto"/>
                <w:sz w:val="21"/>
                <w:szCs w:val="21"/>
                <w:highlight w:val="none"/>
                <w:lang w:val="zh-CN" w:eastAsia="zh-CN" w:bidi="zh-CN"/>
              </w:rPr>
              <w:t>统一按照下列公式计算:</w:t>
            </w:r>
          </w:p>
          <w:p w14:paraId="629AA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lang w:val="en-US"/>
              </w:rPr>
            </w:pPr>
            <w:r>
              <w:rPr>
                <w:rFonts w:hint="default" w:ascii="宋体" w:hAnsi="宋体" w:eastAsia="宋体" w:cs="宋体"/>
                <w:color w:val="auto"/>
                <w:sz w:val="21"/>
                <w:szCs w:val="21"/>
                <w:highlight w:val="none"/>
                <w:lang w:val="zh-CN" w:eastAsia="zh-CN" w:bidi="zh-CN"/>
              </w:rPr>
              <w:t>磋商报价得分=</w:t>
            </w:r>
            <w:r>
              <w:rPr>
                <w:rFonts w:hint="eastAsia" w:ascii="宋体" w:hAnsi="宋体" w:cs="宋体"/>
                <w:color w:val="auto"/>
                <w:sz w:val="21"/>
                <w:szCs w:val="21"/>
                <w:highlight w:val="none"/>
                <w:lang w:val="zh-CN" w:eastAsia="zh-CN" w:bidi="zh-CN"/>
              </w:rPr>
              <w:t>（</w:t>
            </w:r>
            <w:r>
              <w:rPr>
                <w:rFonts w:hint="default" w:ascii="宋体" w:hAnsi="宋体" w:eastAsia="宋体" w:cs="宋体"/>
                <w:color w:val="auto"/>
                <w:sz w:val="21"/>
                <w:szCs w:val="21"/>
                <w:highlight w:val="none"/>
                <w:lang w:val="zh-CN" w:eastAsia="zh-CN" w:bidi="zh-CN"/>
              </w:rPr>
              <w:t>磋商基准价/最后磋商报价</w:t>
            </w:r>
            <w:r>
              <w:rPr>
                <w:rFonts w:hint="eastAsia" w:ascii="宋体" w:hAnsi="宋体" w:cs="宋体"/>
                <w:color w:val="auto"/>
                <w:sz w:val="21"/>
                <w:szCs w:val="21"/>
                <w:highlight w:val="none"/>
                <w:lang w:val="zh-CN" w:eastAsia="zh-CN" w:bidi="zh-CN"/>
              </w:rPr>
              <w:t>）</w:t>
            </w:r>
            <w:r>
              <w:rPr>
                <w:rFonts w:hint="default" w:ascii="宋体" w:hAnsi="宋体" w:eastAsia="宋体" w:cs="宋体"/>
                <w:color w:val="auto"/>
                <w:sz w:val="21"/>
                <w:szCs w:val="21"/>
                <w:highlight w:val="none"/>
                <w:lang w:val="zh-CN" w:eastAsia="zh-CN" w:bidi="zh-CN"/>
              </w:rPr>
              <w:t>×</w:t>
            </w:r>
            <w:r>
              <w:rPr>
                <w:rFonts w:hint="eastAsia" w:ascii="宋体" w:hAnsi="宋体" w:cs="宋体"/>
                <w:color w:val="auto"/>
                <w:sz w:val="21"/>
                <w:szCs w:val="21"/>
                <w:highlight w:val="none"/>
                <w:lang w:val="en-US" w:eastAsia="zh-CN" w:bidi="zh-CN"/>
              </w:rPr>
              <w:t>30</w:t>
            </w:r>
          </w:p>
        </w:tc>
      </w:tr>
      <w:tr w14:paraId="34F3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0" w:type="auto"/>
            <w:vAlign w:val="center"/>
          </w:tcPr>
          <w:p w14:paraId="7EFCAF07">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both"/>
              <w:rPr>
                <w:rFonts w:hint="default"/>
                <w:b/>
                <w:bCs/>
                <w:color w:val="auto"/>
                <w:sz w:val="21"/>
                <w:szCs w:val="21"/>
                <w:highlight w:val="none"/>
                <w:lang w:val="en-US" w:eastAsia="zh-CN"/>
              </w:rPr>
            </w:pPr>
            <w:r>
              <w:rPr>
                <w:rFonts w:hint="eastAsia"/>
                <w:b/>
                <w:bCs/>
                <w:color w:val="auto"/>
                <w:sz w:val="21"/>
                <w:szCs w:val="21"/>
                <w:highlight w:val="none"/>
                <w:lang w:val="en-US" w:eastAsia="zh-CN"/>
              </w:rPr>
              <w:t>3、业绩分（满分5分）</w:t>
            </w:r>
          </w:p>
        </w:tc>
        <w:tc>
          <w:tcPr>
            <w:tcW w:w="0" w:type="auto"/>
            <w:gridSpan w:val="2"/>
            <w:vAlign w:val="top"/>
          </w:tcPr>
          <w:p w14:paraId="6EAA3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sz w:val="21"/>
                <w:szCs w:val="21"/>
                <w:highlight w:val="none"/>
                <w:lang w:val="en-US" w:eastAsia="zh-CN" w:bidi="zh-CN"/>
              </w:rPr>
            </w:pPr>
            <w:r>
              <w:rPr>
                <w:rFonts w:hint="eastAsia" w:ascii="宋体" w:hAnsi="宋体" w:cs="宋体"/>
                <w:color w:val="auto"/>
                <w:sz w:val="21"/>
                <w:szCs w:val="21"/>
                <w:highlight w:val="none"/>
                <w:lang w:val="zh-CN" w:eastAsia="zh-CN" w:bidi="zh-CN"/>
              </w:rPr>
              <w:t>在</w:t>
            </w:r>
            <w:r>
              <w:rPr>
                <w:rFonts w:hint="eastAsia" w:ascii="宋体" w:hAnsi="宋体" w:cs="宋体"/>
                <w:color w:val="auto"/>
                <w:sz w:val="21"/>
                <w:szCs w:val="21"/>
                <w:highlight w:val="none"/>
                <w:lang w:val="en-US" w:eastAsia="zh-CN" w:bidi="zh-CN"/>
              </w:rPr>
              <w:t>投标截止时间前3年内承接过类似灌区维修养护或水利建设工程项目的，每个有效业绩得1分，满分5分（必须提供施工合同或中标（成交）通知书复印件，否则不予计分）</w:t>
            </w:r>
          </w:p>
        </w:tc>
      </w:tr>
    </w:tbl>
    <w:p w14:paraId="66434978">
      <w:pPr>
        <w:numPr>
          <w:ilvl w:val="0"/>
          <w:numId w:val="10"/>
        </w:numP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评标报告</w:t>
      </w:r>
    </w:p>
    <w:p w14:paraId="1D20943D">
      <w:pPr>
        <w:numPr>
          <w:ilvl w:val="0"/>
          <w:numId w:val="0"/>
        </w:num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2E518126">
      <w:pPr>
        <w:spacing w:line="360" w:lineRule="auto"/>
        <w:ind w:firstLine="420" w:firstLineChars="200"/>
        <w:rPr>
          <w:rFonts w:hint="eastAsia" w:ascii="宋体" w:hAnsi="宋体" w:cs="宋体"/>
          <w:color w:val="auto"/>
          <w:sz w:val="28"/>
          <w:szCs w:val="21"/>
          <w:highlight w:val="none"/>
        </w:rPr>
      </w:pPr>
      <w:r>
        <w:rPr>
          <w:rFonts w:hint="eastAsia" w:ascii="宋体" w:hAnsi="宋体"/>
          <w:bCs/>
          <w:color w:val="auto"/>
          <w:sz w:val="21"/>
          <w:szCs w:val="22"/>
          <w:highlight w:val="none"/>
        </w:rPr>
        <w:t>由磋商小组根据综合评分情况，按照评审得分由高到低顺序推荐3名以上成交候选供应商</w:t>
      </w:r>
      <w:r>
        <w:rPr>
          <w:rFonts w:hint="eastAsia" w:ascii="宋体" w:hAnsi="宋体"/>
          <w:bCs/>
          <w:color w:val="auto"/>
          <w:sz w:val="21"/>
          <w:szCs w:val="22"/>
          <w:highlight w:val="none"/>
          <w:lang w:eastAsia="zh-CN"/>
        </w:rPr>
        <w:t>，</w:t>
      </w:r>
      <w:r>
        <w:rPr>
          <w:rFonts w:hint="eastAsia" w:ascii="宋体" w:hAnsi="宋体" w:cs="宋体"/>
          <w:color w:val="auto"/>
          <w:sz w:val="21"/>
          <w:szCs w:val="21"/>
          <w:highlight w:val="none"/>
        </w:rPr>
        <w:t>并在线编写电子评审报告</w:t>
      </w:r>
      <w:r>
        <w:rPr>
          <w:rFonts w:hint="eastAsia" w:ascii="宋体" w:hAnsi="宋体"/>
          <w:bCs/>
          <w:color w:val="auto"/>
          <w:sz w:val="21"/>
          <w:szCs w:val="22"/>
          <w:highlight w:val="none"/>
        </w:rPr>
        <w:t>。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F950CF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40A87986">
      <w:pPr>
        <w:pStyle w:val="47"/>
        <w:spacing w:before="0"/>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FDF6353">
      <w:pPr>
        <w:pStyle w:val="6"/>
        <w:spacing w:before="0" w:after="0" w:line="360" w:lineRule="auto"/>
        <w:ind w:firstLine="482" w:firstLineChars="200"/>
        <w:jc w:val="both"/>
        <w:rPr>
          <w:rFonts w:hint="eastAsia" w:ascii="宋体" w:hAnsi="宋体" w:eastAsia="宋体" w:cs="宋体"/>
          <w:b/>
          <w:bCs/>
          <w:color w:val="auto"/>
          <w:sz w:val="24"/>
          <w:highlight w:val="none"/>
          <w:lang w:val="en-US" w:eastAsia="zh-CN" w:bidi="hi-IN"/>
        </w:rPr>
      </w:pPr>
      <w:bookmarkStart w:id="1602" w:name="_Toc80205936"/>
      <w:bookmarkStart w:id="1603" w:name="_Toc422"/>
      <w:bookmarkStart w:id="1604" w:name="_Toc80886940"/>
      <w:r>
        <w:rPr>
          <w:rFonts w:hint="eastAsia" w:ascii="宋体" w:hAnsi="宋体" w:eastAsia="宋体" w:cs="宋体"/>
          <w:b/>
          <w:bCs/>
          <w:color w:val="auto"/>
          <w:sz w:val="24"/>
          <w:highlight w:val="none"/>
          <w:lang w:val="en-US" w:eastAsia="zh-CN" w:bidi="hi-IN"/>
        </w:rPr>
        <w:t>五、 评审过程的保密与录像</w:t>
      </w:r>
      <w:bookmarkEnd w:id="1602"/>
      <w:bookmarkEnd w:id="1603"/>
      <w:bookmarkEnd w:id="1604"/>
    </w:p>
    <w:p w14:paraId="2CFE825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4271721B">
      <w:pPr>
        <w:widowControl/>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3DBF9C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7A0F359A">
      <w:pPr>
        <w:spacing w:line="360" w:lineRule="auto"/>
        <w:ind w:firstLine="420" w:firstLineChars="200"/>
        <w:rPr>
          <w:rFonts w:hint="eastAsia" w:ascii="宋体" w:hAnsi="宋体" w:cs="宋体"/>
          <w:color w:val="auto"/>
          <w:highlight w:val="none"/>
        </w:rPr>
      </w:pPr>
      <w:r>
        <w:rPr>
          <w:rFonts w:hint="eastAsia" w:ascii="宋体" w:hAnsi="宋体" w:cs="宋体"/>
          <w:color w:val="auto"/>
          <w:sz w:val="21"/>
          <w:szCs w:val="21"/>
          <w:highlight w:val="none"/>
        </w:rPr>
        <w:t>采购代理机构对评审工作现场及操作屏幕进行全过程录音录像，录音录像资料作为采购项目文件随其他文件一并存档</w:t>
      </w:r>
      <w:r>
        <w:rPr>
          <w:rFonts w:hint="eastAsia" w:ascii="宋体" w:hAnsi="宋体" w:cs="宋体"/>
          <w:color w:val="auto"/>
          <w:highlight w:val="none"/>
        </w:rPr>
        <w:t>。</w:t>
      </w:r>
    </w:p>
    <w:p w14:paraId="0EF1EA72">
      <w:pPr>
        <w:pStyle w:val="2"/>
        <w:rPr>
          <w:rFonts w:hint="eastAsia" w:ascii="宋体" w:hAnsi="宋体" w:cs="宋体"/>
          <w:color w:val="auto"/>
          <w:highlight w:val="none"/>
        </w:rPr>
      </w:pPr>
    </w:p>
    <w:p w14:paraId="6546BC48">
      <w:pPr>
        <w:pStyle w:val="2"/>
        <w:rPr>
          <w:rFonts w:hint="eastAsia" w:ascii="宋体" w:hAnsi="宋体" w:cs="宋体"/>
          <w:color w:val="auto"/>
          <w:highlight w:val="none"/>
        </w:rPr>
      </w:pPr>
    </w:p>
    <w:p w14:paraId="24B90BC2">
      <w:pPr>
        <w:pStyle w:val="2"/>
        <w:rPr>
          <w:rFonts w:hint="eastAsia" w:ascii="宋体" w:hAnsi="宋体" w:cs="宋体"/>
          <w:color w:val="auto"/>
          <w:highlight w:val="none"/>
        </w:rPr>
      </w:pPr>
    </w:p>
    <w:p w14:paraId="45F0E25A">
      <w:pPr>
        <w:pStyle w:val="2"/>
        <w:rPr>
          <w:rFonts w:hint="eastAsia" w:ascii="宋体" w:hAnsi="宋体" w:cs="宋体"/>
          <w:color w:val="auto"/>
          <w:highlight w:val="none"/>
        </w:rPr>
      </w:pPr>
    </w:p>
    <w:p w14:paraId="0D33939E">
      <w:pP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175F9B24">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35E8ECEA">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14E27652">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5ADE2A87">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w:t>
      </w:r>
      <w:r>
        <w:rPr>
          <w:rFonts w:hint="eastAsia" w:ascii="宋体" w:hAnsi="宋体"/>
          <w:bCs/>
          <w:color w:val="auto"/>
          <w:sz w:val="21"/>
          <w:szCs w:val="21"/>
          <w:highlight w:val="none"/>
          <w:lang w:eastAsia="zh-CN"/>
        </w:rPr>
        <w:t>初步审查</w:t>
      </w:r>
      <w:r>
        <w:rPr>
          <w:rFonts w:hint="eastAsia" w:ascii="宋体" w:hAnsi="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4AB18E12">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（1）供应商在磋商小组规定的时间内按要求再次以书面形式报价，并由法定代表人或授权代理人签字确认。</w:t>
      </w:r>
    </w:p>
    <w:p w14:paraId="15CCADAA">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64503A67">
      <w:pP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401D111D">
      <w:pP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61D50CA4">
      <w:pP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77FA4C01">
      <w:pPr>
        <w:spacing w:line="360" w:lineRule="auto"/>
        <w:outlineLvl w:val="0"/>
        <w:rPr>
          <w:rFonts w:ascii="宋体" w:hAnsi="宋体"/>
          <w:bCs/>
          <w:color w:val="auto"/>
          <w:sz w:val="21"/>
          <w:szCs w:val="21"/>
          <w:highlight w:val="none"/>
        </w:rPr>
      </w:pPr>
      <w:bookmarkStart w:id="1605" w:name="_Toc20021"/>
      <w:bookmarkStart w:id="1606" w:name="_Toc11678"/>
      <w:r>
        <w:rPr>
          <w:rFonts w:hint="eastAsia" w:ascii="宋体" w:hAnsi="宋体"/>
          <w:bCs/>
          <w:color w:val="auto"/>
          <w:sz w:val="21"/>
          <w:szCs w:val="21"/>
          <w:highlight w:val="none"/>
        </w:rPr>
        <w:t>4、磋商纪律</w:t>
      </w:r>
      <w:bookmarkEnd w:id="1605"/>
      <w:bookmarkEnd w:id="1606"/>
    </w:p>
    <w:p w14:paraId="392C29E6">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3466309A">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58622210">
      <w:pP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w:t>
      </w:r>
      <w:r>
        <w:rPr>
          <w:rFonts w:hint="eastAsia" w:ascii="宋体" w:hAnsi="宋体"/>
          <w:bCs/>
          <w:color w:val="auto"/>
          <w:sz w:val="21"/>
          <w:szCs w:val="21"/>
          <w:highlight w:val="none"/>
          <w:lang w:eastAsia="zh-CN"/>
        </w:rPr>
        <w:t>磋商</w:t>
      </w:r>
      <w:r>
        <w:rPr>
          <w:rFonts w:hint="eastAsia" w:ascii="宋体" w:hAnsi="宋体"/>
          <w:bCs/>
          <w:color w:val="auto"/>
          <w:sz w:val="21"/>
          <w:szCs w:val="21"/>
          <w:highlight w:val="none"/>
        </w:rPr>
        <w:t>结果的任何行为，否则取消其磋商资格。</w:t>
      </w:r>
    </w:p>
    <w:p w14:paraId="2E678A94">
      <w:pPr>
        <w:spacing w:line="360" w:lineRule="auto"/>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w:t>
      </w:r>
      <w:r>
        <w:rPr>
          <w:rFonts w:hint="eastAsia" w:ascii="宋体" w:hAnsi="宋体"/>
          <w:bCs/>
          <w:color w:val="auto"/>
          <w:sz w:val="21"/>
          <w:szCs w:val="21"/>
          <w:highlight w:val="none"/>
          <w:lang w:eastAsia="zh-CN"/>
        </w:rPr>
        <w:t>可以</w:t>
      </w:r>
      <w:r>
        <w:rPr>
          <w:rFonts w:hint="eastAsia" w:ascii="宋体" w:hAnsi="宋体"/>
          <w:bCs/>
          <w:color w:val="auto"/>
          <w:sz w:val="21"/>
          <w:szCs w:val="21"/>
          <w:highlight w:val="none"/>
        </w:rPr>
        <w:t>进行修改，但最终报价必须以书面形式确认。</w:t>
      </w:r>
    </w:p>
    <w:p w14:paraId="31BFF26C">
      <w:pPr>
        <w:spacing w:line="360" w:lineRule="auto"/>
        <w:ind w:firstLine="315" w:firstLineChars="150"/>
        <w:rPr>
          <w:color w:val="auto"/>
          <w:sz w:val="21"/>
          <w:szCs w:val="21"/>
          <w:highlight w:val="none"/>
        </w:rPr>
      </w:pPr>
      <w:r>
        <w:rPr>
          <w:rFonts w:hint="eastAsia" w:ascii="宋体" w:hAnsi="宋体"/>
          <w:bCs/>
          <w:color w:val="auto"/>
          <w:sz w:val="21"/>
          <w:szCs w:val="21"/>
          <w:highlight w:val="none"/>
          <w:lang w:val="en-US" w:eastAsia="zh-CN"/>
        </w:rPr>
        <w:t>5、以上评审方法按照竞争性磋商采购文件要求和相关法律法规进行。</w:t>
      </w:r>
    </w:p>
    <w:p w14:paraId="0403E42B">
      <w:pPr>
        <w:pStyle w:val="35"/>
        <w:rPr>
          <w:rFonts w:hint="eastAsia" w:ascii="宋体" w:hAnsi="宋体"/>
          <w:b/>
          <w:color w:val="auto"/>
          <w:sz w:val="32"/>
          <w:szCs w:val="32"/>
          <w:highlight w:val="none"/>
        </w:rPr>
      </w:pPr>
    </w:p>
    <w:p w14:paraId="4671D4D4">
      <w:pPr>
        <w:pStyle w:val="36"/>
        <w:rPr>
          <w:rFonts w:hint="eastAsia"/>
          <w:color w:val="auto"/>
          <w:highlight w:val="none"/>
        </w:rPr>
      </w:pPr>
    </w:p>
    <w:p w14:paraId="5F51B955">
      <w:pPr>
        <w:pStyle w:val="36"/>
        <w:rPr>
          <w:rFonts w:hint="eastAsia" w:ascii="宋体" w:hAnsi="宋体" w:eastAsia="宋体"/>
          <w:color w:val="auto"/>
          <w:sz w:val="32"/>
          <w:szCs w:val="32"/>
          <w:highlight w:val="none"/>
        </w:rPr>
      </w:pPr>
    </w:p>
    <w:p w14:paraId="5912CD3E">
      <w:pPr>
        <w:pStyle w:val="35"/>
        <w:rPr>
          <w:rFonts w:hint="eastAsia" w:ascii="宋体" w:hAnsi="宋体" w:eastAsia="宋体"/>
          <w:color w:val="auto"/>
          <w:sz w:val="32"/>
          <w:szCs w:val="32"/>
          <w:highlight w:val="none"/>
        </w:rPr>
      </w:pPr>
    </w:p>
    <w:p w14:paraId="7A609784">
      <w:pPr>
        <w:pStyle w:val="36"/>
        <w:rPr>
          <w:rFonts w:hint="eastAsia" w:ascii="宋体" w:hAnsi="宋体" w:eastAsia="宋体"/>
          <w:color w:val="auto"/>
          <w:sz w:val="32"/>
          <w:szCs w:val="32"/>
          <w:highlight w:val="none"/>
        </w:rPr>
      </w:pPr>
    </w:p>
    <w:p w14:paraId="354C3736">
      <w:pPr>
        <w:pStyle w:val="35"/>
        <w:rPr>
          <w:rFonts w:hint="eastAsia" w:ascii="宋体" w:hAnsi="宋体" w:eastAsia="宋体"/>
          <w:color w:val="auto"/>
          <w:sz w:val="32"/>
          <w:szCs w:val="32"/>
          <w:highlight w:val="none"/>
        </w:rPr>
      </w:pPr>
    </w:p>
    <w:p w14:paraId="19ED983D">
      <w:pPr>
        <w:pStyle w:val="35"/>
        <w:rPr>
          <w:rFonts w:hint="eastAsia" w:ascii="宋体" w:hAnsi="宋体" w:eastAsia="宋体"/>
          <w:color w:val="auto"/>
          <w:sz w:val="32"/>
          <w:szCs w:val="32"/>
          <w:highlight w:val="none"/>
        </w:rPr>
      </w:pPr>
    </w:p>
    <w:p w14:paraId="5EECCA47">
      <w:pPr>
        <w:pStyle w:val="36"/>
        <w:rPr>
          <w:rFonts w:hint="eastAsia" w:ascii="宋体" w:hAnsi="宋体" w:eastAsia="宋体"/>
          <w:color w:val="auto"/>
          <w:sz w:val="32"/>
          <w:szCs w:val="32"/>
          <w:highlight w:val="none"/>
        </w:rPr>
      </w:pPr>
    </w:p>
    <w:p w14:paraId="2117E2CD">
      <w:pPr>
        <w:pStyle w:val="35"/>
        <w:rPr>
          <w:rFonts w:hint="eastAsia" w:ascii="宋体" w:hAnsi="宋体" w:eastAsia="宋体"/>
          <w:color w:val="auto"/>
          <w:sz w:val="32"/>
          <w:szCs w:val="32"/>
          <w:highlight w:val="none"/>
        </w:rPr>
      </w:pPr>
    </w:p>
    <w:p w14:paraId="4811EEB6">
      <w:pPr>
        <w:pStyle w:val="36"/>
        <w:rPr>
          <w:rFonts w:hint="eastAsia" w:ascii="宋体" w:hAnsi="宋体" w:eastAsia="宋体"/>
          <w:color w:val="auto"/>
          <w:sz w:val="32"/>
          <w:szCs w:val="32"/>
          <w:highlight w:val="none"/>
        </w:rPr>
      </w:pPr>
    </w:p>
    <w:p w14:paraId="466DEAA4">
      <w:pPr>
        <w:pStyle w:val="35"/>
        <w:rPr>
          <w:rFonts w:hint="eastAsia" w:ascii="宋体" w:hAnsi="宋体" w:eastAsia="宋体"/>
          <w:color w:val="auto"/>
          <w:sz w:val="32"/>
          <w:szCs w:val="32"/>
          <w:highlight w:val="none"/>
        </w:rPr>
      </w:pPr>
    </w:p>
    <w:p w14:paraId="3FB5F104">
      <w:pPr>
        <w:pStyle w:val="36"/>
        <w:rPr>
          <w:rFonts w:hint="eastAsia" w:ascii="宋体" w:hAnsi="宋体" w:eastAsia="宋体"/>
          <w:color w:val="auto"/>
          <w:sz w:val="32"/>
          <w:szCs w:val="32"/>
          <w:highlight w:val="none"/>
        </w:rPr>
      </w:pPr>
    </w:p>
    <w:p w14:paraId="3C0C1C6C">
      <w:pPr>
        <w:pStyle w:val="36"/>
        <w:rPr>
          <w:rFonts w:hint="eastAsia"/>
          <w:color w:val="auto"/>
          <w:highlight w:val="none"/>
        </w:rPr>
      </w:pPr>
    </w:p>
    <w:p w14:paraId="60CCF27F">
      <w:pPr>
        <w:pStyle w:val="35"/>
        <w:spacing w:line="360" w:lineRule="auto"/>
        <w:jc w:val="center"/>
        <w:outlineLvl w:val="0"/>
        <w:rPr>
          <w:rFonts w:hint="eastAsia" w:ascii="宋体" w:hAnsi="宋体"/>
          <w:b/>
          <w:color w:val="auto"/>
          <w:sz w:val="32"/>
          <w:szCs w:val="32"/>
          <w:highlight w:val="none"/>
        </w:rPr>
      </w:pPr>
      <w:bookmarkStart w:id="1607" w:name="_Toc3198"/>
      <w:bookmarkStart w:id="1608" w:name="_Toc4380"/>
      <w:r>
        <w:rPr>
          <w:rFonts w:hint="eastAsia" w:ascii="宋体" w:hAnsi="宋体"/>
          <w:b/>
          <w:color w:val="auto"/>
          <w:sz w:val="32"/>
          <w:szCs w:val="32"/>
          <w:highlight w:val="none"/>
        </w:rPr>
        <w:t>第七章   施工图纸及工程量清单</w:t>
      </w:r>
      <w:bookmarkEnd w:id="1607"/>
      <w:bookmarkEnd w:id="1608"/>
    </w:p>
    <w:p w14:paraId="455E89BD">
      <w:pPr>
        <w:jc w:val="center"/>
        <w:rPr>
          <w:rFonts w:hint="eastAsia" w:eastAsia="宋体"/>
          <w:b/>
          <w:bCs/>
          <w:sz w:val="22"/>
          <w:szCs w:val="22"/>
          <w:lang w:eastAsia="zh-CN"/>
        </w:rPr>
      </w:pPr>
      <w:r>
        <w:rPr>
          <w:rFonts w:hint="eastAsia"/>
          <w:b/>
          <w:bCs/>
          <w:color w:val="auto"/>
          <w:sz w:val="22"/>
          <w:szCs w:val="22"/>
          <w:highlight w:val="none"/>
          <w:lang w:eastAsia="zh-CN"/>
        </w:rPr>
        <w:t>（</w:t>
      </w:r>
      <w:r>
        <w:rPr>
          <w:rFonts w:ascii="Segoe UI" w:hAnsi="Segoe UI" w:eastAsia="Segoe UI" w:cs="Segoe UI"/>
          <w:b/>
          <w:bCs/>
          <w:i w:val="0"/>
          <w:iCs w:val="0"/>
          <w:caps w:val="0"/>
          <w:spacing w:val="0"/>
          <w:sz w:val="32"/>
          <w:szCs w:val="32"/>
          <w:shd w:val="clear" w:fill="FFFFFF"/>
        </w:rPr>
        <w:t>施工图纸及工程量清单随采购文件同步上传至广西政府采购云平台，供应商可自行下载</w:t>
      </w:r>
      <w:r>
        <w:rPr>
          <w:rFonts w:hint="eastAsia"/>
          <w:b/>
          <w:bCs/>
          <w:color w:val="auto"/>
          <w:sz w:val="22"/>
          <w:szCs w:val="22"/>
          <w:highlight w:val="none"/>
          <w:lang w:eastAsia="zh-CN"/>
        </w:rPr>
        <w:t>）</w:t>
      </w:r>
    </w:p>
    <w:sectPr>
      <w:headerReference r:id="rId11" w:type="default"/>
      <w:footerReference r:id="rId12"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60669-1BD5-4E9C-A275-8EF53C649AB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05BB151-E9FB-4AD0-BA6F-B0AA57F021B9}"/>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709DE1E5-1BDA-44DA-A2B7-D682A7F65017}"/>
  </w:font>
  <w:font w:name="方正隶书简体">
    <w:altName w:val="宋体"/>
    <w:panose1 w:val="00000000000000000000"/>
    <w:charset w:val="86"/>
    <w:family w:val="roman"/>
    <w:pitch w:val="default"/>
    <w:sig w:usb0="00000000" w:usb1="00000000" w:usb2="00000000" w:usb3="00000000" w:csb0="00040001" w:csb1="00000000"/>
    <w:embedRegular r:id="rId4" w:fontKey="{3F950D90-F5AB-4484-8B5B-3A1C2DC4FE9B}"/>
  </w:font>
  <w:font w:name="楷体_GB2312">
    <w:panose1 w:val="02010609030101010101"/>
    <w:charset w:val="86"/>
    <w:family w:val="modern"/>
    <w:pitch w:val="default"/>
    <w:sig w:usb0="00000001" w:usb1="080E0000" w:usb2="00000000" w:usb3="00000000" w:csb0="00040000" w:csb1="00000000"/>
    <w:embedRegular r:id="rId5" w:fontKey="{10AFA8F6-58B0-4674-99DD-138461937D26}"/>
  </w:font>
  <w:font w:name="Segoe UI">
    <w:panose1 w:val="020B0502040204020203"/>
    <w:charset w:val="00"/>
    <w:family w:val="auto"/>
    <w:pitch w:val="default"/>
    <w:sig w:usb0="E10022FF" w:usb1="C000E47F" w:usb2="00000029" w:usb3="00000000" w:csb0="200001DF" w:csb1="20000000"/>
    <w:embedRegular r:id="rId6" w:fontKey="{3E2091AA-31AE-4B56-A927-D1E7D4D570A4}"/>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12D98">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0FC2">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Fonts w:hint="eastAsia"/>
      </w:rPr>
      <w:t>６</w:t>
    </w:r>
    <w:r>
      <w:rPr>
        <w:rStyle w:val="30"/>
      </w:rPr>
      <w:fldChar w:fldCharType="end"/>
    </w:r>
  </w:p>
  <w:p w14:paraId="32637BF6">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7E98">
    <w:pPr>
      <w:pStyle w:val="1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7E23F">
    <w:pPr>
      <w:pStyle w:val="4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1B7A">
                          <w:pPr>
                            <w:pStyle w:val="19"/>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02F1B7A">
                    <w:pPr>
                      <w:pStyle w:val="1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3659">
    <w:pPr>
      <w:pStyle w:val="19"/>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1051ED8">
                          <w:pPr>
                            <w:pStyle w:val="19"/>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ZFAcYBAACbAwAADgAAAGRycy9lMm9Eb2MueG1srVNLbtswEN0X6B0I&#10;7mspXjSG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mpI/rbQ6Qx8nQJdYQiVsmhN8v8pv1KS/HYz1UP/9T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BERkUBxgEAAJsDAAAOAAAAAAAAAAEAIAAAAB4BAABkcnMvZTJvRG9jLnht&#10;bFBLBQYAAAAABgAGAFkBAABWBQAAAAA=&#10;">
              <v:fill on="f" focussize="0,0"/>
              <v:stroke on="f"/>
              <v:imagedata o:title=""/>
              <o:lock v:ext="edit" aspectratio="f"/>
              <v:textbox inset="0mm,0mm,0mm,0mm" style="mso-fit-shape-to-text:t;">
                <w:txbxContent>
                  <w:p w14:paraId="01051ED8">
                    <w:pPr>
                      <w:pStyle w:val="19"/>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0D3AC">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5C6DB3">
                          <w:pPr>
                            <w:pStyle w:val="1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5C6DB3">
                    <w:pPr>
                      <w:pStyle w:val="1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8D014">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0530">
    <w:pPr>
      <w:pStyle w:val="20"/>
      <w:pBdr>
        <w:bottom w:val="none" w:color="auto" w:sz="0" w:space="0"/>
      </w:pBdr>
    </w:pPr>
  </w:p>
  <w:p w14:paraId="5CCA760E">
    <w:pPr>
      <w:pStyle w:val="20"/>
      <w:pBdr>
        <w:bottom w:val="none" w:color="auto" w:sz="0" w:space="0"/>
      </w:pBdr>
    </w:pPr>
  </w:p>
  <w:p w14:paraId="48C1BBE5">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E1EF6">
    <w:pPr>
      <w:pStyle w:val="44"/>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3AC1E">
    <w:pPr>
      <w:pStyle w:val="20"/>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8AAF8FF"/>
    <w:multiLevelType w:val="singleLevel"/>
    <w:tmpl w:val="A8AAF8FF"/>
    <w:lvl w:ilvl="0" w:tentative="0">
      <w:start w:val="1"/>
      <w:numFmt w:val="decimal"/>
      <w:suff w:val="nothing"/>
      <w:lvlText w:val="（%1）"/>
      <w:lvlJc w:val="left"/>
    </w:lvl>
  </w:abstractNum>
  <w:abstractNum w:abstractNumId="2">
    <w:nsid w:val="AA34FD10"/>
    <w:multiLevelType w:val="singleLevel"/>
    <w:tmpl w:val="AA34FD10"/>
    <w:lvl w:ilvl="0" w:tentative="0">
      <w:start w:val="1"/>
      <w:numFmt w:val="chineseCounting"/>
      <w:suff w:val="space"/>
      <w:lvlText w:val="第%1章"/>
      <w:lvlJc w:val="left"/>
      <w:rPr>
        <w:rFonts w:hint="eastAsia"/>
      </w:rPr>
    </w:lvl>
  </w:abstractNum>
  <w:abstractNum w:abstractNumId="3">
    <w:nsid w:val="EECBE344"/>
    <w:multiLevelType w:val="singleLevel"/>
    <w:tmpl w:val="EECBE344"/>
    <w:lvl w:ilvl="0" w:tentative="0">
      <w:start w:val="1"/>
      <w:numFmt w:val="decimal"/>
      <w:suff w:val="nothing"/>
      <w:lvlText w:val="（%1）"/>
      <w:lvlJc w:val="left"/>
    </w:lvl>
  </w:abstractNum>
  <w:abstractNum w:abstractNumId="4">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23413310"/>
    <w:multiLevelType w:val="singleLevel"/>
    <w:tmpl w:val="23413310"/>
    <w:lvl w:ilvl="0" w:tentative="0">
      <w:start w:val="3"/>
      <w:numFmt w:val="decimal"/>
      <w:lvlText w:val="%1."/>
      <w:lvlJc w:val="left"/>
      <w:pPr>
        <w:tabs>
          <w:tab w:val="left" w:pos="312"/>
        </w:tabs>
      </w:pPr>
    </w:lvl>
  </w:abstractNum>
  <w:abstractNum w:abstractNumId="7">
    <w:nsid w:val="5498E193"/>
    <w:multiLevelType w:val="singleLevel"/>
    <w:tmpl w:val="5498E193"/>
    <w:lvl w:ilvl="0" w:tentative="0">
      <w:start w:val="11"/>
      <w:numFmt w:val="decimal"/>
      <w:suff w:val="space"/>
      <w:lvlText w:val="%1."/>
      <w:lvlJc w:val="left"/>
    </w:lvl>
  </w:abstractNum>
  <w:abstractNum w:abstractNumId="8">
    <w:nsid w:val="697E4BDF"/>
    <w:multiLevelType w:val="singleLevel"/>
    <w:tmpl w:val="697E4BDF"/>
    <w:lvl w:ilvl="0" w:tentative="0">
      <w:start w:val="5"/>
      <w:numFmt w:val="decimal"/>
      <w:suff w:val="nothing"/>
      <w:lvlText w:val="%1、"/>
      <w:lvlJc w:val="left"/>
    </w:lvl>
  </w:abstractNum>
  <w:abstractNum w:abstractNumId="9">
    <w:nsid w:val="76D49BAE"/>
    <w:multiLevelType w:val="singleLevel"/>
    <w:tmpl w:val="76D49BAE"/>
    <w:lvl w:ilvl="0" w:tentative="0">
      <w:start w:val="5"/>
      <w:numFmt w:val="chineseCounting"/>
      <w:suff w:val="nothing"/>
      <w:lvlText w:val="%1、"/>
      <w:lvlJc w:val="left"/>
      <w:rPr>
        <w:rFonts w:hint="eastAsia"/>
      </w:rPr>
    </w:lvl>
  </w:abstractNum>
  <w:num w:numId="1">
    <w:abstractNumId w:val="2"/>
  </w:num>
  <w:num w:numId="2">
    <w:abstractNumId w:val="9"/>
  </w:num>
  <w:num w:numId="3">
    <w:abstractNumId w:val="6"/>
  </w:num>
  <w:num w:numId="4">
    <w:abstractNumId w:val="8"/>
  </w:num>
  <w:num w:numId="5">
    <w:abstractNumId w:val="0"/>
  </w:num>
  <w:num w:numId="6">
    <w:abstractNumId w:val="5"/>
  </w:num>
  <w:num w:numId="7">
    <w:abstractNumId w:val="1"/>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NU6+TN8bk51PcKob09lTM4Pb1Gw=" w:salt="Y0kdBdEg6zawapidp5ZRfg=="/>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N2Q2N2Q5ZGNhOWFlMDAwOWM1NjNjZjA2MzQ0ZGUifQ=="/>
  </w:docVars>
  <w:rsids>
    <w:rsidRoot w:val="54F246F3"/>
    <w:rsid w:val="002027AF"/>
    <w:rsid w:val="00A35C92"/>
    <w:rsid w:val="01B34312"/>
    <w:rsid w:val="023511A1"/>
    <w:rsid w:val="02E01C47"/>
    <w:rsid w:val="030C4C45"/>
    <w:rsid w:val="0412497B"/>
    <w:rsid w:val="04F62108"/>
    <w:rsid w:val="051E0804"/>
    <w:rsid w:val="053A54FB"/>
    <w:rsid w:val="055F58C5"/>
    <w:rsid w:val="066905FD"/>
    <w:rsid w:val="06731F0E"/>
    <w:rsid w:val="06C9165F"/>
    <w:rsid w:val="06CB57BF"/>
    <w:rsid w:val="071F55C0"/>
    <w:rsid w:val="090745A8"/>
    <w:rsid w:val="09176EE3"/>
    <w:rsid w:val="091E79DC"/>
    <w:rsid w:val="09593447"/>
    <w:rsid w:val="09A52B8C"/>
    <w:rsid w:val="09EF63D8"/>
    <w:rsid w:val="0A0C5848"/>
    <w:rsid w:val="0AD457D5"/>
    <w:rsid w:val="0B005F5D"/>
    <w:rsid w:val="0BB02781"/>
    <w:rsid w:val="0BB50C28"/>
    <w:rsid w:val="0BFB2792"/>
    <w:rsid w:val="0C3A0683"/>
    <w:rsid w:val="0C536B2D"/>
    <w:rsid w:val="0D1218E4"/>
    <w:rsid w:val="0E3D4936"/>
    <w:rsid w:val="0E6049DB"/>
    <w:rsid w:val="0FF27563"/>
    <w:rsid w:val="101A7939"/>
    <w:rsid w:val="1050630F"/>
    <w:rsid w:val="109F51B3"/>
    <w:rsid w:val="10D25C88"/>
    <w:rsid w:val="112721EE"/>
    <w:rsid w:val="11440B1A"/>
    <w:rsid w:val="117429AC"/>
    <w:rsid w:val="11C11B68"/>
    <w:rsid w:val="12123139"/>
    <w:rsid w:val="12165F7C"/>
    <w:rsid w:val="128424D9"/>
    <w:rsid w:val="128D4776"/>
    <w:rsid w:val="12F35C08"/>
    <w:rsid w:val="131D034D"/>
    <w:rsid w:val="1324110B"/>
    <w:rsid w:val="13382F7C"/>
    <w:rsid w:val="13500F2D"/>
    <w:rsid w:val="14A40C86"/>
    <w:rsid w:val="157F49CF"/>
    <w:rsid w:val="15E40F64"/>
    <w:rsid w:val="15F81A97"/>
    <w:rsid w:val="16024CD6"/>
    <w:rsid w:val="162271F9"/>
    <w:rsid w:val="16592588"/>
    <w:rsid w:val="167223F0"/>
    <w:rsid w:val="16B965DF"/>
    <w:rsid w:val="16E8540C"/>
    <w:rsid w:val="17716417"/>
    <w:rsid w:val="182030CC"/>
    <w:rsid w:val="19A1391A"/>
    <w:rsid w:val="19B56C9A"/>
    <w:rsid w:val="1C7E55CF"/>
    <w:rsid w:val="1D715D71"/>
    <w:rsid w:val="1D7F054E"/>
    <w:rsid w:val="1D9864DE"/>
    <w:rsid w:val="1E7A4E5A"/>
    <w:rsid w:val="1F404DD2"/>
    <w:rsid w:val="1FE77392"/>
    <w:rsid w:val="20C06808"/>
    <w:rsid w:val="20CF3CE7"/>
    <w:rsid w:val="20DD2CF7"/>
    <w:rsid w:val="21EB5A51"/>
    <w:rsid w:val="22327245"/>
    <w:rsid w:val="22385AFF"/>
    <w:rsid w:val="223B0A51"/>
    <w:rsid w:val="225D7B60"/>
    <w:rsid w:val="238021F7"/>
    <w:rsid w:val="24BE3012"/>
    <w:rsid w:val="25170E91"/>
    <w:rsid w:val="253D2794"/>
    <w:rsid w:val="257E3626"/>
    <w:rsid w:val="2628728A"/>
    <w:rsid w:val="26612BE0"/>
    <w:rsid w:val="270B7127"/>
    <w:rsid w:val="276960C1"/>
    <w:rsid w:val="27B60C96"/>
    <w:rsid w:val="28292E99"/>
    <w:rsid w:val="2842007B"/>
    <w:rsid w:val="284D6D68"/>
    <w:rsid w:val="28C87BD6"/>
    <w:rsid w:val="29554194"/>
    <w:rsid w:val="29DD1C30"/>
    <w:rsid w:val="2A272532"/>
    <w:rsid w:val="2A28618B"/>
    <w:rsid w:val="2A37190A"/>
    <w:rsid w:val="2A3D1054"/>
    <w:rsid w:val="2A6D60EE"/>
    <w:rsid w:val="2AA77BC3"/>
    <w:rsid w:val="2ABC734E"/>
    <w:rsid w:val="2B88422F"/>
    <w:rsid w:val="2B952D9C"/>
    <w:rsid w:val="2C0559CB"/>
    <w:rsid w:val="2C9F3729"/>
    <w:rsid w:val="2D67115C"/>
    <w:rsid w:val="2D683E6D"/>
    <w:rsid w:val="2DA955AB"/>
    <w:rsid w:val="2F9810E3"/>
    <w:rsid w:val="2FF73BA9"/>
    <w:rsid w:val="309E134B"/>
    <w:rsid w:val="30D0400A"/>
    <w:rsid w:val="33A71948"/>
    <w:rsid w:val="33B67FF6"/>
    <w:rsid w:val="34620568"/>
    <w:rsid w:val="34CC52D7"/>
    <w:rsid w:val="3550491B"/>
    <w:rsid w:val="35B83119"/>
    <w:rsid w:val="363634B7"/>
    <w:rsid w:val="3639702B"/>
    <w:rsid w:val="373E5D13"/>
    <w:rsid w:val="378676A1"/>
    <w:rsid w:val="37E8011B"/>
    <w:rsid w:val="38282C21"/>
    <w:rsid w:val="39467D8B"/>
    <w:rsid w:val="39494261"/>
    <w:rsid w:val="395169EF"/>
    <w:rsid w:val="39BF6F5A"/>
    <w:rsid w:val="3A477BE0"/>
    <w:rsid w:val="3A9657FF"/>
    <w:rsid w:val="3AA459E7"/>
    <w:rsid w:val="3BC94845"/>
    <w:rsid w:val="3C5502A8"/>
    <w:rsid w:val="3CAE03B6"/>
    <w:rsid w:val="3CC86CCC"/>
    <w:rsid w:val="3CD043D5"/>
    <w:rsid w:val="3D91058D"/>
    <w:rsid w:val="3E304B29"/>
    <w:rsid w:val="3E36702A"/>
    <w:rsid w:val="3EEA1A03"/>
    <w:rsid w:val="3EF43DA9"/>
    <w:rsid w:val="3F530122"/>
    <w:rsid w:val="3F9D6704"/>
    <w:rsid w:val="4064002A"/>
    <w:rsid w:val="413C678F"/>
    <w:rsid w:val="41517290"/>
    <w:rsid w:val="4172517C"/>
    <w:rsid w:val="41952473"/>
    <w:rsid w:val="41B67CD7"/>
    <w:rsid w:val="420C5218"/>
    <w:rsid w:val="4232605F"/>
    <w:rsid w:val="429D4387"/>
    <w:rsid w:val="42CC46C8"/>
    <w:rsid w:val="42FB3958"/>
    <w:rsid w:val="432F233E"/>
    <w:rsid w:val="44015204"/>
    <w:rsid w:val="4408426B"/>
    <w:rsid w:val="449F74D0"/>
    <w:rsid w:val="459E6943"/>
    <w:rsid w:val="46291052"/>
    <w:rsid w:val="462F56C6"/>
    <w:rsid w:val="46571466"/>
    <w:rsid w:val="46A40FA9"/>
    <w:rsid w:val="46AC528C"/>
    <w:rsid w:val="46E37CCC"/>
    <w:rsid w:val="471368FC"/>
    <w:rsid w:val="47202054"/>
    <w:rsid w:val="47212364"/>
    <w:rsid w:val="483A6747"/>
    <w:rsid w:val="489C2ECF"/>
    <w:rsid w:val="48D22655"/>
    <w:rsid w:val="49A9688F"/>
    <w:rsid w:val="49B542D6"/>
    <w:rsid w:val="49D27F33"/>
    <w:rsid w:val="4A1009F7"/>
    <w:rsid w:val="4A3F3133"/>
    <w:rsid w:val="4B447E66"/>
    <w:rsid w:val="4B650E36"/>
    <w:rsid w:val="4BFE2ECA"/>
    <w:rsid w:val="4C0A4957"/>
    <w:rsid w:val="4CC67565"/>
    <w:rsid w:val="4D0A092E"/>
    <w:rsid w:val="4D724BB0"/>
    <w:rsid w:val="4F422A08"/>
    <w:rsid w:val="4F52428A"/>
    <w:rsid w:val="4F5F78A0"/>
    <w:rsid w:val="4FB5642B"/>
    <w:rsid w:val="4FD96636"/>
    <w:rsid w:val="506E408B"/>
    <w:rsid w:val="50E778EC"/>
    <w:rsid w:val="50EA2026"/>
    <w:rsid w:val="5155508B"/>
    <w:rsid w:val="517D2C22"/>
    <w:rsid w:val="51885E41"/>
    <w:rsid w:val="51BA49DD"/>
    <w:rsid w:val="51C21AE4"/>
    <w:rsid w:val="52FC4970"/>
    <w:rsid w:val="537C3595"/>
    <w:rsid w:val="53E76A21"/>
    <w:rsid w:val="54342B51"/>
    <w:rsid w:val="545A4256"/>
    <w:rsid w:val="54A7497D"/>
    <w:rsid w:val="54F246F3"/>
    <w:rsid w:val="552D4E0B"/>
    <w:rsid w:val="55604FD5"/>
    <w:rsid w:val="55E458B0"/>
    <w:rsid w:val="5618081B"/>
    <w:rsid w:val="56C5399A"/>
    <w:rsid w:val="571D70FC"/>
    <w:rsid w:val="572A03E1"/>
    <w:rsid w:val="57511389"/>
    <w:rsid w:val="579B0E0D"/>
    <w:rsid w:val="57CF589D"/>
    <w:rsid w:val="58DB130A"/>
    <w:rsid w:val="59A541C5"/>
    <w:rsid w:val="5A232B92"/>
    <w:rsid w:val="5A3F1DEC"/>
    <w:rsid w:val="5A4D2FA3"/>
    <w:rsid w:val="5AFE55D9"/>
    <w:rsid w:val="5B334B73"/>
    <w:rsid w:val="5B823F90"/>
    <w:rsid w:val="5C071E66"/>
    <w:rsid w:val="5C55629B"/>
    <w:rsid w:val="5CA31DF4"/>
    <w:rsid w:val="5D480DFC"/>
    <w:rsid w:val="5DDA108E"/>
    <w:rsid w:val="5EC734CA"/>
    <w:rsid w:val="5FC046E2"/>
    <w:rsid w:val="60D77618"/>
    <w:rsid w:val="61132125"/>
    <w:rsid w:val="61280E76"/>
    <w:rsid w:val="61DA0220"/>
    <w:rsid w:val="62AD632D"/>
    <w:rsid w:val="644B4AAF"/>
    <w:rsid w:val="64527B22"/>
    <w:rsid w:val="64A930CD"/>
    <w:rsid w:val="655E0BCB"/>
    <w:rsid w:val="65B35CAB"/>
    <w:rsid w:val="65BF7472"/>
    <w:rsid w:val="65CD5006"/>
    <w:rsid w:val="663544CE"/>
    <w:rsid w:val="68920B0B"/>
    <w:rsid w:val="68B97345"/>
    <w:rsid w:val="68BC0BE4"/>
    <w:rsid w:val="68E904E1"/>
    <w:rsid w:val="69C82B4D"/>
    <w:rsid w:val="69EB0AAC"/>
    <w:rsid w:val="6A2776DE"/>
    <w:rsid w:val="6A2829D5"/>
    <w:rsid w:val="6AF528AA"/>
    <w:rsid w:val="6AFB6ED0"/>
    <w:rsid w:val="6B0531B4"/>
    <w:rsid w:val="6B087C0C"/>
    <w:rsid w:val="6B76151E"/>
    <w:rsid w:val="6BAE406B"/>
    <w:rsid w:val="6BE07517"/>
    <w:rsid w:val="6C070D0B"/>
    <w:rsid w:val="6D8B497C"/>
    <w:rsid w:val="6DC13221"/>
    <w:rsid w:val="6DE06E27"/>
    <w:rsid w:val="6E273A79"/>
    <w:rsid w:val="6EBD2F41"/>
    <w:rsid w:val="708C17E3"/>
    <w:rsid w:val="70E84778"/>
    <w:rsid w:val="71781C4C"/>
    <w:rsid w:val="721010FB"/>
    <w:rsid w:val="723E52ED"/>
    <w:rsid w:val="727644F9"/>
    <w:rsid w:val="72C46C87"/>
    <w:rsid w:val="72F943F2"/>
    <w:rsid w:val="73A81E31"/>
    <w:rsid w:val="73C03FFE"/>
    <w:rsid w:val="741D4694"/>
    <w:rsid w:val="74377176"/>
    <w:rsid w:val="74736BDD"/>
    <w:rsid w:val="75587EE6"/>
    <w:rsid w:val="7599649C"/>
    <w:rsid w:val="768B4D49"/>
    <w:rsid w:val="768C3D6E"/>
    <w:rsid w:val="7727635A"/>
    <w:rsid w:val="77DF12DF"/>
    <w:rsid w:val="77E17995"/>
    <w:rsid w:val="795443BD"/>
    <w:rsid w:val="79CF730C"/>
    <w:rsid w:val="7A160FF1"/>
    <w:rsid w:val="7ADC3C75"/>
    <w:rsid w:val="7AE91634"/>
    <w:rsid w:val="7B6F1D5A"/>
    <w:rsid w:val="7CA51C63"/>
    <w:rsid w:val="7CCB2423"/>
    <w:rsid w:val="7D373A6D"/>
    <w:rsid w:val="7DE42296"/>
    <w:rsid w:val="7E9C48E7"/>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lang w:val="en-US" w:eastAsia="zh-CN" w:bidi="hi-IN"/>
    </w:rPr>
  </w:style>
  <w:style w:type="paragraph" w:styleId="5">
    <w:name w:val="heading 1"/>
    <w:basedOn w:val="1"/>
    <w:next w:val="1"/>
    <w:autoRedefine/>
    <w:qFormat/>
    <w:uiPriority w:val="99"/>
    <w:pPr>
      <w:keepNext/>
      <w:keepLines/>
      <w:spacing w:line="400" w:lineRule="exact"/>
      <w:outlineLvl w:val="0"/>
    </w:pPr>
    <w:rPr>
      <w:b/>
      <w:kern w:val="0"/>
      <w:sz w:val="44"/>
    </w:rPr>
  </w:style>
  <w:style w:type="paragraph" w:styleId="6">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7">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8">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paragraph" w:styleId="9">
    <w:name w:val="heading 5"/>
    <w:basedOn w:val="1"/>
    <w:next w:val="1"/>
    <w:qFormat/>
    <w:uiPriority w:val="0"/>
    <w:pPr>
      <w:keepNext/>
      <w:keepLines/>
      <w:spacing w:before="280" w:after="290" w:line="372" w:lineRule="auto"/>
      <w:outlineLvl w:val="4"/>
    </w:pPr>
    <w:rPr>
      <w:b/>
      <w:bCs/>
      <w:sz w:val="28"/>
      <w:szCs w:val="28"/>
    </w:rPr>
  </w:style>
  <w:style w:type="character" w:default="1" w:styleId="29">
    <w:name w:val="Default Paragraph Font"/>
    <w:autoRedefine/>
    <w:semiHidden/>
    <w:qFormat/>
    <w:uiPriority w:val="0"/>
  </w:style>
  <w:style w:type="table" w:default="1" w:styleId="2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autoRedefine/>
    <w:qFormat/>
    <w:uiPriority w:val="0"/>
    <w:pPr>
      <w:jc w:val="left"/>
    </w:pPr>
    <w:rPr>
      <w:bCs/>
      <w:spacing w:val="10"/>
      <w:sz w:val="24"/>
    </w:rPr>
  </w:style>
  <w:style w:type="paragraph" w:styleId="3">
    <w:name w:val="Body Text Indent"/>
    <w:basedOn w:val="1"/>
    <w:next w:val="4"/>
    <w:autoRedefine/>
    <w:qFormat/>
    <w:uiPriority w:val="0"/>
    <w:pPr>
      <w:spacing w:line="200" w:lineRule="exact"/>
      <w:ind w:firstLine="301"/>
    </w:pPr>
    <w:rPr>
      <w:rFonts w:ascii="宋体" w:hAnsi="Courier New"/>
      <w:spacing w:val="-4"/>
      <w:sz w:val="18"/>
    </w:rPr>
  </w:style>
  <w:style w:type="paragraph" w:customStyle="1" w:styleId="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0">
    <w:name w:val="Normal Indent"/>
    <w:basedOn w:val="1"/>
    <w:autoRedefine/>
    <w:qFormat/>
    <w:uiPriority w:val="0"/>
    <w:pPr>
      <w:widowControl/>
      <w:ind w:firstLine="420"/>
      <w:jc w:val="left"/>
    </w:pPr>
    <w:rPr>
      <w:kern w:val="0"/>
      <w:sz w:val="20"/>
    </w:rPr>
  </w:style>
  <w:style w:type="paragraph" w:styleId="11">
    <w:name w:val="toa heading"/>
    <w:basedOn w:val="1"/>
    <w:next w:val="1"/>
    <w:autoRedefine/>
    <w:qFormat/>
    <w:uiPriority w:val="0"/>
    <w:rPr>
      <w:rFonts w:ascii="Arial" w:hAnsi="Arial" w:eastAsia="宋体" w:cs="Times New Roman"/>
      <w:sz w:val="24"/>
    </w:rPr>
  </w:style>
  <w:style w:type="paragraph" w:styleId="12">
    <w:name w:val="annotation text"/>
    <w:basedOn w:val="1"/>
    <w:autoRedefine/>
    <w:qFormat/>
    <w:uiPriority w:val="0"/>
    <w:pPr>
      <w:jc w:val="left"/>
    </w:pPr>
  </w:style>
  <w:style w:type="paragraph" w:styleId="13">
    <w:name w:val="index 6"/>
    <w:basedOn w:val="1"/>
    <w:next w:val="1"/>
    <w:autoRedefine/>
    <w:qFormat/>
    <w:uiPriority w:val="0"/>
    <w:pPr>
      <w:ind w:left="1000" w:leftChars="1000"/>
    </w:pPr>
  </w:style>
  <w:style w:type="paragraph" w:styleId="14">
    <w:name w:val="Body Text"/>
    <w:basedOn w:val="1"/>
    <w:next w:val="1"/>
    <w:autoRedefine/>
    <w:semiHidden/>
    <w:qFormat/>
    <w:uiPriority w:val="0"/>
    <w:pPr>
      <w:spacing w:after="120"/>
    </w:pPr>
  </w:style>
  <w:style w:type="paragraph" w:styleId="15">
    <w:name w:val="toc 3"/>
    <w:basedOn w:val="1"/>
    <w:next w:val="1"/>
    <w:qFormat/>
    <w:uiPriority w:val="0"/>
    <w:pPr>
      <w:ind w:left="840" w:leftChars="400"/>
    </w:pPr>
  </w:style>
  <w:style w:type="paragraph" w:styleId="16">
    <w:name w:val="Plain Text"/>
    <w:basedOn w:val="1"/>
    <w:autoRedefine/>
    <w:qFormat/>
    <w:uiPriority w:val="99"/>
    <w:rPr>
      <w:rFonts w:ascii="宋体" w:hAnsi="宋体"/>
    </w:rPr>
  </w:style>
  <w:style w:type="paragraph" w:styleId="17">
    <w:name w:val="Date"/>
    <w:basedOn w:val="1"/>
    <w:next w:val="1"/>
    <w:autoRedefine/>
    <w:qFormat/>
    <w:uiPriority w:val="0"/>
    <w:rPr>
      <w:rFonts w:ascii="宋体"/>
      <w:color w:val="000000"/>
      <w:kern w:val="0"/>
      <w:sz w:val="30"/>
    </w:rPr>
  </w:style>
  <w:style w:type="paragraph" w:styleId="18">
    <w:name w:val="Body Text Indent 2"/>
    <w:basedOn w:val="1"/>
    <w:qFormat/>
    <w:uiPriority w:val="0"/>
    <w:pPr>
      <w:spacing w:after="120" w:line="480" w:lineRule="auto"/>
      <w:ind w:left="420" w:leftChars="200"/>
    </w:pPr>
  </w:style>
  <w:style w:type="paragraph" w:styleId="19">
    <w:name w:val="footer"/>
    <w:basedOn w:val="1"/>
    <w:autoRedefine/>
    <w:qFormat/>
    <w:uiPriority w:val="99"/>
    <w:pPr>
      <w:tabs>
        <w:tab w:val="center" w:pos="4153"/>
        <w:tab w:val="right" w:pos="8306"/>
      </w:tabs>
      <w:snapToGrid w:val="0"/>
      <w:jc w:val="left"/>
    </w:pPr>
    <w:rPr>
      <w:rFonts w:cs="Mangal"/>
      <w:sz w:val="18"/>
      <w:szCs w:val="16"/>
    </w:rPr>
  </w:style>
  <w:style w:type="paragraph" w:styleId="20">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style>
  <w:style w:type="paragraph" w:styleId="22">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2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4">
    <w:name w:val="index 1"/>
    <w:basedOn w:val="1"/>
    <w:next w:val="1"/>
    <w:autoRedefine/>
    <w:qFormat/>
    <w:uiPriority w:val="99"/>
  </w:style>
  <w:style w:type="paragraph" w:styleId="25">
    <w:name w:val="Title"/>
    <w:basedOn w:val="1"/>
    <w:next w:val="1"/>
    <w:autoRedefine/>
    <w:qFormat/>
    <w:uiPriority w:val="10"/>
    <w:pPr>
      <w:spacing w:before="240" w:after="60"/>
      <w:jc w:val="center"/>
      <w:outlineLvl w:val="0"/>
    </w:pPr>
    <w:rPr>
      <w:rFonts w:ascii="Cambria" w:hAnsi="Cambria"/>
      <w:b/>
      <w:bCs/>
      <w:sz w:val="32"/>
      <w:szCs w:val="32"/>
    </w:rPr>
  </w:style>
  <w:style w:type="paragraph" w:styleId="26">
    <w:name w:val="Body Text First Indent 2"/>
    <w:basedOn w:val="3"/>
    <w:autoRedefine/>
    <w:unhideWhenUsed/>
    <w:qFormat/>
    <w:uiPriority w:val="99"/>
    <w:pPr>
      <w:ind w:firstLine="420" w:firstLineChars="200"/>
    </w:pPr>
  </w:style>
  <w:style w:type="table" w:styleId="28">
    <w:name w:val="Table Grid"/>
    <w:basedOn w:val="27"/>
    <w:autoRedefine/>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0">
    <w:name w:val="page number"/>
    <w:basedOn w:val="29"/>
    <w:autoRedefine/>
    <w:qFormat/>
    <w:uiPriority w:val="99"/>
    <w:rPr>
      <w:rFonts w:cs="Times New Roman"/>
    </w:rPr>
  </w:style>
  <w:style w:type="character" w:styleId="31">
    <w:name w:val="FollowedHyperlink"/>
    <w:basedOn w:val="29"/>
    <w:autoRedefine/>
    <w:qFormat/>
    <w:uiPriority w:val="0"/>
    <w:rPr>
      <w:color w:val="800080"/>
      <w:u w:val="none"/>
    </w:rPr>
  </w:style>
  <w:style w:type="character" w:styleId="32">
    <w:name w:val="HTML Sample"/>
    <w:basedOn w:val="29"/>
    <w:qFormat/>
    <w:uiPriority w:val="0"/>
    <w:rPr>
      <w:rFonts w:ascii="Courier New" w:hAnsi="Courier New"/>
    </w:rPr>
  </w:style>
  <w:style w:type="paragraph" w:customStyle="1" w:styleId="33">
    <w:name w:val="BodyText1I2"/>
    <w:basedOn w:val="34"/>
    <w:autoRedefine/>
    <w:qFormat/>
    <w:uiPriority w:val="0"/>
    <w:pPr>
      <w:ind w:firstLine="200" w:firstLineChars="200"/>
    </w:pPr>
  </w:style>
  <w:style w:type="paragraph" w:customStyle="1" w:styleId="34">
    <w:name w:val="BodyTextIndent"/>
    <w:basedOn w:val="1"/>
    <w:autoRedefine/>
    <w:qFormat/>
    <w:uiPriority w:val="0"/>
    <w:pPr>
      <w:spacing w:after="120"/>
      <w:ind w:left="420" w:leftChars="200"/>
    </w:pPr>
  </w:style>
  <w:style w:type="paragraph" w:customStyle="1" w:styleId="35">
    <w:name w:val="正文1"/>
    <w:next w:val="3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正文文本1"/>
    <w:basedOn w:val="35"/>
    <w:next w:val="35"/>
    <w:autoRedefine/>
    <w:qFormat/>
    <w:uiPriority w:val="0"/>
    <w:rPr>
      <w:rFonts w:ascii="金山简黑体" w:hAnsi="金山简黑体" w:eastAsia="金山简黑体"/>
      <w:b/>
      <w:spacing w:val="-8"/>
      <w:sz w:val="44"/>
      <w:szCs w:val="20"/>
    </w:rPr>
  </w:style>
  <w:style w:type="paragraph" w:customStyle="1" w:styleId="37">
    <w:name w:val="目录 11"/>
    <w:basedOn w:val="35"/>
    <w:next w:val="35"/>
    <w:autoRedefine/>
    <w:qFormat/>
    <w:uiPriority w:val="39"/>
    <w:pPr>
      <w:tabs>
        <w:tab w:val="right" w:leader="dot" w:pos="9628"/>
      </w:tabs>
    </w:pPr>
    <w:rPr>
      <w:rFonts w:ascii="宋体" w:hAnsi="宋体"/>
      <w:b/>
      <w:color w:val="000000"/>
      <w:sz w:val="32"/>
      <w:szCs w:val="32"/>
    </w:rPr>
  </w:style>
  <w:style w:type="paragraph" w:customStyle="1" w:styleId="38">
    <w:name w:val="正文缩进1"/>
    <w:basedOn w:val="35"/>
    <w:autoRedefine/>
    <w:qFormat/>
    <w:uiPriority w:val="0"/>
    <w:pPr>
      <w:spacing w:line="200" w:lineRule="exact"/>
      <w:ind w:firstLine="301"/>
    </w:pPr>
    <w:rPr>
      <w:rFonts w:ascii="宋体" w:hAnsi="宋体"/>
      <w:spacing w:val="-4"/>
      <w:sz w:val="18"/>
      <w:szCs w:val="20"/>
    </w:rPr>
  </w:style>
  <w:style w:type="paragraph" w:customStyle="1" w:styleId="39">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0">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1">
    <w:name w:val="标题 31"/>
    <w:basedOn w:val="35"/>
    <w:next w:val="35"/>
    <w:autoRedefine/>
    <w:qFormat/>
    <w:uiPriority w:val="0"/>
    <w:pPr>
      <w:keepNext/>
      <w:keepLines/>
      <w:spacing w:before="260" w:after="260" w:line="415" w:lineRule="auto"/>
      <w:outlineLvl w:val="2"/>
    </w:pPr>
    <w:rPr>
      <w:b/>
      <w:bCs/>
      <w:sz w:val="32"/>
      <w:szCs w:val="32"/>
    </w:rPr>
  </w:style>
  <w:style w:type="paragraph" w:customStyle="1" w:styleId="42">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Table Paragraph"/>
    <w:basedOn w:val="35"/>
    <w:autoRedefine/>
    <w:qFormat/>
    <w:uiPriority w:val="1"/>
    <w:rPr>
      <w:rFonts w:ascii="宋体" w:hAnsi="宋体" w:eastAsia="宋体" w:cs="宋体"/>
      <w:lang w:val="zh-CN" w:eastAsia="zh-CN" w:bidi="zh-CN"/>
    </w:rPr>
  </w:style>
  <w:style w:type="paragraph" w:customStyle="1" w:styleId="44">
    <w:name w:val="页眉1"/>
    <w:basedOn w:val="35"/>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5">
    <w:name w:val="页脚1"/>
    <w:basedOn w:val="35"/>
    <w:autoRedefine/>
    <w:qFormat/>
    <w:uiPriority w:val="99"/>
    <w:pPr>
      <w:tabs>
        <w:tab w:val="center" w:pos="4153"/>
        <w:tab w:val="right" w:pos="8306"/>
      </w:tabs>
      <w:snapToGrid w:val="0"/>
      <w:jc w:val="left"/>
    </w:pPr>
    <w:rPr>
      <w:rFonts w:ascii="宋体" w:hAnsi="宋体"/>
      <w:sz w:val="18"/>
      <w:szCs w:val="20"/>
    </w:rPr>
  </w:style>
  <w:style w:type="paragraph" w:customStyle="1" w:styleId="46">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48">
    <w:name w:val="目录 21"/>
    <w:basedOn w:val="35"/>
    <w:next w:val="35"/>
    <w:autoRedefine/>
    <w:qFormat/>
    <w:uiPriority w:val="0"/>
    <w:pPr>
      <w:ind w:left="420"/>
    </w:pPr>
  </w:style>
  <w:style w:type="character" w:customStyle="1" w:styleId="49">
    <w:name w:val="3zw1"/>
    <w:qFormat/>
    <w:uiPriority w:val="0"/>
    <w:rPr>
      <w:b/>
      <w:bCs/>
      <w:color w:val="000000"/>
      <w:sz w:val="21"/>
      <w:szCs w:val="21"/>
    </w:rPr>
  </w:style>
  <w:style w:type="paragraph" w:customStyle="1" w:styleId="50">
    <w:name w:val="Normal_46_1"/>
    <w:basedOn w:val="1"/>
    <w:qFormat/>
    <w:uiPriority w:val="0"/>
    <w:pPr>
      <w:widowControl/>
      <w:spacing w:before="120" w:after="240"/>
    </w:pPr>
    <w:rPr>
      <w:rFonts w:eastAsia="Calibri"/>
      <w:kern w:val="0"/>
      <w:sz w:val="22"/>
      <w:szCs w:val="22"/>
    </w:rPr>
  </w:style>
  <w:style w:type="paragraph" w:customStyle="1" w:styleId="51">
    <w:name w:val="Normal_3_2"/>
    <w:basedOn w:val="1"/>
    <w:qFormat/>
    <w:uiPriority w:val="0"/>
    <w:pPr>
      <w:widowControl/>
      <w:spacing w:before="120" w:after="240"/>
    </w:pPr>
    <w:rPr>
      <w:rFonts w:eastAsia="Calibri"/>
      <w:kern w:val="0"/>
      <w:sz w:val="22"/>
      <w:szCs w:val="22"/>
    </w:rPr>
  </w:style>
  <w:style w:type="paragraph" w:customStyle="1" w:styleId="52">
    <w:name w:val="Normal_6_2"/>
    <w:qFormat/>
    <w:uiPriority w:val="0"/>
    <w:pPr>
      <w:spacing w:before="120" w:after="240"/>
      <w:jc w:val="both"/>
    </w:pPr>
    <w:rPr>
      <w:rFonts w:ascii="Calibri" w:hAnsi="Calibri" w:eastAsia="Calibri"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8.wmf"/><Relationship Id="rId25" Type="http://schemas.openxmlformats.org/officeDocument/2006/relationships/image" Target="media/image7.wmf"/><Relationship Id="rId24" Type="http://schemas.openxmlformats.org/officeDocument/2006/relationships/oleObject" Target="embeddings/oleObject5.bin"/><Relationship Id="rId23" Type="http://schemas.openxmlformats.org/officeDocument/2006/relationships/image" Target="media/image6.wmf"/><Relationship Id="rId22" Type="http://schemas.openxmlformats.org/officeDocument/2006/relationships/oleObject" Target="embeddings/oleObject4.bin"/><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242755b4-f9ce-4d85-8080-1902cb6c7d2d</errorID>
      <errorWord>增</errorWord>
      <group>L1_Word</group>
      <groupName>字词问题</groupName>
      <ability>L2_Typo</ability>
      <abilityName>字词错误</abilityName>
      <candidateList>
        <item>增加</item>
      </candidateList>
      <explain>〈动〉在原有的基础上加多：～品种｜～抵抗力｜在校学生已由八百～到一千。</explain>
      <paraID> 4E8B4A4</paraID>
      <start>118</start>
      <end>120</end>
      <status>modified</status>
      <modifiedWord>增加</modifiedWord>
      <trackRevisions>false</trackRevisions>
    </reviewItem>
    <reviewItem>
      <errorID>337c323c-ab61-4765-a29d-bc090695a733</errorID>
      <errorWord>增</errorWord>
      <group>L1_Word</group>
      <groupName>字词问题</groupName>
      <ability>L2_Typo</ability>
      <abilityName>字词错误</abilityName>
      <candidateList>
        <item>增加</item>
      </candidateList>
      <explain>〈动〉在原有的基础上加多：～品种｜～抵抗力｜在校学生已由八百～到一千。</explain>
      <paraID>13DB65B3</paraID>
      <start>111</start>
      <end>113</end>
      <status>modified</status>
      <modifiedWord>增加</modifiedWord>
      <trackRevisions>false</trackRevisions>
    </reviewItem>
    <reviewItem>
      <errorID>41219775-cb94-4725-9aaf-747cf3e645e2</errorID>
      <errorWord>[2025]3号</errorWord>
      <group>L1_Knowledge</group>
      <groupName>知识性问题</groupName>
      <ability>L2_Knowledge</ability>
      <abilityName>其他知识</abilityName>
      <candidateList>
        <item>〔2025〕3号</item>
      </candidateList>
      <explain>发文字号格式错误。</explain>
      <paraID>3CB298B2</paraID>
      <start>3</start>
      <end>11</end>
      <status>modified</status>
      <modifiedWord>〔2025〕3号</modifiedWord>
      <trackRevisions>false</trackRevisions>
    </reviewItem>
    <reviewItem>
      <errorID>4d186eef-8700-4166-97ec-e907310be6c4</errorID>
      <errorWord>总额</errorWord>
      <group>L1_Word</group>
      <groupName>字词问题</groupName>
      <ability>L2_Typo</ability>
      <abilityName>字词错误</abilityName>
      <candidateList>
        <item>总</item>
      </candidateList>
      <explain/>
      <paraID>67C44FAF</paraID>
      <start>145</start>
      <end>146</end>
      <status>modified</status>
      <modifiedWord>总</modifiedWord>
      <trackRevisions>false</trackRevisions>
    </reviewItem>
    <reviewItem>
      <errorID>d8fca90a-5847-4eb9-acd0-e06a2e07410e</errorID>
      <errorWord>包含有</errorWord>
      <group>L1_Word</group>
      <groupName>字词问题</groupName>
      <ability>L2_Typo</ability>
      <abilityName>字词错误</abilityName>
      <candidateList>
        <item>包含</item>
      </candidateList>
      <explain>〈动〉里边含有：这句话～好几层意思。</explain>
      <paraID>3944E8D0</paraID>
      <start>243</start>
      <end>245</end>
      <status>modified</status>
      <modifiedWord>包含</modifiedWord>
      <trackRevisions>false</trackRevisions>
    </reviewItem>
    <reviewItem>
      <errorID>54b16c1e-3d56-4001-a099-3152faca7e52</errorID>
      <errorWord>开</errorWord>
      <group>L1_Word</group>
      <groupName>字词问题</groupName>
      <ability>L2_Typo</ability>
      <abilityName>字词错误</abilityName>
      <candidateList>
        <item>开工</item>
      </candidateList>
      <explain/>
      <paraID>375553F3</paraID>
      <start>7</start>
      <end>9</end>
      <status>modified</status>
      <modifiedWord>开工</modifiedWord>
      <trackRevisions>false</trackRevisions>
    </reviewItem>
    <reviewItem>
      <errorID>c6f8080e-0c1c-4c5f-95e2-7c34015131bc</errorID>
      <errorWord>[2025]9号</errorWord>
      <group>L1_Knowledge</group>
      <groupName>知识性问题</groupName>
      <ability>L2_Knowledge</ability>
      <abilityName>其他知识</abilityName>
      <candidateList>
        <item>〔2025〕9号</item>
      </candidateList>
      <explain>发文字号格式错误。</explain>
      <paraID>4241A3F4</paraID>
      <start>12</start>
      <end>20</end>
      <status>modified</status>
      <modifiedWord>〔2025〕9号</modifiedWord>
      <trackRevisions>false</trackRevisions>
    </reviewItem>
    <reviewItem>
      <errorID>7f5a7d3c-0971-49c7-9f6b-9a991c9edb11</errorID>
      <errorWord>增</errorWord>
      <group>L1_Word</group>
      <groupName>字词问题</groupName>
      <ability>L2_Typo</ability>
      <abilityName>字词错误</abilityName>
      <candidateList>
        <item>增加</item>
      </candidateList>
      <explain>〈动〉在原有的基础上加多：～品种｜～抵抗力｜在校学生已由八百～到一千。</explain>
      <paraID>107F3B2F</paraID>
      <start>122</start>
      <end>124</end>
      <status>modified</status>
      <modifiedWord>增加</modifiedWord>
      <trackRevisions>false</trackRevisions>
    </reviewItem>
    <reviewItem>
      <errorID>a453e0cc-d401-44ef-a8c5-9037050cf932</errorID>
      <errorWord>指在</errorWord>
      <group>L1_Word</group>
      <groupName>字词问题</groupName>
      <ability>L2_Typo</ability>
      <abilityName>字词错误</abilityName>
      <candidateList>
        <item>指</item>
      </candidateList>
      <explain>❶〈名〉手指头：食～｜五～｜屈～｜首屈一～。❷〈量〉一个手指头的宽度叫“一指”，用来计算深浅宽窄等：下了三～雨｜这双鞋大了一～｜两～宽的纸条。❸〈动〉（手指头、物体尖端）对着；向着：用手一～｜时针正～十二点。❹（头发）直立：发～。❺〈动〉指点：～导｜～示｜～出正确方向｜有问题请您～出来。❻〈动〉意思上指着：这不是～你说的，是～他的。</explain>
      <paraID>65D8FEF0</paraID>
      <start>12</start>
      <end>13</end>
      <status>modified</status>
      <modifiedWord>指</modifiedWord>
      <trackRevisions>false</trackRevisions>
    </reviewItem>
    <reviewItem>
      <errorID>c8b8310a-4a34-4737-b7f3-3581104b28dc</errorID>
      <errorWord>以后的</errorWord>
      <group>L1_Word</group>
      <groupName>字词问题</groupName>
      <ability>L2_Typo</ability>
      <abilityName>字词错误</abilityName>
      <candidateList>
        <item>以后</item>
      </candidateList>
      <explain>〈名〉方位词。现在或所说某时之后的时期：从今～｜五年～｜毕业～｜～我们还要进一步研究这个问题。</explain>
      <paraID>7B3911FA</paraID>
      <start>23</start>
      <end>25</end>
      <status>modified</status>
      <modifiedWord>以后</modifiedWord>
      <trackRevisions>false</trackRevisions>
    </reviewItem>
    <reviewItem>
      <errorID>de6553f7-1ec6-46c8-9c62-763398419d0f</errorID>
      <errorWord>的或</errorWord>
      <group>L1_Word</group>
      <groupName>字词问题</groupName>
      <ability>L2_Typo</ability>
      <abilityName>字词错误</abilityName>
      <candidateList>
        <item>的</item>
      </candidateList>
      <explain>“的”常用于连接修饰语与名词性中心语，表示属性、所属或描述。</explain>
      <paraID>264804D1</paraID>
      <start>31</start>
      <end>32</end>
      <status>modified</status>
      <modifiedWord>的</modifiedWord>
      <trackRevisions>false</trackRevisions>
    </reviewItem>
    <reviewItem>
      <errorID>2ddc8630-335e-4ed5-8f4f-a1757f91ec21</errorID>
      <errorWord>费</errorWord>
      <group>L1_Word</group>
      <groupName>字词问题</groupName>
      <ability>L2_Typo</ability>
      <abilityName>字词错误</abilityName>
      <candidateList>
        <item>费用</item>
      </candidateList>
      <explain/>
      <paraID>2591E2E2</paraID>
      <start>78</start>
      <end>80</end>
      <status>modified</status>
      <modifiedWord>费用</modifiedWord>
      <trackRevisions>false</trackRevisions>
    </reviewItem>
    <reviewItem>
      <errorID>dfa5d822-347d-41e8-9e1f-bd0e30f4d7fb</errorID>
      <errorWord>运入</errorWord>
      <group>L1_Word</group>
      <groupName>字词问题</groupName>
      <ability>L2_Typo</ability>
      <abilityName>字词错误</abilityName>
      <candidateList>
        <item>进入</item>
      </candidateList>
      <explain>〈动〉支进到某个范围或某个时期里：～学校｜～新阶段◇～角色。</explain>
      <paraID>48CAB2D6</paraID>
      <start>3</start>
      <end>5</end>
      <status>modified</status>
      <modifiedWord>进入</modifiedWord>
      <trackRevisions>false</trackRevisions>
    </reviewItem>
    <reviewItem>
      <errorID>5d6533d1-8c72-41f4-8311-f922e21223a1</errorID>
      <errorWord>限</errorWord>
      <group>L1_Word</group>
      <groupName>字词问题</groupName>
      <ability>L2_Typo</ability>
      <abilityName>字词错误</abilityName>
      <candidateList>
        <item>限内</item>
      </candidateList>
      <explain/>
      <paraID>39D5AF1A</paraID>
      <start>24</start>
      <end>26</end>
      <status>modified</status>
      <modifiedWord>限内</modifiedWord>
      <trackRevisions>false</trackRevisions>
    </reviewItem>
    <reviewItem>
      <errorID>a099c85a-0e9f-4e65-ad4f-9c8760cd3dce</errorID>
      <errorWord>次</errorWord>
      <group>L1_Knowledge</group>
      <groupName>知识性问题</groupName>
      <ability>L2_Knowledge</ability>
      <abilityName>其他知识</abilityName>
      <candidateList>
        <item>期</item>
      </candidateList>
      <explain>请检查“次”是否为量词使用错误，建议修改为“期”。</explain>
      <paraID>5FFDA2FA</paraID>
      <start>4</start>
      <end>5</end>
      <status>modified</status>
      <modifiedWord>期</modifiedWord>
      <trackRevisions>false</trackRevisions>
    </reviewItem>
    <reviewItem>
      <errorID>876ea7b0-7fa7-4e2c-8940-53d50baca28c</errorID>
      <errorWord>扣</errorWord>
      <group>L1_Word</group>
      <groupName>字词问题</groupName>
      <ability>L2_Typo</ability>
      <abilityName>字词错误</abilityName>
      <candidateList>
        <item>扣除</item>
      </candidateList>
      <explain/>
      <paraID>43070E77</paraID>
      <start>18</start>
      <end>20</end>
      <status>modified</status>
      <modifiedWord>扣除</modifiedWord>
      <trackRevisions>false</trackRevisions>
    </reviewItem>
    <reviewItem>
      <errorID>4b2bca27-0714-4066-bf09-64a7d1afa3cc</errorID>
      <errorWord>中</errorWord>
      <group>L1_Word</group>
      <groupName>字词问题</groupName>
      <ability>L2_Typo</ability>
      <abilityName>字词错误</abilityName>
      <candidateList>
        <item/>
      </candidateList>
      <explain/>
      <paraID>49789D78</paraID>
      <start>1</start>
      <end>1</end>
      <status>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3274c-ceda-4fd6-b423-3af94da02552}">
  <ds:schemaRefs/>
</ds:datastoreItem>
</file>

<file path=docProps/app.xml><?xml version="1.0" encoding="utf-8"?>
<Properties xmlns="http://schemas.openxmlformats.org/officeDocument/2006/extended-properties" xmlns:vt="http://schemas.openxmlformats.org/officeDocument/2006/docPropsVTypes">
  <Template>Normal.dotm</Template>
  <Pages>153</Pages>
  <Words>7194</Words>
  <Characters>7749</Characters>
  <Lines>1</Lines>
  <Paragraphs>1</Paragraphs>
  <TotalTime>28</TotalTime>
  <ScaleCrop>false</ScaleCrop>
  <LinksUpToDate>false</LinksUpToDate>
  <CharactersWithSpaces>7901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何艳</cp:lastModifiedBy>
  <dcterms:modified xsi:type="dcterms:W3CDTF">2026-02-13T01:14:31Z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381400B2D4A849AFAEFE00D2B17071E7_13</vt:lpwstr>
  </property>
  <property fmtid="{D5CDD505-2E9C-101B-9397-08002B2CF9AE}" pid="4" name="commondata">
    <vt:lpwstr>eyJoZGlkIjoiMDMxMGZjOWUzMGUxMmI4NzRjODAzZDBkNzM1YzcyY2UifQ==</vt:lpwstr>
  </property>
  <property fmtid="{D5CDD505-2E9C-101B-9397-08002B2CF9AE}" pid="5" name="KSOTemplateDocerSaveRecord">
    <vt:lpwstr>eyJoZGlkIjoiOGM3N2Q2N2Q5ZGNhOWFlMDAwOWM1NjNjZjA2MzQ0ZGUiLCJ1c2VySWQiOiI1MjI1OTQxMDYifQ==</vt:lpwstr>
  </property>
</Properties>
</file>